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6.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8.xml" ContentType="application/vnd.openxmlformats-officedocument.wordprocessingml.header+xml"/>
  <Override PartName="/word/header12.xml" ContentType="application/vnd.openxmlformats-officedocument.wordprocessingml.header+xml"/>
  <Override PartName="/word/charts/style2.xml" ContentType="application/vnd.ms-office.chartstyle+xml"/>
  <Override PartName="/word/theme/theme1.xml" ContentType="application/vnd.openxmlformats-officedocument.theme+xml"/>
  <Override PartName="/word/charts/chart3.xml" ContentType="application/vnd.openxmlformats-officedocument.drawingml.chart+xml"/>
  <Override PartName="/word/theme/themeOverride3.xml" ContentType="application/vnd.openxmlformats-officedocument.themeOverride+xml"/>
  <Override PartName="/word/charts/colors2.xml" ContentType="application/vnd.ms-office.chartcolorstyle+xml"/>
  <Override PartName="/word/charts/chart4.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2.xml" ContentType="application/vnd.openxmlformats-officedocument.drawingml.chart+xml"/>
  <Override PartName="/word/theme/themeOverride1.xml" ContentType="application/vnd.openxmlformats-officedocument.themeOverride+xml"/>
  <Override PartName="/word/theme/themeOverride2.xml" ContentType="application/vnd.openxmlformats-officedocument.themeOverride+xml"/>
  <Override PartName="/word/charts/colors5.xml" ContentType="application/vnd.ms-office.chartcolorstyle+xml"/>
  <Override PartName="/word/charts/colors3.xml" ContentType="application/vnd.ms-office.chartcolorstyle+xml"/>
  <Override PartName="/word/charts/colors6.xml" ContentType="application/vnd.ms-office.chartcolorstyle+xml"/>
  <Override PartName="/word/theme/themeOverride7.xml" ContentType="application/vnd.openxmlformats-officedocument.themeOverride+xml"/>
  <Override PartName="/word/charts/style6.xml" ContentType="application/vnd.ms-office.chartstyle+xml"/>
  <Override PartName="/word/charts/chart7.xml" ContentType="application/vnd.openxmlformats-officedocument.drawingml.chart+xml"/>
  <Override PartName="/word/theme/themeOverride6.xml" ContentType="application/vnd.openxmlformats-officedocument.themeOverrid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style3.xml" ContentType="application/vnd.ms-office.chartstyle+xml"/>
  <Override PartName="/word/charts/chart1.xml" ContentType="application/vnd.openxmlformats-officedocument.drawingml.chart+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2.xml" ContentType="application/vnd.openxmlformats-officedocument.customXml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xml" ContentType="application/vnd.openxmlformats-officedocument.wordprocessingml.styl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56D5" w:rsidRPr="007B6E69" w:rsidRDefault="00BD194A" w:rsidP="00CD74CE">
      <w:pPr>
        <w:spacing w:after="960"/>
        <w:ind w:left="113"/>
      </w:pPr>
      <w:r w:rsidRPr="007B6E69">
        <w:rPr>
          <w:noProof/>
          <w:lang w:eastAsia="en-AU"/>
        </w:rPr>
        <w:drawing>
          <wp:anchor distT="0" distB="0" distL="114300" distR="114300" simplePos="0" relativeHeight="251659264" behindDoc="1" locked="0" layoutInCell="1" allowOverlap="1" wp14:anchorId="282056C8" wp14:editId="1544D635">
            <wp:simplePos x="0" y="0"/>
            <wp:positionH relativeFrom="page">
              <wp:posOffset>-780789</wp:posOffset>
            </wp:positionH>
            <wp:positionV relativeFrom="paragraph">
              <wp:posOffset>-740967</wp:posOffset>
            </wp:positionV>
            <wp:extent cx="8344227" cy="10837563"/>
            <wp:effectExtent l="0" t="0" r="0" b="1905"/>
            <wp:wrapNone/>
            <wp:docPr id="1" name="Picture 1"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corative.">
                      <a:extLst>
                        <a:ext uri="{C183D7F6-B498-43B3-948B-1728B52AA6E4}">
                          <adec:decorative xmlns:adec="http://schemas.microsoft.com/office/drawing/2017/decorative" val="1"/>
                        </a:ext>
                      </a:extLst>
                    </pic:cNvPr>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8358941" cy="10856673"/>
                    </a:xfrm>
                    <a:prstGeom prst="rect">
                      <a:avLst/>
                    </a:prstGeom>
                  </pic:spPr>
                </pic:pic>
              </a:graphicData>
            </a:graphic>
            <wp14:sizeRelH relativeFrom="page">
              <wp14:pctWidth>0</wp14:pctWidth>
            </wp14:sizeRelH>
            <wp14:sizeRelV relativeFrom="page">
              <wp14:pctHeight>0</wp14:pctHeight>
            </wp14:sizeRelV>
          </wp:anchor>
        </w:drawing>
      </w:r>
      <w:r w:rsidR="00DC503C">
        <w:t>f</w:t>
      </w:r>
      <w:r w:rsidR="007A05BE" w:rsidRPr="007B6E69">
        <w:rPr>
          <w:noProof/>
          <w:lang w:eastAsia="en-AU"/>
        </w:rPr>
        <w:drawing>
          <wp:inline distT="0" distB="0" distL="0" distR="0" wp14:anchorId="5CC4CBF3" wp14:editId="5415C733">
            <wp:extent cx="3924000" cy="719949"/>
            <wp:effectExtent l="0" t="0" r="63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Department of Infrastructure, Transport, Regional Development and Communications."/>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3924000" cy="719949"/>
                    </a:xfrm>
                    <a:prstGeom prst="rect">
                      <a:avLst/>
                    </a:prstGeom>
                  </pic:spPr>
                </pic:pic>
              </a:graphicData>
            </a:graphic>
          </wp:inline>
        </w:drawing>
      </w:r>
    </w:p>
    <w:p w:rsidR="003774A7" w:rsidRPr="007B6E69" w:rsidRDefault="00386F60" w:rsidP="00A9359F">
      <w:pPr>
        <w:pStyle w:val="AreaHeading"/>
        <w:spacing w:before="240" w:after="240"/>
        <w:ind w:left="113" w:firstLine="0"/>
        <w:rPr>
          <w:b/>
          <w:color w:val="FFFFFF" w:themeColor="background1"/>
          <w:sz w:val="144"/>
        </w:rPr>
      </w:pPr>
      <w:r w:rsidRPr="007B6E69">
        <w:rPr>
          <w:b/>
          <w:color w:val="FFFFFF" w:themeColor="background1"/>
          <w:sz w:val="40"/>
        </w:rPr>
        <w:t>SAFER FREIGHT VEHICLES</w:t>
      </w:r>
    </w:p>
    <w:p w:rsidR="00715ED7" w:rsidRPr="007B6E69" w:rsidRDefault="00715ED7" w:rsidP="006D3E4D">
      <w:r w:rsidRPr="007B6E69">
        <w:rPr>
          <w:noProof/>
          <w:lang w:eastAsia="en-AU"/>
        </w:rPr>
        <w:drawing>
          <wp:inline distT="0" distB="0" distL="0" distR="0" wp14:anchorId="26D8F96E" wp14:editId="0E5D581A">
            <wp:extent cx="5832000" cy="3280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ettyImages-1749068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2000" cy="3280500"/>
                    </a:xfrm>
                    <a:prstGeom prst="rect">
                      <a:avLst/>
                    </a:prstGeom>
                    <a:effectLst>
                      <a:softEdge rad="63500"/>
                    </a:effectLst>
                  </pic:spPr>
                </pic:pic>
              </a:graphicData>
            </a:graphic>
          </wp:inline>
        </w:drawing>
      </w:r>
    </w:p>
    <w:p w:rsidR="00DE4FE2" w:rsidRPr="007B6E69" w:rsidRDefault="00531858" w:rsidP="006D3E4D">
      <w:pPr>
        <w:pStyle w:val="Subtitle"/>
        <w:ind w:left="85"/>
        <w:rPr>
          <w:color w:val="78D1F5"/>
          <w:sz w:val="36"/>
        </w:rPr>
      </w:pPr>
      <w:r>
        <w:rPr>
          <w:color w:val="78D1F5"/>
          <w:sz w:val="36"/>
        </w:rPr>
        <w:t>Impact a</w:t>
      </w:r>
      <w:r w:rsidR="00A9359F">
        <w:rPr>
          <w:color w:val="78D1F5"/>
          <w:sz w:val="36"/>
        </w:rPr>
        <w:t>nalysis of options for</w:t>
      </w:r>
      <w:r w:rsidR="005812D9">
        <w:rPr>
          <w:color w:val="78D1F5"/>
          <w:sz w:val="36"/>
        </w:rPr>
        <w:t xml:space="preserve"> maximum </w:t>
      </w:r>
      <w:r w:rsidR="00963BDE">
        <w:rPr>
          <w:color w:val="78D1F5"/>
          <w:sz w:val="36"/>
        </w:rPr>
        <w:t xml:space="preserve">overall </w:t>
      </w:r>
      <w:r w:rsidR="00A9359F">
        <w:rPr>
          <w:color w:val="78D1F5"/>
          <w:sz w:val="36"/>
        </w:rPr>
        <w:t>width</w:t>
      </w:r>
    </w:p>
    <w:p w:rsidR="00DE4FE2" w:rsidRPr="007B6E69" w:rsidRDefault="00676CA7" w:rsidP="006D3E4D">
      <w:pPr>
        <w:pStyle w:val="CoverDate"/>
        <w:ind w:left="113"/>
        <w:rPr>
          <w:color w:val="FFFFFF" w:themeColor="background1"/>
        </w:rPr>
      </w:pPr>
      <w:r>
        <w:rPr>
          <w:color w:val="FFFFFF" w:themeColor="background1"/>
        </w:rPr>
        <w:t>June 2023</w:t>
      </w:r>
    </w:p>
    <w:p w:rsidR="00DE4FE2" w:rsidRPr="007B6E69" w:rsidRDefault="00DE4FE2"/>
    <w:p w:rsidR="00DE4FE2" w:rsidRPr="007B6E69" w:rsidRDefault="00DE4FE2">
      <w:pPr>
        <w:sectPr w:rsidR="00DE4FE2" w:rsidRPr="007B6E69" w:rsidSect="004772E6">
          <w:headerReference w:type="even" r:id="rId15"/>
          <w:headerReference w:type="default" r:id="rId16"/>
          <w:footerReference w:type="even" r:id="rId17"/>
          <w:footerReference w:type="default" r:id="rId18"/>
          <w:pgSz w:w="11906" w:h="16838" w:code="9"/>
          <w:pgMar w:top="1134" w:right="1418" w:bottom="1134" w:left="1418" w:header="510" w:footer="567" w:gutter="0"/>
          <w:cols w:space="708"/>
          <w:titlePg/>
          <w:docGrid w:linePitch="360"/>
        </w:sectPr>
      </w:pPr>
    </w:p>
    <w:p w:rsidR="000E5674" w:rsidRPr="007B6E69" w:rsidRDefault="000E5674" w:rsidP="000E5674">
      <w:pPr>
        <w:pStyle w:val="NoSpacing"/>
      </w:pPr>
      <w:r w:rsidRPr="007B6E69">
        <w:t>© Commonwealth of Australia 202</w:t>
      </w:r>
      <w:r w:rsidR="00531858">
        <w:t>3</w:t>
      </w:r>
    </w:p>
    <w:p w:rsidR="000E5674" w:rsidRPr="007B6E69" w:rsidRDefault="00C80843" w:rsidP="000E5674">
      <w:pPr>
        <w:pStyle w:val="NoSpacing"/>
      </w:pPr>
      <w:r>
        <w:t>June</w:t>
      </w:r>
      <w:r w:rsidR="00531858">
        <w:t xml:space="preserve"> 2023</w:t>
      </w:r>
    </w:p>
    <w:p w:rsidR="00F16D21" w:rsidRPr="007B6E69" w:rsidRDefault="00C80843" w:rsidP="000E5674">
      <w:pPr>
        <w:pStyle w:val="NoSpacing"/>
      </w:pPr>
      <w:r>
        <w:t>OIA</w:t>
      </w:r>
      <w:r w:rsidR="00F16D21" w:rsidRPr="00001B26">
        <w:t>2</w:t>
      </w:r>
      <w:r w:rsidR="00001B26" w:rsidRPr="00001B26">
        <w:t>1</w:t>
      </w:r>
      <w:r w:rsidR="00F16D21" w:rsidRPr="00001B26">
        <w:t>-</w:t>
      </w:r>
      <w:r w:rsidR="00001B26" w:rsidRPr="00001B26">
        <w:t>01048</w:t>
      </w:r>
    </w:p>
    <w:p w:rsidR="000E5674" w:rsidRPr="007B6E69" w:rsidRDefault="000E5674" w:rsidP="000E5674">
      <w:pPr>
        <w:pStyle w:val="ImprintHeading"/>
        <w:rPr>
          <w:lang w:val="en-AU"/>
        </w:rPr>
      </w:pPr>
      <w:r w:rsidRPr="007B6E69">
        <w:rPr>
          <w:lang w:val="en-AU"/>
        </w:rPr>
        <w:t>Ownership of intellectual property rights in this publication</w:t>
      </w:r>
    </w:p>
    <w:p w:rsidR="000E5674" w:rsidRPr="007B6E69" w:rsidRDefault="000E5674" w:rsidP="000E5674">
      <w:r w:rsidRPr="007B6E69">
        <w:t>Unless otherwise noted, copyright (and any other intellectual property rights, if any) in this publication is owned by the Commonwealth of Australia (referred to below as the Commonwealth).</w:t>
      </w:r>
    </w:p>
    <w:p w:rsidR="000E5674" w:rsidRPr="007B6E69" w:rsidRDefault="000E5674" w:rsidP="000E5674">
      <w:pPr>
        <w:pStyle w:val="ImprintHeading"/>
        <w:rPr>
          <w:lang w:val="en-AU"/>
        </w:rPr>
      </w:pPr>
      <w:r w:rsidRPr="007B6E69">
        <w:rPr>
          <w:lang w:val="en-AU"/>
        </w:rPr>
        <w:t>Disclaimer</w:t>
      </w:r>
    </w:p>
    <w:p w:rsidR="000E5674" w:rsidRPr="007B6E69" w:rsidRDefault="000E5674" w:rsidP="000E5674">
      <w:r w:rsidRPr="007B6E69">
        <w:t>The material contained in this publication is made available on the understanding that the Commonwealth is not providing professional advice, and that users exercise their own skill and care with respect to its use, and seek independent advice if necessary.</w:t>
      </w:r>
    </w:p>
    <w:p w:rsidR="000E5674" w:rsidRPr="007B6E69" w:rsidRDefault="000E5674" w:rsidP="000E5674">
      <w:r w:rsidRPr="007B6E69">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rsidR="000E5674" w:rsidRPr="007B6E69" w:rsidRDefault="000E5674" w:rsidP="000E5674">
      <w:pPr>
        <w:pStyle w:val="ImprintHeading"/>
        <w:rPr>
          <w:lang w:val="en-AU"/>
        </w:rPr>
      </w:pPr>
      <w:r w:rsidRPr="007B6E69">
        <w:rPr>
          <w:lang w:val="en-AU"/>
        </w:rPr>
        <w:t>Creative Commons licence</w:t>
      </w:r>
    </w:p>
    <w:p w:rsidR="000E5674" w:rsidRPr="007B6E69" w:rsidRDefault="000E5674" w:rsidP="000E5674">
      <w:r w:rsidRPr="007B6E69">
        <w:t>With the exception of (a) the Coat of Arms; (b) the Department of Infrastructure, Transport, Regional Development</w:t>
      </w:r>
      <w:r w:rsidR="007936D3" w:rsidRPr="007B6E69">
        <w:t xml:space="preserve">, </w:t>
      </w:r>
      <w:r w:rsidRPr="007B6E69">
        <w:t xml:space="preserve">Communications </w:t>
      </w:r>
      <w:r w:rsidR="00EB5C80" w:rsidRPr="007B6E69">
        <w:t xml:space="preserve">and </w:t>
      </w:r>
      <w:r w:rsidR="000938AB" w:rsidRPr="007B6E69">
        <w:t xml:space="preserve">the </w:t>
      </w:r>
      <w:r w:rsidR="00EB5C80" w:rsidRPr="007B6E69">
        <w:t xml:space="preserve">Arts </w:t>
      </w:r>
      <w:r w:rsidRPr="007B6E69">
        <w:t xml:space="preserve">photos and </w:t>
      </w:r>
      <w:r w:rsidRPr="00055971">
        <w:t>graphics; and (c)</w:t>
      </w:r>
      <w:r w:rsidR="00055971" w:rsidRPr="00055971">
        <w:t xml:space="preserve"> </w:t>
      </w:r>
      <w:r w:rsidR="00055971" w:rsidRPr="00055971">
        <w:fldChar w:fldCharType="begin"/>
      </w:r>
      <w:r w:rsidR="00055971" w:rsidRPr="00055971">
        <w:instrText xml:space="preserve"> REF _Ref109657179 \h </w:instrText>
      </w:r>
      <w:r w:rsidR="00055971">
        <w:instrText xml:space="preserve"> \* MERGEFORMAT </w:instrText>
      </w:r>
      <w:r w:rsidR="00055971" w:rsidRPr="00055971">
        <w:fldChar w:fldCharType="separate"/>
      </w:r>
      <w:r w:rsidR="00534814" w:rsidRPr="007B6E69">
        <w:t xml:space="preserve">Figure </w:t>
      </w:r>
      <w:r w:rsidR="00534814">
        <w:rPr>
          <w:noProof/>
        </w:rPr>
        <w:t>1</w:t>
      </w:r>
      <w:r w:rsidR="00055971" w:rsidRPr="00055971">
        <w:fldChar w:fldCharType="end"/>
      </w:r>
      <w:r w:rsidRPr="00055971">
        <w:t>, copyright in this publication is licensed under a Creative Commons Attribution 4.0 Australia Licence.</w:t>
      </w:r>
    </w:p>
    <w:p w:rsidR="000E5674" w:rsidRPr="007B6E69" w:rsidRDefault="000E5674" w:rsidP="000E5674">
      <w:r w:rsidRPr="007B6E69">
        <w:t>Creative Commons Attribution 4.0 Australia Licence is a standard form licence agreement that allows you to copy, communicate and adapt this publication provided that you attribute the work to the Commonwealth and abide by the other licence terms.</w:t>
      </w:r>
    </w:p>
    <w:p w:rsidR="000E5674" w:rsidRPr="007B6E69" w:rsidRDefault="000E5674" w:rsidP="000E5674">
      <w:r w:rsidRPr="007B6E69">
        <w:t xml:space="preserve">Further information on the licence terms is available from </w:t>
      </w:r>
      <w:hyperlink r:id="rId19" w:tooltip="Creative Commons website" w:history="1">
        <w:r w:rsidRPr="007B6E69">
          <w:rPr>
            <w:rStyle w:val="Hyperlink"/>
          </w:rPr>
          <w:t>https://creativecommons.org/licenses/by/4.0/</w:t>
        </w:r>
      </w:hyperlink>
    </w:p>
    <w:p w:rsidR="000E5674" w:rsidRPr="007B6E69" w:rsidRDefault="000E5674" w:rsidP="000E5674">
      <w:r w:rsidRPr="007B6E69">
        <w:t xml:space="preserve">This publication should be attributed in the following way: © Commonwealth of Australia </w:t>
      </w:r>
      <w:r w:rsidR="00D83318" w:rsidRPr="007B6E69">
        <w:t>202</w:t>
      </w:r>
      <w:r w:rsidR="00C80843">
        <w:t>3</w:t>
      </w:r>
    </w:p>
    <w:p w:rsidR="000E5674" w:rsidRPr="007B6E69" w:rsidRDefault="000E5674" w:rsidP="000E5674">
      <w:pPr>
        <w:pStyle w:val="ImprintHeading"/>
        <w:rPr>
          <w:lang w:val="en-AU"/>
        </w:rPr>
      </w:pPr>
      <w:r w:rsidRPr="007B6E69">
        <w:rPr>
          <w:lang w:val="en-AU"/>
        </w:rPr>
        <w:t>Use of the Coat of Arms</w:t>
      </w:r>
    </w:p>
    <w:p w:rsidR="000E5674" w:rsidRPr="007B6E69" w:rsidRDefault="000E5674" w:rsidP="000E5674">
      <w:r w:rsidRPr="007B6E69">
        <w:t xml:space="preserve">The Department of the Prime Minister and Cabinet sets the terms under which the Coat of Arms is used. Please refer to the Commonwealth Coat of Arms - Information and Guidelines publication available at </w:t>
      </w:r>
      <w:hyperlink r:id="rId20" w:tooltip="Department of Prime Minister and Cabinet website" w:history="1">
        <w:r w:rsidRPr="007B6E69">
          <w:rPr>
            <w:rStyle w:val="Hyperlink"/>
          </w:rPr>
          <w:t>http://www.pmc.gov.au</w:t>
        </w:r>
      </w:hyperlink>
      <w:r w:rsidRPr="007B6E69">
        <w:t>.</w:t>
      </w:r>
    </w:p>
    <w:p w:rsidR="000E5674" w:rsidRPr="007B6E69" w:rsidRDefault="000E5674" w:rsidP="000E5674">
      <w:pPr>
        <w:pStyle w:val="ImprintHeading"/>
        <w:rPr>
          <w:lang w:val="en-AU"/>
        </w:rPr>
      </w:pPr>
      <w:r w:rsidRPr="007B6E69">
        <w:rPr>
          <w:lang w:val="en-AU"/>
        </w:rPr>
        <w:t>Contact us</w:t>
      </w:r>
    </w:p>
    <w:p w:rsidR="000E5674" w:rsidRPr="007B6E69" w:rsidRDefault="000E5674" w:rsidP="000E5674">
      <w:r w:rsidRPr="007B6E69">
        <w:t>For enquiries regarding the licence and any use of this publication, please contact:</w:t>
      </w:r>
    </w:p>
    <w:p w:rsidR="000E5674" w:rsidRPr="007B6E69" w:rsidRDefault="000E5674" w:rsidP="000E5674">
      <w:pPr>
        <w:pStyle w:val="NoSpacing"/>
      </w:pPr>
      <w:r w:rsidRPr="007B6E69">
        <w:t xml:space="preserve">Director </w:t>
      </w:r>
      <w:r w:rsidR="00291050" w:rsidRPr="007B6E69">
        <w:t>–</w:t>
      </w:r>
      <w:r w:rsidRPr="007B6E69">
        <w:t xml:space="preserve"> </w:t>
      </w:r>
      <w:r w:rsidR="00291050" w:rsidRPr="007B6E69">
        <w:t>Creative Services</w:t>
      </w:r>
    </w:p>
    <w:p w:rsidR="000E5674" w:rsidRPr="007B6E69" w:rsidRDefault="000E5674" w:rsidP="000E5674">
      <w:pPr>
        <w:pStyle w:val="NoSpacing"/>
      </w:pPr>
      <w:r w:rsidRPr="007B6E69">
        <w:t>Communication Branch</w:t>
      </w:r>
    </w:p>
    <w:p w:rsidR="000E5674" w:rsidRPr="007B6E69" w:rsidRDefault="000E5674" w:rsidP="000E5674">
      <w:pPr>
        <w:pStyle w:val="NoSpacing"/>
      </w:pPr>
      <w:r w:rsidRPr="007B6E69">
        <w:t>Department of Infrastructure, Transport, Regional Development</w:t>
      </w:r>
      <w:r w:rsidR="000938AB" w:rsidRPr="007B6E69">
        <w:t xml:space="preserve">, </w:t>
      </w:r>
      <w:r w:rsidRPr="007B6E69">
        <w:t>Communications</w:t>
      </w:r>
      <w:r w:rsidR="000938AB" w:rsidRPr="007B6E69">
        <w:t xml:space="preserve"> and the Arts</w:t>
      </w:r>
    </w:p>
    <w:p w:rsidR="000E5674" w:rsidRPr="007B6E69" w:rsidRDefault="000E5674" w:rsidP="000E5674">
      <w:pPr>
        <w:pStyle w:val="NoSpacing"/>
      </w:pPr>
      <w:r w:rsidRPr="007B6E69">
        <w:t>GPO Box 594</w:t>
      </w:r>
    </w:p>
    <w:p w:rsidR="000E5674" w:rsidRPr="007B6E69" w:rsidRDefault="000E5674" w:rsidP="000E5674">
      <w:pPr>
        <w:pStyle w:val="NoSpacing"/>
      </w:pPr>
      <w:r w:rsidRPr="007B6E69">
        <w:t>Canberra ACT 2601</w:t>
      </w:r>
    </w:p>
    <w:p w:rsidR="000E5674" w:rsidRPr="007B6E69" w:rsidRDefault="000E5674" w:rsidP="000E5674">
      <w:pPr>
        <w:pStyle w:val="NoSpacing"/>
      </w:pPr>
      <w:r w:rsidRPr="007B6E69">
        <w:t>Australia</w:t>
      </w:r>
    </w:p>
    <w:p w:rsidR="000E5674" w:rsidRPr="007B6E69" w:rsidRDefault="000E5674" w:rsidP="000E5674">
      <w:r w:rsidRPr="007B6E69">
        <w:t xml:space="preserve">Email: </w:t>
      </w:r>
      <w:hyperlink r:id="rId21" w:tooltip="Email the Publishing team at the Department of Infrastructure, Transport, Regional Development and Communications" w:history="1">
        <w:r w:rsidRPr="007B6E69">
          <w:rPr>
            <w:rStyle w:val="Hyperlink"/>
          </w:rPr>
          <w:t>publishing@infrastructure.gov.au</w:t>
        </w:r>
      </w:hyperlink>
    </w:p>
    <w:p w:rsidR="009277D8" w:rsidRDefault="000E5674" w:rsidP="00DA2035">
      <w:pPr>
        <w:rPr>
          <w:rStyle w:val="Hyperlink"/>
        </w:rPr>
      </w:pPr>
      <w:r w:rsidRPr="007B6E69">
        <w:t xml:space="preserve">Website: </w:t>
      </w:r>
      <w:hyperlink r:id="rId22" w:tooltip="Department of Infrastructure, Transport, Regional Development and Communications website" w:history="1">
        <w:r w:rsidRPr="007B6E69">
          <w:rPr>
            <w:rStyle w:val="Hyperlink"/>
          </w:rPr>
          <w:t>www.infrastructure.gov.au</w:t>
        </w:r>
      </w:hyperlink>
    </w:p>
    <w:p w:rsidR="00546218" w:rsidRPr="007B6E69" w:rsidRDefault="00546218" w:rsidP="00DA2035">
      <w:r w:rsidRPr="007B6E69">
        <w:br w:type="page"/>
      </w:r>
    </w:p>
    <w:p w:rsidR="00DE4FE2" w:rsidRPr="007B6E69" w:rsidRDefault="002B7197" w:rsidP="00E13D3A">
      <w:pPr>
        <w:pStyle w:val="TOCHeading"/>
      </w:pPr>
      <w:bookmarkStart w:id="0" w:name="_Toc111576716"/>
      <w:r w:rsidRPr="007B6E69">
        <w:t>C</w:t>
      </w:r>
      <w:r w:rsidR="00DE4FE2" w:rsidRPr="007B6E69">
        <w:t>ontents</w:t>
      </w:r>
      <w:bookmarkEnd w:id="0"/>
    </w:p>
    <w:p w:rsidR="00514931" w:rsidRDefault="00C00417">
      <w:pPr>
        <w:pStyle w:val="TOC1"/>
        <w:rPr>
          <w:rFonts w:eastAsiaTheme="minorEastAsia"/>
          <w:b w:val="0"/>
          <w:noProof/>
          <w:color w:val="auto"/>
          <w:kern w:val="0"/>
          <w:sz w:val="22"/>
          <w:szCs w:val="22"/>
          <w:u w:val="none"/>
          <w:lang w:eastAsia="en-AU"/>
        </w:rPr>
      </w:pPr>
      <w:r>
        <w:fldChar w:fldCharType="begin"/>
      </w:r>
      <w:r>
        <w:instrText xml:space="preserve"> </w:instrText>
      </w:r>
      <w:r w:rsidR="00A45D35" w:rsidRPr="007B6E69">
        <w:instrText>TOC \o "3-3" \h \z \t "Heading 1,1,Heading 2,2,Heading 1 Numbered,1,Heading 2 Numbered,2,Appendix Heading 1,1,Attachment Heading 1,1"</w:instrText>
      </w:r>
      <w:r>
        <w:instrText xml:space="preserve"> </w:instrText>
      </w:r>
      <w:r>
        <w:fldChar w:fldCharType="separate"/>
      </w:r>
      <w:hyperlink w:anchor="_Toc138065679" w:history="1">
        <w:r w:rsidR="00514931" w:rsidRPr="00DE15E8">
          <w:rPr>
            <w:rStyle w:val="Hyperlink"/>
            <w:noProof/>
          </w:rPr>
          <w:t>Executive Summary</w:t>
        </w:r>
        <w:r w:rsidR="00514931">
          <w:rPr>
            <w:noProof/>
            <w:webHidden/>
          </w:rPr>
          <w:tab/>
        </w:r>
        <w:r w:rsidR="00514931">
          <w:rPr>
            <w:noProof/>
            <w:webHidden/>
          </w:rPr>
          <w:fldChar w:fldCharType="begin"/>
        </w:r>
        <w:r w:rsidR="00514931">
          <w:rPr>
            <w:noProof/>
            <w:webHidden/>
          </w:rPr>
          <w:instrText xml:space="preserve"> PAGEREF _Toc138065679 \h </w:instrText>
        </w:r>
        <w:r w:rsidR="00514931">
          <w:rPr>
            <w:noProof/>
            <w:webHidden/>
          </w:rPr>
        </w:r>
        <w:r w:rsidR="00514931">
          <w:rPr>
            <w:noProof/>
            <w:webHidden/>
          </w:rPr>
          <w:fldChar w:fldCharType="separate"/>
        </w:r>
        <w:r w:rsidR="00514931">
          <w:rPr>
            <w:noProof/>
            <w:webHidden/>
          </w:rPr>
          <w:t>1</w:t>
        </w:r>
        <w:r w:rsidR="00514931">
          <w:rPr>
            <w:noProof/>
            <w:webHidden/>
          </w:rPr>
          <w:fldChar w:fldCharType="end"/>
        </w:r>
      </w:hyperlink>
    </w:p>
    <w:p w:rsidR="00514931" w:rsidRDefault="001B0996">
      <w:pPr>
        <w:pStyle w:val="TOC1"/>
        <w:rPr>
          <w:rFonts w:eastAsiaTheme="minorEastAsia"/>
          <w:b w:val="0"/>
          <w:noProof/>
          <w:color w:val="auto"/>
          <w:kern w:val="0"/>
          <w:sz w:val="22"/>
          <w:szCs w:val="22"/>
          <w:u w:val="none"/>
          <w:lang w:eastAsia="en-AU"/>
        </w:rPr>
      </w:pPr>
      <w:hyperlink w:anchor="_Toc138065680" w:history="1">
        <w:r w:rsidR="00514931" w:rsidRPr="00DE15E8">
          <w:rPr>
            <w:rStyle w:val="Hyperlink"/>
            <w:noProof/>
          </w:rPr>
          <w:t>Chapter 1: Introduction</w:t>
        </w:r>
        <w:r w:rsidR="00514931">
          <w:rPr>
            <w:noProof/>
            <w:webHidden/>
          </w:rPr>
          <w:tab/>
        </w:r>
        <w:r w:rsidR="00514931">
          <w:rPr>
            <w:noProof/>
            <w:webHidden/>
          </w:rPr>
          <w:fldChar w:fldCharType="begin"/>
        </w:r>
        <w:r w:rsidR="00514931">
          <w:rPr>
            <w:noProof/>
            <w:webHidden/>
          </w:rPr>
          <w:instrText xml:space="preserve"> PAGEREF _Toc138065680 \h </w:instrText>
        </w:r>
        <w:r w:rsidR="00514931">
          <w:rPr>
            <w:noProof/>
            <w:webHidden/>
          </w:rPr>
        </w:r>
        <w:r w:rsidR="00514931">
          <w:rPr>
            <w:noProof/>
            <w:webHidden/>
          </w:rPr>
          <w:fldChar w:fldCharType="separate"/>
        </w:r>
        <w:r w:rsidR="00514931">
          <w:rPr>
            <w:noProof/>
            <w:webHidden/>
          </w:rPr>
          <w:t>4</w:t>
        </w:r>
        <w:r w:rsidR="00514931">
          <w:rPr>
            <w:noProof/>
            <w:webHidden/>
          </w:rPr>
          <w:fldChar w:fldCharType="end"/>
        </w:r>
      </w:hyperlink>
    </w:p>
    <w:p w:rsidR="00514931" w:rsidRDefault="001B0996">
      <w:pPr>
        <w:pStyle w:val="TOC2"/>
        <w:rPr>
          <w:rFonts w:eastAsiaTheme="minorEastAsia"/>
          <w:noProof/>
          <w:color w:val="auto"/>
          <w:kern w:val="0"/>
          <w:sz w:val="22"/>
          <w:szCs w:val="22"/>
          <w:lang w:eastAsia="en-AU"/>
        </w:rPr>
      </w:pPr>
      <w:hyperlink w:anchor="_Toc138065681" w:history="1">
        <w:r w:rsidR="00514931" w:rsidRPr="00DE15E8">
          <w:rPr>
            <w:rStyle w:val="Hyperlink"/>
            <w:noProof/>
          </w:rPr>
          <w:t>Road vehicle regulation in Australia</w:t>
        </w:r>
        <w:r w:rsidR="00514931">
          <w:rPr>
            <w:noProof/>
            <w:webHidden/>
          </w:rPr>
          <w:tab/>
        </w:r>
        <w:r w:rsidR="00514931">
          <w:rPr>
            <w:noProof/>
            <w:webHidden/>
          </w:rPr>
          <w:fldChar w:fldCharType="begin"/>
        </w:r>
        <w:r w:rsidR="00514931">
          <w:rPr>
            <w:noProof/>
            <w:webHidden/>
          </w:rPr>
          <w:instrText xml:space="preserve"> PAGEREF _Toc138065681 \h </w:instrText>
        </w:r>
        <w:r w:rsidR="00514931">
          <w:rPr>
            <w:noProof/>
            <w:webHidden/>
          </w:rPr>
        </w:r>
        <w:r w:rsidR="00514931">
          <w:rPr>
            <w:noProof/>
            <w:webHidden/>
          </w:rPr>
          <w:fldChar w:fldCharType="separate"/>
        </w:r>
        <w:r w:rsidR="00514931">
          <w:rPr>
            <w:noProof/>
            <w:webHidden/>
          </w:rPr>
          <w:t>4</w:t>
        </w:r>
        <w:r w:rsidR="00514931">
          <w:rPr>
            <w:noProof/>
            <w:webHidden/>
          </w:rPr>
          <w:fldChar w:fldCharType="end"/>
        </w:r>
      </w:hyperlink>
    </w:p>
    <w:p w:rsidR="00514931" w:rsidRDefault="001B0996">
      <w:pPr>
        <w:pStyle w:val="TOC2"/>
        <w:rPr>
          <w:rFonts w:eastAsiaTheme="minorEastAsia"/>
          <w:noProof/>
          <w:color w:val="auto"/>
          <w:kern w:val="0"/>
          <w:sz w:val="22"/>
          <w:szCs w:val="22"/>
          <w:lang w:eastAsia="en-AU"/>
        </w:rPr>
      </w:pPr>
      <w:hyperlink w:anchor="_Toc138065682" w:history="1">
        <w:r w:rsidR="00514931" w:rsidRPr="00DE15E8">
          <w:rPr>
            <w:rStyle w:val="Hyperlink"/>
            <w:noProof/>
          </w:rPr>
          <w:t>ADR development and review</w:t>
        </w:r>
        <w:r w:rsidR="00514931">
          <w:rPr>
            <w:noProof/>
            <w:webHidden/>
          </w:rPr>
          <w:tab/>
        </w:r>
        <w:r w:rsidR="00514931">
          <w:rPr>
            <w:noProof/>
            <w:webHidden/>
          </w:rPr>
          <w:fldChar w:fldCharType="begin"/>
        </w:r>
        <w:r w:rsidR="00514931">
          <w:rPr>
            <w:noProof/>
            <w:webHidden/>
          </w:rPr>
          <w:instrText xml:space="preserve"> PAGEREF _Toc138065682 \h </w:instrText>
        </w:r>
        <w:r w:rsidR="00514931">
          <w:rPr>
            <w:noProof/>
            <w:webHidden/>
          </w:rPr>
        </w:r>
        <w:r w:rsidR="00514931">
          <w:rPr>
            <w:noProof/>
            <w:webHidden/>
          </w:rPr>
          <w:fldChar w:fldCharType="separate"/>
        </w:r>
        <w:r w:rsidR="00514931">
          <w:rPr>
            <w:noProof/>
            <w:webHidden/>
          </w:rPr>
          <w:t>4</w:t>
        </w:r>
        <w:r w:rsidR="00514931">
          <w:rPr>
            <w:noProof/>
            <w:webHidden/>
          </w:rPr>
          <w:fldChar w:fldCharType="end"/>
        </w:r>
      </w:hyperlink>
    </w:p>
    <w:p w:rsidR="00514931" w:rsidRDefault="001B0996">
      <w:pPr>
        <w:pStyle w:val="TOC2"/>
        <w:rPr>
          <w:rFonts w:eastAsiaTheme="minorEastAsia"/>
          <w:noProof/>
          <w:color w:val="auto"/>
          <w:kern w:val="0"/>
          <w:sz w:val="22"/>
          <w:szCs w:val="22"/>
          <w:lang w:eastAsia="en-AU"/>
        </w:rPr>
      </w:pPr>
      <w:hyperlink w:anchor="_Toc138065683" w:history="1">
        <w:r w:rsidR="00514931" w:rsidRPr="00DE15E8">
          <w:rPr>
            <w:rStyle w:val="Hyperlink"/>
            <w:noProof/>
          </w:rPr>
          <w:t>Performance Based Standards (PBS) Schemes</w:t>
        </w:r>
        <w:r w:rsidR="00514931">
          <w:rPr>
            <w:noProof/>
            <w:webHidden/>
          </w:rPr>
          <w:tab/>
        </w:r>
        <w:r w:rsidR="00514931">
          <w:rPr>
            <w:noProof/>
            <w:webHidden/>
          </w:rPr>
          <w:fldChar w:fldCharType="begin"/>
        </w:r>
        <w:r w:rsidR="00514931">
          <w:rPr>
            <w:noProof/>
            <w:webHidden/>
          </w:rPr>
          <w:instrText xml:space="preserve"> PAGEREF _Toc138065683 \h </w:instrText>
        </w:r>
        <w:r w:rsidR="00514931">
          <w:rPr>
            <w:noProof/>
            <w:webHidden/>
          </w:rPr>
        </w:r>
        <w:r w:rsidR="00514931">
          <w:rPr>
            <w:noProof/>
            <w:webHidden/>
          </w:rPr>
          <w:fldChar w:fldCharType="separate"/>
        </w:r>
        <w:r w:rsidR="00514931">
          <w:rPr>
            <w:noProof/>
            <w:webHidden/>
          </w:rPr>
          <w:t>4</w:t>
        </w:r>
        <w:r w:rsidR="00514931">
          <w:rPr>
            <w:noProof/>
            <w:webHidden/>
          </w:rPr>
          <w:fldChar w:fldCharType="end"/>
        </w:r>
      </w:hyperlink>
    </w:p>
    <w:p w:rsidR="00514931" w:rsidRDefault="001B0996">
      <w:pPr>
        <w:pStyle w:val="TOC1"/>
        <w:rPr>
          <w:rFonts w:eastAsiaTheme="minorEastAsia"/>
          <w:b w:val="0"/>
          <w:noProof/>
          <w:color w:val="auto"/>
          <w:kern w:val="0"/>
          <w:sz w:val="22"/>
          <w:szCs w:val="22"/>
          <w:u w:val="none"/>
          <w:lang w:eastAsia="en-AU"/>
        </w:rPr>
      </w:pPr>
      <w:hyperlink w:anchor="_Toc138065684" w:history="1">
        <w:r w:rsidR="00514931" w:rsidRPr="00DE15E8">
          <w:rPr>
            <w:rStyle w:val="Hyperlink"/>
            <w:noProof/>
          </w:rPr>
          <w:t>Chapter 2: What is the problem?</w:t>
        </w:r>
        <w:r w:rsidR="00514931">
          <w:rPr>
            <w:noProof/>
            <w:webHidden/>
          </w:rPr>
          <w:tab/>
        </w:r>
        <w:r w:rsidR="00514931">
          <w:rPr>
            <w:noProof/>
            <w:webHidden/>
          </w:rPr>
          <w:fldChar w:fldCharType="begin"/>
        </w:r>
        <w:r w:rsidR="00514931">
          <w:rPr>
            <w:noProof/>
            <w:webHidden/>
          </w:rPr>
          <w:instrText xml:space="preserve"> PAGEREF _Toc138065684 \h </w:instrText>
        </w:r>
        <w:r w:rsidR="00514931">
          <w:rPr>
            <w:noProof/>
            <w:webHidden/>
          </w:rPr>
        </w:r>
        <w:r w:rsidR="00514931">
          <w:rPr>
            <w:noProof/>
            <w:webHidden/>
          </w:rPr>
          <w:fldChar w:fldCharType="separate"/>
        </w:r>
        <w:r w:rsidR="00514931">
          <w:rPr>
            <w:noProof/>
            <w:webHidden/>
          </w:rPr>
          <w:t>5</w:t>
        </w:r>
        <w:r w:rsidR="00514931">
          <w:rPr>
            <w:noProof/>
            <w:webHidden/>
          </w:rPr>
          <w:fldChar w:fldCharType="end"/>
        </w:r>
      </w:hyperlink>
    </w:p>
    <w:p w:rsidR="00514931" w:rsidRDefault="001B0996">
      <w:pPr>
        <w:pStyle w:val="TOC2"/>
        <w:rPr>
          <w:rFonts w:eastAsiaTheme="minorEastAsia"/>
          <w:noProof/>
          <w:color w:val="auto"/>
          <w:kern w:val="0"/>
          <w:sz w:val="22"/>
          <w:szCs w:val="22"/>
          <w:lang w:eastAsia="en-AU"/>
        </w:rPr>
      </w:pPr>
      <w:hyperlink w:anchor="_Toc138065685" w:history="1">
        <w:r w:rsidR="00514931" w:rsidRPr="00DE15E8">
          <w:rPr>
            <w:rStyle w:val="Hyperlink"/>
            <w:noProof/>
          </w:rPr>
          <w:t>Regulatory impediments to the supply of safer and cleaner freight vehicles</w:t>
        </w:r>
        <w:r w:rsidR="00514931">
          <w:rPr>
            <w:noProof/>
            <w:webHidden/>
          </w:rPr>
          <w:tab/>
        </w:r>
        <w:r w:rsidR="00514931">
          <w:rPr>
            <w:noProof/>
            <w:webHidden/>
          </w:rPr>
          <w:fldChar w:fldCharType="begin"/>
        </w:r>
        <w:r w:rsidR="00514931">
          <w:rPr>
            <w:noProof/>
            <w:webHidden/>
          </w:rPr>
          <w:instrText xml:space="preserve"> PAGEREF _Toc138065685 \h </w:instrText>
        </w:r>
        <w:r w:rsidR="00514931">
          <w:rPr>
            <w:noProof/>
            <w:webHidden/>
          </w:rPr>
        </w:r>
        <w:r w:rsidR="00514931">
          <w:rPr>
            <w:noProof/>
            <w:webHidden/>
          </w:rPr>
          <w:fldChar w:fldCharType="separate"/>
        </w:r>
        <w:r w:rsidR="00514931">
          <w:rPr>
            <w:noProof/>
            <w:webHidden/>
          </w:rPr>
          <w:t>5</w:t>
        </w:r>
        <w:r w:rsidR="00514931">
          <w:rPr>
            <w:noProof/>
            <w:webHidden/>
          </w:rPr>
          <w:fldChar w:fldCharType="end"/>
        </w:r>
      </w:hyperlink>
    </w:p>
    <w:p w:rsidR="00514931" w:rsidRDefault="001B0996">
      <w:pPr>
        <w:pStyle w:val="TOC3"/>
        <w:rPr>
          <w:rFonts w:eastAsiaTheme="minorEastAsia"/>
          <w:color w:val="auto"/>
          <w:kern w:val="0"/>
          <w:sz w:val="22"/>
          <w:szCs w:val="22"/>
          <w:lang w:eastAsia="en-AU"/>
        </w:rPr>
      </w:pPr>
      <w:hyperlink w:anchor="_Toc138065686" w:history="1">
        <w:r w:rsidR="00514931" w:rsidRPr="00DE15E8">
          <w:rPr>
            <w:rStyle w:val="Hyperlink"/>
          </w:rPr>
          <w:t>The National Road Safety Action Plan 2018-2020</w:t>
        </w:r>
        <w:r w:rsidR="00514931">
          <w:rPr>
            <w:webHidden/>
          </w:rPr>
          <w:tab/>
        </w:r>
        <w:r w:rsidR="00514931">
          <w:rPr>
            <w:webHidden/>
          </w:rPr>
          <w:fldChar w:fldCharType="begin"/>
        </w:r>
        <w:r w:rsidR="00514931">
          <w:rPr>
            <w:webHidden/>
          </w:rPr>
          <w:instrText xml:space="preserve"> PAGEREF _Toc138065686 \h </w:instrText>
        </w:r>
        <w:r w:rsidR="00514931">
          <w:rPr>
            <w:webHidden/>
          </w:rPr>
        </w:r>
        <w:r w:rsidR="00514931">
          <w:rPr>
            <w:webHidden/>
          </w:rPr>
          <w:fldChar w:fldCharType="separate"/>
        </w:r>
        <w:r w:rsidR="00514931">
          <w:rPr>
            <w:webHidden/>
          </w:rPr>
          <w:t>5</w:t>
        </w:r>
        <w:r w:rsidR="00514931">
          <w:rPr>
            <w:webHidden/>
          </w:rPr>
          <w:fldChar w:fldCharType="end"/>
        </w:r>
      </w:hyperlink>
    </w:p>
    <w:p w:rsidR="00514931" w:rsidRDefault="001B0996">
      <w:pPr>
        <w:pStyle w:val="TOC3"/>
        <w:rPr>
          <w:rFonts w:eastAsiaTheme="minorEastAsia"/>
          <w:color w:val="auto"/>
          <w:kern w:val="0"/>
          <w:sz w:val="22"/>
          <w:szCs w:val="22"/>
          <w:lang w:eastAsia="en-AU"/>
        </w:rPr>
      </w:pPr>
      <w:hyperlink w:anchor="_Toc138065687" w:history="1">
        <w:r w:rsidR="00514931" w:rsidRPr="00DE15E8">
          <w:rPr>
            <w:rStyle w:val="Hyperlink"/>
          </w:rPr>
          <w:t>The Safer Freight Vehicles Discussion Paper</w:t>
        </w:r>
        <w:r w:rsidR="00514931">
          <w:rPr>
            <w:webHidden/>
          </w:rPr>
          <w:tab/>
        </w:r>
        <w:r w:rsidR="00514931">
          <w:rPr>
            <w:webHidden/>
          </w:rPr>
          <w:fldChar w:fldCharType="begin"/>
        </w:r>
        <w:r w:rsidR="00514931">
          <w:rPr>
            <w:webHidden/>
          </w:rPr>
          <w:instrText xml:space="preserve"> PAGEREF _Toc138065687 \h </w:instrText>
        </w:r>
        <w:r w:rsidR="00514931">
          <w:rPr>
            <w:webHidden/>
          </w:rPr>
        </w:r>
        <w:r w:rsidR="00514931">
          <w:rPr>
            <w:webHidden/>
          </w:rPr>
          <w:fldChar w:fldCharType="separate"/>
        </w:r>
        <w:r w:rsidR="00514931">
          <w:rPr>
            <w:webHidden/>
          </w:rPr>
          <w:t>5</w:t>
        </w:r>
        <w:r w:rsidR="00514931">
          <w:rPr>
            <w:webHidden/>
          </w:rPr>
          <w:fldChar w:fldCharType="end"/>
        </w:r>
      </w:hyperlink>
    </w:p>
    <w:p w:rsidR="00514931" w:rsidRDefault="001B0996">
      <w:pPr>
        <w:pStyle w:val="TOC3"/>
        <w:rPr>
          <w:rFonts w:eastAsiaTheme="minorEastAsia"/>
          <w:color w:val="auto"/>
          <w:kern w:val="0"/>
          <w:sz w:val="22"/>
          <w:szCs w:val="22"/>
          <w:lang w:eastAsia="en-AU"/>
        </w:rPr>
      </w:pPr>
      <w:hyperlink w:anchor="_Toc138065688" w:history="1">
        <w:r w:rsidR="00514931" w:rsidRPr="00DE15E8">
          <w:rPr>
            <w:rStyle w:val="Hyperlink"/>
          </w:rPr>
          <w:t>Vehicle width</w:t>
        </w:r>
        <w:r w:rsidR="00514931">
          <w:rPr>
            <w:webHidden/>
          </w:rPr>
          <w:tab/>
        </w:r>
        <w:r w:rsidR="00514931">
          <w:rPr>
            <w:webHidden/>
          </w:rPr>
          <w:fldChar w:fldCharType="begin"/>
        </w:r>
        <w:r w:rsidR="00514931">
          <w:rPr>
            <w:webHidden/>
          </w:rPr>
          <w:instrText xml:space="preserve"> PAGEREF _Toc138065688 \h </w:instrText>
        </w:r>
        <w:r w:rsidR="00514931">
          <w:rPr>
            <w:webHidden/>
          </w:rPr>
        </w:r>
        <w:r w:rsidR="00514931">
          <w:rPr>
            <w:webHidden/>
          </w:rPr>
          <w:fldChar w:fldCharType="separate"/>
        </w:r>
        <w:r w:rsidR="00514931">
          <w:rPr>
            <w:webHidden/>
          </w:rPr>
          <w:t>6</w:t>
        </w:r>
        <w:r w:rsidR="00514931">
          <w:rPr>
            <w:webHidden/>
          </w:rPr>
          <w:fldChar w:fldCharType="end"/>
        </w:r>
      </w:hyperlink>
    </w:p>
    <w:p w:rsidR="00514931" w:rsidRDefault="001B0996">
      <w:pPr>
        <w:pStyle w:val="TOC3"/>
        <w:rPr>
          <w:rFonts w:eastAsiaTheme="minorEastAsia"/>
          <w:color w:val="auto"/>
          <w:kern w:val="0"/>
          <w:sz w:val="22"/>
          <w:szCs w:val="22"/>
          <w:lang w:eastAsia="en-AU"/>
        </w:rPr>
      </w:pPr>
      <w:hyperlink w:anchor="_Toc138065689" w:history="1">
        <w:r w:rsidR="00514931" w:rsidRPr="00DE15E8">
          <w:rPr>
            <w:rStyle w:val="Hyperlink"/>
          </w:rPr>
          <w:t>Devices for indirect vision and monitoring devices to detect other road users</w:t>
        </w:r>
        <w:r w:rsidR="00514931">
          <w:rPr>
            <w:webHidden/>
          </w:rPr>
          <w:tab/>
        </w:r>
        <w:r w:rsidR="00514931">
          <w:rPr>
            <w:webHidden/>
          </w:rPr>
          <w:fldChar w:fldCharType="begin"/>
        </w:r>
        <w:r w:rsidR="00514931">
          <w:rPr>
            <w:webHidden/>
          </w:rPr>
          <w:instrText xml:space="preserve"> PAGEREF _Toc138065689 \h </w:instrText>
        </w:r>
        <w:r w:rsidR="00514931">
          <w:rPr>
            <w:webHidden/>
          </w:rPr>
        </w:r>
        <w:r w:rsidR="00514931">
          <w:rPr>
            <w:webHidden/>
          </w:rPr>
          <w:fldChar w:fldCharType="separate"/>
        </w:r>
        <w:r w:rsidR="00514931">
          <w:rPr>
            <w:webHidden/>
          </w:rPr>
          <w:t>7</w:t>
        </w:r>
        <w:r w:rsidR="00514931">
          <w:rPr>
            <w:webHidden/>
          </w:rPr>
          <w:fldChar w:fldCharType="end"/>
        </w:r>
      </w:hyperlink>
    </w:p>
    <w:p w:rsidR="00514931" w:rsidRDefault="001B0996">
      <w:pPr>
        <w:pStyle w:val="TOC2"/>
        <w:rPr>
          <w:rFonts w:eastAsiaTheme="minorEastAsia"/>
          <w:noProof/>
          <w:color w:val="auto"/>
          <w:kern w:val="0"/>
          <w:sz w:val="22"/>
          <w:szCs w:val="22"/>
          <w:lang w:eastAsia="en-AU"/>
        </w:rPr>
      </w:pPr>
      <w:hyperlink w:anchor="_Toc138065690" w:history="1">
        <w:r w:rsidR="00514931" w:rsidRPr="00DE15E8">
          <w:rPr>
            <w:rStyle w:val="Hyperlink"/>
            <w:noProof/>
          </w:rPr>
          <w:t>Slow introduction of safety systems for heavy freight vehicles</w:t>
        </w:r>
        <w:r w:rsidR="00514931">
          <w:rPr>
            <w:noProof/>
            <w:webHidden/>
          </w:rPr>
          <w:tab/>
        </w:r>
        <w:r w:rsidR="00514931">
          <w:rPr>
            <w:noProof/>
            <w:webHidden/>
          </w:rPr>
          <w:fldChar w:fldCharType="begin"/>
        </w:r>
        <w:r w:rsidR="00514931">
          <w:rPr>
            <w:noProof/>
            <w:webHidden/>
          </w:rPr>
          <w:instrText xml:space="preserve"> PAGEREF _Toc138065690 \h </w:instrText>
        </w:r>
        <w:r w:rsidR="00514931">
          <w:rPr>
            <w:noProof/>
            <w:webHidden/>
          </w:rPr>
        </w:r>
        <w:r w:rsidR="00514931">
          <w:rPr>
            <w:noProof/>
            <w:webHidden/>
          </w:rPr>
          <w:fldChar w:fldCharType="separate"/>
        </w:r>
        <w:r w:rsidR="00514931">
          <w:rPr>
            <w:noProof/>
            <w:webHidden/>
          </w:rPr>
          <w:t>9</w:t>
        </w:r>
        <w:r w:rsidR="00514931">
          <w:rPr>
            <w:noProof/>
            <w:webHidden/>
          </w:rPr>
          <w:fldChar w:fldCharType="end"/>
        </w:r>
      </w:hyperlink>
    </w:p>
    <w:p w:rsidR="00514931" w:rsidRDefault="001B0996">
      <w:pPr>
        <w:pStyle w:val="TOC1"/>
        <w:rPr>
          <w:rFonts w:eastAsiaTheme="minorEastAsia"/>
          <w:b w:val="0"/>
          <w:noProof/>
          <w:color w:val="auto"/>
          <w:kern w:val="0"/>
          <w:sz w:val="22"/>
          <w:szCs w:val="22"/>
          <w:u w:val="none"/>
          <w:lang w:eastAsia="en-AU"/>
        </w:rPr>
      </w:pPr>
      <w:hyperlink w:anchor="_Toc138065691" w:history="1">
        <w:r w:rsidR="00514931" w:rsidRPr="00DE15E8">
          <w:rPr>
            <w:rStyle w:val="Hyperlink"/>
            <w:noProof/>
          </w:rPr>
          <w:t>Chapter 3: Why is government action needed?</w:t>
        </w:r>
        <w:r w:rsidR="00514931">
          <w:rPr>
            <w:noProof/>
            <w:webHidden/>
          </w:rPr>
          <w:tab/>
        </w:r>
        <w:r w:rsidR="00514931">
          <w:rPr>
            <w:noProof/>
            <w:webHidden/>
          </w:rPr>
          <w:fldChar w:fldCharType="begin"/>
        </w:r>
        <w:r w:rsidR="00514931">
          <w:rPr>
            <w:noProof/>
            <w:webHidden/>
          </w:rPr>
          <w:instrText xml:space="preserve"> PAGEREF _Toc138065691 \h </w:instrText>
        </w:r>
        <w:r w:rsidR="00514931">
          <w:rPr>
            <w:noProof/>
            <w:webHidden/>
          </w:rPr>
        </w:r>
        <w:r w:rsidR="00514931">
          <w:rPr>
            <w:noProof/>
            <w:webHidden/>
          </w:rPr>
          <w:fldChar w:fldCharType="separate"/>
        </w:r>
        <w:r w:rsidR="00514931">
          <w:rPr>
            <w:noProof/>
            <w:webHidden/>
          </w:rPr>
          <w:t>10</w:t>
        </w:r>
        <w:r w:rsidR="00514931">
          <w:rPr>
            <w:noProof/>
            <w:webHidden/>
          </w:rPr>
          <w:fldChar w:fldCharType="end"/>
        </w:r>
      </w:hyperlink>
    </w:p>
    <w:p w:rsidR="00514931" w:rsidRDefault="001B0996">
      <w:pPr>
        <w:pStyle w:val="TOC1"/>
        <w:rPr>
          <w:rFonts w:eastAsiaTheme="minorEastAsia"/>
          <w:b w:val="0"/>
          <w:noProof/>
          <w:color w:val="auto"/>
          <w:kern w:val="0"/>
          <w:sz w:val="22"/>
          <w:szCs w:val="22"/>
          <w:u w:val="none"/>
          <w:lang w:eastAsia="en-AU"/>
        </w:rPr>
      </w:pPr>
      <w:hyperlink w:anchor="_Toc138065692" w:history="1">
        <w:r w:rsidR="00514931" w:rsidRPr="00DE15E8">
          <w:rPr>
            <w:rStyle w:val="Hyperlink"/>
            <w:noProof/>
          </w:rPr>
          <w:t>Chapter 4: Policy options considered</w:t>
        </w:r>
        <w:r w:rsidR="00514931">
          <w:rPr>
            <w:noProof/>
            <w:webHidden/>
          </w:rPr>
          <w:tab/>
        </w:r>
        <w:r w:rsidR="00514931">
          <w:rPr>
            <w:noProof/>
            <w:webHidden/>
          </w:rPr>
          <w:fldChar w:fldCharType="begin"/>
        </w:r>
        <w:r w:rsidR="00514931">
          <w:rPr>
            <w:noProof/>
            <w:webHidden/>
          </w:rPr>
          <w:instrText xml:space="preserve"> PAGEREF _Toc138065692 \h </w:instrText>
        </w:r>
        <w:r w:rsidR="00514931">
          <w:rPr>
            <w:noProof/>
            <w:webHidden/>
          </w:rPr>
        </w:r>
        <w:r w:rsidR="00514931">
          <w:rPr>
            <w:noProof/>
            <w:webHidden/>
          </w:rPr>
          <w:fldChar w:fldCharType="separate"/>
        </w:r>
        <w:r w:rsidR="00514931">
          <w:rPr>
            <w:noProof/>
            <w:webHidden/>
          </w:rPr>
          <w:t>11</w:t>
        </w:r>
        <w:r w:rsidR="00514931">
          <w:rPr>
            <w:noProof/>
            <w:webHidden/>
          </w:rPr>
          <w:fldChar w:fldCharType="end"/>
        </w:r>
      </w:hyperlink>
    </w:p>
    <w:p w:rsidR="00514931" w:rsidRDefault="001B0996">
      <w:pPr>
        <w:pStyle w:val="TOC2"/>
        <w:rPr>
          <w:rFonts w:eastAsiaTheme="minorEastAsia"/>
          <w:noProof/>
          <w:color w:val="auto"/>
          <w:kern w:val="0"/>
          <w:sz w:val="22"/>
          <w:szCs w:val="22"/>
          <w:lang w:eastAsia="en-AU"/>
        </w:rPr>
      </w:pPr>
      <w:hyperlink w:anchor="_Toc138065693" w:history="1">
        <w:r w:rsidR="00514931" w:rsidRPr="00DE15E8">
          <w:rPr>
            <w:rStyle w:val="Hyperlink"/>
            <w:noProof/>
          </w:rPr>
          <w:t>Summary of options</w:t>
        </w:r>
        <w:r w:rsidR="00514931">
          <w:rPr>
            <w:noProof/>
            <w:webHidden/>
          </w:rPr>
          <w:tab/>
        </w:r>
        <w:r w:rsidR="00514931">
          <w:rPr>
            <w:noProof/>
            <w:webHidden/>
          </w:rPr>
          <w:fldChar w:fldCharType="begin"/>
        </w:r>
        <w:r w:rsidR="00514931">
          <w:rPr>
            <w:noProof/>
            <w:webHidden/>
          </w:rPr>
          <w:instrText xml:space="preserve"> PAGEREF _Toc138065693 \h </w:instrText>
        </w:r>
        <w:r w:rsidR="00514931">
          <w:rPr>
            <w:noProof/>
            <w:webHidden/>
          </w:rPr>
        </w:r>
        <w:r w:rsidR="00514931">
          <w:rPr>
            <w:noProof/>
            <w:webHidden/>
          </w:rPr>
          <w:fldChar w:fldCharType="separate"/>
        </w:r>
        <w:r w:rsidR="00514931">
          <w:rPr>
            <w:noProof/>
            <w:webHidden/>
          </w:rPr>
          <w:t>11</w:t>
        </w:r>
        <w:r w:rsidR="00514931">
          <w:rPr>
            <w:noProof/>
            <w:webHidden/>
          </w:rPr>
          <w:fldChar w:fldCharType="end"/>
        </w:r>
      </w:hyperlink>
    </w:p>
    <w:p w:rsidR="00514931" w:rsidRDefault="001B0996">
      <w:pPr>
        <w:pStyle w:val="TOC2"/>
        <w:rPr>
          <w:rFonts w:eastAsiaTheme="minorEastAsia"/>
          <w:noProof/>
          <w:color w:val="auto"/>
          <w:kern w:val="0"/>
          <w:sz w:val="22"/>
          <w:szCs w:val="22"/>
          <w:lang w:eastAsia="en-AU"/>
        </w:rPr>
      </w:pPr>
      <w:hyperlink w:anchor="_Toc138065694" w:history="1">
        <w:r w:rsidR="00514931" w:rsidRPr="00DE15E8">
          <w:rPr>
            <w:rStyle w:val="Hyperlink"/>
            <w:noProof/>
          </w:rPr>
          <w:t>Discussion of options</w:t>
        </w:r>
        <w:r w:rsidR="00514931">
          <w:rPr>
            <w:noProof/>
            <w:webHidden/>
          </w:rPr>
          <w:tab/>
        </w:r>
        <w:r w:rsidR="00514931">
          <w:rPr>
            <w:noProof/>
            <w:webHidden/>
          </w:rPr>
          <w:fldChar w:fldCharType="begin"/>
        </w:r>
        <w:r w:rsidR="00514931">
          <w:rPr>
            <w:noProof/>
            <w:webHidden/>
          </w:rPr>
          <w:instrText xml:space="preserve"> PAGEREF _Toc138065694 \h </w:instrText>
        </w:r>
        <w:r w:rsidR="00514931">
          <w:rPr>
            <w:noProof/>
            <w:webHidden/>
          </w:rPr>
        </w:r>
        <w:r w:rsidR="00514931">
          <w:rPr>
            <w:noProof/>
            <w:webHidden/>
          </w:rPr>
          <w:fldChar w:fldCharType="separate"/>
        </w:r>
        <w:r w:rsidR="00514931">
          <w:rPr>
            <w:noProof/>
            <w:webHidden/>
          </w:rPr>
          <w:t>11</w:t>
        </w:r>
        <w:r w:rsidR="00514931">
          <w:rPr>
            <w:noProof/>
            <w:webHidden/>
          </w:rPr>
          <w:fldChar w:fldCharType="end"/>
        </w:r>
      </w:hyperlink>
    </w:p>
    <w:p w:rsidR="00514931" w:rsidRDefault="001B0996">
      <w:pPr>
        <w:pStyle w:val="TOC3"/>
        <w:rPr>
          <w:rFonts w:eastAsiaTheme="minorEastAsia"/>
          <w:color w:val="auto"/>
          <w:kern w:val="0"/>
          <w:sz w:val="22"/>
          <w:szCs w:val="22"/>
          <w:lang w:eastAsia="en-AU"/>
        </w:rPr>
      </w:pPr>
      <w:hyperlink w:anchor="_Toc138065695" w:history="1">
        <w:r w:rsidR="00514931" w:rsidRPr="00DE15E8">
          <w:rPr>
            <w:rStyle w:val="Hyperlink"/>
          </w:rPr>
          <w:t>Option 1: De-regulation (repeal the current requirements)</w:t>
        </w:r>
        <w:r w:rsidR="00514931">
          <w:rPr>
            <w:webHidden/>
          </w:rPr>
          <w:tab/>
        </w:r>
        <w:r w:rsidR="00514931">
          <w:rPr>
            <w:webHidden/>
          </w:rPr>
          <w:fldChar w:fldCharType="begin"/>
        </w:r>
        <w:r w:rsidR="00514931">
          <w:rPr>
            <w:webHidden/>
          </w:rPr>
          <w:instrText xml:space="preserve"> PAGEREF _Toc138065695 \h </w:instrText>
        </w:r>
        <w:r w:rsidR="00514931">
          <w:rPr>
            <w:webHidden/>
          </w:rPr>
        </w:r>
        <w:r w:rsidR="00514931">
          <w:rPr>
            <w:webHidden/>
          </w:rPr>
          <w:fldChar w:fldCharType="separate"/>
        </w:r>
        <w:r w:rsidR="00514931">
          <w:rPr>
            <w:webHidden/>
          </w:rPr>
          <w:t>11</w:t>
        </w:r>
        <w:r w:rsidR="00514931">
          <w:rPr>
            <w:webHidden/>
          </w:rPr>
          <w:fldChar w:fldCharType="end"/>
        </w:r>
      </w:hyperlink>
    </w:p>
    <w:p w:rsidR="00514931" w:rsidRDefault="001B0996">
      <w:pPr>
        <w:pStyle w:val="TOC3"/>
        <w:rPr>
          <w:rFonts w:eastAsiaTheme="minorEastAsia"/>
          <w:color w:val="auto"/>
          <w:kern w:val="0"/>
          <w:sz w:val="22"/>
          <w:szCs w:val="22"/>
          <w:lang w:eastAsia="en-AU"/>
        </w:rPr>
      </w:pPr>
      <w:hyperlink w:anchor="_Toc138065696" w:history="1">
        <w:r w:rsidR="00514931" w:rsidRPr="00DE15E8">
          <w:rPr>
            <w:rStyle w:val="Hyperlink"/>
          </w:rPr>
          <w:t>Option 2: Retain existing standards under the RVSA (business as usual)</w:t>
        </w:r>
        <w:r w:rsidR="00514931">
          <w:rPr>
            <w:webHidden/>
          </w:rPr>
          <w:tab/>
        </w:r>
        <w:r w:rsidR="00514931">
          <w:rPr>
            <w:webHidden/>
          </w:rPr>
          <w:fldChar w:fldCharType="begin"/>
        </w:r>
        <w:r w:rsidR="00514931">
          <w:rPr>
            <w:webHidden/>
          </w:rPr>
          <w:instrText xml:space="preserve"> PAGEREF _Toc138065696 \h </w:instrText>
        </w:r>
        <w:r w:rsidR="00514931">
          <w:rPr>
            <w:webHidden/>
          </w:rPr>
        </w:r>
        <w:r w:rsidR="00514931">
          <w:rPr>
            <w:webHidden/>
          </w:rPr>
          <w:fldChar w:fldCharType="separate"/>
        </w:r>
        <w:r w:rsidR="00514931">
          <w:rPr>
            <w:webHidden/>
          </w:rPr>
          <w:t>11</w:t>
        </w:r>
        <w:r w:rsidR="00514931">
          <w:rPr>
            <w:webHidden/>
          </w:rPr>
          <w:fldChar w:fldCharType="end"/>
        </w:r>
      </w:hyperlink>
    </w:p>
    <w:p w:rsidR="00514931" w:rsidRDefault="001B0996">
      <w:pPr>
        <w:pStyle w:val="TOC3"/>
        <w:rPr>
          <w:rFonts w:eastAsiaTheme="minorEastAsia"/>
          <w:color w:val="auto"/>
          <w:kern w:val="0"/>
          <w:sz w:val="22"/>
          <w:szCs w:val="22"/>
          <w:lang w:eastAsia="en-AU"/>
        </w:rPr>
      </w:pPr>
      <w:hyperlink w:anchor="_Toc138065697" w:history="1">
        <w:r w:rsidR="00514931" w:rsidRPr="00DE15E8">
          <w:rPr>
            <w:rStyle w:val="Hyperlink"/>
          </w:rPr>
          <w:t>Option 3: Implement updated standards under the RVSA</w:t>
        </w:r>
        <w:r w:rsidR="00514931">
          <w:rPr>
            <w:webHidden/>
          </w:rPr>
          <w:tab/>
        </w:r>
        <w:r w:rsidR="00514931">
          <w:rPr>
            <w:webHidden/>
          </w:rPr>
          <w:fldChar w:fldCharType="begin"/>
        </w:r>
        <w:r w:rsidR="00514931">
          <w:rPr>
            <w:webHidden/>
          </w:rPr>
          <w:instrText xml:space="preserve"> PAGEREF _Toc138065697 \h </w:instrText>
        </w:r>
        <w:r w:rsidR="00514931">
          <w:rPr>
            <w:webHidden/>
          </w:rPr>
        </w:r>
        <w:r w:rsidR="00514931">
          <w:rPr>
            <w:webHidden/>
          </w:rPr>
          <w:fldChar w:fldCharType="separate"/>
        </w:r>
        <w:r w:rsidR="00514931">
          <w:rPr>
            <w:webHidden/>
          </w:rPr>
          <w:t>12</w:t>
        </w:r>
        <w:r w:rsidR="00514931">
          <w:rPr>
            <w:webHidden/>
          </w:rPr>
          <w:fldChar w:fldCharType="end"/>
        </w:r>
      </w:hyperlink>
    </w:p>
    <w:p w:rsidR="00514931" w:rsidRDefault="001B0996">
      <w:pPr>
        <w:pStyle w:val="TOC1"/>
        <w:rPr>
          <w:rFonts w:eastAsiaTheme="minorEastAsia"/>
          <w:b w:val="0"/>
          <w:noProof/>
          <w:color w:val="auto"/>
          <w:kern w:val="0"/>
          <w:sz w:val="22"/>
          <w:szCs w:val="22"/>
          <w:u w:val="none"/>
          <w:lang w:eastAsia="en-AU"/>
        </w:rPr>
      </w:pPr>
      <w:hyperlink w:anchor="_Toc138065698" w:history="1">
        <w:r w:rsidR="00514931" w:rsidRPr="00DE15E8">
          <w:rPr>
            <w:rStyle w:val="Hyperlink"/>
            <w:noProof/>
          </w:rPr>
          <w:t>Chapter 5: Likely net benefit of each option</w:t>
        </w:r>
        <w:r w:rsidR="00514931">
          <w:rPr>
            <w:noProof/>
            <w:webHidden/>
          </w:rPr>
          <w:tab/>
        </w:r>
        <w:r w:rsidR="00514931">
          <w:rPr>
            <w:noProof/>
            <w:webHidden/>
          </w:rPr>
          <w:fldChar w:fldCharType="begin"/>
        </w:r>
        <w:r w:rsidR="00514931">
          <w:rPr>
            <w:noProof/>
            <w:webHidden/>
          </w:rPr>
          <w:instrText xml:space="preserve"> PAGEREF _Toc138065698 \h </w:instrText>
        </w:r>
        <w:r w:rsidR="00514931">
          <w:rPr>
            <w:noProof/>
            <w:webHidden/>
          </w:rPr>
        </w:r>
        <w:r w:rsidR="00514931">
          <w:rPr>
            <w:noProof/>
            <w:webHidden/>
          </w:rPr>
          <w:fldChar w:fldCharType="separate"/>
        </w:r>
        <w:r w:rsidR="00514931">
          <w:rPr>
            <w:noProof/>
            <w:webHidden/>
          </w:rPr>
          <w:t>18</w:t>
        </w:r>
        <w:r w:rsidR="00514931">
          <w:rPr>
            <w:noProof/>
            <w:webHidden/>
          </w:rPr>
          <w:fldChar w:fldCharType="end"/>
        </w:r>
      </w:hyperlink>
    </w:p>
    <w:p w:rsidR="00514931" w:rsidRDefault="001B0996">
      <w:pPr>
        <w:pStyle w:val="TOC2"/>
        <w:rPr>
          <w:rFonts w:eastAsiaTheme="minorEastAsia"/>
          <w:noProof/>
          <w:color w:val="auto"/>
          <w:kern w:val="0"/>
          <w:sz w:val="22"/>
          <w:szCs w:val="22"/>
          <w:lang w:eastAsia="en-AU"/>
        </w:rPr>
      </w:pPr>
      <w:hyperlink w:anchor="_Toc138065699" w:history="1">
        <w:r w:rsidR="00514931" w:rsidRPr="00DE15E8">
          <w:rPr>
            <w:rStyle w:val="Hyperlink"/>
            <w:noProof/>
          </w:rPr>
          <w:t>Benefit-cost analysis</w:t>
        </w:r>
        <w:r w:rsidR="00514931">
          <w:rPr>
            <w:noProof/>
            <w:webHidden/>
          </w:rPr>
          <w:tab/>
        </w:r>
        <w:r w:rsidR="00514931">
          <w:rPr>
            <w:noProof/>
            <w:webHidden/>
          </w:rPr>
          <w:fldChar w:fldCharType="begin"/>
        </w:r>
        <w:r w:rsidR="00514931">
          <w:rPr>
            <w:noProof/>
            <w:webHidden/>
          </w:rPr>
          <w:instrText xml:space="preserve"> PAGEREF _Toc138065699 \h </w:instrText>
        </w:r>
        <w:r w:rsidR="00514931">
          <w:rPr>
            <w:noProof/>
            <w:webHidden/>
          </w:rPr>
        </w:r>
        <w:r w:rsidR="00514931">
          <w:rPr>
            <w:noProof/>
            <w:webHidden/>
          </w:rPr>
          <w:fldChar w:fldCharType="separate"/>
        </w:r>
        <w:r w:rsidR="00514931">
          <w:rPr>
            <w:noProof/>
            <w:webHidden/>
          </w:rPr>
          <w:t>18</w:t>
        </w:r>
        <w:r w:rsidR="00514931">
          <w:rPr>
            <w:noProof/>
            <w:webHidden/>
          </w:rPr>
          <w:fldChar w:fldCharType="end"/>
        </w:r>
      </w:hyperlink>
    </w:p>
    <w:p w:rsidR="00514931" w:rsidRDefault="001B0996">
      <w:pPr>
        <w:pStyle w:val="TOC3"/>
        <w:rPr>
          <w:rFonts w:eastAsiaTheme="minorEastAsia"/>
          <w:color w:val="auto"/>
          <w:kern w:val="0"/>
          <w:sz w:val="22"/>
          <w:szCs w:val="22"/>
          <w:lang w:eastAsia="en-AU"/>
        </w:rPr>
      </w:pPr>
      <w:hyperlink w:anchor="_Toc138065700" w:history="1">
        <w:r w:rsidR="00514931" w:rsidRPr="00DE15E8">
          <w:rPr>
            <w:rStyle w:val="Hyperlink"/>
          </w:rPr>
          <w:t>Demand forecasts</w:t>
        </w:r>
        <w:r w:rsidR="00514931">
          <w:rPr>
            <w:webHidden/>
          </w:rPr>
          <w:tab/>
        </w:r>
        <w:r w:rsidR="00514931">
          <w:rPr>
            <w:webHidden/>
          </w:rPr>
          <w:fldChar w:fldCharType="begin"/>
        </w:r>
        <w:r w:rsidR="00514931">
          <w:rPr>
            <w:webHidden/>
          </w:rPr>
          <w:instrText xml:space="preserve"> PAGEREF _Toc138065700 \h </w:instrText>
        </w:r>
        <w:r w:rsidR="00514931">
          <w:rPr>
            <w:webHidden/>
          </w:rPr>
        </w:r>
        <w:r w:rsidR="00514931">
          <w:rPr>
            <w:webHidden/>
          </w:rPr>
          <w:fldChar w:fldCharType="separate"/>
        </w:r>
        <w:r w:rsidR="00514931">
          <w:rPr>
            <w:webHidden/>
          </w:rPr>
          <w:t>18</w:t>
        </w:r>
        <w:r w:rsidR="00514931">
          <w:rPr>
            <w:webHidden/>
          </w:rPr>
          <w:fldChar w:fldCharType="end"/>
        </w:r>
      </w:hyperlink>
    </w:p>
    <w:p w:rsidR="00514931" w:rsidRDefault="001B0996">
      <w:pPr>
        <w:pStyle w:val="TOC3"/>
        <w:rPr>
          <w:rFonts w:eastAsiaTheme="minorEastAsia"/>
          <w:color w:val="auto"/>
          <w:kern w:val="0"/>
          <w:sz w:val="22"/>
          <w:szCs w:val="22"/>
          <w:lang w:eastAsia="en-AU"/>
        </w:rPr>
      </w:pPr>
      <w:hyperlink w:anchor="_Toc138065701" w:history="1">
        <w:r w:rsidR="00514931" w:rsidRPr="00DE15E8">
          <w:rPr>
            <w:rStyle w:val="Hyperlink"/>
          </w:rPr>
          <w:t>Benefits</w:t>
        </w:r>
        <w:r w:rsidR="00514931">
          <w:rPr>
            <w:webHidden/>
          </w:rPr>
          <w:tab/>
        </w:r>
        <w:r w:rsidR="00514931">
          <w:rPr>
            <w:webHidden/>
          </w:rPr>
          <w:fldChar w:fldCharType="begin"/>
        </w:r>
        <w:r w:rsidR="00514931">
          <w:rPr>
            <w:webHidden/>
          </w:rPr>
          <w:instrText xml:space="preserve"> PAGEREF _Toc138065701 \h </w:instrText>
        </w:r>
        <w:r w:rsidR="00514931">
          <w:rPr>
            <w:webHidden/>
          </w:rPr>
        </w:r>
        <w:r w:rsidR="00514931">
          <w:rPr>
            <w:webHidden/>
          </w:rPr>
          <w:fldChar w:fldCharType="separate"/>
        </w:r>
        <w:r w:rsidR="00514931">
          <w:rPr>
            <w:webHidden/>
          </w:rPr>
          <w:t>20</w:t>
        </w:r>
        <w:r w:rsidR="00514931">
          <w:rPr>
            <w:webHidden/>
          </w:rPr>
          <w:fldChar w:fldCharType="end"/>
        </w:r>
      </w:hyperlink>
    </w:p>
    <w:p w:rsidR="00514931" w:rsidRDefault="001B0996">
      <w:pPr>
        <w:pStyle w:val="TOC3"/>
        <w:rPr>
          <w:rFonts w:eastAsiaTheme="minorEastAsia"/>
          <w:color w:val="auto"/>
          <w:kern w:val="0"/>
          <w:sz w:val="22"/>
          <w:szCs w:val="22"/>
          <w:lang w:eastAsia="en-AU"/>
        </w:rPr>
      </w:pPr>
      <w:hyperlink w:anchor="_Toc138065702" w:history="1">
        <w:r w:rsidR="00514931" w:rsidRPr="00DE15E8">
          <w:rPr>
            <w:rStyle w:val="Hyperlink"/>
          </w:rPr>
          <w:t>Costs</w:t>
        </w:r>
        <w:r w:rsidR="00514931">
          <w:rPr>
            <w:webHidden/>
          </w:rPr>
          <w:tab/>
        </w:r>
        <w:r w:rsidR="00514931">
          <w:rPr>
            <w:webHidden/>
          </w:rPr>
          <w:tab/>
        </w:r>
        <w:r w:rsidR="00514931">
          <w:rPr>
            <w:webHidden/>
          </w:rPr>
          <w:fldChar w:fldCharType="begin"/>
        </w:r>
        <w:r w:rsidR="00514931">
          <w:rPr>
            <w:webHidden/>
          </w:rPr>
          <w:instrText xml:space="preserve"> PAGEREF _Toc138065702 \h </w:instrText>
        </w:r>
        <w:r w:rsidR="00514931">
          <w:rPr>
            <w:webHidden/>
          </w:rPr>
        </w:r>
        <w:r w:rsidR="00514931">
          <w:rPr>
            <w:webHidden/>
          </w:rPr>
          <w:fldChar w:fldCharType="separate"/>
        </w:r>
        <w:r w:rsidR="00514931">
          <w:rPr>
            <w:webHidden/>
          </w:rPr>
          <w:t>23</w:t>
        </w:r>
        <w:r w:rsidR="00514931">
          <w:rPr>
            <w:webHidden/>
          </w:rPr>
          <w:fldChar w:fldCharType="end"/>
        </w:r>
      </w:hyperlink>
    </w:p>
    <w:p w:rsidR="00514931" w:rsidRDefault="001B0996">
      <w:pPr>
        <w:pStyle w:val="TOC3"/>
        <w:rPr>
          <w:rFonts w:eastAsiaTheme="minorEastAsia"/>
          <w:color w:val="auto"/>
          <w:kern w:val="0"/>
          <w:sz w:val="22"/>
          <w:szCs w:val="22"/>
          <w:lang w:eastAsia="en-AU"/>
        </w:rPr>
      </w:pPr>
      <w:hyperlink w:anchor="_Toc138065703" w:history="1">
        <w:r w:rsidR="00514931" w:rsidRPr="00DE15E8">
          <w:rPr>
            <w:rStyle w:val="Hyperlink"/>
          </w:rPr>
          <w:t>Benefit-cost analysis results</w:t>
        </w:r>
        <w:r w:rsidR="00514931">
          <w:rPr>
            <w:webHidden/>
          </w:rPr>
          <w:tab/>
        </w:r>
        <w:r w:rsidR="00514931">
          <w:rPr>
            <w:webHidden/>
          </w:rPr>
          <w:fldChar w:fldCharType="begin"/>
        </w:r>
        <w:r w:rsidR="00514931">
          <w:rPr>
            <w:webHidden/>
          </w:rPr>
          <w:instrText xml:space="preserve"> PAGEREF _Toc138065703 \h </w:instrText>
        </w:r>
        <w:r w:rsidR="00514931">
          <w:rPr>
            <w:webHidden/>
          </w:rPr>
        </w:r>
        <w:r w:rsidR="00514931">
          <w:rPr>
            <w:webHidden/>
          </w:rPr>
          <w:fldChar w:fldCharType="separate"/>
        </w:r>
        <w:r w:rsidR="00514931">
          <w:rPr>
            <w:webHidden/>
          </w:rPr>
          <w:t>25</w:t>
        </w:r>
        <w:r w:rsidR="00514931">
          <w:rPr>
            <w:webHidden/>
          </w:rPr>
          <w:fldChar w:fldCharType="end"/>
        </w:r>
      </w:hyperlink>
    </w:p>
    <w:p w:rsidR="00514931" w:rsidRDefault="001B0996">
      <w:pPr>
        <w:pStyle w:val="TOC3"/>
        <w:rPr>
          <w:rFonts w:eastAsiaTheme="minorEastAsia"/>
          <w:color w:val="auto"/>
          <w:kern w:val="0"/>
          <w:sz w:val="22"/>
          <w:szCs w:val="22"/>
          <w:lang w:eastAsia="en-AU"/>
        </w:rPr>
      </w:pPr>
      <w:hyperlink w:anchor="_Toc138065704" w:history="1">
        <w:r w:rsidR="00514931" w:rsidRPr="00DE15E8">
          <w:rPr>
            <w:rStyle w:val="Hyperlink"/>
          </w:rPr>
          <w:t>Sensitivity analysis</w:t>
        </w:r>
        <w:r w:rsidR="00514931">
          <w:rPr>
            <w:webHidden/>
          </w:rPr>
          <w:tab/>
        </w:r>
        <w:r w:rsidR="00514931">
          <w:rPr>
            <w:webHidden/>
          </w:rPr>
          <w:fldChar w:fldCharType="begin"/>
        </w:r>
        <w:r w:rsidR="00514931">
          <w:rPr>
            <w:webHidden/>
          </w:rPr>
          <w:instrText xml:space="preserve"> PAGEREF _Toc138065704 \h </w:instrText>
        </w:r>
        <w:r w:rsidR="00514931">
          <w:rPr>
            <w:webHidden/>
          </w:rPr>
        </w:r>
        <w:r w:rsidR="00514931">
          <w:rPr>
            <w:webHidden/>
          </w:rPr>
          <w:fldChar w:fldCharType="separate"/>
        </w:r>
        <w:r w:rsidR="00514931">
          <w:rPr>
            <w:webHidden/>
          </w:rPr>
          <w:t>25</w:t>
        </w:r>
        <w:r w:rsidR="00514931">
          <w:rPr>
            <w:webHidden/>
          </w:rPr>
          <w:fldChar w:fldCharType="end"/>
        </w:r>
      </w:hyperlink>
    </w:p>
    <w:p w:rsidR="00514931" w:rsidRDefault="001B0996">
      <w:pPr>
        <w:pStyle w:val="TOC2"/>
        <w:rPr>
          <w:rFonts w:eastAsiaTheme="minorEastAsia"/>
          <w:noProof/>
          <w:color w:val="auto"/>
          <w:kern w:val="0"/>
          <w:sz w:val="22"/>
          <w:szCs w:val="22"/>
          <w:lang w:eastAsia="en-AU"/>
        </w:rPr>
      </w:pPr>
      <w:hyperlink w:anchor="_Toc138065705" w:history="1">
        <w:r w:rsidR="00514931" w:rsidRPr="00DE15E8">
          <w:rPr>
            <w:rStyle w:val="Hyperlink"/>
            <w:noProof/>
          </w:rPr>
          <w:t>Distribution of the benefits and costs</w:t>
        </w:r>
        <w:r w:rsidR="00514931">
          <w:rPr>
            <w:noProof/>
            <w:webHidden/>
          </w:rPr>
          <w:tab/>
        </w:r>
        <w:r w:rsidR="00514931">
          <w:rPr>
            <w:noProof/>
            <w:webHidden/>
          </w:rPr>
          <w:fldChar w:fldCharType="begin"/>
        </w:r>
        <w:r w:rsidR="00514931">
          <w:rPr>
            <w:noProof/>
            <w:webHidden/>
          </w:rPr>
          <w:instrText xml:space="preserve"> PAGEREF _Toc138065705 \h </w:instrText>
        </w:r>
        <w:r w:rsidR="00514931">
          <w:rPr>
            <w:noProof/>
            <w:webHidden/>
          </w:rPr>
        </w:r>
        <w:r w:rsidR="00514931">
          <w:rPr>
            <w:noProof/>
            <w:webHidden/>
          </w:rPr>
          <w:fldChar w:fldCharType="separate"/>
        </w:r>
        <w:r w:rsidR="00514931">
          <w:rPr>
            <w:noProof/>
            <w:webHidden/>
          </w:rPr>
          <w:t>27</w:t>
        </w:r>
        <w:r w:rsidR="00514931">
          <w:rPr>
            <w:noProof/>
            <w:webHidden/>
          </w:rPr>
          <w:fldChar w:fldCharType="end"/>
        </w:r>
      </w:hyperlink>
    </w:p>
    <w:p w:rsidR="00514931" w:rsidRDefault="001B0996">
      <w:pPr>
        <w:pStyle w:val="TOC3"/>
        <w:rPr>
          <w:rFonts w:eastAsiaTheme="minorEastAsia"/>
          <w:color w:val="auto"/>
          <w:kern w:val="0"/>
          <w:sz w:val="22"/>
          <w:szCs w:val="22"/>
          <w:lang w:eastAsia="en-AU"/>
        </w:rPr>
      </w:pPr>
      <w:hyperlink w:anchor="_Toc138065706" w:history="1">
        <w:r w:rsidR="00514931" w:rsidRPr="00DE15E8">
          <w:rPr>
            <w:rStyle w:val="Hyperlink"/>
          </w:rPr>
          <w:t>Impact of viable options</w:t>
        </w:r>
        <w:r w:rsidR="00514931">
          <w:rPr>
            <w:webHidden/>
          </w:rPr>
          <w:tab/>
        </w:r>
        <w:r w:rsidR="00514931">
          <w:rPr>
            <w:webHidden/>
          </w:rPr>
          <w:fldChar w:fldCharType="begin"/>
        </w:r>
        <w:r w:rsidR="00514931">
          <w:rPr>
            <w:webHidden/>
          </w:rPr>
          <w:instrText xml:space="preserve"> PAGEREF _Toc138065706 \h </w:instrText>
        </w:r>
        <w:r w:rsidR="00514931">
          <w:rPr>
            <w:webHidden/>
          </w:rPr>
        </w:r>
        <w:r w:rsidR="00514931">
          <w:rPr>
            <w:webHidden/>
          </w:rPr>
          <w:fldChar w:fldCharType="separate"/>
        </w:r>
        <w:r w:rsidR="00514931">
          <w:rPr>
            <w:webHidden/>
          </w:rPr>
          <w:t>27</w:t>
        </w:r>
        <w:r w:rsidR="00514931">
          <w:rPr>
            <w:webHidden/>
          </w:rPr>
          <w:fldChar w:fldCharType="end"/>
        </w:r>
      </w:hyperlink>
    </w:p>
    <w:p w:rsidR="00514931" w:rsidRDefault="001B0996">
      <w:pPr>
        <w:pStyle w:val="TOC1"/>
        <w:rPr>
          <w:rFonts w:eastAsiaTheme="minorEastAsia"/>
          <w:b w:val="0"/>
          <w:noProof/>
          <w:color w:val="auto"/>
          <w:kern w:val="0"/>
          <w:sz w:val="22"/>
          <w:szCs w:val="22"/>
          <w:u w:val="none"/>
          <w:lang w:eastAsia="en-AU"/>
        </w:rPr>
      </w:pPr>
      <w:hyperlink w:anchor="_Toc138065707" w:history="1">
        <w:r w:rsidR="00514931" w:rsidRPr="00DE15E8">
          <w:rPr>
            <w:rStyle w:val="Hyperlink"/>
            <w:noProof/>
          </w:rPr>
          <w:t>Chapter 6: Consultation</w:t>
        </w:r>
        <w:r w:rsidR="00514931">
          <w:rPr>
            <w:noProof/>
            <w:webHidden/>
          </w:rPr>
          <w:tab/>
        </w:r>
        <w:r w:rsidR="00514931">
          <w:rPr>
            <w:noProof/>
            <w:webHidden/>
          </w:rPr>
          <w:fldChar w:fldCharType="begin"/>
        </w:r>
        <w:r w:rsidR="00514931">
          <w:rPr>
            <w:noProof/>
            <w:webHidden/>
          </w:rPr>
          <w:instrText xml:space="preserve"> PAGEREF _Toc138065707 \h </w:instrText>
        </w:r>
        <w:r w:rsidR="00514931">
          <w:rPr>
            <w:noProof/>
            <w:webHidden/>
          </w:rPr>
        </w:r>
        <w:r w:rsidR="00514931">
          <w:rPr>
            <w:noProof/>
            <w:webHidden/>
          </w:rPr>
          <w:fldChar w:fldCharType="separate"/>
        </w:r>
        <w:r w:rsidR="00514931">
          <w:rPr>
            <w:noProof/>
            <w:webHidden/>
          </w:rPr>
          <w:t>34</w:t>
        </w:r>
        <w:r w:rsidR="00514931">
          <w:rPr>
            <w:noProof/>
            <w:webHidden/>
          </w:rPr>
          <w:fldChar w:fldCharType="end"/>
        </w:r>
      </w:hyperlink>
    </w:p>
    <w:p w:rsidR="00514931" w:rsidRDefault="001B0996">
      <w:pPr>
        <w:pStyle w:val="TOC2"/>
        <w:rPr>
          <w:rFonts w:eastAsiaTheme="minorEastAsia"/>
          <w:noProof/>
          <w:color w:val="auto"/>
          <w:kern w:val="0"/>
          <w:sz w:val="22"/>
          <w:szCs w:val="22"/>
          <w:lang w:eastAsia="en-AU"/>
        </w:rPr>
      </w:pPr>
      <w:hyperlink w:anchor="_Toc138065708" w:history="1">
        <w:r w:rsidR="00514931" w:rsidRPr="00DE15E8">
          <w:rPr>
            <w:rStyle w:val="Hyperlink"/>
            <w:noProof/>
          </w:rPr>
          <w:t>General consultation arrangements and committees</w:t>
        </w:r>
        <w:r w:rsidR="00514931">
          <w:rPr>
            <w:noProof/>
            <w:webHidden/>
          </w:rPr>
          <w:tab/>
        </w:r>
        <w:r w:rsidR="00514931">
          <w:rPr>
            <w:noProof/>
            <w:webHidden/>
          </w:rPr>
          <w:fldChar w:fldCharType="begin"/>
        </w:r>
        <w:r w:rsidR="00514931">
          <w:rPr>
            <w:noProof/>
            <w:webHidden/>
          </w:rPr>
          <w:instrText xml:space="preserve"> PAGEREF _Toc138065708 \h </w:instrText>
        </w:r>
        <w:r w:rsidR="00514931">
          <w:rPr>
            <w:noProof/>
            <w:webHidden/>
          </w:rPr>
        </w:r>
        <w:r w:rsidR="00514931">
          <w:rPr>
            <w:noProof/>
            <w:webHidden/>
          </w:rPr>
          <w:fldChar w:fldCharType="separate"/>
        </w:r>
        <w:r w:rsidR="00514931">
          <w:rPr>
            <w:noProof/>
            <w:webHidden/>
          </w:rPr>
          <w:t>34</w:t>
        </w:r>
        <w:r w:rsidR="00514931">
          <w:rPr>
            <w:noProof/>
            <w:webHidden/>
          </w:rPr>
          <w:fldChar w:fldCharType="end"/>
        </w:r>
      </w:hyperlink>
    </w:p>
    <w:p w:rsidR="00514931" w:rsidRDefault="001B0996">
      <w:pPr>
        <w:pStyle w:val="TOC2"/>
        <w:rPr>
          <w:rFonts w:eastAsiaTheme="minorEastAsia"/>
          <w:noProof/>
          <w:color w:val="auto"/>
          <w:kern w:val="0"/>
          <w:sz w:val="22"/>
          <w:szCs w:val="22"/>
          <w:lang w:eastAsia="en-AU"/>
        </w:rPr>
      </w:pPr>
      <w:hyperlink w:anchor="_Toc138065709" w:history="1">
        <w:r w:rsidR="00514931" w:rsidRPr="00DE15E8">
          <w:rPr>
            <w:rStyle w:val="Hyperlink"/>
            <w:noProof/>
          </w:rPr>
          <w:t>Public comment</w:t>
        </w:r>
        <w:r w:rsidR="00514931">
          <w:rPr>
            <w:noProof/>
            <w:webHidden/>
          </w:rPr>
          <w:tab/>
        </w:r>
        <w:r w:rsidR="00514931">
          <w:rPr>
            <w:noProof/>
            <w:webHidden/>
          </w:rPr>
          <w:fldChar w:fldCharType="begin"/>
        </w:r>
        <w:r w:rsidR="00514931">
          <w:rPr>
            <w:noProof/>
            <w:webHidden/>
          </w:rPr>
          <w:instrText xml:space="preserve"> PAGEREF _Toc138065709 \h </w:instrText>
        </w:r>
        <w:r w:rsidR="00514931">
          <w:rPr>
            <w:noProof/>
            <w:webHidden/>
          </w:rPr>
        </w:r>
        <w:r w:rsidR="00514931">
          <w:rPr>
            <w:noProof/>
            <w:webHidden/>
          </w:rPr>
          <w:fldChar w:fldCharType="separate"/>
        </w:r>
        <w:r w:rsidR="00514931">
          <w:rPr>
            <w:noProof/>
            <w:webHidden/>
          </w:rPr>
          <w:t>34</w:t>
        </w:r>
        <w:r w:rsidR="00514931">
          <w:rPr>
            <w:noProof/>
            <w:webHidden/>
          </w:rPr>
          <w:fldChar w:fldCharType="end"/>
        </w:r>
      </w:hyperlink>
    </w:p>
    <w:p w:rsidR="00514931" w:rsidRDefault="001B0996">
      <w:pPr>
        <w:pStyle w:val="TOC2"/>
        <w:rPr>
          <w:rFonts w:eastAsiaTheme="minorEastAsia"/>
          <w:noProof/>
          <w:color w:val="auto"/>
          <w:kern w:val="0"/>
          <w:sz w:val="22"/>
          <w:szCs w:val="22"/>
          <w:lang w:eastAsia="en-AU"/>
        </w:rPr>
      </w:pPr>
      <w:hyperlink w:anchor="_Toc138065710" w:history="1">
        <w:r w:rsidR="00514931" w:rsidRPr="00DE15E8">
          <w:rPr>
            <w:rStyle w:val="Hyperlink"/>
            <w:noProof/>
          </w:rPr>
          <w:t>Informal Working Group on Safer Freight Vehicles</w:t>
        </w:r>
        <w:r w:rsidR="00514931">
          <w:rPr>
            <w:noProof/>
            <w:webHidden/>
          </w:rPr>
          <w:tab/>
        </w:r>
        <w:r w:rsidR="00514931">
          <w:rPr>
            <w:noProof/>
            <w:webHidden/>
          </w:rPr>
          <w:fldChar w:fldCharType="begin"/>
        </w:r>
        <w:r w:rsidR="00514931">
          <w:rPr>
            <w:noProof/>
            <w:webHidden/>
          </w:rPr>
          <w:instrText xml:space="preserve"> PAGEREF _Toc138065710 \h </w:instrText>
        </w:r>
        <w:r w:rsidR="00514931">
          <w:rPr>
            <w:noProof/>
            <w:webHidden/>
          </w:rPr>
        </w:r>
        <w:r w:rsidR="00514931">
          <w:rPr>
            <w:noProof/>
            <w:webHidden/>
          </w:rPr>
          <w:fldChar w:fldCharType="separate"/>
        </w:r>
        <w:r w:rsidR="00514931">
          <w:rPr>
            <w:noProof/>
            <w:webHidden/>
          </w:rPr>
          <w:t>35</w:t>
        </w:r>
        <w:r w:rsidR="00514931">
          <w:rPr>
            <w:noProof/>
            <w:webHidden/>
          </w:rPr>
          <w:fldChar w:fldCharType="end"/>
        </w:r>
      </w:hyperlink>
    </w:p>
    <w:p w:rsidR="00514931" w:rsidRDefault="001B0996">
      <w:pPr>
        <w:pStyle w:val="TOC2"/>
        <w:rPr>
          <w:rFonts w:eastAsiaTheme="minorEastAsia"/>
          <w:noProof/>
          <w:color w:val="auto"/>
          <w:kern w:val="0"/>
          <w:sz w:val="22"/>
          <w:szCs w:val="22"/>
          <w:lang w:eastAsia="en-AU"/>
        </w:rPr>
      </w:pPr>
      <w:hyperlink w:anchor="_Toc138065711" w:history="1">
        <w:r w:rsidR="00514931" w:rsidRPr="00DE15E8">
          <w:rPr>
            <w:rStyle w:val="Hyperlink"/>
            <w:noProof/>
          </w:rPr>
          <w:t>SVSEG and TLG</w:t>
        </w:r>
        <w:r w:rsidR="00514931">
          <w:rPr>
            <w:noProof/>
            <w:webHidden/>
          </w:rPr>
          <w:tab/>
        </w:r>
        <w:r w:rsidR="00514931">
          <w:rPr>
            <w:noProof/>
            <w:webHidden/>
          </w:rPr>
          <w:fldChar w:fldCharType="begin"/>
        </w:r>
        <w:r w:rsidR="00514931">
          <w:rPr>
            <w:noProof/>
            <w:webHidden/>
          </w:rPr>
          <w:instrText xml:space="preserve"> PAGEREF _Toc138065711 \h </w:instrText>
        </w:r>
        <w:r w:rsidR="00514931">
          <w:rPr>
            <w:noProof/>
            <w:webHidden/>
          </w:rPr>
        </w:r>
        <w:r w:rsidR="00514931">
          <w:rPr>
            <w:noProof/>
            <w:webHidden/>
          </w:rPr>
          <w:fldChar w:fldCharType="separate"/>
        </w:r>
        <w:r w:rsidR="00514931">
          <w:rPr>
            <w:noProof/>
            <w:webHidden/>
          </w:rPr>
          <w:t>35</w:t>
        </w:r>
        <w:r w:rsidR="00514931">
          <w:rPr>
            <w:noProof/>
            <w:webHidden/>
          </w:rPr>
          <w:fldChar w:fldCharType="end"/>
        </w:r>
      </w:hyperlink>
    </w:p>
    <w:p w:rsidR="00514931" w:rsidRDefault="001B0996">
      <w:pPr>
        <w:pStyle w:val="TOC2"/>
        <w:rPr>
          <w:rFonts w:eastAsiaTheme="minorEastAsia"/>
          <w:noProof/>
          <w:color w:val="auto"/>
          <w:kern w:val="0"/>
          <w:sz w:val="22"/>
          <w:szCs w:val="22"/>
          <w:lang w:eastAsia="en-AU"/>
        </w:rPr>
      </w:pPr>
      <w:hyperlink w:anchor="_Toc138065712" w:history="1">
        <w:r w:rsidR="00514931" w:rsidRPr="00DE15E8">
          <w:rPr>
            <w:rStyle w:val="Hyperlink"/>
            <w:noProof/>
          </w:rPr>
          <w:t>ITMM</w:t>
        </w:r>
        <w:r w:rsidR="00514931">
          <w:rPr>
            <w:noProof/>
            <w:webHidden/>
          </w:rPr>
          <w:tab/>
        </w:r>
        <w:r w:rsidR="00514931">
          <w:rPr>
            <w:noProof/>
            <w:webHidden/>
          </w:rPr>
          <w:tab/>
        </w:r>
        <w:r w:rsidR="00514931">
          <w:rPr>
            <w:noProof/>
            <w:webHidden/>
          </w:rPr>
          <w:fldChar w:fldCharType="begin"/>
        </w:r>
        <w:r w:rsidR="00514931">
          <w:rPr>
            <w:noProof/>
            <w:webHidden/>
          </w:rPr>
          <w:instrText xml:space="preserve"> PAGEREF _Toc138065712 \h </w:instrText>
        </w:r>
        <w:r w:rsidR="00514931">
          <w:rPr>
            <w:noProof/>
            <w:webHidden/>
          </w:rPr>
        </w:r>
        <w:r w:rsidR="00514931">
          <w:rPr>
            <w:noProof/>
            <w:webHidden/>
          </w:rPr>
          <w:fldChar w:fldCharType="separate"/>
        </w:r>
        <w:r w:rsidR="00514931">
          <w:rPr>
            <w:noProof/>
            <w:webHidden/>
          </w:rPr>
          <w:t>36</w:t>
        </w:r>
        <w:r w:rsidR="00514931">
          <w:rPr>
            <w:noProof/>
            <w:webHidden/>
          </w:rPr>
          <w:fldChar w:fldCharType="end"/>
        </w:r>
      </w:hyperlink>
    </w:p>
    <w:p w:rsidR="00514931" w:rsidRPr="00514931" w:rsidRDefault="00514931">
      <w:pPr>
        <w:suppressAutoHyphens w:val="0"/>
        <w:rPr>
          <w:rStyle w:val="Hyperlink"/>
          <w:b/>
          <w:noProof/>
          <w:color w:val="auto"/>
          <w:sz w:val="24"/>
          <w:u w:color="4BB3B5" w:themeColor="accent2"/>
        </w:rPr>
      </w:pPr>
      <w:r>
        <w:rPr>
          <w:rStyle w:val="Hyperlink"/>
          <w:noProof/>
        </w:rPr>
        <w:br w:type="page"/>
      </w:r>
    </w:p>
    <w:p w:rsidR="00514931" w:rsidRDefault="001B0996">
      <w:pPr>
        <w:pStyle w:val="TOC1"/>
        <w:rPr>
          <w:rFonts w:eastAsiaTheme="minorEastAsia"/>
          <w:b w:val="0"/>
          <w:noProof/>
          <w:color w:val="auto"/>
          <w:kern w:val="0"/>
          <w:sz w:val="22"/>
          <w:szCs w:val="22"/>
          <w:u w:val="none"/>
          <w:lang w:eastAsia="en-AU"/>
        </w:rPr>
      </w:pPr>
      <w:hyperlink w:anchor="_Toc138065713" w:history="1">
        <w:r w:rsidR="00514931" w:rsidRPr="00DE15E8">
          <w:rPr>
            <w:rStyle w:val="Hyperlink"/>
            <w:noProof/>
          </w:rPr>
          <w:t>Chapter 7: What is the best option?</w:t>
        </w:r>
        <w:r w:rsidR="00514931">
          <w:rPr>
            <w:noProof/>
            <w:webHidden/>
          </w:rPr>
          <w:tab/>
        </w:r>
        <w:r w:rsidR="00514931">
          <w:rPr>
            <w:noProof/>
            <w:webHidden/>
          </w:rPr>
          <w:fldChar w:fldCharType="begin"/>
        </w:r>
        <w:r w:rsidR="00514931">
          <w:rPr>
            <w:noProof/>
            <w:webHidden/>
          </w:rPr>
          <w:instrText xml:space="preserve"> PAGEREF _Toc138065713 \h </w:instrText>
        </w:r>
        <w:r w:rsidR="00514931">
          <w:rPr>
            <w:noProof/>
            <w:webHidden/>
          </w:rPr>
        </w:r>
        <w:r w:rsidR="00514931">
          <w:rPr>
            <w:noProof/>
            <w:webHidden/>
          </w:rPr>
          <w:fldChar w:fldCharType="separate"/>
        </w:r>
        <w:r w:rsidR="00514931">
          <w:rPr>
            <w:noProof/>
            <w:webHidden/>
          </w:rPr>
          <w:t>37</w:t>
        </w:r>
        <w:r w:rsidR="00514931">
          <w:rPr>
            <w:noProof/>
            <w:webHidden/>
          </w:rPr>
          <w:fldChar w:fldCharType="end"/>
        </w:r>
      </w:hyperlink>
    </w:p>
    <w:p w:rsidR="00514931" w:rsidRDefault="001B0996">
      <w:pPr>
        <w:pStyle w:val="TOC2"/>
        <w:rPr>
          <w:rFonts w:eastAsiaTheme="minorEastAsia"/>
          <w:noProof/>
          <w:color w:val="auto"/>
          <w:kern w:val="0"/>
          <w:sz w:val="22"/>
          <w:szCs w:val="22"/>
          <w:lang w:eastAsia="en-AU"/>
        </w:rPr>
      </w:pPr>
      <w:hyperlink w:anchor="_Toc138065714" w:history="1">
        <w:r w:rsidR="00514931" w:rsidRPr="00DE15E8">
          <w:rPr>
            <w:rStyle w:val="Hyperlink"/>
            <w:noProof/>
          </w:rPr>
          <w:t>Net benefits</w:t>
        </w:r>
        <w:r w:rsidR="00514931">
          <w:rPr>
            <w:noProof/>
            <w:webHidden/>
          </w:rPr>
          <w:tab/>
        </w:r>
        <w:r w:rsidR="00514931">
          <w:rPr>
            <w:noProof/>
            <w:webHidden/>
          </w:rPr>
          <w:fldChar w:fldCharType="begin"/>
        </w:r>
        <w:r w:rsidR="00514931">
          <w:rPr>
            <w:noProof/>
            <w:webHidden/>
          </w:rPr>
          <w:instrText xml:space="preserve"> PAGEREF _Toc138065714 \h </w:instrText>
        </w:r>
        <w:r w:rsidR="00514931">
          <w:rPr>
            <w:noProof/>
            <w:webHidden/>
          </w:rPr>
        </w:r>
        <w:r w:rsidR="00514931">
          <w:rPr>
            <w:noProof/>
            <w:webHidden/>
          </w:rPr>
          <w:fldChar w:fldCharType="separate"/>
        </w:r>
        <w:r w:rsidR="00514931">
          <w:rPr>
            <w:noProof/>
            <w:webHidden/>
          </w:rPr>
          <w:t>37</w:t>
        </w:r>
        <w:r w:rsidR="00514931">
          <w:rPr>
            <w:noProof/>
            <w:webHidden/>
          </w:rPr>
          <w:fldChar w:fldCharType="end"/>
        </w:r>
      </w:hyperlink>
    </w:p>
    <w:p w:rsidR="00514931" w:rsidRDefault="001B0996">
      <w:pPr>
        <w:pStyle w:val="TOC2"/>
        <w:rPr>
          <w:rFonts w:eastAsiaTheme="minorEastAsia"/>
          <w:noProof/>
          <w:color w:val="auto"/>
          <w:kern w:val="0"/>
          <w:sz w:val="22"/>
          <w:szCs w:val="22"/>
          <w:lang w:eastAsia="en-AU"/>
        </w:rPr>
      </w:pPr>
      <w:hyperlink w:anchor="_Toc138065715" w:history="1">
        <w:r w:rsidR="00514931" w:rsidRPr="00DE15E8">
          <w:rPr>
            <w:rStyle w:val="Hyperlink"/>
            <w:noProof/>
          </w:rPr>
          <w:t>Discussion</w:t>
        </w:r>
        <w:r w:rsidR="00514931">
          <w:rPr>
            <w:noProof/>
            <w:webHidden/>
          </w:rPr>
          <w:tab/>
        </w:r>
        <w:r w:rsidR="00514931">
          <w:rPr>
            <w:noProof/>
            <w:webHidden/>
          </w:rPr>
          <w:fldChar w:fldCharType="begin"/>
        </w:r>
        <w:r w:rsidR="00514931">
          <w:rPr>
            <w:noProof/>
            <w:webHidden/>
          </w:rPr>
          <w:instrText xml:space="preserve"> PAGEREF _Toc138065715 \h </w:instrText>
        </w:r>
        <w:r w:rsidR="00514931">
          <w:rPr>
            <w:noProof/>
            <w:webHidden/>
          </w:rPr>
        </w:r>
        <w:r w:rsidR="00514931">
          <w:rPr>
            <w:noProof/>
            <w:webHidden/>
          </w:rPr>
          <w:fldChar w:fldCharType="separate"/>
        </w:r>
        <w:r w:rsidR="00514931">
          <w:rPr>
            <w:noProof/>
            <w:webHidden/>
          </w:rPr>
          <w:t>37</w:t>
        </w:r>
        <w:r w:rsidR="00514931">
          <w:rPr>
            <w:noProof/>
            <w:webHidden/>
          </w:rPr>
          <w:fldChar w:fldCharType="end"/>
        </w:r>
      </w:hyperlink>
    </w:p>
    <w:p w:rsidR="00514931" w:rsidRDefault="001B0996">
      <w:pPr>
        <w:pStyle w:val="TOC2"/>
        <w:rPr>
          <w:rFonts w:eastAsiaTheme="minorEastAsia"/>
          <w:noProof/>
          <w:color w:val="auto"/>
          <w:kern w:val="0"/>
          <w:sz w:val="22"/>
          <w:szCs w:val="22"/>
          <w:lang w:eastAsia="en-AU"/>
        </w:rPr>
      </w:pPr>
      <w:hyperlink w:anchor="_Toc138065716" w:history="1">
        <w:r w:rsidR="00514931" w:rsidRPr="00DE15E8">
          <w:rPr>
            <w:rStyle w:val="Hyperlink"/>
            <w:noProof/>
          </w:rPr>
          <w:t>Recommendations</w:t>
        </w:r>
        <w:r w:rsidR="00514931">
          <w:rPr>
            <w:noProof/>
            <w:webHidden/>
          </w:rPr>
          <w:tab/>
        </w:r>
        <w:r w:rsidR="00514931">
          <w:rPr>
            <w:noProof/>
            <w:webHidden/>
          </w:rPr>
          <w:fldChar w:fldCharType="begin"/>
        </w:r>
        <w:r w:rsidR="00514931">
          <w:rPr>
            <w:noProof/>
            <w:webHidden/>
          </w:rPr>
          <w:instrText xml:space="preserve"> PAGEREF _Toc138065716 \h </w:instrText>
        </w:r>
        <w:r w:rsidR="00514931">
          <w:rPr>
            <w:noProof/>
            <w:webHidden/>
          </w:rPr>
        </w:r>
        <w:r w:rsidR="00514931">
          <w:rPr>
            <w:noProof/>
            <w:webHidden/>
          </w:rPr>
          <w:fldChar w:fldCharType="separate"/>
        </w:r>
        <w:r w:rsidR="00514931">
          <w:rPr>
            <w:noProof/>
            <w:webHidden/>
          </w:rPr>
          <w:t>38</w:t>
        </w:r>
        <w:r w:rsidR="00514931">
          <w:rPr>
            <w:noProof/>
            <w:webHidden/>
          </w:rPr>
          <w:fldChar w:fldCharType="end"/>
        </w:r>
      </w:hyperlink>
    </w:p>
    <w:p w:rsidR="00514931" w:rsidRDefault="001B0996">
      <w:pPr>
        <w:pStyle w:val="TOC1"/>
        <w:rPr>
          <w:rFonts w:eastAsiaTheme="minorEastAsia"/>
          <w:b w:val="0"/>
          <w:noProof/>
          <w:color w:val="auto"/>
          <w:kern w:val="0"/>
          <w:sz w:val="22"/>
          <w:szCs w:val="22"/>
          <w:u w:val="none"/>
          <w:lang w:eastAsia="en-AU"/>
        </w:rPr>
      </w:pPr>
      <w:hyperlink w:anchor="_Toc138065717" w:history="1">
        <w:r w:rsidR="00514931" w:rsidRPr="00DE15E8">
          <w:rPr>
            <w:rStyle w:val="Hyperlink"/>
            <w:noProof/>
          </w:rPr>
          <w:t>Chapter 8: Implementation and evaluation</w:t>
        </w:r>
        <w:r w:rsidR="00514931">
          <w:rPr>
            <w:noProof/>
            <w:webHidden/>
          </w:rPr>
          <w:tab/>
        </w:r>
        <w:r w:rsidR="00514931">
          <w:rPr>
            <w:noProof/>
            <w:webHidden/>
          </w:rPr>
          <w:fldChar w:fldCharType="begin"/>
        </w:r>
        <w:r w:rsidR="00514931">
          <w:rPr>
            <w:noProof/>
            <w:webHidden/>
          </w:rPr>
          <w:instrText xml:space="preserve"> PAGEREF _Toc138065717 \h </w:instrText>
        </w:r>
        <w:r w:rsidR="00514931">
          <w:rPr>
            <w:noProof/>
            <w:webHidden/>
          </w:rPr>
        </w:r>
        <w:r w:rsidR="00514931">
          <w:rPr>
            <w:noProof/>
            <w:webHidden/>
          </w:rPr>
          <w:fldChar w:fldCharType="separate"/>
        </w:r>
        <w:r w:rsidR="00514931">
          <w:rPr>
            <w:noProof/>
            <w:webHidden/>
          </w:rPr>
          <w:t>39</w:t>
        </w:r>
        <w:r w:rsidR="00514931">
          <w:rPr>
            <w:noProof/>
            <w:webHidden/>
          </w:rPr>
          <w:fldChar w:fldCharType="end"/>
        </w:r>
      </w:hyperlink>
    </w:p>
    <w:p w:rsidR="00514931" w:rsidRDefault="001B0996">
      <w:pPr>
        <w:pStyle w:val="TOC2"/>
        <w:rPr>
          <w:rFonts w:eastAsiaTheme="minorEastAsia"/>
          <w:noProof/>
          <w:color w:val="auto"/>
          <w:kern w:val="0"/>
          <w:sz w:val="22"/>
          <w:szCs w:val="22"/>
          <w:lang w:eastAsia="en-AU"/>
        </w:rPr>
      </w:pPr>
      <w:hyperlink w:anchor="_Toc138065718" w:history="1">
        <w:r w:rsidR="00514931" w:rsidRPr="00DE15E8">
          <w:rPr>
            <w:rStyle w:val="Hyperlink"/>
            <w:noProof/>
          </w:rPr>
          <w:t>Implementation of updated standards</w:t>
        </w:r>
        <w:r w:rsidR="00514931">
          <w:rPr>
            <w:noProof/>
            <w:webHidden/>
          </w:rPr>
          <w:tab/>
        </w:r>
        <w:r w:rsidR="00514931">
          <w:rPr>
            <w:noProof/>
            <w:webHidden/>
          </w:rPr>
          <w:fldChar w:fldCharType="begin"/>
        </w:r>
        <w:r w:rsidR="00514931">
          <w:rPr>
            <w:noProof/>
            <w:webHidden/>
          </w:rPr>
          <w:instrText xml:space="preserve"> PAGEREF _Toc138065718 \h </w:instrText>
        </w:r>
        <w:r w:rsidR="00514931">
          <w:rPr>
            <w:noProof/>
            <w:webHidden/>
          </w:rPr>
        </w:r>
        <w:r w:rsidR="00514931">
          <w:rPr>
            <w:noProof/>
            <w:webHidden/>
          </w:rPr>
          <w:fldChar w:fldCharType="separate"/>
        </w:r>
        <w:r w:rsidR="00514931">
          <w:rPr>
            <w:noProof/>
            <w:webHidden/>
          </w:rPr>
          <w:t>39</w:t>
        </w:r>
        <w:r w:rsidR="00514931">
          <w:rPr>
            <w:noProof/>
            <w:webHidden/>
          </w:rPr>
          <w:fldChar w:fldCharType="end"/>
        </w:r>
      </w:hyperlink>
    </w:p>
    <w:p w:rsidR="00514931" w:rsidRDefault="001B0996">
      <w:pPr>
        <w:pStyle w:val="TOC2"/>
        <w:rPr>
          <w:rFonts w:eastAsiaTheme="minorEastAsia"/>
          <w:noProof/>
          <w:color w:val="auto"/>
          <w:kern w:val="0"/>
          <w:sz w:val="22"/>
          <w:szCs w:val="22"/>
          <w:lang w:eastAsia="en-AU"/>
        </w:rPr>
      </w:pPr>
      <w:hyperlink w:anchor="_Toc138065719" w:history="1">
        <w:r w:rsidR="00514931" w:rsidRPr="00DE15E8">
          <w:rPr>
            <w:rStyle w:val="Hyperlink"/>
            <w:noProof/>
          </w:rPr>
          <w:t>Implementation risks</w:t>
        </w:r>
        <w:r w:rsidR="00514931">
          <w:rPr>
            <w:noProof/>
            <w:webHidden/>
          </w:rPr>
          <w:tab/>
        </w:r>
        <w:r w:rsidR="00514931">
          <w:rPr>
            <w:noProof/>
            <w:webHidden/>
          </w:rPr>
          <w:fldChar w:fldCharType="begin"/>
        </w:r>
        <w:r w:rsidR="00514931">
          <w:rPr>
            <w:noProof/>
            <w:webHidden/>
          </w:rPr>
          <w:instrText xml:space="preserve"> PAGEREF _Toc138065719 \h </w:instrText>
        </w:r>
        <w:r w:rsidR="00514931">
          <w:rPr>
            <w:noProof/>
            <w:webHidden/>
          </w:rPr>
        </w:r>
        <w:r w:rsidR="00514931">
          <w:rPr>
            <w:noProof/>
            <w:webHidden/>
          </w:rPr>
          <w:fldChar w:fldCharType="separate"/>
        </w:r>
        <w:r w:rsidR="00514931">
          <w:rPr>
            <w:noProof/>
            <w:webHidden/>
          </w:rPr>
          <w:t>39</w:t>
        </w:r>
        <w:r w:rsidR="00514931">
          <w:rPr>
            <w:noProof/>
            <w:webHidden/>
          </w:rPr>
          <w:fldChar w:fldCharType="end"/>
        </w:r>
      </w:hyperlink>
    </w:p>
    <w:p w:rsidR="00514931" w:rsidRDefault="001B0996">
      <w:pPr>
        <w:pStyle w:val="TOC2"/>
        <w:rPr>
          <w:rFonts w:eastAsiaTheme="minorEastAsia"/>
          <w:noProof/>
          <w:color w:val="auto"/>
          <w:kern w:val="0"/>
          <w:sz w:val="22"/>
          <w:szCs w:val="22"/>
          <w:lang w:eastAsia="en-AU"/>
        </w:rPr>
      </w:pPr>
      <w:hyperlink w:anchor="_Toc138065720" w:history="1">
        <w:r w:rsidR="00514931" w:rsidRPr="00DE15E8">
          <w:rPr>
            <w:rStyle w:val="Hyperlink"/>
            <w:noProof/>
          </w:rPr>
          <w:t>Review and evaluation of standards</w:t>
        </w:r>
        <w:r w:rsidR="00514931">
          <w:rPr>
            <w:noProof/>
            <w:webHidden/>
          </w:rPr>
          <w:tab/>
        </w:r>
        <w:r w:rsidR="00514931">
          <w:rPr>
            <w:noProof/>
            <w:webHidden/>
          </w:rPr>
          <w:fldChar w:fldCharType="begin"/>
        </w:r>
        <w:r w:rsidR="00514931">
          <w:rPr>
            <w:noProof/>
            <w:webHidden/>
          </w:rPr>
          <w:instrText xml:space="preserve"> PAGEREF _Toc138065720 \h </w:instrText>
        </w:r>
        <w:r w:rsidR="00514931">
          <w:rPr>
            <w:noProof/>
            <w:webHidden/>
          </w:rPr>
        </w:r>
        <w:r w:rsidR="00514931">
          <w:rPr>
            <w:noProof/>
            <w:webHidden/>
          </w:rPr>
          <w:fldChar w:fldCharType="separate"/>
        </w:r>
        <w:r w:rsidR="00514931">
          <w:rPr>
            <w:noProof/>
            <w:webHidden/>
          </w:rPr>
          <w:t>40</w:t>
        </w:r>
        <w:r w:rsidR="00514931">
          <w:rPr>
            <w:noProof/>
            <w:webHidden/>
          </w:rPr>
          <w:fldChar w:fldCharType="end"/>
        </w:r>
      </w:hyperlink>
    </w:p>
    <w:p w:rsidR="00514931" w:rsidRDefault="001B0996">
      <w:pPr>
        <w:pStyle w:val="TOC2"/>
        <w:rPr>
          <w:rFonts w:eastAsiaTheme="minorEastAsia"/>
          <w:noProof/>
          <w:color w:val="auto"/>
          <w:kern w:val="0"/>
          <w:sz w:val="22"/>
          <w:szCs w:val="22"/>
          <w:lang w:eastAsia="en-AU"/>
        </w:rPr>
      </w:pPr>
      <w:hyperlink w:anchor="_Toc138065721" w:history="1">
        <w:r w:rsidR="00514931" w:rsidRPr="00DE15E8">
          <w:rPr>
            <w:rStyle w:val="Hyperlink"/>
            <w:noProof/>
          </w:rPr>
          <w:t>Exemption from sunsetting</w:t>
        </w:r>
        <w:r w:rsidR="00514931">
          <w:rPr>
            <w:noProof/>
            <w:webHidden/>
          </w:rPr>
          <w:tab/>
        </w:r>
        <w:r w:rsidR="00514931">
          <w:rPr>
            <w:noProof/>
            <w:webHidden/>
          </w:rPr>
          <w:fldChar w:fldCharType="begin"/>
        </w:r>
        <w:r w:rsidR="00514931">
          <w:rPr>
            <w:noProof/>
            <w:webHidden/>
          </w:rPr>
          <w:instrText xml:space="preserve"> PAGEREF _Toc138065721 \h </w:instrText>
        </w:r>
        <w:r w:rsidR="00514931">
          <w:rPr>
            <w:noProof/>
            <w:webHidden/>
          </w:rPr>
        </w:r>
        <w:r w:rsidR="00514931">
          <w:rPr>
            <w:noProof/>
            <w:webHidden/>
          </w:rPr>
          <w:fldChar w:fldCharType="separate"/>
        </w:r>
        <w:r w:rsidR="00514931">
          <w:rPr>
            <w:noProof/>
            <w:webHidden/>
          </w:rPr>
          <w:t>40</w:t>
        </w:r>
        <w:r w:rsidR="00514931">
          <w:rPr>
            <w:noProof/>
            <w:webHidden/>
          </w:rPr>
          <w:fldChar w:fldCharType="end"/>
        </w:r>
      </w:hyperlink>
    </w:p>
    <w:p w:rsidR="00514931" w:rsidRDefault="001B0996">
      <w:pPr>
        <w:pStyle w:val="TOC1"/>
        <w:rPr>
          <w:rFonts w:eastAsiaTheme="minorEastAsia"/>
          <w:b w:val="0"/>
          <w:noProof/>
          <w:color w:val="auto"/>
          <w:kern w:val="0"/>
          <w:sz w:val="22"/>
          <w:szCs w:val="22"/>
          <w:u w:val="none"/>
          <w:lang w:eastAsia="en-AU"/>
        </w:rPr>
      </w:pPr>
      <w:hyperlink w:anchor="_Toc138065722" w:history="1">
        <w:r w:rsidR="00514931" w:rsidRPr="00DE15E8">
          <w:rPr>
            <w:rStyle w:val="Hyperlink"/>
            <w:noProof/>
          </w:rPr>
          <w:t>References</w:t>
        </w:r>
        <w:r w:rsidR="00514931">
          <w:rPr>
            <w:noProof/>
            <w:webHidden/>
          </w:rPr>
          <w:tab/>
        </w:r>
        <w:r w:rsidR="00514931">
          <w:rPr>
            <w:noProof/>
            <w:webHidden/>
          </w:rPr>
          <w:fldChar w:fldCharType="begin"/>
        </w:r>
        <w:r w:rsidR="00514931">
          <w:rPr>
            <w:noProof/>
            <w:webHidden/>
          </w:rPr>
          <w:instrText xml:space="preserve"> PAGEREF _Toc138065722 \h </w:instrText>
        </w:r>
        <w:r w:rsidR="00514931">
          <w:rPr>
            <w:noProof/>
            <w:webHidden/>
          </w:rPr>
        </w:r>
        <w:r w:rsidR="00514931">
          <w:rPr>
            <w:noProof/>
            <w:webHidden/>
          </w:rPr>
          <w:fldChar w:fldCharType="separate"/>
        </w:r>
        <w:r w:rsidR="00514931">
          <w:rPr>
            <w:noProof/>
            <w:webHidden/>
          </w:rPr>
          <w:t>42</w:t>
        </w:r>
        <w:r w:rsidR="00514931">
          <w:rPr>
            <w:noProof/>
            <w:webHidden/>
          </w:rPr>
          <w:fldChar w:fldCharType="end"/>
        </w:r>
      </w:hyperlink>
    </w:p>
    <w:p w:rsidR="00514931" w:rsidRDefault="001B0996">
      <w:pPr>
        <w:pStyle w:val="TOC1"/>
        <w:rPr>
          <w:rFonts w:eastAsiaTheme="minorEastAsia"/>
          <w:b w:val="0"/>
          <w:noProof/>
          <w:color w:val="auto"/>
          <w:kern w:val="0"/>
          <w:sz w:val="22"/>
          <w:szCs w:val="22"/>
          <w:u w:val="none"/>
          <w:lang w:eastAsia="en-AU"/>
        </w:rPr>
      </w:pPr>
      <w:hyperlink w:anchor="_Toc138065723" w:history="1">
        <w:r w:rsidR="00514931" w:rsidRPr="00DE15E8">
          <w:rPr>
            <w:rStyle w:val="Hyperlink"/>
            <w:noProof/>
          </w:rPr>
          <w:t>Appendix 1 – Acronyms and abbreviations</w:t>
        </w:r>
        <w:r w:rsidR="00514931">
          <w:rPr>
            <w:noProof/>
            <w:webHidden/>
          </w:rPr>
          <w:tab/>
        </w:r>
        <w:r w:rsidR="00514931">
          <w:rPr>
            <w:noProof/>
            <w:webHidden/>
          </w:rPr>
          <w:fldChar w:fldCharType="begin"/>
        </w:r>
        <w:r w:rsidR="00514931">
          <w:rPr>
            <w:noProof/>
            <w:webHidden/>
          </w:rPr>
          <w:instrText xml:space="preserve"> PAGEREF _Toc138065723 \h </w:instrText>
        </w:r>
        <w:r w:rsidR="00514931">
          <w:rPr>
            <w:noProof/>
            <w:webHidden/>
          </w:rPr>
        </w:r>
        <w:r w:rsidR="00514931">
          <w:rPr>
            <w:noProof/>
            <w:webHidden/>
          </w:rPr>
          <w:fldChar w:fldCharType="separate"/>
        </w:r>
        <w:r w:rsidR="00514931">
          <w:rPr>
            <w:noProof/>
            <w:webHidden/>
          </w:rPr>
          <w:t>44</w:t>
        </w:r>
        <w:r w:rsidR="00514931">
          <w:rPr>
            <w:noProof/>
            <w:webHidden/>
          </w:rPr>
          <w:fldChar w:fldCharType="end"/>
        </w:r>
      </w:hyperlink>
    </w:p>
    <w:p w:rsidR="00514931" w:rsidRDefault="001B0996">
      <w:pPr>
        <w:pStyle w:val="TOC1"/>
        <w:rPr>
          <w:rFonts w:eastAsiaTheme="minorEastAsia"/>
          <w:b w:val="0"/>
          <w:noProof/>
          <w:color w:val="auto"/>
          <w:kern w:val="0"/>
          <w:sz w:val="22"/>
          <w:szCs w:val="22"/>
          <w:u w:val="none"/>
          <w:lang w:eastAsia="en-AU"/>
        </w:rPr>
      </w:pPr>
      <w:hyperlink w:anchor="_Toc138065724" w:history="1">
        <w:r w:rsidR="00514931" w:rsidRPr="00DE15E8">
          <w:rPr>
            <w:rStyle w:val="Hyperlink"/>
            <w:noProof/>
          </w:rPr>
          <w:t>Appendix 2 – Glossary</w:t>
        </w:r>
        <w:r w:rsidR="00514931">
          <w:rPr>
            <w:noProof/>
            <w:webHidden/>
          </w:rPr>
          <w:tab/>
        </w:r>
        <w:r w:rsidR="00514931">
          <w:rPr>
            <w:noProof/>
            <w:webHidden/>
          </w:rPr>
          <w:fldChar w:fldCharType="begin"/>
        </w:r>
        <w:r w:rsidR="00514931">
          <w:rPr>
            <w:noProof/>
            <w:webHidden/>
          </w:rPr>
          <w:instrText xml:space="preserve"> PAGEREF _Toc138065724 \h </w:instrText>
        </w:r>
        <w:r w:rsidR="00514931">
          <w:rPr>
            <w:noProof/>
            <w:webHidden/>
          </w:rPr>
        </w:r>
        <w:r w:rsidR="00514931">
          <w:rPr>
            <w:noProof/>
            <w:webHidden/>
          </w:rPr>
          <w:fldChar w:fldCharType="separate"/>
        </w:r>
        <w:r w:rsidR="00514931">
          <w:rPr>
            <w:noProof/>
            <w:webHidden/>
          </w:rPr>
          <w:t>46</w:t>
        </w:r>
        <w:r w:rsidR="00514931">
          <w:rPr>
            <w:noProof/>
            <w:webHidden/>
          </w:rPr>
          <w:fldChar w:fldCharType="end"/>
        </w:r>
      </w:hyperlink>
    </w:p>
    <w:p w:rsidR="00514931" w:rsidRDefault="001B0996">
      <w:pPr>
        <w:pStyle w:val="TOC1"/>
        <w:rPr>
          <w:rFonts w:eastAsiaTheme="minorEastAsia"/>
          <w:b w:val="0"/>
          <w:noProof/>
          <w:color w:val="auto"/>
          <w:kern w:val="0"/>
          <w:sz w:val="22"/>
          <w:szCs w:val="22"/>
          <w:u w:val="none"/>
          <w:lang w:eastAsia="en-AU"/>
        </w:rPr>
      </w:pPr>
      <w:hyperlink w:anchor="_Toc138065725" w:history="1">
        <w:r w:rsidR="00514931" w:rsidRPr="00DE15E8">
          <w:rPr>
            <w:rStyle w:val="Hyperlink"/>
            <w:noProof/>
          </w:rPr>
          <w:t>Appendix 3 – Heavy goods vehicle and trailer categories</w:t>
        </w:r>
        <w:r w:rsidR="00514931">
          <w:rPr>
            <w:noProof/>
            <w:webHidden/>
          </w:rPr>
          <w:tab/>
        </w:r>
        <w:r w:rsidR="00514931">
          <w:rPr>
            <w:noProof/>
            <w:webHidden/>
          </w:rPr>
          <w:fldChar w:fldCharType="begin"/>
        </w:r>
        <w:r w:rsidR="00514931">
          <w:rPr>
            <w:noProof/>
            <w:webHidden/>
          </w:rPr>
          <w:instrText xml:space="preserve"> PAGEREF _Toc138065725 \h </w:instrText>
        </w:r>
        <w:r w:rsidR="00514931">
          <w:rPr>
            <w:noProof/>
            <w:webHidden/>
          </w:rPr>
        </w:r>
        <w:r w:rsidR="00514931">
          <w:rPr>
            <w:noProof/>
            <w:webHidden/>
          </w:rPr>
          <w:fldChar w:fldCharType="separate"/>
        </w:r>
        <w:r w:rsidR="00514931">
          <w:rPr>
            <w:noProof/>
            <w:webHidden/>
          </w:rPr>
          <w:t>49</w:t>
        </w:r>
        <w:r w:rsidR="00514931">
          <w:rPr>
            <w:noProof/>
            <w:webHidden/>
          </w:rPr>
          <w:fldChar w:fldCharType="end"/>
        </w:r>
      </w:hyperlink>
    </w:p>
    <w:p w:rsidR="00514931" w:rsidRDefault="001B0996">
      <w:pPr>
        <w:pStyle w:val="TOC1"/>
        <w:rPr>
          <w:rFonts w:eastAsiaTheme="minorEastAsia"/>
          <w:b w:val="0"/>
          <w:noProof/>
          <w:color w:val="auto"/>
          <w:kern w:val="0"/>
          <w:sz w:val="22"/>
          <w:szCs w:val="22"/>
          <w:u w:val="none"/>
          <w:lang w:eastAsia="en-AU"/>
        </w:rPr>
      </w:pPr>
      <w:hyperlink w:anchor="_Toc138065726" w:history="1">
        <w:r w:rsidR="00514931" w:rsidRPr="00DE15E8">
          <w:rPr>
            <w:rStyle w:val="Hyperlink"/>
            <w:noProof/>
          </w:rPr>
          <w:t>Appendix 4 – Summary of vehicle width requirements by market</w:t>
        </w:r>
        <w:r w:rsidR="00514931">
          <w:rPr>
            <w:noProof/>
            <w:webHidden/>
          </w:rPr>
          <w:tab/>
        </w:r>
        <w:r w:rsidR="00514931">
          <w:rPr>
            <w:noProof/>
            <w:webHidden/>
          </w:rPr>
          <w:fldChar w:fldCharType="begin"/>
        </w:r>
        <w:r w:rsidR="00514931">
          <w:rPr>
            <w:noProof/>
            <w:webHidden/>
          </w:rPr>
          <w:instrText xml:space="preserve"> PAGEREF _Toc138065726 \h </w:instrText>
        </w:r>
        <w:r w:rsidR="00514931">
          <w:rPr>
            <w:noProof/>
            <w:webHidden/>
          </w:rPr>
        </w:r>
        <w:r w:rsidR="00514931">
          <w:rPr>
            <w:noProof/>
            <w:webHidden/>
          </w:rPr>
          <w:fldChar w:fldCharType="separate"/>
        </w:r>
        <w:r w:rsidR="00514931">
          <w:rPr>
            <w:noProof/>
            <w:webHidden/>
          </w:rPr>
          <w:t>50</w:t>
        </w:r>
        <w:r w:rsidR="00514931">
          <w:rPr>
            <w:noProof/>
            <w:webHidden/>
          </w:rPr>
          <w:fldChar w:fldCharType="end"/>
        </w:r>
      </w:hyperlink>
    </w:p>
    <w:p w:rsidR="00514931" w:rsidRDefault="001B0996">
      <w:pPr>
        <w:pStyle w:val="TOC1"/>
        <w:rPr>
          <w:rFonts w:eastAsiaTheme="minorEastAsia"/>
          <w:b w:val="0"/>
          <w:noProof/>
          <w:color w:val="auto"/>
          <w:kern w:val="0"/>
          <w:sz w:val="22"/>
          <w:szCs w:val="22"/>
          <w:u w:val="none"/>
          <w:lang w:eastAsia="en-AU"/>
        </w:rPr>
      </w:pPr>
      <w:hyperlink w:anchor="_Toc138065727" w:history="1">
        <w:r w:rsidR="00514931" w:rsidRPr="00DE15E8">
          <w:rPr>
            <w:rStyle w:val="Hyperlink"/>
            <w:noProof/>
          </w:rPr>
          <w:t>Appendix 5 – Devices for indirect vision</w:t>
        </w:r>
        <w:r w:rsidR="00514931">
          <w:rPr>
            <w:noProof/>
            <w:webHidden/>
          </w:rPr>
          <w:tab/>
        </w:r>
        <w:r w:rsidR="00514931">
          <w:rPr>
            <w:noProof/>
            <w:webHidden/>
          </w:rPr>
          <w:fldChar w:fldCharType="begin"/>
        </w:r>
        <w:r w:rsidR="00514931">
          <w:rPr>
            <w:noProof/>
            <w:webHidden/>
          </w:rPr>
          <w:instrText xml:space="preserve"> PAGEREF _Toc138065727 \h </w:instrText>
        </w:r>
        <w:r w:rsidR="00514931">
          <w:rPr>
            <w:noProof/>
            <w:webHidden/>
          </w:rPr>
        </w:r>
        <w:r w:rsidR="00514931">
          <w:rPr>
            <w:noProof/>
            <w:webHidden/>
          </w:rPr>
          <w:fldChar w:fldCharType="separate"/>
        </w:r>
        <w:r w:rsidR="00514931">
          <w:rPr>
            <w:noProof/>
            <w:webHidden/>
          </w:rPr>
          <w:t>53</w:t>
        </w:r>
        <w:r w:rsidR="00514931">
          <w:rPr>
            <w:noProof/>
            <w:webHidden/>
          </w:rPr>
          <w:fldChar w:fldCharType="end"/>
        </w:r>
      </w:hyperlink>
    </w:p>
    <w:p w:rsidR="00514931" w:rsidRDefault="001B0996">
      <w:pPr>
        <w:pStyle w:val="TOC1"/>
        <w:rPr>
          <w:rFonts w:eastAsiaTheme="minorEastAsia"/>
          <w:b w:val="0"/>
          <w:noProof/>
          <w:color w:val="auto"/>
          <w:kern w:val="0"/>
          <w:sz w:val="22"/>
          <w:szCs w:val="22"/>
          <w:u w:val="none"/>
          <w:lang w:eastAsia="en-AU"/>
        </w:rPr>
      </w:pPr>
      <w:hyperlink w:anchor="_Toc138065728" w:history="1">
        <w:r w:rsidR="00514931" w:rsidRPr="00DE15E8">
          <w:rPr>
            <w:rStyle w:val="Hyperlink"/>
            <w:noProof/>
          </w:rPr>
          <w:t>Appendix 6 – Electronic Stability Control</w:t>
        </w:r>
        <w:r w:rsidR="00514931">
          <w:rPr>
            <w:noProof/>
            <w:webHidden/>
          </w:rPr>
          <w:tab/>
        </w:r>
        <w:r w:rsidR="00514931">
          <w:rPr>
            <w:noProof/>
            <w:webHidden/>
          </w:rPr>
          <w:fldChar w:fldCharType="begin"/>
        </w:r>
        <w:r w:rsidR="00514931">
          <w:rPr>
            <w:noProof/>
            <w:webHidden/>
          </w:rPr>
          <w:instrText xml:space="preserve"> PAGEREF _Toc138065728 \h </w:instrText>
        </w:r>
        <w:r w:rsidR="00514931">
          <w:rPr>
            <w:noProof/>
            <w:webHidden/>
          </w:rPr>
        </w:r>
        <w:r w:rsidR="00514931">
          <w:rPr>
            <w:noProof/>
            <w:webHidden/>
          </w:rPr>
          <w:fldChar w:fldCharType="separate"/>
        </w:r>
        <w:r w:rsidR="00514931">
          <w:rPr>
            <w:noProof/>
            <w:webHidden/>
          </w:rPr>
          <w:t>57</w:t>
        </w:r>
        <w:r w:rsidR="00514931">
          <w:rPr>
            <w:noProof/>
            <w:webHidden/>
          </w:rPr>
          <w:fldChar w:fldCharType="end"/>
        </w:r>
      </w:hyperlink>
    </w:p>
    <w:p w:rsidR="00514931" w:rsidRDefault="001B0996">
      <w:pPr>
        <w:pStyle w:val="TOC1"/>
        <w:rPr>
          <w:rFonts w:eastAsiaTheme="minorEastAsia"/>
          <w:b w:val="0"/>
          <w:noProof/>
          <w:color w:val="auto"/>
          <w:kern w:val="0"/>
          <w:sz w:val="22"/>
          <w:szCs w:val="22"/>
          <w:u w:val="none"/>
          <w:lang w:eastAsia="en-AU"/>
        </w:rPr>
      </w:pPr>
      <w:hyperlink w:anchor="_Toc138065729" w:history="1">
        <w:r w:rsidR="00514931" w:rsidRPr="00DE15E8">
          <w:rPr>
            <w:rStyle w:val="Hyperlink"/>
            <w:noProof/>
          </w:rPr>
          <w:t>Appendix 7 – Advanced Emergency Braking</w:t>
        </w:r>
        <w:r w:rsidR="00514931">
          <w:rPr>
            <w:noProof/>
            <w:webHidden/>
          </w:rPr>
          <w:tab/>
        </w:r>
        <w:r w:rsidR="00514931">
          <w:rPr>
            <w:noProof/>
            <w:webHidden/>
          </w:rPr>
          <w:fldChar w:fldCharType="begin"/>
        </w:r>
        <w:r w:rsidR="00514931">
          <w:rPr>
            <w:noProof/>
            <w:webHidden/>
          </w:rPr>
          <w:instrText xml:space="preserve"> PAGEREF _Toc138065729 \h </w:instrText>
        </w:r>
        <w:r w:rsidR="00514931">
          <w:rPr>
            <w:noProof/>
            <w:webHidden/>
          </w:rPr>
        </w:r>
        <w:r w:rsidR="00514931">
          <w:rPr>
            <w:noProof/>
            <w:webHidden/>
          </w:rPr>
          <w:fldChar w:fldCharType="separate"/>
        </w:r>
        <w:r w:rsidR="00514931">
          <w:rPr>
            <w:noProof/>
            <w:webHidden/>
          </w:rPr>
          <w:t>60</w:t>
        </w:r>
        <w:r w:rsidR="00514931">
          <w:rPr>
            <w:noProof/>
            <w:webHidden/>
          </w:rPr>
          <w:fldChar w:fldCharType="end"/>
        </w:r>
      </w:hyperlink>
    </w:p>
    <w:p w:rsidR="00514931" w:rsidRDefault="001B0996">
      <w:pPr>
        <w:pStyle w:val="TOC1"/>
        <w:rPr>
          <w:rFonts w:eastAsiaTheme="minorEastAsia"/>
          <w:b w:val="0"/>
          <w:noProof/>
          <w:color w:val="auto"/>
          <w:kern w:val="0"/>
          <w:sz w:val="22"/>
          <w:szCs w:val="22"/>
          <w:u w:val="none"/>
          <w:lang w:eastAsia="en-AU"/>
        </w:rPr>
      </w:pPr>
      <w:hyperlink w:anchor="_Toc138065730" w:history="1">
        <w:r w:rsidR="00514931" w:rsidRPr="00DE15E8">
          <w:rPr>
            <w:rStyle w:val="Hyperlink"/>
            <w:noProof/>
          </w:rPr>
          <w:t>Appendix 8 – Lane Departure Warning Systems</w:t>
        </w:r>
        <w:r w:rsidR="00514931">
          <w:rPr>
            <w:noProof/>
            <w:webHidden/>
          </w:rPr>
          <w:tab/>
        </w:r>
        <w:r w:rsidR="00514931">
          <w:rPr>
            <w:noProof/>
            <w:webHidden/>
          </w:rPr>
          <w:fldChar w:fldCharType="begin"/>
        </w:r>
        <w:r w:rsidR="00514931">
          <w:rPr>
            <w:noProof/>
            <w:webHidden/>
          </w:rPr>
          <w:instrText xml:space="preserve"> PAGEREF _Toc138065730 \h </w:instrText>
        </w:r>
        <w:r w:rsidR="00514931">
          <w:rPr>
            <w:noProof/>
            <w:webHidden/>
          </w:rPr>
        </w:r>
        <w:r w:rsidR="00514931">
          <w:rPr>
            <w:noProof/>
            <w:webHidden/>
          </w:rPr>
          <w:fldChar w:fldCharType="separate"/>
        </w:r>
        <w:r w:rsidR="00514931">
          <w:rPr>
            <w:noProof/>
            <w:webHidden/>
          </w:rPr>
          <w:t>62</w:t>
        </w:r>
        <w:r w:rsidR="00514931">
          <w:rPr>
            <w:noProof/>
            <w:webHidden/>
          </w:rPr>
          <w:fldChar w:fldCharType="end"/>
        </w:r>
      </w:hyperlink>
    </w:p>
    <w:p w:rsidR="00514931" w:rsidRDefault="001B0996">
      <w:pPr>
        <w:pStyle w:val="TOC1"/>
        <w:rPr>
          <w:rFonts w:eastAsiaTheme="minorEastAsia"/>
          <w:b w:val="0"/>
          <w:noProof/>
          <w:color w:val="auto"/>
          <w:kern w:val="0"/>
          <w:sz w:val="22"/>
          <w:szCs w:val="22"/>
          <w:u w:val="none"/>
          <w:lang w:eastAsia="en-AU"/>
        </w:rPr>
      </w:pPr>
      <w:hyperlink w:anchor="_Toc138065731" w:history="1">
        <w:r w:rsidR="00514931" w:rsidRPr="00DE15E8">
          <w:rPr>
            <w:rStyle w:val="Hyperlink"/>
            <w:noProof/>
          </w:rPr>
          <w:t>Appendix 9 – Blind Spot Information Systems</w:t>
        </w:r>
        <w:r w:rsidR="00514931">
          <w:rPr>
            <w:noProof/>
            <w:webHidden/>
          </w:rPr>
          <w:tab/>
        </w:r>
        <w:r w:rsidR="00514931">
          <w:rPr>
            <w:noProof/>
            <w:webHidden/>
          </w:rPr>
          <w:fldChar w:fldCharType="begin"/>
        </w:r>
        <w:r w:rsidR="00514931">
          <w:rPr>
            <w:noProof/>
            <w:webHidden/>
          </w:rPr>
          <w:instrText xml:space="preserve"> PAGEREF _Toc138065731 \h </w:instrText>
        </w:r>
        <w:r w:rsidR="00514931">
          <w:rPr>
            <w:noProof/>
            <w:webHidden/>
          </w:rPr>
        </w:r>
        <w:r w:rsidR="00514931">
          <w:rPr>
            <w:noProof/>
            <w:webHidden/>
          </w:rPr>
          <w:fldChar w:fldCharType="separate"/>
        </w:r>
        <w:r w:rsidR="00514931">
          <w:rPr>
            <w:noProof/>
            <w:webHidden/>
          </w:rPr>
          <w:t>63</w:t>
        </w:r>
        <w:r w:rsidR="00514931">
          <w:rPr>
            <w:noProof/>
            <w:webHidden/>
          </w:rPr>
          <w:fldChar w:fldCharType="end"/>
        </w:r>
      </w:hyperlink>
    </w:p>
    <w:p w:rsidR="00514931" w:rsidRDefault="001B0996">
      <w:pPr>
        <w:pStyle w:val="TOC1"/>
        <w:rPr>
          <w:rFonts w:eastAsiaTheme="minorEastAsia"/>
          <w:b w:val="0"/>
          <w:noProof/>
          <w:color w:val="auto"/>
          <w:kern w:val="0"/>
          <w:sz w:val="22"/>
          <w:szCs w:val="22"/>
          <w:u w:val="none"/>
          <w:lang w:eastAsia="en-AU"/>
        </w:rPr>
      </w:pPr>
      <w:hyperlink w:anchor="_Toc138065732" w:history="1">
        <w:r w:rsidR="00514931" w:rsidRPr="00DE15E8">
          <w:rPr>
            <w:rStyle w:val="Hyperlink"/>
            <w:noProof/>
          </w:rPr>
          <w:t>Appendix 10 – Side underrun protection</w:t>
        </w:r>
        <w:r w:rsidR="00514931">
          <w:rPr>
            <w:noProof/>
            <w:webHidden/>
          </w:rPr>
          <w:tab/>
        </w:r>
        <w:r w:rsidR="00514931">
          <w:rPr>
            <w:noProof/>
            <w:webHidden/>
          </w:rPr>
          <w:fldChar w:fldCharType="begin"/>
        </w:r>
        <w:r w:rsidR="00514931">
          <w:rPr>
            <w:noProof/>
            <w:webHidden/>
          </w:rPr>
          <w:instrText xml:space="preserve"> PAGEREF _Toc138065732 \h </w:instrText>
        </w:r>
        <w:r w:rsidR="00514931">
          <w:rPr>
            <w:noProof/>
            <w:webHidden/>
          </w:rPr>
        </w:r>
        <w:r w:rsidR="00514931">
          <w:rPr>
            <w:noProof/>
            <w:webHidden/>
          </w:rPr>
          <w:fldChar w:fldCharType="separate"/>
        </w:r>
        <w:r w:rsidR="00514931">
          <w:rPr>
            <w:noProof/>
            <w:webHidden/>
          </w:rPr>
          <w:t>64</w:t>
        </w:r>
        <w:r w:rsidR="00514931">
          <w:rPr>
            <w:noProof/>
            <w:webHidden/>
          </w:rPr>
          <w:fldChar w:fldCharType="end"/>
        </w:r>
      </w:hyperlink>
    </w:p>
    <w:p w:rsidR="00514931" w:rsidRDefault="001B0996">
      <w:pPr>
        <w:pStyle w:val="TOC1"/>
        <w:rPr>
          <w:rFonts w:eastAsiaTheme="minorEastAsia"/>
          <w:b w:val="0"/>
          <w:noProof/>
          <w:color w:val="auto"/>
          <w:kern w:val="0"/>
          <w:sz w:val="22"/>
          <w:szCs w:val="22"/>
          <w:u w:val="none"/>
          <w:lang w:eastAsia="en-AU"/>
        </w:rPr>
      </w:pPr>
      <w:hyperlink w:anchor="_Toc138065733" w:history="1">
        <w:r w:rsidR="00514931" w:rsidRPr="00DE15E8">
          <w:rPr>
            <w:rStyle w:val="Hyperlink"/>
            <w:noProof/>
          </w:rPr>
          <w:t>Appendix 11 – Conspicuity markings</w:t>
        </w:r>
        <w:r w:rsidR="00514931">
          <w:rPr>
            <w:noProof/>
            <w:webHidden/>
          </w:rPr>
          <w:tab/>
        </w:r>
        <w:r w:rsidR="00514931">
          <w:rPr>
            <w:noProof/>
            <w:webHidden/>
          </w:rPr>
          <w:fldChar w:fldCharType="begin"/>
        </w:r>
        <w:r w:rsidR="00514931">
          <w:rPr>
            <w:noProof/>
            <w:webHidden/>
          </w:rPr>
          <w:instrText xml:space="preserve"> PAGEREF _Toc138065733 \h </w:instrText>
        </w:r>
        <w:r w:rsidR="00514931">
          <w:rPr>
            <w:noProof/>
            <w:webHidden/>
          </w:rPr>
        </w:r>
        <w:r w:rsidR="00514931">
          <w:rPr>
            <w:noProof/>
            <w:webHidden/>
          </w:rPr>
          <w:fldChar w:fldCharType="separate"/>
        </w:r>
        <w:r w:rsidR="00514931">
          <w:rPr>
            <w:noProof/>
            <w:webHidden/>
          </w:rPr>
          <w:t>67</w:t>
        </w:r>
        <w:r w:rsidR="00514931">
          <w:rPr>
            <w:noProof/>
            <w:webHidden/>
          </w:rPr>
          <w:fldChar w:fldCharType="end"/>
        </w:r>
      </w:hyperlink>
    </w:p>
    <w:p w:rsidR="00514931" w:rsidRDefault="001B0996">
      <w:pPr>
        <w:pStyle w:val="TOC1"/>
        <w:rPr>
          <w:rFonts w:eastAsiaTheme="minorEastAsia"/>
          <w:b w:val="0"/>
          <w:noProof/>
          <w:color w:val="auto"/>
          <w:kern w:val="0"/>
          <w:sz w:val="22"/>
          <w:szCs w:val="22"/>
          <w:u w:val="none"/>
          <w:lang w:eastAsia="en-AU"/>
        </w:rPr>
      </w:pPr>
      <w:hyperlink w:anchor="_Toc138065734" w:history="1">
        <w:r w:rsidR="00514931" w:rsidRPr="00DE15E8">
          <w:rPr>
            <w:rStyle w:val="Hyperlink"/>
            <w:noProof/>
          </w:rPr>
          <w:t>Appendix 12 – Strategic Vehicle Safety and Environment Group</w:t>
        </w:r>
        <w:r w:rsidR="00514931">
          <w:rPr>
            <w:noProof/>
            <w:webHidden/>
          </w:rPr>
          <w:tab/>
        </w:r>
        <w:r w:rsidR="00514931">
          <w:rPr>
            <w:noProof/>
            <w:webHidden/>
          </w:rPr>
          <w:fldChar w:fldCharType="begin"/>
        </w:r>
        <w:r w:rsidR="00514931">
          <w:rPr>
            <w:noProof/>
            <w:webHidden/>
          </w:rPr>
          <w:instrText xml:space="preserve"> PAGEREF _Toc138065734 \h </w:instrText>
        </w:r>
        <w:r w:rsidR="00514931">
          <w:rPr>
            <w:noProof/>
            <w:webHidden/>
          </w:rPr>
        </w:r>
        <w:r w:rsidR="00514931">
          <w:rPr>
            <w:noProof/>
            <w:webHidden/>
          </w:rPr>
          <w:fldChar w:fldCharType="separate"/>
        </w:r>
        <w:r w:rsidR="00514931">
          <w:rPr>
            <w:noProof/>
            <w:webHidden/>
          </w:rPr>
          <w:t>69</w:t>
        </w:r>
        <w:r w:rsidR="00514931">
          <w:rPr>
            <w:noProof/>
            <w:webHidden/>
          </w:rPr>
          <w:fldChar w:fldCharType="end"/>
        </w:r>
      </w:hyperlink>
    </w:p>
    <w:p w:rsidR="00514931" w:rsidRDefault="001B0996">
      <w:pPr>
        <w:pStyle w:val="TOC1"/>
        <w:rPr>
          <w:rFonts w:eastAsiaTheme="minorEastAsia"/>
          <w:b w:val="0"/>
          <w:noProof/>
          <w:color w:val="auto"/>
          <w:kern w:val="0"/>
          <w:sz w:val="22"/>
          <w:szCs w:val="22"/>
          <w:u w:val="none"/>
          <w:lang w:eastAsia="en-AU"/>
        </w:rPr>
      </w:pPr>
      <w:hyperlink w:anchor="_Toc138065735" w:history="1">
        <w:r w:rsidR="00514931" w:rsidRPr="00DE15E8">
          <w:rPr>
            <w:rStyle w:val="Hyperlink"/>
            <w:noProof/>
          </w:rPr>
          <w:t>Appendix 13 – Technical Liaison Group</w:t>
        </w:r>
        <w:r w:rsidR="00514931">
          <w:rPr>
            <w:noProof/>
            <w:webHidden/>
          </w:rPr>
          <w:tab/>
        </w:r>
        <w:r w:rsidR="00514931">
          <w:rPr>
            <w:noProof/>
            <w:webHidden/>
          </w:rPr>
          <w:fldChar w:fldCharType="begin"/>
        </w:r>
        <w:r w:rsidR="00514931">
          <w:rPr>
            <w:noProof/>
            <w:webHidden/>
          </w:rPr>
          <w:instrText xml:space="preserve"> PAGEREF _Toc138065735 \h </w:instrText>
        </w:r>
        <w:r w:rsidR="00514931">
          <w:rPr>
            <w:noProof/>
            <w:webHidden/>
          </w:rPr>
        </w:r>
        <w:r w:rsidR="00514931">
          <w:rPr>
            <w:noProof/>
            <w:webHidden/>
          </w:rPr>
          <w:fldChar w:fldCharType="separate"/>
        </w:r>
        <w:r w:rsidR="00514931">
          <w:rPr>
            <w:noProof/>
            <w:webHidden/>
          </w:rPr>
          <w:t>70</w:t>
        </w:r>
        <w:r w:rsidR="00514931">
          <w:rPr>
            <w:noProof/>
            <w:webHidden/>
          </w:rPr>
          <w:fldChar w:fldCharType="end"/>
        </w:r>
      </w:hyperlink>
    </w:p>
    <w:p w:rsidR="00514931" w:rsidRDefault="001B0996">
      <w:pPr>
        <w:pStyle w:val="TOC1"/>
        <w:rPr>
          <w:rFonts w:eastAsiaTheme="minorEastAsia"/>
          <w:b w:val="0"/>
          <w:noProof/>
          <w:color w:val="auto"/>
          <w:kern w:val="0"/>
          <w:sz w:val="22"/>
          <w:szCs w:val="22"/>
          <w:u w:val="none"/>
          <w:lang w:eastAsia="en-AU"/>
        </w:rPr>
      </w:pPr>
      <w:hyperlink w:anchor="_Toc138065736" w:history="1">
        <w:r w:rsidR="00514931" w:rsidRPr="00DE15E8">
          <w:rPr>
            <w:rStyle w:val="Hyperlink"/>
            <w:noProof/>
          </w:rPr>
          <w:t>Appendix 14 – Public Comment, Safer Freight Vehicles Discussion Paper</w:t>
        </w:r>
        <w:r w:rsidR="00514931">
          <w:rPr>
            <w:noProof/>
            <w:webHidden/>
          </w:rPr>
          <w:tab/>
        </w:r>
        <w:r w:rsidR="00514931">
          <w:rPr>
            <w:noProof/>
            <w:webHidden/>
          </w:rPr>
          <w:fldChar w:fldCharType="begin"/>
        </w:r>
        <w:r w:rsidR="00514931">
          <w:rPr>
            <w:noProof/>
            <w:webHidden/>
          </w:rPr>
          <w:instrText xml:space="preserve"> PAGEREF _Toc138065736 \h </w:instrText>
        </w:r>
        <w:r w:rsidR="00514931">
          <w:rPr>
            <w:noProof/>
            <w:webHidden/>
          </w:rPr>
        </w:r>
        <w:r w:rsidR="00514931">
          <w:rPr>
            <w:noProof/>
            <w:webHidden/>
          </w:rPr>
          <w:fldChar w:fldCharType="separate"/>
        </w:r>
        <w:r w:rsidR="00514931">
          <w:rPr>
            <w:noProof/>
            <w:webHidden/>
          </w:rPr>
          <w:t>71</w:t>
        </w:r>
        <w:r w:rsidR="00514931">
          <w:rPr>
            <w:noProof/>
            <w:webHidden/>
          </w:rPr>
          <w:fldChar w:fldCharType="end"/>
        </w:r>
      </w:hyperlink>
    </w:p>
    <w:p w:rsidR="00DE4FE2" w:rsidRDefault="00C00417">
      <w:pPr>
        <w:rPr>
          <w:b/>
          <w:sz w:val="24"/>
          <w:u w:val="single" w:color="4BB3B5" w:themeColor="accent2"/>
        </w:rPr>
      </w:pPr>
      <w:r>
        <w:rPr>
          <w:b/>
          <w:sz w:val="24"/>
          <w:u w:val="single" w:color="4BB3B5" w:themeColor="accent2"/>
        </w:rPr>
        <w:fldChar w:fldCharType="end"/>
      </w:r>
    </w:p>
    <w:p w:rsidR="00C00417" w:rsidRPr="00A92328" w:rsidRDefault="00C00417">
      <w:pPr>
        <w:rPr>
          <w:color w:val="auto"/>
        </w:rPr>
      </w:pPr>
    </w:p>
    <w:p w:rsidR="00C42EC6" w:rsidRPr="00A92328" w:rsidRDefault="00C42EC6">
      <w:pPr>
        <w:suppressAutoHyphens w:val="0"/>
        <w:rPr>
          <w:rFonts w:asciiTheme="majorHAnsi" w:eastAsiaTheme="majorEastAsia" w:hAnsiTheme="majorHAnsi" w:cstheme="majorBidi"/>
          <w:color w:val="auto"/>
          <w:sz w:val="44"/>
          <w:szCs w:val="32"/>
        </w:rPr>
      </w:pPr>
      <w:r>
        <w:br w:type="page"/>
      </w:r>
    </w:p>
    <w:p w:rsidR="005912BE" w:rsidRPr="007B6E69" w:rsidRDefault="002D3DC4" w:rsidP="00A77C0E">
      <w:pPr>
        <w:pStyle w:val="TOCHeading"/>
        <w:spacing w:before="240"/>
        <w:ind w:left="851" w:hanging="851"/>
      </w:pPr>
      <w:bookmarkStart w:id="1" w:name="_Toc111576717"/>
      <w:r w:rsidRPr="007B6E69">
        <w:t xml:space="preserve">List of </w:t>
      </w:r>
      <w:r w:rsidR="0093261E" w:rsidRPr="007B6E69">
        <w:t>t</w:t>
      </w:r>
      <w:r w:rsidR="006E1ECA" w:rsidRPr="007B6E69">
        <w:t>ables</w:t>
      </w:r>
      <w:bookmarkEnd w:id="1"/>
    </w:p>
    <w:p w:rsidR="00534814" w:rsidRDefault="00C66D0C">
      <w:pPr>
        <w:pStyle w:val="TableofFigures"/>
        <w:tabs>
          <w:tab w:val="right" w:leader="dot" w:pos="9854"/>
        </w:tabs>
        <w:rPr>
          <w:rFonts w:eastAsiaTheme="minorEastAsia"/>
          <w:noProof/>
          <w:color w:val="auto"/>
          <w:kern w:val="0"/>
          <w:sz w:val="22"/>
          <w:szCs w:val="22"/>
          <w:lang w:eastAsia="en-AU"/>
        </w:rPr>
      </w:pPr>
      <w:r w:rsidRPr="007B6E69">
        <w:fldChar w:fldCharType="begin"/>
      </w:r>
      <w:r w:rsidRPr="007B6E69">
        <w:instrText xml:space="preserve"> TOC \h \z \c "Table" </w:instrText>
      </w:r>
      <w:r w:rsidRPr="007B6E69">
        <w:fldChar w:fldCharType="separate"/>
      </w:r>
      <w:hyperlink w:anchor="_Toc135320126" w:history="1">
        <w:r w:rsidR="00534814" w:rsidRPr="00197249">
          <w:rPr>
            <w:rStyle w:val="Hyperlink"/>
            <w:noProof/>
          </w:rPr>
          <w:t>Table 1: Summary of the benefits for each option</w:t>
        </w:r>
        <w:r w:rsidR="00534814">
          <w:rPr>
            <w:noProof/>
            <w:webHidden/>
          </w:rPr>
          <w:tab/>
        </w:r>
        <w:r w:rsidR="00534814">
          <w:rPr>
            <w:noProof/>
            <w:webHidden/>
          </w:rPr>
          <w:fldChar w:fldCharType="begin"/>
        </w:r>
        <w:r w:rsidR="00534814">
          <w:rPr>
            <w:noProof/>
            <w:webHidden/>
          </w:rPr>
          <w:instrText xml:space="preserve"> PAGEREF _Toc135320126 \h </w:instrText>
        </w:r>
        <w:r w:rsidR="00534814">
          <w:rPr>
            <w:noProof/>
            <w:webHidden/>
          </w:rPr>
        </w:r>
        <w:r w:rsidR="00534814">
          <w:rPr>
            <w:noProof/>
            <w:webHidden/>
          </w:rPr>
          <w:fldChar w:fldCharType="separate"/>
        </w:r>
        <w:r w:rsidR="00514931">
          <w:rPr>
            <w:noProof/>
            <w:webHidden/>
          </w:rPr>
          <w:t>1</w:t>
        </w:r>
        <w:r w:rsidR="00534814">
          <w:rPr>
            <w:noProof/>
            <w:webHidden/>
          </w:rPr>
          <w:fldChar w:fldCharType="end"/>
        </w:r>
      </w:hyperlink>
    </w:p>
    <w:p w:rsidR="00534814" w:rsidRDefault="001B0996">
      <w:pPr>
        <w:pStyle w:val="TableofFigures"/>
        <w:tabs>
          <w:tab w:val="right" w:leader="dot" w:pos="9854"/>
        </w:tabs>
        <w:rPr>
          <w:rFonts w:eastAsiaTheme="minorEastAsia"/>
          <w:noProof/>
          <w:color w:val="auto"/>
          <w:kern w:val="0"/>
          <w:sz w:val="22"/>
          <w:szCs w:val="22"/>
          <w:lang w:eastAsia="en-AU"/>
        </w:rPr>
      </w:pPr>
      <w:hyperlink w:anchor="_Toc135320127" w:history="1">
        <w:r w:rsidR="00534814" w:rsidRPr="00197249">
          <w:rPr>
            <w:rStyle w:val="Hyperlink"/>
            <w:noProof/>
          </w:rPr>
          <w:t>Table 2: Summary of the costs for each option</w:t>
        </w:r>
        <w:r w:rsidR="00534814">
          <w:rPr>
            <w:noProof/>
            <w:webHidden/>
          </w:rPr>
          <w:tab/>
        </w:r>
        <w:r w:rsidR="00534814">
          <w:rPr>
            <w:noProof/>
            <w:webHidden/>
          </w:rPr>
          <w:fldChar w:fldCharType="begin"/>
        </w:r>
        <w:r w:rsidR="00534814">
          <w:rPr>
            <w:noProof/>
            <w:webHidden/>
          </w:rPr>
          <w:instrText xml:space="preserve"> PAGEREF _Toc135320127 \h </w:instrText>
        </w:r>
        <w:r w:rsidR="00534814">
          <w:rPr>
            <w:noProof/>
            <w:webHidden/>
          </w:rPr>
        </w:r>
        <w:r w:rsidR="00534814">
          <w:rPr>
            <w:noProof/>
            <w:webHidden/>
          </w:rPr>
          <w:fldChar w:fldCharType="separate"/>
        </w:r>
        <w:r w:rsidR="00514931">
          <w:rPr>
            <w:noProof/>
            <w:webHidden/>
          </w:rPr>
          <w:t>2</w:t>
        </w:r>
        <w:r w:rsidR="00534814">
          <w:rPr>
            <w:noProof/>
            <w:webHidden/>
          </w:rPr>
          <w:fldChar w:fldCharType="end"/>
        </w:r>
      </w:hyperlink>
    </w:p>
    <w:p w:rsidR="00534814" w:rsidRDefault="001B0996">
      <w:pPr>
        <w:pStyle w:val="TableofFigures"/>
        <w:tabs>
          <w:tab w:val="right" w:leader="dot" w:pos="9854"/>
        </w:tabs>
        <w:rPr>
          <w:rFonts w:eastAsiaTheme="minorEastAsia"/>
          <w:noProof/>
          <w:color w:val="auto"/>
          <w:kern w:val="0"/>
          <w:sz w:val="22"/>
          <w:szCs w:val="22"/>
          <w:lang w:eastAsia="en-AU"/>
        </w:rPr>
      </w:pPr>
      <w:hyperlink w:anchor="_Toc135320128" w:history="1">
        <w:r w:rsidR="00534814" w:rsidRPr="00197249">
          <w:rPr>
            <w:rStyle w:val="Hyperlink"/>
            <w:noProof/>
          </w:rPr>
          <w:t>Table 3: Summary of the outcomes of the BCA for each option</w:t>
        </w:r>
        <w:r w:rsidR="00534814">
          <w:rPr>
            <w:noProof/>
            <w:webHidden/>
          </w:rPr>
          <w:tab/>
        </w:r>
        <w:r w:rsidR="00534814">
          <w:rPr>
            <w:noProof/>
            <w:webHidden/>
          </w:rPr>
          <w:fldChar w:fldCharType="begin"/>
        </w:r>
        <w:r w:rsidR="00534814">
          <w:rPr>
            <w:noProof/>
            <w:webHidden/>
          </w:rPr>
          <w:instrText xml:space="preserve"> PAGEREF _Toc135320128 \h </w:instrText>
        </w:r>
        <w:r w:rsidR="00534814">
          <w:rPr>
            <w:noProof/>
            <w:webHidden/>
          </w:rPr>
        </w:r>
        <w:r w:rsidR="00534814">
          <w:rPr>
            <w:noProof/>
            <w:webHidden/>
          </w:rPr>
          <w:fldChar w:fldCharType="separate"/>
        </w:r>
        <w:r w:rsidR="00514931">
          <w:rPr>
            <w:noProof/>
            <w:webHidden/>
          </w:rPr>
          <w:t>2</w:t>
        </w:r>
        <w:r w:rsidR="00534814">
          <w:rPr>
            <w:noProof/>
            <w:webHidden/>
          </w:rPr>
          <w:fldChar w:fldCharType="end"/>
        </w:r>
      </w:hyperlink>
    </w:p>
    <w:p w:rsidR="00534814" w:rsidRDefault="001B0996">
      <w:pPr>
        <w:pStyle w:val="TableofFigures"/>
        <w:tabs>
          <w:tab w:val="right" w:leader="dot" w:pos="9854"/>
        </w:tabs>
        <w:rPr>
          <w:rFonts w:eastAsiaTheme="minorEastAsia"/>
          <w:noProof/>
          <w:color w:val="auto"/>
          <w:kern w:val="0"/>
          <w:sz w:val="22"/>
          <w:szCs w:val="22"/>
          <w:lang w:eastAsia="en-AU"/>
        </w:rPr>
      </w:pPr>
      <w:hyperlink w:anchor="_Toc135320129" w:history="1">
        <w:r w:rsidR="00534814" w:rsidRPr="00197249">
          <w:rPr>
            <w:rStyle w:val="Hyperlink"/>
            <w:noProof/>
          </w:rPr>
          <w:t>Table 4: Assumed take-up of wider vehicles used in the analysis</w:t>
        </w:r>
        <w:r w:rsidR="00534814">
          <w:rPr>
            <w:noProof/>
            <w:webHidden/>
          </w:rPr>
          <w:tab/>
        </w:r>
        <w:r w:rsidR="00534814">
          <w:rPr>
            <w:noProof/>
            <w:webHidden/>
          </w:rPr>
          <w:fldChar w:fldCharType="begin"/>
        </w:r>
        <w:r w:rsidR="00534814">
          <w:rPr>
            <w:noProof/>
            <w:webHidden/>
          </w:rPr>
          <w:instrText xml:space="preserve"> PAGEREF _Toc135320129 \h </w:instrText>
        </w:r>
        <w:r w:rsidR="00534814">
          <w:rPr>
            <w:noProof/>
            <w:webHidden/>
          </w:rPr>
        </w:r>
        <w:r w:rsidR="00534814">
          <w:rPr>
            <w:noProof/>
            <w:webHidden/>
          </w:rPr>
          <w:fldChar w:fldCharType="separate"/>
        </w:r>
        <w:r w:rsidR="00514931">
          <w:rPr>
            <w:noProof/>
            <w:webHidden/>
          </w:rPr>
          <w:t>19</w:t>
        </w:r>
        <w:r w:rsidR="00534814">
          <w:rPr>
            <w:noProof/>
            <w:webHidden/>
          </w:rPr>
          <w:fldChar w:fldCharType="end"/>
        </w:r>
      </w:hyperlink>
    </w:p>
    <w:p w:rsidR="00534814" w:rsidRDefault="001B0996">
      <w:pPr>
        <w:pStyle w:val="TableofFigures"/>
        <w:tabs>
          <w:tab w:val="right" w:leader="dot" w:pos="9854"/>
        </w:tabs>
        <w:rPr>
          <w:rFonts w:eastAsiaTheme="minorEastAsia"/>
          <w:noProof/>
          <w:color w:val="auto"/>
          <w:kern w:val="0"/>
          <w:sz w:val="22"/>
          <w:szCs w:val="22"/>
          <w:lang w:eastAsia="en-AU"/>
        </w:rPr>
      </w:pPr>
      <w:hyperlink w:anchor="_Toc135320130" w:history="1">
        <w:r w:rsidR="00534814" w:rsidRPr="00197249">
          <w:rPr>
            <w:rStyle w:val="Hyperlink"/>
            <w:noProof/>
          </w:rPr>
          <w:t>Table 5: Relative crash risks used in the analysis for vehicle safety systems or features</w:t>
        </w:r>
        <w:r w:rsidR="00534814">
          <w:rPr>
            <w:noProof/>
            <w:webHidden/>
          </w:rPr>
          <w:tab/>
        </w:r>
        <w:r w:rsidR="00534814">
          <w:rPr>
            <w:noProof/>
            <w:webHidden/>
          </w:rPr>
          <w:fldChar w:fldCharType="begin"/>
        </w:r>
        <w:r w:rsidR="00534814">
          <w:rPr>
            <w:noProof/>
            <w:webHidden/>
          </w:rPr>
          <w:instrText xml:space="preserve"> PAGEREF _Toc135320130 \h </w:instrText>
        </w:r>
        <w:r w:rsidR="00534814">
          <w:rPr>
            <w:noProof/>
            <w:webHidden/>
          </w:rPr>
        </w:r>
        <w:r w:rsidR="00534814">
          <w:rPr>
            <w:noProof/>
            <w:webHidden/>
          </w:rPr>
          <w:fldChar w:fldCharType="separate"/>
        </w:r>
        <w:r w:rsidR="00514931">
          <w:rPr>
            <w:noProof/>
            <w:webHidden/>
          </w:rPr>
          <w:t>21</w:t>
        </w:r>
        <w:r w:rsidR="00534814">
          <w:rPr>
            <w:noProof/>
            <w:webHidden/>
          </w:rPr>
          <w:fldChar w:fldCharType="end"/>
        </w:r>
      </w:hyperlink>
    </w:p>
    <w:p w:rsidR="00534814" w:rsidRDefault="001B0996">
      <w:pPr>
        <w:pStyle w:val="TableofFigures"/>
        <w:tabs>
          <w:tab w:val="right" w:leader="dot" w:pos="9854"/>
        </w:tabs>
        <w:rPr>
          <w:rFonts w:eastAsiaTheme="minorEastAsia"/>
          <w:noProof/>
          <w:color w:val="auto"/>
          <w:kern w:val="0"/>
          <w:sz w:val="22"/>
          <w:szCs w:val="22"/>
          <w:lang w:eastAsia="en-AU"/>
        </w:rPr>
      </w:pPr>
      <w:hyperlink w:anchor="_Toc135320131" w:history="1">
        <w:r w:rsidR="00534814" w:rsidRPr="00197249">
          <w:rPr>
            <w:rStyle w:val="Hyperlink"/>
            <w:noProof/>
          </w:rPr>
          <w:t>Table 6: Average willingness to pay based crash costs used in the analysis</w:t>
        </w:r>
        <w:r w:rsidR="00534814">
          <w:rPr>
            <w:noProof/>
            <w:webHidden/>
          </w:rPr>
          <w:tab/>
        </w:r>
        <w:r w:rsidR="00534814">
          <w:rPr>
            <w:noProof/>
            <w:webHidden/>
          </w:rPr>
          <w:fldChar w:fldCharType="begin"/>
        </w:r>
        <w:r w:rsidR="00534814">
          <w:rPr>
            <w:noProof/>
            <w:webHidden/>
          </w:rPr>
          <w:instrText xml:space="preserve"> PAGEREF _Toc135320131 \h </w:instrText>
        </w:r>
        <w:r w:rsidR="00534814">
          <w:rPr>
            <w:noProof/>
            <w:webHidden/>
          </w:rPr>
        </w:r>
        <w:r w:rsidR="00534814">
          <w:rPr>
            <w:noProof/>
            <w:webHidden/>
          </w:rPr>
          <w:fldChar w:fldCharType="separate"/>
        </w:r>
        <w:r w:rsidR="00514931">
          <w:rPr>
            <w:noProof/>
            <w:webHidden/>
          </w:rPr>
          <w:t>22</w:t>
        </w:r>
        <w:r w:rsidR="00534814">
          <w:rPr>
            <w:noProof/>
            <w:webHidden/>
          </w:rPr>
          <w:fldChar w:fldCharType="end"/>
        </w:r>
      </w:hyperlink>
    </w:p>
    <w:p w:rsidR="00534814" w:rsidRDefault="001B0996">
      <w:pPr>
        <w:pStyle w:val="TableofFigures"/>
        <w:tabs>
          <w:tab w:val="right" w:leader="dot" w:pos="9854"/>
        </w:tabs>
        <w:rPr>
          <w:rFonts w:eastAsiaTheme="minorEastAsia"/>
          <w:noProof/>
          <w:color w:val="auto"/>
          <w:kern w:val="0"/>
          <w:sz w:val="22"/>
          <w:szCs w:val="22"/>
          <w:lang w:eastAsia="en-AU"/>
        </w:rPr>
      </w:pPr>
      <w:hyperlink w:anchor="_Toc135320132" w:history="1">
        <w:r w:rsidR="00534814" w:rsidRPr="00197249">
          <w:rPr>
            <w:rStyle w:val="Hyperlink"/>
            <w:noProof/>
          </w:rPr>
          <w:t>Table 7: Average vehicle operating costs per VKT used in the analysis</w:t>
        </w:r>
        <w:r w:rsidR="00534814">
          <w:rPr>
            <w:noProof/>
            <w:webHidden/>
          </w:rPr>
          <w:tab/>
        </w:r>
        <w:r w:rsidR="00534814">
          <w:rPr>
            <w:noProof/>
            <w:webHidden/>
          </w:rPr>
          <w:fldChar w:fldCharType="begin"/>
        </w:r>
        <w:r w:rsidR="00534814">
          <w:rPr>
            <w:noProof/>
            <w:webHidden/>
          </w:rPr>
          <w:instrText xml:space="preserve"> PAGEREF _Toc135320132 \h </w:instrText>
        </w:r>
        <w:r w:rsidR="00534814">
          <w:rPr>
            <w:noProof/>
            <w:webHidden/>
          </w:rPr>
        </w:r>
        <w:r w:rsidR="00534814">
          <w:rPr>
            <w:noProof/>
            <w:webHidden/>
          </w:rPr>
          <w:fldChar w:fldCharType="separate"/>
        </w:r>
        <w:r w:rsidR="00514931">
          <w:rPr>
            <w:noProof/>
            <w:webHidden/>
          </w:rPr>
          <w:t>22</w:t>
        </w:r>
        <w:r w:rsidR="00534814">
          <w:rPr>
            <w:noProof/>
            <w:webHidden/>
          </w:rPr>
          <w:fldChar w:fldCharType="end"/>
        </w:r>
      </w:hyperlink>
    </w:p>
    <w:p w:rsidR="00534814" w:rsidRDefault="001B0996">
      <w:pPr>
        <w:pStyle w:val="TableofFigures"/>
        <w:tabs>
          <w:tab w:val="right" w:leader="dot" w:pos="9854"/>
        </w:tabs>
        <w:rPr>
          <w:rFonts w:eastAsiaTheme="minorEastAsia"/>
          <w:noProof/>
          <w:color w:val="auto"/>
          <w:kern w:val="0"/>
          <w:sz w:val="22"/>
          <w:szCs w:val="22"/>
          <w:lang w:eastAsia="en-AU"/>
        </w:rPr>
      </w:pPr>
      <w:hyperlink w:anchor="_Toc135320133" w:history="1">
        <w:r w:rsidR="00534814" w:rsidRPr="00197249">
          <w:rPr>
            <w:rStyle w:val="Hyperlink"/>
            <w:noProof/>
          </w:rPr>
          <w:t>Table 8: Average environmental costs per VKT used in the analysis</w:t>
        </w:r>
        <w:r w:rsidR="00534814">
          <w:rPr>
            <w:noProof/>
            <w:webHidden/>
          </w:rPr>
          <w:tab/>
        </w:r>
        <w:r w:rsidR="00534814">
          <w:rPr>
            <w:noProof/>
            <w:webHidden/>
          </w:rPr>
          <w:fldChar w:fldCharType="begin"/>
        </w:r>
        <w:r w:rsidR="00534814">
          <w:rPr>
            <w:noProof/>
            <w:webHidden/>
          </w:rPr>
          <w:instrText xml:space="preserve"> PAGEREF _Toc135320133 \h </w:instrText>
        </w:r>
        <w:r w:rsidR="00534814">
          <w:rPr>
            <w:noProof/>
            <w:webHidden/>
          </w:rPr>
        </w:r>
        <w:r w:rsidR="00534814">
          <w:rPr>
            <w:noProof/>
            <w:webHidden/>
          </w:rPr>
          <w:fldChar w:fldCharType="separate"/>
        </w:r>
        <w:r w:rsidR="00514931">
          <w:rPr>
            <w:noProof/>
            <w:webHidden/>
          </w:rPr>
          <w:t>23</w:t>
        </w:r>
        <w:r w:rsidR="00534814">
          <w:rPr>
            <w:noProof/>
            <w:webHidden/>
          </w:rPr>
          <w:fldChar w:fldCharType="end"/>
        </w:r>
      </w:hyperlink>
    </w:p>
    <w:p w:rsidR="00534814" w:rsidRDefault="001B0996">
      <w:pPr>
        <w:pStyle w:val="TableofFigures"/>
        <w:tabs>
          <w:tab w:val="right" w:leader="dot" w:pos="9854"/>
        </w:tabs>
        <w:rPr>
          <w:rFonts w:eastAsiaTheme="minorEastAsia"/>
          <w:noProof/>
          <w:color w:val="auto"/>
          <w:kern w:val="0"/>
          <w:sz w:val="22"/>
          <w:szCs w:val="22"/>
          <w:lang w:eastAsia="en-AU"/>
        </w:rPr>
      </w:pPr>
      <w:hyperlink w:anchor="_Toc135320134" w:history="1">
        <w:r w:rsidR="00534814" w:rsidRPr="00197249">
          <w:rPr>
            <w:rStyle w:val="Hyperlink"/>
            <w:noProof/>
          </w:rPr>
          <w:t>Table 9: Unit fitment costs for safety systems or features used in the analysis</w:t>
        </w:r>
        <w:r w:rsidR="00534814">
          <w:rPr>
            <w:noProof/>
            <w:webHidden/>
          </w:rPr>
          <w:tab/>
        </w:r>
        <w:r w:rsidR="00534814">
          <w:rPr>
            <w:noProof/>
            <w:webHidden/>
          </w:rPr>
          <w:fldChar w:fldCharType="begin"/>
        </w:r>
        <w:r w:rsidR="00534814">
          <w:rPr>
            <w:noProof/>
            <w:webHidden/>
          </w:rPr>
          <w:instrText xml:space="preserve"> PAGEREF _Toc135320134 \h </w:instrText>
        </w:r>
        <w:r w:rsidR="00534814">
          <w:rPr>
            <w:noProof/>
            <w:webHidden/>
          </w:rPr>
        </w:r>
        <w:r w:rsidR="00534814">
          <w:rPr>
            <w:noProof/>
            <w:webHidden/>
          </w:rPr>
          <w:fldChar w:fldCharType="separate"/>
        </w:r>
        <w:r w:rsidR="00514931">
          <w:rPr>
            <w:noProof/>
            <w:webHidden/>
          </w:rPr>
          <w:t>24</w:t>
        </w:r>
        <w:r w:rsidR="00534814">
          <w:rPr>
            <w:noProof/>
            <w:webHidden/>
          </w:rPr>
          <w:fldChar w:fldCharType="end"/>
        </w:r>
      </w:hyperlink>
    </w:p>
    <w:p w:rsidR="00534814" w:rsidRDefault="001B0996">
      <w:pPr>
        <w:pStyle w:val="TableofFigures"/>
        <w:tabs>
          <w:tab w:val="right" w:leader="dot" w:pos="9854"/>
        </w:tabs>
        <w:rPr>
          <w:rFonts w:eastAsiaTheme="minorEastAsia"/>
          <w:noProof/>
          <w:color w:val="auto"/>
          <w:kern w:val="0"/>
          <w:sz w:val="22"/>
          <w:szCs w:val="22"/>
          <w:lang w:eastAsia="en-AU"/>
        </w:rPr>
      </w:pPr>
      <w:hyperlink w:anchor="_Toc135320135" w:history="1">
        <w:r w:rsidR="00534814" w:rsidRPr="00197249">
          <w:rPr>
            <w:rStyle w:val="Hyperlink"/>
            <w:noProof/>
          </w:rPr>
          <w:t>Table 10: Summary of the outcomes of the BCA for each option</w:t>
        </w:r>
        <w:r w:rsidR="00534814">
          <w:rPr>
            <w:noProof/>
            <w:webHidden/>
          </w:rPr>
          <w:tab/>
        </w:r>
        <w:r w:rsidR="00534814">
          <w:rPr>
            <w:noProof/>
            <w:webHidden/>
          </w:rPr>
          <w:fldChar w:fldCharType="begin"/>
        </w:r>
        <w:r w:rsidR="00534814">
          <w:rPr>
            <w:noProof/>
            <w:webHidden/>
          </w:rPr>
          <w:instrText xml:space="preserve"> PAGEREF _Toc135320135 \h </w:instrText>
        </w:r>
        <w:r w:rsidR="00534814">
          <w:rPr>
            <w:noProof/>
            <w:webHidden/>
          </w:rPr>
        </w:r>
        <w:r w:rsidR="00534814">
          <w:rPr>
            <w:noProof/>
            <w:webHidden/>
          </w:rPr>
          <w:fldChar w:fldCharType="separate"/>
        </w:r>
        <w:r w:rsidR="00514931">
          <w:rPr>
            <w:noProof/>
            <w:webHidden/>
          </w:rPr>
          <w:t>25</w:t>
        </w:r>
        <w:r w:rsidR="00534814">
          <w:rPr>
            <w:noProof/>
            <w:webHidden/>
          </w:rPr>
          <w:fldChar w:fldCharType="end"/>
        </w:r>
      </w:hyperlink>
    </w:p>
    <w:p w:rsidR="00534814" w:rsidRDefault="001B0996">
      <w:pPr>
        <w:pStyle w:val="TableofFigures"/>
        <w:tabs>
          <w:tab w:val="right" w:leader="dot" w:pos="9854"/>
        </w:tabs>
        <w:rPr>
          <w:rFonts w:eastAsiaTheme="minorEastAsia"/>
          <w:noProof/>
          <w:color w:val="auto"/>
          <w:kern w:val="0"/>
          <w:sz w:val="22"/>
          <w:szCs w:val="22"/>
          <w:lang w:eastAsia="en-AU"/>
        </w:rPr>
      </w:pPr>
      <w:hyperlink w:anchor="_Toc135320136" w:history="1">
        <w:r w:rsidR="00534814" w:rsidRPr="00197249">
          <w:rPr>
            <w:rStyle w:val="Hyperlink"/>
            <w:noProof/>
          </w:rPr>
          <w:t>Table 11: Impact of changes to the discount rate on net benefits</w:t>
        </w:r>
        <w:r w:rsidR="00534814">
          <w:rPr>
            <w:noProof/>
            <w:webHidden/>
          </w:rPr>
          <w:tab/>
        </w:r>
        <w:r w:rsidR="00534814">
          <w:rPr>
            <w:noProof/>
            <w:webHidden/>
          </w:rPr>
          <w:fldChar w:fldCharType="begin"/>
        </w:r>
        <w:r w:rsidR="00534814">
          <w:rPr>
            <w:noProof/>
            <w:webHidden/>
          </w:rPr>
          <w:instrText xml:space="preserve"> PAGEREF _Toc135320136 \h </w:instrText>
        </w:r>
        <w:r w:rsidR="00534814">
          <w:rPr>
            <w:noProof/>
            <w:webHidden/>
          </w:rPr>
        </w:r>
        <w:r w:rsidR="00534814">
          <w:rPr>
            <w:noProof/>
            <w:webHidden/>
          </w:rPr>
          <w:fldChar w:fldCharType="separate"/>
        </w:r>
        <w:r w:rsidR="00514931">
          <w:rPr>
            <w:noProof/>
            <w:webHidden/>
          </w:rPr>
          <w:t>25</w:t>
        </w:r>
        <w:r w:rsidR="00534814">
          <w:rPr>
            <w:noProof/>
            <w:webHidden/>
          </w:rPr>
          <w:fldChar w:fldCharType="end"/>
        </w:r>
      </w:hyperlink>
    </w:p>
    <w:p w:rsidR="00534814" w:rsidRDefault="001B0996">
      <w:pPr>
        <w:pStyle w:val="TableofFigures"/>
        <w:tabs>
          <w:tab w:val="right" w:leader="dot" w:pos="9854"/>
        </w:tabs>
        <w:rPr>
          <w:rFonts w:eastAsiaTheme="minorEastAsia"/>
          <w:noProof/>
          <w:color w:val="auto"/>
          <w:kern w:val="0"/>
          <w:sz w:val="22"/>
          <w:szCs w:val="22"/>
          <w:lang w:eastAsia="en-AU"/>
        </w:rPr>
      </w:pPr>
      <w:hyperlink w:anchor="_Toc135320137" w:history="1">
        <w:r w:rsidR="00534814" w:rsidRPr="00197249">
          <w:rPr>
            <w:rStyle w:val="Hyperlink"/>
            <w:noProof/>
          </w:rPr>
          <w:t>Table 12: Impact of changes in infrastructure update costs on net benefits</w:t>
        </w:r>
        <w:r w:rsidR="00534814">
          <w:rPr>
            <w:noProof/>
            <w:webHidden/>
          </w:rPr>
          <w:tab/>
        </w:r>
        <w:r w:rsidR="00534814">
          <w:rPr>
            <w:noProof/>
            <w:webHidden/>
          </w:rPr>
          <w:fldChar w:fldCharType="begin"/>
        </w:r>
        <w:r w:rsidR="00534814">
          <w:rPr>
            <w:noProof/>
            <w:webHidden/>
          </w:rPr>
          <w:instrText xml:space="preserve"> PAGEREF _Toc135320137 \h </w:instrText>
        </w:r>
        <w:r w:rsidR="00534814">
          <w:rPr>
            <w:noProof/>
            <w:webHidden/>
          </w:rPr>
        </w:r>
        <w:r w:rsidR="00534814">
          <w:rPr>
            <w:noProof/>
            <w:webHidden/>
          </w:rPr>
          <w:fldChar w:fldCharType="separate"/>
        </w:r>
        <w:r w:rsidR="00514931">
          <w:rPr>
            <w:noProof/>
            <w:webHidden/>
          </w:rPr>
          <w:t>26</w:t>
        </w:r>
        <w:r w:rsidR="00534814">
          <w:rPr>
            <w:noProof/>
            <w:webHidden/>
          </w:rPr>
          <w:fldChar w:fldCharType="end"/>
        </w:r>
      </w:hyperlink>
    </w:p>
    <w:p w:rsidR="00534814" w:rsidRDefault="001B0996">
      <w:pPr>
        <w:pStyle w:val="TableofFigures"/>
        <w:tabs>
          <w:tab w:val="right" w:leader="dot" w:pos="9854"/>
        </w:tabs>
        <w:rPr>
          <w:rFonts w:eastAsiaTheme="minorEastAsia"/>
          <w:noProof/>
          <w:color w:val="auto"/>
          <w:kern w:val="0"/>
          <w:sz w:val="22"/>
          <w:szCs w:val="22"/>
          <w:lang w:eastAsia="en-AU"/>
        </w:rPr>
      </w:pPr>
      <w:hyperlink w:anchor="_Toc135320138" w:history="1">
        <w:r w:rsidR="00534814" w:rsidRPr="00197249">
          <w:rPr>
            <w:rStyle w:val="Hyperlink"/>
            <w:noProof/>
          </w:rPr>
          <w:t>Table 13: Impact of changes in fleet growth for heavy freight vehicles on net benefits</w:t>
        </w:r>
        <w:r w:rsidR="00534814">
          <w:rPr>
            <w:noProof/>
            <w:webHidden/>
          </w:rPr>
          <w:tab/>
        </w:r>
        <w:r w:rsidR="00534814">
          <w:rPr>
            <w:noProof/>
            <w:webHidden/>
          </w:rPr>
          <w:fldChar w:fldCharType="begin"/>
        </w:r>
        <w:r w:rsidR="00534814">
          <w:rPr>
            <w:noProof/>
            <w:webHidden/>
          </w:rPr>
          <w:instrText xml:space="preserve"> PAGEREF _Toc135320138 \h </w:instrText>
        </w:r>
        <w:r w:rsidR="00534814">
          <w:rPr>
            <w:noProof/>
            <w:webHidden/>
          </w:rPr>
        </w:r>
        <w:r w:rsidR="00534814">
          <w:rPr>
            <w:noProof/>
            <w:webHidden/>
          </w:rPr>
          <w:fldChar w:fldCharType="separate"/>
        </w:r>
        <w:r w:rsidR="00514931">
          <w:rPr>
            <w:noProof/>
            <w:webHidden/>
          </w:rPr>
          <w:t>26</w:t>
        </w:r>
        <w:r w:rsidR="00534814">
          <w:rPr>
            <w:noProof/>
            <w:webHidden/>
          </w:rPr>
          <w:fldChar w:fldCharType="end"/>
        </w:r>
      </w:hyperlink>
    </w:p>
    <w:p w:rsidR="00534814" w:rsidRDefault="001B0996">
      <w:pPr>
        <w:pStyle w:val="TableofFigures"/>
        <w:tabs>
          <w:tab w:val="right" w:leader="dot" w:pos="9854"/>
        </w:tabs>
        <w:rPr>
          <w:rFonts w:eastAsiaTheme="minorEastAsia"/>
          <w:noProof/>
          <w:color w:val="auto"/>
          <w:kern w:val="0"/>
          <w:sz w:val="22"/>
          <w:szCs w:val="22"/>
          <w:lang w:eastAsia="en-AU"/>
        </w:rPr>
      </w:pPr>
      <w:hyperlink w:anchor="_Toc135320139" w:history="1">
        <w:r w:rsidR="00534814" w:rsidRPr="00197249">
          <w:rPr>
            <w:rStyle w:val="Hyperlink"/>
            <w:noProof/>
          </w:rPr>
          <w:t>Table 14: Impact of changes in the cost of safety systems or features on net benefits</w:t>
        </w:r>
        <w:r w:rsidR="00534814">
          <w:rPr>
            <w:noProof/>
            <w:webHidden/>
          </w:rPr>
          <w:tab/>
        </w:r>
        <w:r w:rsidR="00534814">
          <w:rPr>
            <w:noProof/>
            <w:webHidden/>
          </w:rPr>
          <w:fldChar w:fldCharType="begin"/>
        </w:r>
        <w:r w:rsidR="00534814">
          <w:rPr>
            <w:noProof/>
            <w:webHidden/>
          </w:rPr>
          <w:instrText xml:space="preserve"> PAGEREF _Toc135320139 \h </w:instrText>
        </w:r>
        <w:r w:rsidR="00534814">
          <w:rPr>
            <w:noProof/>
            <w:webHidden/>
          </w:rPr>
        </w:r>
        <w:r w:rsidR="00534814">
          <w:rPr>
            <w:noProof/>
            <w:webHidden/>
          </w:rPr>
          <w:fldChar w:fldCharType="separate"/>
        </w:r>
        <w:r w:rsidR="00514931">
          <w:rPr>
            <w:noProof/>
            <w:webHidden/>
          </w:rPr>
          <w:t>26</w:t>
        </w:r>
        <w:r w:rsidR="00534814">
          <w:rPr>
            <w:noProof/>
            <w:webHidden/>
          </w:rPr>
          <w:fldChar w:fldCharType="end"/>
        </w:r>
      </w:hyperlink>
    </w:p>
    <w:p w:rsidR="00534814" w:rsidRDefault="001B0996">
      <w:pPr>
        <w:pStyle w:val="TableofFigures"/>
        <w:tabs>
          <w:tab w:val="right" w:leader="dot" w:pos="9854"/>
        </w:tabs>
        <w:rPr>
          <w:rFonts w:eastAsiaTheme="minorEastAsia"/>
          <w:noProof/>
          <w:color w:val="auto"/>
          <w:kern w:val="0"/>
          <w:sz w:val="22"/>
          <w:szCs w:val="22"/>
          <w:lang w:eastAsia="en-AU"/>
        </w:rPr>
      </w:pPr>
      <w:hyperlink w:anchor="_Toc135320140" w:history="1">
        <w:r w:rsidR="00534814" w:rsidRPr="00197249">
          <w:rPr>
            <w:rStyle w:val="Hyperlink"/>
            <w:noProof/>
          </w:rPr>
          <w:t>Table 15: Impact of changes in the effectiveness of safety systems or features on net benefits</w:t>
        </w:r>
        <w:r w:rsidR="00534814">
          <w:rPr>
            <w:noProof/>
            <w:webHidden/>
          </w:rPr>
          <w:tab/>
        </w:r>
        <w:r w:rsidR="00534814">
          <w:rPr>
            <w:noProof/>
            <w:webHidden/>
          </w:rPr>
          <w:fldChar w:fldCharType="begin"/>
        </w:r>
        <w:r w:rsidR="00534814">
          <w:rPr>
            <w:noProof/>
            <w:webHidden/>
          </w:rPr>
          <w:instrText xml:space="preserve"> PAGEREF _Toc135320140 \h </w:instrText>
        </w:r>
        <w:r w:rsidR="00534814">
          <w:rPr>
            <w:noProof/>
            <w:webHidden/>
          </w:rPr>
        </w:r>
        <w:r w:rsidR="00534814">
          <w:rPr>
            <w:noProof/>
            <w:webHidden/>
          </w:rPr>
          <w:fldChar w:fldCharType="separate"/>
        </w:r>
        <w:r w:rsidR="00514931">
          <w:rPr>
            <w:noProof/>
            <w:webHidden/>
          </w:rPr>
          <w:t>26</w:t>
        </w:r>
        <w:r w:rsidR="00534814">
          <w:rPr>
            <w:noProof/>
            <w:webHidden/>
          </w:rPr>
          <w:fldChar w:fldCharType="end"/>
        </w:r>
      </w:hyperlink>
    </w:p>
    <w:p w:rsidR="00534814" w:rsidRDefault="001B0996">
      <w:pPr>
        <w:pStyle w:val="TableofFigures"/>
        <w:tabs>
          <w:tab w:val="right" w:leader="dot" w:pos="9854"/>
        </w:tabs>
        <w:rPr>
          <w:rFonts w:eastAsiaTheme="minorEastAsia"/>
          <w:noProof/>
          <w:color w:val="auto"/>
          <w:kern w:val="0"/>
          <w:sz w:val="22"/>
          <w:szCs w:val="22"/>
          <w:lang w:eastAsia="en-AU"/>
        </w:rPr>
      </w:pPr>
      <w:hyperlink w:anchor="_Toc135320141" w:history="1">
        <w:r w:rsidR="00534814" w:rsidRPr="00197249">
          <w:rPr>
            <w:rStyle w:val="Hyperlink"/>
            <w:noProof/>
          </w:rPr>
          <w:t>Table 16: Impact of changes in frontal impact and rollover crash risk for wider vehicles on net benefits</w:t>
        </w:r>
        <w:r w:rsidR="00534814">
          <w:rPr>
            <w:noProof/>
            <w:webHidden/>
          </w:rPr>
          <w:tab/>
        </w:r>
        <w:r w:rsidR="00534814">
          <w:rPr>
            <w:noProof/>
            <w:webHidden/>
          </w:rPr>
          <w:fldChar w:fldCharType="begin"/>
        </w:r>
        <w:r w:rsidR="00534814">
          <w:rPr>
            <w:noProof/>
            <w:webHidden/>
          </w:rPr>
          <w:instrText xml:space="preserve"> PAGEREF _Toc135320141 \h </w:instrText>
        </w:r>
        <w:r w:rsidR="00534814">
          <w:rPr>
            <w:noProof/>
            <w:webHidden/>
          </w:rPr>
        </w:r>
        <w:r w:rsidR="00534814">
          <w:rPr>
            <w:noProof/>
            <w:webHidden/>
          </w:rPr>
          <w:fldChar w:fldCharType="separate"/>
        </w:r>
        <w:r w:rsidR="00514931">
          <w:rPr>
            <w:noProof/>
            <w:webHidden/>
          </w:rPr>
          <w:t>26</w:t>
        </w:r>
        <w:r w:rsidR="00534814">
          <w:rPr>
            <w:noProof/>
            <w:webHidden/>
          </w:rPr>
          <w:fldChar w:fldCharType="end"/>
        </w:r>
      </w:hyperlink>
    </w:p>
    <w:p w:rsidR="00534814" w:rsidRDefault="001B0996">
      <w:pPr>
        <w:pStyle w:val="TableofFigures"/>
        <w:tabs>
          <w:tab w:val="right" w:leader="dot" w:pos="9854"/>
        </w:tabs>
        <w:rPr>
          <w:rFonts w:eastAsiaTheme="minorEastAsia"/>
          <w:noProof/>
          <w:color w:val="auto"/>
          <w:kern w:val="0"/>
          <w:sz w:val="22"/>
          <w:szCs w:val="22"/>
          <w:lang w:eastAsia="en-AU"/>
        </w:rPr>
      </w:pPr>
      <w:hyperlink w:anchor="_Toc135320142" w:history="1">
        <w:r w:rsidR="00534814" w:rsidRPr="00197249">
          <w:rPr>
            <w:rStyle w:val="Hyperlink"/>
            <w:noProof/>
          </w:rPr>
          <w:t>Table 17: Impact of changes in trip reductions achieved by wider freight vehicles on net benefits</w:t>
        </w:r>
        <w:r w:rsidR="00534814">
          <w:rPr>
            <w:noProof/>
            <w:webHidden/>
          </w:rPr>
          <w:tab/>
        </w:r>
        <w:r w:rsidR="00534814">
          <w:rPr>
            <w:noProof/>
            <w:webHidden/>
          </w:rPr>
          <w:fldChar w:fldCharType="begin"/>
        </w:r>
        <w:r w:rsidR="00534814">
          <w:rPr>
            <w:noProof/>
            <w:webHidden/>
          </w:rPr>
          <w:instrText xml:space="preserve"> PAGEREF _Toc135320142 \h </w:instrText>
        </w:r>
        <w:r w:rsidR="00534814">
          <w:rPr>
            <w:noProof/>
            <w:webHidden/>
          </w:rPr>
        </w:r>
        <w:r w:rsidR="00534814">
          <w:rPr>
            <w:noProof/>
            <w:webHidden/>
          </w:rPr>
          <w:fldChar w:fldCharType="separate"/>
        </w:r>
        <w:r w:rsidR="00514931">
          <w:rPr>
            <w:noProof/>
            <w:webHidden/>
          </w:rPr>
          <w:t>27</w:t>
        </w:r>
        <w:r w:rsidR="00534814">
          <w:rPr>
            <w:noProof/>
            <w:webHidden/>
          </w:rPr>
          <w:fldChar w:fldCharType="end"/>
        </w:r>
      </w:hyperlink>
    </w:p>
    <w:p w:rsidR="00534814" w:rsidRDefault="001B0996">
      <w:pPr>
        <w:pStyle w:val="TableofFigures"/>
        <w:tabs>
          <w:tab w:val="right" w:leader="dot" w:pos="9854"/>
        </w:tabs>
        <w:rPr>
          <w:rFonts w:eastAsiaTheme="minorEastAsia"/>
          <w:noProof/>
          <w:color w:val="auto"/>
          <w:kern w:val="0"/>
          <w:sz w:val="22"/>
          <w:szCs w:val="22"/>
          <w:lang w:eastAsia="en-AU"/>
        </w:rPr>
      </w:pPr>
      <w:hyperlink w:anchor="_Toc135320143" w:history="1">
        <w:r w:rsidR="00534814" w:rsidRPr="00197249">
          <w:rPr>
            <w:rStyle w:val="Hyperlink"/>
            <w:noProof/>
          </w:rPr>
          <w:t>Table 18: Summary of the benefits for each option</w:t>
        </w:r>
        <w:r w:rsidR="00534814">
          <w:rPr>
            <w:noProof/>
            <w:webHidden/>
          </w:rPr>
          <w:tab/>
        </w:r>
        <w:r w:rsidR="00534814">
          <w:rPr>
            <w:noProof/>
            <w:webHidden/>
          </w:rPr>
          <w:fldChar w:fldCharType="begin"/>
        </w:r>
        <w:r w:rsidR="00534814">
          <w:rPr>
            <w:noProof/>
            <w:webHidden/>
          </w:rPr>
          <w:instrText xml:space="preserve"> PAGEREF _Toc135320143 \h </w:instrText>
        </w:r>
        <w:r w:rsidR="00534814">
          <w:rPr>
            <w:noProof/>
            <w:webHidden/>
          </w:rPr>
        </w:r>
        <w:r w:rsidR="00534814">
          <w:rPr>
            <w:noProof/>
            <w:webHidden/>
          </w:rPr>
          <w:fldChar w:fldCharType="separate"/>
        </w:r>
        <w:r w:rsidR="00514931">
          <w:rPr>
            <w:noProof/>
            <w:webHidden/>
          </w:rPr>
          <w:t>29</w:t>
        </w:r>
        <w:r w:rsidR="00534814">
          <w:rPr>
            <w:noProof/>
            <w:webHidden/>
          </w:rPr>
          <w:fldChar w:fldCharType="end"/>
        </w:r>
      </w:hyperlink>
    </w:p>
    <w:p w:rsidR="00534814" w:rsidRDefault="001B0996">
      <w:pPr>
        <w:pStyle w:val="TableofFigures"/>
        <w:tabs>
          <w:tab w:val="right" w:leader="dot" w:pos="9854"/>
        </w:tabs>
        <w:rPr>
          <w:rFonts w:eastAsiaTheme="minorEastAsia"/>
          <w:noProof/>
          <w:color w:val="auto"/>
          <w:kern w:val="0"/>
          <w:sz w:val="22"/>
          <w:szCs w:val="22"/>
          <w:lang w:eastAsia="en-AU"/>
        </w:rPr>
      </w:pPr>
      <w:hyperlink w:anchor="_Toc135320144" w:history="1">
        <w:r w:rsidR="00534814" w:rsidRPr="00197249">
          <w:rPr>
            <w:rStyle w:val="Hyperlink"/>
            <w:noProof/>
          </w:rPr>
          <w:t>Table 19: Summary of the costs for each option</w:t>
        </w:r>
        <w:r w:rsidR="00534814">
          <w:rPr>
            <w:noProof/>
            <w:webHidden/>
          </w:rPr>
          <w:tab/>
        </w:r>
        <w:r w:rsidR="00534814">
          <w:rPr>
            <w:noProof/>
            <w:webHidden/>
          </w:rPr>
          <w:fldChar w:fldCharType="begin"/>
        </w:r>
        <w:r w:rsidR="00534814">
          <w:rPr>
            <w:noProof/>
            <w:webHidden/>
          </w:rPr>
          <w:instrText xml:space="preserve"> PAGEREF _Toc135320144 \h </w:instrText>
        </w:r>
        <w:r w:rsidR="00534814">
          <w:rPr>
            <w:noProof/>
            <w:webHidden/>
          </w:rPr>
        </w:r>
        <w:r w:rsidR="00534814">
          <w:rPr>
            <w:noProof/>
            <w:webHidden/>
          </w:rPr>
          <w:fldChar w:fldCharType="separate"/>
        </w:r>
        <w:r w:rsidR="00514931">
          <w:rPr>
            <w:noProof/>
            <w:webHidden/>
          </w:rPr>
          <w:t>31</w:t>
        </w:r>
        <w:r w:rsidR="00534814">
          <w:rPr>
            <w:noProof/>
            <w:webHidden/>
          </w:rPr>
          <w:fldChar w:fldCharType="end"/>
        </w:r>
      </w:hyperlink>
    </w:p>
    <w:p w:rsidR="00534814" w:rsidRDefault="001B0996">
      <w:pPr>
        <w:pStyle w:val="TableofFigures"/>
        <w:tabs>
          <w:tab w:val="right" w:leader="dot" w:pos="9854"/>
        </w:tabs>
        <w:rPr>
          <w:rFonts w:eastAsiaTheme="minorEastAsia"/>
          <w:noProof/>
          <w:color w:val="auto"/>
          <w:kern w:val="0"/>
          <w:sz w:val="22"/>
          <w:szCs w:val="22"/>
          <w:lang w:eastAsia="en-AU"/>
        </w:rPr>
      </w:pPr>
      <w:hyperlink w:anchor="_Toc135320145" w:history="1">
        <w:r w:rsidR="00534814" w:rsidRPr="00197249">
          <w:rPr>
            <w:rStyle w:val="Hyperlink"/>
            <w:noProof/>
          </w:rPr>
          <w:t>Table 20: Australian vehicle width limit, including summary of exclusions and conditions</w:t>
        </w:r>
        <w:r w:rsidR="00534814">
          <w:rPr>
            <w:noProof/>
            <w:webHidden/>
          </w:rPr>
          <w:tab/>
        </w:r>
        <w:r w:rsidR="00534814">
          <w:rPr>
            <w:noProof/>
            <w:webHidden/>
          </w:rPr>
          <w:fldChar w:fldCharType="begin"/>
        </w:r>
        <w:r w:rsidR="00534814">
          <w:rPr>
            <w:noProof/>
            <w:webHidden/>
          </w:rPr>
          <w:instrText xml:space="preserve"> PAGEREF _Toc135320145 \h </w:instrText>
        </w:r>
        <w:r w:rsidR="00534814">
          <w:rPr>
            <w:noProof/>
            <w:webHidden/>
          </w:rPr>
        </w:r>
        <w:r w:rsidR="00534814">
          <w:rPr>
            <w:noProof/>
            <w:webHidden/>
          </w:rPr>
          <w:fldChar w:fldCharType="separate"/>
        </w:r>
        <w:r w:rsidR="00514931">
          <w:rPr>
            <w:noProof/>
            <w:webHidden/>
          </w:rPr>
          <w:t>50</w:t>
        </w:r>
        <w:r w:rsidR="00534814">
          <w:rPr>
            <w:noProof/>
            <w:webHidden/>
          </w:rPr>
          <w:fldChar w:fldCharType="end"/>
        </w:r>
      </w:hyperlink>
    </w:p>
    <w:p w:rsidR="00534814" w:rsidRDefault="001B0996">
      <w:pPr>
        <w:pStyle w:val="TableofFigures"/>
        <w:tabs>
          <w:tab w:val="right" w:leader="dot" w:pos="9854"/>
        </w:tabs>
        <w:rPr>
          <w:rFonts w:eastAsiaTheme="minorEastAsia"/>
          <w:noProof/>
          <w:color w:val="auto"/>
          <w:kern w:val="0"/>
          <w:sz w:val="22"/>
          <w:szCs w:val="22"/>
          <w:lang w:eastAsia="en-AU"/>
        </w:rPr>
      </w:pPr>
      <w:hyperlink w:anchor="_Toc135320146" w:history="1">
        <w:r w:rsidR="00534814" w:rsidRPr="00197249">
          <w:rPr>
            <w:rStyle w:val="Hyperlink"/>
            <w:noProof/>
          </w:rPr>
          <w:t>Table 21: EU and UK vehicle width limits, including summary of exclusions and conditions</w:t>
        </w:r>
        <w:r w:rsidR="00534814">
          <w:rPr>
            <w:noProof/>
            <w:webHidden/>
          </w:rPr>
          <w:tab/>
        </w:r>
        <w:r w:rsidR="00534814">
          <w:rPr>
            <w:noProof/>
            <w:webHidden/>
          </w:rPr>
          <w:fldChar w:fldCharType="begin"/>
        </w:r>
        <w:r w:rsidR="00534814">
          <w:rPr>
            <w:noProof/>
            <w:webHidden/>
          </w:rPr>
          <w:instrText xml:space="preserve"> PAGEREF _Toc135320146 \h </w:instrText>
        </w:r>
        <w:r w:rsidR="00534814">
          <w:rPr>
            <w:noProof/>
            <w:webHidden/>
          </w:rPr>
        </w:r>
        <w:r w:rsidR="00534814">
          <w:rPr>
            <w:noProof/>
            <w:webHidden/>
          </w:rPr>
          <w:fldChar w:fldCharType="separate"/>
        </w:r>
        <w:r w:rsidR="00514931">
          <w:rPr>
            <w:noProof/>
            <w:webHidden/>
          </w:rPr>
          <w:t>51</w:t>
        </w:r>
        <w:r w:rsidR="00534814">
          <w:rPr>
            <w:noProof/>
            <w:webHidden/>
          </w:rPr>
          <w:fldChar w:fldCharType="end"/>
        </w:r>
      </w:hyperlink>
    </w:p>
    <w:p w:rsidR="00534814" w:rsidRDefault="001B0996">
      <w:pPr>
        <w:pStyle w:val="TableofFigures"/>
        <w:tabs>
          <w:tab w:val="right" w:leader="dot" w:pos="9854"/>
        </w:tabs>
        <w:rPr>
          <w:rFonts w:eastAsiaTheme="minorEastAsia"/>
          <w:noProof/>
          <w:color w:val="auto"/>
          <w:kern w:val="0"/>
          <w:sz w:val="22"/>
          <w:szCs w:val="22"/>
          <w:lang w:eastAsia="en-AU"/>
        </w:rPr>
      </w:pPr>
      <w:hyperlink w:anchor="_Toc135320147" w:history="1">
        <w:r w:rsidR="00534814" w:rsidRPr="00197249">
          <w:rPr>
            <w:rStyle w:val="Hyperlink"/>
            <w:noProof/>
          </w:rPr>
          <w:t>Table 22: Japanese vehicle width limit, including summary of exclusions and conditions</w:t>
        </w:r>
        <w:r w:rsidR="00534814">
          <w:rPr>
            <w:noProof/>
            <w:webHidden/>
          </w:rPr>
          <w:tab/>
        </w:r>
        <w:r w:rsidR="00534814">
          <w:rPr>
            <w:noProof/>
            <w:webHidden/>
          </w:rPr>
          <w:fldChar w:fldCharType="begin"/>
        </w:r>
        <w:r w:rsidR="00534814">
          <w:rPr>
            <w:noProof/>
            <w:webHidden/>
          </w:rPr>
          <w:instrText xml:space="preserve"> PAGEREF _Toc135320147 \h </w:instrText>
        </w:r>
        <w:r w:rsidR="00534814">
          <w:rPr>
            <w:noProof/>
            <w:webHidden/>
          </w:rPr>
        </w:r>
        <w:r w:rsidR="00534814">
          <w:rPr>
            <w:noProof/>
            <w:webHidden/>
          </w:rPr>
          <w:fldChar w:fldCharType="separate"/>
        </w:r>
        <w:r w:rsidR="00514931">
          <w:rPr>
            <w:noProof/>
            <w:webHidden/>
          </w:rPr>
          <w:t>52</w:t>
        </w:r>
        <w:r w:rsidR="00534814">
          <w:rPr>
            <w:noProof/>
            <w:webHidden/>
          </w:rPr>
          <w:fldChar w:fldCharType="end"/>
        </w:r>
      </w:hyperlink>
    </w:p>
    <w:p w:rsidR="00534814" w:rsidRDefault="001B0996">
      <w:pPr>
        <w:pStyle w:val="TableofFigures"/>
        <w:tabs>
          <w:tab w:val="right" w:leader="dot" w:pos="9854"/>
        </w:tabs>
        <w:rPr>
          <w:rFonts w:eastAsiaTheme="minorEastAsia"/>
          <w:noProof/>
          <w:color w:val="auto"/>
          <w:kern w:val="0"/>
          <w:sz w:val="22"/>
          <w:szCs w:val="22"/>
          <w:lang w:eastAsia="en-AU"/>
        </w:rPr>
      </w:pPr>
      <w:hyperlink w:anchor="_Toc135320148" w:history="1">
        <w:r w:rsidR="00534814" w:rsidRPr="00197249">
          <w:rPr>
            <w:rStyle w:val="Hyperlink"/>
            <w:noProof/>
          </w:rPr>
          <w:t>Table 23: New Zealand vehicle width limit, including summary of exclusions and conditions</w:t>
        </w:r>
        <w:r w:rsidR="00534814">
          <w:rPr>
            <w:noProof/>
            <w:webHidden/>
          </w:rPr>
          <w:tab/>
        </w:r>
        <w:r w:rsidR="00534814">
          <w:rPr>
            <w:noProof/>
            <w:webHidden/>
          </w:rPr>
          <w:fldChar w:fldCharType="begin"/>
        </w:r>
        <w:r w:rsidR="00534814">
          <w:rPr>
            <w:noProof/>
            <w:webHidden/>
          </w:rPr>
          <w:instrText xml:space="preserve"> PAGEREF _Toc135320148 \h </w:instrText>
        </w:r>
        <w:r w:rsidR="00534814">
          <w:rPr>
            <w:noProof/>
            <w:webHidden/>
          </w:rPr>
        </w:r>
        <w:r w:rsidR="00534814">
          <w:rPr>
            <w:noProof/>
            <w:webHidden/>
          </w:rPr>
          <w:fldChar w:fldCharType="separate"/>
        </w:r>
        <w:r w:rsidR="00514931">
          <w:rPr>
            <w:noProof/>
            <w:webHidden/>
          </w:rPr>
          <w:t>52</w:t>
        </w:r>
        <w:r w:rsidR="00534814">
          <w:rPr>
            <w:noProof/>
            <w:webHidden/>
          </w:rPr>
          <w:fldChar w:fldCharType="end"/>
        </w:r>
      </w:hyperlink>
    </w:p>
    <w:p w:rsidR="00534814" w:rsidRDefault="001B0996">
      <w:pPr>
        <w:pStyle w:val="TableofFigures"/>
        <w:tabs>
          <w:tab w:val="right" w:leader="dot" w:pos="9854"/>
        </w:tabs>
        <w:rPr>
          <w:rFonts w:eastAsiaTheme="minorEastAsia"/>
          <w:noProof/>
          <w:color w:val="auto"/>
          <w:kern w:val="0"/>
          <w:sz w:val="22"/>
          <w:szCs w:val="22"/>
          <w:lang w:eastAsia="en-AU"/>
        </w:rPr>
      </w:pPr>
      <w:hyperlink w:anchor="_Toc135320149" w:history="1">
        <w:r w:rsidR="00534814" w:rsidRPr="00197249">
          <w:rPr>
            <w:rStyle w:val="Hyperlink"/>
            <w:noProof/>
          </w:rPr>
          <w:t>Table 24: US vehicle width limit, including summary of exclusions and conditions</w:t>
        </w:r>
        <w:r w:rsidR="00534814">
          <w:rPr>
            <w:noProof/>
            <w:webHidden/>
          </w:rPr>
          <w:tab/>
        </w:r>
        <w:r w:rsidR="00534814">
          <w:rPr>
            <w:noProof/>
            <w:webHidden/>
          </w:rPr>
          <w:fldChar w:fldCharType="begin"/>
        </w:r>
        <w:r w:rsidR="00534814">
          <w:rPr>
            <w:noProof/>
            <w:webHidden/>
          </w:rPr>
          <w:instrText xml:space="preserve"> PAGEREF _Toc135320149 \h </w:instrText>
        </w:r>
        <w:r w:rsidR="00534814">
          <w:rPr>
            <w:noProof/>
            <w:webHidden/>
          </w:rPr>
        </w:r>
        <w:r w:rsidR="00534814">
          <w:rPr>
            <w:noProof/>
            <w:webHidden/>
          </w:rPr>
          <w:fldChar w:fldCharType="separate"/>
        </w:r>
        <w:r w:rsidR="00514931">
          <w:rPr>
            <w:noProof/>
            <w:webHidden/>
          </w:rPr>
          <w:t>52</w:t>
        </w:r>
        <w:r w:rsidR="00534814">
          <w:rPr>
            <w:noProof/>
            <w:webHidden/>
          </w:rPr>
          <w:fldChar w:fldCharType="end"/>
        </w:r>
      </w:hyperlink>
    </w:p>
    <w:p w:rsidR="00534814" w:rsidRDefault="001B0996">
      <w:pPr>
        <w:pStyle w:val="TableofFigures"/>
        <w:tabs>
          <w:tab w:val="right" w:leader="dot" w:pos="9854"/>
        </w:tabs>
        <w:rPr>
          <w:rFonts w:eastAsiaTheme="minorEastAsia"/>
          <w:noProof/>
          <w:color w:val="auto"/>
          <w:kern w:val="0"/>
          <w:sz w:val="22"/>
          <w:szCs w:val="22"/>
          <w:lang w:eastAsia="en-AU"/>
        </w:rPr>
      </w:pPr>
      <w:hyperlink w:anchor="_Toc135320150" w:history="1">
        <w:r w:rsidR="00534814" w:rsidRPr="00197249">
          <w:rPr>
            <w:rStyle w:val="Hyperlink"/>
            <w:noProof/>
          </w:rPr>
          <w:t>Table 25: Minimum number of devices for indirect vision for goods vehicles over 3.5 tonnes maximum mass</w:t>
        </w:r>
        <w:r w:rsidR="00534814">
          <w:rPr>
            <w:noProof/>
            <w:webHidden/>
          </w:rPr>
          <w:tab/>
        </w:r>
        <w:r w:rsidR="00534814">
          <w:rPr>
            <w:noProof/>
            <w:webHidden/>
          </w:rPr>
          <w:fldChar w:fldCharType="begin"/>
        </w:r>
        <w:r w:rsidR="00534814">
          <w:rPr>
            <w:noProof/>
            <w:webHidden/>
          </w:rPr>
          <w:instrText xml:space="preserve"> PAGEREF _Toc135320150 \h </w:instrText>
        </w:r>
        <w:r w:rsidR="00534814">
          <w:rPr>
            <w:noProof/>
            <w:webHidden/>
          </w:rPr>
        </w:r>
        <w:r w:rsidR="00534814">
          <w:rPr>
            <w:noProof/>
            <w:webHidden/>
          </w:rPr>
          <w:fldChar w:fldCharType="separate"/>
        </w:r>
        <w:r w:rsidR="00514931">
          <w:rPr>
            <w:noProof/>
            <w:webHidden/>
          </w:rPr>
          <w:t>54</w:t>
        </w:r>
        <w:r w:rsidR="00534814">
          <w:rPr>
            <w:noProof/>
            <w:webHidden/>
          </w:rPr>
          <w:fldChar w:fldCharType="end"/>
        </w:r>
      </w:hyperlink>
    </w:p>
    <w:p w:rsidR="00534814" w:rsidRDefault="001B0996">
      <w:pPr>
        <w:pStyle w:val="TableofFigures"/>
        <w:tabs>
          <w:tab w:val="right" w:leader="dot" w:pos="9854"/>
        </w:tabs>
        <w:rPr>
          <w:rFonts w:eastAsiaTheme="minorEastAsia"/>
          <w:noProof/>
          <w:color w:val="auto"/>
          <w:kern w:val="0"/>
          <w:sz w:val="22"/>
          <w:szCs w:val="22"/>
          <w:lang w:eastAsia="en-AU"/>
        </w:rPr>
      </w:pPr>
      <w:hyperlink w:anchor="_Toc135320151" w:history="1">
        <w:r w:rsidR="00534814" w:rsidRPr="00197249">
          <w:rPr>
            <w:rStyle w:val="Hyperlink"/>
            <w:noProof/>
          </w:rPr>
          <w:t>Table 26: Summary of UN R131/01 collision warning mode, subject vehicle speed reduction, and moving test target speed requirements for goods vehicles</w:t>
        </w:r>
        <w:r w:rsidR="00534814">
          <w:rPr>
            <w:noProof/>
            <w:webHidden/>
          </w:rPr>
          <w:tab/>
        </w:r>
        <w:r w:rsidR="00534814">
          <w:rPr>
            <w:noProof/>
            <w:webHidden/>
          </w:rPr>
          <w:fldChar w:fldCharType="begin"/>
        </w:r>
        <w:r w:rsidR="00534814">
          <w:rPr>
            <w:noProof/>
            <w:webHidden/>
          </w:rPr>
          <w:instrText xml:space="preserve"> PAGEREF _Toc135320151 \h </w:instrText>
        </w:r>
        <w:r w:rsidR="00534814">
          <w:rPr>
            <w:noProof/>
            <w:webHidden/>
          </w:rPr>
        </w:r>
        <w:r w:rsidR="00534814">
          <w:rPr>
            <w:noProof/>
            <w:webHidden/>
          </w:rPr>
          <w:fldChar w:fldCharType="separate"/>
        </w:r>
        <w:r w:rsidR="00514931">
          <w:rPr>
            <w:noProof/>
            <w:webHidden/>
          </w:rPr>
          <w:t>61</w:t>
        </w:r>
        <w:r w:rsidR="00534814">
          <w:rPr>
            <w:noProof/>
            <w:webHidden/>
          </w:rPr>
          <w:fldChar w:fldCharType="end"/>
        </w:r>
      </w:hyperlink>
    </w:p>
    <w:p w:rsidR="00534814" w:rsidRDefault="001B0996">
      <w:pPr>
        <w:pStyle w:val="TableofFigures"/>
        <w:tabs>
          <w:tab w:val="right" w:leader="dot" w:pos="9854"/>
        </w:tabs>
        <w:rPr>
          <w:rFonts w:eastAsiaTheme="minorEastAsia"/>
          <w:noProof/>
          <w:color w:val="auto"/>
          <w:kern w:val="0"/>
          <w:sz w:val="22"/>
          <w:szCs w:val="22"/>
          <w:lang w:eastAsia="en-AU"/>
        </w:rPr>
      </w:pPr>
      <w:hyperlink w:anchor="_Toc135320152" w:history="1">
        <w:r w:rsidR="00534814" w:rsidRPr="00197249">
          <w:rPr>
            <w:rStyle w:val="Hyperlink"/>
            <w:noProof/>
          </w:rPr>
          <w:t>Table 27: Summary of public comments</w:t>
        </w:r>
        <w:r w:rsidR="00534814">
          <w:rPr>
            <w:noProof/>
            <w:webHidden/>
          </w:rPr>
          <w:tab/>
        </w:r>
        <w:r w:rsidR="00534814">
          <w:rPr>
            <w:noProof/>
            <w:webHidden/>
          </w:rPr>
          <w:fldChar w:fldCharType="begin"/>
        </w:r>
        <w:r w:rsidR="00534814">
          <w:rPr>
            <w:noProof/>
            <w:webHidden/>
          </w:rPr>
          <w:instrText xml:space="preserve"> PAGEREF _Toc135320152 \h </w:instrText>
        </w:r>
        <w:r w:rsidR="00534814">
          <w:rPr>
            <w:noProof/>
            <w:webHidden/>
          </w:rPr>
        </w:r>
        <w:r w:rsidR="00534814">
          <w:rPr>
            <w:noProof/>
            <w:webHidden/>
          </w:rPr>
          <w:fldChar w:fldCharType="separate"/>
        </w:r>
        <w:r w:rsidR="00514931">
          <w:rPr>
            <w:noProof/>
            <w:webHidden/>
          </w:rPr>
          <w:t>71</w:t>
        </w:r>
        <w:r w:rsidR="00534814">
          <w:rPr>
            <w:noProof/>
            <w:webHidden/>
          </w:rPr>
          <w:fldChar w:fldCharType="end"/>
        </w:r>
      </w:hyperlink>
    </w:p>
    <w:p w:rsidR="003A12AB" w:rsidRPr="00191D60" w:rsidRDefault="00C66D0C" w:rsidP="005F4A5B">
      <w:pPr>
        <w:rPr>
          <w:color w:val="auto"/>
        </w:rPr>
      </w:pPr>
      <w:r w:rsidRPr="007B6E69">
        <w:fldChar w:fldCharType="end"/>
      </w:r>
      <w:bookmarkStart w:id="2" w:name="_Toc111576718"/>
    </w:p>
    <w:p w:rsidR="003A12AB" w:rsidRPr="00191D60" w:rsidRDefault="003A12AB" w:rsidP="006A4EBE">
      <w:pPr>
        <w:rPr>
          <w:rFonts w:asciiTheme="majorHAnsi" w:eastAsiaTheme="majorEastAsia" w:hAnsiTheme="majorHAnsi" w:cstheme="majorBidi"/>
          <w:color w:val="auto"/>
          <w:sz w:val="44"/>
          <w:szCs w:val="32"/>
        </w:rPr>
      </w:pPr>
      <w:r>
        <w:br w:type="page"/>
      </w:r>
    </w:p>
    <w:p w:rsidR="00A77C0E" w:rsidRPr="007B6E69" w:rsidRDefault="00A77C0E" w:rsidP="00A77C0E">
      <w:pPr>
        <w:pStyle w:val="TOCHeading"/>
      </w:pPr>
      <w:r w:rsidRPr="007B6E69">
        <w:t xml:space="preserve">List of </w:t>
      </w:r>
      <w:r>
        <w:t>figures</w:t>
      </w:r>
      <w:bookmarkEnd w:id="2"/>
    </w:p>
    <w:p w:rsidR="00C030CF" w:rsidRDefault="003A12AB">
      <w:pPr>
        <w:pStyle w:val="TableofFigures"/>
        <w:tabs>
          <w:tab w:val="right" w:leader="dot" w:pos="9854"/>
        </w:tabs>
        <w:rPr>
          <w:rFonts w:eastAsiaTheme="minorEastAsia"/>
          <w:noProof/>
          <w:color w:val="auto"/>
          <w:kern w:val="0"/>
          <w:sz w:val="22"/>
          <w:szCs w:val="22"/>
          <w:lang w:eastAsia="en-AU"/>
        </w:rPr>
      </w:pPr>
      <w:r>
        <w:fldChar w:fldCharType="begin"/>
      </w:r>
      <w:r>
        <w:instrText xml:space="preserve"> TOC \c "Figure" </w:instrText>
      </w:r>
      <w:r>
        <w:fldChar w:fldCharType="separate"/>
      </w:r>
      <w:r w:rsidR="00C030CF">
        <w:rPr>
          <w:noProof/>
        </w:rPr>
        <w:t>Figure 1: An internal monitor (left) and external camera (right) of a camera-monitor system for indirect vision</w:t>
      </w:r>
      <w:r w:rsidR="00C030CF" w:rsidRPr="008D31F2">
        <w:rPr>
          <w:noProof/>
        </w:rPr>
        <w:t xml:space="preserve"> </w:t>
      </w:r>
      <w:r w:rsidR="00C030CF">
        <w:rPr>
          <w:noProof/>
        </w:rPr>
        <w:t xml:space="preserve"> (source: supplied by Daimler Truck and Bus Australia Pacific)</w:t>
      </w:r>
      <w:r w:rsidR="00C030CF">
        <w:rPr>
          <w:noProof/>
        </w:rPr>
        <w:tab/>
      </w:r>
      <w:r w:rsidR="00C030CF">
        <w:rPr>
          <w:noProof/>
        </w:rPr>
        <w:fldChar w:fldCharType="begin"/>
      </w:r>
      <w:r w:rsidR="00C030CF">
        <w:rPr>
          <w:noProof/>
        </w:rPr>
        <w:instrText xml:space="preserve"> PAGEREF _Toc135321391 \h </w:instrText>
      </w:r>
      <w:r w:rsidR="00C030CF">
        <w:rPr>
          <w:noProof/>
        </w:rPr>
      </w:r>
      <w:r w:rsidR="00C030CF">
        <w:rPr>
          <w:noProof/>
        </w:rPr>
        <w:fldChar w:fldCharType="separate"/>
      </w:r>
      <w:r w:rsidR="00514931">
        <w:rPr>
          <w:noProof/>
        </w:rPr>
        <w:t>7</w:t>
      </w:r>
      <w:r w:rsidR="00C030CF">
        <w:rPr>
          <w:noProof/>
        </w:rPr>
        <w:fldChar w:fldCharType="end"/>
      </w:r>
    </w:p>
    <w:p w:rsidR="00C030CF" w:rsidRDefault="00C030CF">
      <w:pPr>
        <w:pStyle w:val="TableofFigures"/>
        <w:tabs>
          <w:tab w:val="right" w:leader="dot" w:pos="9854"/>
        </w:tabs>
        <w:rPr>
          <w:rFonts w:eastAsiaTheme="minorEastAsia"/>
          <w:noProof/>
          <w:color w:val="auto"/>
          <w:kern w:val="0"/>
          <w:sz w:val="22"/>
          <w:szCs w:val="22"/>
          <w:lang w:eastAsia="en-AU"/>
        </w:rPr>
      </w:pPr>
      <w:r>
        <w:rPr>
          <w:noProof/>
        </w:rPr>
        <w:t>Figure 2: Minimum required field of view under UN R46 for a close-proximity view (Class V) device for indirect vision (source: adapted (for right-hand-drive) from UN R46)</w:t>
      </w:r>
      <w:r>
        <w:rPr>
          <w:noProof/>
        </w:rPr>
        <w:tab/>
      </w:r>
      <w:r>
        <w:rPr>
          <w:noProof/>
        </w:rPr>
        <w:fldChar w:fldCharType="begin"/>
      </w:r>
      <w:r>
        <w:rPr>
          <w:noProof/>
        </w:rPr>
        <w:instrText xml:space="preserve"> PAGEREF _Toc135321392 \h </w:instrText>
      </w:r>
      <w:r>
        <w:rPr>
          <w:noProof/>
        </w:rPr>
      </w:r>
      <w:r>
        <w:rPr>
          <w:noProof/>
        </w:rPr>
        <w:fldChar w:fldCharType="separate"/>
      </w:r>
      <w:r w:rsidR="00514931">
        <w:rPr>
          <w:noProof/>
        </w:rPr>
        <w:t>8</w:t>
      </w:r>
      <w:r>
        <w:rPr>
          <w:noProof/>
        </w:rPr>
        <w:fldChar w:fldCharType="end"/>
      </w:r>
    </w:p>
    <w:p w:rsidR="00C030CF" w:rsidRDefault="00C030CF">
      <w:pPr>
        <w:pStyle w:val="TableofFigures"/>
        <w:tabs>
          <w:tab w:val="right" w:leader="dot" w:pos="9854"/>
        </w:tabs>
        <w:rPr>
          <w:rFonts w:eastAsiaTheme="minorEastAsia"/>
          <w:noProof/>
          <w:color w:val="auto"/>
          <w:kern w:val="0"/>
          <w:sz w:val="22"/>
          <w:szCs w:val="22"/>
          <w:lang w:eastAsia="en-AU"/>
        </w:rPr>
      </w:pPr>
      <w:r>
        <w:rPr>
          <w:noProof/>
        </w:rPr>
        <w:t>Figure 3: Minimum required field of view under UN R46 for a front-view (Class VI) device for indirect vision  (source: adapted (for right-hand-drive) from UN R46)</w:t>
      </w:r>
      <w:r>
        <w:rPr>
          <w:noProof/>
        </w:rPr>
        <w:tab/>
      </w:r>
      <w:r>
        <w:rPr>
          <w:noProof/>
        </w:rPr>
        <w:fldChar w:fldCharType="begin"/>
      </w:r>
      <w:r>
        <w:rPr>
          <w:noProof/>
        </w:rPr>
        <w:instrText xml:space="preserve"> PAGEREF _Toc135321393 \h </w:instrText>
      </w:r>
      <w:r>
        <w:rPr>
          <w:noProof/>
        </w:rPr>
      </w:r>
      <w:r>
        <w:rPr>
          <w:noProof/>
        </w:rPr>
        <w:fldChar w:fldCharType="separate"/>
      </w:r>
      <w:r w:rsidR="00514931">
        <w:rPr>
          <w:noProof/>
        </w:rPr>
        <w:t>8</w:t>
      </w:r>
      <w:r>
        <w:rPr>
          <w:noProof/>
        </w:rPr>
        <w:fldChar w:fldCharType="end"/>
      </w:r>
    </w:p>
    <w:p w:rsidR="00C030CF" w:rsidRDefault="00C030CF">
      <w:pPr>
        <w:pStyle w:val="TableofFigures"/>
        <w:tabs>
          <w:tab w:val="right" w:leader="dot" w:pos="9854"/>
        </w:tabs>
        <w:rPr>
          <w:rFonts w:eastAsiaTheme="minorEastAsia"/>
          <w:noProof/>
          <w:color w:val="auto"/>
          <w:kern w:val="0"/>
          <w:sz w:val="22"/>
          <w:szCs w:val="22"/>
          <w:lang w:eastAsia="en-AU"/>
        </w:rPr>
      </w:pPr>
      <w:r>
        <w:rPr>
          <w:noProof/>
        </w:rPr>
        <w:t>Figure 4: Truck sales in Australia (2020) by country/region of manufacture (source: supplied by the Truck Industry Council)</w:t>
      </w:r>
      <w:r>
        <w:rPr>
          <w:noProof/>
        </w:rPr>
        <w:tab/>
      </w:r>
      <w:r>
        <w:rPr>
          <w:noProof/>
        </w:rPr>
        <w:fldChar w:fldCharType="begin"/>
      </w:r>
      <w:r>
        <w:rPr>
          <w:noProof/>
        </w:rPr>
        <w:instrText xml:space="preserve"> PAGEREF _Toc135321394 \h </w:instrText>
      </w:r>
      <w:r>
        <w:rPr>
          <w:noProof/>
        </w:rPr>
      </w:r>
      <w:r>
        <w:rPr>
          <w:noProof/>
        </w:rPr>
        <w:fldChar w:fldCharType="separate"/>
      </w:r>
      <w:r w:rsidR="00514931">
        <w:rPr>
          <w:noProof/>
        </w:rPr>
        <w:t>9</w:t>
      </w:r>
      <w:r>
        <w:rPr>
          <w:noProof/>
        </w:rPr>
        <w:fldChar w:fldCharType="end"/>
      </w:r>
    </w:p>
    <w:p w:rsidR="00C030CF" w:rsidRDefault="00C030CF">
      <w:pPr>
        <w:pStyle w:val="TableofFigures"/>
        <w:tabs>
          <w:tab w:val="right" w:leader="dot" w:pos="9854"/>
        </w:tabs>
        <w:rPr>
          <w:rFonts w:eastAsiaTheme="minorEastAsia"/>
          <w:noProof/>
          <w:color w:val="auto"/>
          <w:kern w:val="0"/>
          <w:sz w:val="22"/>
          <w:szCs w:val="22"/>
          <w:lang w:eastAsia="en-AU"/>
        </w:rPr>
      </w:pPr>
      <w:r>
        <w:rPr>
          <w:noProof/>
        </w:rPr>
        <w:t>Figure 5: Modelled take-up of wider goods vehicles under Options 3.1a, 3.1b, 3.2a, and 3.2b</w:t>
      </w:r>
      <w:r>
        <w:rPr>
          <w:noProof/>
        </w:rPr>
        <w:tab/>
      </w:r>
      <w:r>
        <w:rPr>
          <w:noProof/>
        </w:rPr>
        <w:fldChar w:fldCharType="begin"/>
      </w:r>
      <w:r>
        <w:rPr>
          <w:noProof/>
        </w:rPr>
        <w:instrText xml:space="preserve"> PAGEREF _Toc135321395 \h </w:instrText>
      </w:r>
      <w:r>
        <w:rPr>
          <w:noProof/>
        </w:rPr>
      </w:r>
      <w:r>
        <w:rPr>
          <w:noProof/>
        </w:rPr>
        <w:fldChar w:fldCharType="separate"/>
      </w:r>
      <w:r w:rsidR="00514931">
        <w:rPr>
          <w:noProof/>
        </w:rPr>
        <w:t>19</w:t>
      </w:r>
      <w:r>
        <w:rPr>
          <w:noProof/>
        </w:rPr>
        <w:fldChar w:fldCharType="end"/>
      </w:r>
    </w:p>
    <w:p w:rsidR="00C030CF" w:rsidRDefault="00C030CF">
      <w:pPr>
        <w:pStyle w:val="TableofFigures"/>
        <w:tabs>
          <w:tab w:val="right" w:leader="dot" w:pos="9854"/>
        </w:tabs>
        <w:rPr>
          <w:rFonts w:eastAsiaTheme="minorEastAsia"/>
          <w:noProof/>
          <w:color w:val="auto"/>
          <w:kern w:val="0"/>
          <w:sz w:val="22"/>
          <w:szCs w:val="22"/>
          <w:lang w:eastAsia="en-AU"/>
        </w:rPr>
      </w:pPr>
      <w:r>
        <w:rPr>
          <w:noProof/>
        </w:rPr>
        <w:t>Figure 6: Modelled take-up of wider trailers under Options 3.1a and 3.2a</w:t>
      </w:r>
      <w:r>
        <w:rPr>
          <w:noProof/>
        </w:rPr>
        <w:tab/>
      </w:r>
      <w:r>
        <w:rPr>
          <w:noProof/>
        </w:rPr>
        <w:fldChar w:fldCharType="begin"/>
      </w:r>
      <w:r>
        <w:rPr>
          <w:noProof/>
        </w:rPr>
        <w:instrText xml:space="preserve"> PAGEREF _Toc135321396 \h </w:instrText>
      </w:r>
      <w:r>
        <w:rPr>
          <w:noProof/>
        </w:rPr>
      </w:r>
      <w:r>
        <w:rPr>
          <w:noProof/>
        </w:rPr>
        <w:fldChar w:fldCharType="separate"/>
      </w:r>
      <w:r w:rsidR="00514931">
        <w:rPr>
          <w:noProof/>
        </w:rPr>
        <w:t>20</w:t>
      </w:r>
      <w:r>
        <w:rPr>
          <w:noProof/>
        </w:rPr>
        <w:fldChar w:fldCharType="end"/>
      </w:r>
    </w:p>
    <w:p w:rsidR="00C030CF" w:rsidRDefault="00C030CF">
      <w:pPr>
        <w:pStyle w:val="TableofFigures"/>
        <w:tabs>
          <w:tab w:val="right" w:leader="dot" w:pos="9854"/>
        </w:tabs>
        <w:rPr>
          <w:rFonts w:eastAsiaTheme="minorEastAsia"/>
          <w:noProof/>
          <w:color w:val="auto"/>
          <w:kern w:val="0"/>
          <w:sz w:val="22"/>
          <w:szCs w:val="22"/>
          <w:lang w:eastAsia="en-AU"/>
        </w:rPr>
      </w:pPr>
      <w:r>
        <w:rPr>
          <w:noProof/>
        </w:rPr>
        <w:t>Figure 7: BAU take-up of safety systems or features used in the analysis for heavy freight vehicles</w:t>
      </w:r>
      <w:r>
        <w:rPr>
          <w:noProof/>
        </w:rPr>
        <w:tab/>
      </w:r>
      <w:r>
        <w:rPr>
          <w:noProof/>
        </w:rPr>
        <w:fldChar w:fldCharType="begin"/>
      </w:r>
      <w:r>
        <w:rPr>
          <w:noProof/>
        </w:rPr>
        <w:instrText xml:space="preserve"> PAGEREF _Toc135321397 \h </w:instrText>
      </w:r>
      <w:r>
        <w:rPr>
          <w:noProof/>
        </w:rPr>
      </w:r>
      <w:r>
        <w:rPr>
          <w:noProof/>
        </w:rPr>
        <w:fldChar w:fldCharType="separate"/>
      </w:r>
      <w:r w:rsidR="00514931">
        <w:rPr>
          <w:noProof/>
        </w:rPr>
        <w:t>21</w:t>
      </w:r>
      <w:r>
        <w:rPr>
          <w:noProof/>
        </w:rPr>
        <w:fldChar w:fldCharType="end"/>
      </w:r>
    </w:p>
    <w:p w:rsidR="00C030CF" w:rsidRDefault="00C030CF">
      <w:pPr>
        <w:pStyle w:val="TableofFigures"/>
        <w:tabs>
          <w:tab w:val="right" w:leader="dot" w:pos="9854"/>
        </w:tabs>
        <w:rPr>
          <w:rFonts w:eastAsiaTheme="minorEastAsia"/>
          <w:noProof/>
          <w:color w:val="auto"/>
          <w:kern w:val="0"/>
          <w:sz w:val="22"/>
          <w:szCs w:val="22"/>
          <w:lang w:eastAsia="en-AU"/>
        </w:rPr>
      </w:pPr>
      <w:r>
        <w:rPr>
          <w:noProof/>
        </w:rPr>
        <w:t>Figure 8: Total (i.e. cumulative) benefits under Option 3.1a at each year of the analysis period</w:t>
      </w:r>
      <w:r>
        <w:rPr>
          <w:noProof/>
        </w:rPr>
        <w:tab/>
      </w:r>
      <w:r>
        <w:rPr>
          <w:noProof/>
        </w:rPr>
        <w:fldChar w:fldCharType="begin"/>
      </w:r>
      <w:r>
        <w:rPr>
          <w:noProof/>
        </w:rPr>
        <w:instrText xml:space="preserve"> PAGEREF _Toc135321398 \h </w:instrText>
      </w:r>
      <w:r>
        <w:rPr>
          <w:noProof/>
        </w:rPr>
      </w:r>
      <w:r>
        <w:rPr>
          <w:noProof/>
        </w:rPr>
        <w:fldChar w:fldCharType="separate"/>
      </w:r>
      <w:r w:rsidR="00514931">
        <w:rPr>
          <w:noProof/>
        </w:rPr>
        <w:t>29</w:t>
      </w:r>
      <w:r>
        <w:rPr>
          <w:noProof/>
        </w:rPr>
        <w:fldChar w:fldCharType="end"/>
      </w:r>
    </w:p>
    <w:p w:rsidR="00C030CF" w:rsidRDefault="00C030CF">
      <w:pPr>
        <w:pStyle w:val="TableofFigures"/>
        <w:tabs>
          <w:tab w:val="right" w:leader="dot" w:pos="9854"/>
        </w:tabs>
        <w:rPr>
          <w:rFonts w:eastAsiaTheme="minorEastAsia"/>
          <w:noProof/>
          <w:color w:val="auto"/>
          <w:kern w:val="0"/>
          <w:sz w:val="22"/>
          <w:szCs w:val="22"/>
          <w:lang w:eastAsia="en-AU"/>
        </w:rPr>
      </w:pPr>
      <w:r>
        <w:rPr>
          <w:noProof/>
        </w:rPr>
        <w:t>Figure 9: Total (i.e. cumulative) benefits under Option 3.1b at each year of the analysis period</w:t>
      </w:r>
      <w:r>
        <w:rPr>
          <w:noProof/>
        </w:rPr>
        <w:tab/>
      </w:r>
      <w:r>
        <w:rPr>
          <w:noProof/>
        </w:rPr>
        <w:fldChar w:fldCharType="begin"/>
      </w:r>
      <w:r>
        <w:rPr>
          <w:noProof/>
        </w:rPr>
        <w:instrText xml:space="preserve"> PAGEREF _Toc135321399 \h </w:instrText>
      </w:r>
      <w:r>
        <w:rPr>
          <w:noProof/>
        </w:rPr>
      </w:r>
      <w:r>
        <w:rPr>
          <w:noProof/>
        </w:rPr>
        <w:fldChar w:fldCharType="separate"/>
      </w:r>
      <w:r w:rsidR="00514931">
        <w:rPr>
          <w:noProof/>
        </w:rPr>
        <w:t>29</w:t>
      </w:r>
      <w:r>
        <w:rPr>
          <w:noProof/>
        </w:rPr>
        <w:fldChar w:fldCharType="end"/>
      </w:r>
    </w:p>
    <w:p w:rsidR="00C030CF" w:rsidRDefault="00C030CF">
      <w:pPr>
        <w:pStyle w:val="TableofFigures"/>
        <w:tabs>
          <w:tab w:val="right" w:leader="dot" w:pos="9854"/>
        </w:tabs>
        <w:rPr>
          <w:rFonts w:eastAsiaTheme="minorEastAsia"/>
          <w:noProof/>
          <w:color w:val="auto"/>
          <w:kern w:val="0"/>
          <w:sz w:val="22"/>
          <w:szCs w:val="22"/>
          <w:lang w:eastAsia="en-AU"/>
        </w:rPr>
      </w:pPr>
      <w:r>
        <w:rPr>
          <w:noProof/>
        </w:rPr>
        <w:t>Figure 10: Total (i.e. cumulative) benefits under Option 3.2a at each year of the analysis period</w:t>
      </w:r>
      <w:r>
        <w:rPr>
          <w:noProof/>
        </w:rPr>
        <w:tab/>
      </w:r>
      <w:r>
        <w:rPr>
          <w:noProof/>
        </w:rPr>
        <w:fldChar w:fldCharType="begin"/>
      </w:r>
      <w:r>
        <w:rPr>
          <w:noProof/>
        </w:rPr>
        <w:instrText xml:space="preserve"> PAGEREF _Toc135321400 \h </w:instrText>
      </w:r>
      <w:r>
        <w:rPr>
          <w:noProof/>
        </w:rPr>
      </w:r>
      <w:r>
        <w:rPr>
          <w:noProof/>
        </w:rPr>
        <w:fldChar w:fldCharType="separate"/>
      </w:r>
      <w:r w:rsidR="00514931">
        <w:rPr>
          <w:noProof/>
        </w:rPr>
        <w:t>30</w:t>
      </w:r>
      <w:r>
        <w:rPr>
          <w:noProof/>
        </w:rPr>
        <w:fldChar w:fldCharType="end"/>
      </w:r>
    </w:p>
    <w:p w:rsidR="00C030CF" w:rsidRDefault="00C030CF">
      <w:pPr>
        <w:pStyle w:val="TableofFigures"/>
        <w:tabs>
          <w:tab w:val="right" w:leader="dot" w:pos="9854"/>
        </w:tabs>
        <w:rPr>
          <w:rFonts w:eastAsiaTheme="minorEastAsia"/>
          <w:noProof/>
          <w:color w:val="auto"/>
          <w:kern w:val="0"/>
          <w:sz w:val="22"/>
          <w:szCs w:val="22"/>
          <w:lang w:eastAsia="en-AU"/>
        </w:rPr>
      </w:pPr>
      <w:r>
        <w:rPr>
          <w:noProof/>
        </w:rPr>
        <w:t>Figure 11: Total (i.e. cumulative) benefits under Option 3.2b at each year of the analysis period</w:t>
      </w:r>
      <w:r>
        <w:rPr>
          <w:noProof/>
        </w:rPr>
        <w:tab/>
      </w:r>
      <w:r>
        <w:rPr>
          <w:noProof/>
        </w:rPr>
        <w:fldChar w:fldCharType="begin"/>
      </w:r>
      <w:r>
        <w:rPr>
          <w:noProof/>
        </w:rPr>
        <w:instrText xml:space="preserve"> PAGEREF _Toc135321401 \h </w:instrText>
      </w:r>
      <w:r>
        <w:rPr>
          <w:noProof/>
        </w:rPr>
      </w:r>
      <w:r>
        <w:rPr>
          <w:noProof/>
        </w:rPr>
        <w:fldChar w:fldCharType="separate"/>
      </w:r>
      <w:r w:rsidR="00514931">
        <w:rPr>
          <w:noProof/>
        </w:rPr>
        <w:t>30</w:t>
      </w:r>
      <w:r>
        <w:rPr>
          <w:noProof/>
        </w:rPr>
        <w:fldChar w:fldCharType="end"/>
      </w:r>
    </w:p>
    <w:p w:rsidR="00C030CF" w:rsidRDefault="00C030CF">
      <w:pPr>
        <w:pStyle w:val="TableofFigures"/>
        <w:tabs>
          <w:tab w:val="right" w:leader="dot" w:pos="9854"/>
        </w:tabs>
        <w:rPr>
          <w:rFonts w:eastAsiaTheme="minorEastAsia"/>
          <w:noProof/>
          <w:color w:val="auto"/>
          <w:kern w:val="0"/>
          <w:sz w:val="22"/>
          <w:szCs w:val="22"/>
          <w:lang w:eastAsia="en-AU"/>
        </w:rPr>
      </w:pPr>
      <w:r>
        <w:rPr>
          <w:noProof/>
        </w:rPr>
        <w:t>Figure 12: Total (i.e. cumulative) costs under Option 3.1a at each year of the analysis period</w:t>
      </w:r>
      <w:r>
        <w:rPr>
          <w:noProof/>
        </w:rPr>
        <w:tab/>
      </w:r>
      <w:r>
        <w:rPr>
          <w:noProof/>
        </w:rPr>
        <w:fldChar w:fldCharType="begin"/>
      </w:r>
      <w:r>
        <w:rPr>
          <w:noProof/>
        </w:rPr>
        <w:instrText xml:space="preserve"> PAGEREF _Toc135321402 \h </w:instrText>
      </w:r>
      <w:r>
        <w:rPr>
          <w:noProof/>
        </w:rPr>
      </w:r>
      <w:r>
        <w:rPr>
          <w:noProof/>
        </w:rPr>
        <w:fldChar w:fldCharType="separate"/>
      </w:r>
      <w:r w:rsidR="00514931">
        <w:rPr>
          <w:noProof/>
        </w:rPr>
        <w:t>32</w:t>
      </w:r>
      <w:r>
        <w:rPr>
          <w:noProof/>
        </w:rPr>
        <w:fldChar w:fldCharType="end"/>
      </w:r>
    </w:p>
    <w:p w:rsidR="00C030CF" w:rsidRDefault="00C030CF">
      <w:pPr>
        <w:pStyle w:val="TableofFigures"/>
        <w:tabs>
          <w:tab w:val="right" w:leader="dot" w:pos="9854"/>
        </w:tabs>
        <w:rPr>
          <w:rFonts w:eastAsiaTheme="minorEastAsia"/>
          <w:noProof/>
          <w:color w:val="auto"/>
          <w:kern w:val="0"/>
          <w:sz w:val="22"/>
          <w:szCs w:val="22"/>
          <w:lang w:eastAsia="en-AU"/>
        </w:rPr>
      </w:pPr>
      <w:r>
        <w:rPr>
          <w:noProof/>
        </w:rPr>
        <w:t>Figure 13: Total (i.e. cumulative) costs under Option 3.1b at each year of the analysis period</w:t>
      </w:r>
      <w:r>
        <w:rPr>
          <w:noProof/>
        </w:rPr>
        <w:tab/>
      </w:r>
      <w:r>
        <w:rPr>
          <w:noProof/>
        </w:rPr>
        <w:fldChar w:fldCharType="begin"/>
      </w:r>
      <w:r>
        <w:rPr>
          <w:noProof/>
        </w:rPr>
        <w:instrText xml:space="preserve"> PAGEREF _Toc135321403 \h </w:instrText>
      </w:r>
      <w:r>
        <w:rPr>
          <w:noProof/>
        </w:rPr>
      </w:r>
      <w:r>
        <w:rPr>
          <w:noProof/>
        </w:rPr>
        <w:fldChar w:fldCharType="separate"/>
      </w:r>
      <w:r w:rsidR="00514931">
        <w:rPr>
          <w:noProof/>
        </w:rPr>
        <w:t>32</w:t>
      </w:r>
      <w:r>
        <w:rPr>
          <w:noProof/>
        </w:rPr>
        <w:fldChar w:fldCharType="end"/>
      </w:r>
    </w:p>
    <w:p w:rsidR="00C030CF" w:rsidRDefault="00C030CF">
      <w:pPr>
        <w:pStyle w:val="TableofFigures"/>
        <w:tabs>
          <w:tab w:val="right" w:leader="dot" w:pos="9854"/>
        </w:tabs>
        <w:rPr>
          <w:rFonts w:eastAsiaTheme="minorEastAsia"/>
          <w:noProof/>
          <w:color w:val="auto"/>
          <w:kern w:val="0"/>
          <w:sz w:val="22"/>
          <w:szCs w:val="22"/>
          <w:lang w:eastAsia="en-AU"/>
        </w:rPr>
      </w:pPr>
      <w:r>
        <w:rPr>
          <w:noProof/>
        </w:rPr>
        <w:t>Figure 14: Total (i.e. cumulative) costs under Option 3.2a at each year of the analysis period</w:t>
      </w:r>
      <w:r>
        <w:rPr>
          <w:noProof/>
        </w:rPr>
        <w:tab/>
      </w:r>
      <w:r>
        <w:rPr>
          <w:noProof/>
        </w:rPr>
        <w:fldChar w:fldCharType="begin"/>
      </w:r>
      <w:r>
        <w:rPr>
          <w:noProof/>
        </w:rPr>
        <w:instrText xml:space="preserve"> PAGEREF _Toc135321404 \h </w:instrText>
      </w:r>
      <w:r>
        <w:rPr>
          <w:noProof/>
        </w:rPr>
      </w:r>
      <w:r>
        <w:rPr>
          <w:noProof/>
        </w:rPr>
        <w:fldChar w:fldCharType="separate"/>
      </w:r>
      <w:r w:rsidR="00514931">
        <w:rPr>
          <w:noProof/>
        </w:rPr>
        <w:t>33</w:t>
      </w:r>
      <w:r>
        <w:rPr>
          <w:noProof/>
        </w:rPr>
        <w:fldChar w:fldCharType="end"/>
      </w:r>
    </w:p>
    <w:p w:rsidR="00C030CF" w:rsidRDefault="00C030CF">
      <w:pPr>
        <w:pStyle w:val="TableofFigures"/>
        <w:tabs>
          <w:tab w:val="right" w:leader="dot" w:pos="9854"/>
        </w:tabs>
        <w:rPr>
          <w:rFonts w:eastAsiaTheme="minorEastAsia"/>
          <w:noProof/>
          <w:color w:val="auto"/>
          <w:kern w:val="0"/>
          <w:sz w:val="22"/>
          <w:szCs w:val="22"/>
          <w:lang w:eastAsia="en-AU"/>
        </w:rPr>
      </w:pPr>
      <w:r>
        <w:rPr>
          <w:noProof/>
        </w:rPr>
        <w:t>Figure 15: Total (i.e. cumulative) costs under Option 3.2b at each year of the analysis period</w:t>
      </w:r>
      <w:r>
        <w:rPr>
          <w:noProof/>
        </w:rPr>
        <w:tab/>
      </w:r>
      <w:r>
        <w:rPr>
          <w:noProof/>
        </w:rPr>
        <w:fldChar w:fldCharType="begin"/>
      </w:r>
      <w:r>
        <w:rPr>
          <w:noProof/>
        </w:rPr>
        <w:instrText xml:space="preserve"> PAGEREF _Toc135321405 \h </w:instrText>
      </w:r>
      <w:r>
        <w:rPr>
          <w:noProof/>
        </w:rPr>
      </w:r>
      <w:r>
        <w:rPr>
          <w:noProof/>
        </w:rPr>
        <w:fldChar w:fldCharType="separate"/>
      </w:r>
      <w:r w:rsidR="00514931">
        <w:rPr>
          <w:noProof/>
        </w:rPr>
        <w:t>33</w:t>
      </w:r>
      <w:r>
        <w:rPr>
          <w:noProof/>
        </w:rPr>
        <w:fldChar w:fldCharType="end"/>
      </w:r>
    </w:p>
    <w:p w:rsidR="00C030CF" w:rsidRDefault="00C030CF">
      <w:pPr>
        <w:pStyle w:val="TableofFigures"/>
        <w:tabs>
          <w:tab w:val="right" w:leader="dot" w:pos="9854"/>
        </w:tabs>
        <w:rPr>
          <w:rFonts w:eastAsiaTheme="minorEastAsia"/>
          <w:noProof/>
          <w:color w:val="auto"/>
          <w:kern w:val="0"/>
          <w:sz w:val="22"/>
          <w:szCs w:val="22"/>
          <w:lang w:eastAsia="en-AU"/>
        </w:rPr>
      </w:pPr>
      <w:r>
        <w:rPr>
          <w:noProof/>
        </w:rPr>
        <w:t xml:space="preserve">Figure 16: Minimum required fields of vision for goods vehicles over 3.5 tonnes maximum mass (note: class VI is optional for goods vehicles </w:t>
      </w:r>
      <w:r w:rsidRPr="008D31F2">
        <w:rPr>
          <w:rFonts w:cs="Segoe UI"/>
          <w:noProof/>
        </w:rPr>
        <w:t>≤</w:t>
      </w:r>
      <w:r>
        <w:rPr>
          <w:noProof/>
        </w:rPr>
        <w:t xml:space="preserve"> 7.5 tonnes) (source: adapted (for right-hand-drive) from UN R46)</w:t>
      </w:r>
      <w:r>
        <w:rPr>
          <w:noProof/>
        </w:rPr>
        <w:tab/>
      </w:r>
      <w:r>
        <w:rPr>
          <w:noProof/>
        </w:rPr>
        <w:fldChar w:fldCharType="begin"/>
      </w:r>
      <w:r>
        <w:rPr>
          <w:noProof/>
        </w:rPr>
        <w:instrText xml:space="preserve"> PAGEREF _Toc135321406 \h </w:instrText>
      </w:r>
      <w:r>
        <w:rPr>
          <w:noProof/>
        </w:rPr>
      </w:r>
      <w:r>
        <w:rPr>
          <w:noProof/>
        </w:rPr>
        <w:fldChar w:fldCharType="separate"/>
      </w:r>
      <w:r w:rsidR="00514931">
        <w:rPr>
          <w:noProof/>
        </w:rPr>
        <w:t>55</w:t>
      </w:r>
      <w:r>
        <w:rPr>
          <w:noProof/>
        </w:rPr>
        <w:fldChar w:fldCharType="end"/>
      </w:r>
    </w:p>
    <w:p w:rsidR="00C030CF" w:rsidRDefault="00C030CF">
      <w:pPr>
        <w:pStyle w:val="TableofFigures"/>
        <w:tabs>
          <w:tab w:val="right" w:leader="dot" w:pos="9854"/>
        </w:tabs>
        <w:rPr>
          <w:rFonts w:eastAsiaTheme="minorEastAsia"/>
          <w:noProof/>
          <w:color w:val="auto"/>
          <w:kern w:val="0"/>
          <w:sz w:val="22"/>
          <w:szCs w:val="22"/>
          <w:lang w:eastAsia="en-AU"/>
        </w:rPr>
      </w:pPr>
      <w:r>
        <w:rPr>
          <w:noProof/>
        </w:rPr>
        <w:t>Figure 17: Larger required field of vision on the passenger’s side (note: required view may be achieved using a combination of direct view and indirect vision devices of classes IV, V, and/or VI) (source: adapted for right-hand-drive from UN R46)</w:t>
      </w:r>
      <w:r>
        <w:rPr>
          <w:noProof/>
        </w:rPr>
        <w:tab/>
      </w:r>
      <w:r>
        <w:rPr>
          <w:noProof/>
        </w:rPr>
        <w:fldChar w:fldCharType="begin"/>
      </w:r>
      <w:r>
        <w:rPr>
          <w:noProof/>
        </w:rPr>
        <w:instrText xml:space="preserve"> PAGEREF _Toc135321407 \h </w:instrText>
      </w:r>
      <w:r>
        <w:rPr>
          <w:noProof/>
        </w:rPr>
      </w:r>
      <w:r>
        <w:rPr>
          <w:noProof/>
        </w:rPr>
        <w:fldChar w:fldCharType="separate"/>
      </w:r>
      <w:r w:rsidR="00514931">
        <w:rPr>
          <w:noProof/>
        </w:rPr>
        <w:t>56</w:t>
      </w:r>
      <w:r>
        <w:rPr>
          <w:noProof/>
        </w:rPr>
        <w:fldChar w:fldCharType="end"/>
      </w:r>
    </w:p>
    <w:p w:rsidR="00C030CF" w:rsidRDefault="00C030CF">
      <w:pPr>
        <w:pStyle w:val="TableofFigures"/>
        <w:tabs>
          <w:tab w:val="right" w:leader="dot" w:pos="9854"/>
        </w:tabs>
        <w:rPr>
          <w:rFonts w:eastAsiaTheme="minorEastAsia"/>
          <w:noProof/>
          <w:color w:val="auto"/>
          <w:kern w:val="0"/>
          <w:sz w:val="22"/>
          <w:szCs w:val="22"/>
          <w:lang w:eastAsia="en-AU"/>
        </w:rPr>
      </w:pPr>
      <w:r>
        <w:rPr>
          <w:noProof/>
        </w:rPr>
        <w:t>Figure 18: Example of a suitable J-turn test course (in anticlockwise direction) for a prime mover</w:t>
      </w:r>
      <w:r>
        <w:rPr>
          <w:noProof/>
        </w:rPr>
        <w:tab/>
      </w:r>
      <w:r>
        <w:rPr>
          <w:noProof/>
        </w:rPr>
        <w:fldChar w:fldCharType="begin"/>
      </w:r>
      <w:r>
        <w:rPr>
          <w:noProof/>
        </w:rPr>
        <w:instrText xml:space="preserve"> PAGEREF _Toc135321408 \h </w:instrText>
      </w:r>
      <w:r>
        <w:rPr>
          <w:noProof/>
        </w:rPr>
      </w:r>
      <w:r>
        <w:rPr>
          <w:noProof/>
        </w:rPr>
        <w:fldChar w:fldCharType="separate"/>
      </w:r>
      <w:r w:rsidR="00514931">
        <w:rPr>
          <w:noProof/>
        </w:rPr>
        <w:t>58</w:t>
      </w:r>
      <w:r>
        <w:rPr>
          <w:noProof/>
        </w:rPr>
        <w:fldChar w:fldCharType="end"/>
      </w:r>
    </w:p>
    <w:p w:rsidR="00C030CF" w:rsidRDefault="00C030CF">
      <w:pPr>
        <w:pStyle w:val="TableofFigures"/>
        <w:tabs>
          <w:tab w:val="right" w:leader="dot" w:pos="9854"/>
        </w:tabs>
        <w:rPr>
          <w:rFonts w:eastAsiaTheme="minorEastAsia"/>
          <w:noProof/>
          <w:color w:val="auto"/>
          <w:kern w:val="0"/>
          <w:sz w:val="22"/>
          <w:szCs w:val="22"/>
          <w:lang w:eastAsia="en-AU"/>
        </w:rPr>
      </w:pPr>
      <w:r>
        <w:rPr>
          <w:noProof/>
        </w:rPr>
        <w:t>Figure 19: Illustration (side view and overhead/plan view) of a rigid truck utilising fuel tanks and horizontal rails/members on each side as LPDs for side underrun protection, including key UN R73 dimensional limits</w:t>
      </w:r>
      <w:r>
        <w:rPr>
          <w:noProof/>
        </w:rPr>
        <w:tab/>
      </w:r>
      <w:r>
        <w:rPr>
          <w:noProof/>
        </w:rPr>
        <w:fldChar w:fldCharType="begin"/>
      </w:r>
      <w:r>
        <w:rPr>
          <w:noProof/>
        </w:rPr>
        <w:instrText xml:space="preserve"> PAGEREF _Toc135321409 \h </w:instrText>
      </w:r>
      <w:r>
        <w:rPr>
          <w:noProof/>
        </w:rPr>
      </w:r>
      <w:r>
        <w:rPr>
          <w:noProof/>
        </w:rPr>
        <w:fldChar w:fldCharType="separate"/>
      </w:r>
      <w:r w:rsidR="00514931">
        <w:rPr>
          <w:noProof/>
        </w:rPr>
        <w:t>65</w:t>
      </w:r>
      <w:r>
        <w:rPr>
          <w:noProof/>
        </w:rPr>
        <w:fldChar w:fldCharType="end"/>
      </w:r>
    </w:p>
    <w:p w:rsidR="00C030CF" w:rsidRDefault="00C030CF">
      <w:pPr>
        <w:pStyle w:val="TableofFigures"/>
        <w:tabs>
          <w:tab w:val="right" w:leader="dot" w:pos="9854"/>
        </w:tabs>
        <w:rPr>
          <w:rFonts w:eastAsiaTheme="minorEastAsia"/>
          <w:noProof/>
          <w:color w:val="auto"/>
          <w:kern w:val="0"/>
          <w:sz w:val="22"/>
          <w:szCs w:val="22"/>
          <w:lang w:eastAsia="en-AU"/>
        </w:rPr>
      </w:pPr>
      <w:r>
        <w:rPr>
          <w:noProof/>
        </w:rPr>
        <w:t>Figure 20: Illustration (side view only) of a semi-trailer fitted with horizontal rails/members as LPDs for side underrun protection, including key UN R73 dimensional limits</w:t>
      </w:r>
      <w:r>
        <w:rPr>
          <w:noProof/>
        </w:rPr>
        <w:tab/>
      </w:r>
      <w:r>
        <w:rPr>
          <w:noProof/>
        </w:rPr>
        <w:fldChar w:fldCharType="begin"/>
      </w:r>
      <w:r>
        <w:rPr>
          <w:noProof/>
        </w:rPr>
        <w:instrText xml:space="preserve"> PAGEREF _Toc135321410 \h </w:instrText>
      </w:r>
      <w:r>
        <w:rPr>
          <w:noProof/>
        </w:rPr>
      </w:r>
      <w:r>
        <w:rPr>
          <w:noProof/>
        </w:rPr>
        <w:fldChar w:fldCharType="separate"/>
      </w:r>
      <w:r w:rsidR="00514931">
        <w:rPr>
          <w:noProof/>
        </w:rPr>
        <w:t>65</w:t>
      </w:r>
      <w:r>
        <w:rPr>
          <w:noProof/>
        </w:rPr>
        <w:fldChar w:fldCharType="end"/>
      </w:r>
    </w:p>
    <w:p w:rsidR="00C030CF" w:rsidRDefault="00C030CF">
      <w:pPr>
        <w:pStyle w:val="TableofFigures"/>
        <w:tabs>
          <w:tab w:val="right" w:leader="dot" w:pos="9854"/>
        </w:tabs>
        <w:rPr>
          <w:rFonts w:eastAsiaTheme="minorEastAsia"/>
          <w:noProof/>
          <w:color w:val="auto"/>
          <w:kern w:val="0"/>
          <w:sz w:val="22"/>
          <w:szCs w:val="22"/>
          <w:lang w:eastAsia="en-AU"/>
        </w:rPr>
      </w:pPr>
      <w:r>
        <w:rPr>
          <w:noProof/>
        </w:rPr>
        <w:t>Figure 21: Illustration of partial (yellow) contour markings on the side and full (red) contour markings on the rear of a  semi-trailer</w:t>
      </w:r>
      <w:r>
        <w:rPr>
          <w:noProof/>
        </w:rPr>
        <w:tab/>
      </w:r>
      <w:r>
        <w:rPr>
          <w:noProof/>
        </w:rPr>
        <w:fldChar w:fldCharType="begin"/>
      </w:r>
      <w:r>
        <w:rPr>
          <w:noProof/>
        </w:rPr>
        <w:instrText xml:space="preserve"> PAGEREF _Toc135321411 \h </w:instrText>
      </w:r>
      <w:r>
        <w:rPr>
          <w:noProof/>
        </w:rPr>
      </w:r>
      <w:r>
        <w:rPr>
          <w:noProof/>
        </w:rPr>
        <w:fldChar w:fldCharType="separate"/>
      </w:r>
      <w:r w:rsidR="00514931">
        <w:rPr>
          <w:noProof/>
        </w:rPr>
        <w:t>68</w:t>
      </w:r>
      <w:r>
        <w:rPr>
          <w:noProof/>
        </w:rPr>
        <w:fldChar w:fldCharType="end"/>
      </w:r>
    </w:p>
    <w:p w:rsidR="00792027" w:rsidRDefault="003A12AB" w:rsidP="00C66D0C">
      <w:r>
        <w:fldChar w:fldCharType="end"/>
      </w:r>
    </w:p>
    <w:p w:rsidR="00A77C0E" w:rsidRPr="007B6E69" w:rsidRDefault="00A77C0E" w:rsidP="00C66D0C">
      <w:pPr>
        <w:sectPr w:rsidR="00A77C0E" w:rsidRPr="007B6E69" w:rsidSect="00CD1797">
          <w:headerReference w:type="default" r:id="rId23"/>
          <w:footerReference w:type="default" r:id="rId24"/>
          <w:headerReference w:type="first" r:id="rId25"/>
          <w:footerReference w:type="first" r:id="rId26"/>
          <w:pgSz w:w="11906" w:h="16838" w:code="9"/>
          <w:pgMar w:top="1021" w:right="1021" w:bottom="1021" w:left="1021" w:header="510" w:footer="567" w:gutter="0"/>
          <w:pgNumType w:fmt="lowerRoman" w:start="1"/>
          <w:cols w:space="708"/>
          <w:docGrid w:linePitch="360"/>
        </w:sectPr>
      </w:pPr>
    </w:p>
    <w:p w:rsidR="005F794B" w:rsidRPr="007B6E69" w:rsidRDefault="002D7327" w:rsidP="00E13D3A">
      <w:pPr>
        <w:pStyle w:val="Heading1"/>
      </w:pPr>
      <w:bookmarkStart w:id="3" w:name="_Toc111576719"/>
      <w:bookmarkStart w:id="4" w:name="_Toc138065679"/>
      <w:r w:rsidRPr="007B6E69">
        <w:t>Executive Summary</w:t>
      </w:r>
      <w:bookmarkEnd w:id="3"/>
      <w:bookmarkEnd w:id="4"/>
    </w:p>
    <w:p w:rsidR="00867983" w:rsidRPr="007B6E69" w:rsidRDefault="00867983" w:rsidP="00867983">
      <w:r>
        <w:t xml:space="preserve">This </w:t>
      </w:r>
      <w:r w:rsidR="00C45600">
        <w:t>Impact Analysis</w:t>
      </w:r>
      <w:r w:rsidR="00B564D9">
        <w:t xml:space="preserve"> (</w:t>
      </w:r>
      <w:r w:rsidR="00C45600">
        <w:t>IA</w:t>
      </w:r>
      <w:r w:rsidR="00B564D9">
        <w:t>)</w:t>
      </w:r>
      <w:r>
        <w:t xml:space="preserve"> follows on from a </w:t>
      </w:r>
      <w:r w:rsidRPr="007B6E69">
        <w:t>Safer Freight Vehicles Discussion Paper (</w:t>
      </w:r>
      <w:r>
        <w:t>Commonwealth of Australia</w:t>
      </w:r>
      <w:r w:rsidRPr="007B6E69">
        <w:t>, 2021</w:t>
      </w:r>
      <w:r>
        <w:t>a</w:t>
      </w:r>
      <w:r w:rsidRPr="007B6E69">
        <w:t xml:space="preserve">), </w:t>
      </w:r>
      <w:r>
        <w:t xml:space="preserve">for which </w:t>
      </w:r>
      <w:r w:rsidR="00B9347B">
        <w:t>the Department of Infrastructure, Transport, Regional Development, Communications and the Arts (</w:t>
      </w:r>
      <w:r w:rsidRPr="007B6E69">
        <w:t xml:space="preserve">the </w:t>
      </w:r>
      <w:r w:rsidR="00B9347B">
        <w:t>d</w:t>
      </w:r>
      <w:r w:rsidRPr="007B6E69">
        <w:t>epartment</w:t>
      </w:r>
      <w:r w:rsidR="00B9347B">
        <w:t>)</w:t>
      </w:r>
      <w:r w:rsidRPr="007B6E69">
        <w:t xml:space="preserve"> considered information from a range of sources to identify any potential barriers or impediments in the </w:t>
      </w:r>
      <w:r>
        <w:t xml:space="preserve">National Road Vehicles Standards (the Australian Design Rules or </w:t>
      </w:r>
      <w:r w:rsidRPr="007B6E69">
        <w:t>ADRs</w:t>
      </w:r>
      <w:r>
        <w:t>)</w:t>
      </w:r>
      <w:r w:rsidRPr="007B6E69">
        <w:t xml:space="preserve"> to the supply of safer and cleaner heavy freight vehicles.</w:t>
      </w:r>
    </w:p>
    <w:p w:rsidR="00867983" w:rsidRDefault="00867983" w:rsidP="00867983">
      <w:r w:rsidRPr="007B6E69">
        <w:t xml:space="preserve">The main ADR requirement raised by heavy vehicle industry groups as limiting the supply of safer and cleaner heavy freight vehicles is the </w:t>
      </w:r>
      <w:r w:rsidR="00B9347B">
        <w:t>2.50</w:t>
      </w:r>
      <w:r w:rsidR="00FD6FE4">
        <w:t xml:space="preserve"> m </w:t>
      </w:r>
      <w:r w:rsidRPr="007B6E69">
        <w:t>vehicle width limit</w:t>
      </w:r>
      <w:r w:rsidR="00C51D17">
        <w:t>, which is the same as Japan, but narrower than other major markets including the European Union (EU) and the United States (US)</w:t>
      </w:r>
      <w:r w:rsidRPr="007B6E69">
        <w:t xml:space="preserve">. The supply of safer heavy goods vehicles is further restricted by the absence </w:t>
      </w:r>
      <w:r>
        <w:t xml:space="preserve">in the ADRs </w:t>
      </w:r>
      <w:r w:rsidRPr="007B6E69">
        <w:t>of exclusions for various types of devices for indirect vision (i.e. mirrors and cameras) and blind spot information systems (e.g. for the detection of vehicles, bicyclists and/or pedestrians) from the measurement of vehicle</w:t>
      </w:r>
      <w:r w:rsidR="00FD6FE4">
        <w:t xml:space="preserve"> </w:t>
      </w:r>
      <w:r w:rsidRPr="007B6E69">
        <w:t>width and/or length.</w:t>
      </w:r>
    </w:p>
    <w:p w:rsidR="00EF3365" w:rsidRPr="000F530A" w:rsidRDefault="00EF3365" w:rsidP="006924F2">
      <w:r w:rsidRPr="007B6E69">
        <w:t>Th</w:t>
      </w:r>
      <w:r>
        <w:t>e purpose of this</w:t>
      </w:r>
      <w:r w:rsidRPr="007B6E69">
        <w:t xml:space="preserve"> </w:t>
      </w:r>
      <w:r w:rsidR="00C45600">
        <w:t>IA</w:t>
      </w:r>
      <w:r w:rsidRPr="007B6E69">
        <w:t xml:space="preserve"> </w:t>
      </w:r>
      <w:r>
        <w:t xml:space="preserve">is </w:t>
      </w:r>
      <w:r w:rsidR="00867983">
        <w:t xml:space="preserve">therefore </w:t>
      </w:r>
      <w:r>
        <w:t xml:space="preserve">to </w:t>
      </w:r>
      <w:r w:rsidRPr="007B6E69">
        <w:t xml:space="preserve">consider the case for </w:t>
      </w:r>
      <w:r w:rsidR="00050DE8">
        <w:t>increasing the</w:t>
      </w:r>
      <w:r w:rsidR="007E7FEE">
        <w:t xml:space="preserve"> maximum allowable width for</w:t>
      </w:r>
      <w:r>
        <w:t xml:space="preserve"> freight vehicles </w:t>
      </w:r>
      <w:r w:rsidRPr="007B6E69">
        <w:t>in Australia</w:t>
      </w:r>
      <w:r>
        <w:t xml:space="preserve">, together with changes to allow various </w:t>
      </w:r>
      <w:r w:rsidRPr="007B6E69">
        <w:t xml:space="preserve">devices for indirect vision </w:t>
      </w:r>
      <w:r>
        <w:t xml:space="preserve">(e.g. mirrors, cameras) </w:t>
      </w:r>
      <w:r w:rsidRPr="007B6E69">
        <w:t>and monitoring devices to detect other road users (e.g. blind spot information systems for the detection of vehicles, bicycles and/or pedestrians)</w:t>
      </w:r>
      <w:r>
        <w:t xml:space="preserve"> to be excluded from vehicle width and length measurements</w:t>
      </w:r>
      <w:r w:rsidRPr="007B6E69">
        <w:t>.</w:t>
      </w:r>
    </w:p>
    <w:p w:rsidR="00BA041B" w:rsidRDefault="00EF3365" w:rsidP="00F83F07">
      <w:pPr>
        <w:pStyle w:val="Caption"/>
        <w:rPr>
          <w:b w:val="0"/>
          <w:iCs w:val="0"/>
          <w:szCs w:val="20"/>
        </w:rPr>
      </w:pPr>
      <w:r w:rsidRPr="00EF3365">
        <w:rPr>
          <w:b w:val="0"/>
          <w:iCs w:val="0"/>
          <w:szCs w:val="20"/>
        </w:rPr>
        <w:t xml:space="preserve">The </w:t>
      </w:r>
      <w:r w:rsidR="00C45600">
        <w:rPr>
          <w:b w:val="0"/>
          <w:iCs w:val="0"/>
          <w:szCs w:val="20"/>
        </w:rPr>
        <w:t>IA</w:t>
      </w:r>
      <w:r w:rsidRPr="00EF3365">
        <w:rPr>
          <w:b w:val="0"/>
          <w:iCs w:val="0"/>
          <w:szCs w:val="20"/>
        </w:rPr>
        <w:t xml:space="preserve"> explore</w:t>
      </w:r>
      <w:r w:rsidR="006924F2">
        <w:rPr>
          <w:b w:val="0"/>
          <w:iCs w:val="0"/>
          <w:szCs w:val="20"/>
        </w:rPr>
        <w:t>s</w:t>
      </w:r>
      <w:r w:rsidRPr="00EF3365">
        <w:rPr>
          <w:b w:val="0"/>
          <w:iCs w:val="0"/>
          <w:szCs w:val="20"/>
        </w:rPr>
        <w:t xml:space="preserve"> </w:t>
      </w:r>
      <w:r w:rsidR="006924F2">
        <w:rPr>
          <w:b w:val="0"/>
          <w:iCs w:val="0"/>
          <w:szCs w:val="20"/>
        </w:rPr>
        <w:t>three</w:t>
      </w:r>
      <w:r w:rsidRPr="00EF3365">
        <w:rPr>
          <w:b w:val="0"/>
          <w:iCs w:val="0"/>
          <w:szCs w:val="20"/>
        </w:rPr>
        <w:t xml:space="preserve"> </w:t>
      </w:r>
      <w:r w:rsidR="006924F2">
        <w:rPr>
          <w:b w:val="0"/>
          <w:iCs w:val="0"/>
          <w:szCs w:val="20"/>
        </w:rPr>
        <w:t xml:space="preserve">different policy </w:t>
      </w:r>
      <w:r w:rsidRPr="00EF3365">
        <w:rPr>
          <w:b w:val="0"/>
          <w:iCs w:val="0"/>
          <w:szCs w:val="20"/>
        </w:rPr>
        <w:t xml:space="preserve">options. These </w:t>
      </w:r>
      <w:r w:rsidR="006924F2">
        <w:rPr>
          <w:b w:val="0"/>
          <w:iCs w:val="0"/>
          <w:szCs w:val="20"/>
        </w:rPr>
        <w:t>are</w:t>
      </w:r>
      <w:r w:rsidRPr="00EF3365">
        <w:rPr>
          <w:b w:val="0"/>
          <w:iCs w:val="0"/>
          <w:szCs w:val="20"/>
        </w:rPr>
        <w:t xml:space="preserve"> Option 1: </w:t>
      </w:r>
      <w:r w:rsidR="00F83F07">
        <w:rPr>
          <w:b w:val="0"/>
          <w:iCs w:val="0"/>
          <w:szCs w:val="20"/>
        </w:rPr>
        <w:t>D</w:t>
      </w:r>
      <w:r w:rsidR="00050DE8" w:rsidRPr="00050DE8">
        <w:rPr>
          <w:b w:val="0"/>
          <w:iCs w:val="0"/>
          <w:szCs w:val="20"/>
        </w:rPr>
        <w:t xml:space="preserve">e-regulation (repeal the current </w:t>
      </w:r>
      <w:r w:rsidR="00867983">
        <w:rPr>
          <w:b w:val="0"/>
          <w:iCs w:val="0"/>
          <w:szCs w:val="20"/>
        </w:rPr>
        <w:t>requirements</w:t>
      </w:r>
      <w:r w:rsidR="00050DE8" w:rsidRPr="00050DE8">
        <w:rPr>
          <w:b w:val="0"/>
          <w:iCs w:val="0"/>
          <w:szCs w:val="20"/>
        </w:rPr>
        <w:t>)</w:t>
      </w:r>
      <w:r w:rsidRPr="00EF3365">
        <w:rPr>
          <w:b w:val="0"/>
          <w:iCs w:val="0"/>
          <w:szCs w:val="20"/>
        </w:rPr>
        <w:t>; Option</w:t>
      </w:r>
      <w:r w:rsidR="00867983">
        <w:rPr>
          <w:b w:val="0"/>
          <w:iCs w:val="0"/>
          <w:szCs w:val="20"/>
        </w:rPr>
        <w:t> </w:t>
      </w:r>
      <w:r w:rsidRPr="00EF3365">
        <w:rPr>
          <w:b w:val="0"/>
          <w:iCs w:val="0"/>
          <w:szCs w:val="20"/>
        </w:rPr>
        <w:t xml:space="preserve">2: </w:t>
      </w:r>
      <w:r w:rsidR="00F83F07">
        <w:rPr>
          <w:b w:val="0"/>
          <w:iCs w:val="0"/>
          <w:szCs w:val="20"/>
        </w:rPr>
        <w:t>R</w:t>
      </w:r>
      <w:r w:rsidR="002174FF" w:rsidRPr="002174FF">
        <w:rPr>
          <w:b w:val="0"/>
          <w:iCs w:val="0"/>
          <w:szCs w:val="20"/>
        </w:rPr>
        <w:t xml:space="preserve">etain existing standards under the </w:t>
      </w:r>
      <w:r w:rsidR="002174FF" w:rsidRPr="006924F2">
        <w:rPr>
          <w:b w:val="0"/>
          <w:i/>
          <w:iCs w:val="0"/>
          <w:szCs w:val="20"/>
        </w:rPr>
        <w:t>Road Vehicle Standards Act 2018</w:t>
      </w:r>
      <w:r w:rsidR="002174FF" w:rsidRPr="00EF3365">
        <w:rPr>
          <w:b w:val="0"/>
          <w:iCs w:val="0"/>
          <w:szCs w:val="20"/>
        </w:rPr>
        <w:t xml:space="preserve"> (C’th) (</w:t>
      </w:r>
      <w:r w:rsidR="002174FF">
        <w:rPr>
          <w:b w:val="0"/>
          <w:iCs w:val="0"/>
          <w:szCs w:val="20"/>
        </w:rPr>
        <w:t>R</w:t>
      </w:r>
      <w:r w:rsidR="002174FF" w:rsidRPr="00EF3365">
        <w:rPr>
          <w:b w:val="0"/>
          <w:iCs w:val="0"/>
          <w:szCs w:val="20"/>
        </w:rPr>
        <w:t>VSA)</w:t>
      </w:r>
      <w:r w:rsidR="002174FF" w:rsidRPr="002174FF">
        <w:rPr>
          <w:b w:val="0"/>
          <w:iCs w:val="0"/>
          <w:szCs w:val="20"/>
        </w:rPr>
        <w:t xml:space="preserve"> (business as usual)</w:t>
      </w:r>
      <w:r w:rsidRPr="00EF3365">
        <w:rPr>
          <w:b w:val="0"/>
          <w:iCs w:val="0"/>
          <w:szCs w:val="20"/>
        </w:rPr>
        <w:t xml:space="preserve">; </w:t>
      </w:r>
      <w:r w:rsidR="006924F2">
        <w:rPr>
          <w:b w:val="0"/>
          <w:iCs w:val="0"/>
          <w:szCs w:val="20"/>
        </w:rPr>
        <w:t xml:space="preserve">and </w:t>
      </w:r>
      <w:r w:rsidRPr="00EF3365">
        <w:rPr>
          <w:b w:val="0"/>
          <w:iCs w:val="0"/>
          <w:szCs w:val="20"/>
        </w:rPr>
        <w:t>Option</w:t>
      </w:r>
      <w:r w:rsidR="00867983">
        <w:rPr>
          <w:b w:val="0"/>
          <w:iCs w:val="0"/>
          <w:szCs w:val="20"/>
        </w:rPr>
        <w:t> </w:t>
      </w:r>
      <w:r w:rsidR="006924F2">
        <w:rPr>
          <w:b w:val="0"/>
          <w:iCs w:val="0"/>
          <w:szCs w:val="20"/>
        </w:rPr>
        <w:t>3</w:t>
      </w:r>
      <w:r w:rsidRPr="00EF3365">
        <w:rPr>
          <w:b w:val="0"/>
          <w:iCs w:val="0"/>
          <w:szCs w:val="20"/>
        </w:rPr>
        <w:t xml:space="preserve">: </w:t>
      </w:r>
      <w:r w:rsidR="00F83F07">
        <w:rPr>
          <w:b w:val="0"/>
        </w:rPr>
        <w:t>I</w:t>
      </w:r>
      <w:r w:rsidR="00050DE8" w:rsidRPr="00050DE8">
        <w:rPr>
          <w:b w:val="0"/>
        </w:rPr>
        <w:t>mplement updated standards under the</w:t>
      </w:r>
      <w:r w:rsidRPr="00EF3365">
        <w:rPr>
          <w:b w:val="0"/>
          <w:iCs w:val="0"/>
          <w:szCs w:val="20"/>
        </w:rPr>
        <w:t xml:space="preserve"> </w:t>
      </w:r>
      <w:r w:rsidR="006924F2">
        <w:rPr>
          <w:b w:val="0"/>
          <w:iCs w:val="0"/>
          <w:szCs w:val="20"/>
        </w:rPr>
        <w:t>R</w:t>
      </w:r>
      <w:r w:rsidRPr="00EF3365">
        <w:rPr>
          <w:b w:val="0"/>
          <w:iCs w:val="0"/>
          <w:szCs w:val="20"/>
        </w:rPr>
        <w:t xml:space="preserve">VSA. Of these options, </w:t>
      </w:r>
      <w:r w:rsidR="006924F2">
        <w:rPr>
          <w:b w:val="0"/>
          <w:iCs w:val="0"/>
          <w:szCs w:val="20"/>
        </w:rPr>
        <w:t xml:space="preserve">only </w:t>
      </w:r>
      <w:r w:rsidRPr="00EF3365">
        <w:rPr>
          <w:b w:val="0"/>
          <w:iCs w:val="0"/>
          <w:szCs w:val="20"/>
        </w:rPr>
        <w:t xml:space="preserve">Option 2 and Option </w:t>
      </w:r>
      <w:r w:rsidR="006924F2">
        <w:rPr>
          <w:b w:val="0"/>
          <w:iCs w:val="0"/>
          <w:szCs w:val="20"/>
        </w:rPr>
        <w:t>3</w:t>
      </w:r>
      <w:r w:rsidRPr="00EF3365">
        <w:rPr>
          <w:b w:val="0"/>
          <w:iCs w:val="0"/>
          <w:szCs w:val="20"/>
        </w:rPr>
        <w:t xml:space="preserve"> were considered</w:t>
      </w:r>
      <w:r w:rsidR="00050DE8">
        <w:rPr>
          <w:b w:val="0"/>
          <w:iCs w:val="0"/>
          <w:szCs w:val="20"/>
        </w:rPr>
        <w:t xml:space="preserve"> viable</w:t>
      </w:r>
      <w:r w:rsidRPr="00EF3365">
        <w:rPr>
          <w:b w:val="0"/>
          <w:iCs w:val="0"/>
          <w:szCs w:val="20"/>
        </w:rPr>
        <w:t>.</w:t>
      </w:r>
    </w:p>
    <w:p w:rsidR="006924F2" w:rsidRDefault="00EF3365" w:rsidP="00F83F07">
      <w:pPr>
        <w:pStyle w:val="Caption"/>
        <w:rPr>
          <w:b w:val="0"/>
          <w:iCs w:val="0"/>
          <w:szCs w:val="20"/>
        </w:rPr>
      </w:pPr>
      <w:r w:rsidRPr="00EF3365">
        <w:rPr>
          <w:b w:val="0"/>
          <w:iCs w:val="0"/>
          <w:szCs w:val="20"/>
        </w:rPr>
        <w:t xml:space="preserve">Option </w:t>
      </w:r>
      <w:r w:rsidR="006924F2">
        <w:rPr>
          <w:b w:val="0"/>
          <w:iCs w:val="0"/>
          <w:szCs w:val="20"/>
        </w:rPr>
        <w:t>3</w:t>
      </w:r>
      <w:r w:rsidRPr="00EF3365">
        <w:rPr>
          <w:b w:val="0"/>
          <w:iCs w:val="0"/>
          <w:szCs w:val="20"/>
        </w:rPr>
        <w:t xml:space="preserve"> was separated into </w:t>
      </w:r>
      <w:r w:rsidR="006924F2">
        <w:rPr>
          <w:b w:val="0"/>
          <w:iCs w:val="0"/>
          <w:szCs w:val="20"/>
        </w:rPr>
        <w:t>four</w:t>
      </w:r>
      <w:r w:rsidRPr="00EF3365">
        <w:rPr>
          <w:b w:val="0"/>
          <w:iCs w:val="0"/>
          <w:szCs w:val="20"/>
        </w:rPr>
        <w:t xml:space="preserve"> sub-options: </w:t>
      </w:r>
      <w:r w:rsidR="006924F2">
        <w:rPr>
          <w:b w:val="0"/>
          <w:iCs w:val="0"/>
          <w:szCs w:val="20"/>
        </w:rPr>
        <w:t>3.1</w:t>
      </w:r>
      <w:r w:rsidRPr="00EF3365">
        <w:rPr>
          <w:b w:val="0"/>
          <w:iCs w:val="0"/>
          <w:szCs w:val="20"/>
        </w:rPr>
        <w:t>a (</w:t>
      </w:r>
      <w:r w:rsidR="005954DB" w:rsidRPr="005954DB">
        <w:rPr>
          <w:b w:val="0"/>
        </w:rPr>
        <w:t>2.55 m wide goods vehicles and trailers</w:t>
      </w:r>
      <w:r w:rsidRPr="00EF3365">
        <w:rPr>
          <w:b w:val="0"/>
          <w:iCs w:val="0"/>
          <w:szCs w:val="20"/>
        </w:rPr>
        <w:t>)</w:t>
      </w:r>
      <w:r w:rsidR="006924F2">
        <w:rPr>
          <w:b w:val="0"/>
          <w:iCs w:val="0"/>
          <w:szCs w:val="20"/>
        </w:rPr>
        <w:t>, 3.1b (</w:t>
      </w:r>
      <w:r w:rsidR="005954DB" w:rsidRPr="005954DB">
        <w:rPr>
          <w:b w:val="0"/>
        </w:rPr>
        <w:t xml:space="preserve">2.55 m wide goods vehicles </w:t>
      </w:r>
      <w:r w:rsidR="005954DB">
        <w:rPr>
          <w:b w:val="0"/>
        </w:rPr>
        <w:t>only</w:t>
      </w:r>
      <w:r w:rsidR="006924F2">
        <w:rPr>
          <w:b w:val="0"/>
          <w:iCs w:val="0"/>
          <w:szCs w:val="20"/>
        </w:rPr>
        <w:t>), 3.2a (</w:t>
      </w:r>
      <w:r w:rsidR="00B9347B">
        <w:rPr>
          <w:b w:val="0"/>
        </w:rPr>
        <w:t>2.60</w:t>
      </w:r>
      <w:r w:rsidR="005954DB" w:rsidRPr="005954DB">
        <w:rPr>
          <w:b w:val="0"/>
        </w:rPr>
        <w:t> m wide goods vehicles and trailers</w:t>
      </w:r>
      <w:r w:rsidR="006924F2">
        <w:rPr>
          <w:b w:val="0"/>
          <w:iCs w:val="0"/>
          <w:szCs w:val="20"/>
        </w:rPr>
        <w:t>),</w:t>
      </w:r>
      <w:r w:rsidRPr="00EF3365">
        <w:rPr>
          <w:b w:val="0"/>
          <w:iCs w:val="0"/>
          <w:szCs w:val="20"/>
        </w:rPr>
        <w:t xml:space="preserve"> and </w:t>
      </w:r>
      <w:r w:rsidR="006924F2">
        <w:rPr>
          <w:b w:val="0"/>
          <w:iCs w:val="0"/>
          <w:szCs w:val="20"/>
        </w:rPr>
        <w:t>3.</w:t>
      </w:r>
      <w:r w:rsidRPr="00EF3365">
        <w:rPr>
          <w:b w:val="0"/>
          <w:iCs w:val="0"/>
          <w:szCs w:val="20"/>
        </w:rPr>
        <w:t>2b (</w:t>
      </w:r>
      <w:r w:rsidR="00B9347B">
        <w:rPr>
          <w:b w:val="0"/>
        </w:rPr>
        <w:t>2.60</w:t>
      </w:r>
      <w:r w:rsidR="005954DB" w:rsidRPr="005954DB">
        <w:rPr>
          <w:b w:val="0"/>
        </w:rPr>
        <w:t xml:space="preserve"> m wide goods vehicles </w:t>
      </w:r>
      <w:r w:rsidR="005954DB">
        <w:rPr>
          <w:b w:val="0"/>
        </w:rPr>
        <w:t>only</w:t>
      </w:r>
      <w:r w:rsidRPr="00EF3365">
        <w:rPr>
          <w:b w:val="0"/>
          <w:iCs w:val="0"/>
          <w:szCs w:val="20"/>
        </w:rPr>
        <w:t xml:space="preserve">). </w:t>
      </w:r>
      <w:r w:rsidR="00726BF0">
        <w:rPr>
          <w:b w:val="0"/>
          <w:iCs w:val="0"/>
          <w:szCs w:val="20"/>
        </w:rPr>
        <w:t xml:space="preserve">Each of these </w:t>
      </w:r>
      <w:r w:rsidR="00373B08">
        <w:rPr>
          <w:b w:val="0"/>
          <w:iCs w:val="0"/>
          <w:szCs w:val="20"/>
        </w:rPr>
        <w:br/>
      </w:r>
      <w:r w:rsidR="00726BF0">
        <w:rPr>
          <w:b w:val="0"/>
          <w:iCs w:val="0"/>
          <w:szCs w:val="20"/>
        </w:rPr>
        <w:t xml:space="preserve">sub-options include </w:t>
      </w:r>
      <w:r w:rsidR="00945CA6">
        <w:rPr>
          <w:b w:val="0"/>
          <w:iCs w:val="0"/>
          <w:szCs w:val="20"/>
        </w:rPr>
        <w:t xml:space="preserve">additional mandatory safety ADRs and exclusions for enhanced devices for indirect vision and </w:t>
      </w:r>
      <w:r w:rsidR="007A631C">
        <w:rPr>
          <w:b w:val="0"/>
          <w:iCs w:val="0"/>
          <w:szCs w:val="20"/>
        </w:rPr>
        <w:t xml:space="preserve">monitoring </w:t>
      </w:r>
      <w:r w:rsidR="00945CA6" w:rsidRPr="00945CA6">
        <w:rPr>
          <w:b w:val="0"/>
          <w:iCs w:val="0"/>
          <w:szCs w:val="20"/>
        </w:rPr>
        <w:t xml:space="preserve">devices to detect other road users </w:t>
      </w:r>
      <w:r w:rsidR="00945CA6">
        <w:rPr>
          <w:b w:val="0"/>
          <w:iCs w:val="0"/>
          <w:szCs w:val="20"/>
        </w:rPr>
        <w:t>from vehicle width and length measurements</w:t>
      </w:r>
      <w:r w:rsidR="007A631C">
        <w:rPr>
          <w:b w:val="0"/>
          <w:iCs w:val="0"/>
          <w:szCs w:val="20"/>
        </w:rPr>
        <w:t xml:space="preserve"> (for further detail see Chapter </w:t>
      </w:r>
      <w:r w:rsidR="00FD3068">
        <w:rPr>
          <w:b w:val="0"/>
          <w:iCs w:val="0"/>
          <w:szCs w:val="20"/>
        </w:rPr>
        <w:t>4</w:t>
      </w:r>
      <w:r w:rsidR="007A631C">
        <w:rPr>
          <w:b w:val="0"/>
          <w:iCs w:val="0"/>
          <w:szCs w:val="20"/>
        </w:rPr>
        <w:t>)</w:t>
      </w:r>
      <w:r w:rsidR="00945CA6">
        <w:rPr>
          <w:b w:val="0"/>
          <w:iCs w:val="0"/>
          <w:szCs w:val="20"/>
        </w:rPr>
        <w:t xml:space="preserve">. </w:t>
      </w:r>
      <w:r w:rsidR="00726BF0">
        <w:rPr>
          <w:b w:val="0"/>
          <w:iCs w:val="0"/>
          <w:szCs w:val="20"/>
        </w:rPr>
        <w:t>The benefits and costs of e</w:t>
      </w:r>
      <w:r w:rsidR="00FE2F57">
        <w:rPr>
          <w:b w:val="0"/>
          <w:iCs w:val="0"/>
          <w:szCs w:val="20"/>
        </w:rPr>
        <w:t>ach of these sub-options w</w:t>
      </w:r>
      <w:r w:rsidR="007A631C">
        <w:rPr>
          <w:b w:val="0"/>
          <w:iCs w:val="0"/>
          <w:szCs w:val="20"/>
        </w:rPr>
        <w:t>ere</w:t>
      </w:r>
      <w:r w:rsidR="00FE2F57">
        <w:rPr>
          <w:b w:val="0"/>
          <w:iCs w:val="0"/>
          <w:szCs w:val="20"/>
        </w:rPr>
        <w:t xml:space="preserve"> analysed relative to Option 2 (business as usual) in a</w:t>
      </w:r>
      <w:r w:rsidR="007A631C">
        <w:rPr>
          <w:b w:val="0"/>
          <w:iCs w:val="0"/>
          <w:szCs w:val="20"/>
        </w:rPr>
        <w:t xml:space="preserve">n </w:t>
      </w:r>
      <w:r w:rsidR="00FE2F57">
        <w:rPr>
          <w:b w:val="0"/>
          <w:iCs w:val="0"/>
          <w:szCs w:val="20"/>
        </w:rPr>
        <w:t xml:space="preserve">analysis by the Australian Road Research Board (ARRB). </w:t>
      </w:r>
      <w:r w:rsidRPr="00EF3365">
        <w:rPr>
          <w:b w:val="0"/>
          <w:iCs w:val="0"/>
          <w:szCs w:val="20"/>
        </w:rPr>
        <w:t>The results of th</w:t>
      </w:r>
      <w:r w:rsidR="007A631C">
        <w:rPr>
          <w:b w:val="0"/>
          <w:iCs w:val="0"/>
          <w:szCs w:val="20"/>
        </w:rPr>
        <w:t>is</w:t>
      </w:r>
      <w:r w:rsidRPr="00EF3365">
        <w:rPr>
          <w:b w:val="0"/>
          <w:iCs w:val="0"/>
          <w:szCs w:val="20"/>
        </w:rPr>
        <w:t xml:space="preserve"> benefit-cost analysis over a </w:t>
      </w:r>
      <w:r w:rsidR="006924F2">
        <w:rPr>
          <w:b w:val="0"/>
          <w:iCs w:val="0"/>
          <w:szCs w:val="20"/>
        </w:rPr>
        <w:t>40</w:t>
      </w:r>
      <w:r w:rsidRPr="00EF3365">
        <w:rPr>
          <w:b w:val="0"/>
          <w:iCs w:val="0"/>
          <w:szCs w:val="20"/>
        </w:rPr>
        <w:t xml:space="preserve"> year period for each of these options (assuming an intervention period of 15 years) are summarised in </w:t>
      </w:r>
      <w:r w:rsidR="006924F2" w:rsidRPr="006924F2">
        <w:rPr>
          <w:b w:val="0"/>
          <w:iCs w:val="0"/>
          <w:szCs w:val="20"/>
        </w:rPr>
        <w:fldChar w:fldCharType="begin"/>
      </w:r>
      <w:r w:rsidR="006924F2" w:rsidRPr="006924F2">
        <w:rPr>
          <w:b w:val="0"/>
          <w:iCs w:val="0"/>
          <w:szCs w:val="20"/>
        </w:rPr>
        <w:instrText xml:space="preserve"> REF _Ref117784943 \h  \* MERGEFORMAT </w:instrText>
      </w:r>
      <w:r w:rsidR="006924F2" w:rsidRPr="006924F2">
        <w:rPr>
          <w:b w:val="0"/>
          <w:iCs w:val="0"/>
          <w:szCs w:val="20"/>
        </w:rPr>
      </w:r>
      <w:r w:rsidR="006924F2" w:rsidRPr="006924F2">
        <w:rPr>
          <w:b w:val="0"/>
          <w:iCs w:val="0"/>
          <w:szCs w:val="20"/>
        </w:rPr>
        <w:fldChar w:fldCharType="separate"/>
      </w:r>
      <w:r w:rsidR="00534814" w:rsidRPr="00534814">
        <w:rPr>
          <w:b w:val="0"/>
        </w:rPr>
        <w:t xml:space="preserve">Table </w:t>
      </w:r>
      <w:r w:rsidR="00534814" w:rsidRPr="00534814">
        <w:rPr>
          <w:b w:val="0"/>
          <w:noProof/>
        </w:rPr>
        <w:t>1</w:t>
      </w:r>
      <w:r w:rsidR="006924F2" w:rsidRPr="006924F2">
        <w:rPr>
          <w:b w:val="0"/>
          <w:iCs w:val="0"/>
          <w:szCs w:val="20"/>
        </w:rPr>
        <w:fldChar w:fldCharType="end"/>
      </w:r>
      <w:r w:rsidR="006924F2" w:rsidRPr="006924F2">
        <w:rPr>
          <w:b w:val="0"/>
          <w:iCs w:val="0"/>
          <w:szCs w:val="20"/>
        </w:rPr>
        <w:t xml:space="preserve"> </w:t>
      </w:r>
      <w:r w:rsidRPr="00EF3365">
        <w:rPr>
          <w:b w:val="0"/>
          <w:iCs w:val="0"/>
          <w:szCs w:val="20"/>
        </w:rPr>
        <w:t xml:space="preserve">to </w:t>
      </w:r>
      <w:r w:rsidR="006924F2" w:rsidRPr="006924F2">
        <w:rPr>
          <w:b w:val="0"/>
          <w:iCs w:val="0"/>
          <w:szCs w:val="20"/>
        </w:rPr>
        <w:fldChar w:fldCharType="begin"/>
      </w:r>
      <w:r w:rsidR="006924F2" w:rsidRPr="006924F2">
        <w:rPr>
          <w:b w:val="0"/>
          <w:iCs w:val="0"/>
          <w:szCs w:val="20"/>
        </w:rPr>
        <w:instrText xml:space="preserve"> REF _Ref117784985 \h  \* MERGEFORMAT </w:instrText>
      </w:r>
      <w:r w:rsidR="006924F2" w:rsidRPr="006924F2">
        <w:rPr>
          <w:b w:val="0"/>
          <w:iCs w:val="0"/>
          <w:szCs w:val="20"/>
        </w:rPr>
      </w:r>
      <w:r w:rsidR="006924F2" w:rsidRPr="006924F2">
        <w:rPr>
          <w:b w:val="0"/>
          <w:iCs w:val="0"/>
          <w:szCs w:val="20"/>
        </w:rPr>
        <w:fldChar w:fldCharType="separate"/>
      </w:r>
      <w:r w:rsidR="00534814" w:rsidRPr="00534814">
        <w:rPr>
          <w:b w:val="0"/>
        </w:rPr>
        <w:t xml:space="preserve">Table </w:t>
      </w:r>
      <w:r w:rsidR="00534814" w:rsidRPr="00534814">
        <w:rPr>
          <w:b w:val="0"/>
          <w:noProof/>
        </w:rPr>
        <w:t>3</w:t>
      </w:r>
      <w:r w:rsidR="006924F2" w:rsidRPr="006924F2">
        <w:rPr>
          <w:b w:val="0"/>
          <w:iCs w:val="0"/>
          <w:szCs w:val="20"/>
        </w:rPr>
        <w:fldChar w:fldCharType="end"/>
      </w:r>
      <w:r w:rsidR="006924F2">
        <w:rPr>
          <w:b w:val="0"/>
          <w:iCs w:val="0"/>
          <w:szCs w:val="20"/>
        </w:rPr>
        <w:t xml:space="preserve"> </w:t>
      </w:r>
      <w:r w:rsidRPr="00EF3365">
        <w:rPr>
          <w:b w:val="0"/>
          <w:iCs w:val="0"/>
          <w:szCs w:val="20"/>
        </w:rPr>
        <w:t>below.</w:t>
      </w:r>
    </w:p>
    <w:p w:rsidR="00542570" w:rsidRDefault="00542570" w:rsidP="00542570">
      <w:pPr>
        <w:pStyle w:val="Caption"/>
        <w:keepNext/>
      </w:pPr>
      <w:bookmarkStart w:id="5" w:name="_Ref117784943"/>
      <w:bookmarkStart w:id="6" w:name="_Ref117784939"/>
      <w:bookmarkStart w:id="7" w:name="_Toc135320126"/>
      <w:r w:rsidRPr="002C1585">
        <w:t xml:space="preserve">Table </w:t>
      </w:r>
      <w:fldSimple w:instr=" SEQ Table \* ARABIC ">
        <w:r w:rsidR="00534814">
          <w:rPr>
            <w:noProof/>
          </w:rPr>
          <w:t>1</w:t>
        </w:r>
      </w:fldSimple>
      <w:bookmarkEnd w:id="5"/>
      <w:r>
        <w:t xml:space="preserve">: </w:t>
      </w:r>
      <w:r w:rsidRPr="002C1585">
        <w:t xml:space="preserve">Summary of the </w:t>
      </w:r>
      <w:r>
        <w:t>benefits for</w:t>
      </w:r>
      <w:r w:rsidRPr="002C1585">
        <w:t xml:space="preserve"> each option</w:t>
      </w:r>
      <w:bookmarkEnd w:id="6"/>
      <w:bookmarkEnd w:id="7"/>
    </w:p>
    <w:tbl>
      <w:tblPr>
        <w:tblStyle w:val="TableGrid"/>
        <w:tblW w:w="9750" w:type="dxa"/>
        <w:tblLook w:val="04A0" w:firstRow="1" w:lastRow="0" w:firstColumn="1" w:lastColumn="0" w:noHBand="0" w:noVBand="1"/>
      </w:tblPr>
      <w:tblGrid>
        <w:gridCol w:w="3402"/>
        <w:gridCol w:w="1587"/>
        <w:gridCol w:w="1587"/>
        <w:gridCol w:w="1587"/>
        <w:gridCol w:w="1587"/>
      </w:tblGrid>
      <w:tr w:rsidR="00872745" w:rsidTr="00390513">
        <w:trPr>
          <w:trHeight w:val="340"/>
        </w:trPr>
        <w:tc>
          <w:tcPr>
            <w:tcW w:w="3402" w:type="dxa"/>
            <w:shd w:val="clear" w:color="auto" w:fill="081E3E" w:themeFill="text2"/>
            <w:vAlign w:val="center"/>
          </w:tcPr>
          <w:p w:rsidR="00872745" w:rsidRPr="00731C0C" w:rsidRDefault="00872745" w:rsidP="00390513">
            <w:pPr>
              <w:pStyle w:val="Table2heading"/>
              <w:jc w:val="left"/>
            </w:pPr>
            <w:r>
              <w:t>Benefits</w:t>
            </w:r>
          </w:p>
        </w:tc>
        <w:tc>
          <w:tcPr>
            <w:tcW w:w="1587" w:type="dxa"/>
            <w:shd w:val="clear" w:color="auto" w:fill="081E3E" w:themeFill="text2"/>
            <w:vAlign w:val="center"/>
          </w:tcPr>
          <w:p w:rsidR="00872745" w:rsidRPr="00731C0C" w:rsidRDefault="00872745" w:rsidP="00390513">
            <w:pPr>
              <w:pStyle w:val="Table2heading"/>
              <w:keepNext/>
            </w:pPr>
            <w:r w:rsidRPr="00731C0C">
              <w:t>Option 3.1a</w:t>
            </w:r>
          </w:p>
        </w:tc>
        <w:tc>
          <w:tcPr>
            <w:tcW w:w="1587" w:type="dxa"/>
            <w:shd w:val="clear" w:color="auto" w:fill="081E3E" w:themeFill="text2"/>
            <w:vAlign w:val="center"/>
          </w:tcPr>
          <w:p w:rsidR="00872745" w:rsidRPr="00731C0C" w:rsidRDefault="00872745" w:rsidP="00390513">
            <w:pPr>
              <w:pStyle w:val="Table2heading"/>
              <w:keepNext/>
            </w:pPr>
            <w:r w:rsidRPr="00731C0C">
              <w:t>Option 3.1b</w:t>
            </w:r>
          </w:p>
        </w:tc>
        <w:tc>
          <w:tcPr>
            <w:tcW w:w="1587" w:type="dxa"/>
            <w:shd w:val="clear" w:color="auto" w:fill="081E3E" w:themeFill="text2"/>
            <w:vAlign w:val="center"/>
          </w:tcPr>
          <w:p w:rsidR="00872745" w:rsidRPr="00731C0C" w:rsidRDefault="00872745" w:rsidP="00390513">
            <w:pPr>
              <w:pStyle w:val="Table2heading"/>
              <w:keepNext/>
            </w:pPr>
            <w:r w:rsidRPr="00731C0C">
              <w:t>Option 3.2a</w:t>
            </w:r>
          </w:p>
        </w:tc>
        <w:tc>
          <w:tcPr>
            <w:tcW w:w="1587" w:type="dxa"/>
            <w:shd w:val="clear" w:color="auto" w:fill="081E3E" w:themeFill="text2"/>
            <w:vAlign w:val="center"/>
          </w:tcPr>
          <w:p w:rsidR="00872745" w:rsidRPr="00731C0C" w:rsidRDefault="00872745" w:rsidP="00390513">
            <w:pPr>
              <w:pStyle w:val="Table2heading"/>
              <w:keepNext/>
            </w:pPr>
            <w:r w:rsidRPr="00731C0C">
              <w:t>Option 3.2b</w:t>
            </w:r>
          </w:p>
        </w:tc>
      </w:tr>
      <w:tr w:rsidR="00872745" w:rsidTr="00390513">
        <w:trPr>
          <w:trHeight w:val="340"/>
        </w:trPr>
        <w:tc>
          <w:tcPr>
            <w:tcW w:w="3402" w:type="dxa"/>
            <w:vAlign w:val="center"/>
          </w:tcPr>
          <w:p w:rsidR="00872745" w:rsidRPr="00E856F5" w:rsidRDefault="00872745" w:rsidP="00390513">
            <w:pPr>
              <w:rPr>
                <w:b/>
              </w:rPr>
            </w:pPr>
            <w:r>
              <w:rPr>
                <w:b/>
              </w:rPr>
              <w:t>Safety</w:t>
            </w:r>
          </w:p>
        </w:tc>
        <w:tc>
          <w:tcPr>
            <w:tcW w:w="1587" w:type="dxa"/>
            <w:vAlign w:val="center"/>
          </w:tcPr>
          <w:p w:rsidR="00872745" w:rsidRPr="005D0919" w:rsidRDefault="00872745" w:rsidP="00390513">
            <w:pPr>
              <w:jc w:val="center"/>
              <w:rPr>
                <w:rFonts w:cstheme="minorHAnsi"/>
                <w:color w:val="auto"/>
              </w:rPr>
            </w:pPr>
            <w:r w:rsidRPr="00413784">
              <w:t>$6</w:t>
            </w:r>
            <w:r>
              <w:t>28 m</w:t>
            </w:r>
          </w:p>
        </w:tc>
        <w:tc>
          <w:tcPr>
            <w:tcW w:w="1587" w:type="dxa"/>
            <w:vAlign w:val="center"/>
          </w:tcPr>
          <w:p w:rsidR="00872745" w:rsidRPr="005D0919" w:rsidRDefault="00872745" w:rsidP="00390513">
            <w:pPr>
              <w:jc w:val="center"/>
              <w:rPr>
                <w:rFonts w:cstheme="minorHAnsi"/>
                <w:color w:val="auto"/>
              </w:rPr>
            </w:pPr>
            <w:r w:rsidRPr="00413784">
              <w:t>$558</w:t>
            </w:r>
            <w:r>
              <w:t> m</w:t>
            </w:r>
          </w:p>
        </w:tc>
        <w:tc>
          <w:tcPr>
            <w:tcW w:w="1587" w:type="dxa"/>
            <w:vAlign w:val="center"/>
          </w:tcPr>
          <w:p w:rsidR="00872745" w:rsidRPr="005D0919" w:rsidRDefault="00872745" w:rsidP="00390513">
            <w:pPr>
              <w:jc w:val="center"/>
              <w:rPr>
                <w:rFonts w:cstheme="minorHAnsi"/>
                <w:color w:val="auto"/>
              </w:rPr>
            </w:pPr>
            <w:r w:rsidRPr="00413784">
              <w:t>$6</w:t>
            </w:r>
            <w:r>
              <w:t>89 m</w:t>
            </w:r>
          </w:p>
        </w:tc>
        <w:tc>
          <w:tcPr>
            <w:tcW w:w="1587" w:type="dxa"/>
            <w:vAlign w:val="center"/>
          </w:tcPr>
          <w:p w:rsidR="00872745" w:rsidRPr="005D0919" w:rsidRDefault="00872745" w:rsidP="00390513">
            <w:pPr>
              <w:jc w:val="center"/>
              <w:rPr>
                <w:rFonts w:cstheme="minorHAnsi"/>
                <w:color w:val="auto"/>
              </w:rPr>
            </w:pPr>
            <w:r w:rsidRPr="00413784">
              <w:t>$61</w:t>
            </w:r>
            <w:r>
              <w:t>2 m</w:t>
            </w:r>
          </w:p>
        </w:tc>
      </w:tr>
      <w:tr w:rsidR="00872745" w:rsidTr="00390513">
        <w:trPr>
          <w:trHeight w:val="340"/>
        </w:trPr>
        <w:tc>
          <w:tcPr>
            <w:tcW w:w="3402" w:type="dxa"/>
            <w:vAlign w:val="center"/>
          </w:tcPr>
          <w:p w:rsidR="00872745" w:rsidRPr="00E856F5" w:rsidRDefault="00872745" w:rsidP="00390513">
            <w:pPr>
              <w:rPr>
                <w:b/>
              </w:rPr>
            </w:pPr>
            <w:r>
              <w:rPr>
                <w:b/>
              </w:rPr>
              <w:t>Asset Preservation</w:t>
            </w:r>
          </w:p>
        </w:tc>
        <w:tc>
          <w:tcPr>
            <w:tcW w:w="1587" w:type="dxa"/>
            <w:vAlign w:val="center"/>
          </w:tcPr>
          <w:p w:rsidR="00872745" w:rsidRPr="007B0B44" w:rsidRDefault="00872745" w:rsidP="00390513">
            <w:pPr>
              <w:jc w:val="center"/>
            </w:pPr>
            <w:r w:rsidRPr="007B0B44">
              <w:t>$2.</w:t>
            </w:r>
            <w:r>
              <w:t>8</w:t>
            </w:r>
            <w:r w:rsidRPr="007B0B44">
              <w:t>0 m</w:t>
            </w:r>
          </w:p>
        </w:tc>
        <w:tc>
          <w:tcPr>
            <w:tcW w:w="1587" w:type="dxa"/>
            <w:vAlign w:val="center"/>
          </w:tcPr>
          <w:p w:rsidR="00872745" w:rsidRPr="007B0B44" w:rsidRDefault="00872745" w:rsidP="00390513">
            <w:pPr>
              <w:jc w:val="center"/>
            </w:pPr>
            <w:r w:rsidRPr="007B0B44">
              <w:t>$2</w:t>
            </w:r>
            <w:r>
              <w:t>.</w:t>
            </w:r>
            <w:r w:rsidRPr="007B0B44">
              <w:t>42</w:t>
            </w:r>
            <w:r>
              <w:t> m</w:t>
            </w:r>
          </w:p>
        </w:tc>
        <w:tc>
          <w:tcPr>
            <w:tcW w:w="1587" w:type="dxa"/>
            <w:vAlign w:val="center"/>
          </w:tcPr>
          <w:p w:rsidR="00872745" w:rsidRPr="007B0B44" w:rsidRDefault="00872745" w:rsidP="00390513">
            <w:pPr>
              <w:jc w:val="center"/>
            </w:pPr>
            <w:r w:rsidRPr="007B0B44">
              <w:t>$5</w:t>
            </w:r>
            <w:r>
              <w:t>.4</w:t>
            </w:r>
            <w:r w:rsidRPr="007B0B44">
              <w:t>6</w:t>
            </w:r>
            <w:r>
              <w:t> m</w:t>
            </w:r>
          </w:p>
        </w:tc>
        <w:tc>
          <w:tcPr>
            <w:tcW w:w="1587" w:type="dxa"/>
            <w:vAlign w:val="center"/>
          </w:tcPr>
          <w:p w:rsidR="00872745" w:rsidRPr="007B0B44" w:rsidRDefault="00872745" w:rsidP="00390513">
            <w:pPr>
              <w:jc w:val="center"/>
            </w:pPr>
            <w:r w:rsidRPr="007B0B44">
              <w:t>$4</w:t>
            </w:r>
            <w:r>
              <w:t>.</w:t>
            </w:r>
            <w:r w:rsidRPr="007B0B44">
              <w:t>7</w:t>
            </w:r>
            <w:r>
              <w:t>3 m</w:t>
            </w:r>
          </w:p>
        </w:tc>
      </w:tr>
      <w:tr w:rsidR="00872745" w:rsidTr="00390513">
        <w:trPr>
          <w:trHeight w:val="340"/>
        </w:trPr>
        <w:tc>
          <w:tcPr>
            <w:tcW w:w="3402" w:type="dxa"/>
            <w:vAlign w:val="center"/>
          </w:tcPr>
          <w:p w:rsidR="00872745" w:rsidRPr="00E856F5" w:rsidRDefault="00872745" w:rsidP="00390513">
            <w:pPr>
              <w:rPr>
                <w:b/>
              </w:rPr>
            </w:pPr>
            <w:r>
              <w:rPr>
                <w:b/>
              </w:rPr>
              <w:t>Vehicle Operation</w:t>
            </w:r>
          </w:p>
        </w:tc>
        <w:tc>
          <w:tcPr>
            <w:tcW w:w="1587" w:type="dxa"/>
            <w:vAlign w:val="center"/>
          </w:tcPr>
          <w:p w:rsidR="00872745" w:rsidRPr="005D0919" w:rsidRDefault="00872745" w:rsidP="00390513">
            <w:pPr>
              <w:jc w:val="center"/>
              <w:rPr>
                <w:rFonts w:cstheme="minorHAnsi"/>
                <w:color w:val="auto"/>
              </w:rPr>
            </w:pPr>
            <w:r w:rsidRPr="00F770B3">
              <w:t>$2</w:t>
            </w:r>
            <w:r>
              <w:t>35 m</w:t>
            </w:r>
          </w:p>
        </w:tc>
        <w:tc>
          <w:tcPr>
            <w:tcW w:w="1587" w:type="dxa"/>
            <w:vAlign w:val="center"/>
          </w:tcPr>
          <w:p w:rsidR="00872745" w:rsidRPr="005D0919" w:rsidRDefault="00872745" w:rsidP="00390513">
            <w:pPr>
              <w:jc w:val="center"/>
              <w:rPr>
                <w:rFonts w:cstheme="minorHAnsi"/>
                <w:color w:val="auto"/>
              </w:rPr>
            </w:pPr>
            <w:r w:rsidRPr="00F770B3">
              <w:t>$208</w:t>
            </w:r>
            <w:r>
              <w:t> m</w:t>
            </w:r>
          </w:p>
        </w:tc>
        <w:tc>
          <w:tcPr>
            <w:tcW w:w="1587" w:type="dxa"/>
            <w:vAlign w:val="center"/>
          </w:tcPr>
          <w:p w:rsidR="00872745" w:rsidRPr="005D0919" w:rsidRDefault="00872745" w:rsidP="00390513">
            <w:pPr>
              <w:jc w:val="center"/>
              <w:rPr>
                <w:rFonts w:cstheme="minorHAnsi"/>
                <w:color w:val="auto"/>
              </w:rPr>
            </w:pPr>
            <w:r w:rsidRPr="00F770B3">
              <w:t>$4</w:t>
            </w:r>
            <w:r>
              <w:t>39 m</w:t>
            </w:r>
          </w:p>
        </w:tc>
        <w:tc>
          <w:tcPr>
            <w:tcW w:w="1587" w:type="dxa"/>
            <w:vAlign w:val="center"/>
          </w:tcPr>
          <w:p w:rsidR="00872745" w:rsidRPr="005D0919" w:rsidRDefault="00872745" w:rsidP="00390513">
            <w:pPr>
              <w:jc w:val="center"/>
              <w:rPr>
                <w:rFonts w:cstheme="minorHAnsi"/>
                <w:color w:val="auto"/>
              </w:rPr>
            </w:pPr>
            <w:r w:rsidRPr="00F770B3">
              <w:t>$38</w:t>
            </w:r>
            <w:r>
              <w:t>9 m</w:t>
            </w:r>
          </w:p>
        </w:tc>
      </w:tr>
      <w:tr w:rsidR="00872745" w:rsidTr="00390513">
        <w:trPr>
          <w:trHeight w:val="340"/>
        </w:trPr>
        <w:tc>
          <w:tcPr>
            <w:tcW w:w="3402" w:type="dxa"/>
            <w:vAlign w:val="center"/>
          </w:tcPr>
          <w:p w:rsidR="00872745" w:rsidRPr="00E856F5" w:rsidRDefault="00872745" w:rsidP="00390513">
            <w:pPr>
              <w:rPr>
                <w:b/>
              </w:rPr>
            </w:pPr>
            <w:r>
              <w:rPr>
                <w:b/>
              </w:rPr>
              <w:t>Environment</w:t>
            </w:r>
          </w:p>
        </w:tc>
        <w:tc>
          <w:tcPr>
            <w:tcW w:w="1587" w:type="dxa"/>
            <w:vAlign w:val="center"/>
          </w:tcPr>
          <w:p w:rsidR="00872745" w:rsidRPr="005D0919" w:rsidRDefault="00872745" w:rsidP="00390513">
            <w:pPr>
              <w:jc w:val="center"/>
              <w:rPr>
                <w:rFonts w:cstheme="minorHAnsi"/>
                <w:color w:val="auto"/>
              </w:rPr>
            </w:pPr>
            <w:r w:rsidRPr="003633B4">
              <w:t>$1</w:t>
            </w:r>
            <w:r>
              <w:t>22 m</w:t>
            </w:r>
          </w:p>
        </w:tc>
        <w:tc>
          <w:tcPr>
            <w:tcW w:w="1587" w:type="dxa"/>
            <w:vAlign w:val="center"/>
          </w:tcPr>
          <w:p w:rsidR="00872745" w:rsidRPr="005D0919" w:rsidRDefault="00872745" w:rsidP="00390513">
            <w:pPr>
              <w:jc w:val="center"/>
              <w:rPr>
                <w:rFonts w:cstheme="minorHAnsi"/>
                <w:color w:val="auto"/>
              </w:rPr>
            </w:pPr>
            <w:r w:rsidRPr="003633B4">
              <w:t>$10</w:t>
            </w:r>
            <w:r>
              <w:t>8 m</w:t>
            </w:r>
          </w:p>
        </w:tc>
        <w:tc>
          <w:tcPr>
            <w:tcW w:w="1587" w:type="dxa"/>
            <w:vAlign w:val="center"/>
          </w:tcPr>
          <w:p w:rsidR="00872745" w:rsidRPr="005D0919" w:rsidRDefault="00872745" w:rsidP="00390513">
            <w:pPr>
              <w:jc w:val="center"/>
              <w:rPr>
                <w:rFonts w:cstheme="minorHAnsi"/>
                <w:color w:val="auto"/>
              </w:rPr>
            </w:pPr>
            <w:r w:rsidRPr="003633B4">
              <w:t>$2</w:t>
            </w:r>
            <w:r>
              <w:t>27 m</w:t>
            </w:r>
          </w:p>
        </w:tc>
        <w:tc>
          <w:tcPr>
            <w:tcW w:w="1587" w:type="dxa"/>
            <w:vAlign w:val="center"/>
          </w:tcPr>
          <w:p w:rsidR="00872745" w:rsidRPr="005D0919" w:rsidRDefault="00872745" w:rsidP="00390513">
            <w:pPr>
              <w:jc w:val="center"/>
              <w:rPr>
                <w:rFonts w:cstheme="minorHAnsi"/>
                <w:color w:val="auto"/>
              </w:rPr>
            </w:pPr>
            <w:r w:rsidRPr="003633B4">
              <w:t>$20</w:t>
            </w:r>
            <w:r>
              <w:t>1 m</w:t>
            </w:r>
          </w:p>
        </w:tc>
      </w:tr>
    </w:tbl>
    <w:p w:rsidR="00542570" w:rsidRPr="002C1585" w:rsidRDefault="00542570" w:rsidP="00D416D7">
      <w:pPr>
        <w:pStyle w:val="Caption"/>
        <w:keepNext/>
        <w:pageBreakBefore/>
      </w:pPr>
      <w:bookmarkStart w:id="8" w:name="_Toc135320127"/>
      <w:r w:rsidRPr="002C1585">
        <w:t xml:space="preserve">Table </w:t>
      </w:r>
      <w:fldSimple w:instr=" SEQ Table \* ARABIC ">
        <w:r w:rsidR="00534814">
          <w:rPr>
            <w:noProof/>
          </w:rPr>
          <w:t>2</w:t>
        </w:r>
      </w:fldSimple>
      <w:r>
        <w:t xml:space="preserve">: </w:t>
      </w:r>
      <w:r w:rsidRPr="002C1585">
        <w:t xml:space="preserve">Summary of the </w:t>
      </w:r>
      <w:r>
        <w:t>costs for</w:t>
      </w:r>
      <w:r w:rsidRPr="002C1585">
        <w:t xml:space="preserve"> each option</w:t>
      </w:r>
      <w:bookmarkEnd w:id="8"/>
    </w:p>
    <w:tbl>
      <w:tblPr>
        <w:tblStyle w:val="TableGrid"/>
        <w:tblW w:w="0" w:type="auto"/>
        <w:tblLook w:val="04A0" w:firstRow="1" w:lastRow="0" w:firstColumn="1" w:lastColumn="0" w:noHBand="0" w:noVBand="1"/>
      </w:tblPr>
      <w:tblGrid>
        <w:gridCol w:w="1838"/>
        <w:gridCol w:w="1564"/>
        <w:gridCol w:w="1588"/>
        <w:gridCol w:w="1588"/>
        <w:gridCol w:w="1588"/>
        <w:gridCol w:w="1588"/>
      </w:tblGrid>
      <w:tr w:rsidR="00872745" w:rsidTr="00390513">
        <w:trPr>
          <w:trHeight w:val="340"/>
        </w:trPr>
        <w:tc>
          <w:tcPr>
            <w:tcW w:w="3402" w:type="dxa"/>
            <w:gridSpan w:val="2"/>
            <w:shd w:val="clear" w:color="auto" w:fill="081E3E" w:themeFill="text2"/>
            <w:vAlign w:val="center"/>
          </w:tcPr>
          <w:p w:rsidR="00872745" w:rsidRPr="00731C0C" w:rsidRDefault="00872745" w:rsidP="00390513">
            <w:pPr>
              <w:pStyle w:val="Table2heading"/>
              <w:jc w:val="left"/>
            </w:pPr>
            <w:r>
              <w:t>Costs</w:t>
            </w:r>
          </w:p>
        </w:tc>
        <w:tc>
          <w:tcPr>
            <w:tcW w:w="1588" w:type="dxa"/>
            <w:shd w:val="clear" w:color="auto" w:fill="081E3E" w:themeFill="text2"/>
            <w:vAlign w:val="center"/>
          </w:tcPr>
          <w:p w:rsidR="00872745" w:rsidRPr="00731C0C" w:rsidRDefault="00872745" w:rsidP="00390513">
            <w:pPr>
              <w:pStyle w:val="Table2heading"/>
              <w:keepNext/>
            </w:pPr>
            <w:r w:rsidRPr="00731C0C">
              <w:t>Option 3.1a</w:t>
            </w:r>
          </w:p>
        </w:tc>
        <w:tc>
          <w:tcPr>
            <w:tcW w:w="1588" w:type="dxa"/>
            <w:shd w:val="clear" w:color="auto" w:fill="081E3E" w:themeFill="text2"/>
            <w:vAlign w:val="center"/>
          </w:tcPr>
          <w:p w:rsidR="00872745" w:rsidRPr="00731C0C" w:rsidRDefault="00872745" w:rsidP="00390513">
            <w:pPr>
              <w:pStyle w:val="Table2heading"/>
              <w:keepNext/>
            </w:pPr>
            <w:r w:rsidRPr="00731C0C">
              <w:t>Option 3.1b</w:t>
            </w:r>
          </w:p>
        </w:tc>
        <w:tc>
          <w:tcPr>
            <w:tcW w:w="1588" w:type="dxa"/>
            <w:shd w:val="clear" w:color="auto" w:fill="081E3E" w:themeFill="text2"/>
            <w:vAlign w:val="center"/>
          </w:tcPr>
          <w:p w:rsidR="00872745" w:rsidRPr="00731C0C" w:rsidRDefault="00872745" w:rsidP="00390513">
            <w:pPr>
              <w:pStyle w:val="Table2heading"/>
              <w:keepNext/>
            </w:pPr>
            <w:r w:rsidRPr="00731C0C">
              <w:t>Option 3.2a</w:t>
            </w:r>
          </w:p>
        </w:tc>
        <w:tc>
          <w:tcPr>
            <w:tcW w:w="1588" w:type="dxa"/>
            <w:shd w:val="clear" w:color="auto" w:fill="081E3E" w:themeFill="text2"/>
            <w:vAlign w:val="center"/>
          </w:tcPr>
          <w:p w:rsidR="00872745" w:rsidRPr="00731C0C" w:rsidRDefault="00872745" w:rsidP="00390513">
            <w:pPr>
              <w:pStyle w:val="Table2heading"/>
              <w:keepNext/>
            </w:pPr>
            <w:r w:rsidRPr="00731C0C">
              <w:t>Option 3.2b</w:t>
            </w:r>
          </w:p>
        </w:tc>
      </w:tr>
      <w:tr w:rsidR="00872745" w:rsidTr="00390513">
        <w:trPr>
          <w:trHeight w:val="483"/>
        </w:trPr>
        <w:tc>
          <w:tcPr>
            <w:tcW w:w="1838" w:type="dxa"/>
            <w:vMerge w:val="restart"/>
            <w:vAlign w:val="center"/>
          </w:tcPr>
          <w:p w:rsidR="00872745" w:rsidRDefault="00872745" w:rsidP="00390513">
            <w:pPr>
              <w:rPr>
                <w:b/>
              </w:rPr>
            </w:pPr>
            <w:r>
              <w:rPr>
                <w:b/>
              </w:rPr>
              <w:t>Fitment of safety systems or features and modifications for width</w:t>
            </w:r>
            <w:r w:rsidR="00BA041B">
              <w:rPr>
                <w:b/>
              </w:rPr>
              <w:t xml:space="preserve"> (net cost</w:t>
            </w:r>
            <w:r w:rsidR="00B54776">
              <w:rPr>
                <w:b/>
              </w:rPr>
              <w:t>)</w:t>
            </w:r>
          </w:p>
        </w:tc>
        <w:tc>
          <w:tcPr>
            <w:tcW w:w="1564" w:type="dxa"/>
            <w:vAlign w:val="center"/>
          </w:tcPr>
          <w:p w:rsidR="00872745" w:rsidRPr="00C2534D" w:rsidRDefault="00872745" w:rsidP="00390513">
            <w:r w:rsidRPr="00C2534D">
              <w:t>Goods vehicles</w:t>
            </w:r>
          </w:p>
        </w:tc>
        <w:tc>
          <w:tcPr>
            <w:tcW w:w="1588" w:type="dxa"/>
            <w:vAlign w:val="center"/>
          </w:tcPr>
          <w:p w:rsidR="00872745" w:rsidRPr="00A67B00" w:rsidRDefault="00872745" w:rsidP="00390513">
            <w:pPr>
              <w:jc w:val="center"/>
              <w:rPr>
                <w:rFonts w:cstheme="minorHAnsi"/>
                <w:highlight w:val="yellow"/>
              </w:rPr>
            </w:pPr>
            <w:r>
              <w:rPr>
                <w:rFonts w:cstheme="minorHAnsi"/>
                <w:color w:val="000000"/>
              </w:rPr>
              <w:t>$236 m</w:t>
            </w:r>
          </w:p>
        </w:tc>
        <w:tc>
          <w:tcPr>
            <w:tcW w:w="1588" w:type="dxa"/>
            <w:vAlign w:val="center"/>
          </w:tcPr>
          <w:p w:rsidR="00872745" w:rsidRPr="00A67B00" w:rsidRDefault="00872745" w:rsidP="00390513">
            <w:pPr>
              <w:jc w:val="center"/>
              <w:rPr>
                <w:rFonts w:cstheme="minorHAnsi"/>
                <w:highlight w:val="yellow"/>
              </w:rPr>
            </w:pPr>
            <w:r>
              <w:rPr>
                <w:rFonts w:cstheme="minorHAnsi"/>
                <w:color w:val="000000"/>
              </w:rPr>
              <w:t>$236 m</w:t>
            </w:r>
          </w:p>
        </w:tc>
        <w:tc>
          <w:tcPr>
            <w:tcW w:w="1588" w:type="dxa"/>
            <w:vAlign w:val="center"/>
          </w:tcPr>
          <w:p w:rsidR="00872745" w:rsidRPr="00A67B00" w:rsidRDefault="00872745" w:rsidP="00390513">
            <w:pPr>
              <w:jc w:val="center"/>
              <w:rPr>
                <w:rFonts w:cstheme="minorHAnsi"/>
                <w:highlight w:val="yellow"/>
              </w:rPr>
            </w:pPr>
            <w:r>
              <w:rPr>
                <w:rFonts w:cstheme="minorHAnsi"/>
                <w:color w:val="000000"/>
              </w:rPr>
              <w:t>$222 m</w:t>
            </w:r>
          </w:p>
        </w:tc>
        <w:tc>
          <w:tcPr>
            <w:tcW w:w="1588" w:type="dxa"/>
            <w:vAlign w:val="center"/>
          </w:tcPr>
          <w:p w:rsidR="00872745" w:rsidRPr="00A67B00" w:rsidRDefault="00872745" w:rsidP="00390513">
            <w:pPr>
              <w:jc w:val="center"/>
              <w:rPr>
                <w:rFonts w:cstheme="minorHAnsi"/>
                <w:highlight w:val="yellow"/>
              </w:rPr>
            </w:pPr>
            <w:r>
              <w:rPr>
                <w:rFonts w:cstheme="minorHAnsi"/>
                <w:color w:val="000000"/>
              </w:rPr>
              <w:t>$222 m</w:t>
            </w:r>
          </w:p>
        </w:tc>
      </w:tr>
      <w:tr w:rsidR="00872745" w:rsidTr="00390513">
        <w:trPr>
          <w:trHeight w:val="484"/>
        </w:trPr>
        <w:tc>
          <w:tcPr>
            <w:tcW w:w="1838" w:type="dxa"/>
            <w:vMerge/>
            <w:vAlign w:val="center"/>
          </w:tcPr>
          <w:p w:rsidR="00872745" w:rsidRDefault="00872745" w:rsidP="00390513">
            <w:pPr>
              <w:rPr>
                <w:b/>
              </w:rPr>
            </w:pPr>
          </w:p>
        </w:tc>
        <w:tc>
          <w:tcPr>
            <w:tcW w:w="1564" w:type="dxa"/>
            <w:vAlign w:val="center"/>
          </w:tcPr>
          <w:p w:rsidR="00872745" w:rsidRPr="00C2534D" w:rsidRDefault="00872745" w:rsidP="00390513">
            <w:r w:rsidRPr="00C2534D">
              <w:t>Trailers</w:t>
            </w:r>
          </w:p>
        </w:tc>
        <w:tc>
          <w:tcPr>
            <w:tcW w:w="1588" w:type="dxa"/>
            <w:vAlign w:val="center"/>
          </w:tcPr>
          <w:p w:rsidR="00872745" w:rsidRPr="00A67B00" w:rsidRDefault="00872745" w:rsidP="00390513">
            <w:pPr>
              <w:jc w:val="center"/>
              <w:rPr>
                <w:rFonts w:cstheme="minorHAnsi"/>
                <w:color w:val="auto"/>
              </w:rPr>
            </w:pPr>
            <w:r>
              <w:rPr>
                <w:rFonts w:cstheme="minorHAnsi"/>
                <w:color w:val="000000"/>
              </w:rPr>
              <w:t>$39.5 m</w:t>
            </w:r>
          </w:p>
        </w:tc>
        <w:tc>
          <w:tcPr>
            <w:tcW w:w="1588" w:type="dxa"/>
            <w:vAlign w:val="center"/>
          </w:tcPr>
          <w:p w:rsidR="00872745" w:rsidRPr="00A67B00" w:rsidRDefault="00872745" w:rsidP="00390513">
            <w:pPr>
              <w:jc w:val="center"/>
              <w:rPr>
                <w:rFonts w:cstheme="minorHAnsi"/>
                <w:color w:val="auto"/>
              </w:rPr>
            </w:pPr>
            <w:r>
              <w:rPr>
                <w:color w:val="auto"/>
              </w:rPr>
              <w:t>-</w:t>
            </w:r>
          </w:p>
        </w:tc>
        <w:tc>
          <w:tcPr>
            <w:tcW w:w="1588" w:type="dxa"/>
            <w:vAlign w:val="center"/>
          </w:tcPr>
          <w:p w:rsidR="00872745" w:rsidRPr="00A67B00" w:rsidRDefault="00872745" w:rsidP="00390513">
            <w:pPr>
              <w:jc w:val="center"/>
              <w:rPr>
                <w:rFonts w:cstheme="minorHAnsi"/>
                <w:color w:val="auto"/>
              </w:rPr>
            </w:pPr>
            <w:r>
              <w:rPr>
                <w:rFonts w:cstheme="minorHAnsi"/>
                <w:color w:val="000000"/>
              </w:rPr>
              <w:t>$41.0 m</w:t>
            </w:r>
          </w:p>
        </w:tc>
        <w:tc>
          <w:tcPr>
            <w:tcW w:w="1588" w:type="dxa"/>
            <w:vAlign w:val="center"/>
          </w:tcPr>
          <w:p w:rsidR="00872745" w:rsidRPr="00A67B00" w:rsidRDefault="00872745" w:rsidP="00390513">
            <w:pPr>
              <w:jc w:val="center"/>
              <w:rPr>
                <w:rFonts w:cstheme="minorHAnsi"/>
                <w:color w:val="auto"/>
              </w:rPr>
            </w:pPr>
            <w:r>
              <w:rPr>
                <w:color w:val="auto"/>
              </w:rPr>
              <w:t>-</w:t>
            </w:r>
          </w:p>
        </w:tc>
      </w:tr>
      <w:tr w:rsidR="00872745" w:rsidTr="00390513">
        <w:trPr>
          <w:trHeight w:val="340"/>
        </w:trPr>
        <w:tc>
          <w:tcPr>
            <w:tcW w:w="3402" w:type="dxa"/>
            <w:gridSpan w:val="2"/>
            <w:vAlign w:val="center"/>
          </w:tcPr>
          <w:p w:rsidR="00872745" w:rsidRPr="00E856F5" w:rsidRDefault="00872745" w:rsidP="00390513">
            <w:pPr>
              <w:rPr>
                <w:b/>
              </w:rPr>
            </w:pPr>
            <w:r>
              <w:rPr>
                <w:b/>
              </w:rPr>
              <w:t>Maintenance of safety systems or features</w:t>
            </w:r>
          </w:p>
        </w:tc>
        <w:tc>
          <w:tcPr>
            <w:tcW w:w="1588" w:type="dxa"/>
            <w:vAlign w:val="center"/>
          </w:tcPr>
          <w:p w:rsidR="00872745" w:rsidRPr="00A67B00" w:rsidRDefault="00872745" w:rsidP="00390513">
            <w:pPr>
              <w:jc w:val="center"/>
              <w:rPr>
                <w:rFonts w:cstheme="minorHAnsi"/>
                <w:color w:val="auto"/>
              </w:rPr>
            </w:pPr>
            <w:r>
              <w:rPr>
                <w:rFonts w:cstheme="minorHAnsi"/>
                <w:color w:val="000000"/>
              </w:rPr>
              <w:t>$41.3 m</w:t>
            </w:r>
          </w:p>
        </w:tc>
        <w:tc>
          <w:tcPr>
            <w:tcW w:w="1588" w:type="dxa"/>
            <w:vAlign w:val="center"/>
          </w:tcPr>
          <w:p w:rsidR="00872745" w:rsidRPr="00A67B00" w:rsidRDefault="00872745" w:rsidP="00390513">
            <w:pPr>
              <w:jc w:val="center"/>
              <w:rPr>
                <w:rFonts w:cstheme="minorHAnsi"/>
                <w:color w:val="auto"/>
              </w:rPr>
            </w:pPr>
            <w:r>
              <w:rPr>
                <w:rFonts w:cstheme="minorHAnsi"/>
                <w:color w:val="000000"/>
              </w:rPr>
              <w:t>$37.2 m</w:t>
            </w:r>
          </w:p>
        </w:tc>
        <w:tc>
          <w:tcPr>
            <w:tcW w:w="1588" w:type="dxa"/>
            <w:vAlign w:val="center"/>
          </w:tcPr>
          <w:p w:rsidR="00872745" w:rsidRPr="00A67B00" w:rsidRDefault="00872745" w:rsidP="00390513">
            <w:pPr>
              <w:jc w:val="center"/>
              <w:rPr>
                <w:rFonts w:cstheme="minorHAnsi"/>
                <w:color w:val="auto"/>
              </w:rPr>
            </w:pPr>
            <w:r>
              <w:rPr>
                <w:rFonts w:cstheme="minorHAnsi"/>
              </w:rPr>
              <w:t>$41.3 m</w:t>
            </w:r>
          </w:p>
        </w:tc>
        <w:tc>
          <w:tcPr>
            <w:tcW w:w="1588" w:type="dxa"/>
            <w:vAlign w:val="center"/>
          </w:tcPr>
          <w:p w:rsidR="00872745" w:rsidRPr="00A67B00" w:rsidRDefault="00872745" w:rsidP="00390513">
            <w:pPr>
              <w:jc w:val="center"/>
              <w:rPr>
                <w:rFonts w:cstheme="minorHAnsi"/>
                <w:color w:val="auto"/>
              </w:rPr>
            </w:pPr>
            <w:r>
              <w:rPr>
                <w:rFonts w:cstheme="minorHAnsi"/>
                <w:color w:val="000000"/>
              </w:rPr>
              <w:t>$37.2 m</w:t>
            </w:r>
          </w:p>
        </w:tc>
      </w:tr>
      <w:tr w:rsidR="00872745" w:rsidTr="00390513">
        <w:trPr>
          <w:trHeight w:val="340"/>
        </w:trPr>
        <w:tc>
          <w:tcPr>
            <w:tcW w:w="3402" w:type="dxa"/>
            <w:gridSpan w:val="2"/>
            <w:vAlign w:val="center"/>
          </w:tcPr>
          <w:p w:rsidR="00872745" w:rsidRDefault="00872745" w:rsidP="00390513">
            <w:pPr>
              <w:rPr>
                <w:b/>
              </w:rPr>
            </w:pPr>
            <w:r>
              <w:rPr>
                <w:b/>
              </w:rPr>
              <w:t>Implementation of standards</w:t>
            </w:r>
          </w:p>
        </w:tc>
        <w:tc>
          <w:tcPr>
            <w:tcW w:w="1588" w:type="dxa"/>
            <w:vAlign w:val="center"/>
          </w:tcPr>
          <w:p w:rsidR="00872745" w:rsidRPr="006E727B" w:rsidRDefault="00872745" w:rsidP="00390513">
            <w:pPr>
              <w:jc w:val="center"/>
              <w:rPr>
                <w:highlight w:val="yellow"/>
              </w:rPr>
            </w:pPr>
            <w:r w:rsidRPr="00283AB0">
              <w:t>$0.47</w:t>
            </w:r>
            <w:r>
              <w:t> m</w:t>
            </w:r>
          </w:p>
        </w:tc>
        <w:tc>
          <w:tcPr>
            <w:tcW w:w="1588" w:type="dxa"/>
            <w:vAlign w:val="center"/>
          </w:tcPr>
          <w:p w:rsidR="00872745" w:rsidRPr="006E727B" w:rsidRDefault="00872745" w:rsidP="00390513">
            <w:pPr>
              <w:jc w:val="center"/>
              <w:rPr>
                <w:highlight w:val="yellow"/>
              </w:rPr>
            </w:pPr>
            <w:r w:rsidRPr="00283AB0">
              <w:t>$0.47</w:t>
            </w:r>
            <w:r>
              <w:t> m</w:t>
            </w:r>
          </w:p>
        </w:tc>
        <w:tc>
          <w:tcPr>
            <w:tcW w:w="1588" w:type="dxa"/>
            <w:vAlign w:val="center"/>
          </w:tcPr>
          <w:p w:rsidR="00872745" w:rsidRPr="006E727B" w:rsidRDefault="00872745" w:rsidP="00390513">
            <w:pPr>
              <w:jc w:val="center"/>
              <w:rPr>
                <w:highlight w:val="yellow"/>
              </w:rPr>
            </w:pPr>
            <w:r w:rsidRPr="00283AB0">
              <w:t>$0.47</w:t>
            </w:r>
            <w:r>
              <w:t> m</w:t>
            </w:r>
          </w:p>
        </w:tc>
        <w:tc>
          <w:tcPr>
            <w:tcW w:w="1588" w:type="dxa"/>
            <w:vAlign w:val="center"/>
          </w:tcPr>
          <w:p w:rsidR="00872745" w:rsidRPr="006E727B" w:rsidRDefault="00872745" w:rsidP="00390513">
            <w:pPr>
              <w:jc w:val="center"/>
              <w:rPr>
                <w:highlight w:val="yellow"/>
              </w:rPr>
            </w:pPr>
            <w:r w:rsidRPr="00283AB0">
              <w:t>$0.47</w:t>
            </w:r>
            <w:r>
              <w:t> m</w:t>
            </w:r>
          </w:p>
        </w:tc>
      </w:tr>
      <w:tr w:rsidR="00872745" w:rsidTr="00390513">
        <w:trPr>
          <w:trHeight w:val="340"/>
        </w:trPr>
        <w:tc>
          <w:tcPr>
            <w:tcW w:w="3402" w:type="dxa"/>
            <w:gridSpan w:val="2"/>
            <w:vAlign w:val="center"/>
          </w:tcPr>
          <w:p w:rsidR="00872745" w:rsidRDefault="00872745" w:rsidP="00390513">
            <w:pPr>
              <w:rPr>
                <w:b/>
              </w:rPr>
            </w:pPr>
            <w:r>
              <w:rPr>
                <w:b/>
              </w:rPr>
              <w:t>Infrastructure updates</w:t>
            </w:r>
          </w:p>
        </w:tc>
        <w:tc>
          <w:tcPr>
            <w:tcW w:w="1588" w:type="dxa"/>
            <w:vAlign w:val="center"/>
          </w:tcPr>
          <w:p w:rsidR="00872745" w:rsidRPr="006E727B" w:rsidRDefault="00872745" w:rsidP="00390513">
            <w:pPr>
              <w:jc w:val="center"/>
              <w:rPr>
                <w:highlight w:val="yellow"/>
              </w:rPr>
            </w:pPr>
            <w:r w:rsidRPr="00283AB0">
              <w:t>$16.</w:t>
            </w:r>
            <w:r>
              <w:t>8 m</w:t>
            </w:r>
          </w:p>
        </w:tc>
        <w:tc>
          <w:tcPr>
            <w:tcW w:w="1588" w:type="dxa"/>
            <w:vAlign w:val="center"/>
          </w:tcPr>
          <w:p w:rsidR="00872745" w:rsidRPr="006E727B" w:rsidRDefault="00872745" w:rsidP="00390513">
            <w:pPr>
              <w:jc w:val="center"/>
              <w:rPr>
                <w:highlight w:val="yellow"/>
              </w:rPr>
            </w:pPr>
            <w:r w:rsidRPr="00283AB0">
              <w:t>$1</w:t>
            </w:r>
            <w:r>
              <w:t>5.5 m</w:t>
            </w:r>
          </w:p>
        </w:tc>
        <w:tc>
          <w:tcPr>
            <w:tcW w:w="1588" w:type="dxa"/>
            <w:vAlign w:val="center"/>
          </w:tcPr>
          <w:p w:rsidR="00872745" w:rsidRPr="006E727B" w:rsidRDefault="00872745" w:rsidP="00390513">
            <w:pPr>
              <w:jc w:val="center"/>
              <w:rPr>
                <w:highlight w:val="yellow"/>
              </w:rPr>
            </w:pPr>
            <w:r w:rsidRPr="00283AB0">
              <w:t>$16.</w:t>
            </w:r>
            <w:r>
              <w:t>8 m</w:t>
            </w:r>
          </w:p>
        </w:tc>
        <w:tc>
          <w:tcPr>
            <w:tcW w:w="1588" w:type="dxa"/>
            <w:vAlign w:val="center"/>
          </w:tcPr>
          <w:p w:rsidR="00872745" w:rsidRPr="006E727B" w:rsidRDefault="00872745" w:rsidP="00390513">
            <w:pPr>
              <w:jc w:val="center"/>
              <w:rPr>
                <w:highlight w:val="yellow"/>
              </w:rPr>
            </w:pPr>
            <w:r w:rsidRPr="00283AB0">
              <w:t>$1</w:t>
            </w:r>
            <w:r>
              <w:t>5.5 m</w:t>
            </w:r>
          </w:p>
        </w:tc>
      </w:tr>
    </w:tbl>
    <w:p w:rsidR="004934AF" w:rsidRPr="002C1585" w:rsidRDefault="004934AF" w:rsidP="00D416D7">
      <w:pPr>
        <w:pStyle w:val="Caption"/>
        <w:keepNext/>
      </w:pPr>
      <w:bookmarkStart w:id="9" w:name="_Ref117784985"/>
      <w:bookmarkStart w:id="10" w:name="_Toc135320128"/>
      <w:r w:rsidRPr="002C1585">
        <w:t xml:space="preserve">Table </w:t>
      </w:r>
      <w:fldSimple w:instr=" SEQ Table \* ARABIC ">
        <w:r w:rsidR="00534814">
          <w:rPr>
            <w:noProof/>
          </w:rPr>
          <w:t>3</w:t>
        </w:r>
      </w:fldSimple>
      <w:bookmarkEnd w:id="9"/>
      <w:r>
        <w:t xml:space="preserve">: </w:t>
      </w:r>
      <w:r w:rsidRPr="002C1585">
        <w:t xml:space="preserve">Summary of the </w:t>
      </w:r>
      <w:r>
        <w:t>outcomes of the BCA for</w:t>
      </w:r>
      <w:r w:rsidRPr="002C1585">
        <w:t xml:space="preserve"> each option</w:t>
      </w:r>
      <w:bookmarkEnd w:id="10"/>
    </w:p>
    <w:tbl>
      <w:tblPr>
        <w:tblStyle w:val="TableGrid"/>
        <w:tblW w:w="0" w:type="auto"/>
        <w:tblLook w:val="04A0" w:firstRow="1" w:lastRow="0" w:firstColumn="1" w:lastColumn="0" w:noHBand="0" w:noVBand="1"/>
      </w:tblPr>
      <w:tblGrid>
        <w:gridCol w:w="1955"/>
        <w:gridCol w:w="1955"/>
        <w:gridCol w:w="1955"/>
        <w:gridCol w:w="1955"/>
        <w:gridCol w:w="1956"/>
      </w:tblGrid>
      <w:tr w:rsidR="00714D3D" w:rsidTr="00390513">
        <w:trPr>
          <w:trHeight w:val="340"/>
        </w:trPr>
        <w:tc>
          <w:tcPr>
            <w:tcW w:w="1955" w:type="dxa"/>
            <w:shd w:val="clear" w:color="auto" w:fill="081E3E" w:themeFill="text2"/>
            <w:vAlign w:val="center"/>
          </w:tcPr>
          <w:p w:rsidR="00714D3D" w:rsidRPr="00731C0C" w:rsidRDefault="00714D3D" w:rsidP="00390513">
            <w:pPr>
              <w:pStyle w:val="Table2heading"/>
              <w:jc w:val="left"/>
            </w:pPr>
            <w:r>
              <w:t>Outcomes</w:t>
            </w:r>
          </w:p>
        </w:tc>
        <w:tc>
          <w:tcPr>
            <w:tcW w:w="1955" w:type="dxa"/>
            <w:shd w:val="clear" w:color="auto" w:fill="081E3E" w:themeFill="text2"/>
            <w:vAlign w:val="center"/>
          </w:tcPr>
          <w:p w:rsidR="00714D3D" w:rsidRPr="00731C0C" w:rsidRDefault="00714D3D" w:rsidP="00390513">
            <w:pPr>
              <w:pStyle w:val="Table2heading"/>
              <w:keepNext/>
            </w:pPr>
            <w:r w:rsidRPr="00731C0C">
              <w:t>Option 3.1a</w:t>
            </w:r>
          </w:p>
        </w:tc>
        <w:tc>
          <w:tcPr>
            <w:tcW w:w="1955" w:type="dxa"/>
            <w:shd w:val="clear" w:color="auto" w:fill="081E3E" w:themeFill="text2"/>
            <w:vAlign w:val="center"/>
          </w:tcPr>
          <w:p w:rsidR="00714D3D" w:rsidRPr="00731C0C" w:rsidRDefault="00714D3D" w:rsidP="00390513">
            <w:pPr>
              <w:pStyle w:val="Table2heading"/>
              <w:keepNext/>
            </w:pPr>
            <w:r w:rsidRPr="00731C0C">
              <w:t>Option 3.1b</w:t>
            </w:r>
          </w:p>
        </w:tc>
        <w:tc>
          <w:tcPr>
            <w:tcW w:w="1955" w:type="dxa"/>
            <w:shd w:val="clear" w:color="auto" w:fill="081E3E" w:themeFill="text2"/>
            <w:vAlign w:val="center"/>
          </w:tcPr>
          <w:p w:rsidR="00714D3D" w:rsidRPr="00731C0C" w:rsidRDefault="00714D3D" w:rsidP="00390513">
            <w:pPr>
              <w:pStyle w:val="Table2heading"/>
              <w:keepNext/>
            </w:pPr>
            <w:r w:rsidRPr="00731C0C">
              <w:t>Option 3.2a</w:t>
            </w:r>
          </w:p>
        </w:tc>
        <w:tc>
          <w:tcPr>
            <w:tcW w:w="1956" w:type="dxa"/>
            <w:shd w:val="clear" w:color="auto" w:fill="081E3E" w:themeFill="text2"/>
            <w:vAlign w:val="center"/>
          </w:tcPr>
          <w:p w:rsidR="00714D3D" w:rsidRPr="00731C0C" w:rsidRDefault="00714D3D" w:rsidP="00390513">
            <w:pPr>
              <w:pStyle w:val="Table2heading"/>
              <w:keepNext/>
            </w:pPr>
            <w:r w:rsidRPr="00731C0C">
              <w:t>Option 3.2b</w:t>
            </w:r>
          </w:p>
        </w:tc>
      </w:tr>
      <w:tr w:rsidR="00714D3D" w:rsidTr="00390513">
        <w:trPr>
          <w:trHeight w:val="340"/>
        </w:trPr>
        <w:tc>
          <w:tcPr>
            <w:tcW w:w="1955" w:type="dxa"/>
            <w:vAlign w:val="center"/>
          </w:tcPr>
          <w:p w:rsidR="00714D3D" w:rsidRPr="00E856F5" w:rsidRDefault="00714D3D" w:rsidP="00390513">
            <w:pPr>
              <w:rPr>
                <w:b/>
              </w:rPr>
            </w:pPr>
            <w:r w:rsidRPr="00E856F5">
              <w:rPr>
                <w:b/>
              </w:rPr>
              <w:t>Benefits</w:t>
            </w:r>
          </w:p>
        </w:tc>
        <w:tc>
          <w:tcPr>
            <w:tcW w:w="1955" w:type="dxa"/>
            <w:vAlign w:val="center"/>
          </w:tcPr>
          <w:p w:rsidR="00714D3D" w:rsidRPr="00457C84" w:rsidRDefault="00714D3D" w:rsidP="00390513">
            <w:pPr>
              <w:jc w:val="center"/>
              <w:rPr>
                <w:rFonts w:cstheme="minorHAnsi"/>
                <w:color w:val="auto"/>
              </w:rPr>
            </w:pPr>
            <w:r w:rsidRPr="006770FA">
              <w:t>$9</w:t>
            </w:r>
            <w:r>
              <w:t>88 m</w:t>
            </w:r>
          </w:p>
        </w:tc>
        <w:tc>
          <w:tcPr>
            <w:tcW w:w="1955" w:type="dxa"/>
            <w:vAlign w:val="center"/>
          </w:tcPr>
          <w:p w:rsidR="00714D3D" w:rsidRPr="00457C84" w:rsidRDefault="00714D3D" w:rsidP="00390513">
            <w:pPr>
              <w:jc w:val="center"/>
              <w:rPr>
                <w:rFonts w:cstheme="minorHAnsi"/>
                <w:color w:val="auto"/>
              </w:rPr>
            </w:pPr>
            <w:r w:rsidRPr="006770FA">
              <w:t>$877</w:t>
            </w:r>
            <w:r>
              <w:t> m</w:t>
            </w:r>
          </w:p>
        </w:tc>
        <w:tc>
          <w:tcPr>
            <w:tcW w:w="1955" w:type="dxa"/>
            <w:vAlign w:val="center"/>
          </w:tcPr>
          <w:p w:rsidR="00714D3D" w:rsidRPr="00457C84" w:rsidRDefault="00714D3D" w:rsidP="00390513">
            <w:pPr>
              <w:jc w:val="center"/>
              <w:rPr>
                <w:rFonts w:cstheme="minorHAnsi"/>
                <w:color w:val="auto"/>
              </w:rPr>
            </w:pPr>
            <w:r w:rsidRPr="006770FA">
              <w:t>$1,3</w:t>
            </w:r>
            <w:r>
              <w:t>60 m</w:t>
            </w:r>
          </w:p>
        </w:tc>
        <w:tc>
          <w:tcPr>
            <w:tcW w:w="1956" w:type="dxa"/>
            <w:vAlign w:val="center"/>
          </w:tcPr>
          <w:p w:rsidR="00714D3D" w:rsidRPr="00457C84" w:rsidRDefault="00714D3D" w:rsidP="00390513">
            <w:pPr>
              <w:jc w:val="center"/>
              <w:rPr>
                <w:rFonts w:cstheme="minorHAnsi"/>
                <w:color w:val="auto"/>
              </w:rPr>
            </w:pPr>
            <w:r w:rsidRPr="006770FA">
              <w:t>$1,20</w:t>
            </w:r>
            <w:r>
              <w:t>6 m</w:t>
            </w:r>
          </w:p>
        </w:tc>
      </w:tr>
      <w:tr w:rsidR="00714D3D" w:rsidTr="00390513">
        <w:trPr>
          <w:trHeight w:val="340"/>
        </w:trPr>
        <w:tc>
          <w:tcPr>
            <w:tcW w:w="1955" w:type="dxa"/>
            <w:vAlign w:val="center"/>
          </w:tcPr>
          <w:p w:rsidR="00714D3D" w:rsidRPr="00E856F5" w:rsidRDefault="00714D3D" w:rsidP="00390513">
            <w:pPr>
              <w:rPr>
                <w:b/>
              </w:rPr>
            </w:pPr>
            <w:r w:rsidRPr="00E856F5">
              <w:rPr>
                <w:b/>
              </w:rPr>
              <w:t>Costs</w:t>
            </w:r>
          </w:p>
        </w:tc>
        <w:tc>
          <w:tcPr>
            <w:tcW w:w="1955" w:type="dxa"/>
            <w:vAlign w:val="center"/>
          </w:tcPr>
          <w:p w:rsidR="00714D3D" w:rsidRPr="00457C84" w:rsidRDefault="00714D3D" w:rsidP="00390513">
            <w:pPr>
              <w:jc w:val="center"/>
              <w:rPr>
                <w:rFonts w:cstheme="minorHAnsi"/>
                <w:color w:val="auto"/>
              </w:rPr>
            </w:pPr>
            <w:r w:rsidRPr="00EB3D6F">
              <w:t>$33</w:t>
            </w:r>
            <w:r>
              <w:t>4 m</w:t>
            </w:r>
          </w:p>
        </w:tc>
        <w:tc>
          <w:tcPr>
            <w:tcW w:w="1955" w:type="dxa"/>
            <w:vAlign w:val="center"/>
          </w:tcPr>
          <w:p w:rsidR="00714D3D" w:rsidRPr="00457C84" w:rsidRDefault="00714D3D" w:rsidP="00390513">
            <w:pPr>
              <w:jc w:val="center"/>
              <w:rPr>
                <w:rFonts w:cstheme="minorHAnsi"/>
                <w:color w:val="auto"/>
              </w:rPr>
            </w:pPr>
            <w:r w:rsidRPr="00EB3D6F">
              <w:t>$28</w:t>
            </w:r>
            <w:r>
              <w:t>9 m</w:t>
            </w:r>
          </w:p>
        </w:tc>
        <w:tc>
          <w:tcPr>
            <w:tcW w:w="1955" w:type="dxa"/>
            <w:vAlign w:val="center"/>
          </w:tcPr>
          <w:p w:rsidR="00714D3D" w:rsidRPr="00457C84" w:rsidRDefault="00714D3D" w:rsidP="00390513">
            <w:pPr>
              <w:jc w:val="center"/>
              <w:rPr>
                <w:rFonts w:cstheme="minorHAnsi"/>
                <w:color w:val="auto"/>
              </w:rPr>
            </w:pPr>
            <w:r w:rsidRPr="00EB3D6F">
              <w:t>$321</w:t>
            </w:r>
            <w:r>
              <w:t> m</w:t>
            </w:r>
          </w:p>
        </w:tc>
        <w:tc>
          <w:tcPr>
            <w:tcW w:w="1956" w:type="dxa"/>
            <w:vAlign w:val="center"/>
          </w:tcPr>
          <w:p w:rsidR="00714D3D" w:rsidRPr="00457C84" w:rsidRDefault="00714D3D" w:rsidP="00390513">
            <w:pPr>
              <w:jc w:val="center"/>
              <w:rPr>
                <w:rFonts w:cstheme="minorHAnsi"/>
                <w:color w:val="auto"/>
              </w:rPr>
            </w:pPr>
            <w:r w:rsidRPr="00EB3D6F">
              <w:t>$27</w:t>
            </w:r>
            <w:r>
              <w:t>5 m</w:t>
            </w:r>
          </w:p>
        </w:tc>
      </w:tr>
      <w:tr w:rsidR="00714D3D" w:rsidTr="00390513">
        <w:trPr>
          <w:trHeight w:val="340"/>
        </w:trPr>
        <w:tc>
          <w:tcPr>
            <w:tcW w:w="1955" w:type="dxa"/>
            <w:vAlign w:val="center"/>
          </w:tcPr>
          <w:p w:rsidR="00714D3D" w:rsidRPr="00E856F5" w:rsidRDefault="00714D3D" w:rsidP="00390513">
            <w:pPr>
              <w:rPr>
                <w:b/>
              </w:rPr>
            </w:pPr>
            <w:r w:rsidRPr="00E856F5">
              <w:rPr>
                <w:b/>
              </w:rPr>
              <w:t>Net Benefits</w:t>
            </w:r>
          </w:p>
        </w:tc>
        <w:tc>
          <w:tcPr>
            <w:tcW w:w="1955" w:type="dxa"/>
            <w:vAlign w:val="center"/>
          </w:tcPr>
          <w:p w:rsidR="00714D3D" w:rsidRPr="001103B6" w:rsidRDefault="00714D3D" w:rsidP="00390513">
            <w:pPr>
              <w:jc w:val="center"/>
              <w:rPr>
                <w:rFonts w:cstheme="minorHAnsi"/>
                <w:color w:val="auto"/>
              </w:rPr>
            </w:pPr>
            <w:r w:rsidRPr="0054194A">
              <w:t>$6</w:t>
            </w:r>
            <w:r>
              <w:t>5</w:t>
            </w:r>
            <w:r w:rsidRPr="0054194A">
              <w:t>4</w:t>
            </w:r>
            <w:r>
              <w:t> m</w:t>
            </w:r>
          </w:p>
        </w:tc>
        <w:tc>
          <w:tcPr>
            <w:tcW w:w="1955" w:type="dxa"/>
            <w:vAlign w:val="center"/>
          </w:tcPr>
          <w:p w:rsidR="00714D3D" w:rsidRPr="001103B6" w:rsidRDefault="00714D3D" w:rsidP="00390513">
            <w:pPr>
              <w:jc w:val="center"/>
              <w:rPr>
                <w:rFonts w:cstheme="minorHAnsi"/>
                <w:color w:val="auto"/>
              </w:rPr>
            </w:pPr>
            <w:r w:rsidRPr="0054194A">
              <w:t>$588</w:t>
            </w:r>
            <w:r>
              <w:t> m</w:t>
            </w:r>
          </w:p>
        </w:tc>
        <w:tc>
          <w:tcPr>
            <w:tcW w:w="1955" w:type="dxa"/>
            <w:vAlign w:val="center"/>
          </w:tcPr>
          <w:p w:rsidR="00714D3D" w:rsidRPr="001103B6" w:rsidRDefault="00714D3D" w:rsidP="00390513">
            <w:pPr>
              <w:jc w:val="center"/>
              <w:rPr>
                <w:rFonts w:cstheme="minorHAnsi"/>
                <w:color w:val="auto"/>
              </w:rPr>
            </w:pPr>
            <w:r w:rsidRPr="0054194A">
              <w:t>$</w:t>
            </w:r>
            <w:r>
              <w:t>1,038 m</w:t>
            </w:r>
          </w:p>
        </w:tc>
        <w:tc>
          <w:tcPr>
            <w:tcW w:w="1956" w:type="dxa"/>
            <w:vAlign w:val="center"/>
          </w:tcPr>
          <w:p w:rsidR="00714D3D" w:rsidRPr="001103B6" w:rsidRDefault="00714D3D" w:rsidP="00390513">
            <w:pPr>
              <w:jc w:val="center"/>
              <w:rPr>
                <w:rFonts w:cstheme="minorHAnsi"/>
                <w:color w:val="auto"/>
              </w:rPr>
            </w:pPr>
            <w:r w:rsidRPr="0054194A">
              <w:t>$931</w:t>
            </w:r>
            <w:r>
              <w:t> m</w:t>
            </w:r>
          </w:p>
        </w:tc>
      </w:tr>
      <w:tr w:rsidR="00714D3D" w:rsidTr="00390513">
        <w:trPr>
          <w:trHeight w:val="340"/>
        </w:trPr>
        <w:tc>
          <w:tcPr>
            <w:tcW w:w="1955" w:type="dxa"/>
            <w:vAlign w:val="center"/>
          </w:tcPr>
          <w:p w:rsidR="00714D3D" w:rsidRPr="00E856F5" w:rsidRDefault="00714D3D" w:rsidP="00390513">
            <w:pPr>
              <w:rPr>
                <w:b/>
              </w:rPr>
            </w:pPr>
            <w:r>
              <w:rPr>
                <w:b/>
              </w:rPr>
              <w:t>BCR</w:t>
            </w:r>
          </w:p>
        </w:tc>
        <w:tc>
          <w:tcPr>
            <w:tcW w:w="1955" w:type="dxa"/>
            <w:vAlign w:val="center"/>
          </w:tcPr>
          <w:p w:rsidR="00714D3D" w:rsidRPr="006666A7" w:rsidRDefault="00714D3D" w:rsidP="00390513">
            <w:pPr>
              <w:jc w:val="center"/>
              <w:rPr>
                <w:rFonts w:cstheme="minorHAnsi"/>
                <w:color w:val="000000"/>
              </w:rPr>
            </w:pPr>
            <w:r>
              <w:rPr>
                <w:rFonts w:cstheme="minorHAnsi"/>
                <w:color w:val="000000"/>
              </w:rPr>
              <w:t>3.0</w:t>
            </w:r>
          </w:p>
        </w:tc>
        <w:tc>
          <w:tcPr>
            <w:tcW w:w="1955" w:type="dxa"/>
            <w:vAlign w:val="center"/>
          </w:tcPr>
          <w:p w:rsidR="00714D3D" w:rsidRPr="006666A7" w:rsidRDefault="00714D3D" w:rsidP="00390513">
            <w:pPr>
              <w:jc w:val="center"/>
              <w:rPr>
                <w:rFonts w:cstheme="minorHAnsi"/>
                <w:color w:val="000000"/>
              </w:rPr>
            </w:pPr>
            <w:r w:rsidRPr="006666A7">
              <w:rPr>
                <w:rFonts w:cstheme="minorHAnsi"/>
                <w:color w:val="000000"/>
              </w:rPr>
              <w:t>3.0</w:t>
            </w:r>
          </w:p>
        </w:tc>
        <w:tc>
          <w:tcPr>
            <w:tcW w:w="1955" w:type="dxa"/>
            <w:vAlign w:val="center"/>
          </w:tcPr>
          <w:p w:rsidR="00714D3D" w:rsidRPr="006666A7" w:rsidRDefault="00714D3D" w:rsidP="00390513">
            <w:pPr>
              <w:jc w:val="center"/>
              <w:rPr>
                <w:rFonts w:cstheme="minorHAnsi"/>
                <w:color w:val="000000"/>
              </w:rPr>
            </w:pPr>
            <w:r w:rsidRPr="006666A7">
              <w:rPr>
                <w:rFonts w:cstheme="minorHAnsi"/>
                <w:color w:val="000000"/>
              </w:rPr>
              <w:t>4.</w:t>
            </w:r>
            <w:r>
              <w:rPr>
                <w:rFonts w:cstheme="minorHAnsi"/>
                <w:color w:val="000000"/>
              </w:rPr>
              <w:t>2</w:t>
            </w:r>
          </w:p>
        </w:tc>
        <w:tc>
          <w:tcPr>
            <w:tcW w:w="1956" w:type="dxa"/>
            <w:vAlign w:val="center"/>
          </w:tcPr>
          <w:p w:rsidR="00714D3D" w:rsidRPr="006666A7" w:rsidRDefault="00714D3D" w:rsidP="00390513">
            <w:pPr>
              <w:jc w:val="center"/>
              <w:rPr>
                <w:rFonts w:cstheme="minorHAnsi"/>
                <w:color w:val="000000"/>
              </w:rPr>
            </w:pPr>
            <w:r w:rsidRPr="006666A7">
              <w:rPr>
                <w:rFonts w:cstheme="minorHAnsi"/>
                <w:color w:val="000000"/>
              </w:rPr>
              <w:t>4.4</w:t>
            </w:r>
          </w:p>
        </w:tc>
      </w:tr>
    </w:tbl>
    <w:p w:rsidR="00BA041B" w:rsidRPr="007B6E69" w:rsidRDefault="00BA041B" w:rsidP="00BA041B">
      <w:r w:rsidRPr="007B6E69">
        <w:t xml:space="preserve">Public comment was sought on each of the policy options considered in this </w:t>
      </w:r>
      <w:r w:rsidR="00C45600">
        <w:t>IA</w:t>
      </w:r>
      <w:r w:rsidRPr="007B6E69">
        <w:t>, through the publication of the Safer Freight Vehicles Discussion Paper (</w:t>
      </w:r>
      <w:r>
        <w:t>Commonwealth of Australia</w:t>
      </w:r>
      <w:r w:rsidRPr="007B6E69">
        <w:t>, 2021</w:t>
      </w:r>
      <w:r>
        <w:t>a</w:t>
      </w:r>
      <w:r w:rsidRPr="007B6E69">
        <w:t xml:space="preserve">) and draft ADRs on the </w:t>
      </w:r>
      <w:r w:rsidR="00B9347B">
        <w:t>d</w:t>
      </w:r>
      <w:r w:rsidRPr="007B6E69">
        <w:t xml:space="preserve">epartment’s website, for a </w:t>
      </w:r>
      <w:r w:rsidRPr="007B6E69">
        <w:br/>
        <w:t>10-week public comment period, which closed on 30 June 2021.</w:t>
      </w:r>
      <w:r w:rsidR="008A2068">
        <w:t xml:space="preserve"> The department has since also consulted further with </w:t>
      </w:r>
      <w:r w:rsidR="00FD3068">
        <w:t xml:space="preserve">both </w:t>
      </w:r>
      <w:r w:rsidR="008A2068">
        <w:t>jurisdictions and industry stakeholders through its established ADR consultative forums.</w:t>
      </w:r>
    </w:p>
    <w:p w:rsidR="00BA041B" w:rsidRDefault="00BA041B" w:rsidP="00BA041B">
      <w:pPr>
        <w:rPr>
          <w:rFonts w:cstheme="minorHAnsi"/>
        </w:rPr>
      </w:pPr>
      <w:r>
        <w:t>The states and territories</w:t>
      </w:r>
      <w:r w:rsidRPr="00183C43">
        <w:t xml:space="preserve"> </w:t>
      </w:r>
      <w:r>
        <w:t>are broadly supportive</w:t>
      </w:r>
      <w:r w:rsidRPr="00183C43">
        <w:t xml:space="preserve"> of a width limit of 2.55</w:t>
      </w:r>
      <w:r>
        <w:t> </w:t>
      </w:r>
      <w:r w:rsidRPr="00183C43">
        <w:t>m for</w:t>
      </w:r>
      <w:r>
        <w:t xml:space="preserve"> both goods vehicles and trailers</w:t>
      </w:r>
      <w:r w:rsidRPr="00183C43">
        <w:t xml:space="preserve">, but </w:t>
      </w:r>
      <w:r>
        <w:t>do not support</w:t>
      </w:r>
      <w:r w:rsidRPr="00183C43">
        <w:t xml:space="preserve"> a move to </w:t>
      </w:r>
      <w:r w:rsidR="00B9347B">
        <w:t>2.60</w:t>
      </w:r>
      <w:r>
        <w:t> </w:t>
      </w:r>
      <w:r w:rsidRPr="00183C43">
        <w:t>m</w:t>
      </w:r>
      <w:r>
        <w:t xml:space="preserve"> at this stage</w:t>
      </w:r>
      <w:r w:rsidRPr="00183C43">
        <w:t>.</w:t>
      </w:r>
      <w:r>
        <w:t xml:space="preserve"> The general position among the jurisdictions is that the Commonwealth should implement a 2.55 m limit as supported by Austroads research to date (Austroads, 2019), and work with the NHVR and Austroads to</w:t>
      </w:r>
      <w:r w:rsidRPr="00383BCA">
        <w:rPr>
          <w:rFonts w:cstheme="minorHAnsi"/>
        </w:rPr>
        <w:t xml:space="preserve"> research the suitability of </w:t>
      </w:r>
      <w:r>
        <w:rPr>
          <w:rFonts w:cstheme="minorHAnsi"/>
        </w:rPr>
        <w:t xml:space="preserve">a </w:t>
      </w:r>
      <w:r w:rsidR="00B9347B">
        <w:rPr>
          <w:rFonts w:cstheme="minorHAnsi"/>
        </w:rPr>
        <w:t>2.60</w:t>
      </w:r>
      <w:r>
        <w:rPr>
          <w:rFonts w:cstheme="minorHAnsi"/>
        </w:rPr>
        <w:t> </w:t>
      </w:r>
      <w:r w:rsidRPr="00383BCA">
        <w:rPr>
          <w:rFonts w:cstheme="minorHAnsi"/>
        </w:rPr>
        <w:t xml:space="preserve">m </w:t>
      </w:r>
      <w:r>
        <w:rPr>
          <w:rFonts w:cstheme="minorHAnsi"/>
        </w:rPr>
        <w:t>limit for the future. Jurisdictions generally support all of the additional proposed mandatory safety technologies for wider freight vehicles; with NSW, VIC and QLD all requesting further mandatory national standards (i.e. ADRs) be implemented to better align with the EU.</w:t>
      </w:r>
    </w:p>
    <w:p w:rsidR="00BA041B" w:rsidRDefault="00BA041B" w:rsidP="00BA041B">
      <w:r w:rsidRPr="007066A4">
        <w:t>Most industry stakeholders support</w:t>
      </w:r>
      <w:r>
        <w:t xml:space="preserve"> </w:t>
      </w:r>
      <w:r w:rsidRPr="007066A4">
        <w:t xml:space="preserve">a width limit of </w:t>
      </w:r>
      <w:r w:rsidR="00B9347B">
        <w:t>2.60</w:t>
      </w:r>
      <w:r>
        <w:t> </w:t>
      </w:r>
      <w:r w:rsidRPr="007066A4">
        <w:t>m for trucks</w:t>
      </w:r>
      <w:r>
        <w:t xml:space="preserve"> and trailers</w:t>
      </w:r>
      <w:r w:rsidRPr="007066A4">
        <w:t>, including the Truck Industry Council (TIC), the Commercial Vehicle Industry Association of Australia (CVIAA) and the Australian Trucking Association (ATA).</w:t>
      </w:r>
      <w:r>
        <w:t xml:space="preserve"> These stakeholders argue that this would avoid the need to modify vehicles based on EU and US designs to be narrower for Australia, provide the best access to electric trucks from the world market, and deliver the greatest safety and productivity benefits.</w:t>
      </w:r>
    </w:p>
    <w:p w:rsidR="00BA041B" w:rsidRDefault="00BA041B" w:rsidP="00BA041B">
      <w:r>
        <w:t xml:space="preserve">However, some industry stakeholders do not support increasing the width limit for trailers, including the Heavy Vehicle Industry Association (HVIA) and </w:t>
      </w:r>
      <w:r w:rsidR="00982580">
        <w:t xml:space="preserve">many </w:t>
      </w:r>
      <w:r>
        <w:t>Australian heavy trailer manufacturer</w:t>
      </w:r>
      <w:r w:rsidR="00131B32">
        <w:t>s</w:t>
      </w:r>
      <w:r w:rsidRPr="007066A4">
        <w:t>.</w:t>
      </w:r>
      <w:r>
        <w:t xml:space="preserve"> They are concerned the proposed changes will favour trailer importers and cost Australian trailer manufacturing jobs. These stakeholders consider that domestic trailer manufacturers would need to re-tool and change manufacturing processes to increase trailer width in order to compete with importers, and that the </w:t>
      </w:r>
      <w:r w:rsidRPr="007000C9">
        <w:rPr>
          <w:rFonts w:cstheme="minorHAnsi"/>
        </w:rPr>
        <w:t>cost of the retooling, transitional costs and potential loss of Australian manufacturing jobs, far exceed any safety or productivity benefits.</w:t>
      </w:r>
    </w:p>
    <w:p w:rsidR="00FD3068" w:rsidRDefault="00FD3068" w:rsidP="00FD3068">
      <w:r>
        <w:t>Industry stakeholders are broadly supportive of mandatory requirements for ESC, AEB and LDWS. Some industry stakeholders have raised concerns about mandatory side underrun protection, particularly for trailer design types mostly used in regional and remote areas. The Truck Industry Council provided in-principle support for the adoption of a more stringent ADR for devices for indirect vision and the future adoption of an ADR for blind spot information systems, while detailing concerns regarding the suitability of the relevant United Nations (UN) regulations for Australia, and recommendations to address these concerns.</w:t>
      </w:r>
    </w:p>
    <w:p w:rsidR="00FD3068" w:rsidRDefault="00FD3068" w:rsidP="00FD3068">
      <w:r>
        <w:t xml:space="preserve">There is widespread support for the </w:t>
      </w:r>
      <w:r w:rsidR="0024221C">
        <w:t>d</w:t>
      </w:r>
      <w:r>
        <w:t xml:space="preserve">epartment’s proposed exclusions for </w:t>
      </w:r>
      <w:r w:rsidRPr="000D76EE">
        <w:t>enhanced devices for indirect vision and/or devices to detect other road users</w:t>
      </w:r>
      <w:r>
        <w:t xml:space="preserve"> from vehicle width and length measurements.</w:t>
      </w:r>
    </w:p>
    <w:p w:rsidR="00BA7FBF" w:rsidRDefault="00BA7FBF" w:rsidP="00BA7FBF">
      <w:r>
        <w:t>According to the benefit-cost analysis conducted by the ARRB, Option 3.2a (</w:t>
      </w:r>
      <w:r w:rsidR="00B9347B">
        <w:t>2.60</w:t>
      </w:r>
      <w:r>
        <w:t> m wide goods vehicles and trailers) has</w:t>
      </w:r>
      <w:r w:rsidRPr="00B875F3">
        <w:t xml:space="preserve"> the highest net benefit of the options examined, at $</w:t>
      </w:r>
      <w:r>
        <w:t xml:space="preserve">1,038 m. However, there are some key study limitations relating to productivity benefits </w:t>
      </w:r>
      <w:r w:rsidR="002519AD">
        <w:t xml:space="preserve">(including reductions in trips for wider vehicles) </w:t>
      </w:r>
      <w:r>
        <w:t xml:space="preserve">and infrastructure costs that should be addressed before any decision is taken to increase the width limit to </w:t>
      </w:r>
      <w:r w:rsidR="00B9347B">
        <w:t>2.60</w:t>
      </w:r>
      <w:r>
        <w:t> m for goods vehicles and/or trailers (for further detail see</w:t>
      </w:r>
      <w:r w:rsidR="002519AD">
        <w:t> </w:t>
      </w:r>
      <w:r>
        <w:t>Chapter 7).</w:t>
      </w:r>
    </w:p>
    <w:p w:rsidR="00BA7FBF" w:rsidRDefault="00BA7FBF" w:rsidP="0053774D">
      <w:r>
        <w:t xml:space="preserve">As a first step, the </w:t>
      </w:r>
      <w:r w:rsidR="00C45600">
        <w:t>IA</w:t>
      </w:r>
      <w:r w:rsidR="002519AD">
        <w:t xml:space="preserve"> includes a recommendation for the </w:t>
      </w:r>
      <w:r>
        <w:t xml:space="preserve">Australian Government </w:t>
      </w:r>
      <w:r w:rsidR="002519AD">
        <w:t xml:space="preserve">to </w:t>
      </w:r>
      <w:r>
        <w:t>implement Option 3.1b (2.55 m wide goods vehicles only)</w:t>
      </w:r>
      <w:r w:rsidR="00FE2F57">
        <w:t>, which has a net benefit of $588 </w:t>
      </w:r>
      <w:r w:rsidR="00FE2F57" w:rsidRPr="00B875F3">
        <w:t>m</w:t>
      </w:r>
      <w:r w:rsidR="002519AD">
        <w:t xml:space="preserve">. This option is the least sensitive to changes in reductions in trips for increased width, including because the net benefit for this option is mostly derived through an increase in the take-up of safer freight vehicles. Further, the net benefit of allowing 2.55 m wide goods vehicles under this sub-option is a key sub-part of the net benefits for each of the other sub-options. This means whatever option is ultimately identified as the best option, including following further consultation to address the current study limitations, </w:t>
      </w:r>
      <w:r w:rsidR="006C2AB9">
        <w:t>this will</w:t>
      </w:r>
      <w:r w:rsidR="002519AD">
        <w:t xml:space="preserve"> at least include 2.55</w:t>
      </w:r>
      <w:r w:rsidR="00E6489A">
        <w:t> </w:t>
      </w:r>
      <w:r w:rsidR="002519AD">
        <w:t>m wide goods vehicles (i.e. Option 3.1b).</w:t>
      </w:r>
      <w:r w:rsidR="00E14AAA">
        <w:t xml:space="preserve"> The </w:t>
      </w:r>
      <w:r w:rsidR="00C45600">
        <w:t>IA</w:t>
      </w:r>
      <w:r w:rsidR="00E14AAA">
        <w:t xml:space="preserve"> also includes recommendations for both industry and jurisdictions to provide more verifiable data to help the department address current study limitations and update the </w:t>
      </w:r>
      <w:r w:rsidR="00C45600">
        <w:t>IA</w:t>
      </w:r>
      <w:r w:rsidR="00E14AAA">
        <w:t>, including for the purpose of informing any future decision by the Minister on increasing the width limit for trailers, and/or a 2.6 m width limit (for goods vehicles and/or trailers).</w:t>
      </w:r>
    </w:p>
    <w:p w:rsidR="00CD56AB" w:rsidRPr="007B6E69" w:rsidRDefault="00CD56AB" w:rsidP="00FD3068">
      <w:r w:rsidRPr="007B6E69">
        <w:t xml:space="preserve">This </w:t>
      </w:r>
      <w:r w:rsidR="00C45600">
        <w:t>IA</w:t>
      </w:r>
      <w:r w:rsidRPr="007B6E69">
        <w:t xml:space="preserve"> has been written in accordance with Australian Government requirements, addressing the seven assessment questions set out in the</w:t>
      </w:r>
      <w:r w:rsidR="007B310D" w:rsidRPr="007B6E69">
        <w:t xml:space="preserve"> </w:t>
      </w:r>
      <w:r w:rsidR="007B310D" w:rsidRPr="008200FD">
        <w:t>Australian Government Guide to Regulatory Impact Analysis</w:t>
      </w:r>
      <w:r w:rsidR="001B7E3F" w:rsidRPr="008200FD">
        <w:t xml:space="preserve"> </w:t>
      </w:r>
      <w:r w:rsidR="004B1FA1" w:rsidRPr="008200FD">
        <w:t>(</w:t>
      </w:r>
      <w:r w:rsidR="001B7E3F" w:rsidRPr="008200FD">
        <w:t>Second edition 2020)</w:t>
      </w:r>
      <w:r w:rsidR="008200FD">
        <w:t xml:space="preserve"> (Commonwealth of Australia, </w:t>
      </w:r>
      <w:r w:rsidR="008200FD" w:rsidRPr="0025667A">
        <w:t>2020</w:t>
      </w:r>
      <w:r w:rsidR="008200FD">
        <w:t>)</w:t>
      </w:r>
      <w:r w:rsidRPr="007B6E69">
        <w:t>:</w:t>
      </w:r>
    </w:p>
    <w:p w:rsidR="00CD56AB" w:rsidRPr="007B6E69" w:rsidRDefault="00CD56AB" w:rsidP="00FD3068">
      <w:r w:rsidRPr="007B6E69">
        <w:t>1. What is the problem you are trying to solve?</w:t>
      </w:r>
    </w:p>
    <w:p w:rsidR="00CD56AB" w:rsidRPr="007B6E69" w:rsidRDefault="00CD56AB" w:rsidP="006F6683">
      <w:r w:rsidRPr="007B6E69">
        <w:t>2. Why is government action needed?</w:t>
      </w:r>
    </w:p>
    <w:p w:rsidR="00CD56AB" w:rsidRPr="007B6E69" w:rsidRDefault="00CD56AB" w:rsidP="006F6683">
      <w:r w:rsidRPr="007B6E69">
        <w:t>3. What policy options are you considering?</w:t>
      </w:r>
    </w:p>
    <w:p w:rsidR="00CD56AB" w:rsidRPr="007B6E69" w:rsidRDefault="00CD56AB" w:rsidP="006F6683">
      <w:r w:rsidRPr="007B6E69">
        <w:t>4. What is the likely net benefit of each option?</w:t>
      </w:r>
    </w:p>
    <w:p w:rsidR="00CD56AB" w:rsidRPr="007B6E69" w:rsidRDefault="00CD56AB" w:rsidP="006F6683">
      <w:r w:rsidRPr="007B6E69">
        <w:t>5. Who will you consult about these options and how will you consult them?</w:t>
      </w:r>
    </w:p>
    <w:p w:rsidR="00CD56AB" w:rsidRPr="007B6E69" w:rsidRDefault="00CD56AB" w:rsidP="006F6683">
      <w:r w:rsidRPr="007B6E69">
        <w:t>6. What is the best option from those you have considered?</w:t>
      </w:r>
    </w:p>
    <w:p w:rsidR="00CD56AB" w:rsidRPr="007B6E69" w:rsidRDefault="00CD56AB" w:rsidP="006F6683">
      <w:r w:rsidRPr="007B6E69">
        <w:t>7. How will you implement and evaluate your chosen option?</w:t>
      </w:r>
    </w:p>
    <w:p w:rsidR="00821111" w:rsidRPr="007B6E69" w:rsidRDefault="00CD56AB" w:rsidP="006F6683">
      <w:r w:rsidRPr="007B6E69">
        <w:t xml:space="preserve">In line with the principles for Australian Government policy makers, the regulatory costs </w:t>
      </w:r>
      <w:r w:rsidR="00702250" w:rsidRPr="007B6E69">
        <w:t>for</w:t>
      </w:r>
      <w:r w:rsidRPr="007B6E69">
        <w:t xml:space="preserve"> business, </w:t>
      </w:r>
      <w:r w:rsidR="0045061D">
        <w:t>governments and the community</w:t>
      </w:r>
      <w:r w:rsidRPr="007B6E69">
        <w:t xml:space="preserve"> were quantified</w:t>
      </w:r>
      <w:r w:rsidR="00702250" w:rsidRPr="007B6E69">
        <w:t xml:space="preserve"> for each policy option</w:t>
      </w:r>
      <w:r w:rsidRPr="007B6E69">
        <w:t>.</w:t>
      </w:r>
    </w:p>
    <w:p w:rsidR="00702250" w:rsidRPr="007B6E69" w:rsidRDefault="00702250" w:rsidP="006F6683"/>
    <w:p w:rsidR="00702250" w:rsidRPr="007B6E69" w:rsidRDefault="00702250" w:rsidP="006F6683">
      <w:pPr>
        <w:sectPr w:rsidR="00702250" w:rsidRPr="007B6E69" w:rsidSect="00CD1797">
          <w:headerReference w:type="default" r:id="rId27"/>
          <w:footerReference w:type="default" r:id="rId28"/>
          <w:headerReference w:type="first" r:id="rId29"/>
          <w:pgSz w:w="11906" w:h="16838" w:code="9"/>
          <w:pgMar w:top="1021" w:right="1021" w:bottom="1021" w:left="1021" w:header="510" w:footer="567" w:gutter="0"/>
          <w:pgNumType w:start="1"/>
          <w:cols w:space="708"/>
          <w:docGrid w:linePitch="360"/>
        </w:sectPr>
      </w:pPr>
    </w:p>
    <w:p w:rsidR="005C72E8" w:rsidRPr="007B6E69" w:rsidRDefault="005C72E8" w:rsidP="00E13D3A">
      <w:pPr>
        <w:pStyle w:val="Heading1"/>
      </w:pPr>
      <w:bookmarkStart w:id="11" w:name="_Toc111576720"/>
      <w:bookmarkStart w:id="12" w:name="_Toc138065680"/>
      <w:r w:rsidRPr="007B6E69">
        <w:t xml:space="preserve">Chapter 1: </w:t>
      </w:r>
      <w:r w:rsidR="00A14A51" w:rsidRPr="007B6E69">
        <w:t>Introduction</w:t>
      </w:r>
      <w:bookmarkEnd w:id="11"/>
      <w:bookmarkEnd w:id="12"/>
    </w:p>
    <w:p w:rsidR="005C72E8" w:rsidRPr="007B6E69" w:rsidRDefault="00A14A51" w:rsidP="00E13D3A">
      <w:pPr>
        <w:pStyle w:val="Heading2"/>
        <w:rPr>
          <w:lang w:val="en-AU"/>
        </w:rPr>
      </w:pPr>
      <w:bookmarkStart w:id="13" w:name="_Toc138065681"/>
      <w:r w:rsidRPr="007B6E69">
        <w:rPr>
          <w:lang w:val="en-AU"/>
        </w:rPr>
        <w:t>Road vehicle regulation in Australia</w:t>
      </w:r>
      <w:bookmarkEnd w:id="13"/>
    </w:p>
    <w:p w:rsidR="00A14A51" w:rsidRPr="007B6E69" w:rsidRDefault="00A14A51" w:rsidP="00A14A51">
      <w:r w:rsidRPr="007B6E69">
        <w:t>Responsibility for vehicle regulation is shared between the Australian Government and the states and territories.</w:t>
      </w:r>
    </w:p>
    <w:p w:rsidR="00A14A51" w:rsidRPr="007B6E69" w:rsidRDefault="00A14A51" w:rsidP="00A14A51">
      <w:r w:rsidRPr="007B6E69">
        <w:t xml:space="preserve">The Australian Government regulates the first supply of vehicles to the Australian market. Under the </w:t>
      </w:r>
      <w:r w:rsidRPr="007B6E69">
        <w:rPr>
          <w:i/>
        </w:rPr>
        <w:t>Road Vehicle Standards Act 2018</w:t>
      </w:r>
      <w:r w:rsidRPr="007B6E69">
        <w:t xml:space="preserve"> (RVSA) (</w:t>
      </w:r>
      <w:r w:rsidR="00FE21EA">
        <w:t>Commonwealth of Australia</w:t>
      </w:r>
      <w:r w:rsidRPr="007B6E69">
        <w:t>, 2019), new road vehicles are required to comply with national vehicle standards known as the Australian Design Rules (ADRs), before they can be offered to the market for use in transport in Australia.</w:t>
      </w:r>
    </w:p>
    <w:p w:rsidR="00A14A51" w:rsidRPr="007B6E69" w:rsidRDefault="00A14A51" w:rsidP="00A14A51">
      <w:r w:rsidRPr="007B6E69">
        <w:t xml:space="preserve">The ADRs set requirements for vehicle safety, environmental performance and theft protection in line with community expectations. Through the </w:t>
      </w:r>
      <w:r w:rsidR="00B9347B">
        <w:t>d</w:t>
      </w:r>
      <w:r w:rsidRPr="007B6E69">
        <w:t>epartment’s road vehicle certification system, new vehicle types (models) manufactured in or imported to Australia are assessed and certified as complying with the applicable ADRs. Once the vehicle type has been approved, new vehicles of that type are then permitted to be supplied to the market.</w:t>
      </w:r>
    </w:p>
    <w:p w:rsidR="005C72E8" w:rsidRPr="007B6E69" w:rsidRDefault="00A14A51" w:rsidP="00A14A51">
      <w:r w:rsidRPr="007B6E69">
        <w:t xml:space="preserve">Once vehicles have been supplied to the market, responsibility for regulation (e.g. vehicle registration, in-service standards and operations) passes to the states and territories. This is principally done through legislation based on the Australian Light Vehicle Standards Rules </w:t>
      </w:r>
      <w:r w:rsidR="00C76DFB">
        <w:t xml:space="preserve">(ALVSRs) </w:t>
      </w:r>
      <w:r w:rsidRPr="007B6E69">
        <w:t>and the Australian Road Rules, which are managed by the National Transport Commission</w:t>
      </w:r>
      <w:r w:rsidR="00473961">
        <w:t xml:space="preserve"> (NTC)</w:t>
      </w:r>
      <w:r w:rsidRPr="007B6E69">
        <w:t xml:space="preserve">, and the Heavy Vehicle National Law </w:t>
      </w:r>
      <w:r w:rsidR="00C76DFB">
        <w:t xml:space="preserve">(HVNL) </w:t>
      </w:r>
      <w:r w:rsidRPr="007B6E69">
        <w:t>(</w:t>
      </w:r>
      <w:r w:rsidR="00A20E11">
        <w:t>State of Queensland, 2021</w:t>
      </w:r>
      <w:r w:rsidRPr="007B6E69">
        <w:t xml:space="preserve">), which is administered by the National Heavy Vehicle Regulator (NHVR). Both the </w:t>
      </w:r>
      <w:r w:rsidR="00C76DFB">
        <w:t>ALVSR</w:t>
      </w:r>
      <w:r w:rsidRPr="007B6E69">
        <w:t xml:space="preserve">s and the </w:t>
      </w:r>
      <w:r w:rsidR="00C76DFB">
        <w:t xml:space="preserve">HVNL </w:t>
      </w:r>
      <w:r w:rsidRPr="007B6E69">
        <w:t>have as a general principle that vehicles will continue to comply with the relevant ADRs.</w:t>
      </w:r>
    </w:p>
    <w:p w:rsidR="00B51189" w:rsidRPr="007B6E69" w:rsidRDefault="00B51189" w:rsidP="00E13D3A">
      <w:pPr>
        <w:pStyle w:val="Heading2"/>
        <w:rPr>
          <w:lang w:val="en-AU"/>
        </w:rPr>
      </w:pPr>
      <w:bookmarkStart w:id="14" w:name="_Toc138065682"/>
      <w:r w:rsidRPr="007B6E69">
        <w:rPr>
          <w:lang w:val="en-AU"/>
        </w:rPr>
        <w:t>ADR development and review</w:t>
      </w:r>
      <w:bookmarkEnd w:id="14"/>
    </w:p>
    <w:p w:rsidR="00B51189" w:rsidRPr="007B6E69" w:rsidRDefault="00B51189" w:rsidP="00B51189">
      <w:r w:rsidRPr="007B6E69">
        <w:t xml:space="preserve">Since the mid-1980s, the ADRs have been progressively harmonised with internationally based United Nations (UN) vehicle regulations, which are developed by the UN World Forum for Harmonization of Vehicle Regulations. Harmonisation is important because Australian vehicle sales represent less than </w:t>
      </w:r>
      <w:r w:rsidR="00006DA4">
        <w:t>2%</w:t>
      </w:r>
      <w:r w:rsidRPr="007B6E69">
        <w:t xml:space="preserve"> of the global vehicle market.  Harmonising with international vehicle regulations provides Australian consumers with access to the safest vehicles from the global market at the lowest possible cost.</w:t>
      </w:r>
    </w:p>
    <w:p w:rsidR="00B51189" w:rsidRPr="007B6E69" w:rsidRDefault="00B51189" w:rsidP="00B51189">
      <w:r w:rsidRPr="007B6E69">
        <w:t xml:space="preserve">There is an ongoing program of work to develop, review and revise the ADRs. To ensure the ADRs remain fit for purpose, the </w:t>
      </w:r>
      <w:r w:rsidR="00B9347B">
        <w:t>d</w:t>
      </w:r>
      <w:r w:rsidRPr="007B6E69">
        <w:t>epartment monitors international developments and regularly consults with stakeholders, including to identify any implementation issues or changes in factors affecting existing ADRs, as well as benefits associated with introducing new ADRs.</w:t>
      </w:r>
    </w:p>
    <w:p w:rsidR="00B51189" w:rsidRPr="007B6E69" w:rsidRDefault="00B51189" w:rsidP="00E13D3A">
      <w:pPr>
        <w:pStyle w:val="Heading2"/>
        <w:rPr>
          <w:lang w:val="en-AU"/>
        </w:rPr>
      </w:pPr>
      <w:bookmarkStart w:id="15" w:name="_Toc138065683"/>
      <w:r w:rsidRPr="007B6E69">
        <w:rPr>
          <w:lang w:val="en-AU"/>
        </w:rPr>
        <w:t>Performance Based Standards (PBS) Schemes</w:t>
      </w:r>
      <w:bookmarkEnd w:id="15"/>
    </w:p>
    <w:p w:rsidR="005C72E8" w:rsidRPr="007B6E69" w:rsidRDefault="00B51189" w:rsidP="00B51189">
      <w:r w:rsidRPr="007B6E69">
        <w:t>Australia also has two voluntary PBS schemes for heavy vehicles, which are administered by the NHVR and the Western Australian Government. Under these schemes, vehicles are tested against 16 additional safety standards and 4 infrastructure standards, and can receive exemptions from meeting specified clauses of the ADRs and in-service vehicle regulations, including standard limits for vehicle width, length, height and rear overhang, as well as various tow coupling related requirements. These PBS schemes give industry the opportunity to innovate with vehicle design to improve productivity and achieve safer performance while minimising impacts on the environment and road infrastructure. PBS vehicles are permitted to operate on defined road networks that are appropriate for their performance (NHVR, 2019).</w:t>
      </w:r>
    </w:p>
    <w:p w:rsidR="00B51189" w:rsidRPr="007B6E69" w:rsidRDefault="00B51189" w:rsidP="005C72E8"/>
    <w:p w:rsidR="005A09F8" w:rsidRPr="007B6E69" w:rsidRDefault="005A09F8" w:rsidP="00E13D3A">
      <w:pPr>
        <w:pStyle w:val="Heading1"/>
        <w:sectPr w:rsidR="005A09F8" w:rsidRPr="007B6E69" w:rsidSect="00BB23F2">
          <w:pgSz w:w="11906" w:h="16838" w:code="9"/>
          <w:pgMar w:top="1021" w:right="1021" w:bottom="1021" w:left="1021" w:header="567" w:footer="567" w:gutter="0"/>
          <w:cols w:space="708"/>
          <w:docGrid w:linePitch="360"/>
        </w:sectPr>
      </w:pPr>
    </w:p>
    <w:p w:rsidR="00821111" w:rsidRPr="007B6E69" w:rsidRDefault="00562B18" w:rsidP="00E13D3A">
      <w:pPr>
        <w:pStyle w:val="Heading1"/>
      </w:pPr>
      <w:bookmarkStart w:id="16" w:name="_Toc111576721"/>
      <w:bookmarkStart w:id="17" w:name="_Toc138065684"/>
      <w:r w:rsidRPr="007B6E69">
        <w:t xml:space="preserve">Chapter </w:t>
      </w:r>
      <w:r w:rsidR="005C72E8" w:rsidRPr="007B6E69">
        <w:t>2</w:t>
      </w:r>
      <w:r w:rsidRPr="007B6E69">
        <w:t xml:space="preserve">: </w:t>
      </w:r>
      <w:r w:rsidR="00821111" w:rsidRPr="007B6E69">
        <w:t>Wha</w:t>
      </w:r>
      <w:r w:rsidRPr="007B6E69">
        <w:t>t is the problem?</w:t>
      </w:r>
      <w:bookmarkEnd w:id="16"/>
      <w:bookmarkEnd w:id="17"/>
    </w:p>
    <w:p w:rsidR="00033B7E" w:rsidRPr="007B6E69" w:rsidRDefault="00BA1C46" w:rsidP="00A1332D">
      <w:pPr>
        <w:pStyle w:val="Heading2"/>
        <w:ind w:left="0" w:firstLine="0"/>
        <w:rPr>
          <w:lang w:val="en-AU"/>
        </w:rPr>
      </w:pPr>
      <w:bookmarkStart w:id="18" w:name="_Toc138065685"/>
      <w:r w:rsidRPr="007B6E69">
        <w:rPr>
          <w:lang w:val="en-AU"/>
        </w:rPr>
        <w:t>Regulatory i</w:t>
      </w:r>
      <w:r w:rsidR="00033B7E" w:rsidRPr="007B6E69">
        <w:rPr>
          <w:lang w:val="en-AU"/>
        </w:rPr>
        <w:t>mpediments to the supply of safer and cleaner freight</w:t>
      </w:r>
      <w:r w:rsidRPr="007B6E69">
        <w:rPr>
          <w:lang w:val="en-AU"/>
        </w:rPr>
        <w:t> </w:t>
      </w:r>
      <w:r w:rsidR="00033B7E" w:rsidRPr="007B6E69">
        <w:rPr>
          <w:lang w:val="en-AU"/>
        </w:rPr>
        <w:t>vehicles</w:t>
      </w:r>
      <w:bookmarkEnd w:id="18"/>
    </w:p>
    <w:p w:rsidR="00CD2C0D" w:rsidRPr="007B6E69" w:rsidRDefault="00CD2C0D" w:rsidP="00CD2C0D">
      <w:pPr>
        <w:pStyle w:val="Heading3"/>
        <w:rPr>
          <w:lang w:val="en-AU"/>
        </w:rPr>
      </w:pPr>
      <w:bookmarkStart w:id="19" w:name="_Toc138065686"/>
      <w:r w:rsidRPr="007B6E69">
        <w:rPr>
          <w:lang w:val="en-AU"/>
        </w:rPr>
        <w:t>The National Road Safety Action Plan 2018-2020</w:t>
      </w:r>
      <w:bookmarkEnd w:id="19"/>
    </w:p>
    <w:p w:rsidR="00CD2C0D" w:rsidRPr="007B6E69" w:rsidRDefault="00CD2C0D" w:rsidP="00CD2C0D">
      <w:r w:rsidRPr="007B6E69">
        <w:t>At the 18 May 2018 meeting of the then Transport and Infrastructure Council, Ministers endorsed the National Road Safety Action Plan (NRSAP) 2018-2020 (</w:t>
      </w:r>
      <w:r w:rsidR="00FE21EA">
        <w:t>Commonwealth of Australia</w:t>
      </w:r>
      <w:r w:rsidRPr="007B6E69">
        <w:t xml:space="preserve">, 2018a), </w:t>
      </w:r>
      <w:r w:rsidR="000D21EE" w:rsidRPr="007B6E69">
        <w:t>including</w:t>
      </w:r>
      <w:r w:rsidRPr="007B6E69">
        <w:t xml:space="preserve"> Other Critical Action L to Investigate the introduction of safer, cleaner heavy freight vehicles by minimising regulatory barriers. The aim of th</w:t>
      </w:r>
      <w:r w:rsidR="000E7EBD" w:rsidRPr="007B6E69">
        <w:t>is</w:t>
      </w:r>
      <w:r w:rsidRPr="007B6E69">
        <w:t xml:space="preserve"> action is to increase take up of safer, cleaner heavy freight vehicles (goods vehicles over 4.5 tonnes Gross Vehicle Mass (GVM) and trailers over 4.5 tonnes Aggregate Trailer Mass (ATM)) in Australia.</w:t>
      </w:r>
    </w:p>
    <w:p w:rsidR="00CD2C0D" w:rsidRPr="007B6E69" w:rsidRDefault="00CD2C0D" w:rsidP="00033B7E">
      <w:r w:rsidRPr="007B6E69">
        <w:rPr>
          <w:noProof/>
          <w:lang w:eastAsia="en-AU"/>
        </w:rPr>
        <mc:AlternateContent>
          <mc:Choice Requires="wps">
            <w:drawing>
              <wp:inline distT="0" distB="0" distL="0" distR="0" wp14:anchorId="54A79950" wp14:editId="412D8053">
                <wp:extent cx="6217920" cy="3952875"/>
                <wp:effectExtent l="0" t="0" r="11430" b="2857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3952875"/>
                        </a:xfrm>
                        <a:prstGeom prst="rect">
                          <a:avLst/>
                        </a:prstGeom>
                        <a:solidFill>
                          <a:srgbClr val="E8F0FC"/>
                        </a:solidFill>
                        <a:ln w="9525">
                          <a:solidFill>
                            <a:srgbClr val="000000"/>
                          </a:solidFill>
                          <a:miter lim="800000"/>
                          <a:headEnd/>
                          <a:tailEnd/>
                        </a:ln>
                      </wps:spPr>
                      <wps:txbx>
                        <w:txbxContent>
                          <w:p w:rsidR="00D902A9" w:rsidRPr="007B3F74" w:rsidRDefault="00D902A9" w:rsidP="00634D8C">
                            <w:pPr>
                              <w:rPr>
                                <w:b/>
                                <w:color w:val="081E3E" w:themeColor="text2"/>
                                <w:sz w:val="24"/>
                                <w:szCs w:val="24"/>
                              </w:rPr>
                            </w:pPr>
                            <w:r w:rsidRPr="007B3F74">
                              <w:rPr>
                                <w:b/>
                                <w:color w:val="081E3E" w:themeColor="text2"/>
                                <w:sz w:val="24"/>
                                <w:szCs w:val="24"/>
                              </w:rPr>
                              <w:t>Other Critical Action L (NRSAP 2018-2020):</w:t>
                            </w:r>
                          </w:p>
                          <w:p w:rsidR="00D902A9" w:rsidRPr="007B3F74" w:rsidRDefault="00D902A9" w:rsidP="00634D8C">
                            <w:pPr>
                              <w:rPr>
                                <w:b/>
                                <w:color w:val="081E3E" w:themeColor="text2"/>
                                <w:sz w:val="24"/>
                                <w:szCs w:val="24"/>
                              </w:rPr>
                            </w:pPr>
                            <w:r w:rsidRPr="007B3F74">
                              <w:rPr>
                                <w:b/>
                                <w:color w:val="081E3E" w:themeColor="text2"/>
                                <w:sz w:val="24"/>
                                <w:szCs w:val="24"/>
                              </w:rPr>
                              <w:t>Investigate the introduction of safer, cleaner heavy freight vehicles by minimising regulatory barriers</w:t>
                            </w:r>
                          </w:p>
                          <w:p w:rsidR="00D902A9" w:rsidRDefault="00D902A9" w:rsidP="00634D8C">
                            <w:pPr>
                              <w:spacing w:after="240"/>
                            </w:pPr>
                            <w:r w:rsidRPr="002D7CBA">
                              <w:t>The overall age of the heavy vehicle fleet has an impact on safety as newer vehicles have mo</w:t>
                            </w:r>
                            <w:r>
                              <w:t>r</w:t>
                            </w:r>
                            <w:r w:rsidRPr="002D7CBA">
                              <w:t>e safety features.</w:t>
                            </w:r>
                            <w:r>
                              <w:t xml:space="preserve"> </w:t>
                            </w:r>
                            <w:r w:rsidRPr="002D7CBA">
                              <w:t>It is proposed to investigate ways to encourage the greater uptake of newer, safer, cleaner vehicles into the</w:t>
                            </w:r>
                            <w:r>
                              <w:t xml:space="preserve"> </w:t>
                            </w:r>
                            <w:r w:rsidRPr="002D7CBA">
                              <w:t>Australian fleet, including regulatory requirements and the capacity of the road n</w:t>
                            </w:r>
                            <w:r>
                              <w:t xml:space="preserve">etwork to accommodate different </w:t>
                            </w:r>
                            <w:r w:rsidRPr="002D7CBA">
                              <w:t>s</w:t>
                            </w:r>
                            <w:r>
                              <w:t xml:space="preserve">izes of vehicles. </w:t>
                            </w:r>
                            <w:r w:rsidRPr="002D7CBA">
                              <w:t xml:space="preserve">To meet current Australian regulations, heavy freight </w:t>
                            </w:r>
                            <w:r>
                              <w:t>vehicles must be 50 to 100mm (2-4%) less in width than vehicles i</w:t>
                            </w:r>
                            <w:r w:rsidRPr="002D7CBA">
                              <w:t>n other major markets.</w:t>
                            </w:r>
                            <w:r>
                              <w:t xml:space="preserve"> This costs manufacturers $15-</w:t>
                            </w:r>
                            <w:r w:rsidRPr="002D7CBA">
                              <w:t>30 million per year to redesign their vehicles, and in some</w:t>
                            </w:r>
                            <w:r>
                              <w:t xml:space="preserve"> </w:t>
                            </w:r>
                            <w:r w:rsidRPr="002D7CBA">
                              <w:t>cases reduces the availab</w:t>
                            </w:r>
                            <w:r>
                              <w:t>ility of safer, cleaner models.</w:t>
                            </w:r>
                          </w:p>
                          <w:p w:rsidR="00D902A9" w:rsidRDefault="00D902A9" w:rsidP="00CD2C0D">
                            <w:r w:rsidRPr="002D7CBA">
                              <w:t>Regulatory restrictions exist in Commonwealth and state and territory regulations, an</w:t>
                            </w:r>
                            <w:r>
                              <w:t xml:space="preserve">d include both vehicle size and </w:t>
                            </w:r>
                            <w:r w:rsidRPr="002D7CBA">
                              <w:t>mass. They were originally introduced to protect infrastructure such as roads, building clearances, and bridge loading limits, and to prevent head-on crashes and reduce conflict with oth</w:t>
                            </w:r>
                            <w:r>
                              <w:t>er road users on narrower roads. A</w:t>
                            </w:r>
                            <w:r w:rsidRPr="002D7CBA">
                              <w:t>ll parties will examine current regulatory requirements, as well as network capacity for vehicles of different size and</w:t>
                            </w:r>
                            <w:r>
                              <w:t xml:space="preserve"> </w:t>
                            </w:r>
                            <w:r w:rsidRPr="002D7CBA">
                              <w:t>m</w:t>
                            </w:r>
                            <w:r>
                              <w:t>ass, where the roadway can safel</w:t>
                            </w:r>
                            <w:r w:rsidRPr="002D7CBA">
                              <w:t xml:space="preserve">y </w:t>
                            </w:r>
                            <w:r>
                              <w:t xml:space="preserve">(sic) </w:t>
                            </w:r>
                            <w:r w:rsidRPr="002D7CBA">
                              <w:t>accommodate such vehicles and minimise crashes. Subject to this assessment, the Commonwealth will release a discussion paper, ahead of a regulatory package for any agreed changes to heavy freight vehicle width and any other dimensions, and axle transitional mass, in the Australian Design Rules. The NHVR and the state and territory governments will consider additional changes to heavy freight vehicle size and axle mass limits. The aim is to achieve increased take up of safer, cleaner heavy freight vehicles in Australia from a reported</w:t>
                            </w:r>
                            <w:r>
                              <w:t xml:space="preserve"> </w:t>
                            </w:r>
                            <w:r w:rsidRPr="002D7CBA">
                              <w:t>0.1% to be closer to the global average of 2.0%, also leading to a lower average age of the heavy vehicle fleet</w:t>
                            </w:r>
                            <w:r>
                              <w:t>.</w:t>
                            </w:r>
                          </w:p>
                        </w:txbxContent>
                      </wps:txbx>
                      <wps:bodyPr rot="0" vert="horz" wrap="square" lIns="144000" tIns="144000" rIns="144000" bIns="144000" anchor="t" anchorCtr="0">
                        <a:noAutofit/>
                      </wps:bodyPr>
                    </wps:wsp>
                  </a:graphicData>
                </a:graphic>
              </wp:inline>
            </w:drawing>
          </mc:Choice>
          <mc:Fallback>
            <w:pict>
              <v:shapetype w14:anchorId="54A79950" id="_x0000_t202" coordsize="21600,21600" o:spt="202" path="m,l,21600r21600,l21600,xe">
                <v:stroke joinstyle="miter"/>
                <v:path gradientshapeok="t" o:connecttype="rect"/>
              </v:shapetype>
              <v:shape id="Text Box 2" o:spid="_x0000_s1026" type="#_x0000_t202" style="width:489.6pt;height:3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" fillcolor="#e8f0fc">
                <v:textbox inset="4mm,4mm,4mm,4mm">
                  <w:txbxContent>
                    <w:p w:rsidR="00D902A9" w:rsidRPr="007B3F74" w:rsidRDefault="00D902A9" w:rsidP="00634D8C">
                      <w:pPr>
                        <w:rPr>
                          <w:b/>
                          <w:color w:val="081E3E" w:themeColor="text2"/>
                          <w:sz w:val="24"/>
                          <w:szCs w:val="24"/>
                        </w:rPr>
                      </w:pPr>
                      <w:r w:rsidRPr="007B3F74">
                        <w:rPr>
                          <w:b/>
                          <w:color w:val="081E3E" w:themeColor="text2"/>
                          <w:sz w:val="24"/>
                          <w:szCs w:val="24"/>
                        </w:rPr>
                        <w:t>Other Critical Action L (NRSAP 2018-2020):</w:t>
                      </w:r>
                    </w:p>
                    <w:p w:rsidR="00D902A9" w:rsidRPr="007B3F74" w:rsidRDefault="00D902A9" w:rsidP="00634D8C">
                      <w:pPr>
                        <w:rPr>
                          <w:b/>
                          <w:color w:val="081E3E" w:themeColor="text2"/>
                          <w:sz w:val="24"/>
                          <w:szCs w:val="24"/>
                        </w:rPr>
                      </w:pPr>
                      <w:r w:rsidRPr="007B3F74">
                        <w:rPr>
                          <w:b/>
                          <w:color w:val="081E3E" w:themeColor="text2"/>
                          <w:sz w:val="24"/>
                          <w:szCs w:val="24"/>
                        </w:rPr>
                        <w:t>Investigate the introduction of safer, cleaner heavy freight vehicles by minimising regulatory barriers</w:t>
                      </w:r>
                    </w:p>
                    <w:p w:rsidR="00D902A9" w:rsidRDefault="00D902A9" w:rsidP="00634D8C">
                      <w:pPr>
                        <w:spacing w:after="240"/>
                      </w:pPr>
                      <w:r w:rsidRPr="002D7CBA">
                        <w:t>The overall age of the heavy vehicle fleet has an impact on safety as newer vehicles have mo</w:t>
                      </w:r>
                      <w:r>
                        <w:t>r</w:t>
                      </w:r>
                      <w:r w:rsidRPr="002D7CBA">
                        <w:t>e safety features.</w:t>
                      </w:r>
                      <w:r>
                        <w:t xml:space="preserve"> </w:t>
                      </w:r>
                      <w:r w:rsidRPr="002D7CBA">
                        <w:t>It is proposed to investigate ways to encourage the greater uptake of newer, safer, cleaner vehicles into the</w:t>
                      </w:r>
                      <w:r>
                        <w:t xml:space="preserve"> </w:t>
                      </w:r>
                      <w:r w:rsidRPr="002D7CBA">
                        <w:t>Australian fleet, including regulatory requirements and the capacity of the road n</w:t>
                      </w:r>
                      <w:r>
                        <w:t xml:space="preserve">etwork to accommodate different </w:t>
                      </w:r>
                      <w:r w:rsidRPr="002D7CBA">
                        <w:t>s</w:t>
                      </w:r>
                      <w:r>
                        <w:t xml:space="preserve">izes of vehicles. </w:t>
                      </w:r>
                      <w:r w:rsidRPr="002D7CBA">
                        <w:t xml:space="preserve">To meet current Australian regulations, heavy freight </w:t>
                      </w:r>
                      <w:r>
                        <w:t>vehicles must be 50 to 100mm (2-4%) less in width than vehicles i</w:t>
                      </w:r>
                      <w:r w:rsidRPr="002D7CBA">
                        <w:t>n other major markets.</w:t>
                      </w:r>
                      <w:r>
                        <w:t xml:space="preserve"> This costs manufacturers $15-</w:t>
                      </w:r>
                      <w:r w:rsidRPr="002D7CBA">
                        <w:t>30 million per year to redesign their vehicles, and in some</w:t>
                      </w:r>
                      <w:r>
                        <w:t xml:space="preserve"> </w:t>
                      </w:r>
                      <w:r w:rsidRPr="002D7CBA">
                        <w:t>cases reduces the availab</w:t>
                      </w:r>
                      <w:r>
                        <w:t>ility of safer, cleaner models.</w:t>
                      </w:r>
                    </w:p>
                    <w:p w:rsidR="00D902A9" w:rsidRDefault="00D902A9" w:rsidP="00CD2C0D">
                      <w:r w:rsidRPr="002D7CBA">
                        <w:t>Regulatory restrictions exist in Commonwealth and state and territory regulations, an</w:t>
                      </w:r>
                      <w:r>
                        <w:t xml:space="preserve">d include both vehicle size and </w:t>
                      </w:r>
                      <w:r w:rsidRPr="002D7CBA">
                        <w:t>mass. They were originally introduced to protect infrastructure such as roads, building clearances, and bridge loading limits, and to prevent head-on crashes and reduce conflict with oth</w:t>
                      </w:r>
                      <w:r>
                        <w:t>er road users on narrower roads. A</w:t>
                      </w:r>
                      <w:r w:rsidRPr="002D7CBA">
                        <w:t>ll parties will examine current regulatory requirements, as well as network capacity for vehicles of different size and</w:t>
                      </w:r>
                      <w:r>
                        <w:t xml:space="preserve"> </w:t>
                      </w:r>
                      <w:r w:rsidRPr="002D7CBA">
                        <w:t>m</w:t>
                      </w:r>
                      <w:r>
                        <w:t>ass, where the roadway can safel</w:t>
                      </w:r>
                      <w:r w:rsidRPr="002D7CBA">
                        <w:t xml:space="preserve">y </w:t>
                      </w:r>
                      <w:r>
                        <w:t xml:space="preserve">(sic) </w:t>
                      </w:r>
                      <w:r w:rsidRPr="002D7CBA">
                        <w:t>accommodate such vehicles and minimise crashes. Subject to this assessment, the Commonwealth will release a discussion paper, ahead of a regulatory package for any agreed changes to heavy freight vehicle width and any other dimensions, and axle transitional mass, in the Australian Design Rules. The NHVR and the state and territory governments will consider additional changes to heavy freight vehicle size and axle mass limits. The aim is to achieve increased take up of safer, cleaner heavy freight vehicles in Australia from a reported</w:t>
                      </w:r>
                      <w:r>
                        <w:t xml:space="preserve"> </w:t>
                      </w:r>
                      <w:r w:rsidRPr="002D7CBA">
                        <w:t>0.1% to be closer to the global average of 2.0%, also leading to a lower average age of the heavy vehicle fleet</w:t>
                      </w:r>
                      <w:r>
                        <w:t>.</w:t>
                      </w:r>
                    </w:p>
                  </w:txbxContent>
                </v:textbox>
                <w10:anchorlock/>
              </v:shape>
            </w:pict>
          </mc:Fallback>
        </mc:AlternateContent>
      </w:r>
    </w:p>
    <w:p w:rsidR="00BA1C46" w:rsidRPr="007B6E69" w:rsidRDefault="00BA1C46" w:rsidP="00BA1C46">
      <w:pPr>
        <w:pStyle w:val="Heading3"/>
        <w:rPr>
          <w:lang w:val="en-AU"/>
        </w:rPr>
      </w:pPr>
      <w:bookmarkStart w:id="20" w:name="_Toc138065687"/>
      <w:r w:rsidRPr="007B6E69">
        <w:rPr>
          <w:lang w:val="en-AU"/>
        </w:rPr>
        <w:t>The Safer Freight Vehicles Discussion Paper</w:t>
      </w:r>
      <w:bookmarkEnd w:id="20"/>
    </w:p>
    <w:p w:rsidR="00540148" w:rsidRPr="007B6E69" w:rsidRDefault="006878D5" w:rsidP="00033B7E">
      <w:r w:rsidRPr="007B6E69">
        <w:t xml:space="preserve">In April 2021, the </w:t>
      </w:r>
      <w:r w:rsidR="00B9347B">
        <w:t>d</w:t>
      </w:r>
      <w:r w:rsidRPr="007B6E69">
        <w:t>epartment released a Safer Freight Vehicles Discussion Paper (</w:t>
      </w:r>
      <w:r w:rsidR="00FE21EA">
        <w:t>Commonwealth of Australia</w:t>
      </w:r>
      <w:r w:rsidRPr="007B6E69">
        <w:t>, 2021</w:t>
      </w:r>
      <w:r w:rsidR="006D7376">
        <w:t>a</w:t>
      </w:r>
      <w:r w:rsidRPr="007B6E69">
        <w:t>) on its website for a 10-week public comment period.</w:t>
      </w:r>
      <w:r w:rsidR="00540148" w:rsidRPr="007B6E69">
        <w:t xml:space="preserve"> This paper sought stakeholder feedback on possible changes to </w:t>
      </w:r>
      <w:r w:rsidR="00576AEE" w:rsidRPr="007B6E69">
        <w:t xml:space="preserve">the ADRs to </w:t>
      </w:r>
      <w:r w:rsidR="00540148" w:rsidRPr="007B6E69">
        <w:t>facilitate an increased take</w:t>
      </w:r>
      <w:r w:rsidR="0077120E">
        <w:t>-</w:t>
      </w:r>
      <w:r w:rsidR="00540148" w:rsidRPr="007B6E69">
        <w:t>up of safer and cleaner heavy freight vehicles in Australia.</w:t>
      </w:r>
    </w:p>
    <w:p w:rsidR="00033B7E" w:rsidRPr="007B6E69" w:rsidRDefault="00033B7E" w:rsidP="000248F9">
      <w:r w:rsidRPr="007B6E69">
        <w:t>In preparing</w:t>
      </w:r>
      <w:r w:rsidR="00AB7A94" w:rsidRPr="007B6E69">
        <w:t xml:space="preserve"> </w:t>
      </w:r>
      <w:r w:rsidR="00540148" w:rsidRPr="007B6E69">
        <w:t>the Safer Freight Vehicles Discussion Paper (</w:t>
      </w:r>
      <w:r w:rsidR="00FE21EA">
        <w:t>Commonwealth of Australia</w:t>
      </w:r>
      <w:r w:rsidR="00540148" w:rsidRPr="007B6E69">
        <w:t>, 2021</w:t>
      </w:r>
      <w:r w:rsidR="006D7376">
        <w:t>a</w:t>
      </w:r>
      <w:r w:rsidR="00540148" w:rsidRPr="007B6E69">
        <w:t>)</w:t>
      </w:r>
      <w:r w:rsidRPr="007B6E69">
        <w:t xml:space="preserve">, the </w:t>
      </w:r>
      <w:r w:rsidR="00B9347B">
        <w:t>d</w:t>
      </w:r>
      <w:r w:rsidRPr="007B6E69">
        <w:t xml:space="preserve">epartment considered information from a range of sources to identify any potential barriers or impediments in the ADRs to the supply of safer and cleaner heavy freight vehicles. Importantly, the </w:t>
      </w:r>
      <w:r w:rsidR="00B9347B">
        <w:t>d</w:t>
      </w:r>
      <w:r w:rsidRPr="007B6E69">
        <w:t xml:space="preserve">epartment’s review revealed that the ADRs do not prohibit safer and cleaner heavy freight vehicles from being supplied to the Australian market. Nevertheless, there are some requirements in the ADRs that can make it more difficult and </w:t>
      </w:r>
      <w:r w:rsidR="007B6E69" w:rsidRPr="007B6E69">
        <w:t>costlier</w:t>
      </w:r>
      <w:r w:rsidRPr="007B6E69">
        <w:t xml:space="preserve"> for manufacturers to supply vehicles fitted with advanced safety </w:t>
      </w:r>
      <w:r w:rsidR="008C56E5">
        <w:t>systems</w:t>
      </w:r>
      <w:r w:rsidRPr="007B6E69">
        <w:t>, cleaner engines, and/or more productive design features. Further, the relatively small size of the Australian market limits the number of vehicles across which manufacturers can amortise any additional development costs to meet Australian specific requirements.</w:t>
      </w:r>
    </w:p>
    <w:p w:rsidR="00033B7E" w:rsidRPr="007B6E69" w:rsidRDefault="00033B7E" w:rsidP="009A1CD9">
      <w:r w:rsidRPr="007B6E69">
        <w:t xml:space="preserve">The main ADR requirement raised by heavy vehicle industry groups as limiting the supply of safer and cleaner heavy freight vehicles is the vehicle width limit. </w:t>
      </w:r>
      <w:r w:rsidR="00A1332D" w:rsidRPr="007B6E69">
        <w:t>T</w:t>
      </w:r>
      <w:r w:rsidR="00E1642E" w:rsidRPr="007B6E69">
        <w:t xml:space="preserve">he supply of safer heavy goods vehicles is </w:t>
      </w:r>
      <w:r w:rsidR="00976F3E" w:rsidRPr="007B6E69">
        <w:t>further</w:t>
      </w:r>
      <w:r w:rsidR="00E1642E" w:rsidRPr="007B6E69">
        <w:t xml:space="preserve"> </w:t>
      </w:r>
      <w:r w:rsidR="00A1332D" w:rsidRPr="007B6E69">
        <w:t>restricted</w:t>
      </w:r>
      <w:r w:rsidR="00E1642E" w:rsidRPr="007B6E69">
        <w:t xml:space="preserve"> </w:t>
      </w:r>
      <w:r w:rsidR="000860C4" w:rsidRPr="007B6E69">
        <w:t>by t</w:t>
      </w:r>
      <w:r w:rsidRPr="007B6E69">
        <w:t xml:space="preserve">he absence </w:t>
      </w:r>
      <w:r w:rsidR="00B364B9">
        <w:t xml:space="preserve">in the ADRs </w:t>
      </w:r>
      <w:r w:rsidRPr="007B6E69">
        <w:t>of exclusions for various types of devices for indirect vision (i.e. mirrors and cameras) and blind spot information systems (e.g. for the detection of vehicles, bicyclists and/or pedestrians) from the measurement of vehicle</w:t>
      </w:r>
      <w:r w:rsidR="00B364B9">
        <w:t> </w:t>
      </w:r>
      <w:r w:rsidRPr="007B6E69">
        <w:t>width and/or length.</w:t>
      </w:r>
      <w:r w:rsidR="00540148" w:rsidRPr="007B6E69">
        <w:t xml:space="preserve"> This </w:t>
      </w:r>
      <w:r w:rsidR="00C45600">
        <w:t>IA</w:t>
      </w:r>
      <w:r w:rsidR="00540148" w:rsidRPr="007B6E69">
        <w:t xml:space="preserve"> focusses on policy options to </w:t>
      </w:r>
      <w:r w:rsidR="00F43BE6" w:rsidRPr="007B6E69">
        <w:t>better regulate these aspects of vehicle design</w:t>
      </w:r>
      <w:r w:rsidR="00540148" w:rsidRPr="007B6E69">
        <w:t>.</w:t>
      </w:r>
    </w:p>
    <w:p w:rsidR="008341A2" w:rsidRPr="007B6E69" w:rsidRDefault="00AF1EED" w:rsidP="009A1CD9">
      <w:r w:rsidRPr="007B6E69">
        <w:t xml:space="preserve">There are also </w:t>
      </w:r>
      <w:r w:rsidR="002D7DAD" w:rsidRPr="007B6E69">
        <w:t>limits in the ADRs on axle spacing, axle transition mass (the maximum permissible mass placed on the road by an axle or axle group before any retracted/lifted axle must automatically lower), rear overhang (the distance between the centre of the rear axle or axle group of a vehicle and the rearmost point on the vehicle), and the number of axles in an axle group, which can be barriers to the supply of vehicles with more productive, fuel-efficient and/or environmentally friendly axle configurations.</w:t>
      </w:r>
      <w:r w:rsidR="00F43BE6" w:rsidRPr="007B6E69">
        <w:t xml:space="preserve"> While </w:t>
      </w:r>
      <w:r w:rsidR="000039EC" w:rsidRPr="007B6E69">
        <w:t xml:space="preserve">policy options to address these issues are not considered in this </w:t>
      </w:r>
      <w:r w:rsidR="00C45600">
        <w:t>IA</w:t>
      </w:r>
      <w:r w:rsidR="000039EC" w:rsidRPr="007B6E69">
        <w:t xml:space="preserve">, this may follow as a subsequent </w:t>
      </w:r>
      <w:r w:rsidR="00C45600">
        <w:t>IA</w:t>
      </w:r>
      <w:r w:rsidR="000039EC" w:rsidRPr="007B6E69">
        <w:t xml:space="preserve"> proposal. In this respect it is important to highlight that </w:t>
      </w:r>
      <w:r w:rsidR="00971E51" w:rsidRPr="007B6E69">
        <w:t xml:space="preserve">the impacts of </w:t>
      </w:r>
      <w:r w:rsidR="00FD2CC3" w:rsidRPr="007B6E69">
        <w:t>any future changes to</w:t>
      </w:r>
      <w:r w:rsidR="00971E51" w:rsidRPr="007B6E69">
        <w:t xml:space="preserve"> </w:t>
      </w:r>
      <w:r w:rsidR="00346C53" w:rsidRPr="007B6E69">
        <w:t xml:space="preserve">vehicle </w:t>
      </w:r>
      <w:r w:rsidR="0016406E" w:rsidRPr="007B6E69">
        <w:t xml:space="preserve">axle requirements </w:t>
      </w:r>
      <w:r w:rsidR="00FD2CC3" w:rsidRPr="007B6E69">
        <w:t>would be</w:t>
      </w:r>
      <w:r w:rsidR="00346C53" w:rsidRPr="007B6E69">
        <w:t xml:space="preserve"> largely separate and distinct from </w:t>
      </w:r>
      <w:r w:rsidR="00FD2CC3" w:rsidRPr="007B6E69">
        <w:t xml:space="preserve">the changes considered for overall vehicle width </w:t>
      </w:r>
      <w:r w:rsidR="00B6485F">
        <w:t>(</w:t>
      </w:r>
      <w:r w:rsidR="00FD75A0">
        <w:t>as well as</w:t>
      </w:r>
      <w:r w:rsidR="00FD2CC3" w:rsidRPr="007B6E69">
        <w:t xml:space="preserve"> </w:t>
      </w:r>
      <w:r w:rsidR="00FA0D3E">
        <w:t xml:space="preserve">exclusions from vehicle width and </w:t>
      </w:r>
      <w:r w:rsidR="00FD2CC3" w:rsidRPr="007B6E69">
        <w:t xml:space="preserve">length </w:t>
      </w:r>
      <w:r w:rsidR="00B6485F">
        <w:t>measurements) in</w:t>
      </w:r>
      <w:r w:rsidR="00FD2CC3" w:rsidRPr="007B6E69">
        <w:t xml:space="preserve"> this </w:t>
      </w:r>
      <w:r w:rsidR="00C45600">
        <w:t>IA</w:t>
      </w:r>
      <w:r w:rsidR="00346C53" w:rsidRPr="007B6E69">
        <w:t xml:space="preserve">, so would not significantly impact </w:t>
      </w:r>
      <w:r w:rsidR="00FD2CC3" w:rsidRPr="007B6E69">
        <w:t>the outcome of the benefit-cost analysis</w:t>
      </w:r>
      <w:r w:rsidR="003655B7" w:rsidRPr="007B6E69">
        <w:t xml:space="preserve"> for this </w:t>
      </w:r>
      <w:r w:rsidR="00C45600">
        <w:t>IA</w:t>
      </w:r>
      <w:r w:rsidR="00346C53" w:rsidRPr="007B6E69">
        <w:t>.</w:t>
      </w:r>
    </w:p>
    <w:p w:rsidR="00033B7E" w:rsidRPr="007B6E69" w:rsidRDefault="00033B7E" w:rsidP="00A738BE">
      <w:pPr>
        <w:pStyle w:val="Heading3"/>
        <w:rPr>
          <w:lang w:val="en-AU"/>
        </w:rPr>
      </w:pPr>
      <w:bookmarkStart w:id="21" w:name="_Toc138065688"/>
      <w:r w:rsidRPr="007B6E69">
        <w:rPr>
          <w:lang w:val="en-AU"/>
        </w:rPr>
        <w:t>Vehicle width</w:t>
      </w:r>
      <w:bookmarkEnd w:id="21"/>
    </w:p>
    <w:p w:rsidR="00033B7E" w:rsidRPr="007B6E69" w:rsidRDefault="00033B7E" w:rsidP="00033B7E">
      <w:r w:rsidRPr="007B6E69">
        <w:t>There is no one globally accepted vehicle width limit, nor any international (UN) vehicle regulation covering vehicle width. Instead, there are various (and differing) regional and national requirements that apply for vehicle width, including in Australia and in other countries from which Australia imports heavy freight vehicles. The reason for a vehicle width limit is to ensure vehicles can travel safely on the road network, without colliding with other vehicles (including vehicles travelling in the same or opposite directions), vulnerable road users (e.g. pedestrians, bicyclists etc.) in close-proximity to the vehicle, or roadside infrastructure.</w:t>
      </w:r>
    </w:p>
    <w:p w:rsidR="00033B7E" w:rsidRPr="007B6E69" w:rsidRDefault="00033B7E" w:rsidP="00033B7E">
      <w:r w:rsidRPr="007B6E69">
        <w:t xml:space="preserve">In Japan, vehicle width is limited to </w:t>
      </w:r>
      <w:r w:rsidR="00B9347B">
        <w:t>2.50</w:t>
      </w:r>
      <w:r w:rsidR="008E4C72">
        <w:t> </w:t>
      </w:r>
      <w:r w:rsidRPr="007B6E69">
        <w:t>m. In the European Union (EU) vehicle width is allowed to be up to 2.55</w:t>
      </w:r>
      <w:r w:rsidR="008E4C72">
        <w:t> </w:t>
      </w:r>
      <w:r w:rsidRPr="007B6E69">
        <w:t xml:space="preserve">m for all vehicles, and up to </w:t>
      </w:r>
      <w:r w:rsidR="00B9347B">
        <w:t>2.60</w:t>
      </w:r>
      <w:r w:rsidRPr="007B6E69">
        <w:t xml:space="preserve"> m for goods vehicles </w:t>
      </w:r>
      <w:r w:rsidR="00F70CA8" w:rsidRPr="007B6E69">
        <w:t xml:space="preserve">and trailers </w:t>
      </w:r>
      <w:r w:rsidRPr="007B6E69">
        <w:t>with refrigerated bodywork (with insulated walls of at least 45</w:t>
      </w:r>
      <w:r w:rsidR="00F70CA8" w:rsidRPr="007B6E69">
        <w:t> </w:t>
      </w:r>
      <w:r w:rsidRPr="007B6E69">
        <w:t xml:space="preserve">mm thick) (EU, 2019). This was increased from a </w:t>
      </w:r>
      <w:r w:rsidR="00B9347B">
        <w:t>2.50</w:t>
      </w:r>
      <w:r w:rsidR="008E4C72">
        <w:t> </w:t>
      </w:r>
      <w:r w:rsidRPr="007B6E69">
        <w:t xml:space="preserve">m limit for all vehicles in </w:t>
      </w:r>
      <w:r w:rsidR="008C26B6">
        <w:t>1996/97</w:t>
      </w:r>
      <w:r w:rsidRPr="007B6E69">
        <w:t xml:space="preserve">. In the United States (US), vehicles are allowed to be up to </w:t>
      </w:r>
      <w:r w:rsidR="00B9347B">
        <w:t>2.60</w:t>
      </w:r>
      <w:r w:rsidR="008E4C72">
        <w:t> </w:t>
      </w:r>
      <w:r w:rsidRPr="007B6E69">
        <w:t>m wide (US Government, 2020).</w:t>
      </w:r>
    </w:p>
    <w:p w:rsidR="00033B7E" w:rsidRPr="007B6E69" w:rsidRDefault="00033B7E" w:rsidP="00033B7E">
      <w:r w:rsidRPr="007B6E69">
        <w:t xml:space="preserve">In Australia, vehicle width is limited within the ADRs (and through in-service vehicle regulations) to </w:t>
      </w:r>
      <w:r w:rsidR="00B9347B">
        <w:t>2.50</w:t>
      </w:r>
      <w:r w:rsidR="008E4C72">
        <w:t> </w:t>
      </w:r>
      <w:r w:rsidRPr="007B6E69">
        <w:t>m (</w:t>
      </w:r>
      <w:r w:rsidR="00FE21EA">
        <w:t>Commonwealth of Australia</w:t>
      </w:r>
      <w:r w:rsidRPr="007B6E69">
        <w:t>, 2016a), except for non-standard vehicles, subject to conditions including limited network access under permit and/or notice arrangements. This means that vehicles (including components such as axles) and plant equipment (such as cranes) mounted on heavy vehicles have to be made slightly (2-4</w:t>
      </w:r>
      <w:r w:rsidR="00803A6C">
        <w:t>%</w:t>
      </w:r>
      <w:r w:rsidRPr="007B6E69">
        <w:t xml:space="preserve">) narrower than for vehicles designed to EU and/or US requirements. This adds costs and slows the development of </w:t>
      </w:r>
      <w:r w:rsidR="00F70CA8" w:rsidRPr="007B6E69">
        <w:t xml:space="preserve">some </w:t>
      </w:r>
      <w:r w:rsidRPr="007B6E69">
        <w:t xml:space="preserve">new models for the Australian market. Further, it restricts the space available for manufacturers to fit safety and/or emissions control systems, which can make it more difficult and </w:t>
      </w:r>
      <w:r w:rsidR="00F82C1C">
        <w:t xml:space="preserve">costlier </w:t>
      </w:r>
      <w:r w:rsidRPr="007B6E69">
        <w:t xml:space="preserve">to supply </w:t>
      </w:r>
      <w:r w:rsidR="000248F9">
        <w:t xml:space="preserve">some </w:t>
      </w:r>
      <w:r w:rsidRPr="007B6E69">
        <w:t>safer and cleaner models in Australia.</w:t>
      </w:r>
      <w:r w:rsidR="00044A90">
        <w:t xml:space="preserve"> These added costs increase freight costs for Australian businesses and the end consumers of the products transported by these vehicles.</w:t>
      </w:r>
    </w:p>
    <w:p w:rsidR="00033B7E" w:rsidRPr="007B6E69" w:rsidRDefault="00033B7E" w:rsidP="000248F9">
      <w:r w:rsidRPr="007B6E69">
        <w:t>Vehicles based on EU or US market designs (including Australian made trucks) currently make up around 60</w:t>
      </w:r>
      <w:r w:rsidR="00803A6C">
        <w:t xml:space="preserve">% </w:t>
      </w:r>
      <w:r w:rsidRPr="007B6E69">
        <w:t>of new heavy trucks (over 12 tonnes GVM) sold in Australia</w:t>
      </w:r>
      <w:r w:rsidR="00F82C1C">
        <w:t>,</w:t>
      </w:r>
      <w:r w:rsidRPr="007B6E69">
        <w:t xml:space="preserve"> and the cost to redesign vehicles for the Australian market has been estimated at $15-30 million per year (</w:t>
      </w:r>
      <w:r w:rsidR="00FE21EA">
        <w:t>Commonwealth of Australia</w:t>
      </w:r>
      <w:r w:rsidRPr="007B6E69">
        <w:t>, 2018a). There are further costs in lost productivity through non-standardised load sizes and the necessary reduction of wall thickness (and so reduced thermal efficiency) of refrigerated bodywork</w:t>
      </w:r>
      <w:r w:rsidR="00EA1E17">
        <w:t xml:space="preserve">. </w:t>
      </w:r>
      <w:r w:rsidR="005300CF">
        <w:t xml:space="preserve">A narrower width limit reduces the space available to fit the standard EU and US size pallets, which can result in some imported products being transferred from these pallets to Australian standard size pallets, which adds costs, including through distribution delays. </w:t>
      </w:r>
      <w:r w:rsidR="00EA1E17">
        <w:t>The thinner insulation used on refrigerated vehicles increases fuel consumption and environmental impacts, including carbon dioxide emissions</w:t>
      </w:r>
      <w:r w:rsidRPr="007B6E69">
        <w:t>.</w:t>
      </w:r>
      <w:r w:rsidR="000248F9">
        <w:t xml:space="preserve"> Costs to transfer products between different size pallets and increased refrigeration costs for refrigerated freight</w:t>
      </w:r>
      <w:r w:rsidR="008F6126">
        <w:t>,</w:t>
      </w:r>
      <w:r w:rsidR="000248F9">
        <w:t xml:space="preserve"> are likely transferred to the end consumers of these products, while environmental costs are </w:t>
      </w:r>
      <w:r w:rsidR="00617C93">
        <w:t>absorbed</w:t>
      </w:r>
      <w:r w:rsidR="000248F9">
        <w:t xml:space="preserve"> by society as a whole.</w:t>
      </w:r>
    </w:p>
    <w:p w:rsidR="00033B7E" w:rsidRPr="007B6E69" w:rsidRDefault="00033B7E" w:rsidP="000248F9">
      <w:pPr>
        <w:keepLines/>
      </w:pPr>
      <w:r w:rsidRPr="007B6E69">
        <w:t xml:space="preserve">In future there are likely to be a number of design changes made to trucks for the EU and US markets which manufacturers will find increasingly difficult (or at least not economically worthwhile) to adapt to fit within the </w:t>
      </w:r>
      <w:r w:rsidR="00B9347B">
        <w:t>2.50</w:t>
      </w:r>
      <w:r w:rsidR="00E35A93">
        <w:t> </w:t>
      </w:r>
      <w:r w:rsidRPr="007B6E69">
        <w:t>m vehicle width limit for the relatively small Australian market. These include the re-design of truck cabs to provide an improved direct field of view for the driver (including to meet upcoming regulatory requirements proposed by the EU) and batteries and/or hydrogen storage systems for electric trucks made to fit a 2.55</w:t>
      </w:r>
      <w:r w:rsidR="00E35A93">
        <w:t> </w:t>
      </w:r>
      <w:r w:rsidRPr="007B6E69">
        <w:t>m (or wider) width limit.</w:t>
      </w:r>
    </w:p>
    <w:p w:rsidR="00033B7E" w:rsidRPr="007B6E69" w:rsidRDefault="00033B7E" w:rsidP="00033B7E">
      <w:r w:rsidRPr="007B6E69">
        <w:t xml:space="preserve">Appendix </w:t>
      </w:r>
      <w:r w:rsidR="003D06DB">
        <w:t>4</w:t>
      </w:r>
      <w:r w:rsidRPr="007B6E69">
        <w:t xml:space="preserve"> includes a detailed summary of the current vehicle width</w:t>
      </w:r>
      <w:r w:rsidR="005D587A">
        <w:t xml:space="preserve"> limits, including </w:t>
      </w:r>
      <w:r w:rsidRPr="007B6E69">
        <w:t>exclusions</w:t>
      </w:r>
      <w:r w:rsidR="005D587A">
        <w:t xml:space="preserve"> and conditions,</w:t>
      </w:r>
      <w:r w:rsidRPr="007B6E69">
        <w:t xml:space="preserve"> in Australia, the EU, Japan, New Zealand, and the US.</w:t>
      </w:r>
    </w:p>
    <w:p w:rsidR="00033B7E" w:rsidRPr="007B6E69" w:rsidRDefault="00033B7E" w:rsidP="00A738BE">
      <w:pPr>
        <w:pStyle w:val="Heading3"/>
        <w:rPr>
          <w:lang w:val="en-AU"/>
        </w:rPr>
      </w:pPr>
      <w:bookmarkStart w:id="22" w:name="_Toc138065689"/>
      <w:r w:rsidRPr="007B6E69">
        <w:rPr>
          <w:lang w:val="en-AU"/>
        </w:rPr>
        <w:t>Devices for indirect vision and monitoring devices to detect other road users</w:t>
      </w:r>
      <w:bookmarkEnd w:id="22"/>
    </w:p>
    <w:p w:rsidR="00033B7E" w:rsidRPr="007B6E69" w:rsidRDefault="00033B7E" w:rsidP="00B564D9">
      <w:r w:rsidRPr="007B6E69">
        <w:t>Similar to the vehicle overall width, there is no one globally accepted set of exclusions from vehicle width and length measurements, including for devices for indirect vision and monitoring devices to detect other road users (e.g. blind spot information systems for the detection of vehicles, bicycles and/or pedestrians). Instead, there are various regional and national requirements that apply throughout the world, including a differing set of exclusions in Australia, the EU, Japan, New Zealand, and the US.</w:t>
      </w:r>
    </w:p>
    <w:p w:rsidR="00033B7E" w:rsidRPr="007B6E69" w:rsidRDefault="00033B7E" w:rsidP="00033B7E">
      <w:r w:rsidRPr="007B6E69">
        <w:t xml:space="preserve">In the EU, all devices for indirect vision (as defined in the UN Regulation No. 46 (UN R46)) are excluded from the measurement of both vehicle width and length (EU, 2019). These include rear view, close-proximity view and front-view classes of devices for indirect vision, which can be conventional mirrors or camera-monitor systems. All devices for indirect vision and the vehicles to which they are fitted must be approved to UN R46, which includes a minimum defined field of view requirement for each class of device (e.g. rear-view, close-proximity view, front-view etc.), together with pendulum impact test requirements for devices mounted less than 2 m from the ground (i.e. those which would be more likely to impact a pedestrian or light vehicle) and protruding more than 100 mm from the side bodywork. </w:t>
      </w:r>
      <w:r w:rsidR="00F82C1C">
        <w:fldChar w:fldCharType="begin"/>
      </w:r>
      <w:r w:rsidR="00F82C1C">
        <w:instrText xml:space="preserve"> REF _Ref109657179 \h </w:instrText>
      </w:r>
      <w:r w:rsidR="00F82C1C">
        <w:fldChar w:fldCharType="separate"/>
      </w:r>
      <w:r w:rsidR="00534814" w:rsidRPr="007B6E69">
        <w:t xml:space="preserve">Figure </w:t>
      </w:r>
      <w:r w:rsidR="00534814">
        <w:rPr>
          <w:noProof/>
        </w:rPr>
        <w:t>1</w:t>
      </w:r>
      <w:r w:rsidR="00F82C1C">
        <w:fldChar w:fldCharType="end"/>
      </w:r>
      <w:r w:rsidRPr="007B6E69">
        <w:t xml:space="preserve"> shows an example of a camera-monitor system for indirect vision. The external camera is much smaller and lighter than a conventional mirror, which helps reduce aerodynamic drag and makes it less likely to impact with or obscure the driver’s view of other vehicles or pedestrians.</w:t>
      </w:r>
    </w:p>
    <w:p w:rsidR="00033B7E" w:rsidRPr="007B6E69" w:rsidRDefault="00A30083" w:rsidP="00BA1C46">
      <w:pPr>
        <w:keepNext/>
      </w:pPr>
      <w:r w:rsidRPr="007B6E69">
        <w:rPr>
          <w:noProof/>
          <w:lang w:eastAsia="en-AU"/>
        </w:rPr>
        <w:drawing>
          <wp:inline distT="0" distB="0" distL="0" distR="0" wp14:anchorId="436EC25B" wp14:editId="0B22FCE5">
            <wp:extent cx="6228000" cy="2345610"/>
            <wp:effectExtent l="0" t="0" r="1905" b="0"/>
            <wp:docPr id="14" name="Picture 14" descr="Images of an internal monitor (left) and external camera (right) of a camera-monitor system for indirect vision."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uck with Enhanced Devices for Indirect Vision.jpg"/>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228000" cy="2345610"/>
                    </a:xfrm>
                    <a:prstGeom prst="rect">
                      <a:avLst/>
                    </a:prstGeom>
                    <a:ln>
                      <a:noFill/>
                    </a:ln>
                    <a:extLst>
                      <a:ext uri="{53640926-AAD7-44D8-BBD7-CCE9431645EC}">
                        <a14:shadowObscured xmlns:a14="http://schemas.microsoft.com/office/drawing/2010/main"/>
                      </a:ext>
                    </a:extLst>
                  </pic:spPr>
                </pic:pic>
              </a:graphicData>
            </a:graphic>
          </wp:inline>
        </w:drawing>
      </w:r>
    </w:p>
    <w:p w:rsidR="00033B7E" w:rsidRPr="007B6E69" w:rsidRDefault="00A30083" w:rsidP="00A30083">
      <w:pPr>
        <w:pStyle w:val="Caption"/>
      </w:pPr>
      <w:bookmarkStart w:id="23" w:name="_Ref109657179"/>
      <w:bookmarkStart w:id="24" w:name="_Toc135321391"/>
      <w:r w:rsidRPr="007B6E69">
        <w:t xml:space="preserve">Figure </w:t>
      </w:r>
      <w:fldSimple w:instr=" SEQ Figure \* ARABIC ">
        <w:r w:rsidR="00534814">
          <w:rPr>
            <w:noProof/>
          </w:rPr>
          <w:t>1</w:t>
        </w:r>
      </w:fldSimple>
      <w:bookmarkEnd w:id="23"/>
      <w:r w:rsidRPr="007B6E69">
        <w:t>:</w:t>
      </w:r>
      <w:r w:rsidR="00033B7E" w:rsidRPr="007B6E69">
        <w:t xml:space="preserve"> An internal monitor (left) and external camera (right) of a camera-monitor system for indirect vision</w:t>
      </w:r>
      <w:r w:rsidR="00033B7E" w:rsidRPr="007B6E69">
        <w:rPr>
          <w:b w:val="0"/>
        </w:rPr>
        <w:t xml:space="preserve"> </w:t>
      </w:r>
      <w:r w:rsidR="00444A2D" w:rsidRPr="007B6E69">
        <w:br/>
      </w:r>
      <w:r w:rsidR="00033B7E" w:rsidRPr="007B6E69">
        <w:t>(source:</w:t>
      </w:r>
      <w:r w:rsidR="00444A2D" w:rsidRPr="007B6E69">
        <w:t xml:space="preserve"> </w:t>
      </w:r>
      <w:r w:rsidR="00033B7E" w:rsidRPr="007B6E69">
        <w:t>supplied by Daimler Truck and Bus Australia Pacific)</w:t>
      </w:r>
      <w:bookmarkEnd w:id="24"/>
    </w:p>
    <w:p w:rsidR="00033B7E" w:rsidRPr="007B6E69" w:rsidRDefault="00033B7E" w:rsidP="00033B7E">
      <w:r w:rsidRPr="007B6E69">
        <w:t>The EU also allows watching and detection aids (including external elements of blind spot information systems and sensors for automated driving systems) to be excluded from the measurement of the vehicle width and length (EU, 2019), provided:</w:t>
      </w:r>
    </w:p>
    <w:p w:rsidR="00033B7E" w:rsidRPr="007B6E69" w:rsidRDefault="00033B7E" w:rsidP="000F530A">
      <w:pPr>
        <w:pStyle w:val="Bulletdot"/>
      </w:pPr>
      <w:r w:rsidRPr="007B6E69">
        <w:t>•</w:t>
      </w:r>
      <w:r w:rsidRPr="007B6E69">
        <w:tab/>
        <w:t>the total protrusion of the devices added to the width of the vehicle does not exceed 100 mm; and</w:t>
      </w:r>
    </w:p>
    <w:p w:rsidR="00033B7E" w:rsidRPr="007B6E69" w:rsidRDefault="00033B7E" w:rsidP="000F530A">
      <w:pPr>
        <w:pStyle w:val="Bulletdot"/>
      </w:pPr>
      <w:r w:rsidRPr="007B6E69">
        <w:t>•</w:t>
      </w:r>
      <w:r w:rsidRPr="007B6E69">
        <w:tab/>
        <w:t>the total protrusion of the devices added to the length of the vehicle does not exceed 250 mm at the front, and 750 mm in total.</w:t>
      </w:r>
    </w:p>
    <w:p w:rsidR="00432692" w:rsidRPr="007B6E69" w:rsidRDefault="00432692" w:rsidP="00432692">
      <w:r w:rsidRPr="007B6E69">
        <w:t>In the US, rear view mirrors are excluded from the measurement of vehicle width and length. Cameras for indirect vision, other devices for indirect vision, and blind spot information systems can also be excluded (as non-property carrying devices) from the measurement of vehicle width and length, provided these do not extend more than 3 inches (76 mm) beyond each side or the rear of the vehicle (US Government, 2020).</w:t>
      </w:r>
    </w:p>
    <w:p w:rsidR="00033B7E" w:rsidRPr="007B6E69" w:rsidRDefault="00033B7E" w:rsidP="00432692">
      <w:r w:rsidRPr="007B6E69">
        <w:t xml:space="preserve">In Australia, under the ADR for vehicle configuration and dimensions (ADR 43 / </w:t>
      </w:r>
      <w:r w:rsidR="00FE21EA">
        <w:t>Commonwealth of Australia</w:t>
      </w:r>
      <w:r w:rsidRPr="007B6E69">
        <w:t>, 2016) and the ADR definitions (</w:t>
      </w:r>
      <w:r w:rsidR="00FE21EA">
        <w:t>Commonwealth of Australia</w:t>
      </w:r>
      <w:r w:rsidRPr="007B6E69">
        <w:t>, 202</w:t>
      </w:r>
      <w:r w:rsidR="00FB35E5">
        <w:t>1</w:t>
      </w:r>
      <w:r w:rsidR="001073A1">
        <w:t>b</w:t>
      </w:r>
      <w:r w:rsidRPr="007B6E69">
        <w:t xml:space="preserve">), rear vision mirrors (also referred to in the ADRs as rear-view mirrors) are excluded from the measurement of the vehicle width, but not the length. There are no exclusions for other classes of mirrors for indirect vision (e.g. close proximity and front-view mirrors), cameras for indirect vision, or monitoring devices to detect other road users (i.e. detection aids such as blind spot information systems), from the measurement of vehicle width or length. To fit these devices/systems, manufacturers need to make them fit into the already narrower </w:t>
      </w:r>
      <w:r w:rsidR="00B9347B">
        <w:t>2.50</w:t>
      </w:r>
      <w:r w:rsidR="00E35A93">
        <w:t> </w:t>
      </w:r>
      <w:r w:rsidRPr="007B6E69">
        <w:t xml:space="preserve">m vehicle width envelope for Australia, and/or make the cab or load carrying area of some vehicles shorter than would otherwise be permitted. However, as fitment of blind spot information systems, and close proximity and front-view devices for indirect vision is optional under the ADRs, it can be easier for manufacturers not to fit these, including for many vehicles imported from the EU (where they are standard fitment). </w:t>
      </w:r>
      <w:r w:rsidR="00F82C1C">
        <w:fldChar w:fldCharType="begin"/>
      </w:r>
      <w:r w:rsidR="00F82C1C">
        <w:instrText xml:space="preserve"> REF _Ref109657125 \h </w:instrText>
      </w:r>
      <w:r w:rsidR="00F82C1C">
        <w:fldChar w:fldCharType="separate"/>
      </w:r>
      <w:r w:rsidR="00534814" w:rsidRPr="007B6E69">
        <w:t xml:space="preserve">Figure </w:t>
      </w:r>
      <w:r w:rsidR="00534814">
        <w:rPr>
          <w:noProof/>
        </w:rPr>
        <w:t>2</w:t>
      </w:r>
      <w:r w:rsidR="00F82C1C">
        <w:fldChar w:fldCharType="end"/>
      </w:r>
      <w:r w:rsidRPr="007B6E69">
        <w:t xml:space="preserve"> and </w:t>
      </w:r>
      <w:r w:rsidR="00F82C1C">
        <w:fldChar w:fldCharType="begin"/>
      </w:r>
      <w:r w:rsidR="00F82C1C">
        <w:instrText xml:space="preserve"> REF _Ref109657133 \h </w:instrText>
      </w:r>
      <w:r w:rsidR="00F82C1C">
        <w:fldChar w:fldCharType="separate"/>
      </w:r>
      <w:r w:rsidR="00534814" w:rsidRPr="007B6E69">
        <w:t xml:space="preserve">Figure </w:t>
      </w:r>
      <w:r w:rsidR="00534814">
        <w:rPr>
          <w:noProof/>
        </w:rPr>
        <w:t>3</w:t>
      </w:r>
      <w:r w:rsidR="00F82C1C">
        <w:fldChar w:fldCharType="end"/>
      </w:r>
      <w:r w:rsidR="00F82C1C">
        <w:t xml:space="preserve"> </w:t>
      </w:r>
      <w:r w:rsidRPr="007B6E69">
        <w:t>show the minimum additional field of view provided by close proximity (UN Class V) and front-view (UN Class VI) devices for indirect vision, respectively.</w:t>
      </w:r>
      <w:r w:rsidR="00F52AF4">
        <w:t xml:space="preserve"> </w:t>
      </w:r>
      <w:r w:rsidR="00A92263">
        <w:t xml:space="preserve">Lower fitment of </w:t>
      </w:r>
      <w:r w:rsidR="00A92263" w:rsidRPr="007B6E69">
        <w:t>blind spot information systems, and close proximity and front-view devices for indirect vision</w:t>
      </w:r>
      <w:r w:rsidR="00A268F5">
        <w:t>,</w:t>
      </w:r>
      <w:r w:rsidR="00A92263">
        <w:t xml:space="preserve"> increases the risk of death and injury for other road users, especially bicyclists and pedestrians.</w:t>
      </w:r>
    </w:p>
    <w:p w:rsidR="00033B7E" w:rsidRPr="007B6E69" w:rsidRDefault="003D112A" w:rsidP="00BA1C46">
      <w:pPr>
        <w:keepNext/>
      </w:pPr>
      <w:r w:rsidRPr="007B6E69">
        <w:rPr>
          <w:noProof/>
          <w:lang w:eastAsia="en-AU"/>
        </w:rPr>
        <w:drawing>
          <wp:inline distT="0" distB="0" distL="0" distR="0" wp14:anchorId="4EDBE8F0" wp14:editId="65841F8B">
            <wp:extent cx="6190976" cy="2235835"/>
            <wp:effectExtent l="0" t="0" r="635" b="0"/>
            <wp:docPr id="2741" name="Picture 2741" descr="Illustration of the minimum required field of view under UN R46 for a close-proximity view device for indirect vision. "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4476"/>
                    <a:stretch/>
                  </pic:blipFill>
                  <pic:spPr bwMode="auto">
                    <a:xfrm>
                      <a:off x="0" y="0"/>
                      <a:ext cx="6192000" cy="2236205"/>
                    </a:xfrm>
                    <a:prstGeom prst="rect">
                      <a:avLst/>
                    </a:prstGeom>
                    <a:noFill/>
                    <a:ln>
                      <a:noFill/>
                    </a:ln>
                    <a:extLst>
                      <a:ext uri="{53640926-AAD7-44D8-BBD7-CCE9431645EC}">
                        <a14:shadowObscured xmlns:a14="http://schemas.microsoft.com/office/drawing/2010/main"/>
                      </a:ext>
                    </a:extLst>
                  </pic:spPr>
                </pic:pic>
              </a:graphicData>
            </a:graphic>
          </wp:inline>
        </w:drawing>
      </w:r>
    </w:p>
    <w:p w:rsidR="00033B7E" w:rsidRPr="007B6E69" w:rsidRDefault="00444A2D" w:rsidP="00444A2D">
      <w:pPr>
        <w:pStyle w:val="Caption"/>
      </w:pPr>
      <w:bookmarkStart w:id="25" w:name="_Ref109657125"/>
      <w:bookmarkStart w:id="26" w:name="_Toc135321392"/>
      <w:r w:rsidRPr="007B6E69">
        <w:t xml:space="preserve">Figure </w:t>
      </w:r>
      <w:fldSimple w:instr=" SEQ Figure \* ARABIC ">
        <w:r w:rsidR="00534814">
          <w:rPr>
            <w:noProof/>
          </w:rPr>
          <w:t>2</w:t>
        </w:r>
      </w:fldSimple>
      <w:bookmarkEnd w:id="25"/>
      <w:r w:rsidRPr="007B6E69">
        <w:t xml:space="preserve">: </w:t>
      </w:r>
      <w:r w:rsidR="00033B7E" w:rsidRPr="007B6E69">
        <w:t>Minimum required field of view under UN R46 for a close-proximity view (Class V) device for indirect vision</w:t>
      </w:r>
      <w:r w:rsidRPr="007B6E69">
        <w:br/>
      </w:r>
      <w:r w:rsidR="00033B7E" w:rsidRPr="007B6E69">
        <w:t>(source: adapted (for right-hand-drive) from UN R46)</w:t>
      </w:r>
      <w:bookmarkEnd w:id="26"/>
    </w:p>
    <w:p w:rsidR="00033B7E" w:rsidRPr="007B6E69" w:rsidRDefault="003D112A" w:rsidP="00BA1C46">
      <w:pPr>
        <w:keepNext/>
      </w:pPr>
      <w:r w:rsidRPr="007B6E69">
        <w:rPr>
          <w:noProof/>
          <w:lang w:eastAsia="en-AU"/>
        </w:rPr>
        <w:drawing>
          <wp:inline distT="0" distB="0" distL="0" distR="0" wp14:anchorId="52E531B5" wp14:editId="3DB0D4E8">
            <wp:extent cx="6188710" cy="1971675"/>
            <wp:effectExtent l="0" t="0" r="2540" b="9525"/>
            <wp:docPr id="2740" name="Picture 2740" descr="Illustration of minimum required field of view under UN R46 for a front-view device for indirect vision."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t="12618" b="3116"/>
                    <a:stretch/>
                  </pic:blipFill>
                  <pic:spPr bwMode="auto">
                    <a:xfrm>
                      <a:off x="0" y="0"/>
                      <a:ext cx="6192000" cy="1972723"/>
                    </a:xfrm>
                    <a:prstGeom prst="rect">
                      <a:avLst/>
                    </a:prstGeom>
                    <a:noFill/>
                    <a:ln>
                      <a:noFill/>
                    </a:ln>
                    <a:extLst>
                      <a:ext uri="{53640926-AAD7-44D8-BBD7-CCE9431645EC}">
                        <a14:shadowObscured xmlns:a14="http://schemas.microsoft.com/office/drawing/2010/main"/>
                      </a:ext>
                    </a:extLst>
                  </pic:spPr>
                </pic:pic>
              </a:graphicData>
            </a:graphic>
          </wp:inline>
        </w:drawing>
      </w:r>
    </w:p>
    <w:p w:rsidR="00033B7E" w:rsidRPr="007B6E69" w:rsidRDefault="003D112A" w:rsidP="003D112A">
      <w:pPr>
        <w:pStyle w:val="Caption"/>
        <w:rPr>
          <w:b w:val="0"/>
        </w:rPr>
      </w:pPr>
      <w:bookmarkStart w:id="27" w:name="_Ref109657133"/>
      <w:bookmarkStart w:id="28" w:name="_Toc135321393"/>
      <w:r w:rsidRPr="007B6E69">
        <w:t xml:space="preserve">Figure </w:t>
      </w:r>
      <w:fldSimple w:instr=" SEQ Figure \* ARABIC ">
        <w:r w:rsidR="00534814">
          <w:rPr>
            <w:noProof/>
          </w:rPr>
          <w:t>3</w:t>
        </w:r>
      </w:fldSimple>
      <w:bookmarkEnd w:id="27"/>
      <w:r w:rsidRPr="007B6E69">
        <w:t xml:space="preserve">: </w:t>
      </w:r>
      <w:r w:rsidR="00033B7E" w:rsidRPr="007B6E69">
        <w:t xml:space="preserve">Minimum required field of view under UN R46 for a front-view (Class VI) device for indirect vision </w:t>
      </w:r>
      <w:r w:rsidRPr="007B6E69">
        <w:br/>
      </w:r>
      <w:r w:rsidR="00033B7E" w:rsidRPr="007B6E69">
        <w:t>(source: adapted (for right-hand-drive) from UN R46)</w:t>
      </w:r>
      <w:bookmarkEnd w:id="28"/>
    </w:p>
    <w:p w:rsidR="00B31B57" w:rsidRPr="007B6E69" w:rsidRDefault="002E23ED" w:rsidP="00B31B57">
      <w:pPr>
        <w:pStyle w:val="Heading2"/>
        <w:ind w:left="0" w:firstLine="0"/>
        <w:rPr>
          <w:lang w:val="en-AU"/>
        </w:rPr>
      </w:pPr>
      <w:bookmarkStart w:id="29" w:name="_Toc138065690"/>
      <w:r>
        <w:rPr>
          <w:lang w:val="en-AU"/>
        </w:rPr>
        <w:t xml:space="preserve">Slow </w:t>
      </w:r>
      <w:r w:rsidR="00732533">
        <w:rPr>
          <w:lang w:val="en-AU"/>
        </w:rPr>
        <w:t>introduction</w:t>
      </w:r>
      <w:r w:rsidR="00B31B57">
        <w:rPr>
          <w:lang w:val="en-AU"/>
        </w:rPr>
        <w:t xml:space="preserve"> of safety systems for </w:t>
      </w:r>
      <w:r w:rsidR="008C56E5">
        <w:rPr>
          <w:lang w:val="en-AU"/>
        </w:rPr>
        <w:t xml:space="preserve">heavy </w:t>
      </w:r>
      <w:r w:rsidR="00B31B57">
        <w:rPr>
          <w:lang w:val="en-AU"/>
        </w:rPr>
        <w:t>freight vehicles</w:t>
      </w:r>
      <w:bookmarkEnd w:id="29"/>
    </w:p>
    <w:p w:rsidR="00B31B57" w:rsidRDefault="00B31B57" w:rsidP="00B31B57">
      <w:r>
        <w:t xml:space="preserve">In Australia, the introduction of safety systems or features through </w:t>
      </w:r>
      <w:r w:rsidR="002F3BF4">
        <w:t xml:space="preserve">the </w:t>
      </w:r>
      <w:r>
        <w:t xml:space="preserve">market alone is significantly slower for heavy </w:t>
      </w:r>
      <w:r w:rsidR="001D08B7">
        <w:t xml:space="preserve">goods </w:t>
      </w:r>
      <w:r>
        <w:t xml:space="preserve">vehicles </w:t>
      </w:r>
      <w:r w:rsidR="001D08B7">
        <w:t xml:space="preserve">and trailers, </w:t>
      </w:r>
      <w:r>
        <w:t xml:space="preserve">than it is for light vehicles. A major reason for this is the nature of construction of heavy vehicles. In comparison to light vehicles (for example cars and Sports Utility Vehicles), heavy vehicles are </w:t>
      </w:r>
      <w:r w:rsidR="00AE7680">
        <w:t xml:space="preserve">much </w:t>
      </w:r>
      <w:r>
        <w:t>more likely to be built to order, with engines, drivetrains, suspensions, brakes, axles and safety systems individually specified by the purchasing business. Heavy vehicles constitute a substantial financial investment and are generally configured for business use. Purchasers may in some instances focus primarily on maximising economic productivity rather than on the safety of other road users.</w:t>
      </w:r>
    </w:p>
    <w:p w:rsidR="00B31B57" w:rsidRDefault="00B31B57" w:rsidP="00B31B57">
      <w:r>
        <w:t xml:space="preserve">A significant number of heavy vehicles are </w:t>
      </w:r>
      <w:r w:rsidR="00AE7680">
        <w:t xml:space="preserve">also </w:t>
      </w:r>
      <w:r>
        <w:t xml:space="preserve">built in Australia </w:t>
      </w:r>
      <w:r w:rsidR="001D08B7">
        <w:t xml:space="preserve">and/or </w:t>
      </w:r>
      <w:r>
        <w:t xml:space="preserve">specifically for the Australian market. </w:t>
      </w:r>
      <w:r w:rsidRPr="00634656">
        <w:t xml:space="preserve">For example, </w:t>
      </w:r>
      <w:r w:rsidR="00694A84">
        <w:t xml:space="preserve">35.1% </w:t>
      </w:r>
      <w:r>
        <w:t xml:space="preserve">of </w:t>
      </w:r>
      <w:r w:rsidR="00694A84">
        <w:t xml:space="preserve">all </w:t>
      </w:r>
      <w:r>
        <w:t xml:space="preserve">heavy trucks </w:t>
      </w:r>
      <w:r w:rsidR="00694A84">
        <w:t xml:space="preserve">sold in Australia in 2020 were </w:t>
      </w:r>
      <w:r>
        <w:t>made locally</w:t>
      </w:r>
      <w:r w:rsidRPr="00634656">
        <w:t xml:space="preserve"> (see </w:t>
      </w:r>
      <w:r>
        <w:fldChar w:fldCharType="begin"/>
      </w:r>
      <w:r>
        <w:instrText xml:space="preserve"> REF _Ref56613593 \h </w:instrText>
      </w:r>
      <w:r>
        <w:fldChar w:fldCharType="separate"/>
      </w:r>
      <w:r w:rsidR="00534814">
        <w:t xml:space="preserve">Figure </w:t>
      </w:r>
      <w:r w:rsidR="00534814">
        <w:rPr>
          <w:noProof/>
        </w:rPr>
        <w:t>4</w:t>
      </w:r>
      <w:r>
        <w:fldChar w:fldCharType="end"/>
      </w:r>
      <w:r>
        <w:t xml:space="preserve"> below). </w:t>
      </w:r>
      <w:r w:rsidR="00694A84">
        <w:t>Further, many heavy vehicles (including imported vehicles) are supplied as cab-chassis vehicles to be fitted with bodywork (e.g. trays</w:t>
      </w:r>
      <w:r w:rsidR="001D08B7">
        <w:t>, plant, equipment etc.</w:t>
      </w:r>
      <w:r w:rsidR="00694A84">
        <w:t xml:space="preserve">) by domestic body makers/builders. </w:t>
      </w:r>
      <w:r w:rsidRPr="00634656">
        <w:t xml:space="preserve">This means that the regulations of other countries will have a lesser influence on the makeup of the Australian heavy vehicle fleet. In the case of heavy trailers, </w:t>
      </w:r>
      <w:r>
        <w:t xml:space="preserve">of which 90-95% are </w:t>
      </w:r>
      <w:r w:rsidRPr="00634656">
        <w:t xml:space="preserve">designed and built in Australia, </w:t>
      </w:r>
      <w:r w:rsidR="00694A84">
        <w:t>regulations of other countries have</w:t>
      </w:r>
      <w:r w:rsidRPr="00634656">
        <w:t xml:space="preserve"> even less influence on the vehi</w:t>
      </w:r>
      <w:r w:rsidR="0016354D">
        <w:t>cles that end up in the fleet.</w:t>
      </w:r>
    </w:p>
    <w:p w:rsidR="00B31B57" w:rsidRDefault="00B31B57" w:rsidP="00B31B57">
      <w:pPr>
        <w:keepNext/>
      </w:pPr>
      <w:r>
        <w:rPr>
          <w:noProof/>
          <w:lang w:eastAsia="en-AU"/>
        </w:rPr>
        <w:drawing>
          <wp:inline distT="0" distB="0" distL="0" distR="0" wp14:anchorId="579B7E9F" wp14:editId="0355843D">
            <wp:extent cx="6228000" cy="2362169"/>
            <wp:effectExtent l="0" t="0" r="1905" b="635"/>
            <wp:docPr id="6" name="Picture 6" descr="Pie charts of medium and heavy truck sales by country/region of manufacture."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eavy Truck Sales in Australia by Origin.jpg"/>
                    <pic:cNvPicPr/>
                  </pic:nvPicPr>
                  <pic:blipFill>
                    <a:blip r:embed="rId33">
                      <a:extLst>
                        <a:ext uri="{28A0092B-C50C-407E-A947-70E740481C1C}">
                          <a14:useLocalDpi xmlns:a14="http://schemas.microsoft.com/office/drawing/2010/main" val="0"/>
                        </a:ext>
                      </a:extLst>
                    </a:blip>
                    <a:stretch>
                      <a:fillRect/>
                    </a:stretch>
                  </pic:blipFill>
                  <pic:spPr>
                    <a:xfrm>
                      <a:off x="0" y="0"/>
                      <a:ext cx="6228000" cy="2362169"/>
                    </a:xfrm>
                    <a:prstGeom prst="rect">
                      <a:avLst/>
                    </a:prstGeom>
                  </pic:spPr>
                </pic:pic>
              </a:graphicData>
            </a:graphic>
          </wp:inline>
        </w:drawing>
      </w:r>
    </w:p>
    <w:p w:rsidR="00B31B57" w:rsidRDefault="00B31B57" w:rsidP="00B31B57">
      <w:pPr>
        <w:pStyle w:val="Caption"/>
      </w:pPr>
      <w:bookmarkStart w:id="30" w:name="_Ref56613593"/>
      <w:bookmarkStart w:id="31" w:name="_Toc135321394"/>
      <w:r>
        <w:t xml:space="preserve">Figure </w:t>
      </w:r>
      <w:fldSimple w:instr=" SEQ Figure \* ARABIC ">
        <w:r w:rsidR="00534814">
          <w:rPr>
            <w:noProof/>
          </w:rPr>
          <w:t>4</w:t>
        </w:r>
      </w:fldSimple>
      <w:bookmarkEnd w:id="30"/>
      <w:r>
        <w:t>: Truck sales in Australia (2020) by c</w:t>
      </w:r>
      <w:r w:rsidRPr="003A72A1">
        <w:t>ountry/</w:t>
      </w:r>
      <w:r>
        <w:t>region of m</w:t>
      </w:r>
      <w:r w:rsidRPr="003A72A1">
        <w:t xml:space="preserve">anufacture (source: </w:t>
      </w:r>
      <w:r>
        <w:t xml:space="preserve">supplied by the </w:t>
      </w:r>
      <w:r w:rsidRPr="003A72A1">
        <w:t>T</w:t>
      </w:r>
      <w:r>
        <w:t>ruck Industry Council</w:t>
      </w:r>
      <w:r w:rsidRPr="003A72A1">
        <w:t>)</w:t>
      </w:r>
      <w:bookmarkEnd w:id="31"/>
    </w:p>
    <w:p w:rsidR="005149E2" w:rsidRPr="005149E2" w:rsidRDefault="005149E2" w:rsidP="005149E2"/>
    <w:p w:rsidR="00B31B57" w:rsidRPr="00B31B57" w:rsidRDefault="00B31B57" w:rsidP="00B31B57">
      <w:pPr>
        <w:sectPr w:rsidR="00B31B57" w:rsidRPr="00B31B57" w:rsidSect="00D87AD8">
          <w:pgSz w:w="11906" w:h="16838" w:code="9"/>
          <w:pgMar w:top="1021" w:right="1021" w:bottom="1021" w:left="1021" w:header="510" w:footer="567" w:gutter="0"/>
          <w:cols w:space="708"/>
          <w:docGrid w:linePitch="360"/>
        </w:sectPr>
      </w:pPr>
    </w:p>
    <w:p w:rsidR="00044540" w:rsidRPr="007B6E69" w:rsidRDefault="00044540" w:rsidP="00E13D3A">
      <w:pPr>
        <w:pStyle w:val="Heading1"/>
      </w:pPr>
      <w:bookmarkStart w:id="32" w:name="_Toc111576722"/>
      <w:bookmarkStart w:id="33" w:name="_Toc138065691"/>
      <w:r w:rsidRPr="007B6E69">
        <w:t xml:space="preserve">Chapter </w:t>
      </w:r>
      <w:r w:rsidR="005C72E8" w:rsidRPr="007B6E69">
        <w:t>3</w:t>
      </w:r>
      <w:r w:rsidRPr="007B6E69">
        <w:t>: Why is government action needed?</w:t>
      </w:r>
      <w:bookmarkEnd w:id="32"/>
      <w:bookmarkEnd w:id="33"/>
    </w:p>
    <w:p w:rsidR="0016354D" w:rsidRDefault="004E115A" w:rsidP="00732533">
      <w:r w:rsidRPr="007B6E69">
        <w:t xml:space="preserve">Government action may be needed where </w:t>
      </w:r>
      <w:r w:rsidR="00D93806" w:rsidRPr="007B6E69">
        <w:t xml:space="preserve">the market </w:t>
      </w:r>
      <w:r w:rsidR="00D93806">
        <w:t xml:space="preserve">and/or </w:t>
      </w:r>
      <w:r w:rsidR="00FD7E11" w:rsidRPr="007B6E69">
        <w:t>existing government policies</w:t>
      </w:r>
      <w:r w:rsidR="002F3806">
        <w:t xml:space="preserve"> or </w:t>
      </w:r>
      <w:r w:rsidR="00FD7E11" w:rsidRPr="007B6E69">
        <w:t>regulations</w:t>
      </w:r>
      <w:r w:rsidR="00D93806">
        <w:t xml:space="preserve"> </w:t>
      </w:r>
      <w:r w:rsidRPr="007B6E69">
        <w:t xml:space="preserve">fail to </w:t>
      </w:r>
      <w:r w:rsidR="00F268D1" w:rsidRPr="007B6E69">
        <w:t>deliver</w:t>
      </w:r>
      <w:r w:rsidRPr="007B6E69">
        <w:t xml:space="preserve"> the most efficient and effective outcome(s).</w:t>
      </w:r>
      <w:r w:rsidR="00AF21C4" w:rsidRPr="007B6E69">
        <w:t xml:space="preserve"> </w:t>
      </w:r>
      <w:r w:rsidR="00D93806">
        <w:t xml:space="preserve">This </w:t>
      </w:r>
      <w:r w:rsidR="00C45600">
        <w:t>IA</w:t>
      </w:r>
      <w:r w:rsidR="00D93806">
        <w:t xml:space="preserve"> focusses on addressing two problems identified as limiting the </w:t>
      </w:r>
      <w:r w:rsidR="002F3806">
        <w:br/>
      </w:r>
      <w:r w:rsidR="00D93806">
        <w:t xml:space="preserve">take-up of safer heavy vehicles in the Australian market. The first problem is that there are </w:t>
      </w:r>
      <w:r w:rsidR="00E3235F" w:rsidRPr="007B6E69">
        <w:t xml:space="preserve">some requirements in the </w:t>
      </w:r>
      <w:r w:rsidR="00C10B15">
        <w:t xml:space="preserve">current </w:t>
      </w:r>
      <w:r w:rsidR="00E3235F" w:rsidRPr="007B6E69">
        <w:t>ADRs</w:t>
      </w:r>
      <w:r w:rsidR="00667FE5" w:rsidRPr="007B6E69">
        <w:t xml:space="preserve"> </w:t>
      </w:r>
      <w:r w:rsidR="00D93806">
        <w:t xml:space="preserve">that </w:t>
      </w:r>
      <w:r w:rsidR="00667FE5" w:rsidRPr="007B6E69">
        <w:t xml:space="preserve">can make it more difficult and </w:t>
      </w:r>
      <w:r w:rsidR="00800B2A" w:rsidRPr="007B6E69">
        <w:t>costlier</w:t>
      </w:r>
      <w:r w:rsidR="00667FE5" w:rsidRPr="007B6E69">
        <w:t xml:space="preserve"> for manufacturers to supply </w:t>
      </w:r>
      <w:r w:rsidR="00E3235F" w:rsidRPr="007B6E69">
        <w:t xml:space="preserve">heavy </w:t>
      </w:r>
      <w:r w:rsidR="00667FE5" w:rsidRPr="007B6E69">
        <w:t xml:space="preserve">vehicles fitted with </w:t>
      </w:r>
      <w:r w:rsidR="00732533">
        <w:t>the latest</w:t>
      </w:r>
      <w:r w:rsidR="00667FE5" w:rsidRPr="007B6E69">
        <w:t xml:space="preserve"> safety </w:t>
      </w:r>
      <w:r w:rsidR="002F3806">
        <w:t>systems or</w:t>
      </w:r>
      <w:r w:rsidR="00732533">
        <w:t xml:space="preserve"> </w:t>
      </w:r>
      <w:r w:rsidR="008C56E5">
        <w:t>features</w:t>
      </w:r>
      <w:r w:rsidR="00732533">
        <w:t xml:space="preserve"> (as well as </w:t>
      </w:r>
      <w:r w:rsidR="00667FE5" w:rsidRPr="007B6E69">
        <w:t>cleaner engines</w:t>
      </w:r>
      <w:r w:rsidR="00E3235F" w:rsidRPr="007B6E69">
        <w:t xml:space="preserve"> and/or more productive design features</w:t>
      </w:r>
      <w:r w:rsidR="00732533">
        <w:t>)</w:t>
      </w:r>
      <w:r w:rsidR="00E3235F" w:rsidRPr="007B6E69">
        <w:t>.</w:t>
      </w:r>
      <w:r w:rsidR="00762872" w:rsidRPr="007B6E69">
        <w:t xml:space="preserve"> </w:t>
      </w:r>
      <w:r w:rsidR="00CE6DB9" w:rsidRPr="007B6E69">
        <w:t>The most significant of these is</w:t>
      </w:r>
      <w:r w:rsidR="007C7262" w:rsidRPr="007B6E69">
        <w:t xml:space="preserve"> t</w:t>
      </w:r>
      <w:r w:rsidR="00762872" w:rsidRPr="007B6E69">
        <w:t xml:space="preserve">he current vehicle width limit of </w:t>
      </w:r>
      <w:r w:rsidR="00B9347B">
        <w:t>2.50</w:t>
      </w:r>
      <w:r w:rsidR="009F70C3">
        <w:t xml:space="preserve"> </w:t>
      </w:r>
      <w:r w:rsidR="00762872" w:rsidRPr="007B6E69">
        <w:t>m</w:t>
      </w:r>
      <w:r w:rsidR="00CE6DB9" w:rsidRPr="007B6E69">
        <w:t>, which</w:t>
      </w:r>
      <w:r w:rsidR="00762872" w:rsidRPr="007B6E69">
        <w:t xml:space="preserve"> adds costs and slows development of </w:t>
      </w:r>
      <w:r w:rsidR="00F70CA8" w:rsidRPr="007B6E69">
        <w:t xml:space="preserve">some models of heavy </w:t>
      </w:r>
      <w:r w:rsidR="00CE6DB9" w:rsidRPr="007B6E69">
        <w:t>vehicles</w:t>
      </w:r>
      <w:r w:rsidR="00F70CA8" w:rsidRPr="007B6E69">
        <w:t xml:space="preserve"> for the Australian market</w:t>
      </w:r>
      <w:r w:rsidR="00800B2A" w:rsidRPr="007B6E69">
        <w:t xml:space="preserve">, </w:t>
      </w:r>
      <w:r w:rsidR="003176CC" w:rsidRPr="007B6E69">
        <w:t>while also</w:t>
      </w:r>
      <w:r w:rsidR="00800B2A" w:rsidRPr="007B6E69">
        <w:t xml:space="preserve"> </w:t>
      </w:r>
      <w:r w:rsidR="00CE6DB9" w:rsidRPr="007B6E69">
        <w:t>limit</w:t>
      </w:r>
      <w:r w:rsidR="003176CC" w:rsidRPr="007B6E69">
        <w:t xml:space="preserve">ing </w:t>
      </w:r>
      <w:r w:rsidR="007C7262" w:rsidRPr="007B6E69">
        <w:t xml:space="preserve">productivity </w:t>
      </w:r>
      <w:r w:rsidR="00800B2A" w:rsidRPr="007B6E69">
        <w:t xml:space="preserve">for some sectors of the </w:t>
      </w:r>
      <w:r w:rsidR="004C40D8">
        <w:t xml:space="preserve">road </w:t>
      </w:r>
      <w:r w:rsidR="00B94B4E">
        <w:t>freight</w:t>
      </w:r>
      <w:r w:rsidR="00800B2A" w:rsidRPr="007B6E69">
        <w:t xml:space="preserve"> industry </w:t>
      </w:r>
      <w:r w:rsidR="00704593">
        <w:br/>
      </w:r>
      <w:r w:rsidR="00CE6DB9" w:rsidRPr="007B6E69">
        <w:t xml:space="preserve">(e.g. </w:t>
      </w:r>
      <w:r w:rsidR="007C7262" w:rsidRPr="007B6E69">
        <w:t>through non-standardised load sizes, reduced thermal efficiency of refrigerated bodywork</w:t>
      </w:r>
      <w:r w:rsidR="00D27C4C">
        <w:t xml:space="preserve"> etc.</w:t>
      </w:r>
      <w:r w:rsidR="00CE6DB9" w:rsidRPr="007B6E69">
        <w:t>)</w:t>
      </w:r>
      <w:r w:rsidR="007C7262" w:rsidRPr="007B6E69">
        <w:t>.</w:t>
      </w:r>
      <w:r w:rsidR="00B364B9">
        <w:t xml:space="preserve"> </w:t>
      </w:r>
      <w:r w:rsidR="00B364B9" w:rsidRPr="007B6E69">
        <w:t xml:space="preserve">The supply of safer heavy vehicles is further restricted by the absence </w:t>
      </w:r>
      <w:r w:rsidR="00B364B9">
        <w:t xml:space="preserve">in the ADRs </w:t>
      </w:r>
      <w:r w:rsidR="00B364B9" w:rsidRPr="007B6E69">
        <w:t>of exclusions for various types of devices for indirect vision (i.e. mirrors and cameras) and blind spot information systems (e.g. for the detection of vehicles, bicyclists and/or pedestrians) from the measurement of vehicle width and/or length.</w:t>
      </w:r>
      <w:r w:rsidR="0016354D">
        <w:t xml:space="preserve"> </w:t>
      </w:r>
      <w:r w:rsidR="00D93806">
        <w:t xml:space="preserve">The second problem is </w:t>
      </w:r>
      <w:r w:rsidR="002F3806">
        <w:t>the</w:t>
      </w:r>
      <w:r w:rsidR="00732533">
        <w:t xml:space="preserve"> </w:t>
      </w:r>
      <w:r w:rsidR="002F3806">
        <w:t xml:space="preserve">relatively </w:t>
      </w:r>
      <w:r w:rsidR="00732533">
        <w:t xml:space="preserve">slow introduction of safety systems </w:t>
      </w:r>
      <w:r w:rsidR="002F3806">
        <w:t xml:space="preserve">or </w:t>
      </w:r>
      <w:r w:rsidR="008C56E5">
        <w:t>features</w:t>
      </w:r>
      <w:r w:rsidR="002F3806">
        <w:t xml:space="preserve"> </w:t>
      </w:r>
      <w:r w:rsidR="00732533">
        <w:t xml:space="preserve">for heavy </w:t>
      </w:r>
      <w:r w:rsidR="00712F5A">
        <w:t>goods</w:t>
      </w:r>
      <w:r w:rsidR="00732533">
        <w:t xml:space="preserve"> vehicles</w:t>
      </w:r>
      <w:r w:rsidR="002F3806">
        <w:t xml:space="preserve"> </w:t>
      </w:r>
      <w:r w:rsidR="00712F5A">
        <w:t xml:space="preserve">and trailers </w:t>
      </w:r>
      <w:r w:rsidR="002F3806">
        <w:t>in Australia</w:t>
      </w:r>
      <w:r w:rsidR="00694A84">
        <w:t>, which</w:t>
      </w:r>
      <w:r w:rsidR="00030207">
        <w:t xml:space="preserve"> </w:t>
      </w:r>
      <w:r w:rsidR="0016354D">
        <w:t xml:space="preserve">cannot be </w:t>
      </w:r>
      <w:r w:rsidR="00050051">
        <w:t xml:space="preserve">fully </w:t>
      </w:r>
      <w:r w:rsidR="0016354D">
        <w:t xml:space="preserve">addressed through the removal of regulatory barriers alone, and </w:t>
      </w:r>
      <w:r w:rsidR="0016354D" w:rsidRPr="00634656">
        <w:t xml:space="preserve">will </w:t>
      </w:r>
      <w:r w:rsidR="006D4F83">
        <w:t>persist</w:t>
      </w:r>
      <w:r w:rsidR="0016354D" w:rsidRPr="00634656">
        <w:t xml:space="preserve"> without some sort of market intervention.</w:t>
      </w:r>
      <w:r w:rsidR="00AC0FB3">
        <w:t xml:space="preserve"> </w:t>
      </w:r>
      <w:r w:rsidR="00C22FCA">
        <w:t xml:space="preserve">The overall objective of the government actions considered in this IA is to </w:t>
      </w:r>
      <w:r w:rsidR="006A4731">
        <w:t xml:space="preserve">achieve a better outcome, by </w:t>
      </w:r>
      <w:r w:rsidR="00C22FCA">
        <w:t>increas</w:t>
      </w:r>
      <w:r w:rsidR="006A4731">
        <w:t>ing</w:t>
      </w:r>
      <w:r w:rsidR="00C22FCA">
        <w:t xml:space="preserve"> the take-up of safer freight vehicles through the implementation of policies to address both the problems identified above.</w:t>
      </w:r>
    </w:p>
    <w:p w:rsidR="00C10B15" w:rsidRPr="00A67BEA" w:rsidRDefault="00C10B15" w:rsidP="00B31B57">
      <w:r w:rsidRPr="00C10B15">
        <w:t xml:space="preserve">Vehicle </w:t>
      </w:r>
      <w:r>
        <w:t>dimension</w:t>
      </w:r>
      <w:r w:rsidR="00662BAD">
        <w:t xml:space="preserve">s are regulated in Australia and other countries to </w:t>
      </w:r>
      <w:r w:rsidRPr="00C10B15">
        <w:t xml:space="preserve">ensure vehicles can travel safely on </w:t>
      </w:r>
      <w:r w:rsidR="006E2E0E">
        <w:t xml:space="preserve">the </w:t>
      </w:r>
      <w:r w:rsidRPr="00C10B15">
        <w:t xml:space="preserve">road network, without colliding with other vehicles, vulnerable road users, or roadside infrastructure. Other dimensional and vehicle mass limits exist to manage wear and tear on roads and bridges. </w:t>
      </w:r>
      <w:r w:rsidR="00662BAD">
        <w:t>However, the c</w:t>
      </w:r>
      <w:r w:rsidRPr="00C10B15">
        <w:t xml:space="preserve">urrent vehicle </w:t>
      </w:r>
      <w:r w:rsidR="00662BAD">
        <w:t xml:space="preserve">width limit of </w:t>
      </w:r>
      <w:r w:rsidR="00B9347B">
        <w:t>2.50</w:t>
      </w:r>
      <w:r w:rsidR="00173E70">
        <w:t> </w:t>
      </w:r>
      <w:r w:rsidR="00DB7552">
        <w:t xml:space="preserve">m </w:t>
      </w:r>
      <w:r w:rsidR="00662BAD">
        <w:t>in Australia</w:t>
      </w:r>
      <w:r w:rsidR="00A67BEA">
        <w:t>, which is narrower than both the EU and the US,</w:t>
      </w:r>
      <w:r w:rsidR="00662BAD">
        <w:t xml:space="preserve"> </w:t>
      </w:r>
      <w:r w:rsidR="00A67BEA">
        <w:t>wa</w:t>
      </w:r>
      <w:r w:rsidR="00662BAD">
        <w:t xml:space="preserve">s </w:t>
      </w:r>
      <w:r w:rsidRPr="00C10B15">
        <w:t xml:space="preserve">established when safety technologies and road infrastructure were </w:t>
      </w:r>
      <w:r w:rsidR="00A67BEA">
        <w:t xml:space="preserve">much </w:t>
      </w:r>
      <w:r w:rsidRPr="00C10B15">
        <w:t>less developed.</w:t>
      </w:r>
      <w:r w:rsidR="00A67BEA">
        <w:t xml:space="preserve"> Other overall vehicle dimensional limits and combination limits in Australia, including height and length, are </w:t>
      </w:r>
      <w:r w:rsidR="006E2E0E">
        <w:t xml:space="preserve">generally </w:t>
      </w:r>
      <w:r w:rsidR="00A67BEA">
        <w:t xml:space="preserve">much more favourable for heavy vehicle manufacturers </w:t>
      </w:r>
      <w:r w:rsidR="00DB7552">
        <w:t xml:space="preserve">and operators than those in </w:t>
      </w:r>
      <w:r w:rsidR="006E2E0E">
        <w:t>overseas</w:t>
      </w:r>
      <w:r w:rsidR="00DB7552">
        <w:t xml:space="preserve"> markets.</w:t>
      </w:r>
    </w:p>
    <w:p w:rsidR="00400C38" w:rsidRPr="007B6E69" w:rsidRDefault="00400C38" w:rsidP="00D96A35"/>
    <w:p w:rsidR="00D66300" w:rsidRPr="007B6E69" w:rsidRDefault="00D66300" w:rsidP="00D96A35">
      <w:pPr>
        <w:sectPr w:rsidR="00D66300" w:rsidRPr="007B6E69" w:rsidSect="00D87AD8">
          <w:pgSz w:w="11906" w:h="16838" w:code="9"/>
          <w:pgMar w:top="1021" w:right="1021" w:bottom="1021" w:left="1021" w:header="510" w:footer="567" w:gutter="0"/>
          <w:cols w:space="708"/>
          <w:docGrid w:linePitch="360"/>
        </w:sectPr>
      </w:pPr>
    </w:p>
    <w:p w:rsidR="00044540" w:rsidRPr="007B6E69" w:rsidRDefault="00044540" w:rsidP="00E13D3A">
      <w:pPr>
        <w:pStyle w:val="Heading1"/>
      </w:pPr>
      <w:bookmarkStart w:id="34" w:name="_Toc111576723"/>
      <w:bookmarkStart w:id="35" w:name="_Toc138065692"/>
      <w:r w:rsidRPr="007B6E69">
        <w:t xml:space="preserve">Chapter </w:t>
      </w:r>
      <w:r w:rsidR="005C72E8" w:rsidRPr="007B6E69">
        <w:t>4</w:t>
      </w:r>
      <w:r w:rsidRPr="007B6E69">
        <w:t xml:space="preserve">: </w:t>
      </w:r>
      <w:r w:rsidR="002218D5" w:rsidRPr="007B6E69">
        <w:t>P</w:t>
      </w:r>
      <w:r w:rsidRPr="007B6E69">
        <w:t>olicy options considered</w:t>
      </w:r>
      <w:bookmarkEnd w:id="34"/>
      <w:bookmarkEnd w:id="35"/>
    </w:p>
    <w:p w:rsidR="00B14405" w:rsidRDefault="00BC70A9" w:rsidP="005B758B">
      <w:r>
        <w:t xml:space="preserve">In preparing this </w:t>
      </w:r>
      <w:r w:rsidR="00C45600">
        <w:t>IA</w:t>
      </w:r>
      <w:r>
        <w:t xml:space="preserve">, the </w:t>
      </w:r>
      <w:r w:rsidR="00B9347B">
        <w:t>d</w:t>
      </w:r>
      <w:r>
        <w:t xml:space="preserve">epartment considered </w:t>
      </w:r>
      <w:r w:rsidR="003F554A">
        <w:t xml:space="preserve">several </w:t>
      </w:r>
      <w:r w:rsidR="00B14405">
        <w:t>policy</w:t>
      </w:r>
      <w:r w:rsidR="00B14405" w:rsidRPr="00B14405">
        <w:t xml:space="preserve"> options </w:t>
      </w:r>
      <w:r w:rsidR="007A3FD2">
        <w:t>to increase the take up of safer heavy</w:t>
      </w:r>
      <w:r w:rsidR="00B14405">
        <w:t xml:space="preserve"> freight vehicles</w:t>
      </w:r>
      <w:r w:rsidR="007A3FD2">
        <w:t xml:space="preserve"> in Australia, including </w:t>
      </w:r>
      <w:r w:rsidR="005B758B">
        <w:t>vehicles with enhanced devices for indirect vision and/or monitoring devices to detect other road users, and safer wider vehicles</w:t>
      </w:r>
      <w:r w:rsidR="00950E38">
        <w:t xml:space="preserve">. </w:t>
      </w:r>
      <w:r w:rsidR="00B14405" w:rsidRPr="00B14405">
        <w:t>These include</w:t>
      </w:r>
      <w:r>
        <w:t xml:space="preserve"> a</w:t>
      </w:r>
      <w:r w:rsidR="00B14405" w:rsidRPr="00B14405">
        <w:t xml:space="preserve"> non-regulatory </w:t>
      </w:r>
      <w:r>
        <w:t>option</w:t>
      </w:r>
      <w:r w:rsidR="00B14405" w:rsidRPr="00B14405">
        <w:t xml:space="preserve">, </w:t>
      </w:r>
      <w:r w:rsidR="00950E38">
        <w:t>as</w:t>
      </w:r>
      <w:r w:rsidR="00B14405" w:rsidRPr="00B14405">
        <w:t xml:space="preserve"> well as regulation through the ADRs under the RVSA.</w:t>
      </w:r>
    </w:p>
    <w:p w:rsidR="00AF3413" w:rsidRPr="007B6E69" w:rsidRDefault="00AF3413" w:rsidP="00E13D3A">
      <w:pPr>
        <w:pStyle w:val="Heading2"/>
        <w:rPr>
          <w:lang w:val="en-AU"/>
        </w:rPr>
      </w:pPr>
      <w:bookmarkStart w:id="36" w:name="_Toc138065693"/>
      <w:r w:rsidRPr="007B6E69">
        <w:rPr>
          <w:lang w:val="en-AU"/>
        </w:rPr>
        <w:t>Summary of options</w:t>
      </w:r>
      <w:bookmarkEnd w:id="36"/>
    </w:p>
    <w:p w:rsidR="00AF3413" w:rsidRPr="00686C38" w:rsidRDefault="000910B7" w:rsidP="00907208">
      <w:pPr>
        <w:pStyle w:val="Heading5"/>
      </w:pPr>
      <w:r w:rsidRPr="00686C38">
        <w:t xml:space="preserve">Non-regulatory </w:t>
      </w:r>
      <w:r w:rsidR="00FB0A25">
        <w:t>o</w:t>
      </w:r>
      <w:r w:rsidRPr="00686C38">
        <w:t>ptions</w:t>
      </w:r>
    </w:p>
    <w:p w:rsidR="000910B7" w:rsidRPr="007B6E69" w:rsidRDefault="000910B7" w:rsidP="00B3083D">
      <w:pPr>
        <w:ind w:left="5040" w:hanging="5040"/>
      </w:pPr>
      <w:r w:rsidRPr="007B6E69">
        <w:t xml:space="preserve">Option 1: </w:t>
      </w:r>
      <w:r w:rsidR="00F70728">
        <w:t>N</w:t>
      </w:r>
      <w:r w:rsidRPr="007B6E69">
        <w:t xml:space="preserve">o </w:t>
      </w:r>
      <w:r w:rsidR="00FB0A25">
        <w:t>i</w:t>
      </w:r>
      <w:r w:rsidRPr="007B6E69">
        <w:t>ntervention</w:t>
      </w:r>
      <w:r w:rsidRPr="007B6E69">
        <w:tab/>
      </w:r>
      <w:r w:rsidR="00323DD4">
        <w:t xml:space="preserve">Repeal the current requirements for vehicle dimensions (i.e. width, length, </w:t>
      </w:r>
      <w:r w:rsidR="00950E38">
        <w:t xml:space="preserve">and </w:t>
      </w:r>
      <w:r w:rsidR="00323DD4">
        <w:t xml:space="preserve">height) and </w:t>
      </w:r>
      <w:r w:rsidR="004E10E4">
        <w:t>allow vehicle manufacturers to provide solutions to meet market</w:t>
      </w:r>
      <w:r w:rsidR="00C15309">
        <w:t xml:space="preserve"> demand</w:t>
      </w:r>
      <w:r w:rsidRPr="007B6E69">
        <w:t>.</w:t>
      </w:r>
    </w:p>
    <w:p w:rsidR="006A7209" w:rsidRPr="007B6E69" w:rsidRDefault="00812B5E" w:rsidP="00907208">
      <w:pPr>
        <w:pStyle w:val="Heading5"/>
      </w:pPr>
      <w:r w:rsidRPr="007B6E69">
        <w:t xml:space="preserve">Regulatory </w:t>
      </w:r>
      <w:r w:rsidR="00FB0A25">
        <w:t>o</w:t>
      </w:r>
      <w:r w:rsidRPr="007B6E69">
        <w:t>ptions</w:t>
      </w:r>
    </w:p>
    <w:p w:rsidR="00F70728" w:rsidRDefault="00F70728" w:rsidP="004363D2">
      <w:pPr>
        <w:ind w:left="5040" w:hanging="5040"/>
      </w:pPr>
      <w:r w:rsidRPr="007B6E69">
        <w:t xml:space="preserve">Option </w:t>
      </w:r>
      <w:r>
        <w:t>2</w:t>
      </w:r>
      <w:r w:rsidRPr="007B6E69">
        <w:t xml:space="preserve">: </w:t>
      </w:r>
      <w:r w:rsidRPr="00F70728">
        <w:t xml:space="preserve">Retain </w:t>
      </w:r>
      <w:r w:rsidR="00FB0A25">
        <w:t>e</w:t>
      </w:r>
      <w:r w:rsidRPr="00F70728">
        <w:t xml:space="preserve">xisting </w:t>
      </w:r>
      <w:r w:rsidR="00FB0A25">
        <w:t>s</w:t>
      </w:r>
      <w:r w:rsidRPr="00F70728">
        <w:t>tandards</w:t>
      </w:r>
      <w:r w:rsidRPr="007B6E69">
        <w:t xml:space="preserve"> (</w:t>
      </w:r>
      <w:r w:rsidR="00FB0A25">
        <w:t>b</w:t>
      </w:r>
      <w:r w:rsidR="003D39A1">
        <w:t xml:space="preserve">usiness as </w:t>
      </w:r>
      <w:r w:rsidR="00FB0A25">
        <w:t>u</w:t>
      </w:r>
      <w:r w:rsidR="003D39A1">
        <w:t>sual</w:t>
      </w:r>
      <w:r w:rsidRPr="007B6E69">
        <w:t>)</w:t>
      </w:r>
      <w:r w:rsidRPr="007B6E69">
        <w:tab/>
      </w:r>
      <w:r>
        <w:t>Retain the existing requirements for vehicle dimensions through the ADRs under the RVSA</w:t>
      </w:r>
    </w:p>
    <w:p w:rsidR="00337B6B" w:rsidRPr="007B6E69" w:rsidRDefault="00337B6B" w:rsidP="004363D2">
      <w:pPr>
        <w:ind w:left="5040" w:hanging="5040"/>
      </w:pPr>
      <w:r w:rsidRPr="007B6E69">
        <w:t xml:space="preserve">Option </w:t>
      </w:r>
      <w:r w:rsidR="00F70728">
        <w:t>3</w:t>
      </w:r>
      <w:r w:rsidRPr="007B6E69">
        <w:t xml:space="preserve">: </w:t>
      </w:r>
      <w:r w:rsidR="00877803">
        <w:t xml:space="preserve">Implement </w:t>
      </w:r>
      <w:r w:rsidR="00FB0A25">
        <w:t>u</w:t>
      </w:r>
      <w:r w:rsidR="00F70728" w:rsidRPr="00F70728">
        <w:t>pdate</w:t>
      </w:r>
      <w:r w:rsidR="00877803">
        <w:t>d</w:t>
      </w:r>
      <w:r w:rsidR="00F70728" w:rsidRPr="00F70728">
        <w:t xml:space="preserve"> </w:t>
      </w:r>
      <w:r w:rsidR="00FB0A25">
        <w:t>s</w:t>
      </w:r>
      <w:r w:rsidR="00F70728" w:rsidRPr="00F70728">
        <w:t>tandards</w:t>
      </w:r>
      <w:r w:rsidRPr="007B6E69">
        <w:tab/>
      </w:r>
      <w:r w:rsidR="0026262B">
        <w:t xml:space="preserve">Implement </w:t>
      </w:r>
      <w:r w:rsidR="00F70728">
        <w:t xml:space="preserve">updated </w:t>
      </w:r>
      <w:r w:rsidR="00BC70A9">
        <w:t xml:space="preserve">requirements for vehicle dimensions through the ADRs under the RVSA </w:t>
      </w:r>
    </w:p>
    <w:p w:rsidR="00AF3413" w:rsidRPr="007B6E69" w:rsidRDefault="00AF3413" w:rsidP="00E13D3A">
      <w:pPr>
        <w:pStyle w:val="Heading2"/>
        <w:rPr>
          <w:lang w:val="en-AU"/>
        </w:rPr>
      </w:pPr>
      <w:bookmarkStart w:id="37" w:name="_Toc138065694"/>
      <w:r w:rsidRPr="007B6E69">
        <w:rPr>
          <w:lang w:val="en-AU"/>
        </w:rPr>
        <w:t>Discussion of options</w:t>
      </w:r>
      <w:bookmarkEnd w:id="37"/>
    </w:p>
    <w:p w:rsidR="00CC25F1" w:rsidRPr="007B6E69" w:rsidRDefault="00CC25F1" w:rsidP="008D49EE">
      <w:pPr>
        <w:pStyle w:val="Heading3"/>
      </w:pPr>
      <w:bookmarkStart w:id="38" w:name="_Toc138065695"/>
      <w:r w:rsidRPr="007B6E69">
        <w:t xml:space="preserve">Option 1: </w:t>
      </w:r>
      <w:r w:rsidR="00DB7D0C">
        <w:t>De-regulation</w:t>
      </w:r>
      <w:r w:rsidRPr="007B6E69">
        <w:t xml:space="preserve"> (</w:t>
      </w:r>
      <w:r w:rsidR="00FB0A25">
        <w:t>r</w:t>
      </w:r>
      <w:r w:rsidR="00BC70A9">
        <w:t>epeal the current requirements</w:t>
      </w:r>
      <w:r w:rsidRPr="007B6E69">
        <w:t>)</w:t>
      </w:r>
      <w:bookmarkEnd w:id="38"/>
    </w:p>
    <w:p w:rsidR="00F70D23" w:rsidRDefault="004E10E4" w:rsidP="00C15309">
      <w:pPr>
        <w:widowControl w:val="0"/>
      </w:pPr>
      <w:r>
        <w:t xml:space="preserve">Under </w:t>
      </w:r>
      <w:r w:rsidR="00AE55BF">
        <w:t>Option 1</w:t>
      </w:r>
      <w:r>
        <w:t xml:space="preserve"> the Australian Government would repeal the current ADR requirements for vehicle dimensions </w:t>
      </w:r>
      <w:r w:rsidR="00FA00AC">
        <w:br/>
      </w:r>
      <w:r>
        <w:t>(i.e. width, length, and height) and allow vehicle manufacturers to provide solutions to meet market</w:t>
      </w:r>
      <w:r w:rsidR="00C15309">
        <w:t xml:space="preserve"> demand</w:t>
      </w:r>
      <w:r w:rsidRPr="007B6E69">
        <w:t>.</w:t>
      </w:r>
    </w:p>
    <w:p w:rsidR="00F70D23" w:rsidRDefault="00F70D23" w:rsidP="00F70D23">
      <w:r>
        <w:t>If there were deregulation by the Australian Government of vehicle dimensions at supply to market, the states and territories would likely endeavour to continue to limit the overall dimensions of vehicles in-service. However, in the absence of any ADR requirements, this would likely conflict with section 78 of the RVSA, which prevents state and territory laws from being used to impose more stringent vehicle standards than the ADRs (</w:t>
      </w:r>
      <w:r w:rsidR="00D7633A">
        <w:t>Commonwealth of Australia, 2018b</w:t>
      </w:r>
      <w:r>
        <w:t xml:space="preserve">). In the absence of any vehicle dimensional limits, </w:t>
      </w:r>
      <w:r w:rsidR="006759EE">
        <w:t>some</w:t>
      </w:r>
      <w:r>
        <w:t xml:space="preserve"> truck operators </w:t>
      </w:r>
      <w:r w:rsidR="006759EE">
        <w:t xml:space="preserve">would </w:t>
      </w:r>
      <w:r>
        <w:t xml:space="preserve">choose considerably larger and more productive vehicles. </w:t>
      </w:r>
      <w:r w:rsidR="006759EE">
        <w:t xml:space="preserve">For example, a domestic firm could fit extra wide bodies and/or bodywork (of </w:t>
      </w:r>
      <w:r w:rsidR="00531382">
        <w:t xml:space="preserve">any width, including </w:t>
      </w:r>
      <w:r w:rsidR="006759EE">
        <w:t xml:space="preserve">over </w:t>
      </w:r>
      <w:r w:rsidR="00B9347B">
        <w:t>2.60</w:t>
      </w:r>
      <w:r w:rsidR="006759EE">
        <w:t xml:space="preserve"> m) to cab-chassis vehicles originally made to comply with the width limit in another market (e.g. the EU, the US, Japan etc.). This would be expected to increase productivity for the trucking firms that then operate these vehicles, but would also likely </w:t>
      </w:r>
      <w:r>
        <w:t>impose significant risks and costs for other road users, insurers and governments, with no control over these costs</w:t>
      </w:r>
      <w:r w:rsidR="006759EE">
        <w:t xml:space="preserve"> (i.e. externalities).</w:t>
      </w:r>
      <w:r w:rsidR="003648C1">
        <w:t xml:space="preserve"> </w:t>
      </w:r>
      <w:r w:rsidR="0016177C">
        <w:t>The l</w:t>
      </w:r>
      <w:r w:rsidR="003648C1">
        <w:t xml:space="preserve">ikely costs for </w:t>
      </w:r>
      <w:r w:rsidR="0016177C">
        <w:t>these affected stakeholders</w:t>
      </w:r>
      <w:r w:rsidR="003648C1">
        <w:t xml:space="preserve"> include loss of life, </w:t>
      </w:r>
      <w:r w:rsidR="0016177C">
        <w:t xml:space="preserve">loss of income, </w:t>
      </w:r>
      <w:r w:rsidR="003648C1">
        <w:t xml:space="preserve">permanent </w:t>
      </w:r>
      <w:r w:rsidR="0016177C">
        <w:t>injury/disability costs, hospital admission and other medical costs, road crash delays, and infrastructure and property damage.</w:t>
      </w:r>
    </w:p>
    <w:p w:rsidR="00C15309" w:rsidRDefault="00C15309" w:rsidP="00C15309">
      <w:pPr>
        <w:widowControl w:val="0"/>
      </w:pPr>
      <w:r>
        <w:t>For the above reasons, t</w:t>
      </w:r>
      <w:r w:rsidRPr="00820236">
        <w:t>his option</w:t>
      </w:r>
      <w:r w:rsidR="00531382">
        <w:t xml:space="preserve"> </w:t>
      </w:r>
      <w:r w:rsidR="007C64C0">
        <w:t>is not supported by jurisdictions, is not generally sought by</w:t>
      </w:r>
      <w:r w:rsidR="00531382">
        <w:t xml:space="preserve"> </w:t>
      </w:r>
      <w:r w:rsidR="00A32057">
        <w:t xml:space="preserve">peak </w:t>
      </w:r>
      <w:r w:rsidR="00531382">
        <w:t>industry bodies,</w:t>
      </w:r>
      <w:r w:rsidRPr="00820236">
        <w:t xml:space="preserve"> </w:t>
      </w:r>
      <w:r w:rsidR="00F1337E">
        <w:t>is</w:t>
      </w:r>
      <w:r w:rsidRPr="00820236">
        <w:t xml:space="preserve"> not considered </w:t>
      </w:r>
      <w:r>
        <w:t>viable</w:t>
      </w:r>
      <w:r w:rsidR="00531382">
        <w:t xml:space="preserve"> by the </w:t>
      </w:r>
      <w:r w:rsidR="00B9347B">
        <w:t>d</w:t>
      </w:r>
      <w:r w:rsidR="00531382">
        <w:t>epartment</w:t>
      </w:r>
      <w:r>
        <w:t xml:space="preserve">, and </w:t>
      </w:r>
      <w:r w:rsidR="00F1337E">
        <w:t xml:space="preserve">has </w:t>
      </w:r>
      <w:r>
        <w:t xml:space="preserve">not </w:t>
      </w:r>
      <w:r w:rsidR="00F1337E">
        <w:t xml:space="preserve">been </w:t>
      </w:r>
      <w:r>
        <w:t xml:space="preserve">analysed in any </w:t>
      </w:r>
      <w:r w:rsidRPr="00820236">
        <w:t>further</w:t>
      </w:r>
      <w:r>
        <w:t xml:space="preserve"> detail</w:t>
      </w:r>
      <w:r w:rsidRPr="00820236">
        <w:t>.</w:t>
      </w:r>
    </w:p>
    <w:p w:rsidR="00B02D64" w:rsidRPr="005E1FA1" w:rsidRDefault="00B02D64" w:rsidP="008D49EE">
      <w:pPr>
        <w:pStyle w:val="Heading3"/>
      </w:pPr>
      <w:bookmarkStart w:id="39" w:name="_Toc138065696"/>
      <w:r w:rsidRPr="005E1FA1">
        <w:t xml:space="preserve">Option </w:t>
      </w:r>
      <w:r>
        <w:t>2</w:t>
      </w:r>
      <w:r w:rsidRPr="005E1FA1">
        <w:t xml:space="preserve">: </w:t>
      </w:r>
      <w:r>
        <w:t xml:space="preserve">Retain </w:t>
      </w:r>
      <w:r w:rsidR="00FB0A25">
        <w:t>e</w:t>
      </w:r>
      <w:r>
        <w:t xml:space="preserve">xisting </w:t>
      </w:r>
      <w:r w:rsidR="00FB0A25">
        <w:t>s</w:t>
      </w:r>
      <w:r>
        <w:t>tandards under the RVSA (</w:t>
      </w:r>
      <w:r w:rsidR="00FB0A25">
        <w:t>b</w:t>
      </w:r>
      <w:r w:rsidR="006D610D">
        <w:t xml:space="preserve">usiness as </w:t>
      </w:r>
      <w:r w:rsidR="00FB0A25">
        <w:t>u</w:t>
      </w:r>
      <w:r w:rsidR="006D610D">
        <w:t>sual</w:t>
      </w:r>
      <w:r>
        <w:t>)</w:t>
      </w:r>
      <w:bookmarkEnd w:id="39"/>
    </w:p>
    <w:p w:rsidR="00B02D64" w:rsidRPr="00820236" w:rsidRDefault="00B02D64" w:rsidP="00B02D64">
      <w:pPr>
        <w:widowControl w:val="0"/>
      </w:pPr>
      <w:r w:rsidRPr="005E1FA1">
        <w:t xml:space="preserve">Under Option </w:t>
      </w:r>
      <w:r w:rsidR="006D610D">
        <w:t>2</w:t>
      </w:r>
      <w:r w:rsidRPr="005E1FA1">
        <w:t xml:space="preserve"> the Australian Government would</w:t>
      </w:r>
      <w:r>
        <w:t xml:space="preserve"> </w:t>
      </w:r>
      <w:r w:rsidR="00F1337E">
        <w:t xml:space="preserve">retain the existing requirements for vehicle dimensions through the ADRs under the RVSA. </w:t>
      </w:r>
      <w:r w:rsidR="00F1337E" w:rsidRPr="00F1337E">
        <w:t>T</w:t>
      </w:r>
      <w:r w:rsidR="00F1337E">
        <w:t xml:space="preserve">his is the </w:t>
      </w:r>
      <w:r w:rsidR="00FB0A25">
        <w:t>b</w:t>
      </w:r>
      <w:r w:rsidR="00F1337E">
        <w:t xml:space="preserve">usiness as </w:t>
      </w:r>
      <w:r w:rsidR="00FB0A25">
        <w:t>u</w:t>
      </w:r>
      <w:r w:rsidR="00F1337E">
        <w:t>sual (BAU)</w:t>
      </w:r>
      <w:r w:rsidR="00F1337E" w:rsidRPr="00F1337E">
        <w:t xml:space="preserve"> option</w:t>
      </w:r>
      <w:r w:rsidR="00F1337E">
        <w:t xml:space="preserve">, which is considered viable, and has been </w:t>
      </w:r>
      <w:r w:rsidR="00F1337E" w:rsidRPr="00F1337E">
        <w:t xml:space="preserve">analysed in detail </w:t>
      </w:r>
      <w:r w:rsidR="00F1337E">
        <w:t>as the</w:t>
      </w:r>
      <w:r w:rsidR="00F1337E" w:rsidRPr="00F1337E">
        <w:t xml:space="preserve"> baseline for comparison with other options.</w:t>
      </w:r>
    </w:p>
    <w:p w:rsidR="006507A1" w:rsidRPr="005E1FA1" w:rsidRDefault="006507A1" w:rsidP="00FB0A25">
      <w:pPr>
        <w:pStyle w:val="Heading3"/>
        <w:pageBreakBefore/>
      </w:pPr>
      <w:bookmarkStart w:id="40" w:name="_Toc138065697"/>
      <w:r w:rsidRPr="005E1FA1">
        <w:t xml:space="preserve">Option </w:t>
      </w:r>
      <w:r w:rsidR="00197A56">
        <w:t>3</w:t>
      </w:r>
      <w:r w:rsidRPr="005E1FA1">
        <w:t xml:space="preserve">: </w:t>
      </w:r>
      <w:r w:rsidR="003C5F16">
        <w:t xml:space="preserve">Implement </w:t>
      </w:r>
      <w:r w:rsidR="00FB0A25">
        <w:t>u</w:t>
      </w:r>
      <w:r w:rsidR="003C5F16">
        <w:t xml:space="preserve">pdated </w:t>
      </w:r>
      <w:r w:rsidR="00FB0A25">
        <w:t>s</w:t>
      </w:r>
      <w:r w:rsidR="003C5F16">
        <w:t>tandards under the RVSA</w:t>
      </w:r>
      <w:bookmarkEnd w:id="40"/>
    </w:p>
    <w:p w:rsidR="00FE3E22" w:rsidRDefault="006507A1" w:rsidP="00A9632E">
      <w:pPr>
        <w:widowControl w:val="0"/>
      </w:pPr>
      <w:r w:rsidRPr="005E1FA1">
        <w:t xml:space="preserve">Under Option </w:t>
      </w:r>
      <w:r w:rsidR="00A8357C">
        <w:t>3</w:t>
      </w:r>
      <w:r w:rsidRPr="005E1FA1">
        <w:t xml:space="preserve"> the Australian Government would</w:t>
      </w:r>
      <w:r w:rsidR="00A21426">
        <w:t xml:space="preserve"> </w:t>
      </w:r>
      <w:r w:rsidR="00AB58C2">
        <w:t xml:space="preserve">implement updated requirements for vehicle dimensions through the ADRs under the RVSA, to </w:t>
      </w:r>
      <w:r w:rsidR="00AB58C2" w:rsidRPr="00AB58C2">
        <w:t>facilitate an increased take up of safer and/or more efficient heavy freight vehicles in Australia</w:t>
      </w:r>
      <w:r w:rsidR="00AB58C2">
        <w:t>.</w:t>
      </w:r>
      <w:r w:rsidR="00A9632E">
        <w:t xml:space="preserve"> </w:t>
      </w:r>
      <w:r w:rsidR="0013026D">
        <w:t>M</w:t>
      </w:r>
      <w:r w:rsidR="000B6B0F" w:rsidRPr="000B6B0F">
        <w:t xml:space="preserve">andatory </w:t>
      </w:r>
      <w:r w:rsidR="0013026D">
        <w:t xml:space="preserve">requirements for vehicle dimensions have been </w:t>
      </w:r>
      <w:r w:rsidR="000B6B0F" w:rsidRPr="000B6B0F">
        <w:t>adopted in other markets</w:t>
      </w:r>
      <w:r w:rsidR="00EB1507">
        <w:t xml:space="preserve">, </w:t>
      </w:r>
      <w:r w:rsidR="000B6B0F" w:rsidRPr="000B6B0F">
        <w:t xml:space="preserve">including </w:t>
      </w:r>
      <w:r w:rsidR="0013026D">
        <w:t>the</w:t>
      </w:r>
      <w:r w:rsidR="00EB1507">
        <w:t xml:space="preserve"> major </w:t>
      </w:r>
      <w:r w:rsidR="00D75986">
        <w:t xml:space="preserve">source </w:t>
      </w:r>
      <w:r w:rsidR="00EB1507">
        <w:t>markets of the </w:t>
      </w:r>
      <w:r w:rsidR="0013026D">
        <w:t>EU</w:t>
      </w:r>
      <w:r w:rsidR="000B6B0F" w:rsidRPr="000B6B0F">
        <w:t xml:space="preserve">, </w:t>
      </w:r>
      <w:r w:rsidR="00416244">
        <w:t xml:space="preserve">Japan, and </w:t>
      </w:r>
      <w:r w:rsidR="000B6B0F" w:rsidRPr="000B6B0F">
        <w:t>the US</w:t>
      </w:r>
      <w:r w:rsidR="00A9632E">
        <w:t>.</w:t>
      </w:r>
      <w:r w:rsidR="004A6799">
        <w:t xml:space="preserve"> </w:t>
      </w:r>
      <w:r w:rsidR="000B6B0F" w:rsidRPr="000B6B0F">
        <w:t xml:space="preserve">This option was therefore </w:t>
      </w:r>
      <w:r w:rsidR="0013026D">
        <w:t xml:space="preserve">considered viable, and </w:t>
      </w:r>
      <w:r w:rsidR="000B6B0F" w:rsidRPr="000B6B0F">
        <w:t xml:space="preserve">analysed further in terms of expected benefits </w:t>
      </w:r>
      <w:r w:rsidR="0014298E">
        <w:t xml:space="preserve">and costs </w:t>
      </w:r>
      <w:r w:rsidR="000B6B0F" w:rsidRPr="000B6B0F">
        <w:t>to the community.</w:t>
      </w:r>
    </w:p>
    <w:p w:rsidR="00FB0A25" w:rsidRPr="00907208" w:rsidRDefault="00416244" w:rsidP="00907208">
      <w:pPr>
        <w:pStyle w:val="Heading4"/>
      </w:pPr>
      <w:r w:rsidRPr="00907208">
        <w:t>O</w:t>
      </w:r>
      <w:r w:rsidR="00CD64CC" w:rsidRPr="00907208">
        <w:t>ptions for safer wider heavy freight vehicles</w:t>
      </w:r>
    </w:p>
    <w:p w:rsidR="00426895" w:rsidRDefault="00183585" w:rsidP="00416244">
      <w:pPr>
        <w:widowControl w:val="0"/>
      </w:pPr>
      <w:r w:rsidRPr="00183585">
        <w:t>Allowing wider vehicles would reduce the costs of modification of vehicles for the Australian market as well as provide the necessary space to better fit EU mandated safety technologies (such as blind spot information systems) and EU and US mandated environmental technologies (such as Euro VI or equivalent emission control systems) to reduce noxious emissions.</w:t>
      </w:r>
      <w:r>
        <w:t xml:space="preserve"> </w:t>
      </w:r>
      <w:r w:rsidRPr="007C205D">
        <w:t xml:space="preserve">Further, </w:t>
      </w:r>
      <w:r>
        <w:t>some sectors of the road freight industry would be</w:t>
      </w:r>
      <w:r w:rsidRPr="007C205D">
        <w:t xml:space="preserve"> able to complete the same freight task in fewer trips, which reduces both transport costs and exposure related crash risks.</w:t>
      </w:r>
    </w:p>
    <w:p w:rsidR="00404B97" w:rsidRDefault="00416244" w:rsidP="00416244">
      <w:pPr>
        <w:widowControl w:val="0"/>
      </w:pPr>
      <w:r>
        <w:t>To account for differen</w:t>
      </w:r>
      <w:r w:rsidR="00E07B26">
        <w:t xml:space="preserve">t </w:t>
      </w:r>
      <w:r w:rsidR="00A04B46">
        <w:t>sources</w:t>
      </w:r>
      <w:r w:rsidR="00604D9C">
        <w:t xml:space="preserve"> and </w:t>
      </w:r>
      <w:r w:rsidR="00A04B46">
        <w:t>extent</w:t>
      </w:r>
      <w:r w:rsidR="00604D9C">
        <w:t xml:space="preserve"> of </w:t>
      </w:r>
      <w:r>
        <w:t xml:space="preserve">benefits expected </w:t>
      </w:r>
      <w:r w:rsidR="00137B66">
        <w:t xml:space="preserve">for </w:t>
      </w:r>
      <w:r w:rsidR="00E07B26">
        <w:t xml:space="preserve">various </w:t>
      </w:r>
      <w:r w:rsidR="00137B66">
        <w:t xml:space="preserve">categories of </w:t>
      </w:r>
      <w:r>
        <w:t xml:space="preserve">heavy </w:t>
      </w:r>
      <w:r w:rsidR="00137B66">
        <w:t xml:space="preserve">freight vehicles, </w:t>
      </w:r>
      <w:r w:rsidR="00604D9C">
        <w:t xml:space="preserve">as well as </w:t>
      </w:r>
      <w:r w:rsidR="00CD64CC">
        <w:t xml:space="preserve">the </w:t>
      </w:r>
      <w:r>
        <w:t>different width limits</w:t>
      </w:r>
      <w:r w:rsidR="00CD64CC">
        <w:t xml:space="preserve"> for vehicle</w:t>
      </w:r>
      <w:r>
        <w:t xml:space="preserve">s in the EU and the US, </w:t>
      </w:r>
      <w:r w:rsidR="00137B66">
        <w:t xml:space="preserve">the </w:t>
      </w:r>
      <w:r w:rsidR="00B9347B">
        <w:t>d</w:t>
      </w:r>
      <w:r w:rsidR="00137B66">
        <w:t xml:space="preserve">epartment decided to analyse </w:t>
      </w:r>
      <w:r w:rsidR="006C5F12">
        <w:t>four</w:t>
      </w:r>
      <w:r w:rsidR="00137B66">
        <w:t xml:space="preserve"> sub-options</w:t>
      </w:r>
      <w:r w:rsidR="00137B66" w:rsidRPr="00137B66">
        <w:t xml:space="preserve"> to allow for safer (and cleaner) wider heavy freight vehicles to be supplied in Australia</w:t>
      </w:r>
      <w:r w:rsidR="00CD64CC" w:rsidRPr="00CD64CC">
        <w:t xml:space="preserve">. Each of these includes a package of new safety ADRs to be mandated for the wider vehicles (those exceeding the current </w:t>
      </w:r>
      <w:r w:rsidR="00B9347B">
        <w:t>2.50</w:t>
      </w:r>
      <w:r w:rsidR="00E35A93">
        <w:t> </w:t>
      </w:r>
      <w:r w:rsidR="00CD64CC" w:rsidRPr="00CD64CC">
        <w:t>m limit). The systems</w:t>
      </w:r>
      <w:r w:rsidR="008C56E5">
        <w:t>/features</w:t>
      </w:r>
      <w:r w:rsidR="00CD64CC" w:rsidRPr="00CD64CC">
        <w:t xml:space="preserve"> </w:t>
      </w:r>
      <w:r w:rsidR="00E05D56">
        <w:t xml:space="preserve">included in </w:t>
      </w:r>
      <w:r w:rsidR="00CD64CC" w:rsidRPr="00CD64CC">
        <w:t>the safety packages</w:t>
      </w:r>
      <w:r w:rsidR="00E05D56">
        <w:t xml:space="preserve"> were selected following initial consultation with the Strategic Vehicle Safety and Environment Group,</w:t>
      </w:r>
      <w:r w:rsidR="00CD64CC" w:rsidRPr="00CD64CC">
        <w:t xml:space="preserve"> are all covered by international (UN) vehicle regulations, and include ADR development priorities for heavy vehicles under the National Road Safety Action Plan 2018-2020 (</w:t>
      </w:r>
      <w:r w:rsidR="00315909">
        <w:t xml:space="preserve">Commonwealth of </w:t>
      </w:r>
      <w:r w:rsidR="00CD64CC" w:rsidRPr="00CD64CC">
        <w:t xml:space="preserve">Australia, 2018a), as well as technologies targeted at reducing collisions between heavy vehicles and other road users in close-proximity to these vehicles. For goods vehicles over 4.5 tonnes GVM, these include </w:t>
      </w:r>
      <w:r w:rsidR="00137B66">
        <w:t xml:space="preserve">enhanced </w:t>
      </w:r>
      <w:r w:rsidR="00CD64CC" w:rsidRPr="00CD64CC">
        <w:t>devices for indirect vision, Electronic Stability Control (ESC), Advanced Emergency Braking (AEB), Lane Departure Warning Systems (LDWS), Blind Spot Information Systems, Lateral Protection Devices for side underrun protection, and conspicu</w:t>
      </w:r>
      <w:r w:rsidR="00A76F1D">
        <w:t>ity markings. For trailers over </w:t>
      </w:r>
      <w:r w:rsidR="00CD64CC" w:rsidRPr="00CD64CC">
        <w:t xml:space="preserve">4.5 tonnes, these include </w:t>
      </w:r>
      <w:r w:rsidR="00F67C96">
        <w:t xml:space="preserve">Roll Stability Control (RSC), </w:t>
      </w:r>
      <w:r w:rsidR="00CD64CC" w:rsidRPr="00CD64CC">
        <w:t>Lateral Protection Devices</w:t>
      </w:r>
      <w:r w:rsidR="00F67C96">
        <w:t xml:space="preserve"> (LPDs)</w:t>
      </w:r>
      <w:r w:rsidR="00CD64CC" w:rsidRPr="00CD64CC">
        <w:t xml:space="preserve"> for side underrun protection</w:t>
      </w:r>
      <w:r w:rsidR="00F67C96">
        <w:t>,</w:t>
      </w:r>
      <w:r w:rsidR="00CD64CC" w:rsidRPr="00CD64CC">
        <w:t xml:space="preserve"> </w:t>
      </w:r>
      <w:r w:rsidR="00C7561E">
        <w:t xml:space="preserve">and </w:t>
      </w:r>
      <w:r w:rsidR="00CD64CC" w:rsidRPr="00CD64CC">
        <w:t>conspicuity markings.</w:t>
      </w:r>
    </w:p>
    <w:p w:rsidR="00CD64CC" w:rsidRDefault="002452D8" w:rsidP="00416244">
      <w:pPr>
        <w:widowControl w:val="0"/>
      </w:pPr>
      <w:r>
        <w:t xml:space="preserve">A summary of the ADR vehicle categories </w:t>
      </w:r>
      <w:r w:rsidR="00404B97">
        <w:t xml:space="preserve">for heavy goods vehicles and trailers is provided in Appendix </w:t>
      </w:r>
      <w:r w:rsidR="00147E6E">
        <w:t>3</w:t>
      </w:r>
      <w:r w:rsidR="00404B97">
        <w:t xml:space="preserve">. </w:t>
      </w:r>
      <w:r w:rsidR="00CD64CC" w:rsidRPr="00CD64CC">
        <w:t>More information on the safety systems</w:t>
      </w:r>
      <w:r w:rsidR="008C56E5">
        <w:t>/features</w:t>
      </w:r>
      <w:r w:rsidR="00CD64CC" w:rsidRPr="00CD64CC">
        <w:t xml:space="preserve"> proposed to be included as part of a package of new safety ADRs (for wider vehicles) is provided in Appendices </w:t>
      </w:r>
      <w:r w:rsidR="003D06DB">
        <w:t>5</w:t>
      </w:r>
      <w:r w:rsidR="00CD64CC" w:rsidRPr="00CD64CC">
        <w:t xml:space="preserve"> to </w:t>
      </w:r>
      <w:r w:rsidR="00A40480">
        <w:t>1</w:t>
      </w:r>
      <w:r w:rsidR="003D06DB">
        <w:t>1</w:t>
      </w:r>
      <w:r w:rsidR="00CD64CC" w:rsidRPr="00CD64CC">
        <w:t>.</w:t>
      </w:r>
    </w:p>
    <w:p w:rsidR="00240432" w:rsidRPr="00907208" w:rsidRDefault="00240432" w:rsidP="00907208">
      <w:pPr>
        <w:pStyle w:val="Heading5"/>
      </w:pPr>
      <w:r w:rsidRPr="00907208">
        <w:t xml:space="preserve">Option </w:t>
      </w:r>
      <w:r w:rsidR="002D7457">
        <w:t>3.</w:t>
      </w:r>
      <w:r w:rsidRPr="00907208">
        <w:t>1a – Increase the width limit to 2.55</w:t>
      </w:r>
      <w:r w:rsidR="00234529">
        <w:t> </w:t>
      </w:r>
      <w:r w:rsidRPr="00907208">
        <w:t>m for goods vehicles and trailers over 4.5 tonnes</w:t>
      </w:r>
    </w:p>
    <w:p w:rsidR="00240432" w:rsidRDefault="00240432" w:rsidP="00240432">
      <w:r>
        <w:t>Under this option:</w:t>
      </w:r>
    </w:p>
    <w:p w:rsidR="00240432" w:rsidRDefault="00240432" w:rsidP="00E248BF">
      <w:pPr>
        <w:pStyle w:val="ListParagraph"/>
        <w:keepLines/>
        <w:numPr>
          <w:ilvl w:val="0"/>
          <w:numId w:val="71"/>
        </w:numPr>
        <w:suppressAutoHyphens w:val="0"/>
        <w:autoSpaceDE/>
        <w:autoSpaceDN/>
        <w:adjustRightInd/>
        <w:ind w:left="680" w:right="170" w:hanging="340"/>
        <w:textAlignment w:val="auto"/>
      </w:pPr>
      <w:r>
        <w:t>The vehicle width limit for goods vehicles (i.e. trucks) over 4.5</w:t>
      </w:r>
      <w:r w:rsidRPr="00D3537D">
        <w:t xml:space="preserve"> tonnes</w:t>
      </w:r>
      <w:r>
        <w:t xml:space="preserve"> GVM and trailers over 4.5</w:t>
      </w:r>
      <w:r w:rsidRPr="00D3537D">
        <w:t xml:space="preserve"> tonnes</w:t>
      </w:r>
      <w:r>
        <w:t xml:space="preserve"> ATM (ADR category NB2, NC, TC (over 4.5 tonnes) and TD vehicles), would be increased from </w:t>
      </w:r>
      <w:r w:rsidR="00B9347B">
        <w:t>2.50</w:t>
      </w:r>
      <w:r w:rsidR="00E35A93">
        <w:t> </w:t>
      </w:r>
      <w:r>
        <w:t>m</w:t>
      </w:r>
      <w:r w:rsidRPr="0050539E">
        <w:t xml:space="preserve"> to </w:t>
      </w:r>
      <w:r>
        <w:t>2.55</w:t>
      </w:r>
      <w:r w:rsidR="00E35A93">
        <w:t> </w:t>
      </w:r>
      <w:r>
        <w:t>m.</w:t>
      </w:r>
    </w:p>
    <w:p w:rsidR="00240432" w:rsidRDefault="00240432" w:rsidP="00E248BF">
      <w:pPr>
        <w:pStyle w:val="ListParagraph"/>
        <w:keepLines/>
        <w:numPr>
          <w:ilvl w:val="0"/>
          <w:numId w:val="71"/>
        </w:numPr>
        <w:suppressAutoHyphens w:val="0"/>
        <w:autoSpaceDE/>
        <w:autoSpaceDN/>
        <w:adjustRightInd/>
        <w:ind w:left="680" w:right="170" w:hanging="340"/>
        <w:textAlignment w:val="auto"/>
      </w:pPr>
      <w:r>
        <w:t>P</w:t>
      </w:r>
      <w:r w:rsidRPr="00E25EA5">
        <w:t xml:space="preserve">ermanently fixed webbing-assembly-type devices </w:t>
      </w:r>
      <w:r>
        <w:t>(</w:t>
      </w:r>
      <w:r w:rsidRPr="00E25EA5">
        <w:t>such as curtain-side devices</w:t>
      </w:r>
      <w:r>
        <w:t xml:space="preserve">) would </w:t>
      </w:r>
      <w:r w:rsidR="0032380B">
        <w:t xml:space="preserve">continue to </w:t>
      </w:r>
      <w:r>
        <w:t xml:space="preserve">be excluded from the measurement of the vehicle width, </w:t>
      </w:r>
      <w:r w:rsidRPr="00E25EA5">
        <w:t>provided the maximum distance across the body of the vehicle, including any part of the devices, is not more than 2.</w:t>
      </w:r>
      <w:r w:rsidR="0022064A">
        <w:t>55</w:t>
      </w:r>
      <w:r w:rsidR="00E35A93">
        <w:t> </w:t>
      </w:r>
      <w:r>
        <w:t>m.</w:t>
      </w:r>
    </w:p>
    <w:p w:rsidR="00930B20" w:rsidRDefault="00930B20" w:rsidP="00E248BF">
      <w:pPr>
        <w:pStyle w:val="ListParagraph"/>
        <w:keepLines/>
        <w:numPr>
          <w:ilvl w:val="0"/>
          <w:numId w:val="71"/>
        </w:numPr>
        <w:suppressAutoHyphens w:val="0"/>
        <w:autoSpaceDE/>
        <w:autoSpaceDN/>
        <w:adjustRightInd/>
        <w:ind w:left="680" w:right="170" w:hanging="340"/>
        <w:textAlignment w:val="auto"/>
      </w:pPr>
      <w:r>
        <w:t xml:space="preserve">Central tyre inflation systems would continue to be excluded from the measurement of the vehicle width, </w:t>
      </w:r>
      <w:r w:rsidRPr="00E25EA5">
        <w:t xml:space="preserve">provided </w:t>
      </w:r>
      <w:r>
        <w:t>the</w:t>
      </w:r>
      <w:r w:rsidRPr="00B81D76">
        <w:t xml:space="preserve"> total lateral (i.e. left + right side) protrusion of </w:t>
      </w:r>
      <w:r>
        <w:t>such</w:t>
      </w:r>
      <w:r w:rsidRPr="00B81D76">
        <w:t xml:space="preserve"> devices/systems (or excluded parts thereof) beyond the </w:t>
      </w:r>
      <w:r>
        <w:t>o</w:t>
      </w:r>
      <w:r w:rsidRPr="00B81D76">
        <w:t xml:space="preserve">verall </w:t>
      </w:r>
      <w:r>
        <w:t>w</w:t>
      </w:r>
      <w:r w:rsidRPr="00B81D76">
        <w:t xml:space="preserve">idth, </w:t>
      </w:r>
      <w:r>
        <w:t>does</w:t>
      </w:r>
      <w:r w:rsidRPr="00B81D76">
        <w:t xml:space="preserve"> not exceed 100 mm</w:t>
      </w:r>
      <w:r>
        <w:t xml:space="preserve"> on each side of the vehicle.</w:t>
      </w:r>
    </w:p>
    <w:p w:rsidR="00240432" w:rsidRDefault="00240432" w:rsidP="00E248BF">
      <w:pPr>
        <w:pStyle w:val="ListParagraph"/>
        <w:keepNext/>
        <w:keepLines/>
        <w:numPr>
          <w:ilvl w:val="0"/>
          <w:numId w:val="71"/>
        </w:numPr>
        <w:suppressAutoHyphens w:val="0"/>
        <w:autoSpaceDE/>
        <w:autoSpaceDN/>
        <w:adjustRightInd/>
        <w:ind w:left="680" w:right="170" w:hanging="340"/>
        <w:textAlignment w:val="auto"/>
      </w:pPr>
      <w:r>
        <w:t xml:space="preserve">The wider goods vehicles (those exceeding the current </w:t>
      </w:r>
      <w:r w:rsidR="00B9347B">
        <w:t>2.50</w:t>
      </w:r>
      <w:r w:rsidR="00E35A93">
        <w:t> </w:t>
      </w:r>
      <w:r>
        <w:t>m limit) would be required to:</w:t>
      </w:r>
    </w:p>
    <w:p w:rsidR="00240432" w:rsidRDefault="00240432" w:rsidP="00E248BF">
      <w:pPr>
        <w:pStyle w:val="ListParagraph"/>
        <w:keepLines/>
        <w:numPr>
          <w:ilvl w:val="1"/>
          <w:numId w:val="71"/>
        </w:numPr>
        <w:suppressAutoHyphens w:val="0"/>
        <w:autoSpaceDE/>
        <w:autoSpaceDN/>
        <w:adjustRightInd/>
        <w:ind w:left="1020" w:right="567" w:hanging="340"/>
        <w:textAlignment w:val="auto"/>
      </w:pPr>
      <w:r>
        <w:t>meet a new ADR 14/03 – Devices for indirect v</w:t>
      </w:r>
      <w:r w:rsidRPr="00E25EA5">
        <w:t>ision</w:t>
      </w:r>
      <w:r>
        <w:t xml:space="preserve"> (refer Appendix </w:t>
      </w:r>
      <w:r w:rsidR="003D06DB">
        <w:t>5</w:t>
      </w:r>
      <w:r>
        <w:t xml:space="preserve">), incorporating the technical requirements of the latest version of the relevant international standard (UN R46/04), </w:t>
      </w:r>
      <w:r w:rsidR="000F1B96">
        <w:t xml:space="preserve">but </w:t>
      </w:r>
      <w:r>
        <w:t xml:space="preserve">with additional provisions to allow for </w:t>
      </w:r>
      <w:r w:rsidR="000F1B96">
        <w:t xml:space="preserve">some alternative styles of mirrors used on trucks in Australia, for example </w:t>
      </w:r>
      <w:r w:rsidRPr="007C3339">
        <w:t>US</w:t>
      </w:r>
      <w:r>
        <w:t xml:space="preserve"> style </w:t>
      </w:r>
      <w:r w:rsidR="000F1B96">
        <w:t>cross-view</w:t>
      </w:r>
      <w:r>
        <w:t xml:space="preserve"> mirrors (refer Glossary in Appendix </w:t>
      </w:r>
      <w:r w:rsidR="00346A4A">
        <w:t>2</w:t>
      </w:r>
      <w:r>
        <w:t>) to be used on bonneted trucks in place of UN style front-view mirrors, provided these allow the driver to see at least 900</w:t>
      </w:r>
      <w:r w:rsidR="00E35A93">
        <w:t> </w:t>
      </w:r>
      <w:r>
        <w:t>mm past the extreme outer edge of the left-hand (near) side of the vehicle;</w:t>
      </w:r>
    </w:p>
    <w:p w:rsidR="00240432" w:rsidRDefault="00240432" w:rsidP="00E248BF">
      <w:pPr>
        <w:pStyle w:val="ListParagraph"/>
        <w:keepLines/>
        <w:numPr>
          <w:ilvl w:val="1"/>
          <w:numId w:val="71"/>
        </w:numPr>
        <w:suppressAutoHyphens w:val="0"/>
        <w:autoSpaceDE/>
        <w:autoSpaceDN/>
        <w:adjustRightInd/>
        <w:ind w:left="1020" w:right="567" w:hanging="340"/>
        <w:textAlignment w:val="auto"/>
      </w:pPr>
      <w:r>
        <w:t xml:space="preserve">meet ADR 35/07 – Commercial Vehicle Brake Systems, which </w:t>
      </w:r>
      <w:r w:rsidR="00555B18">
        <w:t>includes</w:t>
      </w:r>
      <w:r>
        <w:t xml:space="preserve"> mandatory ESC requirements (referred to in the ADR as a Vehicle Stability Function) – note: this would </w:t>
      </w:r>
      <w:r w:rsidR="00555B18">
        <w:t xml:space="preserve">continue to </w:t>
      </w:r>
      <w:r>
        <w:t>include exemptions from fitting ESC to trucks with four or more axles and trucks designed for off-road use, as per ADR 35/0</w:t>
      </w:r>
      <w:r w:rsidR="00E07B26">
        <w:t>7 and UN R13</w:t>
      </w:r>
      <w:r>
        <w:t>;</w:t>
      </w:r>
    </w:p>
    <w:p w:rsidR="00240432" w:rsidRDefault="00240432" w:rsidP="00E248BF">
      <w:pPr>
        <w:pStyle w:val="ListParagraph"/>
        <w:keepLines/>
        <w:numPr>
          <w:ilvl w:val="1"/>
          <w:numId w:val="71"/>
        </w:numPr>
        <w:suppressAutoHyphens w:val="0"/>
        <w:autoSpaceDE/>
        <w:autoSpaceDN/>
        <w:adjustRightInd/>
        <w:ind w:left="1020" w:right="567" w:hanging="340"/>
        <w:textAlignment w:val="auto"/>
      </w:pPr>
      <w:r>
        <w:t xml:space="preserve">meet ADR 97/00 – Advanced Emergency Braking (refer Appendix </w:t>
      </w:r>
      <w:r w:rsidR="003D06DB">
        <w:t>7</w:t>
      </w:r>
      <w:r>
        <w:t xml:space="preserve">) for Omnibuses, and Medium and Heavy Goods Vehicles, </w:t>
      </w:r>
      <w:r w:rsidR="002D7457">
        <w:t xml:space="preserve">which </w:t>
      </w:r>
      <w:r>
        <w:t>incorpora</w:t>
      </w:r>
      <w:r w:rsidR="002D7457">
        <w:t>tes</w:t>
      </w:r>
      <w:r>
        <w:t xml:space="preserve"> the technical requirements of the latest version of the relevant international standard (UN R131/01) – note: this would </w:t>
      </w:r>
      <w:r w:rsidR="002D7457">
        <w:t xml:space="preserve">continue to </w:t>
      </w:r>
      <w:r>
        <w:t xml:space="preserve">include exemptions for trucks with four or more axles and trucks designed for off-road use, as per </w:t>
      </w:r>
      <w:r w:rsidR="00E07B26">
        <w:t xml:space="preserve">ADR 97/00, </w:t>
      </w:r>
      <w:r>
        <w:t>the EU requirements and as recommended in UN R131;</w:t>
      </w:r>
    </w:p>
    <w:p w:rsidR="00240432" w:rsidRDefault="00240432" w:rsidP="00E248BF">
      <w:pPr>
        <w:pStyle w:val="ListParagraph"/>
        <w:keepLines/>
        <w:numPr>
          <w:ilvl w:val="1"/>
          <w:numId w:val="71"/>
        </w:numPr>
        <w:suppressAutoHyphens w:val="0"/>
        <w:autoSpaceDE/>
        <w:autoSpaceDN/>
        <w:adjustRightInd/>
        <w:ind w:left="1020" w:right="567" w:hanging="340"/>
        <w:textAlignment w:val="auto"/>
      </w:pPr>
      <w:r>
        <w:t>meet a new ADR</w:t>
      </w:r>
      <w:r w:rsidRPr="00E25EA5">
        <w:t xml:space="preserve"> </w:t>
      </w:r>
      <w:r>
        <w:t>99/00</w:t>
      </w:r>
      <w:r w:rsidRPr="00E25EA5">
        <w:t xml:space="preserve"> </w:t>
      </w:r>
      <w:r>
        <w:t xml:space="preserve">– Lane Departure Warning Systems (refer Appendix </w:t>
      </w:r>
      <w:r w:rsidR="003D06DB">
        <w:t>8</w:t>
      </w:r>
      <w:r>
        <w:t>), incorporating the technical requirements of the relevant international standard (UN R130) – note: this would include exemptions for trucks with four or more axles and trucks designed for off-road use, as per the EU requirements and as recommended in UN R130;</w:t>
      </w:r>
    </w:p>
    <w:p w:rsidR="00240432" w:rsidRDefault="00240432" w:rsidP="00E248BF">
      <w:pPr>
        <w:pStyle w:val="ListParagraph"/>
        <w:keepLines/>
        <w:numPr>
          <w:ilvl w:val="1"/>
          <w:numId w:val="71"/>
        </w:numPr>
        <w:suppressAutoHyphens w:val="0"/>
        <w:autoSpaceDE/>
        <w:autoSpaceDN/>
        <w:adjustRightInd/>
        <w:ind w:left="1020" w:right="567" w:hanging="340"/>
        <w:textAlignment w:val="auto"/>
      </w:pPr>
      <w:r>
        <w:t>meet a new ADR</w:t>
      </w:r>
      <w:r w:rsidRPr="00E25EA5">
        <w:t xml:space="preserve"> </w:t>
      </w:r>
      <w:r>
        <w:t>105/00</w:t>
      </w:r>
      <w:r w:rsidRPr="00E25EA5">
        <w:t xml:space="preserve"> </w:t>
      </w:r>
      <w:r>
        <w:t>–</w:t>
      </w:r>
      <w:r w:rsidRPr="00A75A71">
        <w:t xml:space="preserve"> Blind Spot Information Systems</w:t>
      </w:r>
      <w:r>
        <w:t xml:space="preserve"> (refer Appendix </w:t>
      </w:r>
      <w:r w:rsidR="003D06DB">
        <w:t>9</w:t>
      </w:r>
      <w:r>
        <w:t>), incorporating the technical requirements of the relevant international standard (UN R151) – note: this ADR would only apply to goods vehicles over 8</w:t>
      </w:r>
      <w:r w:rsidRPr="00D3537D">
        <w:t xml:space="preserve"> tonnes</w:t>
      </w:r>
      <w:r>
        <w:t xml:space="preserve"> GVM, as per UN R151 (and from a later date than the other proposed new ADRs – see below);</w:t>
      </w:r>
    </w:p>
    <w:p w:rsidR="00240432" w:rsidRDefault="00240432" w:rsidP="00E248BF">
      <w:pPr>
        <w:pStyle w:val="ListParagraph"/>
        <w:keepLines/>
        <w:numPr>
          <w:ilvl w:val="1"/>
          <w:numId w:val="71"/>
        </w:numPr>
        <w:suppressAutoHyphens w:val="0"/>
        <w:autoSpaceDE/>
        <w:autoSpaceDN/>
        <w:adjustRightInd/>
        <w:ind w:left="1020" w:right="567" w:hanging="340"/>
        <w:textAlignment w:val="auto"/>
      </w:pPr>
      <w:r>
        <w:t>meet a new ADR</w:t>
      </w:r>
      <w:r w:rsidRPr="00E25EA5">
        <w:t xml:space="preserve"> </w:t>
      </w:r>
      <w:r>
        <w:t>106/00</w:t>
      </w:r>
      <w:r w:rsidRPr="00E25EA5">
        <w:t xml:space="preserve"> </w:t>
      </w:r>
      <w:r>
        <w:t>–</w:t>
      </w:r>
      <w:r w:rsidRPr="00A75A71">
        <w:t xml:space="preserve"> </w:t>
      </w:r>
      <w:r>
        <w:t xml:space="preserve">Side Underrun Protection (refer Appendix </w:t>
      </w:r>
      <w:r w:rsidR="003D06DB">
        <w:t>10</w:t>
      </w:r>
      <w:r>
        <w:t>), incorporating the technical requirements of the latest version of the relevant international standard (UN R73/01) – note: this ADR would not apply to prime movers, as per UN R73; and</w:t>
      </w:r>
    </w:p>
    <w:p w:rsidR="00240432" w:rsidRDefault="00240432" w:rsidP="00E248BF">
      <w:pPr>
        <w:pStyle w:val="ListParagraph"/>
        <w:keepLines/>
        <w:numPr>
          <w:ilvl w:val="1"/>
          <w:numId w:val="71"/>
        </w:numPr>
        <w:suppressAutoHyphens w:val="0"/>
        <w:autoSpaceDE/>
        <w:autoSpaceDN/>
        <w:adjustRightInd/>
        <w:ind w:left="1020" w:right="567" w:hanging="340"/>
        <w:textAlignment w:val="auto"/>
      </w:pPr>
      <w:r>
        <w:t>if over 7.5</w:t>
      </w:r>
      <w:r w:rsidRPr="00D3537D">
        <w:t xml:space="preserve"> tonnes</w:t>
      </w:r>
      <w:r>
        <w:t xml:space="preserve"> GVM (and excluding prime movers), be fitted with conspicuity markings (refer</w:t>
      </w:r>
      <w:r w:rsidR="002D7457">
        <w:t> </w:t>
      </w:r>
      <w:r>
        <w:t xml:space="preserve">Appendix </w:t>
      </w:r>
      <w:r w:rsidR="00346A4A">
        <w:t>1</w:t>
      </w:r>
      <w:r w:rsidR="003D06DB">
        <w:t>1</w:t>
      </w:r>
      <w:r>
        <w:t>) in accordance with ADR 13/00 (or any later version of this ADR).</w:t>
      </w:r>
    </w:p>
    <w:p w:rsidR="00240432" w:rsidRDefault="00240432" w:rsidP="00E248BF">
      <w:pPr>
        <w:pStyle w:val="ListParagraph"/>
        <w:keepLines/>
        <w:numPr>
          <w:ilvl w:val="0"/>
          <w:numId w:val="71"/>
        </w:numPr>
        <w:suppressAutoHyphens w:val="0"/>
        <w:autoSpaceDE/>
        <w:autoSpaceDN/>
        <w:adjustRightInd/>
        <w:ind w:left="680" w:right="170" w:hanging="340"/>
        <w:textAlignment w:val="auto"/>
      </w:pPr>
      <w:r>
        <w:t xml:space="preserve">The wider trailers (those exceeding the current </w:t>
      </w:r>
      <w:r w:rsidR="00B9347B">
        <w:t>2.50</w:t>
      </w:r>
      <w:r w:rsidR="00E35A93">
        <w:t> </w:t>
      </w:r>
      <w:r>
        <w:t>m limit) would be required to:</w:t>
      </w:r>
    </w:p>
    <w:p w:rsidR="002769B2" w:rsidRDefault="002769B2" w:rsidP="00E248BF">
      <w:pPr>
        <w:pStyle w:val="ListParagraph"/>
        <w:keepLines/>
        <w:numPr>
          <w:ilvl w:val="1"/>
          <w:numId w:val="71"/>
        </w:numPr>
        <w:suppressAutoHyphens w:val="0"/>
        <w:autoSpaceDE/>
        <w:autoSpaceDN/>
        <w:adjustRightInd/>
        <w:ind w:left="1020" w:right="567" w:hanging="340"/>
        <w:textAlignment w:val="auto"/>
      </w:pPr>
      <w:r>
        <w:t xml:space="preserve">meet ADR 38/05 – </w:t>
      </w:r>
      <w:r w:rsidR="00A36EE5">
        <w:t xml:space="preserve">Trailer </w:t>
      </w:r>
      <w:r>
        <w:t>Brake Systems, which includes mandatory RSC requirements (referred to in the ADR as a Vehicle Stability Function) – note: this would continue to include exemptions from fitting RSC to tr</w:t>
      </w:r>
      <w:r w:rsidR="00A36EE5">
        <w:t>ailers</w:t>
      </w:r>
      <w:r>
        <w:t xml:space="preserve"> with four or more axles </w:t>
      </w:r>
      <w:r w:rsidR="00A36EE5">
        <w:t>in a group and/or four or more tyres in a row of axles</w:t>
      </w:r>
      <w:r>
        <w:t>, as per ADR 38/05;</w:t>
      </w:r>
    </w:p>
    <w:p w:rsidR="00240432" w:rsidRDefault="00240432" w:rsidP="00E248BF">
      <w:pPr>
        <w:pStyle w:val="ListParagraph"/>
        <w:keepLines/>
        <w:numPr>
          <w:ilvl w:val="1"/>
          <w:numId w:val="71"/>
        </w:numPr>
        <w:suppressAutoHyphens w:val="0"/>
        <w:autoSpaceDE/>
        <w:autoSpaceDN/>
        <w:adjustRightInd/>
        <w:ind w:left="1020" w:right="567" w:hanging="340"/>
        <w:textAlignment w:val="auto"/>
      </w:pPr>
      <w:r>
        <w:t>meet a new ADR</w:t>
      </w:r>
      <w:r w:rsidRPr="00E25EA5">
        <w:t xml:space="preserve"> </w:t>
      </w:r>
      <w:r>
        <w:t>106/00</w:t>
      </w:r>
      <w:r w:rsidRPr="00E25EA5">
        <w:t xml:space="preserve"> </w:t>
      </w:r>
      <w:r>
        <w:t>–</w:t>
      </w:r>
      <w:r w:rsidRPr="00A75A71">
        <w:t xml:space="preserve"> </w:t>
      </w:r>
      <w:r>
        <w:t xml:space="preserve">Side Underrun Protection (refer Appendix </w:t>
      </w:r>
      <w:r w:rsidR="003D06DB">
        <w:t>10</w:t>
      </w:r>
      <w:r>
        <w:t>), incorporating the technical requirements of the latest version of the relevant international standard (UN R73/01); and</w:t>
      </w:r>
    </w:p>
    <w:p w:rsidR="00240432" w:rsidRDefault="00240432" w:rsidP="00E248BF">
      <w:pPr>
        <w:pStyle w:val="ListParagraph"/>
        <w:keepLines/>
        <w:numPr>
          <w:ilvl w:val="1"/>
          <w:numId w:val="71"/>
        </w:numPr>
        <w:suppressAutoHyphens w:val="0"/>
        <w:autoSpaceDE/>
        <w:autoSpaceDN/>
        <w:adjustRightInd/>
        <w:ind w:left="1020" w:right="567" w:hanging="340"/>
        <w:textAlignment w:val="auto"/>
      </w:pPr>
      <w:r>
        <w:t xml:space="preserve">be fitted with conspicuity markings (refer Appendix </w:t>
      </w:r>
      <w:r w:rsidR="00346A4A">
        <w:t>1</w:t>
      </w:r>
      <w:r w:rsidR="003D06DB">
        <w:t>1</w:t>
      </w:r>
      <w:r>
        <w:t>) in accordance with ADR</w:t>
      </w:r>
      <w:r w:rsidR="002D7457">
        <w:t> </w:t>
      </w:r>
      <w:r>
        <w:t>13/00 (or any later version of this ADR).</w:t>
      </w:r>
    </w:p>
    <w:p w:rsidR="00240432" w:rsidRDefault="00240432" w:rsidP="0056796D">
      <w:pPr>
        <w:keepLines/>
        <w:ind w:right="567"/>
      </w:pPr>
      <w:r>
        <w:t xml:space="preserve">The </w:t>
      </w:r>
      <w:r w:rsidR="00B45149">
        <w:t>ADRs</w:t>
      </w:r>
      <w:r>
        <w:t xml:space="preserve"> for devices for indirect vision, AEB, ESC, LDWS, and side underrun protection, would be mandatory for goods vehicles exceeding the current </w:t>
      </w:r>
      <w:r w:rsidR="00B9347B">
        <w:t>2.50</w:t>
      </w:r>
      <w:r w:rsidR="00E07B26">
        <w:t> </w:t>
      </w:r>
      <w:r>
        <w:t xml:space="preserve">m width limit (with some limited exemptions – as noted above), from the same date the ADR amendment to allow wider vehicles (under standard approval processes) commences.  These ADRs would all be optional for vehicles not exceeding the current </w:t>
      </w:r>
      <w:r w:rsidR="00B9347B">
        <w:t>2.50</w:t>
      </w:r>
      <w:r w:rsidR="00E07B26">
        <w:t> </w:t>
      </w:r>
      <w:r>
        <w:t xml:space="preserve">m width limit, unless mandated through a separate ADR development process to this proposal </w:t>
      </w:r>
      <w:r w:rsidR="00B45149">
        <w:t xml:space="preserve">(e.g. as is currently being considered for LDWS for heavy vehicles) </w:t>
      </w:r>
      <w:r>
        <w:t xml:space="preserve">or where already </w:t>
      </w:r>
      <w:r w:rsidR="002769B2">
        <w:t>mandated, including from a future date</w:t>
      </w:r>
      <w:r>
        <w:t xml:space="preserve"> (e.g. </w:t>
      </w:r>
      <w:r w:rsidR="002769B2">
        <w:t xml:space="preserve">AEB and </w:t>
      </w:r>
      <w:r>
        <w:t xml:space="preserve">ESC for </w:t>
      </w:r>
      <w:r w:rsidR="002769B2">
        <w:t>heavy vehicles</w:t>
      </w:r>
      <w:r>
        <w:t xml:space="preserve">). The same principles would be applied in regard to the applicability of the new ADRs for wider trailers – these would be mandatory for trailers exceeding the current </w:t>
      </w:r>
      <w:r w:rsidR="00B9347B">
        <w:t>2.50</w:t>
      </w:r>
      <w:r w:rsidR="00E07B26">
        <w:t> </w:t>
      </w:r>
      <w:r>
        <w:t>m width limit, and optional for trailers within the current limit (unless mandated through a separate ADR development process to this proposal</w:t>
      </w:r>
      <w:r w:rsidR="002769B2">
        <w:t xml:space="preserve"> or already mandatory</w:t>
      </w:r>
      <w:r>
        <w:t>).</w:t>
      </w:r>
    </w:p>
    <w:p w:rsidR="00240432" w:rsidRDefault="002769B2" w:rsidP="00525810">
      <w:r>
        <w:t>T</w:t>
      </w:r>
      <w:r w:rsidR="00240432">
        <w:t xml:space="preserve">he new ADR for blind spot information systems (for detection of bicycles) would be mandatory for new heavy goods vehicles over 8 tonnes GVM and exceeding the current </w:t>
      </w:r>
      <w:r w:rsidR="00B9347B">
        <w:t>2.50</w:t>
      </w:r>
      <w:r w:rsidR="00E35A93">
        <w:t> </w:t>
      </w:r>
      <w:r w:rsidR="00240432">
        <w:t xml:space="preserve">m width limit, from 1 </w:t>
      </w:r>
      <w:r w:rsidR="002D7457">
        <w:t>November 2024</w:t>
      </w:r>
      <w:r w:rsidR="00240432">
        <w:t xml:space="preserve"> for new models and 1</w:t>
      </w:r>
      <w:r>
        <w:t> </w:t>
      </w:r>
      <w:r w:rsidR="002D7457">
        <w:t>February</w:t>
      </w:r>
      <w:r w:rsidR="00240432">
        <w:t xml:space="preserve"> 202</w:t>
      </w:r>
      <w:r w:rsidR="002D7457">
        <w:t>7</w:t>
      </w:r>
      <w:r w:rsidR="00240432">
        <w:t xml:space="preserve"> for those models existing in the market prior to the new model date (1 </w:t>
      </w:r>
      <w:r>
        <w:t>November 2024</w:t>
      </w:r>
      <w:r w:rsidR="00240432">
        <w:t xml:space="preserve">). This is because this is a relatively new UN regulation, which will not be mandatory for all new heavy goods vehicles </w:t>
      </w:r>
      <w:r w:rsidR="002D7457">
        <w:br/>
      </w:r>
      <w:r w:rsidR="00240432">
        <w:t>(over 8 tonnes maximum permissible mass) in the EU until July 2024.</w:t>
      </w:r>
    </w:p>
    <w:p w:rsidR="00525810" w:rsidRDefault="002F497E" w:rsidP="00525810">
      <w:r>
        <w:t>Where operators (including in particular sectors</w:t>
      </w:r>
      <w:r w:rsidR="00A213F2">
        <w:t>, such as refrigerated transport</w:t>
      </w:r>
      <w:r>
        <w:t xml:space="preserve">) see opportunities to increase productivity through wider goods vehicles and/or trailers, this option would encourage </w:t>
      </w:r>
      <w:r w:rsidR="00A213F2">
        <w:t xml:space="preserve">increased </w:t>
      </w:r>
      <w:r>
        <w:t>take-up of both newer trucks and trailers with more advanced safety systems/features</w:t>
      </w:r>
      <w:r w:rsidR="00A213F2">
        <w:t xml:space="preserve">, including but not limited to those prescribed as part of the safety package. It would </w:t>
      </w:r>
      <w:r w:rsidR="00C4128C">
        <w:t xml:space="preserve">also </w:t>
      </w:r>
      <w:r w:rsidR="00A213F2">
        <w:t xml:space="preserve">substantially reduce width related modification costs for new trucks and trailers sourced from or based on designs for markets with </w:t>
      </w:r>
      <w:r w:rsidR="007908F8">
        <w:t>an increased width limit</w:t>
      </w:r>
      <w:r w:rsidR="00A213F2">
        <w:t xml:space="preserve">. There would still be </w:t>
      </w:r>
      <w:r w:rsidR="007908F8">
        <w:t xml:space="preserve">some </w:t>
      </w:r>
      <w:r w:rsidR="00A213F2">
        <w:t xml:space="preserve">width related modification costs for new trucks and trailers sourced from or based on designs for markets with a 2.60 m width limit, but these </w:t>
      </w:r>
      <w:r w:rsidR="003B3F53">
        <w:t>sh</w:t>
      </w:r>
      <w:r w:rsidR="00A213F2">
        <w:t>ould be much reduced compared to the current 2.50 m width limit.</w:t>
      </w:r>
    </w:p>
    <w:p w:rsidR="00240432" w:rsidRPr="0027412B" w:rsidRDefault="00240432" w:rsidP="005A5EA4">
      <w:pPr>
        <w:pStyle w:val="Heading5"/>
      </w:pPr>
      <w:r>
        <w:t xml:space="preserve">Option </w:t>
      </w:r>
      <w:r w:rsidR="007657A6">
        <w:t>3.</w:t>
      </w:r>
      <w:r>
        <w:t>1b – Increase the width limit to 2.55</w:t>
      </w:r>
      <w:r w:rsidR="00267F80">
        <w:t> </w:t>
      </w:r>
      <w:r>
        <w:t>m for goods vehicles over 4.5</w:t>
      </w:r>
      <w:r w:rsidRPr="00D3537D">
        <w:rPr>
          <w:lang w:val="en-AU"/>
        </w:rPr>
        <w:t xml:space="preserve"> tonnes</w:t>
      </w:r>
      <w:r>
        <w:t xml:space="preserve"> only</w:t>
      </w:r>
    </w:p>
    <w:p w:rsidR="00240432" w:rsidRDefault="00240432" w:rsidP="00240432">
      <w:r>
        <w:t>Under this option:</w:t>
      </w:r>
    </w:p>
    <w:p w:rsidR="00240432" w:rsidRDefault="00240432" w:rsidP="00E248BF">
      <w:pPr>
        <w:pStyle w:val="ListParagraph"/>
        <w:keepLines/>
        <w:numPr>
          <w:ilvl w:val="0"/>
          <w:numId w:val="71"/>
        </w:numPr>
        <w:suppressAutoHyphens w:val="0"/>
        <w:autoSpaceDE/>
        <w:autoSpaceDN/>
        <w:adjustRightInd/>
        <w:ind w:left="680" w:right="170" w:hanging="340"/>
        <w:textAlignment w:val="auto"/>
      </w:pPr>
      <w:r>
        <w:t>The vehicle width limit for goods vehicles (i.e. trucks) over 4.5</w:t>
      </w:r>
      <w:r w:rsidRPr="00D3537D">
        <w:t xml:space="preserve"> tonnes</w:t>
      </w:r>
      <w:r>
        <w:t xml:space="preserve"> GVM (ADR category NB2 and NC vehicles), would be increased from </w:t>
      </w:r>
      <w:r w:rsidR="00B9347B">
        <w:t>2.50</w:t>
      </w:r>
      <w:r w:rsidR="00E35A93">
        <w:t> </w:t>
      </w:r>
      <w:r>
        <w:t>m</w:t>
      </w:r>
      <w:r w:rsidRPr="0050539E">
        <w:t xml:space="preserve"> to </w:t>
      </w:r>
      <w:r>
        <w:t>2.55</w:t>
      </w:r>
      <w:r w:rsidR="00E35A93">
        <w:t> </w:t>
      </w:r>
      <w:r>
        <w:t>m.</w:t>
      </w:r>
    </w:p>
    <w:p w:rsidR="00240432" w:rsidRDefault="00240432" w:rsidP="00E248BF">
      <w:pPr>
        <w:pStyle w:val="ListParagraph"/>
        <w:keepLines/>
        <w:numPr>
          <w:ilvl w:val="0"/>
          <w:numId w:val="71"/>
        </w:numPr>
        <w:suppressAutoHyphens w:val="0"/>
        <w:autoSpaceDE/>
        <w:autoSpaceDN/>
        <w:adjustRightInd/>
        <w:ind w:left="680" w:right="170" w:hanging="340"/>
        <w:textAlignment w:val="auto"/>
      </w:pPr>
      <w:r>
        <w:t>P</w:t>
      </w:r>
      <w:r w:rsidRPr="00E25EA5">
        <w:t xml:space="preserve">ermanently fixed webbing-assembly-type devices </w:t>
      </w:r>
      <w:r>
        <w:t>(</w:t>
      </w:r>
      <w:r w:rsidRPr="00E25EA5">
        <w:t>such as curtain-side devices</w:t>
      </w:r>
      <w:r>
        <w:t xml:space="preserve">) would </w:t>
      </w:r>
      <w:r w:rsidR="0032380B">
        <w:t xml:space="preserve">continue to </w:t>
      </w:r>
      <w:r>
        <w:t xml:space="preserve">be excluded from the measurement of the vehicle width, </w:t>
      </w:r>
      <w:r w:rsidRPr="00E25EA5">
        <w:t>provided the maximum distance across the body of the vehicle, including any part of the devices, is not more than 2.</w:t>
      </w:r>
      <w:r w:rsidR="0022064A">
        <w:t>55</w:t>
      </w:r>
      <w:r w:rsidR="00E35A93">
        <w:t> </w:t>
      </w:r>
      <w:r>
        <w:t>m.</w:t>
      </w:r>
    </w:p>
    <w:p w:rsidR="00930B20" w:rsidRDefault="00930B20" w:rsidP="00E248BF">
      <w:pPr>
        <w:pStyle w:val="ListParagraph"/>
        <w:keepLines/>
        <w:numPr>
          <w:ilvl w:val="0"/>
          <w:numId w:val="71"/>
        </w:numPr>
        <w:suppressAutoHyphens w:val="0"/>
        <w:autoSpaceDE/>
        <w:autoSpaceDN/>
        <w:adjustRightInd/>
        <w:ind w:left="680" w:right="170" w:hanging="340"/>
        <w:textAlignment w:val="auto"/>
      </w:pPr>
      <w:r>
        <w:t xml:space="preserve">Central tyre inflation systems would continue to be excluded from the measurement of the vehicle width, </w:t>
      </w:r>
      <w:r w:rsidRPr="00E25EA5">
        <w:t xml:space="preserve">provided </w:t>
      </w:r>
      <w:r>
        <w:t>the</w:t>
      </w:r>
      <w:r w:rsidRPr="00B81D76">
        <w:t xml:space="preserve"> total lateral (i.e. left + right side) protrusion of </w:t>
      </w:r>
      <w:r>
        <w:t>such</w:t>
      </w:r>
      <w:r w:rsidRPr="00B81D76">
        <w:t xml:space="preserve"> devices/systems (or excluded parts thereof) beyond the </w:t>
      </w:r>
      <w:r>
        <w:t>o</w:t>
      </w:r>
      <w:r w:rsidRPr="00B81D76">
        <w:t xml:space="preserve">verall </w:t>
      </w:r>
      <w:r>
        <w:t>w</w:t>
      </w:r>
      <w:r w:rsidRPr="00B81D76">
        <w:t xml:space="preserve">idth, </w:t>
      </w:r>
      <w:r>
        <w:t>does</w:t>
      </w:r>
      <w:r w:rsidRPr="00B81D76">
        <w:t xml:space="preserve"> not exceed 100 mm</w:t>
      </w:r>
      <w:r>
        <w:t xml:space="preserve"> on each side of the vehicle.</w:t>
      </w:r>
    </w:p>
    <w:p w:rsidR="00240432" w:rsidRDefault="00240432" w:rsidP="00E248BF">
      <w:pPr>
        <w:pStyle w:val="ListParagraph"/>
        <w:keepLines/>
        <w:numPr>
          <w:ilvl w:val="0"/>
          <w:numId w:val="71"/>
        </w:numPr>
        <w:suppressAutoHyphens w:val="0"/>
        <w:autoSpaceDE/>
        <w:autoSpaceDN/>
        <w:adjustRightInd/>
        <w:ind w:left="680" w:right="170" w:hanging="340"/>
        <w:textAlignment w:val="auto"/>
      </w:pPr>
      <w:r>
        <w:t xml:space="preserve">The wider goods vehicles (those exceeding the current </w:t>
      </w:r>
      <w:r w:rsidR="00B9347B">
        <w:t>2.50</w:t>
      </w:r>
      <w:r w:rsidR="00E35A93">
        <w:t> </w:t>
      </w:r>
      <w:r>
        <w:t xml:space="preserve">m limit) would be required to meet each of the proposed new ADRs / ADR requirements listed for goods vehicles under Option </w:t>
      </w:r>
      <w:r w:rsidR="007657A6">
        <w:t>3.</w:t>
      </w:r>
      <w:r>
        <w:t>1a above.</w:t>
      </w:r>
    </w:p>
    <w:p w:rsidR="008509AA" w:rsidRDefault="008509AA" w:rsidP="008509AA">
      <w:r>
        <w:t xml:space="preserve">Where operators (including in particular sectors, such as refrigerated transport) see opportunities to increase productivity through wider goods vehicles, this option would encourage increased take-up of newer trucks with more advanced safety systems/features, including but not limited to those prescribed as part of the safety package. It would </w:t>
      </w:r>
      <w:r w:rsidR="00C4128C">
        <w:t xml:space="preserve">also </w:t>
      </w:r>
      <w:r>
        <w:t xml:space="preserve">substantially reduce width related modification costs for new trucks sourced from or based on designs for markets with </w:t>
      </w:r>
      <w:r w:rsidR="00FA44C5">
        <w:t xml:space="preserve">an increased </w:t>
      </w:r>
      <w:r>
        <w:t xml:space="preserve">width limit. There would still be </w:t>
      </w:r>
      <w:r w:rsidR="007908F8">
        <w:t xml:space="preserve">some </w:t>
      </w:r>
      <w:r>
        <w:t>width related modification costs for new trucks sourced from or based on designs for markets with a 2.60 m width limit, but these should be much reduced compared to the current 2.50 m width limit.</w:t>
      </w:r>
      <w:r w:rsidR="007908F8">
        <w:t xml:space="preserve"> This option would not encourage any increased take-up (relative to business as usual) of newer/safer trailers, and would not reduce width related modification costs for trailers sourced from or based on designs for markets with either a 2.55 m or a 2.60 m width limit.</w:t>
      </w:r>
    </w:p>
    <w:p w:rsidR="00240432" w:rsidRPr="0027412B" w:rsidRDefault="00240432" w:rsidP="0062067E">
      <w:pPr>
        <w:pStyle w:val="Heading5"/>
        <w:pageBreakBefore/>
      </w:pPr>
      <w:r>
        <w:t xml:space="preserve">Option </w:t>
      </w:r>
      <w:r w:rsidR="007657A6">
        <w:t>3.</w:t>
      </w:r>
      <w:r>
        <w:t xml:space="preserve">2a – Increase the width limit to </w:t>
      </w:r>
      <w:r w:rsidR="00B9347B">
        <w:t>2.60</w:t>
      </w:r>
      <w:r w:rsidR="00267F80">
        <w:t> </w:t>
      </w:r>
      <w:r>
        <w:t>m for goods vehicles and trailers over 4.5</w:t>
      </w:r>
      <w:r w:rsidRPr="00D3537D">
        <w:rPr>
          <w:lang w:val="en-AU"/>
        </w:rPr>
        <w:t xml:space="preserve"> tonnes</w:t>
      </w:r>
    </w:p>
    <w:p w:rsidR="00240432" w:rsidRDefault="00240432" w:rsidP="00240432">
      <w:r>
        <w:t>Under this option:</w:t>
      </w:r>
    </w:p>
    <w:p w:rsidR="00240432" w:rsidRDefault="00240432" w:rsidP="00E248BF">
      <w:pPr>
        <w:pStyle w:val="ListParagraph"/>
        <w:keepLines/>
        <w:numPr>
          <w:ilvl w:val="0"/>
          <w:numId w:val="71"/>
        </w:numPr>
        <w:suppressAutoHyphens w:val="0"/>
        <w:autoSpaceDE/>
        <w:autoSpaceDN/>
        <w:adjustRightInd/>
        <w:ind w:left="680" w:right="170" w:hanging="340"/>
        <w:textAlignment w:val="auto"/>
      </w:pPr>
      <w:r>
        <w:t>The vehicle width limit for goods vehicles (i.e. trucks) over 4.5</w:t>
      </w:r>
      <w:r w:rsidRPr="00D3537D">
        <w:t xml:space="preserve"> tonnes</w:t>
      </w:r>
      <w:r>
        <w:t xml:space="preserve"> GVM and trailers over 4.5</w:t>
      </w:r>
      <w:r w:rsidR="00E35A93">
        <w:t xml:space="preserve"> </w:t>
      </w:r>
      <w:r w:rsidRPr="00D3537D">
        <w:t>tonnes</w:t>
      </w:r>
      <w:r>
        <w:t xml:space="preserve"> ATM (ADR category NB2, NC, TC (over 4.5 tonnes) and TD vehicles), would be increased from </w:t>
      </w:r>
      <w:r w:rsidR="00B9347B">
        <w:t>2.50</w:t>
      </w:r>
      <w:r w:rsidR="00E35A93">
        <w:t> </w:t>
      </w:r>
      <w:r>
        <w:t>m</w:t>
      </w:r>
      <w:r w:rsidRPr="0050539E">
        <w:t xml:space="preserve"> to </w:t>
      </w:r>
      <w:r w:rsidR="00B9347B">
        <w:t>2.60</w:t>
      </w:r>
      <w:r w:rsidR="00E35A93">
        <w:t> </w:t>
      </w:r>
      <w:r>
        <w:t>m.</w:t>
      </w:r>
    </w:p>
    <w:p w:rsidR="00240432" w:rsidRDefault="00240432" w:rsidP="00E248BF">
      <w:pPr>
        <w:pStyle w:val="ListParagraph"/>
        <w:keepLines/>
        <w:numPr>
          <w:ilvl w:val="0"/>
          <w:numId w:val="71"/>
        </w:numPr>
        <w:suppressAutoHyphens w:val="0"/>
        <w:autoSpaceDE/>
        <w:autoSpaceDN/>
        <w:adjustRightInd/>
        <w:ind w:left="680" w:right="170" w:hanging="340"/>
        <w:textAlignment w:val="auto"/>
      </w:pPr>
      <w:r>
        <w:t>P</w:t>
      </w:r>
      <w:r w:rsidRPr="00E25EA5">
        <w:t xml:space="preserve">ermanently fixed webbing-assembly-type devices </w:t>
      </w:r>
      <w:r>
        <w:t>(</w:t>
      </w:r>
      <w:r w:rsidRPr="00E25EA5">
        <w:t>such as curtain-side devices</w:t>
      </w:r>
      <w:r>
        <w:t xml:space="preserve">) would be excluded from the measurement of the vehicle width, </w:t>
      </w:r>
      <w:r w:rsidRPr="00E25EA5">
        <w:t xml:space="preserve">provided the maximum distance across the body of the vehicle, including any part of the devices, is not more than </w:t>
      </w:r>
      <w:r w:rsidR="00B9347B">
        <w:t>2.60</w:t>
      </w:r>
      <w:r w:rsidR="00E35A93">
        <w:t> </w:t>
      </w:r>
      <w:r>
        <w:t>m.</w:t>
      </w:r>
    </w:p>
    <w:p w:rsidR="00930B20" w:rsidRDefault="00930B20" w:rsidP="00E248BF">
      <w:pPr>
        <w:pStyle w:val="ListParagraph"/>
        <w:keepLines/>
        <w:numPr>
          <w:ilvl w:val="0"/>
          <w:numId w:val="71"/>
        </w:numPr>
        <w:suppressAutoHyphens w:val="0"/>
        <w:autoSpaceDE/>
        <w:autoSpaceDN/>
        <w:adjustRightInd/>
        <w:ind w:left="680" w:right="170" w:hanging="340"/>
        <w:textAlignment w:val="auto"/>
      </w:pPr>
      <w:r>
        <w:t xml:space="preserve">Central tyre inflation systems would continue to be excluded from the measurement of the vehicle width, </w:t>
      </w:r>
      <w:r w:rsidRPr="00E25EA5">
        <w:t xml:space="preserve">provided </w:t>
      </w:r>
      <w:r>
        <w:t>the</w:t>
      </w:r>
      <w:r w:rsidRPr="00B81D76">
        <w:t xml:space="preserve"> total lateral (i.e. left + right side) protrusion of </w:t>
      </w:r>
      <w:r>
        <w:t>such</w:t>
      </w:r>
      <w:r w:rsidRPr="00B81D76">
        <w:t xml:space="preserve"> devices/systems (or excluded parts thereof) beyond the </w:t>
      </w:r>
      <w:r>
        <w:t>o</w:t>
      </w:r>
      <w:r w:rsidRPr="00B81D76">
        <w:t xml:space="preserve">verall </w:t>
      </w:r>
      <w:r>
        <w:t>w</w:t>
      </w:r>
      <w:r w:rsidRPr="00B81D76">
        <w:t xml:space="preserve">idth, </w:t>
      </w:r>
      <w:r>
        <w:t>does</w:t>
      </w:r>
      <w:r w:rsidRPr="00B81D76">
        <w:t xml:space="preserve"> not exceed 100 mm</w:t>
      </w:r>
      <w:r>
        <w:t xml:space="preserve"> on each side of the vehicle.</w:t>
      </w:r>
    </w:p>
    <w:p w:rsidR="00240432" w:rsidRDefault="00240432" w:rsidP="00E248BF">
      <w:pPr>
        <w:pStyle w:val="ListParagraph"/>
        <w:keepLines/>
        <w:numPr>
          <w:ilvl w:val="0"/>
          <w:numId w:val="71"/>
        </w:numPr>
        <w:suppressAutoHyphens w:val="0"/>
        <w:autoSpaceDE/>
        <w:autoSpaceDN/>
        <w:adjustRightInd/>
        <w:ind w:left="680" w:right="170" w:hanging="340"/>
        <w:textAlignment w:val="auto"/>
      </w:pPr>
      <w:r>
        <w:t xml:space="preserve">The wider goods vehicles (those exceeding the current </w:t>
      </w:r>
      <w:r w:rsidR="00B9347B">
        <w:t>2.50</w:t>
      </w:r>
      <w:r>
        <w:t xml:space="preserve"> m limit) would be required to meet each of the proposed new ADRs listed for goods vehicles under Option </w:t>
      </w:r>
      <w:r w:rsidR="006F3778">
        <w:t>3.</w:t>
      </w:r>
      <w:r>
        <w:t>1a above.</w:t>
      </w:r>
    </w:p>
    <w:p w:rsidR="00240432" w:rsidRDefault="00240432" w:rsidP="00E248BF">
      <w:pPr>
        <w:pStyle w:val="ListParagraph"/>
        <w:keepLines/>
        <w:numPr>
          <w:ilvl w:val="0"/>
          <w:numId w:val="71"/>
        </w:numPr>
        <w:suppressAutoHyphens w:val="0"/>
        <w:autoSpaceDE/>
        <w:autoSpaceDN/>
        <w:adjustRightInd/>
        <w:ind w:left="680" w:right="170" w:hanging="340"/>
        <w:textAlignment w:val="auto"/>
      </w:pPr>
      <w:r>
        <w:t xml:space="preserve">The wider trailers (those exceeding the current </w:t>
      </w:r>
      <w:r w:rsidR="00B9347B">
        <w:t>2.50</w:t>
      </w:r>
      <w:r>
        <w:t xml:space="preserve"> m limit) would be required to meet each of the proposed new ADRs / ADR requirements listed for trailers under Option </w:t>
      </w:r>
      <w:r w:rsidR="002769B2">
        <w:t>3.</w:t>
      </w:r>
      <w:r>
        <w:t>1a above.</w:t>
      </w:r>
    </w:p>
    <w:p w:rsidR="00E3654F" w:rsidRDefault="00E3654F" w:rsidP="00E3654F">
      <w:r>
        <w:t>Where operators (including in particular sectors, such as refrigerated transport) see opportunities to increase productivity through wider goods vehicles and/or trailers, this option would encourage increased take-up of both newer trucks and trailers with more advanced safety systems/features, including but not limited to those prescribed as part of the safety package. It would</w:t>
      </w:r>
      <w:r w:rsidR="00C4128C">
        <w:t xml:space="preserve"> also</w:t>
      </w:r>
      <w:r>
        <w:t xml:space="preserve"> eliminate width related modification costs for new trucks and trailers sourced from or based on designs for markets with an increased width limit.</w:t>
      </w:r>
    </w:p>
    <w:p w:rsidR="00240432" w:rsidRPr="0027412B" w:rsidRDefault="00240432" w:rsidP="005A5EA4">
      <w:pPr>
        <w:pStyle w:val="Heading5"/>
      </w:pPr>
      <w:r w:rsidRPr="0027412B">
        <w:t xml:space="preserve">Option </w:t>
      </w:r>
      <w:r w:rsidR="007657A6">
        <w:t>3.</w:t>
      </w:r>
      <w:r>
        <w:t xml:space="preserve">2b – Increase the width limit to </w:t>
      </w:r>
      <w:r w:rsidR="00B9347B">
        <w:t>2.60</w:t>
      </w:r>
      <w:r w:rsidR="00267F80">
        <w:t> </w:t>
      </w:r>
      <w:r>
        <w:t>m for goods vehicles over 4.5</w:t>
      </w:r>
      <w:r w:rsidRPr="00D3537D">
        <w:rPr>
          <w:lang w:val="en-AU"/>
        </w:rPr>
        <w:t xml:space="preserve"> tonnes</w:t>
      </w:r>
      <w:r>
        <w:t xml:space="preserve"> only</w:t>
      </w:r>
    </w:p>
    <w:p w:rsidR="00240432" w:rsidRDefault="00240432" w:rsidP="00240432">
      <w:r>
        <w:t>Under this option:</w:t>
      </w:r>
    </w:p>
    <w:p w:rsidR="00240432" w:rsidRDefault="00240432" w:rsidP="00E248BF">
      <w:pPr>
        <w:pStyle w:val="ListParagraph"/>
        <w:keepLines/>
        <w:numPr>
          <w:ilvl w:val="0"/>
          <w:numId w:val="71"/>
        </w:numPr>
        <w:suppressAutoHyphens w:val="0"/>
        <w:autoSpaceDE/>
        <w:autoSpaceDN/>
        <w:adjustRightInd/>
        <w:ind w:left="680" w:right="170" w:hanging="340"/>
        <w:textAlignment w:val="auto"/>
      </w:pPr>
      <w:r>
        <w:t>The vehicle width limit in the ADRs for goods vehicles (i.e. trucks) over 4.5</w:t>
      </w:r>
      <w:r w:rsidRPr="00D3537D">
        <w:t xml:space="preserve"> tonnes</w:t>
      </w:r>
      <w:r>
        <w:t xml:space="preserve"> GVM (ADR category NB2 and NC vehicles),</w:t>
      </w:r>
      <w:r w:rsidRPr="0050539E">
        <w:t xml:space="preserve"> </w:t>
      </w:r>
      <w:r>
        <w:t xml:space="preserve">would be increased from </w:t>
      </w:r>
      <w:r w:rsidR="00B9347B">
        <w:t>2.50</w:t>
      </w:r>
      <w:r w:rsidR="00E35A93">
        <w:t> </w:t>
      </w:r>
      <w:r>
        <w:t>m</w:t>
      </w:r>
      <w:r w:rsidRPr="0050539E">
        <w:t xml:space="preserve"> to </w:t>
      </w:r>
      <w:r w:rsidR="00B9347B">
        <w:t>2.60</w:t>
      </w:r>
      <w:r w:rsidR="00E35A93">
        <w:t> </w:t>
      </w:r>
      <w:r>
        <w:t>m.</w:t>
      </w:r>
    </w:p>
    <w:p w:rsidR="00240432" w:rsidRDefault="00240432" w:rsidP="00E248BF">
      <w:pPr>
        <w:pStyle w:val="ListParagraph"/>
        <w:keepLines/>
        <w:numPr>
          <w:ilvl w:val="0"/>
          <w:numId w:val="71"/>
        </w:numPr>
        <w:suppressAutoHyphens w:val="0"/>
        <w:autoSpaceDE/>
        <w:autoSpaceDN/>
        <w:adjustRightInd/>
        <w:ind w:left="680" w:right="170" w:hanging="340"/>
        <w:textAlignment w:val="auto"/>
      </w:pPr>
      <w:r>
        <w:t>P</w:t>
      </w:r>
      <w:r w:rsidRPr="00E25EA5">
        <w:t xml:space="preserve">ermanently fixed webbing-assembly-type devices </w:t>
      </w:r>
      <w:r>
        <w:t>(</w:t>
      </w:r>
      <w:r w:rsidRPr="00E25EA5">
        <w:t>such as curtain-side devices</w:t>
      </w:r>
      <w:r>
        <w:t xml:space="preserve">) would be excluded from the measurement of the vehicle width, </w:t>
      </w:r>
      <w:r w:rsidRPr="00E25EA5">
        <w:t xml:space="preserve">provided the maximum distance across the body of the vehicle, including any part of the devices, is not more than </w:t>
      </w:r>
      <w:r w:rsidR="00B9347B">
        <w:t>2.60</w:t>
      </w:r>
      <w:r w:rsidR="00E35A93">
        <w:t> </w:t>
      </w:r>
      <w:r>
        <w:t>m.</w:t>
      </w:r>
    </w:p>
    <w:p w:rsidR="00B81D76" w:rsidRDefault="00B81D76" w:rsidP="00E248BF">
      <w:pPr>
        <w:pStyle w:val="ListParagraph"/>
        <w:keepLines/>
        <w:numPr>
          <w:ilvl w:val="0"/>
          <w:numId w:val="71"/>
        </w:numPr>
        <w:suppressAutoHyphens w:val="0"/>
        <w:autoSpaceDE/>
        <w:autoSpaceDN/>
        <w:adjustRightInd/>
        <w:ind w:left="680" w:right="170" w:hanging="340"/>
        <w:textAlignment w:val="auto"/>
      </w:pPr>
      <w:r>
        <w:t xml:space="preserve">Central tyre inflation systems would continue to be excluded from the measurement of the vehicle width, </w:t>
      </w:r>
      <w:r w:rsidRPr="00E25EA5">
        <w:t xml:space="preserve">provided </w:t>
      </w:r>
      <w:r>
        <w:t>the</w:t>
      </w:r>
      <w:r w:rsidRPr="00B81D76">
        <w:t xml:space="preserve"> total lateral (i.e. left + right side) protrusion of </w:t>
      </w:r>
      <w:r w:rsidR="00930B20">
        <w:t>such</w:t>
      </w:r>
      <w:r w:rsidRPr="00B81D76">
        <w:t xml:space="preserve"> devices/systems (or excluded parts thereof) beyond the </w:t>
      </w:r>
      <w:r>
        <w:t>o</w:t>
      </w:r>
      <w:r w:rsidRPr="00B81D76">
        <w:t xml:space="preserve">verall </w:t>
      </w:r>
      <w:r>
        <w:t>w</w:t>
      </w:r>
      <w:r w:rsidRPr="00B81D76">
        <w:t xml:space="preserve">idth, </w:t>
      </w:r>
      <w:r>
        <w:t>does</w:t>
      </w:r>
      <w:r w:rsidRPr="00B81D76">
        <w:t xml:space="preserve"> not exceed 100 mm</w:t>
      </w:r>
      <w:r>
        <w:t xml:space="preserve"> on each side of the vehicle.</w:t>
      </w:r>
    </w:p>
    <w:p w:rsidR="00240432" w:rsidRDefault="00240432" w:rsidP="00E248BF">
      <w:pPr>
        <w:pStyle w:val="ListParagraph"/>
        <w:keepLines/>
        <w:numPr>
          <w:ilvl w:val="0"/>
          <w:numId w:val="71"/>
        </w:numPr>
        <w:suppressAutoHyphens w:val="0"/>
        <w:autoSpaceDE/>
        <w:autoSpaceDN/>
        <w:adjustRightInd/>
        <w:ind w:left="680" w:right="170" w:hanging="340"/>
        <w:textAlignment w:val="auto"/>
      </w:pPr>
      <w:r>
        <w:t xml:space="preserve">The wider goods vehicles (those exceeding the current </w:t>
      </w:r>
      <w:r w:rsidR="00B9347B">
        <w:t>2.50</w:t>
      </w:r>
      <w:r w:rsidR="00E35A93">
        <w:t> </w:t>
      </w:r>
      <w:r>
        <w:t xml:space="preserve">m limit) would be required to meet each of the proposed new ADRs / ADR requirements listed for goods vehicles under Option </w:t>
      </w:r>
      <w:r w:rsidR="002769B2">
        <w:t>3.</w:t>
      </w:r>
      <w:r>
        <w:t>1a above.</w:t>
      </w:r>
    </w:p>
    <w:p w:rsidR="00FA44C5" w:rsidRDefault="00FA44C5" w:rsidP="00FA44C5">
      <w:r>
        <w:t xml:space="preserve">Where operators (including in particular sectors, such as refrigerated transport) see opportunities to increase productivity through wider goods vehicles, this option would encourage increased take-up of newer trucks with more advanced safety systems/features, including but not limited to those prescribed as part of the safety package. It would </w:t>
      </w:r>
      <w:r w:rsidR="00C4128C">
        <w:t xml:space="preserve">also </w:t>
      </w:r>
      <w:r>
        <w:t>eliminate width related modification costs for new trucks sourced from or based on designs for markets with an increased width limit. This option would not encourage any increased take-up (relative to business as usual) of newer/safer trailers, and would not reduce width related modification costs for trailers sourced from or based on designs for markets with either a 2.55 m or a 2.60 m width limit.</w:t>
      </w:r>
    </w:p>
    <w:p w:rsidR="00BF6FCB" w:rsidRPr="00367240" w:rsidRDefault="00E54146" w:rsidP="005A5EA4">
      <w:pPr>
        <w:pStyle w:val="Heading4"/>
      </w:pPr>
      <w:bookmarkStart w:id="41" w:name="_Toc67060908"/>
      <w:r>
        <w:t xml:space="preserve">Proposed changes </w:t>
      </w:r>
      <w:r w:rsidR="00BF6FCB">
        <w:t>for vehicles with e</w:t>
      </w:r>
      <w:r w:rsidR="00BF6FCB" w:rsidRPr="00367240">
        <w:t>nhanced device</w:t>
      </w:r>
      <w:r w:rsidR="00BF6FCB">
        <w:t>s for indirect vision and/or monitoring devices to detect other road users</w:t>
      </w:r>
      <w:bookmarkEnd w:id="41"/>
    </w:p>
    <w:p w:rsidR="00BF6FCB" w:rsidRDefault="00BF6FCB" w:rsidP="00BF6FCB">
      <w:r>
        <w:t xml:space="preserve">To </w:t>
      </w:r>
      <w:r w:rsidR="00E54146">
        <w:t xml:space="preserve">complement each of the options considered for safer wider freight vehicles and to </w:t>
      </w:r>
      <w:r>
        <w:t>facilitate</w:t>
      </w:r>
      <w:r w:rsidRPr="005F7702">
        <w:t xml:space="preserve"> </w:t>
      </w:r>
      <w:r>
        <w:t>a greater</w:t>
      </w:r>
      <w:r w:rsidRPr="005F7702">
        <w:t xml:space="preserve"> supply </w:t>
      </w:r>
      <w:r>
        <w:t>and take</w:t>
      </w:r>
      <w:r w:rsidR="00792BC5">
        <w:t> </w:t>
      </w:r>
      <w:r>
        <w:t xml:space="preserve">up </w:t>
      </w:r>
      <w:r w:rsidRPr="005F7702">
        <w:t xml:space="preserve">of </w:t>
      </w:r>
      <w:r>
        <w:t>vehicles with devices and systems to help the drivers of these vehicles to see and/or be aware of the presence of other road users, including cyclists and pedestrians, the ADRs</w:t>
      </w:r>
      <w:r w:rsidR="00E54146">
        <w:t xml:space="preserve"> would be amended</w:t>
      </w:r>
      <w:r>
        <w:t xml:space="preserve"> to:</w:t>
      </w:r>
    </w:p>
    <w:p w:rsidR="00BF6FCB" w:rsidRPr="00972249" w:rsidRDefault="00BF6FCB" w:rsidP="00E248BF">
      <w:pPr>
        <w:pStyle w:val="ListParagraph"/>
        <w:keepLines/>
        <w:numPr>
          <w:ilvl w:val="0"/>
          <w:numId w:val="71"/>
        </w:numPr>
        <w:suppressAutoHyphens w:val="0"/>
        <w:autoSpaceDE/>
        <w:autoSpaceDN/>
        <w:adjustRightInd/>
        <w:ind w:left="680" w:right="170" w:hanging="340"/>
        <w:textAlignment w:val="auto"/>
      </w:pPr>
      <w:r>
        <w:t xml:space="preserve">Exclude </w:t>
      </w:r>
      <w:r w:rsidRPr="00972249">
        <w:t xml:space="preserve">all of the following </w:t>
      </w:r>
      <w:r>
        <w:t xml:space="preserve">devices and systems </w:t>
      </w:r>
      <w:r w:rsidRPr="00972249">
        <w:t>from the measurement of the vehicle width:</w:t>
      </w:r>
    </w:p>
    <w:p w:rsidR="00BF6FCB" w:rsidRDefault="00BF6FCB" w:rsidP="00E248BF">
      <w:pPr>
        <w:pStyle w:val="ListParagraph"/>
        <w:keepLines/>
        <w:numPr>
          <w:ilvl w:val="1"/>
          <w:numId w:val="71"/>
        </w:numPr>
        <w:suppressAutoHyphens w:val="0"/>
        <w:autoSpaceDE/>
        <w:autoSpaceDN/>
        <w:adjustRightInd/>
        <w:ind w:left="1020" w:right="567" w:hanging="340"/>
        <w:textAlignment w:val="auto"/>
      </w:pPr>
      <w:r w:rsidRPr="00E25EA5">
        <w:t>rear vision mirrors</w:t>
      </w:r>
      <w:r>
        <w:rPr>
          <w:rStyle w:val="FootnoteReference"/>
        </w:rPr>
        <w:footnoteReference w:id="1"/>
      </w:r>
      <w:r w:rsidRPr="00E25EA5">
        <w:t xml:space="preserve"> (also referred to in the ADRs as rear-view mirrors);</w:t>
      </w:r>
    </w:p>
    <w:p w:rsidR="00BF6FCB" w:rsidRDefault="00BF6FCB" w:rsidP="00E248BF">
      <w:pPr>
        <w:pStyle w:val="ListParagraph"/>
        <w:keepLines/>
        <w:numPr>
          <w:ilvl w:val="1"/>
          <w:numId w:val="71"/>
        </w:numPr>
        <w:suppressAutoHyphens w:val="0"/>
        <w:autoSpaceDE/>
        <w:autoSpaceDN/>
        <w:adjustRightInd/>
        <w:ind w:left="1020" w:right="567" w:hanging="340"/>
        <w:textAlignment w:val="auto"/>
      </w:pPr>
      <w:r w:rsidRPr="00E25EA5">
        <w:t>devices for indirect vision</w:t>
      </w:r>
      <w:r>
        <w:t>,</w:t>
      </w:r>
      <w:r w:rsidRPr="00E25EA5">
        <w:t xml:space="preserve"> fitted in accordance with </w:t>
      </w:r>
      <w:r>
        <w:t>a new</w:t>
      </w:r>
      <w:r w:rsidRPr="00E25EA5">
        <w:t xml:space="preserve"> </w:t>
      </w:r>
      <w:r>
        <w:t>ADR</w:t>
      </w:r>
      <w:r w:rsidRPr="00E25EA5">
        <w:t xml:space="preserve"> 14/03 </w:t>
      </w:r>
      <w:r>
        <w:t>–</w:t>
      </w:r>
      <w:r w:rsidRPr="00E25EA5">
        <w:t xml:space="preserve"> Devices for Indirect Vision</w:t>
      </w:r>
      <w:r>
        <w:t xml:space="preserve"> (or any later version of this ADR)</w:t>
      </w:r>
      <w:r w:rsidRPr="00E25EA5">
        <w:t>;</w:t>
      </w:r>
    </w:p>
    <w:p w:rsidR="00BF6FCB" w:rsidRDefault="00BF6FCB" w:rsidP="00E248BF">
      <w:pPr>
        <w:pStyle w:val="ListParagraph"/>
        <w:keepLines/>
        <w:numPr>
          <w:ilvl w:val="1"/>
          <w:numId w:val="71"/>
        </w:numPr>
        <w:suppressAutoHyphens w:val="0"/>
        <w:autoSpaceDE/>
        <w:autoSpaceDN/>
        <w:adjustRightInd/>
        <w:ind w:left="1020" w:right="567" w:hanging="340"/>
        <w:textAlignment w:val="auto"/>
      </w:pPr>
      <w:r>
        <w:t>any other devices that help the driver to see objects in an area adjacent to the vehicle, including cross</w:t>
      </w:r>
      <w:r w:rsidR="00BF489A">
        <w:t>-view</w:t>
      </w:r>
      <w:r>
        <w:t xml:space="preserve"> mirrors (subject to a total protrusion limit below); and</w:t>
      </w:r>
    </w:p>
    <w:p w:rsidR="00BF6FCB" w:rsidRPr="00A75A71" w:rsidRDefault="00BF6FCB" w:rsidP="00E248BF">
      <w:pPr>
        <w:pStyle w:val="ListParagraph"/>
        <w:keepLines/>
        <w:numPr>
          <w:ilvl w:val="1"/>
          <w:numId w:val="71"/>
        </w:numPr>
        <w:suppressAutoHyphens w:val="0"/>
        <w:autoSpaceDE/>
        <w:autoSpaceDN/>
        <w:adjustRightInd/>
        <w:ind w:left="1020" w:right="567" w:hanging="340"/>
        <w:textAlignment w:val="auto"/>
      </w:pPr>
      <w:r>
        <w:t>monitoring devices fitted as part of an automated driving system and/or a system to inform the driver of the presence of other road users (</w:t>
      </w:r>
      <w:r w:rsidRPr="008679B2">
        <w:t>e.g. vehicles, bicyclists, pedestrians)</w:t>
      </w:r>
      <w:r>
        <w:t xml:space="preserve"> in an area in close-proximity (within 2 m) to the vehicle body (subject to a total protrusion limit below).</w:t>
      </w:r>
    </w:p>
    <w:p w:rsidR="00BF6FCB" w:rsidRDefault="00BF6FCB" w:rsidP="00E248BF">
      <w:pPr>
        <w:pStyle w:val="ListParagraph"/>
        <w:keepLines/>
        <w:numPr>
          <w:ilvl w:val="0"/>
          <w:numId w:val="71"/>
        </w:numPr>
        <w:suppressAutoHyphens w:val="0"/>
        <w:autoSpaceDE/>
        <w:autoSpaceDN/>
        <w:adjustRightInd/>
        <w:ind w:left="680" w:right="170" w:hanging="340"/>
        <w:textAlignment w:val="auto"/>
      </w:pPr>
      <w:r>
        <w:t>Limit the total (left + right side) protrusion of all</w:t>
      </w:r>
      <w:r w:rsidRPr="0035549F">
        <w:t xml:space="preserve"> </w:t>
      </w:r>
      <w:r>
        <w:t xml:space="preserve">devices except for rear vision mirrors, </w:t>
      </w:r>
      <w:r w:rsidR="00784BB9" w:rsidRPr="00784BB9">
        <w:t>signalling devices, side-mounted lamps and reflectors,</w:t>
      </w:r>
      <w:r w:rsidR="00784BB9">
        <w:t xml:space="preserve"> </w:t>
      </w:r>
      <w:r>
        <w:t>devices for indirect vision, and central</w:t>
      </w:r>
      <w:r w:rsidRPr="005D2716">
        <w:t xml:space="preserve"> tyre</w:t>
      </w:r>
      <w:r>
        <w:t xml:space="preserve"> inflation systems, excluded from the width of the vehicle, to a maximum of 100 mm (to align with the total protrusion allowed by the EU).</w:t>
      </w:r>
    </w:p>
    <w:p w:rsidR="00BF6FCB" w:rsidRDefault="00BF6FCB" w:rsidP="00E248BF">
      <w:pPr>
        <w:pStyle w:val="ListParagraph"/>
        <w:numPr>
          <w:ilvl w:val="0"/>
          <w:numId w:val="71"/>
        </w:numPr>
        <w:suppressAutoHyphens w:val="0"/>
        <w:autoSpaceDE/>
        <w:autoSpaceDN/>
        <w:adjustRightInd/>
        <w:ind w:left="680" w:right="170" w:hanging="340"/>
        <w:textAlignment w:val="auto"/>
      </w:pPr>
      <w:r>
        <w:t>Exclude all of the following devices and systems, where fitted at the front end of the vehicle, from the measurement of vehicle length:</w:t>
      </w:r>
    </w:p>
    <w:p w:rsidR="00BF6FCB" w:rsidRDefault="00BF6FCB" w:rsidP="00E248BF">
      <w:pPr>
        <w:pStyle w:val="ListParagraph"/>
        <w:keepLines/>
        <w:numPr>
          <w:ilvl w:val="1"/>
          <w:numId w:val="71"/>
        </w:numPr>
        <w:suppressAutoHyphens w:val="0"/>
        <w:autoSpaceDE/>
        <w:autoSpaceDN/>
        <w:adjustRightInd/>
        <w:ind w:left="1020" w:right="567" w:hanging="340"/>
        <w:textAlignment w:val="auto"/>
      </w:pPr>
      <w:r w:rsidRPr="00E25EA5">
        <w:t>devices for indirect vision</w:t>
      </w:r>
      <w:r>
        <w:t>,</w:t>
      </w:r>
      <w:r w:rsidRPr="00E25EA5">
        <w:t xml:space="preserve"> fitted in accordance with </w:t>
      </w:r>
      <w:r>
        <w:t>a new</w:t>
      </w:r>
      <w:r w:rsidRPr="00E25EA5">
        <w:t xml:space="preserve"> </w:t>
      </w:r>
      <w:r>
        <w:t>ADR</w:t>
      </w:r>
      <w:r w:rsidRPr="00E25EA5">
        <w:t xml:space="preserve"> 14/0</w:t>
      </w:r>
      <w:r>
        <w:t>3 - Devices for Indirect Vision (or any later version of this ADR)</w:t>
      </w:r>
      <w:r w:rsidRPr="00E25EA5">
        <w:t>;</w:t>
      </w:r>
    </w:p>
    <w:p w:rsidR="00BF6FCB" w:rsidRDefault="00BF6FCB" w:rsidP="00E248BF">
      <w:pPr>
        <w:pStyle w:val="ListParagraph"/>
        <w:keepLines/>
        <w:numPr>
          <w:ilvl w:val="1"/>
          <w:numId w:val="71"/>
        </w:numPr>
        <w:suppressAutoHyphens w:val="0"/>
        <w:autoSpaceDE/>
        <w:autoSpaceDN/>
        <w:adjustRightInd/>
        <w:ind w:left="1020" w:right="567" w:hanging="340"/>
        <w:textAlignment w:val="auto"/>
      </w:pPr>
      <w:r>
        <w:t>any other devices that help the driver to see objects in an area adjacent to the vehicle, including cross</w:t>
      </w:r>
      <w:r w:rsidR="00BF489A">
        <w:t>-view</w:t>
      </w:r>
      <w:r>
        <w:t xml:space="preserve"> mirrors (subject to a protrusion limit below); and</w:t>
      </w:r>
    </w:p>
    <w:p w:rsidR="00BF6FCB" w:rsidRPr="00A75A71" w:rsidRDefault="00BF6FCB" w:rsidP="00E248BF">
      <w:pPr>
        <w:pStyle w:val="ListParagraph"/>
        <w:keepLines/>
        <w:numPr>
          <w:ilvl w:val="1"/>
          <w:numId w:val="71"/>
        </w:numPr>
        <w:suppressAutoHyphens w:val="0"/>
        <w:autoSpaceDE/>
        <w:autoSpaceDN/>
        <w:adjustRightInd/>
        <w:ind w:left="1020" w:right="567" w:hanging="340"/>
        <w:textAlignment w:val="auto"/>
      </w:pPr>
      <w:r>
        <w:t>monitoring devices fitted as part of an automated driving system and/or a system to inform the driver of the presence of other road users in an area in close-proximity (within 2 m) to the vehicle body (subject to a total protrusion limit below).</w:t>
      </w:r>
    </w:p>
    <w:p w:rsidR="00BF6FCB" w:rsidRDefault="00BF6FCB" w:rsidP="00E248BF">
      <w:pPr>
        <w:pStyle w:val="ListParagraph"/>
        <w:keepLines/>
        <w:numPr>
          <w:ilvl w:val="0"/>
          <w:numId w:val="71"/>
        </w:numPr>
        <w:suppressAutoHyphens w:val="0"/>
        <w:autoSpaceDE/>
        <w:autoSpaceDN/>
        <w:adjustRightInd/>
        <w:ind w:left="680" w:right="170" w:hanging="340"/>
        <w:textAlignment w:val="auto"/>
      </w:pPr>
      <w:r>
        <w:t xml:space="preserve">Limit the </w:t>
      </w:r>
      <w:r w:rsidRPr="0035549F">
        <w:t xml:space="preserve">protrusion of </w:t>
      </w:r>
      <w:r>
        <w:t>all</w:t>
      </w:r>
      <w:r w:rsidRPr="0035549F">
        <w:t xml:space="preserve"> </w:t>
      </w:r>
      <w:r>
        <w:t>devices except for devices for indirect vision, excluded to the front</w:t>
      </w:r>
      <w:r w:rsidRPr="0035549F">
        <w:t xml:space="preserve"> of the foremost point from which vehicle length is measured</w:t>
      </w:r>
      <w:r>
        <w:t xml:space="preserve"> (the vehicle ‘front end’ – see </w:t>
      </w:r>
      <w:r w:rsidR="0034596F">
        <w:t>G</w:t>
      </w:r>
      <w:r>
        <w:t>lossary</w:t>
      </w:r>
      <w:r w:rsidR="0034596F">
        <w:t xml:space="preserve"> in Appendix 2</w:t>
      </w:r>
      <w:r>
        <w:t>)</w:t>
      </w:r>
      <w:r w:rsidRPr="0035549F">
        <w:t xml:space="preserve">, </w:t>
      </w:r>
      <w:r>
        <w:t xml:space="preserve">to a maximum </w:t>
      </w:r>
      <w:r w:rsidRPr="008B6B03">
        <w:t>of 250</w:t>
      </w:r>
      <w:r w:rsidR="00E35A93">
        <w:t> </w:t>
      </w:r>
      <w:r w:rsidRPr="0035549F">
        <w:t>mm</w:t>
      </w:r>
      <w:r>
        <w:t xml:space="preserve"> (to align with the forward protrusion allowed by the EU).</w:t>
      </w:r>
    </w:p>
    <w:p w:rsidR="00BF6FCB" w:rsidRDefault="00BF6FCB" w:rsidP="00E54146">
      <w:pPr>
        <w:keepLines/>
        <w:rPr>
          <w:lang w:val="en-US"/>
        </w:rPr>
      </w:pPr>
      <w:r w:rsidRPr="00A75A71">
        <w:rPr>
          <w:lang w:val="en-US"/>
        </w:rPr>
        <w:t xml:space="preserve">The new ADR 14/03 </w:t>
      </w:r>
      <w:r>
        <w:rPr>
          <w:lang w:val="en-US"/>
        </w:rPr>
        <w:t>would incorporate the technical requirements of the latest version of the relevant international standard for devices for indirect vision (UN R46/04), with additional provisions to allow for US style cross</w:t>
      </w:r>
      <w:r w:rsidR="00BF489A">
        <w:rPr>
          <w:lang w:val="en-US"/>
        </w:rPr>
        <w:t>-view</w:t>
      </w:r>
      <w:r>
        <w:rPr>
          <w:lang w:val="en-US"/>
        </w:rPr>
        <w:t xml:space="preserve"> mirrors (refer Glossary in Appendix </w:t>
      </w:r>
      <w:r w:rsidR="00346A4A">
        <w:rPr>
          <w:lang w:val="en-US"/>
        </w:rPr>
        <w:t>2</w:t>
      </w:r>
      <w:r>
        <w:rPr>
          <w:lang w:val="en-US"/>
        </w:rPr>
        <w:t>) to be used on bonneted trucks in place of UN style front-view devices for indirect vision. As</w:t>
      </w:r>
      <w:r w:rsidR="004B776C">
        <w:rPr>
          <w:lang w:val="en-US"/>
        </w:rPr>
        <w:t> </w:t>
      </w:r>
      <w:r>
        <w:rPr>
          <w:lang w:val="en-US"/>
        </w:rPr>
        <w:t>per UN R46, devices for indirect vision would need to meet pendulum impact test requirements, where fitted less than 2</w:t>
      </w:r>
      <w:r w:rsidR="006A185E">
        <w:rPr>
          <w:lang w:val="en-US"/>
        </w:rPr>
        <w:t> </w:t>
      </w:r>
      <w:r>
        <w:rPr>
          <w:lang w:val="en-US"/>
        </w:rPr>
        <w:t xml:space="preserve">m from the ground, and protruding more than 100 mm from the vehicle bodywork. For a mirror and/or </w:t>
      </w:r>
      <w:r w:rsidR="006A185E">
        <w:rPr>
          <w:lang w:val="en-US"/>
        </w:rPr>
        <w:br/>
      </w:r>
      <w:r>
        <w:rPr>
          <w:lang w:val="en-US"/>
        </w:rPr>
        <w:t>camera-monitor system to be classified as a device for indirect vision it would need to meet the prescribed field of view requirements in the new ADR for the applicable class of device (e.g. front-view device, close-proximity view device etc.) when fitted to the vehicle.</w:t>
      </w:r>
    </w:p>
    <w:p w:rsidR="00BF6FCB" w:rsidRPr="009776A0" w:rsidRDefault="00BF6FCB" w:rsidP="001A3703">
      <w:pPr>
        <w:keepLines/>
        <w:rPr>
          <w:lang w:val="en-US"/>
        </w:rPr>
      </w:pPr>
      <w:r>
        <w:rPr>
          <w:lang w:val="en-US"/>
        </w:rPr>
        <w:t>Allowing other devices for a driver to see objects in an area adjacent to the vehicle and monitoring devices to detect other road users in close proximity to the vehicle to protrude up to 100 mm in total (left + right side) beyond the measured width of the vehicle is unlikely to significantly increase the risk of sideswipe collisions with other vehicles or roadside infrastructure. This is because the ADR for rear vision mirrors already allows such mirrors to project up to 230</w:t>
      </w:r>
      <w:r w:rsidR="00E54146">
        <w:rPr>
          <w:lang w:val="en-US"/>
        </w:rPr>
        <w:t> </w:t>
      </w:r>
      <w:r>
        <w:rPr>
          <w:lang w:val="en-US"/>
        </w:rPr>
        <w:t xml:space="preserve">mm on each side beyond the point from which the vehicle width is measured, provided the mirrors are capable of collapsing to within </w:t>
      </w:r>
      <w:r w:rsidRPr="00E35A93">
        <w:t>150</w:t>
      </w:r>
      <w:r w:rsidR="00E35A93">
        <w:t> </w:t>
      </w:r>
      <w:r w:rsidRPr="00E35A93">
        <w:t>mm</w:t>
      </w:r>
      <w:r>
        <w:rPr>
          <w:lang w:val="en-US"/>
        </w:rPr>
        <w:t xml:space="preserve">. This means the distance measured across rigid parts to which rear vision mirrors are attached (e.g. metal attachment plates, arms, swivel joints etc.) can already be up to 2.8 m (i.e. 150 mm on either side of a </w:t>
      </w:r>
      <w:r w:rsidR="00B9347B">
        <w:rPr>
          <w:lang w:val="en-US"/>
        </w:rPr>
        <w:t>2.50</w:t>
      </w:r>
      <w:r w:rsidR="00E35A93">
        <w:rPr>
          <w:lang w:val="en-US"/>
        </w:rPr>
        <w:t> </w:t>
      </w:r>
      <w:r>
        <w:rPr>
          <w:lang w:val="en-US"/>
        </w:rPr>
        <w:t>m wide vehicle). Further, rear vision mirrors meeting the requirements of the UN Regulation in Appendix A (UN R46) of this ADR, are allowed to protrude up to 250 mm beyond the measured vehicle width (if necessary to comply with field of vision requirements), and are only subject to pendulum impact test requirements where the protrusion beyond the vehicle bodywork exceeds 100 mm.</w:t>
      </w:r>
    </w:p>
    <w:p w:rsidR="00BF6FCB" w:rsidRDefault="00BF6FCB" w:rsidP="00BF6FCB">
      <w:pPr>
        <w:rPr>
          <w:lang w:val="en-US"/>
        </w:rPr>
      </w:pPr>
      <w:r>
        <w:rPr>
          <w:lang w:val="en-US"/>
        </w:rPr>
        <w:t>All the devices and systems that are proposed to be excluded from vehicle width and length measurements would continue to be subject to the existing ADR requirements for external projections. These require exterior objects such as these to be designed and fitted in such a way as to</w:t>
      </w:r>
      <w:r w:rsidRPr="00526043">
        <w:t xml:space="preserve"> minimise</w:t>
      </w:r>
      <w:r>
        <w:rPr>
          <w:lang w:val="en-US"/>
        </w:rPr>
        <w:t xml:space="preserve"> the risk of bodily injury to a person hit by or brushing against the bodywork of a vehicle in the event of a collision. These existing ADR requirements will therefore also serve to limit any risks associated with excluding each of the additional devices/systems as outlined in this proposal (above), from vehicle width and length measurements.</w:t>
      </w:r>
    </w:p>
    <w:p w:rsidR="00BF6FCB" w:rsidRDefault="00BF6FCB" w:rsidP="00BF6FCB">
      <w:r>
        <w:rPr>
          <w:lang w:val="en-US"/>
        </w:rPr>
        <w:t xml:space="preserve">If this package of changes is implemented, further exclusions from vehicle width and/or length measurements </w:t>
      </w:r>
      <w:r>
        <w:t>could still be considered at a later stage as part of the ongoing ADR review process.</w:t>
      </w:r>
    </w:p>
    <w:p w:rsidR="003673ED" w:rsidRPr="007B6E69" w:rsidRDefault="003673ED" w:rsidP="00321C88">
      <w:pPr>
        <w:tabs>
          <w:tab w:val="left" w:pos="1290"/>
        </w:tabs>
      </w:pPr>
    </w:p>
    <w:p w:rsidR="009E7FD5" w:rsidRPr="007B6E69" w:rsidRDefault="009E7FD5" w:rsidP="00E13D3A">
      <w:pPr>
        <w:pStyle w:val="Heading1"/>
        <w:sectPr w:rsidR="009E7FD5" w:rsidRPr="007B6E69" w:rsidSect="00D87AD8">
          <w:pgSz w:w="11906" w:h="16838" w:code="9"/>
          <w:pgMar w:top="1021" w:right="1021" w:bottom="1021" w:left="1021" w:header="510" w:footer="567" w:gutter="0"/>
          <w:cols w:space="708"/>
          <w:docGrid w:linePitch="360"/>
        </w:sectPr>
      </w:pPr>
    </w:p>
    <w:p w:rsidR="00044540" w:rsidRPr="007B6E69" w:rsidRDefault="00044540" w:rsidP="00E13D3A">
      <w:pPr>
        <w:pStyle w:val="Heading1"/>
      </w:pPr>
      <w:bookmarkStart w:id="42" w:name="_Toc111576724"/>
      <w:bookmarkStart w:id="43" w:name="_Toc138065698"/>
      <w:r w:rsidRPr="007B6E69">
        <w:t xml:space="preserve">Chapter </w:t>
      </w:r>
      <w:r w:rsidR="005C72E8" w:rsidRPr="007B6E69">
        <w:t>5</w:t>
      </w:r>
      <w:r w:rsidRPr="007B6E69">
        <w:t xml:space="preserve">: </w:t>
      </w:r>
      <w:r w:rsidR="008A2546" w:rsidRPr="007B6E69">
        <w:t>L</w:t>
      </w:r>
      <w:r w:rsidRPr="007B6E69">
        <w:t>ikely net benefit of each option</w:t>
      </w:r>
      <w:bookmarkEnd w:id="42"/>
      <w:bookmarkEnd w:id="43"/>
    </w:p>
    <w:p w:rsidR="00E74785" w:rsidRPr="007B6E69" w:rsidRDefault="00E74785" w:rsidP="00E13D3A">
      <w:pPr>
        <w:pStyle w:val="Heading2"/>
        <w:rPr>
          <w:lang w:val="en-AU"/>
        </w:rPr>
      </w:pPr>
      <w:bookmarkStart w:id="44" w:name="_Toc138065699"/>
      <w:r w:rsidRPr="007B6E69">
        <w:rPr>
          <w:lang w:val="en-AU"/>
        </w:rPr>
        <w:t>Benefit-cost analysis</w:t>
      </w:r>
      <w:bookmarkEnd w:id="44"/>
    </w:p>
    <w:p w:rsidR="006E38C3" w:rsidRDefault="006E38C3" w:rsidP="00041AED">
      <w:r>
        <w:t xml:space="preserve">The benefit-cost analysis for this </w:t>
      </w:r>
      <w:r w:rsidR="00C45600">
        <w:t>IA</w:t>
      </w:r>
      <w:r>
        <w:t xml:space="preserve"> was conducted by the Australian Road Research Board (ARRB) and </w:t>
      </w:r>
      <w:r w:rsidR="00FA68F2">
        <w:t xml:space="preserve">is </w:t>
      </w:r>
      <w:r>
        <w:t xml:space="preserve">summarised by the </w:t>
      </w:r>
      <w:r w:rsidR="00B9347B">
        <w:t>d</w:t>
      </w:r>
      <w:r>
        <w:t xml:space="preserve">epartment in this chapter. The full </w:t>
      </w:r>
      <w:r w:rsidR="00E81F59">
        <w:t xml:space="preserve">report for this </w:t>
      </w:r>
      <w:r>
        <w:t xml:space="preserve">ARRB analysis is included in </w:t>
      </w:r>
      <w:r w:rsidR="001B495C">
        <w:t>the Annex</w:t>
      </w:r>
      <w:r>
        <w:t xml:space="preserve"> to this </w:t>
      </w:r>
      <w:r w:rsidR="00C45600">
        <w:t>IA</w:t>
      </w:r>
      <w:r>
        <w:t>.</w:t>
      </w:r>
    </w:p>
    <w:p w:rsidR="00060498" w:rsidRPr="00060498" w:rsidRDefault="00060498" w:rsidP="00041AED">
      <w:r w:rsidRPr="00060498">
        <w:t>The benefit-cost me</w:t>
      </w:r>
      <w:r w:rsidR="006E38C3">
        <w:t>thodology used in the ARRB</w:t>
      </w:r>
      <w:r w:rsidRPr="00060498">
        <w:t xml:space="preserve"> analysis is a Net Present Value (NPV) model. Using this model, the flow of benefits and costs are reduced to one specific moment in time. The time period for which benefits are assumed to be generated is over the life of the vehicle(s). Net benefits indicate whether the returns (benefits) on a </w:t>
      </w:r>
      <w:r w:rsidR="00AE1895">
        <w:t>policy option</w:t>
      </w:r>
      <w:r w:rsidRPr="00060498">
        <w:t xml:space="preserve"> outweigh the resources outlaid (costs) and indicate what, if any, this difference is. Benefit-cost ratios (BCRs) are a measure of efficiency of the </w:t>
      </w:r>
      <w:r w:rsidR="00AE1895">
        <w:t>policy option</w:t>
      </w:r>
      <w:r w:rsidRPr="00060498">
        <w:t xml:space="preserve">. For net benefits to be positive, this ratio must be greater than one. A higher BCR in turn means that for a given cost, the benefits </w:t>
      </w:r>
      <w:r w:rsidR="00A430AC">
        <w:t xml:space="preserve">pay this </w:t>
      </w:r>
      <w:r w:rsidRPr="00060498">
        <w:t>back many times over (the cost is multiplied by the BCR). For example, if a project costs $1 million but results in benefits of $3 million, the net benefit would be 3-1 = $2 million while the BCR would be 3/1 = 3.</w:t>
      </w:r>
    </w:p>
    <w:p w:rsidR="00060498" w:rsidRPr="00060498" w:rsidRDefault="00060498" w:rsidP="00041AED">
      <w:r>
        <w:t>Two</w:t>
      </w:r>
      <w:r w:rsidRPr="00060498">
        <w:t xml:space="preserve"> of the policy options outlined in Section </w:t>
      </w:r>
      <w:r w:rsidR="000A1DF8">
        <w:t>4</w:t>
      </w:r>
      <w:r w:rsidRPr="00060498">
        <w:t xml:space="preserve"> of this </w:t>
      </w:r>
      <w:r w:rsidR="00C45600">
        <w:t>IA</w:t>
      </w:r>
      <w:r w:rsidRPr="00060498">
        <w:t xml:space="preserve"> (Option </w:t>
      </w:r>
      <w:r>
        <w:t>2</w:t>
      </w:r>
      <w:r w:rsidRPr="00060498">
        <w:t xml:space="preserve">: </w:t>
      </w:r>
      <w:r w:rsidR="000A1DF8">
        <w:t>retain existing standards</w:t>
      </w:r>
      <w:r>
        <w:t xml:space="preserve"> </w:t>
      </w:r>
      <w:r w:rsidR="00786674">
        <w:t xml:space="preserve">under the RVSA </w:t>
      </w:r>
      <w:r w:rsidR="000A1DF8">
        <w:t xml:space="preserve">(BAU) </w:t>
      </w:r>
      <w:r w:rsidRPr="00060498">
        <w:t xml:space="preserve">and Option </w:t>
      </w:r>
      <w:r>
        <w:t>3</w:t>
      </w:r>
      <w:r w:rsidRPr="00060498">
        <w:t xml:space="preserve">: </w:t>
      </w:r>
      <w:r w:rsidR="000A1DF8">
        <w:t>implement updated</w:t>
      </w:r>
      <w:r w:rsidRPr="00060498">
        <w:t xml:space="preserve"> standards</w:t>
      </w:r>
      <w:r w:rsidR="00786674">
        <w:t xml:space="preserve"> under the RVSA</w:t>
      </w:r>
      <w:r w:rsidR="00085462">
        <w:t>)</w:t>
      </w:r>
      <w:r w:rsidRPr="00060498">
        <w:t xml:space="preserve">, were considered viable to analyse further. The results </w:t>
      </w:r>
      <w:r w:rsidR="000A1DF8">
        <w:t>for</w:t>
      </w:r>
      <w:r w:rsidRPr="00060498">
        <w:t xml:space="preserve"> </w:t>
      </w:r>
      <w:r w:rsidR="000A1DF8">
        <w:t>Option 3</w:t>
      </w:r>
      <w:r w:rsidRPr="00060498">
        <w:t xml:space="preserve"> were compared with what would happen if there was no </w:t>
      </w:r>
      <w:r w:rsidR="000A1DF8">
        <w:t>change to current requirements</w:t>
      </w:r>
      <w:r w:rsidR="00786674">
        <w:t xml:space="preserve"> (</w:t>
      </w:r>
      <w:r w:rsidRPr="00060498">
        <w:t xml:space="preserve">Option </w:t>
      </w:r>
      <w:r>
        <w:t>2</w:t>
      </w:r>
      <w:r w:rsidR="00786674">
        <w:t xml:space="preserve"> (BAU))</w:t>
      </w:r>
      <w:r w:rsidRPr="00060498">
        <w:t>.</w:t>
      </w:r>
    </w:p>
    <w:p w:rsidR="00BF5447" w:rsidRDefault="00060498" w:rsidP="00BF5447">
      <w:r w:rsidRPr="00060498">
        <w:t>The period of analysis is 4</w:t>
      </w:r>
      <w:r>
        <w:t>0</w:t>
      </w:r>
      <w:r w:rsidRPr="00060498">
        <w:t xml:space="preserve"> years. This covers the expected life of the policy option (15 years of intervention) plus the time it takes for benefits to work their way through the fleet (around </w:t>
      </w:r>
      <w:r>
        <w:t>25</w:t>
      </w:r>
      <w:r w:rsidRPr="00060498">
        <w:t xml:space="preserve"> years, the </w:t>
      </w:r>
      <w:r w:rsidR="00301BBC">
        <w:t xml:space="preserve">maximum </w:t>
      </w:r>
      <w:r w:rsidRPr="00060498">
        <w:t xml:space="preserve">lifespan </w:t>
      </w:r>
      <w:r w:rsidR="001C3CA6">
        <w:t>used for</w:t>
      </w:r>
      <w:r w:rsidRPr="00060498">
        <w:t xml:space="preserve"> heavy vehicle</w:t>
      </w:r>
      <w:r w:rsidR="001C3CA6">
        <w:t xml:space="preserve">s </w:t>
      </w:r>
      <w:r w:rsidR="009C1D0E">
        <w:t>in this analysis</w:t>
      </w:r>
      <w:r w:rsidRPr="00060498">
        <w:t>).</w:t>
      </w:r>
      <w:r w:rsidR="00BF5447">
        <w:t xml:space="preserve"> All benefits and costs reported in this </w:t>
      </w:r>
      <w:r w:rsidR="00C45600">
        <w:t>IA</w:t>
      </w:r>
      <w:r w:rsidR="00BF5447">
        <w:t xml:space="preserve"> are present values as of 1 July 2023, which corresponds to the assumed policy commencement date for Option 3, including each sub-option.</w:t>
      </w:r>
    </w:p>
    <w:p w:rsidR="002A6D71" w:rsidRPr="0084287E" w:rsidRDefault="002A6D71" w:rsidP="002A6D71">
      <w:pPr>
        <w:pStyle w:val="Heading3"/>
        <w:rPr>
          <w:lang w:val="en-AU"/>
        </w:rPr>
      </w:pPr>
      <w:bookmarkStart w:id="45" w:name="_Toc138065700"/>
      <w:r>
        <w:rPr>
          <w:lang w:val="en-AU"/>
        </w:rPr>
        <w:t xml:space="preserve">Demand </w:t>
      </w:r>
      <w:r w:rsidR="00422B9A">
        <w:rPr>
          <w:lang w:val="en-AU"/>
        </w:rPr>
        <w:t>f</w:t>
      </w:r>
      <w:r>
        <w:rPr>
          <w:lang w:val="en-AU"/>
        </w:rPr>
        <w:t>orecasts</w:t>
      </w:r>
      <w:bookmarkEnd w:id="45"/>
    </w:p>
    <w:p w:rsidR="002A6D71" w:rsidRDefault="00262774" w:rsidP="00041AED">
      <w:r>
        <w:t>To determine benefits and costs for Option 3</w:t>
      </w:r>
      <w:r w:rsidR="00397727">
        <w:t xml:space="preserve"> relative to BAU (Option 2)</w:t>
      </w:r>
      <w:r>
        <w:t>, the ARRB first needed to establish projections for the nu</w:t>
      </w:r>
      <w:r w:rsidR="00083E4F">
        <w:t xml:space="preserve">mber of goods vehicles and trailers over 4.5 tonnes that enter the fleet, as well as the likely uptake of wider vehicles, for each year </w:t>
      </w:r>
      <w:r w:rsidR="00397727">
        <w:t>during the expected 15-</w:t>
      </w:r>
      <w:r w:rsidR="00083E4F">
        <w:t>year life of this policy option.</w:t>
      </w:r>
    </w:p>
    <w:p w:rsidR="00AC6075" w:rsidRDefault="00AC6075" w:rsidP="00AC6075">
      <w:pPr>
        <w:pStyle w:val="Heading4"/>
      </w:pPr>
      <w:r>
        <w:t xml:space="preserve">Projected </w:t>
      </w:r>
      <w:r w:rsidR="00422B9A">
        <w:t>f</w:t>
      </w:r>
      <w:r>
        <w:t xml:space="preserve">leet </w:t>
      </w:r>
      <w:r w:rsidR="00E72116">
        <w:t>size</w:t>
      </w:r>
    </w:p>
    <w:p w:rsidR="00AC6075" w:rsidRDefault="00B70F41" w:rsidP="00AC6075">
      <w:pPr>
        <w:rPr>
          <w:lang w:val="en-US"/>
        </w:rPr>
      </w:pPr>
      <w:r>
        <w:rPr>
          <w:lang w:val="en-US"/>
        </w:rPr>
        <w:t>Based on histo</w:t>
      </w:r>
      <w:r w:rsidR="00E72116">
        <w:rPr>
          <w:lang w:val="en-US"/>
        </w:rPr>
        <w:t xml:space="preserve">rical truck sales data provided directly by the Truck Industry Council and historical goods vehicle and trailer registration data published by the Australian Bureau of Statistics, the </w:t>
      </w:r>
      <w:r w:rsidR="00262774">
        <w:rPr>
          <w:lang w:val="en-US"/>
        </w:rPr>
        <w:t>ARRB estimated the number of new goods vehicles over 4.5</w:t>
      </w:r>
      <w:r w:rsidR="00262774" w:rsidRPr="00083E4F">
        <w:t xml:space="preserve"> tonnes</w:t>
      </w:r>
      <w:r w:rsidR="00262774">
        <w:rPr>
          <w:lang w:val="en-US"/>
        </w:rPr>
        <w:t xml:space="preserve"> that enter the fleet each year would increase by 2% per annum and the number of trailers over 4.5</w:t>
      </w:r>
      <w:r w:rsidR="00E72116">
        <w:t> </w:t>
      </w:r>
      <w:r w:rsidR="00262774" w:rsidRPr="00083E4F">
        <w:t>tonnes</w:t>
      </w:r>
      <w:r w:rsidR="00262774">
        <w:rPr>
          <w:lang w:val="en-US"/>
        </w:rPr>
        <w:t xml:space="preserve"> that enter the fleet each year would increase by 3.3% per annum.</w:t>
      </w:r>
    </w:p>
    <w:p w:rsidR="00262774" w:rsidRPr="00CC3596" w:rsidRDefault="00262774" w:rsidP="00AC6075">
      <w:pPr>
        <w:rPr>
          <w:lang w:val="en-US"/>
        </w:rPr>
      </w:pPr>
      <w:r>
        <w:rPr>
          <w:lang w:val="en-US"/>
        </w:rPr>
        <w:t>ARRB assumed the total fleet size for</w:t>
      </w:r>
      <w:r w:rsidR="00083E4F">
        <w:rPr>
          <w:lang w:val="en-US"/>
        </w:rPr>
        <w:t xml:space="preserve"> Option 3 would </w:t>
      </w:r>
      <w:r w:rsidR="00442574">
        <w:rPr>
          <w:lang w:val="en-US"/>
        </w:rPr>
        <w:t>be the same as for Option 2</w:t>
      </w:r>
      <w:r w:rsidR="00083E4F">
        <w:rPr>
          <w:lang w:val="en-US"/>
        </w:rPr>
        <w:t>.</w:t>
      </w:r>
    </w:p>
    <w:p w:rsidR="00AC6075" w:rsidRDefault="00AC6075" w:rsidP="00AC6075">
      <w:pPr>
        <w:pStyle w:val="Heading4"/>
      </w:pPr>
      <w:r>
        <w:t>Projected take</w:t>
      </w:r>
      <w:r w:rsidR="003D3D12">
        <w:t>-up</w:t>
      </w:r>
      <w:r>
        <w:t xml:space="preserve"> of </w:t>
      </w:r>
      <w:r w:rsidR="00422B9A">
        <w:t>w</w:t>
      </w:r>
      <w:r>
        <w:t xml:space="preserve">ider </w:t>
      </w:r>
      <w:r w:rsidR="00422B9A">
        <w:t>v</w:t>
      </w:r>
      <w:r>
        <w:t>ehicles</w:t>
      </w:r>
    </w:p>
    <w:p w:rsidR="00AC6075" w:rsidRDefault="00D14966" w:rsidP="00AC6075">
      <w:r>
        <w:rPr>
          <w:lang w:val="en-US"/>
        </w:rPr>
        <w:t xml:space="preserve">Under Options </w:t>
      </w:r>
      <w:r>
        <w:t xml:space="preserve">3.1a, 3.1b, 3.2a, and 3.2b, the ARRB assumed the rate of take-up of wider freight vehicles would vary by country of origin/manufacture. </w:t>
      </w:r>
      <w:r w:rsidR="006B0EA5">
        <w:t xml:space="preserve">These assumptions are summarised in </w:t>
      </w:r>
      <w:r w:rsidR="006B0EA5">
        <w:fldChar w:fldCharType="begin"/>
      </w:r>
      <w:r w:rsidR="006B0EA5">
        <w:instrText xml:space="preserve"> REF _Ref111485024 \h </w:instrText>
      </w:r>
      <w:r w:rsidR="006B0EA5">
        <w:fldChar w:fldCharType="separate"/>
      </w:r>
      <w:r w:rsidR="00534814">
        <w:t xml:space="preserve">Table </w:t>
      </w:r>
      <w:r w:rsidR="00534814">
        <w:rPr>
          <w:noProof/>
        </w:rPr>
        <w:t>4</w:t>
      </w:r>
      <w:r w:rsidR="006B0EA5">
        <w:fldChar w:fldCharType="end"/>
      </w:r>
      <w:r w:rsidR="007E267D">
        <w:t>.</w:t>
      </w:r>
    </w:p>
    <w:p w:rsidR="006B0EA5" w:rsidRDefault="006B0EA5" w:rsidP="0059035C">
      <w:pPr>
        <w:pStyle w:val="Caption"/>
        <w:pageBreakBefore/>
      </w:pPr>
      <w:bookmarkStart w:id="46" w:name="_Ref111485024"/>
      <w:bookmarkStart w:id="47" w:name="_Toc135320129"/>
      <w:r>
        <w:t xml:space="preserve">Table </w:t>
      </w:r>
      <w:fldSimple w:instr=" SEQ Table \* ARABIC ">
        <w:r w:rsidR="00534814">
          <w:rPr>
            <w:noProof/>
          </w:rPr>
          <w:t>4</w:t>
        </w:r>
      </w:fldSimple>
      <w:bookmarkEnd w:id="46"/>
      <w:r>
        <w:t>: Assumed take-up of wider vehicles used in the analysis</w:t>
      </w:r>
      <w:bookmarkEnd w:id="47"/>
    </w:p>
    <w:tbl>
      <w:tblPr>
        <w:tblStyle w:val="TableGrid"/>
        <w:tblW w:w="0" w:type="auto"/>
        <w:tblLook w:val="04A0" w:firstRow="1" w:lastRow="0" w:firstColumn="1" w:lastColumn="0" w:noHBand="0" w:noVBand="1"/>
      </w:tblPr>
      <w:tblGrid>
        <w:gridCol w:w="2263"/>
        <w:gridCol w:w="7371"/>
      </w:tblGrid>
      <w:tr w:rsidR="007E267D" w:rsidTr="007E267D">
        <w:tc>
          <w:tcPr>
            <w:tcW w:w="2263" w:type="dxa"/>
            <w:shd w:val="clear" w:color="auto" w:fill="081E3E" w:themeFill="text2"/>
            <w:vAlign w:val="center"/>
          </w:tcPr>
          <w:p w:rsidR="007E267D" w:rsidRPr="00731C0C" w:rsidRDefault="007E267D" w:rsidP="007E267D">
            <w:pPr>
              <w:pStyle w:val="Table2heading"/>
              <w:jc w:val="left"/>
            </w:pPr>
            <w:r>
              <w:t>Country of origin</w:t>
            </w:r>
          </w:p>
        </w:tc>
        <w:tc>
          <w:tcPr>
            <w:tcW w:w="7371" w:type="dxa"/>
            <w:shd w:val="clear" w:color="auto" w:fill="081E3E" w:themeFill="text2"/>
            <w:vAlign w:val="center"/>
          </w:tcPr>
          <w:p w:rsidR="007E267D" w:rsidRPr="00731C0C" w:rsidRDefault="007E267D" w:rsidP="007E267D">
            <w:pPr>
              <w:pStyle w:val="Table2heading"/>
              <w:keepNext/>
              <w:jc w:val="left"/>
            </w:pPr>
            <w:r>
              <w:t>Assumed take-up of wider freight vehicles (2.55 m or 2.6 m width by option)</w:t>
            </w:r>
          </w:p>
        </w:tc>
      </w:tr>
      <w:tr w:rsidR="00663F9E" w:rsidTr="00663F9E">
        <w:trPr>
          <w:trHeight w:val="368"/>
        </w:trPr>
        <w:tc>
          <w:tcPr>
            <w:tcW w:w="2263" w:type="dxa"/>
            <w:vMerge w:val="restart"/>
            <w:vAlign w:val="center"/>
          </w:tcPr>
          <w:p w:rsidR="00663F9E" w:rsidRPr="00E856F5" w:rsidRDefault="00663F9E" w:rsidP="007E267D">
            <w:pPr>
              <w:rPr>
                <w:b/>
              </w:rPr>
            </w:pPr>
            <w:r>
              <w:rPr>
                <w:b/>
              </w:rPr>
              <w:t>Goods vehicles made in the EU or US</w:t>
            </w:r>
          </w:p>
        </w:tc>
        <w:tc>
          <w:tcPr>
            <w:tcW w:w="7371" w:type="dxa"/>
            <w:vAlign w:val="center"/>
          </w:tcPr>
          <w:p w:rsidR="00663F9E" w:rsidRDefault="00663F9E" w:rsidP="008916CF">
            <w:r>
              <w:t xml:space="preserve">Linear </w:t>
            </w:r>
            <w:r w:rsidR="008916CF">
              <w:t>increase</w:t>
            </w:r>
            <w:r>
              <w:t xml:space="preserve"> to 100% at 2.55 m wide in the 2 years from commencement of </w:t>
            </w:r>
            <w:r>
              <w:br/>
              <w:t>Options 3.1a or 3.1b.</w:t>
            </w:r>
          </w:p>
        </w:tc>
      </w:tr>
      <w:tr w:rsidR="00663F9E" w:rsidTr="007E267D">
        <w:trPr>
          <w:trHeight w:val="367"/>
        </w:trPr>
        <w:tc>
          <w:tcPr>
            <w:tcW w:w="2263" w:type="dxa"/>
            <w:vMerge/>
            <w:vAlign w:val="center"/>
          </w:tcPr>
          <w:p w:rsidR="00663F9E" w:rsidRDefault="00663F9E" w:rsidP="007E267D">
            <w:pPr>
              <w:rPr>
                <w:b/>
              </w:rPr>
            </w:pPr>
          </w:p>
        </w:tc>
        <w:tc>
          <w:tcPr>
            <w:tcW w:w="7371" w:type="dxa"/>
            <w:vAlign w:val="center"/>
          </w:tcPr>
          <w:p w:rsidR="00663F9E" w:rsidRDefault="008916CF" w:rsidP="00663F9E">
            <w:r>
              <w:t xml:space="preserve">Linear increase to </w:t>
            </w:r>
            <w:r w:rsidR="00663F9E">
              <w:t xml:space="preserve">100% at </w:t>
            </w:r>
            <w:r w:rsidR="00B9347B">
              <w:t>2.60</w:t>
            </w:r>
            <w:r w:rsidR="00663F9E">
              <w:t xml:space="preserve"> m wide in the 2 years from commencement of </w:t>
            </w:r>
            <w:r w:rsidR="00663F9E">
              <w:br/>
              <w:t>Options 3.2a or 3.2b.</w:t>
            </w:r>
          </w:p>
        </w:tc>
      </w:tr>
      <w:tr w:rsidR="00663F9E" w:rsidTr="00663F9E">
        <w:trPr>
          <w:trHeight w:val="248"/>
        </w:trPr>
        <w:tc>
          <w:tcPr>
            <w:tcW w:w="2263" w:type="dxa"/>
            <w:vMerge w:val="restart"/>
            <w:vAlign w:val="center"/>
          </w:tcPr>
          <w:p w:rsidR="00663F9E" w:rsidRDefault="00663F9E" w:rsidP="00663F9E">
            <w:pPr>
              <w:rPr>
                <w:b/>
              </w:rPr>
            </w:pPr>
            <w:r>
              <w:rPr>
                <w:b/>
              </w:rPr>
              <w:t>Goods vehicles made in Australia</w:t>
            </w:r>
          </w:p>
        </w:tc>
        <w:tc>
          <w:tcPr>
            <w:tcW w:w="7371" w:type="dxa"/>
            <w:vAlign w:val="center"/>
          </w:tcPr>
          <w:p w:rsidR="00663F9E" w:rsidRDefault="008916CF" w:rsidP="008916CF">
            <w:r>
              <w:t xml:space="preserve">Linear increase to </w:t>
            </w:r>
            <w:r w:rsidR="00663F9E">
              <w:t xml:space="preserve">100% at 2.55 m wide in the 15 years from commencement of </w:t>
            </w:r>
            <w:r w:rsidR="00663F9E">
              <w:br/>
              <w:t>Options 3.1a or 3.1b.</w:t>
            </w:r>
          </w:p>
        </w:tc>
      </w:tr>
      <w:tr w:rsidR="00663F9E" w:rsidTr="007E267D">
        <w:trPr>
          <w:trHeight w:val="247"/>
        </w:trPr>
        <w:tc>
          <w:tcPr>
            <w:tcW w:w="2263" w:type="dxa"/>
            <w:vMerge/>
            <w:vAlign w:val="center"/>
          </w:tcPr>
          <w:p w:rsidR="00663F9E" w:rsidRDefault="00663F9E" w:rsidP="00663F9E">
            <w:pPr>
              <w:rPr>
                <w:b/>
              </w:rPr>
            </w:pPr>
          </w:p>
        </w:tc>
        <w:tc>
          <w:tcPr>
            <w:tcW w:w="7371" w:type="dxa"/>
            <w:vAlign w:val="center"/>
          </w:tcPr>
          <w:p w:rsidR="00663F9E" w:rsidRDefault="008916CF" w:rsidP="00663F9E">
            <w:r>
              <w:t xml:space="preserve">Linear increase to </w:t>
            </w:r>
            <w:r w:rsidR="00663F9E">
              <w:t xml:space="preserve">100% at </w:t>
            </w:r>
            <w:r w:rsidR="00B9347B">
              <w:t>2.60</w:t>
            </w:r>
            <w:r w:rsidR="00663F9E">
              <w:t xml:space="preserve"> m wide in the 15 years from commencement of </w:t>
            </w:r>
            <w:r w:rsidR="00663F9E">
              <w:br/>
              <w:t>Options 3.2a or 3.2b.</w:t>
            </w:r>
          </w:p>
        </w:tc>
      </w:tr>
      <w:tr w:rsidR="00663F9E" w:rsidTr="00663F9E">
        <w:trPr>
          <w:trHeight w:val="248"/>
        </w:trPr>
        <w:tc>
          <w:tcPr>
            <w:tcW w:w="2263" w:type="dxa"/>
            <w:vMerge w:val="restart"/>
            <w:vAlign w:val="center"/>
          </w:tcPr>
          <w:p w:rsidR="00663F9E" w:rsidRPr="00E856F5" w:rsidRDefault="00663F9E" w:rsidP="00663F9E">
            <w:pPr>
              <w:rPr>
                <w:b/>
              </w:rPr>
            </w:pPr>
            <w:r>
              <w:rPr>
                <w:b/>
              </w:rPr>
              <w:t>Goods vehicles made in Japan or Korea</w:t>
            </w:r>
          </w:p>
        </w:tc>
        <w:tc>
          <w:tcPr>
            <w:tcW w:w="7371" w:type="dxa"/>
            <w:vAlign w:val="center"/>
          </w:tcPr>
          <w:p w:rsidR="00663F9E" w:rsidRDefault="008916CF" w:rsidP="00663F9E">
            <w:r>
              <w:t>Linear increase</w:t>
            </w:r>
            <w:r w:rsidR="00663F9E">
              <w:t xml:space="preserve"> to 60% at 2.55 m wide in the 15 years from commencement of </w:t>
            </w:r>
            <w:r w:rsidR="00663F9E">
              <w:br/>
              <w:t>Options 3.1a or 3.1b.</w:t>
            </w:r>
          </w:p>
        </w:tc>
      </w:tr>
      <w:tr w:rsidR="00663F9E" w:rsidTr="007E267D">
        <w:trPr>
          <w:trHeight w:val="247"/>
        </w:trPr>
        <w:tc>
          <w:tcPr>
            <w:tcW w:w="2263" w:type="dxa"/>
            <w:vMerge/>
            <w:vAlign w:val="center"/>
          </w:tcPr>
          <w:p w:rsidR="00663F9E" w:rsidRDefault="00663F9E" w:rsidP="00663F9E">
            <w:pPr>
              <w:rPr>
                <w:b/>
              </w:rPr>
            </w:pPr>
          </w:p>
        </w:tc>
        <w:tc>
          <w:tcPr>
            <w:tcW w:w="7371" w:type="dxa"/>
            <w:vAlign w:val="center"/>
          </w:tcPr>
          <w:p w:rsidR="00663F9E" w:rsidRDefault="008916CF" w:rsidP="00663F9E">
            <w:r>
              <w:t>Linear increase to</w:t>
            </w:r>
            <w:r w:rsidR="00663F9E">
              <w:t xml:space="preserve"> 60% at </w:t>
            </w:r>
            <w:r w:rsidR="00B9347B">
              <w:t>2.60</w:t>
            </w:r>
            <w:r w:rsidR="00663F9E">
              <w:t xml:space="preserve"> m wide in the 15 years from commencement of </w:t>
            </w:r>
            <w:r w:rsidR="00663F9E">
              <w:br/>
              <w:t>Options 3.2a or 3.2b.</w:t>
            </w:r>
          </w:p>
        </w:tc>
      </w:tr>
      <w:tr w:rsidR="00663F9E" w:rsidTr="00663F9E">
        <w:trPr>
          <w:trHeight w:val="248"/>
        </w:trPr>
        <w:tc>
          <w:tcPr>
            <w:tcW w:w="2263" w:type="dxa"/>
            <w:vMerge w:val="restart"/>
            <w:vAlign w:val="center"/>
          </w:tcPr>
          <w:p w:rsidR="00663F9E" w:rsidRPr="00E856F5" w:rsidRDefault="00663F9E" w:rsidP="00663F9E">
            <w:pPr>
              <w:rPr>
                <w:b/>
              </w:rPr>
            </w:pPr>
            <w:r>
              <w:rPr>
                <w:b/>
              </w:rPr>
              <w:t>Trailers made in Australia</w:t>
            </w:r>
          </w:p>
        </w:tc>
        <w:tc>
          <w:tcPr>
            <w:tcW w:w="7371" w:type="dxa"/>
            <w:vAlign w:val="center"/>
          </w:tcPr>
          <w:p w:rsidR="00663F9E" w:rsidRPr="009D3395" w:rsidRDefault="008916CF" w:rsidP="00E81F59">
            <w:r>
              <w:t xml:space="preserve">Linear increase to </w:t>
            </w:r>
            <w:r w:rsidR="00663F9E">
              <w:t>38% at 2.55 m wide in the 15 years from comme</w:t>
            </w:r>
            <w:r w:rsidR="00E81F59">
              <w:t xml:space="preserve">ncement of </w:t>
            </w:r>
            <w:r w:rsidR="00E81F59">
              <w:br/>
              <w:t>Option 3.1a</w:t>
            </w:r>
            <w:r w:rsidR="00663F9E">
              <w:t>.</w:t>
            </w:r>
          </w:p>
        </w:tc>
      </w:tr>
      <w:tr w:rsidR="00663F9E" w:rsidTr="007E267D">
        <w:trPr>
          <w:trHeight w:val="247"/>
        </w:trPr>
        <w:tc>
          <w:tcPr>
            <w:tcW w:w="2263" w:type="dxa"/>
            <w:vMerge/>
            <w:vAlign w:val="center"/>
          </w:tcPr>
          <w:p w:rsidR="00663F9E" w:rsidRDefault="00663F9E" w:rsidP="00663F9E">
            <w:pPr>
              <w:rPr>
                <w:b/>
              </w:rPr>
            </w:pPr>
          </w:p>
        </w:tc>
        <w:tc>
          <w:tcPr>
            <w:tcW w:w="7371" w:type="dxa"/>
            <w:vAlign w:val="center"/>
          </w:tcPr>
          <w:p w:rsidR="00663F9E" w:rsidRPr="009D3395" w:rsidRDefault="008916CF" w:rsidP="00E81F59">
            <w:r>
              <w:t xml:space="preserve">Linear increase to </w:t>
            </w:r>
            <w:r w:rsidR="00663F9E">
              <w:t xml:space="preserve">38% at </w:t>
            </w:r>
            <w:r w:rsidR="00B9347B">
              <w:t>2.60</w:t>
            </w:r>
            <w:r w:rsidR="00663F9E">
              <w:t xml:space="preserve"> m wide in the 15 years from comme</w:t>
            </w:r>
            <w:r w:rsidR="00E81F59">
              <w:t xml:space="preserve">ncement of </w:t>
            </w:r>
            <w:r w:rsidR="00E81F59">
              <w:br/>
              <w:t>Option 3.2a</w:t>
            </w:r>
            <w:r w:rsidR="00663F9E">
              <w:t>.</w:t>
            </w:r>
          </w:p>
        </w:tc>
      </w:tr>
      <w:tr w:rsidR="00663F9E" w:rsidTr="007E267D">
        <w:tc>
          <w:tcPr>
            <w:tcW w:w="2263" w:type="dxa"/>
            <w:vMerge w:val="restart"/>
            <w:vAlign w:val="center"/>
          </w:tcPr>
          <w:p w:rsidR="00663F9E" w:rsidRPr="00E856F5" w:rsidRDefault="00663F9E" w:rsidP="00663F9E">
            <w:pPr>
              <w:rPr>
                <w:b/>
              </w:rPr>
            </w:pPr>
            <w:r>
              <w:rPr>
                <w:b/>
              </w:rPr>
              <w:t>Imported trailers</w:t>
            </w:r>
          </w:p>
        </w:tc>
        <w:tc>
          <w:tcPr>
            <w:tcW w:w="7371" w:type="dxa"/>
            <w:vAlign w:val="center"/>
          </w:tcPr>
          <w:p w:rsidR="00663F9E" w:rsidRDefault="008916CF" w:rsidP="00E81F59">
            <w:r>
              <w:t xml:space="preserve">Linear increase to </w:t>
            </w:r>
            <w:r w:rsidR="00663F9E">
              <w:t>100% at 2.55 m wide in the 2 years from comme</w:t>
            </w:r>
            <w:r w:rsidR="00E81F59">
              <w:t xml:space="preserve">ncement of </w:t>
            </w:r>
            <w:r w:rsidR="00E81F59">
              <w:br/>
              <w:t>Option 3.1a</w:t>
            </w:r>
            <w:r w:rsidR="00663F9E">
              <w:t>.</w:t>
            </w:r>
          </w:p>
        </w:tc>
      </w:tr>
      <w:tr w:rsidR="00663F9E" w:rsidTr="007E267D">
        <w:tc>
          <w:tcPr>
            <w:tcW w:w="2263" w:type="dxa"/>
            <w:vMerge/>
            <w:vAlign w:val="center"/>
          </w:tcPr>
          <w:p w:rsidR="00663F9E" w:rsidRDefault="00663F9E" w:rsidP="00663F9E">
            <w:pPr>
              <w:rPr>
                <w:b/>
              </w:rPr>
            </w:pPr>
          </w:p>
        </w:tc>
        <w:tc>
          <w:tcPr>
            <w:tcW w:w="7371" w:type="dxa"/>
            <w:vAlign w:val="center"/>
          </w:tcPr>
          <w:p w:rsidR="00663F9E" w:rsidRDefault="008916CF" w:rsidP="00E81F59">
            <w:r>
              <w:t>Linear increase to</w:t>
            </w:r>
            <w:r w:rsidR="00663F9E">
              <w:t xml:space="preserve"> 100% at </w:t>
            </w:r>
            <w:r w:rsidR="00B9347B">
              <w:t>2.60</w:t>
            </w:r>
            <w:r w:rsidR="00663F9E">
              <w:t xml:space="preserve"> m wide in the 2 years from comme</w:t>
            </w:r>
            <w:r w:rsidR="00E81F59">
              <w:t xml:space="preserve">ncement of </w:t>
            </w:r>
            <w:r w:rsidR="00E81F59">
              <w:br/>
              <w:t>Option 3.2a</w:t>
            </w:r>
            <w:r w:rsidR="00663F9E">
              <w:t>.</w:t>
            </w:r>
          </w:p>
        </w:tc>
      </w:tr>
    </w:tbl>
    <w:p w:rsidR="008621AD" w:rsidRDefault="0087542A" w:rsidP="008621AD">
      <w:r>
        <w:fldChar w:fldCharType="begin"/>
      </w:r>
      <w:r>
        <w:instrText xml:space="preserve"> REF _Ref135238703 \h </w:instrText>
      </w:r>
      <w:r>
        <w:fldChar w:fldCharType="separate"/>
      </w:r>
      <w:r w:rsidR="00534814">
        <w:t xml:space="preserve">Figure </w:t>
      </w:r>
      <w:r w:rsidR="00534814">
        <w:rPr>
          <w:noProof/>
        </w:rPr>
        <w:t>5</w:t>
      </w:r>
      <w:r>
        <w:fldChar w:fldCharType="end"/>
      </w:r>
      <w:r>
        <w:t xml:space="preserve"> and </w:t>
      </w:r>
      <w:r>
        <w:fldChar w:fldCharType="begin"/>
      </w:r>
      <w:r>
        <w:instrText xml:space="preserve"> REF _Ref135238710 \h </w:instrText>
      </w:r>
      <w:r>
        <w:fldChar w:fldCharType="separate"/>
      </w:r>
      <w:r w:rsidR="00534814">
        <w:t xml:space="preserve">Figure </w:t>
      </w:r>
      <w:r w:rsidR="00534814">
        <w:rPr>
          <w:noProof/>
        </w:rPr>
        <w:t>6</w:t>
      </w:r>
      <w:r>
        <w:fldChar w:fldCharType="end"/>
      </w:r>
      <w:r>
        <w:t xml:space="preserve"> show the resulting modelled take-up of safer wider goods vehicles and trailers </w:t>
      </w:r>
      <w:r w:rsidR="00156B43">
        <w:t xml:space="preserve">(in total volume and percentage terms) </w:t>
      </w:r>
      <w:r w:rsidR="00CA7487">
        <w:t xml:space="preserve">for each year during the expected 15-year </w:t>
      </w:r>
      <w:r w:rsidR="002250AB">
        <w:t xml:space="preserve">policy </w:t>
      </w:r>
      <w:r w:rsidR="00CA7487">
        <w:t xml:space="preserve">life </w:t>
      </w:r>
      <w:r>
        <w:t>under each of the options.</w:t>
      </w:r>
    </w:p>
    <w:p w:rsidR="00E03716" w:rsidRDefault="00495887" w:rsidP="008621AD">
      <w:r w:rsidRPr="00495887">
        <w:rPr>
          <w:noProof/>
        </w:rPr>
        <w:drawing>
          <wp:inline distT="0" distB="0" distL="0" distR="0" wp14:anchorId="07F8BF97" wp14:editId="76A408BC">
            <wp:extent cx="6263640" cy="362267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63640" cy="3622675"/>
                    </a:xfrm>
                    <a:prstGeom prst="rect">
                      <a:avLst/>
                    </a:prstGeom>
                  </pic:spPr>
                </pic:pic>
              </a:graphicData>
            </a:graphic>
          </wp:inline>
        </w:drawing>
      </w:r>
    </w:p>
    <w:p w:rsidR="0087542A" w:rsidRDefault="0087542A" w:rsidP="0087542A">
      <w:pPr>
        <w:pStyle w:val="Caption"/>
        <w:spacing w:before="120"/>
      </w:pPr>
      <w:bookmarkStart w:id="48" w:name="_Ref135238703"/>
      <w:bookmarkStart w:id="49" w:name="_Toc135321395"/>
      <w:r>
        <w:t xml:space="preserve">Figure </w:t>
      </w:r>
      <w:fldSimple w:instr=" SEQ Figure \* ARABIC ">
        <w:r w:rsidR="00534814">
          <w:rPr>
            <w:noProof/>
          </w:rPr>
          <w:t>5</w:t>
        </w:r>
      </w:fldSimple>
      <w:bookmarkEnd w:id="48"/>
      <w:r>
        <w:t xml:space="preserve">: </w:t>
      </w:r>
      <w:r w:rsidR="009C2CCC">
        <w:t>Modelled</w:t>
      </w:r>
      <w:r>
        <w:t xml:space="preserve"> take-up of </w:t>
      </w:r>
      <w:r w:rsidR="009C2CCC">
        <w:t>wider goods vehicles under Options 3.1a, 3.1b, 3.2a, and 3.2b</w:t>
      </w:r>
      <w:bookmarkEnd w:id="49"/>
    </w:p>
    <w:p w:rsidR="0087542A" w:rsidRDefault="00495887" w:rsidP="008621AD">
      <w:r w:rsidRPr="00495887">
        <w:rPr>
          <w:noProof/>
        </w:rPr>
        <w:drawing>
          <wp:inline distT="0" distB="0" distL="0" distR="0" wp14:anchorId="07C0F0D9" wp14:editId="1CD57360">
            <wp:extent cx="6263640" cy="364426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63640" cy="3644265"/>
                    </a:xfrm>
                    <a:prstGeom prst="rect">
                      <a:avLst/>
                    </a:prstGeom>
                  </pic:spPr>
                </pic:pic>
              </a:graphicData>
            </a:graphic>
          </wp:inline>
        </w:drawing>
      </w:r>
    </w:p>
    <w:p w:rsidR="0087542A" w:rsidRDefault="0087542A" w:rsidP="0087542A">
      <w:pPr>
        <w:pStyle w:val="Caption"/>
        <w:spacing w:before="120"/>
      </w:pPr>
      <w:bookmarkStart w:id="50" w:name="_Ref135238710"/>
      <w:bookmarkStart w:id="51" w:name="_Toc135321396"/>
      <w:r>
        <w:t xml:space="preserve">Figure </w:t>
      </w:r>
      <w:fldSimple w:instr=" SEQ Figure \* ARABIC ">
        <w:r w:rsidR="00534814">
          <w:rPr>
            <w:noProof/>
          </w:rPr>
          <w:t>6</w:t>
        </w:r>
      </w:fldSimple>
      <w:bookmarkEnd w:id="50"/>
      <w:r>
        <w:t xml:space="preserve">: </w:t>
      </w:r>
      <w:r w:rsidR="009C2CCC">
        <w:t>Modelled take-up of wider trailers under Options 3.1a and 3.2a</w:t>
      </w:r>
      <w:bookmarkEnd w:id="51"/>
    </w:p>
    <w:p w:rsidR="00C50BD4" w:rsidRPr="0084287E" w:rsidRDefault="0084287E" w:rsidP="00060498">
      <w:pPr>
        <w:pStyle w:val="Heading3"/>
        <w:rPr>
          <w:lang w:val="en-AU"/>
        </w:rPr>
      </w:pPr>
      <w:bookmarkStart w:id="52" w:name="_Toc138065701"/>
      <w:r w:rsidRPr="0084287E">
        <w:rPr>
          <w:lang w:val="en-AU"/>
        </w:rPr>
        <w:t>Benefits</w:t>
      </w:r>
      <w:bookmarkEnd w:id="52"/>
    </w:p>
    <w:p w:rsidR="00163D15" w:rsidRDefault="00163D15" w:rsidP="00A65C10">
      <w:r w:rsidRPr="00163D15">
        <w:t xml:space="preserve">For Option </w:t>
      </w:r>
      <w:r>
        <w:t>2</w:t>
      </w:r>
      <w:r w:rsidRPr="00163D15">
        <w:t>, there are no intervention benefits (or costs) as this is the BAU case.</w:t>
      </w:r>
    </w:p>
    <w:p w:rsidR="0093529C" w:rsidRDefault="00163D15" w:rsidP="0093529C">
      <w:r>
        <w:t>For Option 3</w:t>
      </w:r>
      <w:r w:rsidR="00346147">
        <w:t>,</w:t>
      </w:r>
      <w:r w:rsidR="0093529C">
        <w:t xml:space="preserve"> there are benefits through reductions in trips and </w:t>
      </w:r>
      <w:r w:rsidR="004E0323">
        <w:t xml:space="preserve">the </w:t>
      </w:r>
      <w:r w:rsidR="0093529C">
        <w:t xml:space="preserve">associated reductions in crash exposure risk and vehicle operating and environmental costs, as well as </w:t>
      </w:r>
      <w:r w:rsidR="000A7F9C">
        <w:t xml:space="preserve">asset preservation benefits and </w:t>
      </w:r>
      <w:r w:rsidR="0093529C">
        <w:t>benefits from</w:t>
      </w:r>
      <w:r w:rsidR="000A7F9C">
        <w:t xml:space="preserve"> </w:t>
      </w:r>
      <w:r w:rsidR="004E0323">
        <w:t>the</w:t>
      </w:r>
      <w:r w:rsidR="0093529C">
        <w:t xml:space="preserve"> safety </w:t>
      </w:r>
      <w:r w:rsidR="008C56E5">
        <w:t>systems or devices</w:t>
      </w:r>
      <w:r w:rsidR="0093529C">
        <w:t xml:space="preserve"> required for wider vehicles.</w:t>
      </w:r>
    </w:p>
    <w:p w:rsidR="00D64ED5" w:rsidRDefault="000E780F" w:rsidP="0095005E">
      <w:pPr>
        <w:pStyle w:val="Heading4"/>
      </w:pPr>
      <w:r>
        <w:t>Reduction in trips</w:t>
      </w:r>
    </w:p>
    <w:p w:rsidR="008D0786" w:rsidRDefault="004F41A5" w:rsidP="000D1D80">
      <w:pPr>
        <w:rPr>
          <w:lang w:val="en-US"/>
        </w:rPr>
      </w:pPr>
      <w:r>
        <w:rPr>
          <w:lang w:val="en-US"/>
        </w:rPr>
        <w:t xml:space="preserve">Increasing the heavy freight vehicle width limit to either 2.55 m or </w:t>
      </w:r>
      <w:r w:rsidR="00B9347B">
        <w:rPr>
          <w:lang w:val="en-US"/>
        </w:rPr>
        <w:t>2.60</w:t>
      </w:r>
      <w:r>
        <w:rPr>
          <w:lang w:val="en-US"/>
        </w:rPr>
        <w:t xml:space="preserve"> m </w:t>
      </w:r>
      <w:r w:rsidR="009B41FB">
        <w:rPr>
          <w:lang w:val="en-US"/>
        </w:rPr>
        <w:t xml:space="preserve">would allow </w:t>
      </w:r>
      <w:r w:rsidR="009B41FB">
        <w:t xml:space="preserve">some sectors of the road freight industry </w:t>
      </w:r>
      <w:r w:rsidR="009B41FB" w:rsidRPr="007C205D">
        <w:t>to complete the same fr</w:t>
      </w:r>
      <w:r w:rsidR="008D0786">
        <w:t>eight task in fewer trips. This</w:t>
      </w:r>
      <w:r w:rsidR="009B41FB" w:rsidRPr="007C205D">
        <w:t xml:space="preserve"> </w:t>
      </w:r>
      <w:r w:rsidR="009B41FB">
        <w:t>would reduce</w:t>
      </w:r>
      <w:r w:rsidR="009B41FB" w:rsidRPr="007C205D">
        <w:t xml:space="preserve"> exposure related crash risks</w:t>
      </w:r>
      <w:r w:rsidR="009B41FB">
        <w:t xml:space="preserve"> as well as vehicle operating and environmental costs</w:t>
      </w:r>
      <w:r w:rsidR="009B41FB" w:rsidRPr="007C205D">
        <w:t>.</w:t>
      </w:r>
    </w:p>
    <w:p w:rsidR="000D1D80" w:rsidRPr="000D1D80" w:rsidRDefault="000D1D80" w:rsidP="000D1D80">
      <w:pPr>
        <w:rPr>
          <w:lang w:val="en-US"/>
        </w:rPr>
      </w:pPr>
      <w:r>
        <w:rPr>
          <w:lang w:val="en-US"/>
        </w:rPr>
        <w:t>The ARRB used road freight movement data from the A</w:t>
      </w:r>
      <w:r w:rsidR="009B41FB">
        <w:rPr>
          <w:lang w:val="en-US"/>
        </w:rPr>
        <w:t>ustralian Bureau of Statistics</w:t>
      </w:r>
      <w:r w:rsidR="003F4540">
        <w:rPr>
          <w:lang w:val="en-US"/>
        </w:rPr>
        <w:t xml:space="preserve"> </w:t>
      </w:r>
      <w:r>
        <w:rPr>
          <w:lang w:val="en-US"/>
        </w:rPr>
        <w:t xml:space="preserve">to estimate the possible reduction in </w:t>
      </w:r>
      <w:r w:rsidR="000D1315">
        <w:rPr>
          <w:lang w:val="en-US"/>
        </w:rPr>
        <w:t>trips</w:t>
      </w:r>
      <w:r>
        <w:rPr>
          <w:lang w:val="en-US"/>
        </w:rPr>
        <w:t xml:space="preserve"> for 2.55 m and </w:t>
      </w:r>
      <w:r w:rsidR="00B9347B">
        <w:rPr>
          <w:lang w:val="en-US"/>
        </w:rPr>
        <w:t>2.60</w:t>
      </w:r>
      <w:r>
        <w:rPr>
          <w:lang w:val="en-US"/>
        </w:rPr>
        <w:t xml:space="preserve"> m wide heavy freight vehicles. </w:t>
      </w:r>
      <w:r w:rsidR="004F41A5">
        <w:rPr>
          <w:lang w:val="en-US"/>
        </w:rPr>
        <w:t>In this analysis</w:t>
      </w:r>
      <w:r>
        <w:rPr>
          <w:lang w:val="en-US"/>
        </w:rPr>
        <w:t xml:space="preserve"> the ARRB considered that</w:t>
      </w:r>
      <w:r w:rsidRPr="003F4540">
        <w:t xml:space="preserve"> </w:t>
      </w:r>
      <w:r w:rsidR="002E117B">
        <w:t xml:space="preserve">payloads for </w:t>
      </w:r>
      <w:r w:rsidR="003F4540" w:rsidRPr="003F4540">
        <w:t>containerised</w:t>
      </w:r>
      <w:r w:rsidR="003F4540">
        <w:rPr>
          <w:lang w:val="en-US"/>
        </w:rPr>
        <w:t xml:space="preserve">, and </w:t>
      </w:r>
      <w:r w:rsidR="004F41A5">
        <w:t>solid</w:t>
      </w:r>
      <w:r>
        <w:t xml:space="preserve"> and liquid bulk freight</w:t>
      </w:r>
      <w:r w:rsidR="008D0786">
        <w:t xml:space="preserve"> (58% of total tonnes carried)</w:t>
      </w:r>
      <w:r w:rsidR="002054F1">
        <w:t>,</w:t>
      </w:r>
      <w:r>
        <w:t xml:space="preserve"> </w:t>
      </w:r>
      <w:r w:rsidR="003F4540">
        <w:t xml:space="preserve">are </w:t>
      </w:r>
      <w:r w:rsidR="002054F1">
        <w:t xml:space="preserve">currently limited by </w:t>
      </w:r>
      <w:r>
        <w:t>in-service axle mass limits</w:t>
      </w:r>
      <w:r w:rsidR="002054F1">
        <w:t xml:space="preserve">, and so would not increase </w:t>
      </w:r>
      <w:r w:rsidR="008D0786">
        <w:t>due to</w:t>
      </w:r>
      <w:r w:rsidR="002054F1">
        <w:t xml:space="preserve"> any increase in the width limit.</w:t>
      </w:r>
      <w:r w:rsidR="008D0786">
        <w:t xml:space="preserve"> T</w:t>
      </w:r>
      <w:r w:rsidR="00292035">
        <w:t>his leaves the remaining</w:t>
      </w:r>
      <w:r w:rsidR="008D0786">
        <w:t xml:space="preserve"> 42% of </w:t>
      </w:r>
      <w:r w:rsidR="00292035">
        <w:t xml:space="preserve">freight movements by mass, some of which </w:t>
      </w:r>
      <w:r w:rsidR="008D0786">
        <w:t>may be able to be</w:t>
      </w:r>
      <w:r w:rsidR="000D1315">
        <w:t xml:space="preserve"> moved in fewer trips. From this data,</w:t>
      </w:r>
      <w:r w:rsidR="008D0786">
        <w:t xml:space="preserve"> the ARRB estimated a 0.83%</w:t>
      </w:r>
      <w:r w:rsidR="00896C25">
        <w:t xml:space="preserve"> overall</w:t>
      </w:r>
      <w:r w:rsidR="008D0786">
        <w:t xml:space="preserve"> reduction in trips for 2.55 m wide freight vehicles, and a 1.</w:t>
      </w:r>
      <w:r w:rsidR="00896C25">
        <w:t>63% overall reduction</w:t>
      </w:r>
      <w:r w:rsidR="000D1315">
        <w:t xml:space="preserve"> </w:t>
      </w:r>
      <w:r w:rsidR="00896C25">
        <w:t xml:space="preserve">in trips for </w:t>
      </w:r>
      <w:r w:rsidR="00B9347B">
        <w:t>2.60</w:t>
      </w:r>
      <w:r w:rsidR="00896C25">
        <w:t xml:space="preserve"> m wide freight vehicles</w:t>
      </w:r>
      <w:r w:rsidR="00414A2F">
        <w:t xml:space="preserve"> (for all types of freight)</w:t>
      </w:r>
      <w:r w:rsidR="00896C25">
        <w:t>.</w:t>
      </w:r>
    </w:p>
    <w:p w:rsidR="00D64ED5" w:rsidRPr="00D64ED5" w:rsidRDefault="008D0786" w:rsidP="00D64ED5">
      <w:pPr>
        <w:rPr>
          <w:lang w:val="en-US"/>
        </w:rPr>
      </w:pPr>
      <w:r>
        <w:t>For refrigerated vehicles, the ARRB assumed any increase in the width limit would be used to fit thicker insulation, and so would not result in any increase in payload</w:t>
      </w:r>
      <w:r w:rsidR="00896C25">
        <w:t xml:space="preserve"> or</w:t>
      </w:r>
      <w:r w:rsidR="00FD2B38">
        <w:t xml:space="preserve"> any</w:t>
      </w:r>
      <w:r w:rsidR="00896C25">
        <w:t xml:space="preserve"> associated reduction in trips.</w:t>
      </w:r>
    </w:p>
    <w:p w:rsidR="0095005E" w:rsidRDefault="00164075" w:rsidP="0095005E">
      <w:pPr>
        <w:pStyle w:val="Heading4"/>
      </w:pPr>
      <w:r>
        <w:t>Safety</w:t>
      </w:r>
    </w:p>
    <w:p w:rsidR="00164075" w:rsidRDefault="00811478" w:rsidP="00C76566">
      <w:pPr>
        <w:keepLines/>
        <w:rPr>
          <w:lang w:val="en-US"/>
        </w:rPr>
      </w:pPr>
      <w:r>
        <w:rPr>
          <w:lang w:val="en-US"/>
        </w:rPr>
        <w:t xml:space="preserve">Under Options </w:t>
      </w:r>
      <w:r>
        <w:t>3.1a, 3.1b, 3.2a, and 3.2b</w:t>
      </w:r>
      <w:r w:rsidR="000D20B9">
        <w:t>,</w:t>
      </w:r>
      <w:r>
        <w:t xml:space="preserve"> safety benefits are expected to be achieved through reductions in crash risk due to both a decrease in the overall number of trips required to move the same freight, and the effectiveness of the required safety </w:t>
      </w:r>
      <w:r w:rsidR="000D20B9">
        <w:t>systems/</w:t>
      </w:r>
      <w:r w:rsidR="008C56E5">
        <w:t>features</w:t>
      </w:r>
      <w:r w:rsidR="000D20B9">
        <w:t xml:space="preserve">. The relative fatal and serious injury crash risk used by the ARRB in the benefit-cost analysis are summarised in </w:t>
      </w:r>
      <w:r w:rsidR="000D20B9">
        <w:fldChar w:fldCharType="begin"/>
      </w:r>
      <w:r w:rsidR="000D20B9">
        <w:instrText xml:space="preserve"> REF _Ref111472534 \h </w:instrText>
      </w:r>
      <w:r w:rsidR="000D20B9">
        <w:fldChar w:fldCharType="separate"/>
      </w:r>
      <w:r w:rsidR="00534814" w:rsidRPr="002C1585">
        <w:t xml:space="preserve">Table </w:t>
      </w:r>
      <w:r w:rsidR="00534814">
        <w:rPr>
          <w:noProof/>
        </w:rPr>
        <w:t>5</w:t>
      </w:r>
      <w:r w:rsidR="000D20B9">
        <w:fldChar w:fldCharType="end"/>
      </w:r>
      <w:r w:rsidR="000D20B9">
        <w:t xml:space="preserve"> below.</w:t>
      </w:r>
      <w:r w:rsidR="002C28C3">
        <w:t xml:space="preserve"> These values represent the difference in overall fatal or serious injury crash risk for a vehicle with the safety system/feature</w:t>
      </w:r>
      <w:r w:rsidR="00292035">
        <w:t>,</w:t>
      </w:r>
      <w:r w:rsidR="002C28C3">
        <w:t xml:space="preserve"> relative to a vehicle without the safety system/feature. For example, the 93.6% risk for Advanced Emergency Braking (AEB) indicates that this safety system has been estimated to reduce the risk that a heavy truck will be involved in a fatal or serious injury crash by 6.4% (i.e. 100</w:t>
      </w:r>
      <w:r w:rsidR="00FB1EEE">
        <w:t>%</w:t>
      </w:r>
      <w:r w:rsidR="002C28C3">
        <w:t xml:space="preserve"> – 93.6%).</w:t>
      </w:r>
    </w:p>
    <w:p w:rsidR="00277958" w:rsidRPr="002C1585" w:rsidRDefault="00277958" w:rsidP="00277958">
      <w:pPr>
        <w:pStyle w:val="Caption"/>
      </w:pPr>
      <w:bookmarkStart w:id="53" w:name="_Ref111472534"/>
      <w:bookmarkStart w:id="54" w:name="_Toc135320130"/>
      <w:r w:rsidRPr="002C1585">
        <w:t xml:space="preserve">Table </w:t>
      </w:r>
      <w:fldSimple w:instr=" SEQ Table \* ARABIC ">
        <w:r w:rsidR="00534814">
          <w:rPr>
            <w:noProof/>
          </w:rPr>
          <w:t>5</w:t>
        </w:r>
      </w:fldSimple>
      <w:bookmarkEnd w:id="53"/>
      <w:r>
        <w:t xml:space="preserve">: </w:t>
      </w:r>
      <w:r w:rsidR="00395CFD">
        <w:t>Relative c</w:t>
      </w:r>
      <w:r>
        <w:t>rash risk</w:t>
      </w:r>
      <w:r w:rsidR="00395CFD">
        <w:t>s</w:t>
      </w:r>
      <w:r>
        <w:t xml:space="preserve"> </w:t>
      </w:r>
      <w:r w:rsidR="000D20B9">
        <w:t xml:space="preserve">used in the analysis </w:t>
      </w:r>
      <w:r>
        <w:t xml:space="preserve">for </w:t>
      </w:r>
      <w:r w:rsidR="000D20B9">
        <w:t>vehicle</w:t>
      </w:r>
      <w:r w:rsidR="000676D1">
        <w:t xml:space="preserve"> </w:t>
      </w:r>
      <w:r>
        <w:t xml:space="preserve">safety </w:t>
      </w:r>
      <w:r w:rsidR="000D20B9">
        <w:t xml:space="preserve">systems or </w:t>
      </w:r>
      <w:r w:rsidR="008C56E5">
        <w:t>features</w:t>
      </w:r>
      <w:bookmarkEnd w:id="54"/>
    </w:p>
    <w:tbl>
      <w:tblPr>
        <w:tblStyle w:val="TableGrid"/>
        <w:tblW w:w="0" w:type="auto"/>
        <w:tblLook w:val="04A0" w:firstRow="1" w:lastRow="0" w:firstColumn="1" w:lastColumn="0" w:noHBand="0" w:noVBand="1"/>
      </w:tblPr>
      <w:tblGrid>
        <w:gridCol w:w="3397"/>
        <w:gridCol w:w="3397"/>
        <w:gridCol w:w="1420"/>
        <w:gridCol w:w="1420"/>
      </w:tblGrid>
      <w:tr w:rsidR="00277958" w:rsidTr="00FA7005">
        <w:tc>
          <w:tcPr>
            <w:tcW w:w="3397" w:type="dxa"/>
            <w:shd w:val="clear" w:color="auto" w:fill="081E3E" w:themeFill="text2"/>
            <w:vAlign w:val="center"/>
          </w:tcPr>
          <w:p w:rsidR="00277958" w:rsidRPr="005B7FCC" w:rsidRDefault="00277958" w:rsidP="00390513">
            <w:pPr>
              <w:rPr>
                <w:b/>
                <w:color w:val="FFFFFF" w:themeColor="background1"/>
                <w:lang w:val="en-US"/>
              </w:rPr>
            </w:pPr>
            <w:r>
              <w:rPr>
                <w:b/>
                <w:color w:val="FFFFFF" w:themeColor="background1"/>
                <w:lang w:val="en-US"/>
              </w:rPr>
              <w:t>Category</w:t>
            </w:r>
          </w:p>
        </w:tc>
        <w:tc>
          <w:tcPr>
            <w:tcW w:w="3397" w:type="dxa"/>
            <w:shd w:val="clear" w:color="auto" w:fill="081E3E" w:themeFill="text2"/>
            <w:vAlign w:val="center"/>
          </w:tcPr>
          <w:p w:rsidR="00277958" w:rsidRPr="005B7FCC" w:rsidRDefault="00277958" w:rsidP="00FA7005">
            <w:pPr>
              <w:rPr>
                <w:b/>
                <w:color w:val="FFFFFF" w:themeColor="background1"/>
                <w:lang w:val="en-US"/>
              </w:rPr>
            </w:pPr>
            <w:r w:rsidRPr="005B7FCC">
              <w:rPr>
                <w:b/>
                <w:color w:val="FFFFFF" w:themeColor="background1"/>
                <w:lang w:val="en-US"/>
              </w:rPr>
              <w:t xml:space="preserve">Safety </w:t>
            </w:r>
            <w:r w:rsidR="000D20B9">
              <w:rPr>
                <w:b/>
                <w:color w:val="FFFFFF" w:themeColor="background1"/>
                <w:lang w:val="en-US"/>
              </w:rPr>
              <w:t xml:space="preserve">system or </w:t>
            </w:r>
            <w:r w:rsidRPr="005B7FCC">
              <w:rPr>
                <w:b/>
                <w:color w:val="FFFFFF" w:themeColor="background1"/>
                <w:lang w:val="en-US"/>
              </w:rPr>
              <w:t>feature</w:t>
            </w:r>
          </w:p>
        </w:tc>
        <w:tc>
          <w:tcPr>
            <w:tcW w:w="1420" w:type="dxa"/>
            <w:shd w:val="clear" w:color="auto" w:fill="081E3E" w:themeFill="text2"/>
            <w:vAlign w:val="center"/>
          </w:tcPr>
          <w:p w:rsidR="00277958" w:rsidRPr="005B7FCC" w:rsidRDefault="00277958" w:rsidP="00390513">
            <w:pPr>
              <w:jc w:val="center"/>
              <w:rPr>
                <w:b/>
                <w:color w:val="FFFFFF" w:themeColor="background1"/>
                <w:lang w:val="en-US"/>
              </w:rPr>
            </w:pPr>
            <w:r>
              <w:rPr>
                <w:b/>
                <w:color w:val="FFFFFF" w:themeColor="background1"/>
                <w:lang w:val="en-US"/>
              </w:rPr>
              <w:t>Fatality</w:t>
            </w:r>
          </w:p>
        </w:tc>
        <w:tc>
          <w:tcPr>
            <w:tcW w:w="1420" w:type="dxa"/>
            <w:shd w:val="clear" w:color="auto" w:fill="081E3E" w:themeFill="text2"/>
            <w:vAlign w:val="center"/>
          </w:tcPr>
          <w:p w:rsidR="00277958" w:rsidRDefault="00277958" w:rsidP="00390513">
            <w:pPr>
              <w:jc w:val="center"/>
              <w:rPr>
                <w:b/>
                <w:color w:val="FFFFFF" w:themeColor="background1"/>
                <w:lang w:val="en-US"/>
              </w:rPr>
            </w:pPr>
            <w:r>
              <w:rPr>
                <w:b/>
                <w:color w:val="FFFFFF" w:themeColor="background1"/>
                <w:lang w:val="en-US"/>
              </w:rPr>
              <w:t>Serious Injury</w:t>
            </w:r>
          </w:p>
        </w:tc>
      </w:tr>
      <w:tr w:rsidR="00277958" w:rsidTr="007041C3">
        <w:trPr>
          <w:trHeight w:val="284"/>
        </w:trPr>
        <w:tc>
          <w:tcPr>
            <w:tcW w:w="3397" w:type="dxa"/>
            <w:vMerge w:val="restart"/>
          </w:tcPr>
          <w:p w:rsidR="00277958" w:rsidRDefault="00277958" w:rsidP="00277958">
            <w:pPr>
              <w:rPr>
                <w:lang w:val="en-US"/>
              </w:rPr>
            </w:pPr>
            <w:r>
              <w:rPr>
                <w:lang w:val="en-US"/>
              </w:rPr>
              <w:t>Trucks (fleet average for sub-category NB2 and category NC)</w:t>
            </w:r>
          </w:p>
        </w:tc>
        <w:tc>
          <w:tcPr>
            <w:tcW w:w="3397" w:type="dxa"/>
          </w:tcPr>
          <w:p w:rsidR="00277958" w:rsidRDefault="00277958" w:rsidP="00277958">
            <w:pPr>
              <w:rPr>
                <w:lang w:val="en-US"/>
              </w:rPr>
            </w:pPr>
            <w:r>
              <w:rPr>
                <w:lang w:val="en-US"/>
              </w:rPr>
              <w:t>Enhanced devices for indirect vision</w:t>
            </w:r>
          </w:p>
        </w:tc>
        <w:tc>
          <w:tcPr>
            <w:tcW w:w="1420" w:type="dxa"/>
            <w:vAlign w:val="center"/>
          </w:tcPr>
          <w:p w:rsidR="00277958" w:rsidRDefault="00277958" w:rsidP="002B43B2">
            <w:pPr>
              <w:jc w:val="center"/>
              <w:rPr>
                <w:lang w:val="en-US"/>
              </w:rPr>
            </w:pPr>
            <w:r w:rsidRPr="005C3AB5">
              <w:t>99.4%</w:t>
            </w:r>
          </w:p>
        </w:tc>
        <w:tc>
          <w:tcPr>
            <w:tcW w:w="1420" w:type="dxa"/>
            <w:vAlign w:val="center"/>
          </w:tcPr>
          <w:p w:rsidR="00277958" w:rsidRPr="00257C83" w:rsidRDefault="00277958" w:rsidP="002B43B2">
            <w:pPr>
              <w:jc w:val="center"/>
            </w:pPr>
            <w:r w:rsidRPr="005C3AB5">
              <w:t>99.4%</w:t>
            </w:r>
          </w:p>
        </w:tc>
      </w:tr>
      <w:tr w:rsidR="00277958" w:rsidTr="007041C3">
        <w:trPr>
          <w:trHeight w:val="284"/>
        </w:trPr>
        <w:tc>
          <w:tcPr>
            <w:tcW w:w="3397" w:type="dxa"/>
            <w:vMerge/>
          </w:tcPr>
          <w:p w:rsidR="00277958" w:rsidRDefault="00277958" w:rsidP="00277958">
            <w:pPr>
              <w:rPr>
                <w:lang w:val="en-US"/>
              </w:rPr>
            </w:pPr>
          </w:p>
        </w:tc>
        <w:tc>
          <w:tcPr>
            <w:tcW w:w="3397" w:type="dxa"/>
          </w:tcPr>
          <w:p w:rsidR="00277958" w:rsidRDefault="00277958" w:rsidP="00277958">
            <w:pPr>
              <w:rPr>
                <w:lang w:val="en-US"/>
              </w:rPr>
            </w:pPr>
            <w:r>
              <w:rPr>
                <w:lang w:val="en-US"/>
              </w:rPr>
              <w:t>Electronic Stability Control</w:t>
            </w:r>
          </w:p>
        </w:tc>
        <w:tc>
          <w:tcPr>
            <w:tcW w:w="1420" w:type="dxa"/>
            <w:vAlign w:val="center"/>
          </w:tcPr>
          <w:p w:rsidR="00277958" w:rsidRDefault="00277958" w:rsidP="002B43B2">
            <w:pPr>
              <w:jc w:val="center"/>
              <w:rPr>
                <w:lang w:val="en-US"/>
              </w:rPr>
            </w:pPr>
            <w:r w:rsidRPr="005C3AB5">
              <w:t>93.6%</w:t>
            </w:r>
          </w:p>
        </w:tc>
        <w:tc>
          <w:tcPr>
            <w:tcW w:w="1420" w:type="dxa"/>
            <w:vAlign w:val="center"/>
          </w:tcPr>
          <w:p w:rsidR="00277958" w:rsidRDefault="00277958" w:rsidP="002B43B2">
            <w:pPr>
              <w:jc w:val="center"/>
            </w:pPr>
            <w:r w:rsidRPr="005C3AB5">
              <w:t>93.6%</w:t>
            </w:r>
          </w:p>
        </w:tc>
      </w:tr>
      <w:tr w:rsidR="00277958" w:rsidTr="007041C3">
        <w:trPr>
          <w:trHeight w:val="284"/>
        </w:trPr>
        <w:tc>
          <w:tcPr>
            <w:tcW w:w="3397" w:type="dxa"/>
            <w:vMerge/>
          </w:tcPr>
          <w:p w:rsidR="00277958" w:rsidRDefault="00277958" w:rsidP="00277958">
            <w:pPr>
              <w:rPr>
                <w:lang w:val="en-US"/>
              </w:rPr>
            </w:pPr>
          </w:p>
        </w:tc>
        <w:tc>
          <w:tcPr>
            <w:tcW w:w="3397" w:type="dxa"/>
          </w:tcPr>
          <w:p w:rsidR="00277958" w:rsidRDefault="00277958" w:rsidP="00277958">
            <w:pPr>
              <w:rPr>
                <w:lang w:val="en-US"/>
              </w:rPr>
            </w:pPr>
            <w:r>
              <w:rPr>
                <w:lang w:val="en-US"/>
              </w:rPr>
              <w:t>Advanced Emergency Braking</w:t>
            </w:r>
          </w:p>
        </w:tc>
        <w:tc>
          <w:tcPr>
            <w:tcW w:w="1420" w:type="dxa"/>
            <w:vAlign w:val="center"/>
          </w:tcPr>
          <w:p w:rsidR="00277958" w:rsidRDefault="00277958" w:rsidP="002B43B2">
            <w:pPr>
              <w:jc w:val="center"/>
              <w:rPr>
                <w:lang w:val="en-US"/>
              </w:rPr>
            </w:pPr>
            <w:r w:rsidRPr="005C3AB5">
              <w:t>93.6%</w:t>
            </w:r>
          </w:p>
        </w:tc>
        <w:tc>
          <w:tcPr>
            <w:tcW w:w="1420" w:type="dxa"/>
            <w:vAlign w:val="center"/>
          </w:tcPr>
          <w:p w:rsidR="00277958" w:rsidRPr="00257C83" w:rsidRDefault="00277958" w:rsidP="002B43B2">
            <w:pPr>
              <w:jc w:val="center"/>
            </w:pPr>
            <w:r w:rsidRPr="005C3AB5">
              <w:t>93.6%</w:t>
            </w:r>
          </w:p>
        </w:tc>
      </w:tr>
      <w:tr w:rsidR="00277958" w:rsidTr="007041C3">
        <w:trPr>
          <w:trHeight w:val="284"/>
        </w:trPr>
        <w:tc>
          <w:tcPr>
            <w:tcW w:w="3397" w:type="dxa"/>
            <w:vMerge/>
          </w:tcPr>
          <w:p w:rsidR="00277958" w:rsidRDefault="00277958" w:rsidP="00277958">
            <w:pPr>
              <w:rPr>
                <w:lang w:val="en-US"/>
              </w:rPr>
            </w:pPr>
          </w:p>
        </w:tc>
        <w:tc>
          <w:tcPr>
            <w:tcW w:w="3397" w:type="dxa"/>
          </w:tcPr>
          <w:p w:rsidR="00277958" w:rsidRDefault="00277958" w:rsidP="00277958">
            <w:pPr>
              <w:rPr>
                <w:lang w:val="en-US"/>
              </w:rPr>
            </w:pPr>
            <w:r>
              <w:rPr>
                <w:lang w:val="en-US"/>
              </w:rPr>
              <w:t>Lane Departure Warning</w:t>
            </w:r>
          </w:p>
        </w:tc>
        <w:tc>
          <w:tcPr>
            <w:tcW w:w="1420" w:type="dxa"/>
            <w:vAlign w:val="center"/>
          </w:tcPr>
          <w:p w:rsidR="00277958" w:rsidRDefault="00277958" w:rsidP="002B43B2">
            <w:pPr>
              <w:jc w:val="center"/>
              <w:rPr>
                <w:lang w:val="en-US"/>
              </w:rPr>
            </w:pPr>
            <w:r w:rsidRPr="005C3AB5">
              <w:t>95.6%</w:t>
            </w:r>
          </w:p>
        </w:tc>
        <w:tc>
          <w:tcPr>
            <w:tcW w:w="1420" w:type="dxa"/>
            <w:vAlign w:val="center"/>
          </w:tcPr>
          <w:p w:rsidR="00277958" w:rsidRPr="00257C83" w:rsidRDefault="00277958" w:rsidP="002B43B2">
            <w:pPr>
              <w:jc w:val="center"/>
            </w:pPr>
            <w:r w:rsidRPr="005C3AB5">
              <w:t>95.6%</w:t>
            </w:r>
          </w:p>
        </w:tc>
      </w:tr>
      <w:tr w:rsidR="00277958" w:rsidTr="007041C3">
        <w:trPr>
          <w:trHeight w:val="284"/>
        </w:trPr>
        <w:tc>
          <w:tcPr>
            <w:tcW w:w="3397" w:type="dxa"/>
            <w:vMerge/>
          </w:tcPr>
          <w:p w:rsidR="00277958" w:rsidRDefault="00277958" w:rsidP="00277958">
            <w:pPr>
              <w:rPr>
                <w:lang w:val="en-US"/>
              </w:rPr>
            </w:pPr>
          </w:p>
        </w:tc>
        <w:tc>
          <w:tcPr>
            <w:tcW w:w="3397" w:type="dxa"/>
          </w:tcPr>
          <w:p w:rsidR="00277958" w:rsidRDefault="00277958" w:rsidP="00277958">
            <w:pPr>
              <w:rPr>
                <w:lang w:val="en-US"/>
              </w:rPr>
            </w:pPr>
            <w:r>
              <w:rPr>
                <w:lang w:val="en-US"/>
              </w:rPr>
              <w:t>Blind Spot Information</w:t>
            </w:r>
          </w:p>
        </w:tc>
        <w:tc>
          <w:tcPr>
            <w:tcW w:w="1420" w:type="dxa"/>
            <w:vAlign w:val="center"/>
          </w:tcPr>
          <w:p w:rsidR="00277958" w:rsidRDefault="00277958" w:rsidP="002B43B2">
            <w:pPr>
              <w:jc w:val="center"/>
              <w:rPr>
                <w:lang w:val="en-US"/>
              </w:rPr>
            </w:pPr>
            <w:r w:rsidRPr="005C3AB5">
              <w:t>99.4%</w:t>
            </w:r>
          </w:p>
        </w:tc>
        <w:tc>
          <w:tcPr>
            <w:tcW w:w="1420" w:type="dxa"/>
            <w:vAlign w:val="center"/>
          </w:tcPr>
          <w:p w:rsidR="00277958" w:rsidRPr="00257C83" w:rsidRDefault="00277958" w:rsidP="002B43B2">
            <w:pPr>
              <w:jc w:val="center"/>
            </w:pPr>
            <w:r w:rsidRPr="005C3AB5">
              <w:t>99.4%</w:t>
            </w:r>
          </w:p>
        </w:tc>
      </w:tr>
      <w:tr w:rsidR="00277958" w:rsidTr="007041C3">
        <w:trPr>
          <w:trHeight w:val="284"/>
        </w:trPr>
        <w:tc>
          <w:tcPr>
            <w:tcW w:w="3397" w:type="dxa"/>
            <w:vMerge/>
          </w:tcPr>
          <w:p w:rsidR="00277958" w:rsidRDefault="00277958" w:rsidP="00277958">
            <w:pPr>
              <w:rPr>
                <w:lang w:val="en-US"/>
              </w:rPr>
            </w:pPr>
          </w:p>
        </w:tc>
        <w:tc>
          <w:tcPr>
            <w:tcW w:w="3397" w:type="dxa"/>
          </w:tcPr>
          <w:p w:rsidR="00277958" w:rsidRDefault="00277958" w:rsidP="00277958">
            <w:pPr>
              <w:rPr>
                <w:lang w:val="en-US"/>
              </w:rPr>
            </w:pPr>
            <w:r>
              <w:rPr>
                <w:lang w:val="en-US"/>
              </w:rPr>
              <w:t>Side Underrun Protection</w:t>
            </w:r>
          </w:p>
        </w:tc>
        <w:tc>
          <w:tcPr>
            <w:tcW w:w="1420" w:type="dxa"/>
            <w:vAlign w:val="center"/>
          </w:tcPr>
          <w:p w:rsidR="00277958" w:rsidRDefault="00277958" w:rsidP="002B43B2">
            <w:pPr>
              <w:jc w:val="center"/>
              <w:rPr>
                <w:lang w:val="en-US"/>
              </w:rPr>
            </w:pPr>
            <w:r w:rsidRPr="005C3AB5">
              <w:rPr>
                <w:color w:val="auto"/>
                <w:szCs w:val="18"/>
              </w:rPr>
              <w:t>98.</w:t>
            </w:r>
            <w:r w:rsidR="004A69AD">
              <w:rPr>
                <w:color w:val="auto"/>
                <w:szCs w:val="18"/>
              </w:rPr>
              <w:t>6</w:t>
            </w:r>
            <w:r w:rsidRPr="005C3AB5">
              <w:rPr>
                <w:color w:val="auto"/>
                <w:szCs w:val="18"/>
              </w:rPr>
              <w:t>%</w:t>
            </w:r>
          </w:p>
        </w:tc>
        <w:tc>
          <w:tcPr>
            <w:tcW w:w="1420" w:type="dxa"/>
            <w:vAlign w:val="center"/>
          </w:tcPr>
          <w:p w:rsidR="00277958" w:rsidRPr="00257C83" w:rsidRDefault="00277958" w:rsidP="002B43B2">
            <w:pPr>
              <w:jc w:val="center"/>
            </w:pPr>
            <w:r w:rsidRPr="005C3AB5">
              <w:rPr>
                <w:color w:val="auto"/>
                <w:szCs w:val="18"/>
              </w:rPr>
              <w:t>99.9%</w:t>
            </w:r>
          </w:p>
        </w:tc>
      </w:tr>
      <w:tr w:rsidR="00277958" w:rsidTr="007041C3">
        <w:trPr>
          <w:trHeight w:val="284"/>
        </w:trPr>
        <w:tc>
          <w:tcPr>
            <w:tcW w:w="3397" w:type="dxa"/>
            <w:vMerge/>
          </w:tcPr>
          <w:p w:rsidR="00277958" w:rsidRDefault="00277958" w:rsidP="00277958">
            <w:pPr>
              <w:rPr>
                <w:lang w:val="en-US"/>
              </w:rPr>
            </w:pPr>
          </w:p>
        </w:tc>
        <w:tc>
          <w:tcPr>
            <w:tcW w:w="3397" w:type="dxa"/>
          </w:tcPr>
          <w:p w:rsidR="00277958" w:rsidRDefault="00277958" w:rsidP="00277958">
            <w:pPr>
              <w:rPr>
                <w:lang w:val="en-US"/>
              </w:rPr>
            </w:pPr>
            <w:r>
              <w:rPr>
                <w:lang w:val="en-US"/>
              </w:rPr>
              <w:t>Conspicuity markings</w:t>
            </w:r>
          </w:p>
        </w:tc>
        <w:tc>
          <w:tcPr>
            <w:tcW w:w="1420" w:type="dxa"/>
            <w:vAlign w:val="center"/>
          </w:tcPr>
          <w:p w:rsidR="00277958" w:rsidRDefault="00277958" w:rsidP="002B43B2">
            <w:pPr>
              <w:jc w:val="center"/>
              <w:rPr>
                <w:lang w:val="en-US"/>
              </w:rPr>
            </w:pPr>
            <w:r w:rsidRPr="005C3AB5">
              <w:rPr>
                <w:color w:val="auto"/>
                <w:szCs w:val="18"/>
              </w:rPr>
              <w:t>97.8%</w:t>
            </w:r>
          </w:p>
        </w:tc>
        <w:tc>
          <w:tcPr>
            <w:tcW w:w="1420" w:type="dxa"/>
            <w:vAlign w:val="center"/>
          </w:tcPr>
          <w:p w:rsidR="00277958" w:rsidRPr="00257C83" w:rsidRDefault="00277958" w:rsidP="002B43B2">
            <w:pPr>
              <w:jc w:val="center"/>
            </w:pPr>
            <w:r w:rsidRPr="005C3AB5">
              <w:rPr>
                <w:color w:val="auto"/>
                <w:szCs w:val="18"/>
              </w:rPr>
              <w:t>97.8%</w:t>
            </w:r>
          </w:p>
        </w:tc>
      </w:tr>
      <w:tr w:rsidR="00277958" w:rsidTr="007041C3">
        <w:trPr>
          <w:trHeight w:val="284"/>
        </w:trPr>
        <w:tc>
          <w:tcPr>
            <w:tcW w:w="3397" w:type="dxa"/>
            <w:vMerge w:val="restart"/>
          </w:tcPr>
          <w:p w:rsidR="00277958" w:rsidRDefault="00277958" w:rsidP="00277958">
            <w:pPr>
              <w:rPr>
                <w:lang w:val="en-US"/>
              </w:rPr>
            </w:pPr>
            <w:r>
              <w:rPr>
                <w:lang w:val="en-US"/>
              </w:rPr>
              <w:t>Trailers (fleet average for category TC over 4.5 tonnes GTM and category TD)</w:t>
            </w:r>
          </w:p>
        </w:tc>
        <w:tc>
          <w:tcPr>
            <w:tcW w:w="3397" w:type="dxa"/>
          </w:tcPr>
          <w:p w:rsidR="00277958" w:rsidRDefault="00277958" w:rsidP="00277958">
            <w:pPr>
              <w:rPr>
                <w:lang w:val="en-US"/>
              </w:rPr>
            </w:pPr>
            <w:r>
              <w:rPr>
                <w:lang w:val="en-US"/>
              </w:rPr>
              <w:t>Side Underrun Protection</w:t>
            </w:r>
          </w:p>
        </w:tc>
        <w:tc>
          <w:tcPr>
            <w:tcW w:w="1420" w:type="dxa"/>
            <w:vAlign w:val="center"/>
          </w:tcPr>
          <w:p w:rsidR="00277958" w:rsidRPr="00257C83" w:rsidRDefault="00277958" w:rsidP="002B43B2">
            <w:pPr>
              <w:jc w:val="center"/>
            </w:pPr>
            <w:r w:rsidRPr="005C3AB5">
              <w:rPr>
                <w:color w:val="auto"/>
                <w:szCs w:val="18"/>
              </w:rPr>
              <w:t>98.</w:t>
            </w:r>
            <w:r w:rsidR="00583F01">
              <w:rPr>
                <w:color w:val="auto"/>
                <w:szCs w:val="18"/>
              </w:rPr>
              <w:t>6</w:t>
            </w:r>
            <w:r w:rsidRPr="005C3AB5">
              <w:rPr>
                <w:color w:val="auto"/>
                <w:szCs w:val="18"/>
              </w:rPr>
              <w:t>%</w:t>
            </w:r>
          </w:p>
        </w:tc>
        <w:tc>
          <w:tcPr>
            <w:tcW w:w="1420" w:type="dxa"/>
            <w:vAlign w:val="center"/>
          </w:tcPr>
          <w:p w:rsidR="00277958" w:rsidRDefault="00277958" w:rsidP="002B43B2">
            <w:pPr>
              <w:jc w:val="center"/>
            </w:pPr>
            <w:r w:rsidRPr="005C3AB5">
              <w:rPr>
                <w:color w:val="auto"/>
                <w:szCs w:val="18"/>
              </w:rPr>
              <w:t>99.9%</w:t>
            </w:r>
          </w:p>
        </w:tc>
      </w:tr>
      <w:tr w:rsidR="00277958" w:rsidTr="007041C3">
        <w:trPr>
          <w:trHeight w:val="284"/>
        </w:trPr>
        <w:tc>
          <w:tcPr>
            <w:tcW w:w="3397" w:type="dxa"/>
            <w:vMerge/>
          </w:tcPr>
          <w:p w:rsidR="00277958" w:rsidRDefault="00277958" w:rsidP="00277958">
            <w:pPr>
              <w:rPr>
                <w:lang w:val="en-US"/>
              </w:rPr>
            </w:pPr>
          </w:p>
        </w:tc>
        <w:tc>
          <w:tcPr>
            <w:tcW w:w="3397" w:type="dxa"/>
          </w:tcPr>
          <w:p w:rsidR="00277958" w:rsidRDefault="00277958" w:rsidP="00277958">
            <w:pPr>
              <w:rPr>
                <w:lang w:val="en-US"/>
              </w:rPr>
            </w:pPr>
            <w:r>
              <w:rPr>
                <w:lang w:val="en-US"/>
              </w:rPr>
              <w:t>Conspicuity markings</w:t>
            </w:r>
          </w:p>
        </w:tc>
        <w:tc>
          <w:tcPr>
            <w:tcW w:w="1420" w:type="dxa"/>
            <w:vAlign w:val="center"/>
          </w:tcPr>
          <w:p w:rsidR="00277958" w:rsidRPr="00257C83" w:rsidRDefault="00277958" w:rsidP="002B43B2">
            <w:pPr>
              <w:jc w:val="center"/>
            </w:pPr>
            <w:r w:rsidRPr="005C3AB5">
              <w:rPr>
                <w:color w:val="auto"/>
                <w:szCs w:val="18"/>
              </w:rPr>
              <w:t>97.8%</w:t>
            </w:r>
          </w:p>
        </w:tc>
        <w:tc>
          <w:tcPr>
            <w:tcW w:w="1420" w:type="dxa"/>
            <w:vAlign w:val="center"/>
          </w:tcPr>
          <w:p w:rsidR="00277958" w:rsidRDefault="00277958" w:rsidP="002B43B2">
            <w:pPr>
              <w:jc w:val="center"/>
            </w:pPr>
            <w:r w:rsidRPr="005C3AB5">
              <w:rPr>
                <w:color w:val="auto"/>
                <w:szCs w:val="18"/>
              </w:rPr>
              <w:t>97.8%</w:t>
            </w:r>
          </w:p>
        </w:tc>
      </w:tr>
    </w:tbl>
    <w:p w:rsidR="002D623F" w:rsidRDefault="002D623F" w:rsidP="009275E7">
      <w:pPr>
        <w:rPr>
          <w:lang w:val="en-US"/>
        </w:rPr>
      </w:pPr>
      <w:r>
        <w:rPr>
          <w:lang w:val="en-US"/>
        </w:rPr>
        <w:t xml:space="preserve">To determine </w:t>
      </w:r>
      <w:r w:rsidR="002C28C3">
        <w:rPr>
          <w:lang w:val="en-US"/>
        </w:rPr>
        <w:t xml:space="preserve">the benefits from mandatory fitment of safety systems or </w:t>
      </w:r>
      <w:r w:rsidR="008C56E5">
        <w:rPr>
          <w:lang w:val="en-US"/>
        </w:rPr>
        <w:t>features</w:t>
      </w:r>
      <w:r w:rsidR="00FF4665">
        <w:rPr>
          <w:lang w:val="en-US"/>
        </w:rPr>
        <w:t>,</w:t>
      </w:r>
      <w:r w:rsidR="002C28C3">
        <w:rPr>
          <w:lang w:val="en-US"/>
        </w:rPr>
        <w:t xml:space="preserve"> </w:t>
      </w:r>
      <w:r w:rsidR="00FF4665">
        <w:rPr>
          <w:lang w:val="en-US"/>
        </w:rPr>
        <w:t xml:space="preserve">the ARRB also needed to determine the difference in the number of vehicles fitted with the applicable safety systems or </w:t>
      </w:r>
      <w:r w:rsidR="008C56E5">
        <w:rPr>
          <w:lang w:val="en-US"/>
        </w:rPr>
        <w:t>features</w:t>
      </w:r>
      <w:r w:rsidR="00FF4665">
        <w:rPr>
          <w:lang w:val="en-US"/>
        </w:rPr>
        <w:t xml:space="preserve"> </w:t>
      </w:r>
      <w:r w:rsidR="007D00B0">
        <w:rPr>
          <w:lang w:val="en-US"/>
        </w:rPr>
        <w:t xml:space="preserve">under Options </w:t>
      </w:r>
      <w:r w:rsidR="007D00B0">
        <w:t>3.1a, 3.1b, 3.2a, and 3.2b.</w:t>
      </w:r>
      <w:r w:rsidR="002358FE">
        <w:t xml:space="preserve"> </w:t>
      </w:r>
      <w:r w:rsidR="000A7DD7">
        <w:fldChar w:fldCharType="begin"/>
      </w:r>
      <w:r w:rsidR="000A7DD7">
        <w:instrText xml:space="preserve"> REF _Ref118801620 \h </w:instrText>
      </w:r>
      <w:r w:rsidR="000A7DD7">
        <w:fldChar w:fldCharType="separate"/>
      </w:r>
      <w:r w:rsidR="00534814">
        <w:t xml:space="preserve">Figure </w:t>
      </w:r>
      <w:r w:rsidR="00534814">
        <w:rPr>
          <w:noProof/>
        </w:rPr>
        <w:t>7</w:t>
      </w:r>
      <w:r w:rsidR="000A7DD7">
        <w:fldChar w:fldCharType="end"/>
      </w:r>
      <w:r w:rsidR="000A7DD7">
        <w:t xml:space="preserve"> </w:t>
      </w:r>
      <w:r w:rsidR="002358FE">
        <w:t xml:space="preserve">shows the BAU take-up of safety systems or </w:t>
      </w:r>
      <w:r w:rsidR="008C56E5">
        <w:t>features</w:t>
      </w:r>
      <w:r w:rsidR="002358FE">
        <w:t xml:space="preserve"> used </w:t>
      </w:r>
      <w:r w:rsidR="00064E5D">
        <w:t xml:space="preserve">by </w:t>
      </w:r>
      <w:r w:rsidR="0071351B">
        <w:t xml:space="preserve">the </w:t>
      </w:r>
      <w:r w:rsidR="00064E5D">
        <w:t xml:space="preserve">ARRB </w:t>
      </w:r>
      <w:r w:rsidR="002358FE">
        <w:t xml:space="preserve">in the </w:t>
      </w:r>
      <w:r w:rsidR="00064E5D">
        <w:t xml:space="preserve">benefit-cost </w:t>
      </w:r>
      <w:r w:rsidR="002358FE">
        <w:t>analysis</w:t>
      </w:r>
      <w:r w:rsidR="0071351B">
        <w:t>. The </w:t>
      </w:r>
      <w:r w:rsidR="002358FE">
        <w:t xml:space="preserve">ARRB assumed the </w:t>
      </w:r>
      <w:r w:rsidR="00BE08E1">
        <w:t xml:space="preserve">additional </w:t>
      </w:r>
      <w:r w:rsidR="002358FE">
        <w:t xml:space="preserve">take-up of </w:t>
      </w:r>
      <w:r w:rsidR="00BE08E1">
        <w:t xml:space="preserve">these </w:t>
      </w:r>
      <w:r w:rsidR="0089093D">
        <w:t xml:space="preserve">safety systems or </w:t>
      </w:r>
      <w:r w:rsidR="008C56E5">
        <w:t>features</w:t>
      </w:r>
      <w:r w:rsidR="0077201D">
        <w:t xml:space="preserve"> relative to BAU</w:t>
      </w:r>
      <w:r w:rsidR="0089093D">
        <w:t xml:space="preserve"> would </w:t>
      </w:r>
      <w:r w:rsidR="00BE08E1">
        <w:t xml:space="preserve">mirror the take-up of wider freight vehicles (see </w:t>
      </w:r>
      <w:r w:rsidR="002864E8">
        <w:t xml:space="preserve">projected uptake of wider vehicles </w:t>
      </w:r>
      <w:r w:rsidR="000021CF">
        <w:t>above).</w:t>
      </w:r>
    </w:p>
    <w:p w:rsidR="000606B3" w:rsidRDefault="008102BA" w:rsidP="000606B3">
      <w:pPr>
        <w:keepNext/>
        <w:rPr>
          <w:lang w:val="en-US"/>
        </w:rPr>
      </w:pPr>
      <w:r w:rsidRPr="008102BA">
        <w:rPr>
          <w:noProof/>
        </w:rPr>
        <w:drawing>
          <wp:inline distT="0" distB="0" distL="0" distR="0" wp14:anchorId="56952D1F" wp14:editId="5577ABD0">
            <wp:extent cx="6263640" cy="322707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63640" cy="3227070"/>
                    </a:xfrm>
                    <a:prstGeom prst="rect">
                      <a:avLst/>
                    </a:prstGeom>
                  </pic:spPr>
                </pic:pic>
              </a:graphicData>
            </a:graphic>
          </wp:inline>
        </w:drawing>
      </w:r>
    </w:p>
    <w:p w:rsidR="000606B3" w:rsidRDefault="000606B3" w:rsidP="00787698">
      <w:pPr>
        <w:pStyle w:val="Caption"/>
        <w:spacing w:before="120"/>
      </w:pPr>
      <w:bookmarkStart w:id="55" w:name="_Ref118801620"/>
      <w:bookmarkStart w:id="56" w:name="_Toc135321397"/>
      <w:r>
        <w:t xml:space="preserve">Figure </w:t>
      </w:r>
      <w:fldSimple w:instr=" SEQ Figure \* ARABIC ">
        <w:r w:rsidR="00534814">
          <w:rPr>
            <w:noProof/>
          </w:rPr>
          <w:t>7</w:t>
        </w:r>
      </w:fldSimple>
      <w:bookmarkEnd w:id="55"/>
      <w:r>
        <w:t xml:space="preserve">: </w:t>
      </w:r>
      <w:r w:rsidR="00281135">
        <w:t xml:space="preserve">BAU take-up of safety systems or </w:t>
      </w:r>
      <w:r w:rsidR="008C56E5">
        <w:t>features</w:t>
      </w:r>
      <w:r w:rsidR="00281135">
        <w:t xml:space="preserve"> used in the analysis for heavy freight vehicles</w:t>
      </w:r>
      <w:bookmarkEnd w:id="56"/>
    </w:p>
    <w:p w:rsidR="009275E7" w:rsidRDefault="00D5008D" w:rsidP="00024D04">
      <w:pPr>
        <w:keepLines/>
      </w:pPr>
      <w:r>
        <w:rPr>
          <w:lang w:val="en-US"/>
        </w:rPr>
        <w:t xml:space="preserve">The </w:t>
      </w:r>
      <w:r w:rsidR="00763AAE">
        <w:rPr>
          <w:lang w:val="en-US"/>
        </w:rPr>
        <w:t xml:space="preserve">ARRB </w:t>
      </w:r>
      <w:r w:rsidR="00FA6868">
        <w:rPr>
          <w:lang w:val="en-US"/>
        </w:rPr>
        <w:t xml:space="preserve">also </w:t>
      </w:r>
      <w:r w:rsidR="00763AAE">
        <w:rPr>
          <w:lang w:val="en-US"/>
        </w:rPr>
        <w:t xml:space="preserve">considered </w:t>
      </w:r>
      <w:r>
        <w:rPr>
          <w:lang w:val="en-US"/>
        </w:rPr>
        <w:t>there could be an increased risk of frontal impact and side swipe crashes for wider freight vehicles</w:t>
      </w:r>
      <w:r w:rsidR="005D22FA">
        <w:rPr>
          <w:lang w:val="en-US"/>
        </w:rPr>
        <w:t>, while also noting this has not been reported in New Zealand where the width limit was increased to 2.55 m in 2017</w:t>
      </w:r>
      <w:r>
        <w:rPr>
          <w:lang w:val="en-US"/>
        </w:rPr>
        <w:t xml:space="preserve">. </w:t>
      </w:r>
      <w:r w:rsidR="00FA6868">
        <w:rPr>
          <w:lang w:val="en-US"/>
        </w:rPr>
        <w:t>Conversely</w:t>
      </w:r>
      <w:r>
        <w:rPr>
          <w:lang w:val="en-US"/>
        </w:rPr>
        <w:t>, the ARRB also considered there m</w:t>
      </w:r>
      <w:r w:rsidR="00763AAE">
        <w:rPr>
          <w:lang w:val="en-US"/>
        </w:rPr>
        <w:t>ay be a decrease in rollover crashes if manufacturers use the additional width to improve stability by lowering the height of the vehicle</w:t>
      </w:r>
      <w:r w:rsidR="00763AAE" w:rsidRPr="00D5008D">
        <w:t xml:space="preserve"> centre</w:t>
      </w:r>
      <w:r>
        <w:rPr>
          <w:lang w:val="en-US"/>
        </w:rPr>
        <w:t>-of-</w:t>
      </w:r>
      <w:r w:rsidR="00763AAE">
        <w:rPr>
          <w:lang w:val="en-US"/>
        </w:rPr>
        <w:t>gravity.</w:t>
      </w:r>
      <w:r>
        <w:rPr>
          <w:lang w:val="en-US"/>
        </w:rPr>
        <w:t xml:space="preserve"> </w:t>
      </w:r>
      <w:r w:rsidR="00477222">
        <w:t>As</w:t>
      </w:r>
      <w:r w:rsidR="00FA6868">
        <w:t xml:space="preserve"> both of these possibilities lack firm data to accurately </w:t>
      </w:r>
      <w:r w:rsidR="00477222">
        <w:t>quantify</w:t>
      </w:r>
      <w:r w:rsidR="0011579B">
        <w:t xml:space="preserve"> in the Australian context</w:t>
      </w:r>
      <w:r w:rsidR="00FA6868">
        <w:t>, and if</w:t>
      </w:r>
      <w:r w:rsidR="00022247">
        <w:t>/where</w:t>
      </w:r>
      <w:r w:rsidR="00FA6868">
        <w:t xml:space="preserve"> they </w:t>
      </w:r>
      <w:r w:rsidR="009A5D89">
        <w:t>have an effect</w:t>
      </w:r>
      <w:r w:rsidR="00FA6868">
        <w:t xml:space="preserve"> may </w:t>
      </w:r>
      <w:r w:rsidR="002D7F41">
        <w:t xml:space="preserve">actually </w:t>
      </w:r>
      <w:r w:rsidR="00FA6868">
        <w:t xml:space="preserve">cancel each other out, neither have been included in the main benefit-cost analysis, but </w:t>
      </w:r>
      <w:r w:rsidR="00477222">
        <w:t>are nevertheless</w:t>
      </w:r>
      <w:r w:rsidR="002D7F41">
        <w:t xml:space="preserve"> </w:t>
      </w:r>
      <w:r w:rsidR="002358FE">
        <w:t>investigated</w:t>
      </w:r>
      <w:r w:rsidR="00477222">
        <w:t xml:space="preserve"> in the</w:t>
      </w:r>
      <w:r w:rsidR="00FA6868">
        <w:t xml:space="preserve"> sensitivity analysis.</w:t>
      </w:r>
      <w:r w:rsidR="00DC503C">
        <w:t xml:space="preserve"> The lack of firm data to quantify these possible impacts </w:t>
      </w:r>
      <w:r w:rsidR="009873B9">
        <w:t xml:space="preserve">in the Australian context </w:t>
      </w:r>
      <w:r w:rsidR="00DC503C">
        <w:t xml:space="preserve">is due to </w:t>
      </w:r>
      <w:r w:rsidR="00540F95">
        <w:t xml:space="preserve">a lack of reliable </w:t>
      </w:r>
      <w:r w:rsidR="00DC503C">
        <w:t xml:space="preserve">lane width data </w:t>
      </w:r>
      <w:r w:rsidR="00D27B8E">
        <w:t>for much of the network</w:t>
      </w:r>
      <w:r w:rsidR="00DC503C">
        <w:t xml:space="preserve">, </w:t>
      </w:r>
      <w:r w:rsidR="00540F95">
        <w:t>general network access not previously being granted for 2.55 m or 2.6</w:t>
      </w:r>
      <w:r w:rsidR="00942DB1">
        <w:t> </w:t>
      </w:r>
      <w:r w:rsidR="00540F95">
        <w:t xml:space="preserve">m wide vehicles (which means wider vehicles have not been driven </w:t>
      </w:r>
      <w:r w:rsidR="00942DB1">
        <w:t xml:space="preserve">in numbers </w:t>
      </w:r>
      <w:r w:rsidR="00540F95">
        <w:t xml:space="preserve">without any special access conditions on narrower </w:t>
      </w:r>
      <w:r w:rsidR="00D27B8E">
        <w:t>roads in</w:t>
      </w:r>
      <w:r w:rsidR="00540F95">
        <w:t xml:space="preserve"> the network), </w:t>
      </w:r>
      <w:r w:rsidR="00942DB1">
        <w:t>and uncertainty in regard to the extent to which any extra width will be used to lower the centre of gravity of vehicles.</w:t>
      </w:r>
    </w:p>
    <w:p w:rsidR="009720EB" w:rsidRDefault="009720EB" w:rsidP="009720EB">
      <w:r>
        <w:rPr>
          <w:lang w:val="en-US"/>
        </w:rPr>
        <w:t xml:space="preserve">The average willingness to pay based crash costs used by the ARRB </w:t>
      </w:r>
      <w:r w:rsidR="009A5D89">
        <w:rPr>
          <w:lang w:val="en-US"/>
        </w:rPr>
        <w:t>for</w:t>
      </w:r>
      <w:r w:rsidR="0002330A">
        <w:rPr>
          <w:lang w:val="en-US"/>
        </w:rPr>
        <w:t xml:space="preserve"> fatal and serious injury crashes</w:t>
      </w:r>
      <w:r>
        <w:rPr>
          <w:lang w:val="en-US"/>
        </w:rPr>
        <w:t xml:space="preserve"> avoided under </w:t>
      </w:r>
      <w:r>
        <w:t>Options 3.1a, 3.1b, 3.2a and 3.2b are shown in</w:t>
      </w:r>
      <w:r w:rsidR="0069133D">
        <w:t xml:space="preserve"> </w:t>
      </w:r>
      <w:r w:rsidR="0069133D">
        <w:fldChar w:fldCharType="begin"/>
      </w:r>
      <w:r w:rsidR="0069133D">
        <w:instrText xml:space="preserve"> REF _Ref111479439 \h </w:instrText>
      </w:r>
      <w:r w:rsidR="0069133D">
        <w:fldChar w:fldCharType="separate"/>
      </w:r>
      <w:r w:rsidR="00534814" w:rsidRPr="002C1585">
        <w:t xml:space="preserve">Table </w:t>
      </w:r>
      <w:r w:rsidR="00534814">
        <w:rPr>
          <w:noProof/>
        </w:rPr>
        <w:t>6</w:t>
      </w:r>
      <w:r w:rsidR="0069133D">
        <w:fldChar w:fldCharType="end"/>
      </w:r>
      <w:r>
        <w:t xml:space="preserve"> below.</w:t>
      </w:r>
    </w:p>
    <w:p w:rsidR="009275E7" w:rsidRPr="002C1585" w:rsidRDefault="009275E7" w:rsidP="009275E7">
      <w:pPr>
        <w:pStyle w:val="Caption"/>
      </w:pPr>
      <w:bookmarkStart w:id="57" w:name="_Ref111479439"/>
      <w:bookmarkStart w:id="58" w:name="_Toc135320131"/>
      <w:r w:rsidRPr="002C1585">
        <w:t xml:space="preserve">Table </w:t>
      </w:r>
      <w:fldSimple w:instr=" SEQ Table \* ARABIC ">
        <w:r w:rsidR="00534814">
          <w:rPr>
            <w:noProof/>
          </w:rPr>
          <w:t>6</w:t>
        </w:r>
      </w:fldSimple>
      <w:bookmarkEnd w:id="57"/>
      <w:r>
        <w:t>: Average willingness to pay based crash costs</w:t>
      </w:r>
      <w:r w:rsidR="00281135">
        <w:t xml:space="preserve"> used in the analysis</w:t>
      </w:r>
      <w:bookmarkEnd w:id="58"/>
    </w:p>
    <w:tbl>
      <w:tblPr>
        <w:tblStyle w:val="TableGrid"/>
        <w:tblW w:w="0" w:type="auto"/>
        <w:tblLook w:val="04A0" w:firstRow="1" w:lastRow="0" w:firstColumn="1" w:lastColumn="0" w:noHBand="0" w:noVBand="1"/>
      </w:tblPr>
      <w:tblGrid>
        <w:gridCol w:w="3045"/>
        <w:gridCol w:w="3046"/>
      </w:tblGrid>
      <w:tr w:rsidR="009275E7" w:rsidTr="007041C3">
        <w:trPr>
          <w:trHeight w:val="284"/>
        </w:trPr>
        <w:tc>
          <w:tcPr>
            <w:tcW w:w="3045" w:type="dxa"/>
            <w:shd w:val="clear" w:color="auto" w:fill="081E3E" w:themeFill="text2"/>
          </w:tcPr>
          <w:p w:rsidR="009275E7" w:rsidRPr="009275E7" w:rsidRDefault="009275E7" w:rsidP="009275E7">
            <w:pPr>
              <w:rPr>
                <w:b/>
                <w:color w:val="FFFFFF" w:themeColor="background1"/>
                <w:lang w:val="en-US"/>
              </w:rPr>
            </w:pPr>
            <w:r w:rsidRPr="009275E7">
              <w:rPr>
                <w:b/>
                <w:color w:val="FFFFFF" w:themeColor="background1"/>
                <w:lang w:val="en-US"/>
              </w:rPr>
              <w:t>Fatal crashes</w:t>
            </w:r>
          </w:p>
        </w:tc>
        <w:tc>
          <w:tcPr>
            <w:tcW w:w="3046" w:type="dxa"/>
            <w:shd w:val="clear" w:color="auto" w:fill="081E3E" w:themeFill="text2"/>
          </w:tcPr>
          <w:p w:rsidR="009275E7" w:rsidRPr="009275E7" w:rsidRDefault="009275E7" w:rsidP="009275E7">
            <w:pPr>
              <w:rPr>
                <w:b/>
                <w:color w:val="FFFFFF" w:themeColor="background1"/>
                <w:lang w:val="en-US"/>
              </w:rPr>
            </w:pPr>
            <w:r w:rsidRPr="009275E7">
              <w:rPr>
                <w:b/>
                <w:color w:val="FFFFFF" w:themeColor="background1"/>
                <w:lang w:val="en-US"/>
              </w:rPr>
              <w:t>Serious injury crashes</w:t>
            </w:r>
          </w:p>
        </w:tc>
      </w:tr>
      <w:tr w:rsidR="009275E7" w:rsidTr="007041C3">
        <w:trPr>
          <w:trHeight w:val="284"/>
        </w:trPr>
        <w:tc>
          <w:tcPr>
            <w:tcW w:w="3045" w:type="dxa"/>
          </w:tcPr>
          <w:p w:rsidR="009275E7" w:rsidRDefault="009275E7" w:rsidP="009275E7">
            <w:pPr>
              <w:rPr>
                <w:lang w:val="en-US"/>
              </w:rPr>
            </w:pPr>
            <w:r w:rsidRPr="005C3AB5">
              <w:t>$8,978,147</w:t>
            </w:r>
          </w:p>
        </w:tc>
        <w:tc>
          <w:tcPr>
            <w:tcW w:w="3046" w:type="dxa"/>
          </w:tcPr>
          <w:p w:rsidR="009275E7" w:rsidRDefault="009275E7" w:rsidP="009275E7">
            <w:pPr>
              <w:rPr>
                <w:lang w:val="en-US"/>
              </w:rPr>
            </w:pPr>
            <w:r w:rsidRPr="005C3AB5">
              <w:t>$333,144</w:t>
            </w:r>
          </w:p>
        </w:tc>
      </w:tr>
    </w:tbl>
    <w:p w:rsidR="00164075" w:rsidRDefault="00164075" w:rsidP="00164075">
      <w:pPr>
        <w:pStyle w:val="Heading4"/>
      </w:pPr>
      <w:r>
        <w:t xml:space="preserve">Asset </w:t>
      </w:r>
      <w:r w:rsidR="00422B9A">
        <w:t>p</w:t>
      </w:r>
      <w:r>
        <w:t>reservation</w:t>
      </w:r>
    </w:p>
    <w:p w:rsidR="00C62BD2" w:rsidRDefault="00C62BD2" w:rsidP="00AE33A0">
      <w:pPr>
        <w:pStyle w:val="Heading4"/>
        <w:spacing w:before="0"/>
        <w:rPr>
          <w:rFonts w:asciiTheme="minorHAnsi" w:eastAsiaTheme="minorHAnsi" w:hAnsiTheme="minorHAnsi" w:cstheme="minorBidi"/>
          <w:color w:val="000000" w:themeColor="text1"/>
          <w:sz w:val="20"/>
          <w:szCs w:val="20"/>
        </w:rPr>
      </w:pPr>
      <w:r w:rsidRPr="00C62BD2">
        <w:rPr>
          <w:rFonts w:asciiTheme="minorHAnsi" w:eastAsiaTheme="minorHAnsi" w:hAnsiTheme="minorHAnsi" w:cstheme="minorBidi"/>
          <w:color w:val="000000" w:themeColor="text1"/>
          <w:sz w:val="20"/>
          <w:szCs w:val="20"/>
        </w:rPr>
        <w:t xml:space="preserve">Asset preservation benefits </w:t>
      </w:r>
      <w:r>
        <w:rPr>
          <w:rFonts w:asciiTheme="minorHAnsi" w:eastAsiaTheme="minorHAnsi" w:hAnsiTheme="minorHAnsi" w:cstheme="minorBidi"/>
          <w:color w:val="000000" w:themeColor="text1"/>
          <w:sz w:val="20"/>
          <w:szCs w:val="20"/>
        </w:rPr>
        <w:t xml:space="preserve">arise </w:t>
      </w:r>
      <w:r w:rsidR="00DD1AF6">
        <w:rPr>
          <w:rFonts w:asciiTheme="minorHAnsi" w:eastAsiaTheme="minorHAnsi" w:hAnsiTheme="minorHAnsi" w:cstheme="minorBidi"/>
          <w:color w:val="000000" w:themeColor="text1"/>
          <w:sz w:val="20"/>
          <w:szCs w:val="20"/>
        </w:rPr>
        <w:t>where wider vehicles are able to move the same freight in fewer trips</w:t>
      </w:r>
      <w:r w:rsidRPr="00C62BD2">
        <w:rPr>
          <w:rFonts w:asciiTheme="minorHAnsi" w:eastAsiaTheme="minorHAnsi" w:hAnsiTheme="minorHAnsi" w:cstheme="minorBidi"/>
          <w:color w:val="000000" w:themeColor="text1"/>
          <w:sz w:val="20"/>
          <w:szCs w:val="20"/>
        </w:rPr>
        <w:t xml:space="preserve">. </w:t>
      </w:r>
      <w:r w:rsidR="00321DEA">
        <w:rPr>
          <w:rFonts w:asciiTheme="minorHAnsi" w:eastAsiaTheme="minorHAnsi" w:hAnsiTheme="minorHAnsi" w:cstheme="minorBidi"/>
          <w:color w:val="000000" w:themeColor="text1"/>
          <w:sz w:val="20"/>
          <w:szCs w:val="20"/>
        </w:rPr>
        <w:t>For Options 3.1a, 3.1b, 3.2a, and 3.2b; t</w:t>
      </w:r>
      <w:r w:rsidRPr="00C62BD2">
        <w:rPr>
          <w:rFonts w:asciiTheme="minorHAnsi" w:eastAsiaTheme="minorHAnsi" w:hAnsiTheme="minorHAnsi" w:cstheme="minorBidi"/>
          <w:color w:val="000000" w:themeColor="text1"/>
          <w:sz w:val="20"/>
          <w:szCs w:val="20"/>
        </w:rPr>
        <w:t xml:space="preserve">he unit asset preservation </w:t>
      </w:r>
      <w:r w:rsidR="002D3A3C">
        <w:rPr>
          <w:rFonts w:asciiTheme="minorHAnsi" w:eastAsiaTheme="minorHAnsi" w:hAnsiTheme="minorHAnsi" w:cstheme="minorBidi"/>
          <w:color w:val="000000" w:themeColor="text1"/>
          <w:sz w:val="20"/>
          <w:szCs w:val="20"/>
        </w:rPr>
        <w:t>benefit was estimated by the ARRB</w:t>
      </w:r>
      <w:r w:rsidR="00245DEB">
        <w:rPr>
          <w:rFonts w:asciiTheme="minorHAnsi" w:eastAsiaTheme="minorHAnsi" w:hAnsiTheme="minorHAnsi" w:cstheme="minorBidi"/>
          <w:color w:val="000000" w:themeColor="text1"/>
          <w:sz w:val="20"/>
          <w:szCs w:val="20"/>
        </w:rPr>
        <w:t xml:space="preserve"> at</w:t>
      </w:r>
      <w:r w:rsidRPr="00C62BD2">
        <w:rPr>
          <w:rFonts w:asciiTheme="minorHAnsi" w:eastAsiaTheme="minorHAnsi" w:hAnsiTheme="minorHAnsi" w:cstheme="minorBidi"/>
          <w:color w:val="000000" w:themeColor="text1"/>
          <w:sz w:val="20"/>
          <w:szCs w:val="20"/>
        </w:rPr>
        <w:t xml:space="preserve"> $0.004 </w:t>
      </w:r>
      <w:r w:rsidR="00321DEA">
        <w:rPr>
          <w:rFonts w:asciiTheme="minorHAnsi" w:eastAsiaTheme="minorHAnsi" w:hAnsiTheme="minorHAnsi" w:cstheme="minorBidi"/>
          <w:color w:val="000000" w:themeColor="text1"/>
          <w:sz w:val="20"/>
          <w:szCs w:val="20"/>
        </w:rPr>
        <w:t>per</w:t>
      </w:r>
      <w:r w:rsidRPr="00226D06">
        <w:rPr>
          <w:rFonts w:asciiTheme="minorHAnsi" w:eastAsiaTheme="minorHAnsi" w:hAnsiTheme="minorHAnsi" w:cstheme="minorBidi"/>
          <w:color w:val="000000" w:themeColor="text1"/>
          <w:sz w:val="20"/>
          <w:szCs w:val="20"/>
          <w:lang w:val="en-AU"/>
        </w:rPr>
        <w:t xml:space="preserve"> </w:t>
      </w:r>
      <w:r w:rsidR="00226D06" w:rsidRPr="00226D06">
        <w:rPr>
          <w:rFonts w:asciiTheme="minorHAnsi" w:eastAsiaTheme="minorHAnsi" w:hAnsiTheme="minorHAnsi" w:cstheme="minorBidi"/>
          <w:color w:val="000000" w:themeColor="text1"/>
          <w:sz w:val="20"/>
          <w:szCs w:val="20"/>
          <w:lang w:val="en-AU"/>
        </w:rPr>
        <w:t>kilometre</w:t>
      </w:r>
      <w:r w:rsidRPr="00C62BD2">
        <w:rPr>
          <w:rFonts w:asciiTheme="minorHAnsi" w:eastAsiaTheme="minorHAnsi" w:hAnsiTheme="minorHAnsi" w:cstheme="minorBidi"/>
          <w:color w:val="000000" w:themeColor="text1"/>
          <w:sz w:val="20"/>
          <w:szCs w:val="20"/>
        </w:rPr>
        <w:t xml:space="preserve"> </w:t>
      </w:r>
      <w:r w:rsidR="00321DEA">
        <w:rPr>
          <w:rFonts w:asciiTheme="minorHAnsi" w:eastAsiaTheme="minorHAnsi" w:hAnsiTheme="minorHAnsi" w:cstheme="minorBidi"/>
          <w:color w:val="000000" w:themeColor="text1"/>
          <w:sz w:val="20"/>
          <w:szCs w:val="20"/>
        </w:rPr>
        <w:t xml:space="preserve">reduction in </w:t>
      </w:r>
      <w:r w:rsidR="00226D06">
        <w:rPr>
          <w:rFonts w:asciiTheme="minorHAnsi" w:eastAsiaTheme="minorHAnsi" w:hAnsiTheme="minorHAnsi" w:cstheme="minorBidi"/>
          <w:color w:val="000000" w:themeColor="text1"/>
          <w:sz w:val="20"/>
          <w:szCs w:val="20"/>
        </w:rPr>
        <w:t xml:space="preserve">vehicle </w:t>
      </w:r>
      <w:r w:rsidR="00321DEA">
        <w:rPr>
          <w:rFonts w:asciiTheme="minorHAnsi" w:eastAsiaTheme="minorHAnsi" w:hAnsiTheme="minorHAnsi" w:cstheme="minorBidi"/>
          <w:color w:val="000000" w:themeColor="text1"/>
          <w:sz w:val="20"/>
          <w:szCs w:val="20"/>
        </w:rPr>
        <w:t>travel</w:t>
      </w:r>
      <w:r w:rsidR="002D3A3C">
        <w:rPr>
          <w:rFonts w:asciiTheme="minorHAnsi" w:eastAsiaTheme="minorHAnsi" w:hAnsiTheme="minorHAnsi" w:cstheme="minorBidi"/>
          <w:color w:val="000000" w:themeColor="text1"/>
          <w:sz w:val="20"/>
          <w:szCs w:val="20"/>
        </w:rPr>
        <w:t xml:space="preserve"> </w:t>
      </w:r>
      <w:r w:rsidR="00245DEB">
        <w:rPr>
          <w:rFonts w:asciiTheme="minorHAnsi" w:eastAsiaTheme="minorHAnsi" w:hAnsiTheme="minorHAnsi" w:cstheme="minorBidi"/>
          <w:color w:val="000000" w:themeColor="text1"/>
          <w:sz w:val="20"/>
          <w:szCs w:val="20"/>
        </w:rPr>
        <w:t xml:space="preserve">relative to </w:t>
      </w:r>
      <w:r w:rsidR="002D3A3C">
        <w:rPr>
          <w:rFonts w:asciiTheme="minorHAnsi" w:eastAsiaTheme="minorHAnsi" w:hAnsiTheme="minorHAnsi" w:cstheme="minorBidi"/>
          <w:color w:val="000000" w:themeColor="text1"/>
          <w:sz w:val="20"/>
          <w:szCs w:val="20"/>
        </w:rPr>
        <w:t>BAU</w:t>
      </w:r>
      <w:r w:rsidR="00AE33A0">
        <w:rPr>
          <w:rFonts w:asciiTheme="minorHAnsi" w:eastAsiaTheme="minorHAnsi" w:hAnsiTheme="minorHAnsi" w:cstheme="minorBidi"/>
          <w:color w:val="000000" w:themeColor="text1"/>
          <w:sz w:val="20"/>
          <w:szCs w:val="20"/>
        </w:rPr>
        <w:t xml:space="preserve"> (Option 2)</w:t>
      </w:r>
      <w:r w:rsidR="00321DEA">
        <w:rPr>
          <w:rFonts w:asciiTheme="minorHAnsi" w:eastAsiaTheme="minorHAnsi" w:hAnsiTheme="minorHAnsi" w:cstheme="minorBidi"/>
          <w:color w:val="000000" w:themeColor="text1"/>
          <w:sz w:val="20"/>
          <w:szCs w:val="20"/>
        </w:rPr>
        <w:t>.</w:t>
      </w:r>
    </w:p>
    <w:p w:rsidR="00164075" w:rsidRDefault="00164075" w:rsidP="00C62BD2">
      <w:pPr>
        <w:pStyle w:val="Heading4"/>
      </w:pPr>
      <w:r>
        <w:t>Vehicle</w:t>
      </w:r>
      <w:r w:rsidR="00422B9A">
        <w:t xml:space="preserve"> o</w:t>
      </w:r>
      <w:r>
        <w:t>perati</w:t>
      </w:r>
      <w:r w:rsidR="00A93839">
        <w:t>on</w:t>
      </w:r>
    </w:p>
    <w:p w:rsidR="00226D06" w:rsidRDefault="00226D06" w:rsidP="00226D06">
      <w:r>
        <w:rPr>
          <w:lang w:val="en-GB"/>
        </w:rPr>
        <w:t xml:space="preserve">The ARRB established average heavy vehicle and trailer operating costs based on </w:t>
      </w:r>
      <w:r w:rsidRPr="002143AB">
        <w:rPr>
          <w:lang w:val="en-GB"/>
        </w:rPr>
        <w:t>parameter values published by</w:t>
      </w:r>
      <w:r>
        <w:rPr>
          <w:lang w:val="en-GB"/>
        </w:rPr>
        <w:t xml:space="preserve"> the Australian Transport Assessment and Planning Steering Committee. These vehicle operating costs are based on the underlying consumption of fuel, oil, and tyres, and maintenance and repair costs; expressed in $ per vehicle kilometre travelled</w:t>
      </w:r>
      <w:r w:rsidR="00085CC9">
        <w:rPr>
          <w:lang w:val="en-GB"/>
        </w:rPr>
        <w:t xml:space="preserve"> (VKT)</w:t>
      </w:r>
      <w:r>
        <w:rPr>
          <w:lang w:val="en-GB"/>
        </w:rPr>
        <w:t>.</w:t>
      </w:r>
      <w:r w:rsidR="00DF75B1">
        <w:rPr>
          <w:lang w:val="en-GB"/>
        </w:rPr>
        <w:t xml:space="preserve"> </w:t>
      </w:r>
      <w:r w:rsidR="00DF75B1">
        <w:t xml:space="preserve">The average vehicle operating costs per </w:t>
      </w:r>
      <w:r w:rsidR="00085CC9">
        <w:t>VKT</w:t>
      </w:r>
      <w:r w:rsidR="00DF75B1">
        <w:t xml:space="preserve"> used by the ARRB for Option</w:t>
      </w:r>
      <w:r w:rsidR="00C451A3">
        <w:t xml:space="preserve">s 3.1a, 3.1b, 3.2a and 3.2b are </w:t>
      </w:r>
      <w:r w:rsidR="009720EB">
        <w:t>shown</w:t>
      </w:r>
      <w:r w:rsidR="00DF75B1">
        <w:t xml:space="preserve"> in </w:t>
      </w:r>
      <w:r w:rsidR="00DF75B1">
        <w:fldChar w:fldCharType="begin"/>
      </w:r>
      <w:r w:rsidR="00DF75B1">
        <w:instrText xml:space="preserve"> REF _Ref111463302 \h </w:instrText>
      </w:r>
      <w:r w:rsidR="00DF75B1">
        <w:fldChar w:fldCharType="separate"/>
      </w:r>
      <w:r w:rsidR="00534814" w:rsidRPr="002C1585">
        <w:t xml:space="preserve">Table </w:t>
      </w:r>
      <w:r w:rsidR="00534814">
        <w:rPr>
          <w:noProof/>
        </w:rPr>
        <w:t>7</w:t>
      </w:r>
      <w:r w:rsidR="00DF75B1">
        <w:fldChar w:fldCharType="end"/>
      </w:r>
      <w:r w:rsidR="00DF75B1">
        <w:t xml:space="preserve"> below.</w:t>
      </w:r>
    </w:p>
    <w:p w:rsidR="00DF75B1" w:rsidRPr="002C1585" w:rsidRDefault="00DF75B1" w:rsidP="00DF75B1">
      <w:pPr>
        <w:pStyle w:val="Caption"/>
      </w:pPr>
      <w:bookmarkStart w:id="59" w:name="_Ref111463302"/>
      <w:bookmarkStart w:id="60" w:name="_Toc135320132"/>
      <w:r w:rsidRPr="002C1585">
        <w:t xml:space="preserve">Table </w:t>
      </w:r>
      <w:fldSimple w:instr=" SEQ Table \* ARABIC ">
        <w:r w:rsidR="00534814">
          <w:rPr>
            <w:noProof/>
          </w:rPr>
          <w:t>7</w:t>
        </w:r>
      </w:fldSimple>
      <w:bookmarkEnd w:id="59"/>
      <w:r>
        <w:t xml:space="preserve">: Average vehicle operating costs per </w:t>
      </w:r>
      <w:r w:rsidR="00C64F8C">
        <w:t>VKT</w:t>
      </w:r>
      <w:r>
        <w:t xml:space="preserve"> used in</w:t>
      </w:r>
      <w:r w:rsidR="00822448">
        <w:t xml:space="preserve"> the</w:t>
      </w:r>
      <w:r>
        <w:t xml:space="preserve"> analysis</w:t>
      </w:r>
      <w:bookmarkEnd w:id="60"/>
    </w:p>
    <w:tbl>
      <w:tblPr>
        <w:tblStyle w:val="TableGrid"/>
        <w:tblW w:w="0" w:type="auto"/>
        <w:tblLook w:val="04A0" w:firstRow="1" w:lastRow="0" w:firstColumn="1" w:lastColumn="0" w:noHBand="0" w:noVBand="1"/>
      </w:tblPr>
      <w:tblGrid>
        <w:gridCol w:w="2547"/>
        <w:gridCol w:w="2976"/>
        <w:gridCol w:w="2977"/>
      </w:tblGrid>
      <w:tr w:rsidR="00DF75B1" w:rsidTr="007041C3">
        <w:trPr>
          <w:trHeight w:val="284"/>
        </w:trPr>
        <w:tc>
          <w:tcPr>
            <w:tcW w:w="2547" w:type="dxa"/>
            <w:shd w:val="clear" w:color="auto" w:fill="081E3E" w:themeFill="text2"/>
          </w:tcPr>
          <w:p w:rsidR="00DF75B1" w:rsidRPr="00DF75B1" w:rsidRDefault="00DF75B1" w:rsidP="007041C3">
            <w:pPr>
              <w:rPr>
                <w:b/>
                <w:color w:val="FFFFFF" w:themeColor="background1"/>
                <w:lang w:val="en-GB"/>
              </w:rPr>
            </w:pPr>
            <w:r w:rsidRPr="00DF75B1">
              <w:rPr>
                <w:b/>
                <w:color w:val="FFFFFF" w:themeColor="background1"/>
              </w:rPr>
              <w:t>Freight task</w:t>
            </w:r>
          </w:p>
        </w:tc>
        <w:tc>
          <w:tcPr>
            <w:tcW w:w="2976" w:type="dxa"/>
            <w:shd w:val="clear" w:color="auto" w:fill="081E3E" w:themeFill="text2"/>
          </w:tcPr>
          <w:p w:rsidR="00DF75B1" w:rsidRPr="00DF75B1" w:rsidRDefault="00DF75B1" w:rsidP="007041C3">
            <w:pPr>
              <w:rPr>
                <w:b/>
                <w:color w:val="FFFFFF" w:themeColor="background1"/>
                <w:lang w:val="en-GB"/>
              </w:rPr>
            </w:pPr>
            <w:r>
              <w:rPr>
                <w:b/>
                <w:color w:val="FFFFFF" w:themeColor="background1"/>
              </w:rPr>
              <w:t>Goods vehicles</w:t>
            </w:r>
            <w:r w:rsidRPr="00DF75B1">
              <w:rPr>
                <w:b/>
                <w:color w:val="FFFFFF" w:themeColor="background1"/>
              </w:rPr>
              <w:t xml:space="preserve"> </w:t>
            </w:r>
            <w:r w:rsidR="00C02289">
              <w:rPr>
                <w:b/>
                <w:color w:val="FFFFFF" w:themeColor="background1"/>
              </w:rPr>
              <w:t>over 4.5 tonnes</w:t>
            </w:r>
          </w:p>
        </w:tc>
        <w:tc>
          <w:tcPr>
            <w:tcW w:w="2977" w:type="dxa"/>
            <w:shd w:val="clear" w:color="auto" w:fill="081E3E" w:themeFill="text2"/>
          </w:tcPr>
          <w:p w:rsidR="00DF75B1" w:rsidRPr="00DF75B1" w:rsidRDefault="00DF75B1" w:rsidP="007041C3">
            <w:pPr>
              <w:rPr>
                <w:b/>
                <w:color w:val="FFFFFF" w:themeColor="background1"/>
                <w:lang w:val="en-GB"/>
              </w:rPr>
            </w:pPr>
            <w:r w:rsidRPr="00DF75B1">
              <w:rPr>
                <w:b/>
                <w:color w:val="FFFFFF" w:themeColor="background1"/>
              </w:rPr>
              <w:t>Trailer</w:t>
            </w:r>
            <w:r>
              <w:rPr>
                <w:b/>
                <w:color w:val="FFFFFF" w:themeColor="background1"/>
              </w:rPr>
              <w:t>s</w:t>
            </w:r>
            <w:r w:rsidR="00B97317">
              <w:rPr>
                <w:b/>
                <w:color w:val="FFFFFF" w:themeColor="background1"/>
              </w:rPr>
              <w:t xml:space="preserve"> </w:t>
            </w:r>
            <w:r w:rsidR="00B16414">
              <w:rPr>
                <w:b/>
                <w:color w:val="FFFFFF" w:themeColor="background1"/>
              </w:rPr>
              <w:t>over 4.5 tonnes</w:t>
            </w:r>
          </w:p>
        </w:tc>
      </w:tr>
      <w:tr w:rsidR="00257D17" w:rsidTr="007041C3">
        <w:trPr>
          <w:trHeight w:val="284"/>
        </w:trPr>
        <w:tc>
          <w:tcPr>
            <w:tcW w:w="2547" w:type="dxa"/>
          </w:tcPr>
          <w:p w:rsidR="00257D17" w:rsidRDefault="00257D17" w:rsidP="007041C3">
            <w:pPr>
              <w:rPr>
                <w:lang w:val="en-GB"/>
              </w:rPr>
            </w:pPr>
            <w:r>
              <w:t>2.50 m non-refrigerated</w:t>
            </w:r>
          </w:p>
        </w:tc>
        <w:tc>
          <w:tcPr>
            <w:tcW w:w="2976" w:type="dxa"/>
          </w:tcPr>
          <w:p w:rsidR="00257D17" w:rsidRPr="00B13D57" w:rsidRDefault="00257D17" w:rsidP="007041C3">
            <w:pPr>
              <w:rPr>
                <w:rFonts w:cstheme="minorHAnsi"/>
              </w:rPr>
            </w:pPr>
            <w:r w:rsidRPr="00A52D2D">
              <w:t>$0.744</w:t>
            </w:r>
          </w:p>
        </w:tc>
        <w:tc>
          <w:tcPr>
            <w:tcW w:w="2977" w:type="dxa"/>
          </w:tcPr>
          <w:p w:rsidR="00257D17" w:rsidRPr="00B13D57" w:rsidRDefault="00257D17" w:rsidP="007041C3">
            <w:pPr>
              <w:rPr>
                <w:rFonts w:cstheme="minorHAnsi"/>
              </w:rPr>
            </w:pPr>
            <w:r w:rsidRPr="00A52D2D">
              <w:t>$0.599</w:t>
            </w:r>
          </w:p>
        </w:tc>
      </w:tr>
      <w:tr w:rsidR="00257D17" w:rsidTr="007041C3">
        <w:trPr>
          <w:trHeight w:val="284"/>
        </w:trPr>
        <w:tc>
          <w:tcPr>
            <w:tcW w:w="2547" w:type="dxa"/>
          </w:tcPr>
          <w:p w:rsidR="00257D17" w:rsidRDefault="00257D17" w:rsidP="007041C3">
            <w:pPr>
              <w:rPr>
                <w:lang w:val="en-GB"/>
              </w:rPr>
            </w:pPr>
            <w:r>
              <w:t>2.55 m non-refrigerated</w:t>
            </w:r>
          </w:p>
        </w:tc>
        <w:tc>
          <w:tcPr>
            <w:tcW w:w="2976" w:type="dxa"/>
          </w:tcPr>
          <w:p w:rsidR="00257D17" w:rsidRPr="00B13D57" w:rsidRDefault="00257D17" w:rsidP="007041C3">
            <w:pPr>
              <w:rPr>
                <w:rFonts w:cstheme="minorHAnsi"/>
              </w:rPr>
            </w:pPr>
            <w:r w:rsidRPr="00A52D2D">
              <w:t>$0.748</w:t>
            </w:r>
          </w:p>
        </w:tc>
        <w:tc>
          <w:tcPr>
            <w:tcW w:w="2977" w:type="dxa"/>
          </w:tcPr>
          <w:p w:rsidR="00257D17" w:rsidRPr="00B13D57" w:rsidRDefault="00257D17" w:rsidP="007041C3">
            <w:pPr>
              <w:rPr>
                <w:rFonts w:cstheme="minorHAnsi"/>
              </w:rPr>
            </w:pPr>
            <w:r w:rsidRPr="00A52D2D">
              <w:t>$0.602</w:t>
            </w:r>
          </w:p>
        </w:tc>
      </w:tr>
      <w:tr w:rsidR="00257D17" w:rsidTr="007041C3">
        <w:trPr>
          <w:trHeight w:val="284"/>
        </w:trPr>
        <w:tc>
          <w:tcPr>
            <w:tcW w:w="2547" w:type="dxa"/>
          </w:tcPr>
          <w:p w:rsidR="00257D17" w:rsidRDefault="00257D17" w:rsidP="007041C3">
            <w:pPr>
              <w:rPr>
                <w:lang w:val="en-GB"/>
              </w:rPr>
            </w:pPr>
            <w:r>
              <w:t>2.60 m non-refrigerated</w:t>
            </w:r>
          </w:p>
        </w:tc>
        <w:tc>
          <w:tcPr>
            <w:tcW w:w="2976" w:type="dxa"/>
          </w:tcPr>
          <w:p w:rsidR="00257D17" w:rsidRPr="00B13D57" w:rsidRDefault="00257D17" w:rsidP="007041C3">
            <w:pPr>
              <w:rPr>
                <w:rFonts w:cstheme="minorHAnsi"/>
              </w:rPr>
            </w:pPr>
            <w:r w:rsidRPr="00A52D2D">
              <w:t>$0.752</w:t>
            </w:r>
          </w:p>
        </w:tc>
        <w:tc>
          <w:tcPr>
            <w:tcW w:w="2977" w:type="dxa"/>
          </w:tcPr>
          <w:p w:rsidR="00257D17" w:rsidRPr="00B13D57" w:rsidRDefault="00257D17" w:rsidP="007041C3">
            <w:pPr>
              <w:rPr>
                <w:rFonts w:cstheme="minorHAnsi"/>
              </w:rPr>
            </w:pPr>
            <w:r w:rsidRPr="00A52D2D">
              <w:t>$0.605</w:t>
            </w:r>
          </w:p>
        </w:tc>
      </w:tr>
      <w:tr w:rsidR="00257D17" w:rsidTr="007041C3">
        <w:trPr>
          <w:trHeight w:val="284"/>
        </w:trPr>
        <w:tc>
          <w:tcPr>
            <w:tcW w:w="2547" w:type="dxa"/>
          </w:tcPr>
          <w:p w:rsidR="00257D17" w:rsidRDefault="00257D17" w:rsidP="007041C3">
            <w:pPr>
              <w:rPr>
                <w:lang w:val="en-GB"/>
              </w:rPr>
            </w:pPr>
            <w:r>
              <w:t>2.50 m refrigerated</w:t>
            </w:r>
          </w:p>
        </w:tc>
        <w:tc>
          <w:tcPr>
            <w:tcW w:w="2976" w:type="dxa"/>
          </w:tcPr>
          <w:p w:rsidR="00257D17" w:rsidRPr="00B13D57" w:rsidRDefault="00257D17" w:rsidP="007041C3">
            <w:pPr>
              <w:rPr>
                <w:rFonts w:cstheme="minorHAnsi"/>
              </w:rPr>
            </w:pPr>
            <w:r w:rsidRPr="00A52D2D">
              <w:t>$0.856</w:t>
            </w:r>
          </w:p>
        </w:tc>
        <w:tc>
          <w:tcPr>
            <w:tcW w:w="2977" w:type="dxa"/>
          </w:tcPr>
          <w:p w:rsidR="00257D17" w:rsidRPr="00B13D57" w:rsidRDefault="00257D17" w:rsidP="007041C3">
            <w:pPr>
              <w:rPr>
                <w:rFonts w:cstheme="minorHAnsi"/>
              </w:rPr>
            </w:pPr>
            <w:r w:rsidRPr="00A52D2D">
              <w:t>$0.711</w:t>
            </w:r>
          </w:p>
        </w:tc>
      </w:tr>
      <w:tr w:rsidR="00257D17" w:rsidTr="007041C3">
        <w:trPr>
          <w:trHeight w:val="284"/>
        </w:trPr>
        <w:tc>
          <w:tcPr>
            <w:tcW w:w="2547" w:type="dxa"/>
          </w:tcPr>
          <w:p w:rsidR="00257D17" w:rsidRDefault="00257D17" w:rsidP="007041C3">
            <w:pPr>
              <w:rPr>
                <w:lang w:val="en-GB"/>
              </w:rPr>
            </w:pPr>
            <w:r>
              <w:t>2.55 m refrigerated</w:t>
            </w:r>
          </w:p>
        </w:tc>
        <w:tc>
          <w:tcPr>
            <w:tcW w:w="2976" w:type="dxa"/>
          </w:tcPr>
          <w:p w:rsidR="00257D17" w:rsidRPr="00B13D57" w:rsidRDefault="00257D17" w:rsidP="007041C3">
            <w:pPr>
              <w:rPr>
                <w:rFonts w:cstheme="minorHAnsi"/>
              </w:rPr>
            </w:pPr>
            <w:r w:rsidRPr="00A52D2D">
              <w:t>$0.838</w:t>
            </w:r>
          </w:p>
        </w:tc>
        <w:tc>
          <w:tcPr>
            <w:tcW w:w="2977" w:type="dxa"/>
          </w:tcPr>
          <w:p w:rsidR="00257D17" w:rsidRPr="00B13D57" w:rsidRDefault="00257D17" w:rsidP="007041C3">
            <w:pPr>
              <w:rPr>
                <w:rFonts w:cstheme="minorHAnsi"/>
              </w:rPr>
            </w:pPr>
            <w:r w:rsidRPr="00A52D2D">
              <w:t>$0.692</w:t>
            </w:r>
          </w:p>
        </w:tc>
      </w:tr>
      <w:tr w:rsidR="00257D17" w:rsidTr="007041C3">
        <w:trPr>
          <w:trHeight w:val="284"/>
        </w:trPr>
        <w:tc>
          <w:tcPr>
            <w:tcW w:w="2547" w:type="dxa"/>
          </w:tcPr>
          <w:p w:rsidR="00257D17" w:rsidRDefault="00257D17" w:rsidP="007041C3">
            <w:pPr>
              <w:rPr>
                <w:lang w:val="en-GB"/>
              </w:rPr>
            </w:pPr>
            <w:r>
              <w:t>2.60 m refrigerated</w:t>
            </w:r>
          </w:p>
        </w:tc>
        <w:tc>
          <w:tcPr>
            <w:tcW w:w="2976" w:type="dxa"/>
          </w:tcPr>
          <w:p w:rsidR="00257D17" w:rsidRPr="00B13D57" w:rsidRDefault="00257D17" w:rsidP="007041C3">
            <w:pPr>
              <w:rPr>
                <w:rFonts w:cstheme="minorHAnsi"/>
              </w:rPr>
            </w:pPr>
            <w:r w:rsidRPr="00A52D2D">
              <w:t>$0.827</w:t>
            </w:r>
          </w:p>
        </w:tc>
        <w:tc>
          <w:tcPr>
            <w:tcW w:w="2977" w:type="dxa"/>
          </w:tcPr>
          <w:p w:rsidR="00257D17" w:rsidRPr="00B13D57" w:rsidRDefault="00257D17" w:rsidP="007041C3">
            <w:pPr>
              <w:rPr>
                <w:rFonts w:cstheme="minorHAnsi"/>
              </w:rPr>
            </w:pPr>
            <w:r w:rsidRPr="00A52D2D">
              <w:t>$0.680</w:t>
            </w:r>
          </w:p>
        </w:tc>
      </w:tr>
    </w:tbl>
    <w:p w:rsidR="00164075" w:rsidRDefault="00B97317" w:rsidP="00164075">
      <w:pPr>
        <w:rPr>
          <w:lang w:val="en-US"/>
        </w:rPr>
      </w:pPr>
      <w:r>
        <w:rPr>
          <w:lang w:val="en-US"/>
        </w:rPr>
        <w:t xml:space="preserve">Reductions in overall vehicle operating </w:t>
      </w:r>
      <w:r w:rsidR="00B677E8">
        <w:rPr>
          <w:lang w:val="en-US"/>
        </w:rPr>
        <w:t xml:space="preserve">costs arise </w:t>
      </w:r>
      <w:r w:rsidR="004D110C">
        <w:rPr>
          <w:lang w:val="en-US"/>
        </w:rPr>
        <w:t xml:space="preserve">under </w:t>
      </w:r>
      <w:r w:rsidR="00B677E8">
        <w:t>Options 3.1a, 3.1b, 3.2a and 3.2b,</w:t>
      </w:r>
      <w:r>
        <w:rPr>
          <w:lang w:val="en-US"/>
        </w:rPr>
        <w:t xml:space="preserve"> due to a combination of the overall reduction in trips required to move the </w:t>
      </w:r>
      <w:r w:rsidR="00B677E8">
        <w:rPr>
          <w:lang w:val="en-US"/>
        </w:rPr>
        <w:t>same</w:t>
      </w:r>
      <w:r>
        <w:rPr>
          <w:lang w:val="en-US"/>
        </w:rPr>
        <w:t xml:space="preserve"> freight, together </w:t>
      </w:r>
      <w:r w:rsidR="00B677E8">
        <w:rPr>
          <w:lang w:val="en-US"/>
        </w:rPr>
        <w:t>with</w:t>
      </w:r>
      <w:r>
        <w:rPr>
          <w:lang w:val="en-US"/>
        </w:rPr>
        <w:t xml:space="preserve"> the reduction in operating costs per VKT for </w:t>
      </w:r>
      <w:r w:rsidR="00B677E8">
        <w:rPr>
          <w:lang w:val="en-US"/>
        </w:rPr>
        <w:t xml:space="preserve">wider </w:t>
      </w:r>
      <w:r>
        <w:rPr>
          <w:lang w:val="en-US"/>
        </w:rPr>
        <w:t>refrigerated goods vehicles and trailers</w:t>
      </w:r>
      <w:r w:rsidR="00C64F8C">
        <w:rPr>
          <w:lang w:val="en-US"/>
        </w:rPr>
        <w:t xml:space="preserve"> (</w:t>
      </w:r>
      <w:r w:rsidR="004D110C">
        <w:rPr>
          <w:lang w:val="en-US"/>
        </w:rPr>
        <w:t>with</w:t>
      </w:r>
      <w:r w:rsidR="00C64F8C">
        <w:rPr>
          <w:lang w:val="en-US"/>
        </w:rPr>
        <w:t xml:space="preserve"> thicker insulation)</w:t>
      </w:r>
      <w:r>
        <w:rPr>
          <w:lang w:val="en-US"/>
        </w:rPr>
        <w:t>.</w:t>
      </w:r>
    </w:p>
    <w:p w:rsidR="00740D47" w:rsidRDefault="00740D47" w:rsidP="00740D47">
      <w:pPr>
        <w:pStyle w:val="Heading4"/>
      </w:pPr>
      <w:r>
        <w:t>Environment</w:t>
      </w:r>
    </w:p>
    <w:p w:rsidR="00C64F8C" w:rsidRDefault="00C64F8C" w:rsidP="00C64F8C">
      <w:r>
        <w:rPr>
          <w:lang w:val="en-GB"/>
        </w:rPr>
        <w:t xml:space="preserve">The ARRB also established average heavy goods vehicle and trailer environmental costs based on </w:t>
      </w:r>
      <w:r w:rsidRPr="002143AB">
        <w:rPr>
          <w:lang w:val="en-GB"/>
        </w:rPr>
        <w:t>parameter values published by</w:t>
      </w:r>
      <w:r>
        <w:rPr>
          <w:lang w:val="en-GB"/>
        </w:rPr>
        <w:t xml:space="preserve"> the Australian Transport Assessment and Planning Steering Committee. </w:t>
      </w:r>
      <w:r>
        <w:t xml:space="preserve">The average environmental costs per VKT used by the ARRB for Options 3.1a, 3.1b, 3.2a and 3.2b are </w:t>
      </w:r>
      <w:r w:rsidR="009720EB">
        <w:t>shown</w:t>
      </w:r>
      <w:r>
        <w:t xml:space="preserve"> in </w:t>
      </w:r>
      <w:r>
        <w:fldChar w:fldCharType="begin"/>
      </w:r>
      <w:r>
        <w:instrText xml:space="preserve"> REF _Ref111464089 \h </w:instrText>
      </w:r>
      <w:r>
        <w:fldChar w:fldCharType="separate"/>
      </w:r>
      <w:r w:rsidR="00534814" w:rsidRPr="002C1585">
        <w:t xml:space="preserve">Table </w:t>
      </w:r>
      <w:r w:rsidR="00534814">
        <w:rPr>
          <w:noProof/>
        </w:rPr>
        <w:t>8</w:t>
      </w:r>
      <w:r>
        <w:fldChar w:fldCharType="end"/>
      </w:r>
      <w:r>
        <w:t xml:space="preserve"> below.</w:t>
      </w:r>
    </w:p>
    <w:p w:rsidR="00C64F8C" w:rsidRPr="002C1585" w:rsidRDefault="00C64F8C" w:rsidP="00024D04">
      <w:pPr>
        <w:pStyle w:val="Caption"/>
        <w:pageBreakBefore/>
      </w:pPr>
      <w:bookmarkStart w:id="61" w:name="_Ref111464089"/>
      <w:bookmarkStart w:id="62" w:name="_Toc135320133"/>
      <w:r w:rsidRPr="002C1585">
        <w:t xml:space="preserve">Table </w:t>
      </w:r>
      <w:fldSimple w:instr=" SEQ Table \* ARABIC ">
        <w:r w:rsidR="00534814">
          <w:rPr>
            <w:noProof/>
          </w:rPr>
          <w:t>8</w:t>
        </w:r>
      </w:fldSimple>
      <w:bookmarkEnd w:id="61"/>
      <w:r>
        <w:t xml:space="preserve">: Average environmental costs per VKT used in </w:t>
      </w:r>
      <w:r w:rsidR="00822448">
        <w:t xml:space="preserve">the </w:t>
      </w:r>
      <w:r>
        <w:t>analysis</w:t>
      </w:r>
      <w:bookmarkEnd w:id="62"/>
    </w:p>
    <w:tbl>
      <w:tblPr>
        <w:tblStyle w:val="TableGrid"/>
        <w:tblW w:w="0" w:type="auto"/>
        <w:tblLook w:val="04A0" w:firstRow="1" w:lastRow="0" w:firstColumn="1" w:lastColumn="0" w:noHBand="0" w:noVBand="1"/>
      </w:tblPr>
      <w:tblGrid>
        <w:gridCol w:w="2547"/>
        <w:gridCol w:w="2976"/>
        <w:gridCol w:w="2977"/>
      </w:tblGrid>
      <w:tr w:rsidR="00C02289" w:rsidTr="007041C3">
        <w:trPr>
          <w:trHeight w:val="284"/>
        </w:trPr>
        <w:tc>
          <w:tcPr>
            <w:tcW w:w="2547" w:type="dxa"/>
            <w:shd w:val="clear" w:color="auto" w:fill="081E3E" w:themeFill="text2"/>
          </w:tcPr>
          <w:p w:rsidR="00C02289" w:rsidRPr="00DF75B1" w:rsidRDefault="00C02289" w:rsidP="00C02289">
            <w:pPr>
              <w:rPr>
                <w:b/>
                <w:color w:val="FFFFFF" w:themeColor="background1"/>
                <w:lang w:val="en-GB"/>
              </w:rPr>
            </w:pPr>
            <w:r w:rsidRPr="00DF75B1">
              <w:rPr>
                <w:b/>
                <w:color w:val="FFFFFF" w:themeColor="background1"/>
              </w:rPr>
              <w:t>Freight task</w:t>
            </w:r>
          </w:p>
        </w:tc>
        <w:tc>
          <w:tcPr>
            <w:tcW w:w="2976" w:type="dxa"/>
            <w:shd w:val="clear" w:color="auto" w:fill="081E3E" w:themeFill="text2"/>
          </w:tcPr>
          <w:p w:rsidR="00C02289" w:rsidRPr="00DF75B1" w:rsidRDefault="00C02289" w:rsidP="00B16414">
            <w:pPr>
              <w:rPr>
                <w:b/>
                <w:color w:val="FFFFFF" w:themeColor="background1"/>
                <w:lang w:val="en-GB"/>
              </w:rPr>
            </w:pPr>
            <w:r>
              <w:rPr>
                <w:b/>
                <w:color w:val="FFFFFF" w:themeColor="background1"/>
              </w:rPr>
              <w:t>Goods vehicles</w:t>
            </w:r>
            <w:r w:rsidRPr="00DF75B1">
              <w:rPr>
                <w:b/>
                <w:color w:val="FFFFFF" w:themeColor="background1"/>
              </w:rPr>
              <w:t xml:space="preserve"> </w:t>
            </w:r>
            <w:r w:rsidR="00B16414">
              <w:rPr>
                <w:b/>
                <w:color w:val="FFFFFF" w:themeColor="background1"/>
              </w:rPr>
              <w:t>over 4.5 tonnes</w:t>
            </w:r>
          </w:p>
        </w:tc>
        <w:tc>
          <w:tcPr>
            <w:tcW w:w="2977" w:type="dxa"/>
            <w:shd w:val="clear" w:color="auto" w:fill="081E3E" w:themeFill="text2"/>
          </w:tcPr>
          <w:p w:rsidR="00C02289" w:rsidRPr="00DF75B1" w:rsidRDefault="00C02289" w:rsidP="00B16414">
            <w:pPr>
              <w:rPr>
                <w:b/>
                <w:color w:val="FFFFFF" w:themeColor="background1"/>
                <w:lang w:val="en-GB"/>
              </w:rPr>
            </w:pPr>
            <w:r w:rsidRPr="00DF75B1">
              <w:rPr>
                <w:b/>
                <w:color w:val="FFFFFF" w:themeColor="background1"/>
              </w:rPr>
              <w:t>Trailer</w:t>
            </w:r>
            <w:r w:rsidR="00B16414">
              <w:rPr>
                <w:b/>
                <w:color w:val="FFFFFF" w:themeColor="background1"/>
              </w:rPr>
              <w:t>s over 4.5 tonnes</w:t>
            </w:r>
          </w:p>
        </w:tc>
      </w:tr>
      <w:tr w:rsidR="00257D17" w:rsidTr="007041C3">
        <w:trPr>
          <w:trHeight w:val="284"/>
        </w:trPr>
        <w:tc>
          <w:tcPr>
            <w:tcW w:w="2547" w:type="dxa"/>
          </w:tcPr>
          <w:p w:rsidR="00257D17" w:rsidRDefault="00257D17" w:rsidP="00257D17">
            <w:pPr>
              <w:rPr>
                <w:lang w:val="en-GB"/>
              </w:rPr>
            </w:pPr>
            <w:r>
              <w:t>2.50 m non-refrigerated</w:t>
            </w:r>
          </w:p>
        </w:tc>
        <w:tc>
          <w:tcPr>
            <w:tcW w:w="2976" w:type="dxa"/>
          </w:tcPr>
          <w:p w:rsidR="00257D17" w:rsidRPr="00430252" w:rsidRDefault="00257D17" w:rsidP="00257D17">
            <w:pPr>
              <w:rPr>
                <w:rFonts w:cstheme="minorHAnsi"/>
              </w:rPr>
            </w:pPr>
            <w:r w:rsidRPr="00091C2F">
              <w:t>$0.385</w:t>
            </w:r>
          </w:p>
        </w:tc>
        <w:tc>
          <w:tcPr>
            <w:tcW w:w="2977" w:type="dxa"/>
          </w:tcPr>
          <w:p w:rsidR="00257D17" w:rsidRPr="00430252" w:rsidRDefault="00257D17" w:rsidP="00257D17">
            <w:pPr>
              <w:rPr>
                <w:rFonts w:cstheme="minorHAnsi"/>
              </w:rPr>
            </w:pPr>
            <w:r w:rsidRPr="00091C2F">
              <w:t>$0.310</w:t>
            </w:r>
          </w:p>
        </w:tc>
      </w:tr>
      <w:tr w:rsidR="00257D17" w:rsidTr="007041C3">
        <w:trPr>
          <w:trHeight w:val="284"/>
        </w:trPr>
        <w:tc>
          <w:tcPr>
            <w:tcW w:w="2547" w:type="dxa"/>
          </w:tcPr>
          <w:p w:rsidR="00257D17" w:rsidRDefault="00257D17" w:rsidP="00257D17">
            <w:pPr>
              <w:rPr>
                <w:lang w:val="en-GB"/>
              </w:rPr>
            </w:pPr>
            <w:r>
              <w:t>2.55 m non-refrigerated</w:t>
            </w:r>
          </w:p>
        </w:tc>
        <w:tc>
          <w:tcPr>
            <w:tcW w:w="2976" w:type="dxa"/>
          </w:tcPr>
          <w:p w:rsidR="00257D17" w:rsidRPr="00430252" w:rsidRDefault="00257D17" w:rsidP="00257D17">
            <w:pPr>
              <w:rPr>
                <w:rFonts w:cstheme="minorHAnsi"/>
              </w:rPr>
            </w:pPr>
            <w:r w:rsidRPr="00091C2F">
              <w:t>$0.387</w:t>
            </w:r>
          </w:p>
        </w:tc>
        <w:tc>
          <w:tcPr>
            <w:tcW w:w="2977" w:type="dxa"/>
          </w:tcPr>
          <w:p w:rsidR="00257D17" w:rsidRPr="00430252" w:rsidRDefault="00257D17" w:rsidP="00257D17">
            <w:pPr>
              <w:rPr>
                <w:rFonts w:cstheme="minorHAnsi"/>
              </w:rPr>
            </w:pPr>
            <w:r w:rsidRPr="00091C2F">
              <w:t>$0.311</w:t>
            </w:r>
          </w:p>
        </w:tc>
      </w:tr>
      <w:tr w:rsidR="00257D17" w:rsidTr="007041C3">
        <w:trPr>
          <w:trHeight w:val="284"/>
        </w:trPr>
        <w:tc>
          <w:tcPr>
            <w:tcW w:w="2547" w:type="dxa"/>
          </w:tcPr>
          <w:p w:rsidR="00257D17" w:rsidRDefault="00257D17" w:rsidP="00257D17">
            <w:pPr>
              <w:rPr>
                <w:lang w:val="en-GB"/>
              </w:rPr>
            </w:pPr>
            <w:r>
              <w:t>2.60 m non-refrigerated</w:t>
            </w:r>
          </w:p>
        </w:tc>
        <w:tc>
          <w:tcPr>
            <w:tcW w:w="2976" w:type="dxa"/>
          </w:tcPr>
          <w:p w:rsidR="00257D17" w:rsidRPr="00430252" w:rsidRDefault="00257D17" w:rsidP="00257D17">
            <w:pPr>
              <w:rPr>
                <w:rFonts w:cstheme="minorHAnsi"/>
              </w:rPr>
            </w:pPr>
            <w:r w:rsidRPr="00091C2F">
              <w:t>$0.389</w:t>
            </w:r>
          </w:p>
        </w:tc>
        <w:tc>
          <w:tcPr>
            <w:tcW w:w="2977" w:type="dxa"/>
          </w:tcPr>
          <w:p w:rsidR="00257D17" w:rsidRPr="00430252" w:rsidRDefault="00257D17" w:rsidP="00257D17">
            <w:pPr>
              <w:rPr>
                <w:rFonts w:cstheme="minorHAnsi"/>
              </w:rPr>
            </w:pPr>
            <w:r w:rsidRPr="00091C2F">
              <w:t>$0.313</w:t>
            </w:r>
          </w:p>
        </w:tc>
      </w:tr>
      <w:tr w:rsidR="00257D17" w:rsidTr="007041C3">
        <w:trPr>
          <w:trHeight w:val="284"/>
        </w:trPr>
        <w:tc>
          <w:tcPr>
            <w:tcW w:w="2547" w:type="dxa"/>
          </w:tcPr>
          <w:p w:rsidR="00257D17" w:rsidRDefault="00257D17" w:rsidP="00257D17">
            <w:pPr>
              <w:rPr>
                <w:lang w:val="en-GB"/>
              </w:rPr>
            </w:pPr>
            <w:r>
              <w:t>2.50 m refrigerated</w:t>
            </w:r>
          </w:p>
        </w:tc>
        <w:tc>
          <w:tcPr>
            <w:tcW w:w="2976" w:type="dxa"/>
          </w:tcPr>
          <w:p w:rsidR="00257D17" w:rsidRPr="00430252" w:rsidRDefault="00257D17" w:rsidP="00257D17">
            <w:pPr>
              <w:rPr>
                <w:rFonts w:cstheme="minorHAnsi"/>
              </w:rPr>
            </w:pPr>
            <w:r w:rsidRPr="00091C2F">
              <w:t>$0.443</w:t>
            </w:r>
          </w:p>
        </w:tc>
        <w:tc>
          <w:tcPr>
            <w:tcW w:w="2977" w:type="dxa"/>
          </w:tcPr>
          <w:p w:rsidR="00257D17" w:rsidRPr="00430252" w:rsidRDefault="00257D17" w:rsidP="00257D17">
            <w:pPr>
              <w:rPr>
                <w:rFonts w:cstheme="minorHAnsi"/>
              </w:rPr>
            </w:pPr>
            <w:r w:rsidRPr="00091C2F">
              <w:t>$0.356</w:t>
            </w:r>
          </w:p>
        </w:tc>
      </w:tr>
      <w:tr w:rsidR="00257D17" w:rsidTr="007041C3">
        <w:trPr>
          <w:trHeight w:val="284"/>
        </w:trPr>
        <w:tc>
          <w:tcPr>
            <w:tcW w:w="2547" w:type="dxa"/>
          </w:tcPr>
          <w:p w:rsidR="00257D17" w:rsidRDefault="00257D17" w:rsidP="00257D17">
            <w:pPr>
              <w:rPr>
                <w:lang w:val="en-GB"/>
              </w:rPr>
            </w:pPr>
            <w:r>
              <w:t>2.55 m refrigerated</w:t>
            </w:r>
          </w:p>
        </w:tc>
        <w:tc>
          <w:tcPr>
            <w:tcW w:w="2976" w:type="dxa"/>
          </w:tcPr>
          <w:p w:rsidR="00257D17" w:rsidRPr="00430252" w:rsidRDefault="00257D17" w:rsidP="00257D17">
            <w:pPr>
              <w:rPr>
                <w:rFonts w:cstheme="minorHAnsi"/>
              </w:rPr>
            </w:pPr>
            <w:r w:rsidRPr="00091C2F">
              <w:t>$0.433</w:t>
            </w:r>
          </w:p>
        </w:tc>
        <w:tc>
          <w:tcPr>
            <w:tcW w:w="2977" w:type="dxa"/>
          </w:tcPr>
          <w:p w:rsidR="00257D17" w:rsidRPr="00430252" w:rsidRDefault="00257D17" w:rsidP="00257D17">
            <w:pPr>
              <w:rPr>
                <w:rFonts w:cstheme="minorHAnsi"/>
              </w:rPr>
            </w:pPr>
            <w:r w:rsidRPr="00091C2F">
              <w:t>$0.347</w:t>
            </w:r>
          </w:p>
        </w:tc>
      </w:tr>
      <w:tr w:rsidR="00257D17" w:rsidTr="007041C3">
        <w:trPr>
          <w:trHeight w:val="284"/>
        </w:trPr>
        <w:tc>
          <w:tcPr>
            <w:tcW w:w="2547" w:type="dxa"/>
          </w:tcPr>
          <w:p w:rsidR="00257D17" w:rsidRDefault="00257D17" w:rsidP="00257D17">
            <w:pPr>
              <w:rPr>
                <w:lang w:val="en-GB"/>
              </w:rPr>
            </w:pPr>
            <w:r>
              <w:t>2.60 m refrigerated</w:t>
            </w:r>
          </w:p>
        </w:tc>
        <w:tc>
          <w:tcPr>
            <w:tcW w:w="2976" w:type="dxa"/>
          </w:tcPr>
          <w:p w:rsidR="00257D17" w:rsidRPr="00430252" w:rsidRDefault="00257D17" w:rsidP="00257D17">
            <w:pPr>
              <w:rPr>
                <w:rFonts w:cstheme="minorHAnsi"/>
              </w:rPr>
            </w:pPr>
            <w:r w:rsidRPr="00091C2F">
              <w:t>$0.428</w:t>
            </w:r>
          </w:p>
        </w:tc>
        <w:tc>
          <w:tcPr>
            <w:tcW w:w="2977" w:type="dxa"/>
          </w:tcPr>
          <w:p w:rsidR="00257D17" w:rsidRPr="00430252" w:rsidRDefault="00257D17" w:rsidP="00257D17">
            <w:pPr>
              <w:rPr>
                <w:rFonts w:cstheme="minorHAnsi"/>
              </w:rPr>
            </w:pPr>
            <w:r w:rsidRPr="00091C2F">
              <w:t>$0.341</w:t>
            </w:r>
          </w:p>
        </w:tc>
      </w:tr>
    </w:tbl>
    <w:p w:rsidR="00C64F8C" w:rsidRDefault="00C64F8C" w:rsidP="00C64F8C">
      <w:pPr>
        <w:rPr>
          <w:lang w:val="en-US"/>
        </w:rPr>
      </w:pPr>
      <w:r>
        <w:rPr>
          <w:lang w:val="en-US"/>
        </w:rPr>
        <w:t xml:space="preserve">Reductions in environmental costs arise under </w:t>
      </w:r>
      <w:r>
        <w:t>Options 3.1a, 3.1b, 3.2a and 3.2b,</w:t>
      </w:r>
      <w:r>
        <w:rPr>
          <w:lang w:val="en-US"/>
        </w:rPr>
        <w:t xml:space="preserve"> due to a combination of the overall reduction in trips required to move the same freight, together with lower energy needs per VKT for wider refrigerated goods vehicles and tr</w:t>
      </w:r>
      <w:r w:rsidR="00BD7FD9">
        <w:rPr>
          <w:lang w:val="en-US"/>
        </w:rPr>
        <w:t xml:space="preserve">ailers </w:t>
      </w:r>
      <w:r w:rsidR="0066695E">
        <w:rPr>
          <w:lang w:val="en-US"/>
        </w:rPr>
        <w:t>(</w:t>
      </w:r>
      <w:r w:rsidR="004D110C">
        <w:rPr>
          <w:lang w:val="en-US"/>
        </w:rPr>
        <w:t>with</w:t>
      </w:r>
      <w:r w:rsidR="00BD7FD9">
        <w:rPr>
          <w:lang w:val="en-US"/>
        </w:rPr>
        <w:t xml:space="preserve"> thicker insulation</w:t>
      </w:r>
      <w:r w:rsidR="0066695E">
        <w:rPr>
          <w:lang w:val="en-US"/>
        </w:rPr>
        <w:t>)</w:t>
      </w:r>
      <w:r>
        <w:rPr>
          <w:lang w:val="en-US"/>
        </w:rPr>
        <w:t>.</w:t>
      </w:r>
    </w:p>
    <w:p w:rsidR="0084287E" w:rsidRPr="0084287E" w:rsidRDefault="0084287E" w:rsidP="0084287E">
      <w:pPr>
        <w:pStyle w:val="Heading3"/>
        <w:rPr>
          <w:lang w:val="en-AU"/>
        </w:rPr>
      </w:pPr>
      <w:bookmarkStart w:id="63" w:name="_Toc138065702"/>
      <w:r w:rsidRPr="0084287E">
        <w:rPr>
          <w:lang w:val="en-AU"/>
        </w:rPr>
        <w:t>Costs</w:t>
      </w:r>
      <w:bookmarkEnd w:id="63"/>
    </w:p>
    <w:p w:rsidR="00B62F87" w:rsidRDefault="00B62F87" w:rsidP="00B62F87">
      <w:r w:rsidRPr="00163D15">
        <w:t xml:space="preserve">For Option </w:t>
      </w:r>
      <w:r>
        <w:t>2</w:t>
      </w:r>
      <w:r w:rsidRPr="00163D15">
        <w:t xml:space="preserve">, there are no intervention </w:t>
      </w:r>
      <w:r>
        <w:t>costs</w:t>
      </w:r>
      <w:r w:rsidRPr="00163D15">
        <w:t xml:space="preserve"> (or </w:t>
      </w:r>
      <w:r>
        <w:t>benefits</w:t>
      </w:r>
      <w:r w:rsidRPr="00163D15">
        <w:t>) as this is the BAU case.</w:t>
      </w:r>
    </w:p>
    <w:p w:rsidR="00B62F87" w:rsidRDefault="00FD0587" w:rsidP="00B62F87">
      <w:r>
        <w:t xml:space="preserve">For Option 3, there are costs to government to implement and maintain updated regulations, costs (and savings) for manufacturers to modify vehicles for changes in the width limit, costs for manufacturers to fit additional required safety </w:t>
      </w:r>
      <w:r w:rsidR="008C56E5">
        <w:t>systems or features</w:t>
      </w:r>
      <w:r>
        <w:t xml:space="preserve">, costs for heavy vehicle operators to maintain and repair safety </w:t>
      </w:r>
      <w:r w:rsidR="008C56E5">
        <w:t>systems/</w:t>
      </w:r>
      <w:r>
        <w:t>features, and infrastructure upgrade costs.</w:t>
      </w:r>
    </w:p>
    <w:p w:rsidR="000B3DF0" w:rsidRDefault="00D2346F" w:rsidP="000B3DF0">
      <w:pPr>
        <w:pStyle w:val="Heading4"/>
      </w:pPr>
      <w:r>
        <w:t>Government</w:t>
      </w:r>
    </w:p>
    <w:p w:rsidR="000B3DF0" w:rsidRPr="000B3DF0" w:rsidRDefault="000B3DF0" w:rsidP="000B3DF0">
      <w:pPr>
        <w:pStyle w:val="Heading4"/>
        <w:rPr>
          <w:rFonts w:asciiTheme="minorHAnsi" w:eastAsiaTheme="minorHAnsi" w:hAnsiTheme="minorHAnsi" w:cstheme="minorBidi"/>
          <w:color w:val="000000" w:themeColor="text1"/>
          <w:sz w:val="20"/>
          <w:szCs w:val="20"/>
          <w:lang w:val="en-AU"/>
        </w:rPr>
      </w:pPr>
      <w:r>
        <w:rPr>
          <w:rFonts w:asciiTheme="minorHAnsi" w:eastAsiaTheme="minorHAnsi" w:hAnsiTheme="minorHAnsi" w:cstheme="minorBidi"/>
          <w:color w:val="000000" w:themeColor="text1"/>
          <w:sz w:val="20"/>
          <w:szCs w:val="20"/>
          <w:lang w:val="en-AU"/>
        </w:rPr>
        <w:t xml:space="preserve">The ARRB assumed there would be an estimated </w:t>
      </w:r>
      <w:r w:rsidRPr="000B3DF0">
        <w:rPr>
          <w:rFonts w:asciiTheme="minorHAnsi" w:eastAsiaTheme="minorHAnsi" w:hAnsiTheme="minorHAnsi" w:cstheme="minorBidi"/>
          <w:color w:val="000000" w:themeColor="text1"/>
          <w:sz w:val="20"/>
          <w:szCs w:val="20"/>
          <w:lang w:val="en-AU"/>
        </w:rPr>
        <w:t>cost of $50,000 per annum for the department to create, implement and maintain the proposed changes</w:t>
      </w:r>
      <w:r>
        <w:rPr>
          <w:rFonts w:asciiTheme="minorHAnsi" w:eastAsiaTheme="minorHAnsi" w:hAnsiTheme="minorHAnsi" w:cstheme="minorBidi"/>
          <w:color w:val="000000" w:themeColor="text1"/>
          <w:sz w:val="20"/>
          <w:szCs w:val="20"/>
          <w:lang w:val="en-AU"/>
        </w:rPr>
        <w:t xml:space="preserve"> </w:t>
      </w:r>
      <w:r w:rsidR="00955CFD">
        <w:rPr>
          <w:rFonts w:asciiTheme="minorHAnsi" w:eastAsiaTheme="minorHAnsi" w:hAnsiTheme="minorHAnsi" w:cstheme="minorBidi"/>
          <w:color w:val="000000" w:themeColor="text1"/>
          <w:sz w:val="20"/>
          <w:szCs w:val="20"/>
          <w:lang w:val="en-AU"/>
        </w:rPr>
        <w:t xml:space="preserve">to regulation </w:t>
      </w:r>
      <w:r>
        <w:rPr>
          <w:rFonts w:asciiTheme="minorHAnsi" w:eastAsiaTheme="minorHAnsi" w:hAnsiTheme="minorHAnsi" w:cstheme="minorBidi"/>
          <w:color w:val="000000" w:themeColor="text1"/>
          <w:sz w:val="20"/>
          <w:szCs w:val="20"/>
          <w:lang w:val="en-AU"/>
        </w:rPr>
        <w:t>under Options 3.1a, 3.1b, 3.2a and 3.2b</w:t>
      </w:r>
      <w:r w:rsidRPr="000B3DF0">
        <w:rPr>
          <w:rFonts w:asciiTheme="minorHAnsi" w:eastAsiaTheme="minorHAnsi" w:hAnsiTheme="minorHAnsi" w:cstheme="minorBidi"/>
          <w:color w:val="000000" w:themeColor="text1"/>
          <w:sz w:val="20"/>
          <w:szCs w:val="20"/>
          <w:lang w:val="en-AU"/>
        </w:rPr>
        <w:t>.</w:t>
      </w:r>
      <w:r w:rsidR="001E156C">
        <w:rPr>
          <w:rFonts w:asciiTheme="minorHAnsi" w:eastAsiaTheme="minorHAnsi" w:hAnsiTheme="minorHAnsi" w:cstheme="minorBidi"/>
          <w:color w:val="000000" w:themeColor="text1"/>
          <w:sz w:val="20"/>
          <w:szCs w:val="20"/>
          <w:lang w:val="en-AU"/>
        </w:rPr>
        <w:t xml:space="preserve"> This cost was taken from previous Regulation Impact Statements by the department for </w:t>
      </w:r>
      <w:r w:rsidR="00AE2A8D">
        <w:rPr>
          <w:rFonts w:asciiTheme="minorHAnsi" w:eastAsiaTheme="minorHAnsi" w:hAnsiTheme="minorHAnsi" w:cstheme="minorBidi"/>
          <w:color w:val="000000" w:themeColor="text1"/>
          <w:sz w:val="20"/>
          <w:szCs w:val="20"/>
          <w:lang w:val="en-AU"/>
        </w:rPr>
        <w:t>new ADRs, and is based on the department’s past experience in implementing and maintaining the ADRs.</w:t>
      </w:r>
    </w:p>
    <w:p w:rsidR="00F84948" w:rsidRDefault="00F73629" w:rsidP="00F84948">
      <w:pPr>
        <w:pStyle w:val="Heading4"/>
      </w:pPr>
      <w:r>
        <w:t>Vehicle</w:t>
      </w:r>
      <w:r w:rsidR="00F84948">
        <w:t xml:space="preserve"> </w:t>
      </w:r>
      <w:r w:rsidR="00422B9A">
        <w:t>m</w:t>
      </w:r>
      <w:r w:rsidR="00F84948">
        <w:t>odification</w:t>
      </w:r>
      <w:r w:rsidR="00FD0587">
        <w:t xml:space="preserve"> for width</w:t>
      </w:r>
    </w:p>
    <w:p w:rsidR="00B5134B" w:rsidRDefault="00B5134B" w:rsidP="00F84948">
      <w:pPr>
        <w:rPr>
          <w:lang w:val="en-US"/>
        </w:rPr>
      </w:pPr>
      <w:r>
        <w:rPr>
          <w:lang w:val="en-US"/>
        </w:rPr>
        <w:t xml:space="preserve">Increasing the width limit to 2.55 m would substantially reduce the need for truck manufacturers to modify models based on overseas designs, to make them narrower for Australia. Increasing the width limit to </w:t>
      </w:r>
      <w:r w:rsidR="00B9347B">
        <w:rPr>
          <w:lang w:val="en-US"/>
        </w:rPr>
        <w:t>2.60</w:t>
      </w:r>
      <w:r>
        <w:rPr>
          <w:lang w:val="en-US"/>
        </w:rPr>
        <w:t xml:space="preserve"> m would </w:t>
      </w:r>
      <w:r w:rsidR="00443830">
        <w:rPr>
          <w:lang w:val="en-US"/>
        </w:rPr>
        <w:t xml:space="preserve">essentially </w:t>
      </w:r>
      <w:r>
        <w:rPr>
          <w:lang w:val="en-US"/>
        </w:rPr>
        <w:t xml:space="preserve">eliminate the need </w:t>
      </w:r>
      <w:r w:rsidR="00BA7387">
        <w:rPr>
          <w:lang w:val="en-US"/>
        </w:rPr>
        <w:t>for</w:t>
      </w:r>
      <w:r w:rsidR="00A165C7">
        <w:rPr>
          <w:lang w:val="en-US"/>
        </w:rPr>
        <w:t xml:space="preserve"> trucks</w:t>
      </w:r>
      <w:r>
        <w:rPr>
          <w:lang w:val="en-US"/>
        </w:rPr>
        <w:t xml:space="preserve"> </w:t>
      </w:r>
      <w:r w:rsidR="00BA7387">
        <w:rPr>
          <w:lang w:val="en-US"/>
        </w:rPr>
        <w:t xml:space="preserve">to be made </w:t>
      </w:r>
      <w:r>
        <w:rPr>
          <w:lang w:val="en-US"/>
        </w:rPr>
        <w:t>narrower for Australia.</w:t>
      </w:r>
    </w:p>
    <w:p w:rsidR="00F84948" w:rsidRDefault="00FA68F2" w:rsidP="00F84948">
      <w:pPr>
        <w:rPr>
          <w:lang w:val="en-US"/>
        </w:rPr>
      </w:pPr>
      <w:r>
        <w:rPr>
          <w:lang w:val="en-US"/>
        </w:rPr>
        <w:t xml:space="preserve">The ARRB assumed based on estimates previously provided by the TIC to the </w:t>
      </w:r>
      <w:r w:rsidR="00B9347B">
        <w:rPr>
          <w:lang w:val="en-US"/>
        </w:rPr>
        <w:t>d</w:t>
      </w:r>
      <w:r>
        <w:rPr>
          <w:lang w:val="en-US"/>
        </w:rPr>
        <w:t xml:space="preserve">epartment, that increasing the width limit would reduce modification costs for heavy truck models by $21.375 m </w:t>
      </w:r>
      <w:r w:rsidR="00F460F0">
        <w:rPr>
          <w:lang w:val="en-US"/>
        </w:rPr>
        <w:t xml:space="preserve">per annum </w:t>
      </w:r>
      <w:r>
        <w:rPr>
          <w:lang w:val="en-US"/>
        </w:rPr>
        <w:t>for a 2.55 m limit</w:t>
      </w:r>
      <w:r w:rsidR="009576F6">
        <w:rPr>
          <w:lang w:val="en-US"/>
        </w:rPr>
        <w:t xml:space="preserve"> (Options 3.1a and 3.1b)</w:t>
      </w:r>
      <w:r w:rsidR="00A165C7">
        <w:rPr>
          <w:lang w:val="en-US"/>
        </w:rPr>
        <w:t>,</w:t>
      </w:r>
      <w:r>
        <w:rPr>
          <w:lang w:val="en-US"/>
        </w:rPr>
        <w:t xml:space="preserve"> and </w:t>
      </w:r>
      <w:r w:rsidR="00A165C7">
        <w:rPr>
          <w:lang w:val="en-US"/>
        </w:rPr>
        <w:t>$26.125 m per</w:t>
      </w:r>
      <w:r w:rsidR="00AE03CB">
        <w:rPr>
          <w:lang w:val="en-US"/>
        </w:rPr>
        <w:t xml:space="preserve"> </w:t>
      </w:r>
      <w:r w:rsidR="00F460F0">
        <w:rPr>
          <w:lang w:val="en-US"/>
        </w:rPr>
        <w:t xml:space="preserve">annum for a </w:t>
      </w:r>
      <w:r w:rsidR="00B9347B">
        <w:rPr>
          <w:lang w:val="en-US"/>
        </w:rPr>
        <w:t>2.60</w:t>
      </w:r>
      <w:r w:rsidR="00F460F0">
        <w:rPr>
          <w:lang w:val="en-US"/>
        </w:rPr>
        <w:t xml:space="preserve"> m limit</w:t>
      </w:r>
      <w:r w:rsidR="009576F6">
        <w:rPr>
          <w:lang w:val="en-US"/>
        </w:rPr>
        <w:t xml:space="preserve"> (Options 3.2a and 3.2b)</w:t>
      </w:r>
      <w:r w:rsidR="00F460F0">
        <w:rPr>
          <w:lang w:val="en-US"/>
        </w:rPr>
        <w:t>.</w:t>
      </w:r>
      <w:r w:rsidR="00443830">
        <w:rPr>
          <w:lang w:val="en-US"/>
        </w:rPr>
        <w:t xml:space="preserve"> </w:t>
      </w:r>
      <w:r w:rsidR="003940FC">
        <w:rPr>
          <w:lang w:val="en-US"/>
        </w:rPr>
        <w:t>As not all width related</w:t>
      </w:r>
      <w:r w:rsidR="00443830">
        <w:rPr>
          <w:lang w:val="en-US"/>
        </w:rPr>
        <w:t xml:space="preserve"> modifications </w:t>
      </w:r>
      <w:r w:rsidR="003940FC">
        <w:rPr>
          <w:lang w:val="en-US"/>
        </w:rPr>
        <w:t xml:space="preserve">for trucks </w:t>
      </w:r>
      <w:r w:rsidR="00443830">
        <w:rPr>
          <w:lang w:val="en-US"/>
        </w:rPr>
        <w:t xml:space="preserve">would cease immediately these cost savings were increased each year in proportion to the increase in </w:t>
      </w:r>
      <w:r w:rsidR="009576F6">
        <w:rPr>
          <w:lang w:val="en-US"/>
        </w:rPr>
        <w:t xml:space="preserve">the </w:t>
      </w:r>
      <w:r w:rsidR="00443830">
        <w:rPr>
          <w:lang w:val="en-US"/>
        </w:rPr>
        <w:t>take-up of wider trucks entering the fleet</w:t>
      </w:r>
      <w:r w:rsidR="00B205BB">
        <w:rPr>
          <w:lang w:val="en-US"/>
        </w:rPr>
        <w:t xml:space="preserve"> </w:t>
      </w:r>
      <w:r w:rsidR="0034594D">
        <w:rPr>
          <w:lang w:val="en-US"/>
        </w:rPr>
        <w:t>as a p</w:t>
      </w:r>
      <w:r w:rsidR="00665A36">
        <w:rPr>
          <w:lang w:val="en-US"/>
        </w:rPr>
        <w:t>ercentage</w:t>
      </w:r>
      <w:r w:rsidR="0034594D">
        <w:rPr>
          <w:lang w:val="en-US"/>
        </w:rPr>
        <w:t xml:space="preserve"> of all new truck sales </w:t>
      </w:r>
      <w:r w:rsidR="00B205BB">
        <w:rPr>
          <w:lang w:val="en-US"/>
        </w:rPr>
        <w:t>(</w:t>
      </w:r>
      <w:r w:rsidR="009830D8">
        <w:rPr>
          <w:lang w:val="en-US"/>
        </w:rPr>
        <w:t>i.e.</w:t>
      </w:r>
      <w:r w:rsidR="00C616F3">
        <w:rPr>
          <w:lang w:val="en-US"/>
        </w:rPr>
        <w:t xml:space="preserve"> </w:t>
      </w:r>
      <w:r w:rsidR="00B205BB">
        <w:rPr>
          <w:lang w:val="en-US"/>
        </w:rPr>
        <w:t>$</w:t>
      </w:r>
      <w:r w:rsidR="005127FB">
        <w:rPr>
          <w:lang w:val="en-US"/>
        </w:rPr>
        <w:t xml:space="preserve">213,750 for </w:t>
      </w:r>
      <w:r w:rsidR="009830D8">
        <w:rPr>
          <w:lang w:val="en-US"/>
        </w:rPr>
        <w:t>each</w:t>
      </w:r>
      <w:r w:rsidR="005127FB">
        <w:rPr>
          <w:lang w:val="en-US"/>
        </w:rPr>
        <w:t xml:space="preserve"> 1% </w:t>
      </w:r>
      <w:r w:rsidR="009830D8">
        <w:rPr>
          <w:lang w:val="en-US"/>
        </w:rPr>
        <w:t xml:space="preserve">take-up of 2.55 m wide trucks </w:t>
      </w:r>
      <w:r w:rsidR="006D34B1">
        <w:rPr>
          <w:lang w:val="en-US"/>
        </w:rPr>
        <w:t>each year</w:t>
      </w:r>
      <w:r w:rsidR="005127FB">
        <w:rPr>
          <w:lang w:val="en-US"/>
        </w:rPr>
        <w:t xml:space="preserve">, and $261,250 </w:t>
      </w:r>
      <w:r w:rsidR="00753F9D">
        <w:rPr>
          <w:lang w:val="en-US"/>
        </w:rPr>
        <w:t xml:space="preserve">for each 1% </w:t>
      </w:r>
      <w:r w:rsidR="009830D8">
        <w:rPr>
          <w:lang w:val="en-US"/>
        </w:rPr>
        <w:t>take-up of 2.60 m wide trucks each year</w:t>
      </w:r>
      <w:r w:rsidR="00753F9D">
        <w:rPr>
          <w:lang w:val="en-US"/>
        </w:rPr>
        <w:t>)</w:t>
      </w:r>
      <w:r w:rsidR="00443830">
        <w:rPr>
          <w:lang w:val="en-US"/>
        </w:rPr>
        <w:t>.</w:t>
      </w:r>
      <w:r w:rsidR="006A0795">
        <w:rPr>
          <w:lang w:val="en-US"/>
        </w:rPr>
        <w:t xml:space="preserve"> As these are savings they were modelled as negative costs.</w:t>
      </w:r>
      <w:r w:rsidR="00992F55">
        <w:rPr>
          <w:lang w:val="en-US"/>
        </w:rPr>
        <w:t xml:space="preserve"> </w:t>
      </w:r>
      <w:r w:rsidR="00D331A6">
        <w:rPr>
          <w:lang w:val="en-US"/>
        </w:rPr>
        <w:t xml:space="preserve">The difference in the reduction in modification costs for a 2.55 m and a 2.60 m width limit were chosen by the ARRB to </w:t>
      </w:r>
      <w:r w:rsidR="00665A36">
        <w:rPr>
          <w:lang w:val="en-US"/>
        </w:rPr>
        <w:t xml:space="preserve">account for </w:t>
      </w:r>
      <w:r w:rsidR="003A7899" w:rsidRPr="00004D82">
        <w:rPr>
          <w:lang w:val="en-US"/>
        </w:rPr>
        <w:t xml:space="preserve">around </w:t>
      </w:r>
      <w:r w:rsidR="00004D82" w:rsidRPr="00004D82">
        <w:rPr>
          <w:lang w:val="en-US"/>
        </w:rPr>
        <w:t xml:space="preserve">20-30% of heavy trucks </w:t>
      </w:r>
      <w:r w:rsidR="003E462C">
        <w:rPr>
          <w:lang w:val="en-US"/>
        </w:rPr>
        <w:t>continuing to be</w:t>
      </w:r>
      <w:r w:rsidR="00004D82" w:rsidRPr="00004D82">
        <w:rPr>
          <w:lang w:val="en-US"/>
        </w:rPr>
        <w:t xml:space="preserve"> sourced from or based on designs for the US market, where trucks up to 2.6 m wide are allowed. Some, but not all of these models, </w:t>
      </w:r>
      <w:r w:rsidR="009D0EE2">
        <w:rPr>
          <w:lang w:val="en-US"/>
        </w:rPr>
        <w:t>may</w:t>
      </w:r>
      <w:r w:rsidR="00004D82" w:rsidRPr="00004D82">
        <w:rPr>
          <w:lang w:val="en-US"/>
        </w:rPr>
        <w:t xml:space="preserve"> still require modifications to fit within a 2.55 m width limit, but these </w:t>
      </w:r>
      <w:r w:rsidR="00591360">
        <w:rPr>
          <w:lang w:val="en-US"/>
        </w:rPr>
        <w:t>sh</w:t>
      </w:r>
      <w:r w:rsidR="00004D82" w:rsidRPr="00004D82">
        <w:rPr>
          <w:lang w:val="en-US"/>
        </w:rPr>
        <w:t>ould be much reduced compared to the current 2.5 m limit.</w:t>
      </w:r>
    </w:p>
    <w:p w:rsidR="00A165C7" w:rsidRPr="00CC3596" w:rsidRDefault="0076081E" w:rsidP="00F64C22">
      <w:pPr>
        <w:keepLines/>
        <w:rPr>
          <w:lang w:val="en-US"/>
        </w:rPr>
      </w:pPr>
      <w:r>
        <w:rPr>
          <w:lang w:val="en-US"/>
        </w:rPr>
        <w:t xml:space="preserve">If the width limit were increased to either 2.55 m or </w:t>
      </w:r>
      <w:r w:rsidR="00B9347B">
        <w:rPr>
          <w:lang w:val="en-US"/>
        </w:rPr>
        <w:t>2.60</w:t>
      </w:r>
      <w:r>
        <w:rPr>
          <w:lang w:val="en-US"/>
        </w:rPr>
        <w:t xml:space="preserve"> m, </w:t>
      </w:r>
      <w:r w:rsidR="009576F6">
        <w:rPr>
          <w:lang w:val="en-US"/>
        </w:rPr>
        <w:t xml:space="preserve">many </w:t>
      </w:r>
      <w:r>
        <w:rPr>
          <w:lang w:val="en-US"/>
        </w:rPr>
        <w:t xml:space="preserve">domestic trailer manufacturers would likely decide to re-tool </w:t>
      </w:r>
      <w:r w:rsidR="0091594E">
        <w:rPr>
          <w:lang w:val="en-US"/>
        </w:rPr>
        <w:t xml:space="preserve">within </w:t>
      </w:r>
      <w:r w:rsidR="00E3797C">
        <w:rPr>
          <w:lang w:val="en-US"/>
        </w:rPr>
        <w:t xml:space="preserve">a shorter timeframe than </w:t>
      </w:r>
      <w:r w:rsidR="000F18E0">
        <w:rPr>
          <w:lang w:val="en-US"/>
        </w:rPr>
        <w:t xml:space="preserve">normal model/variant replacement cycles </w:t>
      </w:r>
      <w:r>
        <w:rPr>
          <w:lang w:val="en-US"/>
        </w:rPr>
        <w:t xml:space="preserve">to </w:t>
      </w:r>
      <w:r w:rsidR="00D9738E">
        <w:rPr>
          <w:lang w:val="en-US"/>
        </w:rPr>
        <w:t>meet market demand</w:t>
      </w:r>
      <w:r>
        <w:rPr>
          <w:lang w:val="en-US"/>
        </w:rPr>
        <w:t xml:space="preserve"> from heavy vehicle operators for wider trailers. The ARRB assumed based on an estimate from the HVIA that this would cost domestic trailer manu</w:t>
      </w:r>
      <w:r w:rsidR="001A3B39">
        <w:rPr>
          <w:lang w:val="en-US"/>
        </w:rPr>
        <w:t xml:space="preserve">facturers a total of $31 m for 2.55 m and $33 m for </w:t>
      </w:r>
      <w:r w:rsidR="00B9347B">
        <w:rPr>
          <w:lang w:val="en-US"/>
        </w:rPr>
        <w:t>2.60</w:t>
      </w:r>
      <w:r w:rsidR="001A3B39">
        <w:rPr>
          <w:lang w:val="en-US"/>
        </w:rPr>
        <w:t xml:space="preserve"> m</w:t>
      </w:r>
      <w:r>
        <w:rPr>
          <w:lang w:val="en-US"/>
        </w:rPr>
        <w:t>, which would then be spread over a 40-y</w:t>
      </w:r>
      <w:r w:rsidR="00D9738E">
        <w:rPr>
          <w:lang w:val="en-US"/>
        </w:rPr>
        <w:t>ear transition period. From this the ARRB estimated the cost for trailer manufacturers to re-tool to be $</w:t>
      </w:r>
      <w:r w:rsidR="005C5A6E">
        <w:rPr>
          <w:lang w:val="en-US"/>
        </w:rPr>
        <w:t>0.</w:t>
      </w:r>
      <w:r w:rsidR="00BC3DC9">
        <w:rPr>
          <w:lang w:val="en-US"/>
        </w:rPr>
        <w:t>698</w:t>
      </w:r>
      <w:r w:rsidR="005C5A6E">
        <w:rPr>
          <w:lang w:val="en-US"/>
        </w:rPr>
        <w:t xml:space="preserve"> m</w:t>
      </w:r>
      <w:r w:rsidR="00D9738E">
        <w:rPr>
          <w:lang w:val="en-US"/>
        </w:rPr>
        <w:t xml:space="preserve"> per annum</w:t>
      </w:r>
      <w:r w:rsidR="000852D1">
        <w:rPr>
          <w:lang w:val="en-US"/>
        </w:rPr>
        <w:t xml:space="preserve"> for each ye</w:t>
      </w:r>
      <w:r w:rsidR="001A3B39">
        <w:rPr>
          <w:lang w:val="en-US"/>
        </w:rPr>
        <w:t>ar of the analysis under Option</w:t>
      </w:r>
      <w:r w:rsidR="000852D1">
        <w:rPr>
          <w:lang w:val="en-US"/>
        </w:rPr>
        <w:t xml:space="preserve"> 3.1a and </w:t>
      </w:r>
      <w:r w:rsidR="001A3B39">
        <w:rPr>
          <w:lang w:val="en-US"/>
        </w:rPr>
        <w:t>$</w:t>
      </w:r>
      <w:r w:rsidR="005C5A6E">
        <w:rPr>
          <w:lang w:val="en-US"/>
        </w:rPr>
        <w:t>0.8</w:t>
      </w:r>
      <w:r w:rsidR="00125654">
        <w:rPr>
          <w:lang w:val="en-US"/>
        </w:rPr>
        <w:t>53</w:t>
      </w:r>
      <w:r w:rsidR="005C5A6E">
        <w:rPr>
          <w:lang w:val="en-US"/>
        </w:rPr>
        <w:t xml:space="preserve"> m</w:t>
      </w:r>
      <w:r w:rsidR="001A3B39">
        <w:rPr>
          <w:lang w:val="en-US"/>
        </w:rPr>
        <w:t xml:space="preserve"> per annum for each year of the analysis under Option </w:t>
      </w:r>
      <w:r w:rsidR="000852D1">
        <w:rPr>
          <w:lang w:val="en-US"/>
        </w:rPr>
        <w:t>3.2a.</w:t>
      </w:r>
      <w:r w:rsidR="001E6050">
        <w:rPr>
          <w:lang w:val="en-US"/>
        </w:rPr>
        <w:t xml:space="preserve"> For trailers</w:t>
      </w:r>
      <w:r w:rsidR="00D40216">
        <w:rPr>
          <w:lang w:val="en-US"/>
        </w:rPr>
        <w:t>,</w:t>
      </w:r>
      <w:r w:rsidR="001E6050">
        <w:rPr>
          <w:lang w:val="en-US"/>
        </w:rPr>
        <w:t xml:space="preserve"> </w:t>
      </w:r>
      <w:r w:rsidR="00D40216">
        <w:rPr>
          <w:lang w:val="en-US"/>
        </w:rPr>
        <w:t xml:space="preserve">the ARRB applied the same percentage variation in modifications costs between the 2.55 m and 2.6 m options for width, as </w:t>
      </w:r>
      <w:r w:rsidR="00D86806">
        <w:rPr>
          <w:lang w:val="en-US"/>
        </w:rPr>
        <w:t xml:space="preserve">was applied for </w:t>
      </w:r>
      <w:r w:rsidR="00D40216">
        <w:rPr>
          <w:lang w:val="en-US"/>
        </w:rPr>
        <w:t>trucks.</w:t>
      </w:r>
    </w:p>
    <w:p w:rsidR="00F84948" w:rsidRDefault="00F84948" w:rsidP="00F84948">
      <w:pPr>
        <w:pStyle w:val="Heading4"/>
      </w:pPr>
      <w:r>
        <w:t>Fitment</w:t>
      </w:r>
      <w:r w:rsidR="00422B9A">
        <w:t xml:space="preserve"> of safety </w:t>
      </w:r>
      <w:r w:rsidR="00793A1E">
        <w:t xml:space="preserve">systems or </w:t>
      </w:r>
      <w:r w:rsidR="00422B9A">
        <w:t>features</w:t>
      </w:r>
    </w:p>
    <w:p w:rsidR="000A1C98" w:rsidRDefault="000A1C98" w:rsidP="000A1C98">
      <w:r w:rsidRPr="00060498">
        <w:t xml:space="preserve">In the case of adding particular safety </w:t>
      </w:r>
      <w:r w:rsidR="00793A1E">
        <w:t xml:space="preserve">systems or </w:t>
      </w:r>
      <w:r w:rsidRPr="00060498">
        <w:t>features to vehicles, there will be an upfront cost (by the veh</w:t>
      </w:r>
      <w:r>
        <w:t xml:space="preserve">icle manufacturers) under Options 3.1a, 3.1b, 3.2a and 3.2b to fit safety </w:t>
      </w:r>
      <w:r w:rsidR="00793A1E">
        <w:t>systems/features</w:t>
      </w:r>
      <w:r>
        <w:t xml:space="preserve"> that would not otherwise </w:t>
      </w:r>
      <w:r w:rsidR="00091022">
        <w:t>have</w:t>
      </w:r>
      <w:r>
        <w:t xml:space="preserve"> been fitted under Option 2 (BAU).</w:t>
      </w:r>
    </w:p>
    <w:p w:rsidR="008A4932" w:rsidRPr="00060498" w:rsidRDefault="008A4932" w:rsidP="00C02289">
      <w:pPr>
        <w:keepLines/>
      </w:pPr>
      <w:r>
        <w:t xml:space="preserve">The </w:t>
      </w:r>
      <w:r w:rsidR="002A6ABD">
        <w:t xml:space="preserve">wholesale </w:t>
      </w:r>
      <w:r>
        <w:t>unit fitment costs used by the ARRB for each additional vehicle re</w:t>
      </w:r>
      <w:r w:rsidR="00E82218">
        <w:t xml:space="preserve">quired to be fitted with the applicable safety </w:t>
      </w:r>
      <w:r w:rsidR="0028375E">
        <w:t xml:space="preserve">systems or </w:t>
      </w:r>
      <w:r w:rsidR="00E82218">
        <w:t xml:space="preserve">features under Options 3.1a, 3.1b, 3.2a and 3.2b are </w:t>
      </w:r>
      <w:r w:rsidR="009720EB">
        <w:t>shown</w:t>
      </w:r>
      <w:r w:rsidR="00E82218">
        <w:t xml:space="preserve"> in </w:t>
      </w:r>
      <w:r w:rsidR="00E82218">
        <w:fldChar w:fldCharType="begin"/>
      </w:r>
      <w:r w:rsidR="00E82218">
        <w:instrText xml:space="preserve"> REF _Ref111202010 \h </w:instrText>
      </w:r>
      <w:r w:rsidR="00E82218">
        <w:fldChar w:fldCharType="separate"/>
      </w:r>
      <w:r w:rsidR="00534814" w:rsidRPr="002C1585">
        <w:t xml:space="preserve">Table </w:t>
      </w:r>
      <w:r w:rsidR="00534814">
        <w:rPr>
          <w:noProof/>
        </w:rPr>
        <w:t>9</w:t>
      </w:r>
      <w:r w:rsidR="00E82218">
        <w:fldChar w:fldCharType="end"/>
      </w:r>
      <w:r w:rsidR="00E82218">
        <w:t>.</w:t>
      </w:r>
      <w:r w:rsidR="002A6ABD">
        <w:t xml:space="preserve"> </w:t>
      </w:r>
      <w:r w:rsidR="002F6F94">
        <w:t>For each of these options, t</w:t>
      </w:r>
      <w:r w:rsidR="002A6ABD">
        <w:t>he</w:t>
      </w:r>
      <w:r w:rsidR="002F6F94">
        <w:t xml:space="preserve"> ARRB used these wholesale costs, </w:t>
      </w:r>
      <w:r w:rsidR="009E00FA">
        <w:t xml:space="preserve">together with market demand forecasts for fleet growth and the </w:t>
      </w:r>
      <w:r w:rsidR="000D32B5">
        <w:t xml:space="preserve">BAU </w:t>
      </w:r>
      <w:r w:rsidR="009E00FA">
        <w:t xml:space="preserve">take-up of </w:t>
      </w:r>
      <w:r w:rsidR="00A504C9">
        <w:t xml:space="preserve">each of the particular </w:t>
      </w:r>
      <w:r w:rsidR="009E00FA">
        <w:t>safety features (summarised above)</w:t>
      </w:r>
      <w:r w:rsidR="002F6F94">
        <w:t>,</w:t>
      </w:r>
      <w:r w:rsidR="009E00FA">
        <w:t xml:space="preserve"> to determine the overall increase in </w:t>
      </w:r>
      <w:r w:rsidR="00BA693D">
        <w:t>fitment</w:t>
      </w:r>
      <w:r w:rsidR="007C7524">
        <w:t xml:space="preserve"> for each year of regulation within the overall analysis period, </w:t>
      </w:r>
      <w:r w:rsidR="009E00FA">
        <w:t>relative to BAU.</w:t>
      </w:r>
    </w:p>
    <w:p w:rsidR="005B7FCC" w:rsidRPr="002C1585" w:rsidRDefault="005B7FCC" w:rsidP="005B7FCC">
      <w:pPr>
        <w:pStyle w:val="Caption"/>
      </w:pPr>
      <w:bookmarkStart w:id="64" w:name="_Ref111202010"/>
      <w:bookmarkStart w:id="65" w:name="_Toc135320134"/>
      <w:r w:rsidRPr="002C1585">
        <w:t xml:space="preserve">Table </w:t>
      </w:r>
      <w:fldSimple w:instr=" SEQ Table \* ARABIC ">
        <w:r w:rsidR="00534814">
          <w:rPr>
            <w:noProof/>
          </w:rPr>
          <w:t>9</w:t>
        </w:r>
      </w:fldSimple>
      <w:bookmarkEnd w:id="64"/>
      <w:r>
        <w:t xml:space="preserve">: Unit fitment costs for safety </w:t>
      </w:r>
      <w:r w:rsidR="003B6A5B">
        <w:t xml:space="preserve">systems or </w:t>
      </w:r>
      <w:r>
        <w:t>features</w:t>
      </w:r>
      <w:r w:rsidR="00822448">
        <w:t xml:space="preserve"> used in the analysis</w:t>
      </w:r>
      <w:bookmarkEnd w:id="65"/>
    </w:p>
    <w:tbl>
      <w:tblPr>
        <w:tblStyle w:val="TableGrid"/>
        <w:tblW w:w="0" w:type="auto"/>
        <w:tblLook w:val="04A0" w:firstRow="1" w:lastRow="0" w:firstColumn="1" w:lastColumn="0" w:noHBand="0" w:noVBand="1"/>
      </w:tblPr>
      <w:tblGrid>
        <w:gridCol w:w="3397"/>
        <w:gridCol w:w="3397"/>
        <w:gridCol w:w="1134"/>
      </w:tblGrid>
      <w:tr w:rsidR="00767B11" w:rsidTr="007041C3">
        <w:trPr>
          <w:trHeight w:val="284"/>
        </w:trPr>
        <w:tc>
          <w:tcPr>
            <w:tcW w:w="3397" w:type="dxa"/>
            <w:shd w:val="clear" w:color="auto" w:fill="081E3E" w:themeFill="text2"/>
          </w:tcPr>
          <w:p w:rsidR="00767B11" w:rsidRPr="005B7FCC" w:rsidRDefault="00767B11" w:rsidP="00767B11">
            <w:pPr>
              <w:rPr>
                <w:b/>
                <w:color w:val="FFFFFF" w:themeColor="background1"/>
                <w:lang w:val="en-US"/>
              </w:rPr>
            </w:pPr>
            <w:r>
              <w:rPr>
                <w:b/>
                <w:color w:val="FFFFFF" w:themeColor="background1"/>
                <w:lang w:val="en-US"/>
              </w:rPr>
              <w:t>Category</w:t>
            </w:r>
          </w:p>
        </w:tc>
        <w:tc>
          <w:tcPr>
            <w:tcW w:w="3397" w:type="dxa"/>
            <w:shd w:val="clear" w:color="auto" w:fill="081E3E" w:themeFill="text2"/>
          </w:tcPr>
          <w:p w:rsidR="00767B11" w:rsidRPr="005B7FCC" w:rsidRDefault="00767B11" w:rsidP="00F84948">
            <w:pPr>
              <w:rPr>
                <w:b/>
                <w:color w:val="FFFFFF" w:themeColor="background1"/>
                <w:lang w:val="en-US"/>
              </w:rPr>
            </w:pPr>
            <w:r w:rsidRPr="005B7FCC">
              <w:rPr>
                <w:b/>
                <w:color w:val="FFFFFF" w:themeColor="background1"/>
                <w:lang w:val="en-US"/>
              </w:rPr>
              <w:t xml:space="preserve">Safety </w:t>
            </w:r>
            <w:r w:rsidR="005F1C91">
              <w:rPr>
                <w:b/>
                <w:color w:val="FFFFFF" w:themeColor="background1"/>
                <w:lang w:val="en-US"/>
              </w:rPr>
              <w:t xml:space="preserve">system or </w:t>
            </w:r>
            <w:r w:rsidRPr="005B7FCC">
              <w:rPr>
                <w:b/>
                <w:color w:val="FFFFFF" w:themeColor="background1"/>
                <w:lang w:val="en-US"/>
              </w:rPr>
              <w:t>feature</w:t>
            </w:r>
          </w:p>
        </w:tc>
        <w:tc>
          <w:tcPr>
            <w:tcW w:w="1134" w:type="dxa"/>
            <w:shd w:val="clear" w:color="auto" w:fill="081E3E" w:themeFill="text2"/>
          </w:tcPr>
          <w:p w:rsidR="00767B11" w:rsidRPr="005B7FCC" w:rsidRDefault="00767B11" w:rsidP="00690EBC">
            <w:pPr>
              <w:jc w:val="center"/>
              <w:rPr>
                <w:b/>
                <w:color w:val="FFFFFF" w:themeColor="background1"/>
                <w:lang w:val="en-US"/>
              </w:rPr>
            </w:pPr>
            <w:r>
              <w:rPr>
                <w:b/>
                <w:color w:val="FFFFFF" w:themeColor="background1"/>
                <w:lang w:val="en-US"/>
              </w:rPr>
              <w:t>Unit c</w:t>
            </w:r>
            <w:r w:rsidRPr="005B7FCC">
              <w:rPr>
                <w:b/>
                <w:color w:val="FFFFFF" w:themeColor="background1"/>
                <w:lang w:val="en-US"/>
              </w:rPr>
              <w:t>ost</w:t>
            </w:r>
          </w:p>
        </w:tc>
      </w:tr>
      <w:tr w:rsidR="00767B11" w:rsidTr="007041C3">
        <w:trPr>
          <w:trHeight w:val="284"/>
        </w:trPr>
        <w:tc>
          <w:tcPr>
            <w:tcW w:w="3397" w:type="dxa"/>
            <w:vMerge w:val="restart"/>
          </w:tcPr>
          <w:p w:rsidR="00767B11" w:rsidRDefault="00767B11" w:rsidP="00767B11">
            <w:pPr>
              <w:rPr>
                <w:lang w:val="en-US"/>
              </w:rPr>
            </w:pPr>
            <w:r>
              <w:rPr>
                <w:lang w:val="en-US"/>
              </w:rPr>
              <w:t>Trucks (fleet average for sub-category NB2 and category NC)</w:t>
            </w:r>
          </w:p>
        </w:tc>
        <w:tc>
          <w:tcPr>
            <w:tcW w:w="3397" w:type="dxa"/>
          </w:tcPr>
          <w:p w:rsidR="00767B11" w:rsidRDefault="00767B11" w:rsidP="005B7FCC">
            <w:pPr>
              <w:rPr>
                <w:lang w:val="en-US"/>
              </w:rPr>
            </w:pPr>
            <w:r>
              <w:rPr>
                <w:lang w:val="en-US"/>
              </w:rPr>
              <w:t>Enhanced devices for indirect vision</w:t>
            </w:r>
          </w:p>
        </w:tc>
        <w:tc>
          <w:tcPr>
            <w:tcW w:w="1134" w:type="dxa"/>
          </w:tcPr>
          <w:p w:rsidR="00767B11" w:rsidRDefault="00767B11" w:rsidP="00690EBC">
            <w:pPr>
              <w:jc w:val="center"/>
              <w:rPr>
                <w:lang w:val="en-US"/>
              </w:rPr>
            </w:pPr>
            <w:r w:rsidRPr="00257C83">
              <w:t>$1</w:t>
            </w:r>
            <w:r>
              <w:t>,300</w:t>
            </w:r>
          </w:p>
        </w:tc>
      </w:tr>
      <w:tr w:rsidR="00767B11" w:rsidTr="007041C3">
        <w:trPr>
          <w:trHeight w:val="284"/>
        </w:trPr>
        <w:tc>
          <w:tcPr>
            <w:tcW w:w="3397" w:type="dxa"/>
            <w:vMerge/>
          </w:tcPr>
          <w:p w:rsidR="00767B11" w:rsidRDefault="00767B11" w:rsidP="005B7FCC">
            <w:pPr>
              <w:rPr>
                <w:lang w:val="en-US"/>
              </w:rPr>
            </w:pPr>
          </w:p>
        </w:tc>
        <w:tc>
          <w:tcPr>
            <w:tcW w:w="3397" w:type="dxa"/>
          </w:tcPr>
          <w:p w:rsidR="00767B11" w:rsidRDefault="00767B11" w:rsidP="005B7FCC">
            <w:pPr>
              <w:rPr>
                <w:lang w:val="en-US"/>
              </w:rPr>
            </w:pPr>
            <w:r>
              <w:rPr>
                <w:lang w:val="en-US"/>
              </w:rPr>
              <w:t>Electronic Stability Control</w:t>
            </w:r>
          </w:p>
        </w:tc>
        <w:tc>
          <w:tcPr>
            <w:tcW w:w="1134" w:type="dxa"/>
          </w:tcPr>
          <w:p w:rsidR="00767B11" w:rsidRDefault="00767B11" w:rsidP="00690EBC">
            <w:pPr>
              <w:jc w:val="center"/>
              <w:rPr>
                <w:lang w:val="en-US"/>
              </w:rPr>
            </w:pPr>
            <w:r>
              <w:t>$1,444</w:t>
            </w:r>
          </w:p>
        </w:tc>
      </w:tr>
      <w:tr w:rsidR="00767B11" w:rsidTr="007041C3">
        <w:trPr>
          <w:trHeight w:val="284"/>
        </w:trPr>
        <w:tc>
          <w:tcPr>
            <w:tcW w:w="3397" w:type="dxa"/>
            <w:vMerge/>
          </w:tcPr>
          <w:p w:rsidR="00767B11" w:rsidRDefault="00767B11" w:rsidP="005B7FCC">
            <w:pPr>
              <w:rPr>
                <w:lang w:val="en-US"/>
              </w:rPr>
            </w:pPr>
          </w:p>
        </w:tc>
        <w:tc>
          <w:tcPr>
            <w:tcW w:w="3397" w:type="dxa"/>
          </w:tcPr>
          <w:p w:rsidR="00767B11" w:rsidRDefault="00767B11" w:rsidP="005B7FCC">
            <w:pPr>
              <w:rPr>
                <w:lang w:val="en-US"/>
              </w:rPr>
            </w:pPr>
            <w:r>
              <w:rPr>
                <w:lang w:val="en-US"/>
              </w:rPr>
              <w:t>Advanced Emergency Braking</w:t>
            </w:r>
          </w:p>
        </w:tc>
        <w:tc>
          <w:tcPr>
            <w:tcW w:w="1134" w:type="dxa"/>
          </w:tcPr>
          <w:p w:rsidR="00767B11" w:rsidRDefault="00767B11" w:rsidP="00690EBC">
            <w:pPr>
              <w:jc w:val="center"/>
              <w:rPr>
                <w:lang w:val="en-US"/>
              </w:rPr>
            </w:pPr>
            <w:r w:rsidRPr="00257C83">
              <w:t>$1</w:t>
            </w:r>
            <w:r>
              <w:t>,804</w:t>
            </w:r>
          </w:p>
        </w:tc>
      </w:tr>
      <w:tr w:rsidR="00767B11" w:rsidTr="007041C3">
        <w:trPr>
          <w:trHeight w:val="284"/>
        </w:trPr>
        <w:tc>
          <w:tcPr>
            <w:tcW w:w="3397" w:type="dxa"/>
            <w:vMerge/>
          </w:tcPr>
          <w:p w:rsidR="00767B11" w:rsidRDefault="00767B11" w:rsidP="005B7FCC">
            <w:pPr>
              <w:rPr>
                <w:lang w:val="en-US"/>
              </w:rPr>
            </w:pPr>
          </w:p>
        </w:tc>
        <w:tc>
          <w:tcPr>
            <w:tcW w:w="3397" w:type="dxa"/>
          </w:tcPr>
          <w:p w:rsidR="00767B11" w:rsidRDefault="00767B11" w:rsidP="005B7FCC">
            <w:pPr>
              <w:rPr>
                <w:lang w:val="en-US"/>
              </w:rPr>
            </w:pPr>
            <w:r>
              <w:rPr>
                <w:lang w:val="en-US"/>
              </w:rPr>
              <w:t>Lane Departure Warning</w:t>
            </w:r>
          </w:p>
        </w:tc>
        <w:tc>
          <w:tcPr>
            <w:tcW w:w="1134" w:type="dxa"/>
          </w:tcPr>
          <w:p w:rsidR="00767B11" w:rsidRDefault="00767B11" w:rsidP="00690EBC">
            <w:pPr>
              <w:jc w:val="center"/>
              <w:rPr>
                <w:lang w:val="en-US"/>
              </w:rPr>
            </w:pPr>
            <w:r w:rsidRPr="00257C83">
              <w:t>$2</w:t>
            </w:r>
            <w:r>
              <w:t>,560</w:t>
            </w:r>
          </w:p>
        </w:tc>
      </w:tr>
      <w:tr w:rsidR="00767B11" w:rsidTr="007041C3">
        <w:trPr>
          <w:trHeight w:val="284"/>
        </w:trPr>
        <w:tc>
          <w:tcPr>
            <w:tcW w:w="3397" w:type="dxa"/>
            <w:vMerge/>
          </w:tcPr>
          <w:p w:rsidR="00767B11" w:rsidRDefault="00767B11" w:rsidP="005B7FCC">
            <w:pPr>
              <w:rPr>
                <w:lang w:val="en-US"/>
              </w:rPr>
            </w:pPr>
          </w:p>
        </w:tc>
        <w:tc>
          <w:tcPr>
            <w:tcW w:w="3397" w:type="dxa"/>
          </w:tcPr>
          <w:p w:rsidR="00767B11" w:rsidRDefault="00767B11" w:rsidP="005B7FCC">
            <w:pPr>
              <w:rPr>
                <w:lang w:val="en-US"/>
              </w:rPr>
            </w:pPr>
            <w:r>
              <w:rPr>
                <w:lang w:val="en-US"/>
              </w:rPr>
              <w:t>Blind Spot Information</w:t>
            </w:r>
          </w:p>
        </w:tc>
        <w:tc>
          <w:tcPr>
            <w:tcW w:w="1134" w:type="dxa"/>
          </w:tcPr>
          <w:p w:rsidR="00767B11" w:rsidRDefault="00767B11" w:rsidP="00690EBC">
            <w:pPr>
              <w:jc w:val="center"/>
              <w:rPr>
                <w:lang w:val="en-US"/>
              </w:rPr>
            </w:pPr>
            <w:r w:rsidRPr="00257C83">
              <w:t>$500</w:t>
            </w:r>
          </w:p>
        </w:tc>
      </w:tr>
      <w:tr w:rsidR="00767B11" w:rsidTr="007041C3">
        <w:trPr>
          <w:trHeight w:val="284"/>
        </w:trPr>
        <w:tc>
          <w:tcPr>
            <w:tcW w:w="3397" w:type="dxa"/>
            <w:vMerge/>
          </w:tcPr>
          <w:p w:rsidR="00767B11" w:rsidRDefault="00767B11" w:rsidP="005B7FCC">
            <w:pPr>
              <w:rPr>
                <w:lang w:val="en-US"/>
              </w:rPr>
            </w:pPr>
          </w:p>
        </w:tc>
        <w:tc>
          <w:tcPr>
            <w:tcW w:w="3397" w:type="dxa"/>
          </w:tcPr>
          <w:p w:rsidR="00767B11" w:rsidRDefault="00767B11" w:rsidP="005B7FCC">
            <w:pPr>
              <w:rPr>
                <w:lang w:val="en-US"/>
              </w:rPr>
            </w:pPr>
            <w:r>
              <w:rPr>
                <w:lang w:val="en-US"/>
              </w:rPr>
              <w:t xml:space="preserve">Side </w:t>
            </w:r>
            <w:r w:rsidR="00EB2934">
              <w:rPr>
                <w:lang w:val="en-US"/>
              </w:rPr>
              <w:t>u</w:t>
            </w:r>
            <w:r>
              <w:rPr>
                <w:lang w:val="en-US"/>
              </w:rPr>
              <w:t xml:space="preserve">nderrun </w:t>
            </w:r>
            <w:r w:rsidR="00EB2934">
              <w:rPr>
                <w:lang w:val="en-US"/>
              </w:rPr>
              <w:t>p</w:t>
            </w:r>
            <w:r>
              <w:rPr>
                <w:lang w:val="en-US"/>
              </w:rPr>
              <w:t>rotection</w:t>
            </w:r>
          </w:p>
        </w:tc>
        <w:tc>
          <w:tcPr>
            <w:tcW w:w="1134" w:type="dxa"/>
          </w:tcPr>
          <w:p w:rsidR="00767B11" w:rsidRDefault="00767B11" w:rsidP="00690EBC">
            <w:pPr>
              <w:jc w:val="center"/>
              <w:rPr>
                <w:lang w:val="en-US"/>
              </w:rPr>
            </w:pPr>
            <w:r w:rsidRPr="00257C83">
              <w:t>$</w:t>
            </w:r>
            <w:r w:rsidR="00D213F2">
              <w:t>1,000</w:t>
            </w:r>
          </w:p>
        </w:tc>
      </w:tr>
      <w:tr w:rsidR="00767B11" w:rsidTr="007041C3">
        <w:trPr>
          <w:trHeight w:val="284"/>
        </w:trPr>
        <w:tc>
          <w:tcPr>
            <w:tcW w:w="3397" w:type="dxa"/>
            <w:vMerge/>
          </w:tcPr>
          <w:p w:rsidR="00767B11" w:rsidRDefault="00767B11" w:rsidP="005B7FCC">
            <w:pPr>
              <w:rPr>
                <w:lang w:val="en-US"/>
              </w:rPr>
            </w:pPr>
          </w:p>
        </w:tc>
        <w:tc>
          <w:tcPr>
            <w:tcW w:w="3397" w:type="dxa"/>
          </w:tcPr>
          <w:p w:rsidR="00767B11" w:rsidRDefault="00767B11" w:rsidP="005B7FCC">
            <w:pPr>
              <w:rPr>
                <w:lang w:val="en-US"/>
              </w:rPr>
            </w:pPr>
            <w:r>
              <w:rPr>
                <w:lang w:val="en-US"/>
              </w:rPr>
              <w:t>Conspicuity markings</w:t>
            </w:r>
          </w:p>
        </w:tc>
        <w:tc>
          <w:tcPr>
            <w:tcW w:w="1134" w:type="dxa"/>
          </w:tcPr>
          <w:p w:rsidR="00767B11" w:rsidRDefault="00767B11" w:rsidP="00690EBC">
            <w:pPr>
              <w:jc w:val="center"/>
              <w:rPr>
                <w:lang w:val="en-US"/>
              </w:rPr>
            </w:pPr>
            <w:r w:rsidRPr="00257C83">
              <w:t>$700</w:t>
            </w:r>
          </w:p>
        </w:tc>
      </w:tr>
      <w:tr w:rsidR="00767B11" w:rsidTr="007041C3">
        <w:trPr>
          <w:trHeight w:val="284"/>
        </w:trPr>
        <w:tc>
          <w:tcPr>
            <w:tcW w:w="3397" w:type="dxa"/>
            <w:vMerge w:val="restart"/>
          </w:tcPr>
          <w:p w:rsidR="00767B11" w:rsidRDefault="00767B11" w:rsidP="00767B11">
            <w:pPr>
              <w:rPr>
                <w:lang w:val="en-US"/>
              </w:rPr>
            </w:pPr>
            <w:r>
              <w:rPr>
                <w:lang w:val="en-US"/>
              </w:rPr>
              <w:t>Trailers (fleet average for category TC over 4.5 tonnes GTM and category TD)</w:t>
            </w:r>
          </w:p>
        </w:tc>
        <w:tc>
          <w:tcPr>
            <w:tcW w:w="3397" w:type="dxa"/>
          </w:tcPr>
          <w:p w:rsidR="00767B11" w:rsidRDefault="00767B11" w:rsidP="00767B11">
            <w:pPr>
              <w:rPr>
                <w:lang w:val="en-US"/>
              </w:rPr>
            </w:pPr>
            <w:r>
              <w:rPr>
                <w:lang w:val="en-US"/>
              </w:rPr>
              <w:t xml:space="preserve">Side </w:t>
            </w:r>
            <w:r w:rsidR="00EB2934">
              <w:rPr>
                <w:lang w:val="en-US"/>
              </w:rPr>
              <w:t>u</w:t>
            </w:r>
            <w:r>
              <w:rPr>
                <w:lang w:val="en-US"/>
              </w:rPr>
              <w:t xml:space="preserve">nderrun </w:t>
            </w:r>
            <w:r w:rsidR="00EB2934">
              <w:rPr>
                <w:lang w:val="en-US"/>
              </w:rPr>
              <w:t>p</w:t>
            </w:r>
            <w:r>
              <w:rPr>
                <w:lang w:val="en-US"/>
              </w:rPr>
              <w:t>rotection</w:t>
            </w:r>
          </w:p>
        </w:tc>
        <w:tc>
          <w:tcPr>
            <w:tcW w:w="1134" w:type="dxa"/>
            <w:shd w:val="clear" w:color="auto" w:fill="auto"/>
          </w:tcPr>
          <w:p w:rsidR="00767B11" w:rsidRPr="00CA04BF" w:rsidRDefault="004C17A2" w:rsidP="00690EBC">
            <w:pPr>
              <w:jc w:val="center"/>
            </w:pPr>
            <w:r w:rsidRPr="00CA04BF">
              <w:t>$</w:t>
            </w:r>
            <w:r w:rsidR="00D213F2">
              <w:t>2,0</w:t>
            </w:r>
            <w:r w:rsidR="00767B11" w:rsidRPr="00CA04BF">
              <w:t>00</w:t>
            </w:r>
          </w:p>
        </w:tc>
      </w:tr>
      <w:tr w:rsidR="00767B11" w:rsidTr="007041C3">
        <w:trPr>
          <w:trHeight w:val="284"/>
        </w:trPr>
        <w:tc>
          <w:tcPr>
            <w:tcW w:w="3397" w:type="dxa"/>
            <w:vMerge/>
          </w:tcPr>
          <w:p w:rsidR="00767B11" w:rsidRDefault="00767B11" w:rsidP="00767B11">
            <w:pPr>
              <w:rPr>
                <w:lang w:val="en-US"/>
              </w:rPr>
            </w:pPr>
          </w:p>
        </w:tc>
        <w:tc>
          <w:tcPr>
            <w:tcW w:w="3397" w:type="dxa"/>
          </w:tcPr>
          <w:p w:rsidR="00767B11" w:rsidRDefault="00767B11" w:rsidP="00767B11">
            <w:pPr>
              <w:rPr>
                <w:lang w:val="en-US"/>
              </w:rPr>
            </w:pPr>
            <w:r>
              <w:rPr>
                <w:lang w:val="en-US"/>
              </w:rPr>
              <w:t>Conspicuity markings</w:t>
            </w:r>
          </w:p>
        </w:tc>
        <w:tc>
          <w:tcPr>
            <w:tcW w:w="1134" w:type="dxa"/>
          </w:tcPr>
          <w:p w:rsidR="00767B11" w:rsidRPr="00257C83" w:rsidRDefault="00767B11" w:rsidP="00690EBC">
            <w:pPr>
              <w:jc w:val="center"/>
            </w:pPr>
            <w:r>
              <w:t>$1</w:t>
            </w:r>
            <w:r w:rsidR="007746E4">
              <w:t>,</w:t>
            </w:r>
            <w:r>
              <w:t>0</w:t>
            </w:r>
            <w:r w:rsidRPr="00257C83">
              <w:t>00</w:t>
            </w:r>
          </w:p>
        </w:tc>
      </w:tr>
    </w:tbl>
    <w:p w:rsidR="009A0137" w:rsidRDefault="009A0137" w:rsidP="009A0137">
      <w:pPr>
        <w:pStyle w:val="Heading4"/>
      </w:pPr>
      <w:r>
        <w:t xml:space="preserve">Maintenance and repair of safety </w:t>
      </w:r>
      <w:r w:rsidR="003B6A5B">
        <w:t xml:space="preserve">systems or </w:t>
      </w:r>
      <w:r>
        <w:t>features</w:t>
      </w:r>
    </w:p>
    <w:p w:rsidR="00485573" w:rsidRDefault="00485573" w:rsidP="00F84948">
      <w:pPr>
        <w:pStyle w:val="Heading4"/>
        <w:rPr>
          <w:rFonts w:asciiTheme="minorHAnsi" w:eastAsiaTheme="minorHAnsi" w:hAnsiTheme="minorHAnsi" w:cstheme="minorBidi"/>
          <w:color w:val="000000" w:themeColor="text1"/>
          <w:sz w:val="20"/>
          <w:szCs w:val="20"/>
        </w:rPr>
      </w:pPr>
      <w:r w:rsidRPr="00485573">
        <w:rPr>
          <w:rFonts w:asciiTheme="minorHAnsi" w:eastAsiaTheme="minorHAnsi" w:hAnsiTheme="minorHAnsi" w:cstheme="minorBidi"/>
          <w:color w:val="000000" w:themeColor="text1"/>
          <w:sz w:val="20"/>
          <w:szCs w:val="20"/>
        </w:rPr>
        <w:t xml:space="preserve">Once safety </w:t>
      </w:r>
      <w:r w:rsidR="003B6A5B">
        <w:rPr>
          <w:rFonts w:asciiTheme="minorHAnsi" w:eastAsiaTheme="minorHAnsi" w:hAnsiTheme="minorHAnsi" w:cstheme="minorBidi"/>
          <w:color w:val="000000" w:themeColor="text1"/>
          <w:sz w:val="20"/>
          <w:szCs w:val="20"/>
        </w:rPr>
        <w:t xml:space="preserve">systems or </w:t>
      </w:r>
      <w:r w:rsidRPr="00485573">
        <w:rPr>
          <w:rFonts w:asciiTheme="minorHAnsi" w:eastAsiaTheme="minorHAnsi" w:hAnsiTheme="minorHAnsi" w:cstheme="minorBidi"/>
          <w:color w:val="000000" w:themeColor="text1"/>
          <w:sz w:val="20"/>
          <w:szCs w:val="20"/>
        </w:rPr>
        <w:t>features are fitte</w:t>
      </w:r>
      <w:r>
        <w:rPr>
          <w:rFonts w:asciiTheme="minorHAnsi" w:eastAsiaTheme="minorHAnsi" w:hAnsiTheme="minorHAnsi" w:cstheme="minorBidi"/>
          <w:color w:val="000000" w:themeColor="text1"/>
          <w:sz w:val="20"/>
          <w:szCs w:val="20"/>
        </w:rPr>
        <w:t>d to a heavy vehicle or trailer</w:t>
      </w:r>
      <w:r w:rsidRPr="00485573">
        <w:rPr>
          <w:rFonts w:asciiTheme="minorHAnsi" w:eastAsiaTheme="minorHAnsi" w:hAnsiTheme="minorHAnsi" w:cstheme="minorBidi"/>
          <w:color w:val="000000" w:themeColor="text1"/>
          <w:sz w:val="20"/>
          <w:szCs w:val="20"/>
        </w:rPr>
        <w:t xml:space="preserve">, there </w:t>
      </w:r>
      <w:r>
        <w:rPr>
          <w:rFonts w:asciiTheme="minorHAnsi" w:eastAsiaTheme="minorHAnsi" w:hAnsiTheme="minorHAnsi" w:cstheme="minorBidi"/>
          <w:color w:val="000000" w:themeColor="text1"/>
          <w:sz w:val="20"/>
          <w:szCs w:val="20"/>
        </w:rPr>
        <w:t xml:space="preserve">can be </w:t>
      </w:r>
      <w:r w:rsidRPr="00485573">
        <w:rPr>
          <w:rFonts w:asciiTheme="minorHAnsi" w:eastAsiaTheme="minorHAnsi" w:hAnsiTheme="minorHAnsi" w:cstheme="minorBidi"/>
          <w:color w:val="000000" w:themeColor="text1"/>
          <w:sz w:val="20"/>
          <w:szCs w:val="20"/>
        </w:rPr>
        <w:t>additional cost</w:t>
      </w:r>
      <w:r w:rsidR="00A93EBD">
        <w:rPr>
          <w:rFonts w:asciiTheme="minorHAnsi" w:eastAsiaTheme="minorHAnsi" w:hAnsiTheme="minorHAnsi" w:cstheme="minorBidi"/>
          <w:color w:val="000000" w:themeColor="text1"/>
          <w:sz w:val="20"/>
          <w:szCs w:val="20"/>
        </w:rPr>
        <w:t>s</w:t>
      </w:r>
      <w:r w:rsidRPr="00485573">
        <w:rPr>
          <w:rFonts w:asciiTheme="minorHAnsi" w:eastAsiaTheme="minorHAnsi" w:hAnsiTheme="minorHAnsi" w:cstheme="minorBidi"/>
          <w:color w:val="000000" w:themeColor="text1"/>
          <w:sz w:val="20"/>
          <w:szCs w:val="20"/>
        </w:rPr>
        <w:t xml:space="preserve"> associated with maintenance</w:t>
      </w:r>
      <w:r w:rsidR="00A93EBD">
        <w:rPr>
          <w:rFonts w:asciiTheme="minorHAnsi" w:eastAsiaTheme="minorHAnsi" w:hAnsiTheme="minorHAnsi" w:cstheme="minorBidi"/>
          <w:color w:val="000000" w:themeColor="text1"/>
          <w:sz w:val="20"/>
          <w:szCs w:val="20"/>
        </w:rPr>
        <w:t>,</w:t>
      </w:r>
      <w:r w:rsidRPr="00485573">
        <w:rPr>
          <w:rFonts w:asciiTheme="minorHAnsi" w:eastAsiaTheme="minorHAnsi" w:hAnsiTheme="minorHAnsi" w:cstheme="minorBidi"/>
          <w:color w:val="000000" w:themeColor="text1"/>
          <w:sz w:val="20"/>
          <w:szCs w:val="20"/>
        </w:rPr>
        <w:t xml:space="preserve"> such as replac</w:t>
      </w:r>
      <w:r w:rsidR="00012ABC">
        <w:rPr>
          <w:rFonts w:asciiTheme="minorHAnsi" w:eastAsiaTheme="minorHAnsi" w:hAnsiTheme="minorHAnsi" w:cstheme="minorBidi"/>
          <w:color w:val="000000" w:themeColor="text1"/>
          <w:sz w:val="20"/>
          <w:szCs w:val="20"/>
        </w:rPr>
        <w:t>ement and repairs to ensure these</w:t>
      </w:r>
      <w:r w:rsidRPr="00485573">
        <w:rPr>
          <w:rFonts w:asciiTheme="minorHAnsi" w:eastAsiaTheme="minorHAnsi" w:hAnsiTheme="minorHAnsi" w:cstheme="minorBidi"/>
          <w:color w:val="000000" w:themeColor="text1"/>
          <w:sz w:val="20"/>
          <w:szCs w:val="20"/>
        </w:rPr>
        <w:t xml:space="preserve"> </w:t>
      </w:r>
      <w:r>
        <w:rPr>
          <w:rFonts w:asciiTheme="minorHAnsi" w:eastAsiaTheme="minorHAnsi" w:hAnsiTheme="minorHAnsi" w:cstheme="minorBidi"/>
          <w:color w:val="000000" w:themeColor="text1"/>
          <w:sz w:val="20"/>
          <w:szCs w:val="20"/>
        </w:rPr>
        <w:t>continue to operate as intend</w:t>
      </w:r>
      <w:r w:rsidRPr="00485573">
        <w:rPr>
          <w:rFonts w:asciiTheme="minorHAnsi" w:eastAsiaTheme="minorHAnsi" w:hAnsiTheme="minorHAnsi" w:cstheme="minorBidi"/>
          <w:color w:val="000000" w:themeColor="text1"/>
          <w:sz w:val="20"/>
          <w:szCs w:val="20"/>
        </w:rPr>
        <w:t xml:space="preserve">ed. The </w:t>
      </w:r>
      <w:r>
        <w:rPr>
          <w:rFonts w:asciiTheme="minorHAnsi" w:eastAsiaTheme="minorHAnsi" w:hAnsiTheme="minorHAnsi" w:cstheme="minorBidi"/>
          <w:color w:val="000000" w:themeColor="text1"/>
          <w:sz w:val="20"/>
          <w:szCs w:val="20"/>
        </w:rPr>
        <w:t>ARRB assumed maintenance and repair cost</w:t>
      </w:r>
      <w:r w:rsidR="00012ABC">
        <w:rPr>
          <w:rFonts w:asciiTheme="minorHAnsi" w:eastAsiaTheme="minorHAnsi" w:hAnsiTheme="minorHAnsi" w:cstheme="minorBidi"/>
          <w:color w:val="000000" w:themeColor="text1"/>
          <w:sz w:val="20"/>
          <w:szCs w:val="20"/>
        </w:rPr>
        <w:t>s</w:t>
      </w:r>
      <w:r>
        <w:rPr>
          <w:rFonts w:asciiTheme="minorHAnsi" w:eastAsiaTheme="minorHAnsi" w:hAnsiTheme="minorHAnsi" w:cstheme="minorBidi"/>
          <w:color w:val="000000" w:themeColor="text1"/>
          <w:sz w:val="20"/>
          <w:szCs w:val="20"/>
        </w:rPr>
        <w:t xml:space="preserve"> would be incurred</w:t>
      </w:r>
      <w:r w:rsidRPr="00485573">
        <w:rPr>
          <w:rFonts w:asciiTheme="minorHAnsi" w:eastAsiaTheme="minorHAnsi" w:hAnsiTheme="minorHAnsi" w:cstheme="minorBidi"/>
          <w:color w:val="000000" w:themeColor="text1"/>
          <w:sz w:val="20"/>
          <w:szCs w:val="20"/>
        </w:rPr>
        <w:t xml:space="preserve"> </w:t>
      </w:r>
      <w:r w:rsidR="00006DA4">
        <w:rPr>
          <w:rFonts w:asciiTheme="minorHAnsi" w:eastAsiaTheme="minorHAnsi" w:hAnsiTheme="minorHAnsi" w:cstheme="minorBidi"/>
          <w:color w:val="000000" w:themeColor="text1"/>
          <w:sz w:val="20"/>
          <w:szCs w:val="20"/>
        </w:rPr>
        <w:t>at a rate of 1</w:t>
      </w:r>
      <w:r w:rsidR="00C72DAA">
        <w:rPr>
          <w:rFonts w:asciiTheme="minorHAnsi" w:eastAsiaTheme="minorHAnsi" w:hAnsiTheme="minorHAnsi" w:cstheme="minorBidi"/>
          <w:color w:val="000000" w:themeColor="text1"/>
          <w:sz w:val="20"/>
          <w:szCs w:val="20"/>
        </w:rPr>
        <w:t>%</w:t>
      </w:r>
      <w:r w:rsidRPr="00485573">
        <w:rPr>
          <w:rFonts w:asciiTheme="minorHAnsi" w:eastAsiaTheme="minorHAnsi" w:hAnsiTheme="minorHAnsi" w:cstheme="minorBidi"/>
          <w:color w:val="000000" w:themeColor="text1"/>
          <w:sz w:val="20"/>
          <w:szCs w:val="20"/>
        </w:rPr>
        <w:t xml:space="preserve"> of </w:t>
      </w:r>
      <w:r w:rsidR="00012ABC">
        <w:rPr>
          <w:rFonts w:asciiTheme="minorHAnsi" w:eastAsiaTheme="minorHAnsi" w:hAnsiTheme="minorHAnsi" w:cstheme="minorBidi"/>
          <w:color w:val="000000" w:themeColor="text1"/>
          <w:sz w:val="20"/>
          <w:szCs w:val="20"/>
        </w:rPr>
        <w:t xml:space="preserve">the </w:t>
      </w:r>
      <w:r w:rsidRPr="00485573">
        <w:rPr>
          <w:rFonts w:asciiTheme="minorHAnsi" w:eastAsiaTheme="minorHAnsi" w:hAnsiTheme="minorHAnsi" w:cstheme="minorBidi"/>
          <w:color w:val="000000" w:themeColor="text1"/>
          <w:sz w:val="20"/>
          <w:szCs w:val="20"/>
        </w:rPr>
        <w:t>initial fitment cost</w:t>
      </w:r>
      <w:r w:rsidR="00012ABC">
        <w:rPr>
          <w:rFonts w:asciiTheme="minorHAnsi" w:eastAsiaTheme="minorHAnsi" w:hAnsiTheme="minorHAnsi" w:cstheme="minorBidi"/>
          <w:color w:val="000000" w:themeColor="text1"/>
          <w:sz w:val="20"/>
          <w:szCs w:val="20"/>
        </w:rPr>
        <w:t>,</w:t>
      </w:r>
      <w:r>
        <w:rPr>
          <w:rFonts w:asciiTheme="minorHAnsi" w:eastAsiaTheme="minorHAnsi" w:hAnsiTheme="minorHAnsi" w:cstheme="minorBidi"/>
          <w:color w:val="000000" w:themeColor="text1"/>
          <w:sz w:val="20"/>
          <w:szCs w:val="20"/>
        </w:rPr>
        <w:t xml:space="preserve"> </w:t>
      </w:r>
      <w:r w:rsidRPr="00485573">
        <w:rPr>
          <w:rFonts w:asciiTheme="minorHAnsi" w:eastAsiaTheme="minorHAnsi" w:hAnsiTheme="minorHAnsi" w:cstheme="minorBidi"/>
          <w:color w:val="000000" w:themeColor="text1"/>
          <w:sz w:val="20"/>
          <w:szCs w:val="20"/>
        </w:rPr>
        <w:t xml:space="preserve">for each year of </w:t>
      </w:r>
      <w:r>
        <w:rPr>
          <w:rFonts w:asciiTheme="minorHAnsi" w:eastAsiaTheme="minorHAnsi" w:hAnsiTheme="minorHAnsi" w:cstheme="minorBidi"/>
          <w:color w:val="000000" w:themeColor="text1"/>
          <w:sz w:val="20"/>
          <w:szCs w:val="20"/>
        </w:rPr>
        <w:t xml:space="preserve">vehicle service life in </w:t>
      </w:r>
      <w:r w:rsidRPr="00485573">
        <w:rPr>
          <w:rFonts w:asciiTheme="minorHAnsi" w:eastAsiaTheme="minorHAnsi" w:hAnsiTheme="minorHAnsi" w:cstheme="minorBidi"/>
          <w:color w:val="000000" w:themeColor="text1"/>
          <w:sz w:val="20"/>
          <w:szCs w:val="20"/>
        </w:rPr>
        <w:t>the analysis under Options 3.1a</w:t>
      </w:r>
      <w:r>
        <w:rPr>
          <w:rFonts w:asciiTheme="minorHAnsi" w:eastAsiaTheme="minorHAnsi" w:hAnsiTheme="minorHAnsi" w:cstheme="minorBidi"/>
          <w:color w:val="000000" w:themeColor="text1"/>
          <w:sz w:val="20"/>
          <w:szCs w:val="20"/>
        </w:rPr>
        <w:t>, 3.1b, 3.2a</w:t>
      </w:r>
      <w:r w:rsidRPr="00485573">
        <w:rPr>
          <w:rFonts w:asciiTheme="minorHAnsi" w:eastAsiaTheme="minorHAnsi" w:hAnsiTheme="minorHAnsi" w:cstheme="minorBidi"/>
          <w:color w:val="000000" w:themeColor="text1"/>
          <w:sz w:val="20"/>
          <w:szCs w:val="20"/>
        </w:rPr>
        <w:t xml:space="preserve"> and 3.2</w:t>
      </w:r>
      <w:r>
        <w:rPr>
          <w:rFonts w:asciiTheme="minorHAnsi" w:eastAsiaTheme="minorHAnsi" w:hAnsiTheme="minorHAnsi" w:cstheme="minorBidi"/>
          <w:color w:val="000000" w:themeColor="text1"/>
          <w:sz w:val="20"/>
          <w:szCs w:val="20"/>
        </w:rPr>
        <w:t>b</w:t>
      </w:r>
      <w:r w:rsidRPr="00485573">
        <w:rPr>
          <w:rFonts w:asciiTheme="minorHAnsi" w:eastAsiaTheme="minorHAnsi" w:hAnsiTheme="minorHAnsi" w:cstheme="minorBidi"/>
          <w:color w:val="000000" w:themeColor="text1"/>
          <w:sz w:val="20"/>
          <w:szCs w:val="20"/>
        </w:rPr>
        <w:t>.</w:t>
      </w:r>
    </w:p>
    <w:p w:rsidR="00F84948" w:rsidRDefault="00F84948" w:rsidP="00F84948">
      <w:pPr>
        <w:pStyle w:val="Heading4"/>
      </w:pPr>
      <w:r>
        <w:t xml:space="preserve">Infrastructure </w:t>
      </w:r>
      <w:r w:rsidR="00422B9A">
        <w:t>u</w:t>
      </w:r>
      <w:r>
        <w:t>pdates</w:t>
      </w:r>
    </w:p>
    <w:p w:rsidR="00442FC7" w:rsidRDefault="003B1B00" w:rsidP="00442FC7">
      <w:r>
        <w:rPr>
          <w:lang w:val="en-US"/>
        </w:rPr>
        <w:t xml:space="preserve">It is possible that some roads would need to be made wider to maintain </w:t>
      </w:r>
      <w:r w:rsidR="001047DD">
        <w:rPr>
          <w:lang w:val="en-US"/>
        </w:rPr>
        <w:t xml:space="preserve">existing </w:t>
      </w:r>
      <w:r>
        <w:rPr>
          <w:lang w:val="en-US"/>
        </w:rPr>
        <w:t xml:space="preserve">safety margins for </w:t>
      </w:r>
      <w:r w:rsidR="003204BB">
        <w:rPr>
          <w:lang w:val="en-US"/>
        </w:rPr>
        <w:t xml:space="preserve">use by </w:t>
      </w:r>
      <w:r>
        <w:rPr>
          <w:lang w:val="en-US"/>
        </w:rPr>
        <w:t>wider freight vehicles</w:t>
      </w:r>
      <w:r w:rsidR="00824610">
        <w:rPr>
          <w:lang w:val="en-US"/>
        </w:rPr>
        <w:t xml:space="preserve"> (i.e. maintain clearance between trucks and other vehicles, and between trucks and roadside infrastructure)</w:t>
      </w:r>
      <w:r>
        <w:rPr>
          <w:lang w:val="en-US"/>
        </w:rPr>
        <w:t xml:space="preserve">. However, the ARRB considered that this would only be an issue for roads with </w:t>
      </w:r>
      <w:r w:rsidR="00442FC7">
        <w:rPr>
          <w:lang w:val="en-US"/>
        </w:rPr>
        <w:t xml:space="preserve">lane widths </w:t>
      </w:r>
      <w:r w:rsidR="00442FC7" w:rsidRPr="00F26B85">
        <w:t>well below the recommended 3.5</w:t>
      </w:r>
      <w:r w:rsidR="00B436FD">
        <w:t> </w:t>
      </w:r>
      <w:r w:rsidR="00442FC7" w:rsidRPr="00F26B85">
        <w:t>m lane widths in Australia</w:t>
      </w:r>
      <w:r w:rsidR="00442FC7">
        <w:t xml:space="preserve">, which are also less likely to be significant freight routes. Further, ARRB considered that </w:t>
      </w:r>
      <w:r w:rsidR="00442FC7" w:rsidRPr="00F26B85">
        <w:t>any issues arising from wider vehicles on specific routes would be managed by</w:t>
      </w:r>
      <w:r w:rsidR="003204BB">
        <w:t xml:space="preserve"> local</w:t>
      </w:r>
      <w:r w:rsidR="00442FC7" w:rsidRPr="00F26B85">
        <w:t xml:space="preserve"> road managers </w:t>
      </w:r>
      <w:r w:rsidR="00442FC7">
        <w:t>through means such as r</w:t>
      </w:r>
      <w:r w:rsidR="00442FC7" w:rsidRPr="00F26B85">
        <w:t>estricting access</w:t>
      </w:r>
      <w:r w:rsidR="00442FC7">
        <w:t xml:space="preserve"> for wider vehicles</w:t>
      </w:r>
      <w:r w:rsidR="00442FC7" w:rsidRPr="00F26B85">
        <w:t>; or</w:t>
      </w:r>
      <w:r w:rsidR="00442FC7">
        <w:t xml:space="preserve"> r</w:t>
      </w:r>
      <w:r w:rsidR="00442FC7" w:rsidRPr="00F26B85">
        <w:t>epainting line markings (where room is available in shoulders or painted out traffic islands).</w:t>
      </w:r>
    </w:p>
    <w:p w:rsidR="004549C2" w:rsidRDefault="00B87B09" w:rsidP="00F64C22">
      <w:pPr>
        <w:keepLines/>
      </w:pPr>
      <w:r>
        <w:rPr>
          <w:lang w:val="en-US"/>
        </w:rPr>
        <w:t xml:space="preserve">Increasing the maximum width limit for heavy trucks and trailers could </w:t>
      </w:r>
      <w:r w:rsidR="002A6769">
        <w:rPr>
          <w:lang w:val="en-US"/>
        </w:rPr>
        <w:t>also add infrastructure costs</w:t>
      </w:r>
      <w:r w:rsidR="00442FC7">
        <w:rPr>
          <w:lang w:val="en-US"/>
        </w:rPr>
        <w:t xml:space="preserve"> through </w:t>
      </w:r>
      <w:r>
        <w:rPr>
          <w:lang w:val="en-US"/>
        </w:rPr>
        <w:t>increase</w:t>
      </w:r>
      <w:r w:rsidR="00442FC7">
        <w:rPr>
          <w:lang w:val="en-US"/>
        </w:rPr>
        <w:t>d</w:t>
      </w:r>
      <w:r>
        <w:rPr>
          <w:lang w:val="en-US"/>
        </w:rPr>
        <w:t xml:space="preserve"> </w:t>
      </w:r>
      <w:r w:rsidR="003B1B00">
        <w:rPr>
          <w:lang w:val="en-US"/>
        </w:rPr>
        <w:t>road</w:t>
      </w:r>
      <w:r>
        <w:rPr>
          <w:lang w:val="en-US"/>
        </w:rPr>
        <w:t xml:space="preserve"> wear and/or </w:t>
      </w:r>
      <w:r w:rsidR="006126DF">
        <w:rPr>
          <w:lang w:val="en-US"/>
        </w:rPr>
        <w:t xml:space="preserve">increased </w:t>
      </w:r>
      <w:r>
        <w:rPr>
          <w:lang w:val="en-US"/>
        </w:rPr>
        <w:t>collisions between heavy vehicles and roadside infrastructure.</w:t>
      </w:r>
      <w:r w:rsidR="00442FC7">
        <w:rPr>
          <w:lang w:val="en-US"/>
        </w:rPr>
        <w:t xml:space="preserve"> However, </w:t>
      </w:r>
      <w:r w:rsidR="003204BB">
        <w:rPr>
          <w:lang w:val="en-US"/>
        </w:rPr>
        <w:t>t</w:t>
      </w:r>
      <w:r w:rsidR="003B1B00">
        <w:rPr>
          <w:lang w:val="en-US"/>
        </w:rPr>
        <w:t xml:space="preserve">he ARRB considered that a 50-100 mm increase in vehicle width </w:t>
      </w:r>
      <w:r w:rsidR="00E005A2">
        <w:rPr>
          <w:lang w:val="en-US"/>
        </w:rPr>
        <w:t xml:space="preserve">would </w:t>
      </w:r>
      <w:r w:rsidR="00E005A2">
        <w:t>have no significant effect on pavement performance unless the payload and gross mass of the vehicle were dramatically increased (which is not part of this proposal).</w:t>
      </w:r>
      <w:r w:rsidR="002A6769">
        <w:t xml:space="preserve"> </w:t>
      </w:r>
      <w:r w:rsidR="003204BB">
        <w:t>W</w:t>
      </w:r>
      <w:r w:rsidR="002A6769">
        <w:t xml:space="preserve">ider vehicles would have less scope to wander within a lane than narrower vehicles, which would over time lead to a narrower lateral distribution of tyre loadings within lanes. </w:t>
      </w:r>
      <w:r w:rsidR="003204BB">
        <w:t xml:space="preserve">In relation to this ARRB noted that large scale narrowing of the loading distribution (e.g., narrowing of the distribution edge-to-edge of the order of 500 mm) is known to increase pavement deterioration, but considered </w:t>
      </w:r>
      <w:r w:rsidR="00861252">
        <w:t>a</w:t>
      </w:r>
      <w:r w:rsidR="003204BB">
        <w:t xml:space="preserve"> narrowing in the distribution of tyre loadings due to a 50-100 mm increase in vehicle width would be an ord</w:t>
      </w:r>
      <w:r w:rsidR="006126DF">
        <w:t xml:space="preserve">er of magnitude less than this. </w:t>
      </w:r>
      <w:r w:rsidR="00E71B86">
        <w:t>Similarly, ARRB considered th</w:t>
      </w:r>
      <w:r w:rsidR="00174BF2">
        <w:t>e</w:t>
      </w:r>
      <w:r w:rsidR="00E71B86">
        <w:t xml:space="preserve"> likelihood of wider vehicles colliding with roadside infrastructure would be low, </w:t>
      </w:r>
      <w:r w:rsidR="00BB3464">
        <w:t>but would present a cost. This</w:t>
      </w:r>
      <w:r w:rsidR="00E71B86">
        <w:t xml:space="preserve"> could partly be managed by </w:t>
      </w:r>
      <w:r w:rsidR="00992268">
        <w:t xml:space="preserve">local </w:t>
      </w:r>
      <w:r w:rsidR="00E71B86">
        <w:t xml:space="preserve">road managers restricting access to wider vehicles where there are obvious risks (e.g. power poles at </w:t>
      </w:r>
      <w:r w:rsidR="00BB3464">
        <w:t xml:space="preserve">the </w:t>
      </w:r>
      <w:r w:rsidR="00E71B86">
        <w:t>immediate roadside)</w:t>
      </w:r>
      <w:r w:rsidR="001047DD">
        <w:t xml:space="preserve"> and upgrades at some intersections</w:t>
      </w:r>
      <w:r w:rsidR="00E71B86">
        <w:t>.</w:t>
      </w:r>
    </w:p>
    <w:p w:rsidR="00E71B86" w:rsidRDefault="00992268" w:rsidP="00F84948">
      <w:pPr>
        <w:rPr>
          <w:lang w:val="en-US"/>
        </w:rPr>
      </w:pPr>
      <w:r>
        <w:t>T</w:t>
      </w:r>
      <w:r w:rsidR="00905563">
        <w:t xml:space="preserve">o account </w:t>
      </w:r>
      <w:r>
        <w:t>for infrastructure update costs</w:t>
      </w:r>
      <w:r w:rsidR="00861252">
        <w:t xml:space="preserve"> for wider freight vehicles</w:t>
      </w:r>
      <w:r>
        <w:t xml:space="preserve">, including actions by local road managers to restrict access for wider vehicles on specific routes and upgrades at </w:t>
      </w:r>
      <w:r w:rsidR="004448A9">
        <w:t>some</w:t>
      </w:r>
      <w:r>
        <w:t xml:space="preserve"> intersections, the ARRB added </w:t>
      </w:r>
      <w:r w:rsidR="00F9302F">
        <w:t>an annual infrastructure update cost</w:t>
      </w:r>
      <w:r>
        <w:t xml:space="preserve"> of $10 per wider heavy freight vehicle entering the network under o</w:t>
      </w:r>
      <w:r w:rsidR="001B1236">
        <w:t>ptions 3.1a, 3.1b, 3.2a and 3.2b</w:t>
      </w:r>
      <w:r>
        <w:t>.</w:t>
      </w:r>
    </w:p>
    <w:p w:rsidR="00422B9A" w:rsidRPr="0084287E" w:rsidRDefault="00422B9A" w:rsidP="00F64C22">
      <w:pPr>
        <w:pStyle w:val="Heading3"/>
        <w:rPr>
          <w:lang w:val="en-AU"/>
        </w:rPr>
      </w:pPr>
      <w:bookmarkStart w:id="66" w:name="_Toc138065703"/>
      <w:r>
        <w:rPr>
          <w:lang w:val="en-AU"/>
        </w:rPr>
        <w:t>Benefit-c</w:t>
      </w:r>
      <w:r w:rsidRPr="0084287E">
        <w:rPr>
          <w:lang w:val="en-AU"/>
        </w:rPr>
        <w:t>ost</w:t>
      </w:r>
      <w:r>
        <w:rPr>
          <w:lang w:val="en-AU"/>
        </w:rPr>
        <w:t xml:space="preserve"> analysis results</w:t>
      </w:r>
      <w:bookmarkEnd w:id="66"/>
    </w:p>
    <w:p w:rsidR="00923E06" w:rsidRDefault="00923E06" w:rsidP="002C1585">
      <w:r w:rsidRPr="00923E06">
        <w:t xml:space="preserve">A summary of the results </w:t>
      </w:r>
      <w:r w:rsidR="00AB2FDD">
        <w:t xml:space="preserve">of the BCA by the ARRB </w:t>
      </w:r>
      <w:r w:rsidRPr="00923E06">
        <w:t xml:space="preserve">is provided </w:t>
      </w:r>
      <w:r w:rsidR="00682405">
        <w:t xml:space="preserve">in </w:t>
      </w:r>
      <w:r w:rsidR="002C1585">
        <w:fldChar w:fldCharType="begin"/>
      </w:r>
      <w:r w:rsidR="002C1585">
        <w:instrText xml:space="preserve"> REF _Ref111038814 \h </w:instrText>
      </w:r>
      <w:r w:rsidR="002C1585">
        <w:fldChar w:fldCharType="separate"/>
      </w:r>
      <w:r w:rsidR="00534814" w:rsidRPr="002C1585">
        <w:t xml:space="preserve">Table </w:t>
      </w:r>
      <w:r w:rsidR="00534814">
        <w:rPr>
          <w:noProof/>
        </w:rPr>
        <w:t>10</w:t>
      </w:r>
      <w:r w:rsidR="002C1585">
        <w:fldChar w:fldCharType="end"/>
      </w:r>
      <w:r w:rsidR="002C1585">
        <w:t xml:space="preserve"> </w:t>
      </w:r>
      <w:r w:rsidR="00682405">
        <w:t>below</w:t>
      </w:r>
      <w:r w:rsidR="00006DA4">
        <w:t>. A 7</w:t>
      </w:r>
      <w:r w:rsidR="00C72DAA">
        <w:t xml:space="preserve">% </w:t>
      </w:r>
      <w:r w:rsidRPr="00923E06">
        <w:t xml:space="preserve">discount rate was used </w:t>
      </w:r>
      <w:r w:rsidR="00E66CB6">
        <w:t xml:space="preserve">to determine present values </w:t>
      </w:r>
      <w:r w:rsidRPr="00923E06">
        <w:t>for all options.</w:t>
      </w:r>
    </w:p>
    <w:p w:rsidR="00E856F5" w:rsidRPr="002C1585" w:rsidRDefault="00E856F5" w:rsidP="00CF267B">
      <w:pPr>
        <w:pStyle w:val="Caption"/>
        <w:keepNext/>
      </w:pPr>
      <w:bookmarkStart w:id="67" w:name="_Ref111038814"/>
      <w:bookmarkStart w:id="68" w:name="_Toc135320135"/>
      <w:r w:rsidRPr="002C1585">
        <w:t xml:space="preserve">Table </w:t>
      </w:r>
      <w:fldSimple w:instr=" SEQ Table \* ARABIC ">
        <w:r w:rsidR="00534814">
          <w:rPr>
            <w:noProof/>
          </w:rPr>
          <w:t>10</w:t>
        </w:r>
      </w:fldSimple>
      <w:bookmarkEnd w:id="67"/>
      <w:r w:rsidR="00920065">
        <w:t xml:space="preserve">: </w:t>
      </w:r>
      <w:r w:rsidRPr="002C1585">
        <w:t xml:space="preserve">Summary of the </w:t>
      </w:r>
      <w:r w:rsidR="00BB0F52">
        <w:t>outcomes of the BCA for</w:t>
      </w:r>
      <w:r w:rsidRPr="002C1585">
        <w:t xml:space="preserve"> each option</w:t>
      </w:r>
      <w:bookmarkEnd w:id="68"/>
    </w:p>
    <w:tbl>
      <w:tblPr>
        <w:tblStyle w:val="TableGrid"/>
        <w:tblW w:w="0" w:type="auto"/>
        <w:tblLook w:val="04A0" w:firstRow="1" w:lastRow="0" w:firstColumn="1" w:lastColumn="0" w:noHBand="0" w:noVBand="1"/>
      </w:tblPr>
      <w:tblGrid>
        <w:gridCol w:w="1955"/>
        <w:gridCol w:w="1955"/>
        <w:gridCol w:w="1955"/>
        <w:gridCol w:w="1955"/>
        <w:gridCol w:w="1956"/>
      </w:tblGrid>
      <w:tr w:rsidR="00AB2FDD" w:rsidTr="00666342">
        <w:trPr>
          <w:trHeight w:val="340"/>
        </w:trPr>
        <w:tc>
          <w:tcPr>
            <w:tcW w:w="1955" w:type="dxa"/>
            <w:shd w:val="clear" w:color="auto" w:fill="081E3E" w:themeFill="text2"/>
            <w:vAlign w:val="center"/>
          </w:tcPr>
          <w:p w:rsidR="00AB2FDD" w:rsidRPr="00731C0C" w:rsidRDefault="00BB0F52" w:rsidP="00666342">
            <w:pPr>
              <w:pStyle w:val="Table2heading"/>
              <w:jc w:val="left"/>
            </w:pPr>
            <w:r>
              <w:t>Outcomes</w:t>
            </w:r>
          </w:p>
        </w:tc>
        <w:tc>
          <w:tcPr>
            <w:tcW w:w="1955" w:type="dxa"/>
            <w:shd w:val="clear" w:color="auto" w:fill="081E3E" w:themeFill="text2"/>
            <w:vAlign w:val="center"/>
          </w:tcPr>
          <w:p w:rsidR="00AB2FDD" w:rsidRPr="00731C0C" w:rsidRDefault="00AB2FDD" w:rsidP="00666342">
            <w:pPr>
              <w:pStyle w:val="Table2heading"/>
              <w:keepNext/>
            </w:pPr>
            <w:r w:rsidRPr="00731C0C">
              <w:t>Option 3.1a</w:t>
            </w:r>
          </w:p>
        </w:tc>
        <w:tc>
          <w:tcPr>
            <w:tcW w:w="1955" w:type="dxa"/>
            <w:shd w:val="clear" w:color="auto" w:fill="081E3E" w:themeFill="text2"/>
            <w:vAlign w:val="center"/>
          </w:tcPr>
          <w:p w:rsidR="00AB2FDD" w:rsidRPr="00731C0C" w:rsidRDefault="00AB2FDD" w:rsidP="00666342">
            <w:pPr>
              <w:pStyle w:val="Table2heading"/>
              <w:keepNext/>
            </w:pPr>
            <w:r w:rsidRPr="00731C0C">
              <w:t>Option 3.1b</w:t>
            </w:r>
          </w:p>
        </w:tc>
        <w:tc>
          <w:tcPr>
            <w:tcW w:w="1955" w:type="dxa"/>
            <w:shd w:val="clear" w:color="auto" w:fill="081E3E" w:themeFill="text2"/>
            <w:vAlign w:val="center"/>
          </w:tcPr>
          <w:p w:rsidR="00AB2FDD" w:rsidRPr="00731C0C" w:rsidRDefault="00AB2FDD" w:rsidP="00666342">
            <w:pPr>
              <w:pStyle w:val="Table2heading"/>
              <w:keepNext/>
            </w:pPr>
            <w:r w:rsidRPr="00731C0C">
              <w:t>Option 3.2a</w:t>
            </w:r>
          </w:p>
        </w:tc>
        <w:tc>
          <w:tcPr>
            <w:tcW w:w="1956" w:type="dxa"/>
            <w:shd w:val="clear" w:color="auto" w:fill="081E3E" w:themeFill="text2"/>
            <w:vAlign w:val="center"/>
          </w:tcPr>
          <w:p w:rsidR="00AB2FDD" w:rsidRPr="00731C0C" w:rsidRDefault="00AB2FDD" w:rsidP="00666342">
            <w:pPr>
              <w:pStyle w:val="Table2heading"/>
              <w:keepNext/>
            </w:pPr>
            <w:r w:rsidRPr="00731C0C">
              <w:t>Option 3.2b</w:t>
            </w:r>
          </w:p>
        </w:tc>
      </w:tr>
      <w:tr w:rsidR="006666A7" w:rsidTr="00666342">
        <w:trPr>
          <w:trHeight w:val="340"/>
        </w:trPr>
        <w:tc>
          <w:tcPr>
            <w:tcW w:w="1955" w:type="dxa"/>
            <w:vAlign w:val="center"/>
          </w:tcPr>
          <w:p w:rsidR="006666A7" w:rsidRPr="00E856F5" w:rsidRDefault="006666A7" w:rsidP="00666342">
            <w:pPr>
              <w:rPr>
                <w:b/>
              </w:rPr>
            </w:pPr>
            <w:r w:rsidRPr="00E856F5">
              <w:rPr>
                <w:b/>
              </w:rPr>
              <w:t>Benefits</w:t>
            </w:r>
          </w:p>
        </w:tc>
        <w:tc>
          <w:tcPr>
            <w:tcW w:w="1955" w:type="dxa"/>
            <w:vAlign w:val="center"/>
          </w:tcPr>
          <w:p w:rsidR="006666A7" w:rsidRPr="00457C84" w:rsidRDefault="006666A7" w:rsidP="00666342">
            <w:pPr>
              <w:jc w:val="center"/>
              <w:rPr>
                <w:rFonts w:cstheme="minorHAnsi"/>
                <w:color w:val="auto"/>
              </w:rPr>
            </w:pPr>
            <w:r w:rsidRPr="006770FA">
              <w:t>$9</w:t>
            </w:r>
            <w:r w:rsidR="00EB40B5">
              <w:t>8</w:t>
            </w:r>
            <w:r>
              <w:t>8 m</w:t>
            </w:r>
          </w:p>
        </w:tc>
        <w:tc>
          <w:tcPr>
            <w:tcW w:w="1955" w:type="dxa"/>
            <w:vAlign w:val="center"/>
          </w:tcPr>
          <w:p w:rsidR="006666A7" w:rsidRPr="00457C84" w:rsidRDefault="006666A7" w:rsidP="00666342">
            <w:pPr>
              <w:jc w:val="center"/>
              <w:rPr>
                <w:rFonts w:cstheme="minorHAnsi"/>
                <w:color w:val="auto"/>
              </w:rPr>
            </w:pPr>
            <w:r w:rsidRPr="006770FA">
              <w:t>$877</w:t>
            </w:r>
            <w:r>
              <w:t> m</w:t>
            </w:r>
          </w:p>
        </w:tc>
        <w:tc>
          <w:tcPr>
            <w:tcW w:w="1955" w:type="dxa"/>
            <w:vAlign w:val="center"/>
          </w:tcPr>
          <w:p w:rsidR="006666A7" w:rsidRPr="00457C84" w:rsidRDefault="006666A7" w:rsidP="00666342">
            <w:pPr>
              <w:jc w:val="center"/>
              <w:rPr>
                <w:rFonts w:cstheme="minorHAnsi"/>
                <w:color w:val="auto"/>
              </w:rPr>
            </w:pPr>
            <w:r w:rsidRPr="006770FA">
              <w:t>$1,3</w:t>
            </w:r>
            <w:r w:rsidR="00EB40B5">
              <w:t>60</w:t>
            </w:r>
            <w:r>
              <w:t> m</w:t>
            </w:r>
          </w:p>
        </w:tc>
        <w:tc>
          <w:tcPr>
            <w:tcW w:w="1956" w:type="dxa"/>
            <w:vAlign w:val="center"/>
          </w:tcPr>
          <w:p w:rsidR="006666A7" w:rsidRPr="00457C84" w:rsidRDefault="006666A7" w:rsidP="00666342">
            <w:pPr>
              <w:jc w:val="center"/>
              <w:rPr>
                <w:rFonts w:cstheme="minorHAnsi"/>
                <w:color w:val="auto"/>
              </w:rPr>
            </w:pPr>
            <w:r w:rsidRPr="006770FA">
              <w:t>$1,20</w:t>
            </w:r>
            <w:r>
              <w:t>6 m</w:t>
            </w:r>
          </w:p>
        </w:tc>
      </w:tr>
      <w:tr w:rsidR="00150EAF" w:rsidTr="00666342">
        <w:trPr>
          <w:trHeight w:val="340"/>
        </w:trPr>
        <w:tc>
          <w:tcPr>
            <w:tcW w:w="1955" w:type="dxa"/>
            <w:vAlign w:val="center"/>
          </w:tcPr>
          <w:p w:rsidR="00150EAF" w:rsidRPr="00E856F5" w:rsidRDefault="00150EAF" w:rsidP="00666342">
            <w:pPr>
              <w:rPr>
                <w:b/>
              </w:rPr>
            </w:pPr>
            <w:r w:rsidRPr="00E856F5">
              <w:rPr>
                <w:b/>
              </w:rPr>
              <w:t>Costs</w:t>
            </w:r>
          </w:p>
        </w:tc>
        <w:tc>
          <w:tcPr>
            <w:tcW w:w="1955" w:type="dxa"/>
            <w:vAlign w:val="center"/>
          </w:tcPr>
          <w:p w:rsidR="00150EAF" w:rsidRPr="00457C84" w:rsidRDefault="00150EAF" w:rsidP="00666342">
            <w:pPr>
              <w:jc w:val="center"/>
              <w:rPr>
                <w:rFonts w:cstheme="minorHAnsi"/>
                <w:color w:val="auto"/>
              </w:rPr>
            </w:pPr>
            <w:r w:rsidRPr="00EB3D6F">
              <w:t>$33</w:t>
            </w:r>
            <w:r>
              <w:t>4 m</w:t>
            </w:r>
          </w:p>
        </w:tc>
        <w:tc>
          <w:tcPr>
            <w:tcW w:w="1955" w:type="dxa"/>
            <w:vAlign w:val="center"/>
          </w:tcPr>
          <w:p w:rsidR="00150EAF" w:rsidRPr="00457C84" w:rsidRDefault="00150EAF" w:rsidP="00666342">
            <w:pPr>
              <w:jc w:val="center"/>
              <w:rPr>
                <w:rFonts w:cstheme="minorHAnsi"/>
                <w:color w:val="auto"/>
              </w:rPr>
            </w:pPr>
            <w:r w:rsidRPr="00EB3D6F">
              <w:t>$28</w:t>
            </w:r>
            <w:r>
              <w:t>9 m</w:t>
            </w:r>
          </w:p>
        </w:tc>
        <w:tc>
          <w:tcPr>
            <w:tcW w:w="1955" w:type="dxa"/>
            <w:vAlign w:val="center"/>
          </w:tcPr>
          <w:p w:rsidR="00150EAF" w:rsidRPr="00457C84" w:rsidRDefault="00150EAF" w:rsidP="00666342">
            <w:pPr>
              <w:jc w:val="center"/>
              <w:rPr>
                <w:rFonts w:cstheme="minorHAnsi"/>
                <w:color w:val="auto"/>
              </w:rPr>
            </w:pPr>
            <w:r w:rsidRPr="00EB3D6F">
              <w:t>$321</w:t>
            </w:r>
            <w:r>
              <w:t> m</w:t>
            </w:r>
          </w:p>
        </w:tc>
        <w:tc>
          <w:tcPr>
            <w:tcW w:w="1956" w:type="dxa"/>
            <w:vAlign w:val="center"/>
          </w:tcPr>
          <w:p w:rsidR="00150EAF" w:rsidRPr="00457C84" w:rsidRDefault="00150EAF" w:rsidP="00666342">
            <w:pPr>
              <w:jc w:val="center"/>
              <w:rPr>
                <w:rFonts w:cstheme="minorHAnsi"/>
                <w:color w:val="auto"/>
              </w:rPr>
            </w:pPr>
            <w:r w:rsidRPr="00EB3D6F">
              <w:t>$27</w:t>
            </w:r>
            <w:r>
              <w:t>5 m</w:t>
            </w:r>
          </w:p>
        </w:tc>
      </w:tr>
      <w:tr w:rsidR="006666A7" w:rsidTr="00666342">
        <w:trPr>
          <w:trHeight w:val="340"/>
        </w:trPr>
        <w:tc>
          <w:tcPr>
            <w:tcW w:w="1955" w:type="dxa"/>
            <w:vAlign w:val="center"/>
          </w:tcPr>
          <w:p w:rsidR="006666A7" w:rsidRPr="00E856F5" w:rsidRDefault="006666A7" w:rsidP="00666342">
            <w:pPr>
              <w:rPr>
                <w:b/>
              </w:rPr>
            </w:pPr>
            <w:r w:rsidRPr="00E856F5">
              <w:rPr>
                <w:b/>
              </w:rPr>
              <w:t>Net Benefits</w:t>
            </w:r>
          </w:p>
        </w:tc>
        <w:tc>
          <w:tcPr>
            <w:tcW w:w="1955" w:type="dxa"/>
            <w:vAlign w:val="center"/>
          </w:tcPr>
          <w:p w:rsidR="006666A7" w:rsidRPr="001103B6" w:rsidRDefault="006666A7" w:rsidP="00666342">
            <w:pPr>
              <w:jc w:val="center"/>
              <w:rPr>
                <w:rFonts w:cstheme="minorHAnsi"/>
                <w:color w:val="auto"/>
              </w:rPr>
            </w:pPr>
            <w:r w:rsidRPr="0054194A">
              <w:t>$6</w:t>
            </w:r>
            <w:r w:rsidR="00552BD7">
              <w:t>5</w:t>
            </w:r>
            <w:r w:rsidRPr="0054194A">
              <w:t>4</w:t>
            </w:r>
            <w:r>
              <w:t> m</w:t>
            </w:r>
          </w:p>
        </w:tc>
        <w:tc>
          <w:tcPr>
            <w:tcW w:w="1955" w:type="dxa"/>
            <w:vAlign w:val="center"/>
          </w:tcPr>
          <w:p w:rsidR="006666A7" w:rsidRPr="001103B6" w:rsidRDefault="006666A7" w:rsidP="00666342">
            <w:pPr>
              <w:jc w:val="center"/>
              <w:rPr>
                <w:rFonts w:cstheme="minorHAnsi"/>
                <w:color w:val="auto"/>
              </w:rPr>
            </w:pPr>
            <w:r w:rsidRPr="0054194A">
              <w:t>$588</w:t>
            </w:r>
            <w:r>
              <w:t> m</w:t>
            </w:r>
          </w:p>
        </w:tc>
        <w:tc>
          <w:tcPr>
            <w:tcW w:w="1955" w:type="dxa"/>
            <w:vAlign w:val="center"/>
          </w:tcPr>
          <w:p w:rsidR="006666A7" w:rsidRPr="001103B6" w:rsidRDefault="006666A7" w:rsidP="00666342">
            <w:pPr>
              <w:jc w:val="center"/>
              <w:rPr>
                <w:rFonts w:cstheme="minorHAnsi"/>
                <w:color w:val="auto"/>
              </w:rPr>
            </w:pPr>
            <w:r w:rsidRPr="0054194A">
              <w:t>$</w:t>
            </w:r>
            <w:r w:rsidR="00EB40B5">
              <w:t>1,038</w:t>
            </w:r>
            <w:r>
              <w:t> m</w:t>
            </w:r>
          </w:p>
        </w:tc>
        <w:tc>
          <w:tcPr>
            <w:tcW w:w="1956" w:type="dxa"/>
            <w:vAlign w:val="center"/>
          </w:tcPr>
          <w:p w:rsidR="006666A7" w:rsidRPr="001103B6" w:rsidRDefault="006666A7" w:rsidP="00666342">
            <w:pPr>
              <w:jc w:val="center"/>
              <w:rPr>
                <w:rFonts w:cstheme="minorHAnsi"/>
                <w:color w:val="auto"/>
              </w:rPr>
            </w:pPr>
            <w:r w:rsidRPr="0054194A">
              <w:t>$931</w:t>
            </w:r>
            <w:r>
              <w:t> m</w:t>
            </w:r>
          </w:p>
        </w:tc>
      </w:tr>
      <w:tr w:rsidR="006666A7" w:rsidTr="00666342">
        <w:trPr>
          <w:trHeight w:val="340"/>
        </w:trPr>
        <w:tc>
          <w:tcPr>
            <w:tcW w:w="1955" w:type="dxa"/>
            <w:vAlign w:val="center"/>
          </w:tcPr>
          <w:p w:rsidR="006666A7" w:rsidRPr="00E856F5" w:rsidRDefault="006666A7" w:rsidP="00666342">
            <w:pPr>
              <w:rPr>
                <w:b/>
              </w:rPr>
            </w:pPr>
            <w:r>
              <w:rPr>
                <w:b/>
              </w:rPr>
              <w:t>BCR</w:t>
            </w:r>
          </w:p>
        </w:tc>
        <w:tc>
          <w:tcPr>
            <w:tcW w:w="1955" w:type="dxa"/>
            <w:vAlign w:val="center"/>
          </w:tcPr>
          <w:p w:rsidR="006666A7" w:rsidRPr="006666A7" w:rsidRDefault="00EB40B5" w:rsidP="00666342">
            <w:pPr>
              <w:jc w:val="center"/>
              <w:rPr>
                <w:rFonts w:cstheme="minorHAnsi"/>
                <w:color w:val="000000"/>
              </w:rPr>
            </w:pPr>
            <w:r>
              <w:rPr>
                <w:rFonts w:cstheme="minorHAnsi"/>
                <w:color w:val="000000"/>
              </w:rPr>
              <w:t>3.0</w:t>
            </w:r>
          </w:p>
        </w:tc>
        <w:tc>
          <w:tcPr>
            <w:tcW w:w="1955" w:type="dxa"/>
            <w:vAlign w:val="center"/>
          </w:tcPr>
          <w:p w:rsidR="006666A7" w:rsidRPr="006666A7" w:rsidRDefault="006666A7" w:rsidP="00666342">
            <w:pPr>
              <w:jc w:val="center"/>
              <w:rPr>
                <w:rFonts w:cstheme="minorHAnsi"/>
                <w:color w:val="000000"/>
              </w:rPr>
            </w:pPr>
            <w:r w:rsidRPr="006666A7">
              <w:rPr>
                <w:rFonts w:cstheme="minorHAnsi"/>
                <w:color w:val="000000"/>
              </w:rPr>
              <w:t>3.0</w:t>
            </w:r>
          </w:p>
        </w:tc>
        <w:tc>
          <w:tcPr>
            <w:tcW w:w="1955" w:type="dxa"/>
            <w:vAlign w:val="center"/>
          </w:tcPr>
          <w:p w:rsidR="006666A7" w:rsidRPr="006666A7" w:rsidRDefault="006666A7" w:rsidP="00666342">
            <w:pPr>
              <w:jc w:val="center"/>
              <w:rPr>
                <w:rFonts w:cstheme="minorHAnsi"/>
                <w:color w:val="000000"/>
              </w:rPr>
            </w:pPr>
            <w:r w:rsidRPr="006666A7">
              <w:rPr>
                <w:rFonts w:cstheme="minorHAnsi"/>
                <w:color w:val="000000"/>
              </w:rPr>
              <w:t>4.</w:t>
            </w:r>
            <w:r w:rsidR="00EB40B5">
              <w:rPr>
                <w:rFonts w:cstheme="minorHAnsi"/>
                <w:color w:val="000000"/>
              </w:rPr>
              <w:t>2</w:t>
            </w:r>
          </w:p>
        </w:tc>
        <w:tc>
          <w:tcPr>
            <w:tcW w:w="1956" w:type="dxa"/>
            <w:vAlign w:val="center"/>
          </w:tcPr>
          <w:p w:rsidR="006666A7" w:rsidRPr="006666A7" w:rsidRDefault="006666A7" w:rsidP="00666342">
            <w:pPr>
              <w:jc w:val="center"/>
              <w:rPr>
                <w:rFonts w:cstheme="minorHAnsi"/>
                <w:color w:val="000000"/>
              </w:rPr>
            </w:pPr>
            <w:r w:rsidRPr="006666A7">
              <w:rPr>
                <w:rFonts w:cstheme="minorHAnsi"/>
                <w:color w:val="000000"/>
              </w:rPr>
              <w:t>4.4</w:t>
            </w:r>
          </w:p>
        </w:tc>
      </w:tr>
    </w:tbl>
    <w:p w:rsidR="00C240FD" w:rsidRDefault="00C240FD" w:rsidP="000851AF">
      <w:r>
        <w:t xml:space="preserve">From </w:t>
      </w:r>
      <w:r w:rsidR="0078330E">
        <w:t>model</w:t>
      </w:r>
      <w:r>
        <w:t xml:space="preserve"> for the BCA by the ARRB, the </w:t>
      </w:r>
      <w:r w:rsidR="00B9347B">
        <w:t>d</w:t>
      </w:r>
      <w:r>
        <w:t xml:space="preserve">epartment is also able to estimate the likely net benefits and BCR for </w:t>
      </w:r>
      <w:r w:rsidR="000851AF">
        <w:t>varying Option 3.1a</w:t>
      </w:r>
      <w:r>
        <w:t xml:space="preserve"> </w:t>
      </w:r>
      <w:r w:rsidR="000851AF">
        <w:t xml:space="preserve">to allow refrigerated goods </w:t>
      </w:r>
      <w:r w:rsidR="000851AF" w:rsidRPr="007B6E69">
        <w:t xml:space="preserve">vehicles </w:t>
      </w:r>
      <w:r w:rsidR="000851AF">
        <w:t xml:space="preserve">and trailers </w:t>
      </w:r>
      <w:r w:rsidR="000851AF" w:rsidRPr="007B6E69">
        <w:t>with insul</w:t>
      </w:r>
      <w:r w:rsidR="000851AF">
        <w:t xml:space="preserve">ated walls at least </w:t>
      </w:r>
      <w:r w:rsidR="00BB21FF">
        <w:t>90</w:t>
      </w:r>
      <w:r w:rsidR="0059636B">
        <w:t> </w:t>
      </w:r>
      <w:r w:rsidR="000851AF">
        <w:t xml:space="preserve">mm thick </w:t>
      </w:r>
      <w:r w:rsidR="00747117">
        <w:t xml:space="preserve">(on each side) </w:t>
      </w:r>
      <w:r w:rsidR="000851AF">
        <w:t xml:space="preserve">to be up to </w:t>
      </w:r>
      <w:r w:rsidR="00B9347B">
        <w:t>2.60</w:t>
      </w:r>
      <w:r w:rsidR="000851AF">
        <w:t> m in width. This variation to Option 3.1a is estimated to provide a net benefit of $</w:t>
      </w:r>
      <w:r w:rsidR="000D4DA2">
        <w:t>6</w:t>
      </w:r>
      <w:r w:rsidR="00EB40B5">
        <w:t>82</w:t>
      </w:r>
      <w:r w:rsidR="0059636B">
        <w:t> </w:t>
      </w:r>
      <w:r w:rsidR="000851AF">
        <w:t xml:space="preserve">m with a BCR of </w:t>
      </w:r>
      <w:r w:rsidR="007B0B44">
        <w:t>3.0</w:t>
      </w:r>
      <w:r w:rsidR="000851AF">
        <w:t>.</w:t>
      </w:r>
    </w:p>
    <w:p w:rsidR="00422B9A" w:rsidRPr="0084287E" w:rsidRDefault="00422B9A" w:rsidP="00422B9A">
      <w:pPr>
        <w:pStyle w:val="Heading3"/>
        <w:rPr>
          <w:lang w:val="en-AU"/>
        </w:rPr>
      </w:pPr>
      <w:bookmarkStart w:id="69" w:name="_Toc138065704"/>
      <w:r>
        <w:rPr>
          <w:lang w:val="en-AU"/>
        </w:rPr>
        <w:t>Sensitivity analysis</w:t>
      </w:r>
      <w:bookmarkEnd w:id="69"/>
    </w:p>
    <w:p w:rsidR="004041C6" w:rsidRPr="001F0CA5" w:rsidRDefault="004041C6" w:rsidP="004041C6">
      <w:r w:rsidRPr="001F0CA5">
        <w:t>A sensitivity analysis was carried out</w:t>
      </w:r>
      <w:r>
        <w:t xml:space="preserve"> by the ARRB</w:t>
      </w:r>
      <w:r w:rsidRPr="001F0CA5">
        <w:t xml:space="preserve"> </w:t>
      </w:r>
      <w:r>
        <w:t xml:space="preserve">for each of the viable options, </w:t>
      </w:r>
      <w:r w:rsidRPr="001F0CA5">
        <w:t xml:space="preserve">to determine the </w:t>
      </w:r>
      <w:r w:rsidR="001F7E8D">
        <w:t xml:space="preserve">possible </w:t>
      </w:r>
      <w:r w:rsidRPr="001F0CA5">
        <w:t xml:space="preserve">effect of </w:t>
      </w:r>
      <w:r w:rsidR="008B1F32">
        <w:t>uncertain</w:t>
      </w:r>
      <w:r w:rsidRPr="001F0CA5">
        <w:t xml:space="preserve"> </w:t>
      </w:r>
      <w:r>
        <w:t>variables</w:t>
      </w:r>
      <w:r w:rsidRPr="001F0CA5">
        <w:t xml:space="preserve"> on the outcome</w:t>
      </w:r>
      <w:r w:rsidRPr="001F0CA5" w:rsidDel="00B11EB2">
        <w:t xml:space="preserve"> </w:t>
      </w:r>
      <w:r>
        <w:t xml:space="preserve">of </w:t>
      </w:r>
      <w:r w:rsidRPr="001F0CA5">
        <w:t>the benefi</w:t>
      </w:r>
      <w:r w:rsidR="001F7E8D">
        <w:t>t-cost analysis.</w:t>
      </w:r>
    </w:p>
    <w:p w:rsidR="004041C6" w:rsidRPr="00164CDB" w:rsidRDefault="005D50A8" w:rsidP="004041C6">
      <w:r>
        <w:t>Firstly</w:t>
      </w:r>
      <w:r w:rsidR="004041C6">
        <w:t>, while a</w:t>
      </w:r>
      <w:r w:rsidR="004041C6" w:rsidRPr="001F0CA5">
        <w:t xml:space="preserve"> </w:t>
      </w:r>
      <w:r w:rsidR="004041C6">
        <w:t>7</w:t>
      </w:r>
      <w:r w:rsidR="009E34C2">
        <w:t>%</w:t>
      </w:r>
      <w:r w:rsidR="004041C6" w:rsidRPr="001F0CA5">
        <w:t xml:space="preserve"> </w:t>
      </w:r>
      <w:r w:rsidR="004041C6">
        <w:t xml:space="preserve">(per annum) real </w:t>
      </w:r>
      <w:r w:rsidR="004041C6" w:rsidRPr="001F0CA5">
        <w:t>discount rate was used for all option</w:t>
      </w:r>
      <w:r w:rsidR="004041C6">
        <w:t>s, the benefit</w:t>
      </w:r>
      <w:r w:rsidR="004041C6">
        <w:noBreakHyphen/>
      </w:r>
      <w:r w:rsidR="004041C6" w:rsidRPr="001F0CA5">
        <w:t xml:space="preserve">cost analysis </w:t>
      </w:r>
      <w:r w:rsidR="004041C6">
        <w:t xml:space="preserve">for </w:t>
      </w:r>
      <w:r w:rsidR="002C1585">
        <w:t>each viable option</w:t>
      </w:r>
      <w:r w:rsidR="004041C6" w:rsidRPr="001F0CA5">
        <w:t xml:space="preserve"> was </w:t>
      </w:r>
      <w:r w:rsidR="00081AA4">
        <w:t xml:space="preserve">also run with </w:t>
      </w:r>
      <w:r w:rsidR="004041C6" w:rsidRPr="001F0CA5">
        <w:t>rate</w:t>
      </w:r>
      <w:r w:rsidR="00081AA4">
        <w:t>s</w:t>
      </w:r>
      <w:r w:rsidR="004041C6" w:rsidRPr="001F0CA5">
        <w:t xml:space="preserve"> of </w:t>
      </w:r>
      <w:r w:rsidR="004041C6">
        <w:t>3</w:t>
      </w:r>
      <w:r w:rsidR="009E34C2">
        <w:t>%</w:t>
      </w:r>
      <w:r w:rsidR="004041C6" w:rsidRPr="001F0CA5">
        <w:t xml:space="preserve"> and</w:t>
      </w:r>
      <w:r w:rsidR="004041C6">
        <w:t xml:space="preserve"> 10</w:t>
      </w:r>
      <w:r w:rsidR="009E34C2">
        <w:t>%</w:t>
      </w:r>
      <w:r w:rsidR="004041C6" w:rsidRPr="001F0CA5">
        <w:t>.</w:t>
      </w:r>
      <w:r w:rsidR="004041C6">
        <w:t xml:space="preserve"> </w:t>
      </w:r>
      <w:r w:rsidR="004041C6">
        <w:fldChar w:fldCharType="begin"/>
      </w:r>
      <w:r w:rsidR="004041C6">
        <w:instrText xml:space="preserve"> REF _Ref111037962 \h </w:instrText>
      </w:r>
      <w:r w:rsidR="004041C6">
        <w:fldChar w:fldCharType="separate"/>
      </w:r>
      <w:r w:rsidR="00534814">
        <w:t xml:space="preserve">Table </w:t>
      </w:r>
      <w:r w:rsidR="00534814">
        <w:rPr>
          <w:noProof/>
        </w:rPr>
        <w:t>11</w:t>
      </w:r>
      <w:r w:rsidR="004041C6">
        <w:fldChar w:fldCharType="end"/>
      </w:r>
      <w:r w:rsidR="004041C6">
        <w:t xml:space="preserve"> </w:t>
      </w:r>
      <w:r w:rsidR="004041C6" w:rsidRPr="0009474C">
        <w:t xml:space="preserve">shows that the net benefits are positive </w:t>
      </w:r>
      <w:r w:rsidR="00AE0B65">
        <w:t xml:space="preserve">for each option </w:t>
      </w:r>
      <w:r w:rsidR="004041C6" w:rsidRPr="0009474C">
        <w:t>under all three discount rates.</w:t>
      </w:r>
    </w:p>
    <w:p w:rsidR="006C0BD8" w:rsidRDefault="006C0BD8" w:rsidP="006C0BD8">
      <w:pPr>
        <w:pStyle w:val="Caption"/>
        <w:keepNext/>
      </w:pPr>
      <w:bookmarkStart w:id="70" w:name="_Ref111037962"/>
      <w:bookmarkStart w:id="71" w:name="_Toc135320136"/>
      <w:r>
        <w:t xml:space="preserve">Table </w:t>
      </w:r>
      <w:fldSimple w:instr=" SEQ Table \* ARABIC ">
        <w:r w:rsidR="00534814">
          <w:rPr>
            <w:noProof/>
          </w:rPr>
          <w:t>11</w:t>
        </w:r>
      </w:fldSimple>
      <w:bookmarkEnd w:id="70"/>
      <w:r w:rsidR="001C5C07">
        <w:t xml:space="preserve">: </w:t>
      </w:r>
      <w:r w:rsidR="00AB2FDD">
        <w:t>Impact of changes to the discount rate</w:t>
      </w:r>
      <w:r w:rsidR="006E727B">
        <w:t xml:space="preserve"> on net benefits</w:t>
      </w:r>
      <w:bookmarkEnd w:id="71"/>
    </w:p>
    <w:tbl>
      <w:tblPr>
        <w:tblStyle w:val="TableGrid"/>
        <w:tblW w:w="0" w:type="auto"/>
        <w:tblLook w:val="04A0" w:firstRow="1" w:lastRow="0" w:firstColumn="1" w:lastColumn="0" w:noHBand="0" w:noVBand="1"/>
      </w:tblPr>
      <w:tblGrid>
        <w:gridCol w:w="1955"/>
        <w:gridCol w:w="1955"/>
        <w:gridCol w:w="1955"/>
        <w:gridCol w:w="1955"/>
        <w:gridCol w:w="1956"/>
      </w:tblGrid>
      <w:tr w:rsidR="00A46193" w:rsidTr="00680230">
        <w:trPr>
          <w:trHeight w:val="340"/>
        </w:trPr>
        <w:tc>
          <w:tcPr>
            <w:tcW w:w="1955" w:type="dxa"/>
            <w:shd w:val="clear" w:color="auto" w:fill="081E3E" w:themeFill="text2"/>
            <w:vAlign w:val="center"/>
          </w:tcPr>
          <w:p w:rsidR="00A46193" w:rsidRPr="00731C0C" w:rsidRDefault="00BB0F52" w:rsidP="00680230">
            <w:pPr>
              <w:pStyle w:val="Table2heading"/>
              <w:jc w:val="left"/>
            </w:pPr>
            <w:r>
              <w:t>Net Benefits</w:t>
            </w:r>
          </w:p>
        </w:tc>
        <w:tc>
          <w:tcPr>
            <w:tcW w:w="1955" w:type="dxa"/>
            <w:shd w:val="clear" w:color="auto" w:fill="081E3E" w:themeFill="text2"/>
            <w:vAlign w:val="center"/>
          </w:tcPr>
          <w:p w:rsidR="00A46193" w:rsidRPr="00731C0C" w:rsidRDefault="00A46193" w:rsidP="00680230">
            <w:pPr>
              <w:pStyle w:val="Table2heading"/>
              <w:keepNext/>
            </w:pPr>
            <w:r w:rsidRPr="00731C0C">
              <w:t>Option 3.1a</w:t>
            </w:r>
          </w:p>
        </w:tc>
        <w:tc>
          <w:tcPr>
            <w:tcW w:w="1955" w:type="dxa"/>
            <w:shd w:val="clear" w:color="auto" w:fill="081E3E" w:themeFill="text2"/>
            <w:vAlign w:val="center"/>
          </w:tcPr>
          <w:p w:rsidR="00A46193" w:rsidRPr="00731C0C" w:rsidRDefault="00A46193" w:rsidP="00680230">
            <w:pPr>
              <w:pStyle w:val="Table2heading"/>
              <w:keepNext/>
            </w:pPr>
            <w:r w:rsidRPr="00731C0C">
              <w:t>Option 3.1b</w:t>
            </w:r>
          </w:p>
        </w:tc>
        <w:tc>
          <w:tcPr>
            <w:tcW w:w="1955" w:type="dxa"/>
            <w:shd w:val="clear" w:color="auto" w:fill="081E3E" w:themeFill="text2"/>
            <w:vAlign w:val="center"/>
          </w:tcPr>
          <w:p w:rsidR="00A46193" w:rsidRPr="00731C0C" w:rsidRDefault="00A46193" w:rsidP="00680230">
            <w:pPr>
              <w:pStyle w:val="Table2heading"/>
              <w:keepNext/>
            </w:pPr>
            <w:r w:rsidRPr="00731C0C">
              <w:t>Option 3.2a</w:t>
            </w:r>
          </w:p>
        </w:tc>
        <w:tc>
          <w:tcPr>
            <w:tcW w:w="1956" w:type="dxa"/>
            <w:shd w:val="clear" w:color="auto" w:fill="081E3E" w:themeFill="text2"/>
            <w:vAlign w:val="center"/>
          </w:tcPr>
          <w:p w:rsidR="00A46193" w:rsidRPr="00731C0C" w:rsidRDefault="00A46193" w:rsidP="00680230">
            <w:pPr>
              <w:pStyle w:val="Table2heading"/>
              <w:keepNext/>
            </w:pPr>
            <w:r w:rsidRPr="00731C0C">
              <w:t>Option 3.2b</w:t>
            </w:r>
          </w:p>
        </w:tc>
      </w:tr>
      <w:tr w:rsidR="0066049C" w:rsidTr="00680230">
        <w:trPr>
          <w:trHeight w:val="340"/>
        </w:trPr>
        <w:tc>
          <w:tcPr>
            <w:tcW w:w="1955" w:type="dxa"/>
            <w:vAlign w:val="center"/>
          </w:tcPr>
          <w:p w:rsidR="0066049C" w:rsidRPr="00E856F5" w:rsidRDefault="0066049C" w:rsidP="00680230">
            <w:pPr>
              <w:rPr>
                <w:b/>
              </w:rPr>
            </w:pPr>
            <w:r>
              <w:rPr>
                <w:b/>
              </w:rPr>
              <w:t>Worst Case (10%)</w:t>
            </w:r>
          </w:p>
        </w:tc>
        <w:tc>
          <w:tcPr>
            <w:tcW w:w="1955" w:type="dxa"/>
            <w:vAlign w:val="center"/>
          </w:tcPr>
          <w:p w:rsidR="0066049C" w:rsidRPr="00244A67" w:rsidRDefault="0066049C" w:rsidP="00680230">
            <w:pPr>
              <w:jc w:val="center"/>
            </w:pPr>
            <w:r w:rsidRPr="0066049C">
              <w:t>$372 m</w:t>
            </w:r>
          </w:p>
        </w:tc>
        <w:tc>
          <w:tcPr>
            <w:tcW w:w="1955" w:type="dxa"/>
            <w:vAlign w:val="center"/>
          </w:tcPr>
          <w:p w:rsidR="0066049C" w:rsidRPr="00244A67" w:rsidRDefault="0066049C" w:rsidP="00680230">
            <w:pPr>
              <w:jc w:val="center"/>
            </w:pPr>
            <w:r w:rsidRPr="0066049C">
              <w:t>$338 m</w:t>
            </w:r>
          </w:p>
        </w:tc>
        <w:tc>
          <w:tcPr>
            <w:tcW w:w="1955" w:type="dxa"/>
            <w:vAlign w:val="center"/>
          </w:tcPr>
          <w:p w:rsidR="0066049C" w:rsidRPr="00244A67" w:rsidRDefault="0066049C" w:rsidP="00680230">
            <w:pPr>
              <w:jc w:val="center"/>
            </w:pPr>
            <w:r w:rsidRPr="0066049C">
              <w:t>$611 m</w:t>
            </w:r>
          </w:p>
        </w:tc>
        <w:tc>
          <w:tcPr>
            <w:tcW w:w="1956" w:type="dxa"/>
            <w:vAlign w:val="center"/>
          </w:tcPr>
          <w:p w:rsidR="0066049C" w:rsidRPr="00244A67" w:rsidRDefault="0066049C" w:rsidP="00680230">
            <w:pPr>
              <w:jc w:val="center"/>
            </w:pPr>
            <w:r w:rsidRPr="0066049C">
              <w:t>$553 m</w:t>
            </w:r>
          </w:p>
        </w:tc>
      </w:tr>
      <w:tr w:rsidR="0066049C" w:rsidTr="00680230">
        <w:trPr>
          <w:trHeight w:val="340"/>
        </w:trPr>
        <w:tc>
          <w:tcPr>
            <w:tcW w:w="1955" w:type="dxa"/>
            <w:vAlign w:val="center"/>
          </w:tcPr>
          <w:p w:rsidR="0066049C" w:rsidRPr="00E856F5" w:rsidRDefault="0066049C" w:rsidP="00680230">
            <w:pPr>
              <w:rPr>
                <w:b/>
              </w:rPr>
            </w:pPr>
            <w:r>
              <w:rPr>
                <w:b/>
              </w:rPr>
              <w:t>Main Analysis (7%)</w:t>
            </w:r>
          </w:p>
        </w:tc>
        <w:tc>
          <w:tcPr>
            <w:tcW w:w="1955" w:type="dxa"/>
            <w:vAlign w:val="center"/>
          </w:tcPr>
          <w:p w:rsidR="0066049C" w:rsidRDefault="0066049C" w:rsidP="00680230">
            <w:pPr>
              <w:jc w:val="center"/>
            </w:pPr>
            <w:r w:rsidRPr="0054194A">
              <w:t>$6</w:t>
            </w:r>
            <w:r>
              <w:t>5</w:t>
            </w:r>
            <w:r w:rsidRPr="0054194A">
              <w:t>4</w:t>
            </w:r>
            <w:r>
              <w:t> m</w:t>
            </w:r>
          </w:p>
        </w:tc>
        <w:tc>
          <w:tcPr>
            <w:tcW w:w="1955" w:type="dxa"/>
            <w:vAlign w:val="center"/>
          </w:tcPr>
          <w:p w:rsidR="0066049C" w:rsidRDefault="0066049C" w:rsidP="00680230">
            <w:pPr>
              <w:jc w:val="center"/>
            </w:pPr>
            <w:r w:rsidRPr="0054194A">
              <w:t>$588</w:t>
            </w:r>
            <w:r>
              <w:t> m</w:t>
            </w:r>
          </w:p>
        </w:tc>
        <w:tc>
          <w:tcPr>
            <w:tcW w:w="1955" w:type="dxa"/>
            <w:vAlign w:val="center"/>
          </w:tcPr>
          <w:p w:rsidR="0066049C" w:rsidRDefault="0066049C" w:rsidP="00680230">
            <w:pPr>
              <w:jc w:val="center"/>
            </w:pPr>
            <w:r w:rsidRPr="0054194A">
              <w:t>$</w:t>
            </w:r>
            <w:r>
              <w:t>1,038 m</w:t>
            </w:r>
          </w:p>
        </w:tc>
        <w:tc>
          <w:tcPr>
            <w:tcW w:w="1956" w:type="dxa"/>
            <w:vAlign w:val="center"/>
          </w:tcPr>
          <w:p w:rsidR="0066049C" w:rsidRDefault="0066049C" w:rsidP="00680230">
            <w:pPr>
              <w:jc w:val="center"/>
            </w:pPr>
            <w:r w:rsidRPr="0054194A">
              <w:t>$931</w:t>
            </w:r>
            <w:r>
              <w:t> m</w:t>
            </w:r>
          </w:p>
        </w:tc>
      </w:tr>
      <w:tr w:rsidR="0066049C" w:rsidTr="00680230">
        <w:trPr>
          <w:trHeight w:val="340"/>
        </w:trPr>
        <w:tc>
          <w:tcPr>
            <w:tcW w:w="1955" w:type="dxa"/>
            <w:vAlign w:val="center"/>
          </w:tcPr>
          <w:p w:rsidR="0066049C" w:rsidRPr="00E856F5" w:rsidRDefault="0066049C" w:rsidP="00680230">
            <w:pPr>
              <w:rPr>
                <w:b/>
              </w:rPr>
            </w:pPr>
            <w:r>
              <w:rPr>
                <w:b/>
              </w:rPr>
              <w:t>Best Case (3%)</w:t>
            </w:r>
          </w:p>
        </w:tc>
        <w:tc>
          <w:tcPr>
            <w:tcW w:w="1955" w:type="dxa"/>
            <w:vAlign w:val="center"/>
          </w:tcPr>
          <w:p w:rsidR="0066049C" w:rsidRPr="003568E3" w:rsidRDefault="0066049C" w:rsidP="00680230">
            <w:pPr>
              <w:jc w:val="center"/>
            </w:pPr>
            <w:r w:rsidRPr="0066049C">
              <w:t>$1,497</w:t>
            </w:r>
            <w:r>
              <w:t> m</w:t>
            </w:r>
          </w:p>
        </w:tc>
        <w:tc>
          <w:tcPr>
            <w:tcW w:w="1955" w:type="dxa"/>
            <w:vAlign w:val="center"/>
          </w:tcPr>
          <w:p w:rsidR="0066049C" w:rsidRPr="003568E3" w:rsidRDefault="0066049C" w:rsidP="00680230">
            <w:pPr>
              <w:jc w:val="center"/>
            </w:pPr>
            <w:r w:rsidRPr="0066049C">
              <w:t>$1,330</w:t>
            </w:r>
            <w:r>
              <w:t> m</w:t>
            </w:r>
          </w:p>
        </w:tc>
        <w:tc>
          <w:tcPr>
            <w:tcW w:w="1955" w:type="dxa"/>
            <w:vAlign w:val="center"/>
          </w:tcPr>
          <w:p w:rsidR="0066049C" w:rsidRPr="003568E3" w:rsidRDefault="0066049C" w:rsidP="00680230">
            <w:pPr>
              <w:jc w:val="center"/>
            </w:pPr>
            <w:r w:rsidRPr="0066049C">
              <w:t>$2,298</w:t>
            </w:r>
            <w:r>
              <w:t> m</w:t>
            </w:r>
          </w:p>
        </w:tc>
        <w:tc>
          <w:tcPr>
            <w:tcW w:w="1956" w:type="dxa"/>
            <w:vAlign w:val="center"/>
          </w:tcPr>
          <w:p w:rsidR="0066049C" w:rsidRPr="003568E3" w:rsidRDefault="0066049C" w:rsidP="00680230">
            <w:pPr>
              <w:jc w:val="center"/>
            </w:pPr>
            <w:r w:rsidRPr="0066049C">
              <w:t>$2,039</w:t>
            </w:r>
            <w:r>
              <w:t> m</w:t>
            </w:r>
          </w:p>
        </w:tc>
      </w:tr>
    </w:tbl>
    <w:p w:rsidR="00E24BD9" w:rsidRDefault="005D50A8" w:rsidP="00F64C22">
      <w:pPr>
        <w:keepLines/>
      </w:pPr>
      <w:r>
        <w:t>The possible effect</w:t>
      </w:r>
      <w:r w:rsidR="00BD72C8">
        <w:t>s</w:t>
      </w:r>
      <w:r>
        <w:t xml:space="preserve"> of changes in infrastructure update costs</w:t>
      </w:r>
      <w:r w:rsidR="00BD72C8">
        <w:t xml:space="preserve">, </w:t>
      </w:r>
      <w:r w:rsidR="00BB0F52">
        <w:t xml:space="preserve">fleet growth, </w:t>
      </w:r>
      <w:r w:rsidR="00BD72C8">
        <w:t xml:space="preserve">safety feature costs, </w:t>
      </w:r>
      <w:r w:rsidR="00BB0F52">
        <w:t xml:space="preserve">safety feature effectiveness, frontal and rollover crash risk for wider vehicles, </w:t>
      </w:r>
      <w:r w:rsidR="00197DAC">
        <w:t xml:space="preserve">and </w:t>
      </w:r>
      <w:r w:rsidR="00DA5226">
        <w:t>trip reductions</w:t>
      </w:r>
      <w:r>
        <w:t xml:space="preserve">, including both </w:t>
      </w:r>
      <w:r w:rsidR="00BD72C8">
        <w:t>worst</w:t>
      </w:r>
      <w:r w:rsidR="00E55928">
        <w:t>-</w:t>
      </w:r>
      <w:r w:rsidR="00965007">
        <w:t xml:space="preserve">case </w:t>
      </w:r>
      <w:r w:rsidR="00BD72C8">
        <w:t xml:space="preserve">and </w:t>
      </w:r>
      <w:r w:rsidR="00E87E48">
        <w:br/>
      </w:r>
      <w:r w:rsidR="00BD72C8">
        <w:t>best</w:t>
      </w:r>
      <w:r w:rsidR="00E87E48">
        <w:t>-</w:t>
      </w:r>
      <w:r w:rsidR="00BD72C8">
        <w:t>case scenarios</w:t>
      </w:r>
      <w:r w:rsidR="00BB0F52">
        <w:t xml:space="preserve">, were </w:t>
      </w:r>
      <w:r w:rsidR="00E642C9">
        <w:t xml:space="preserve">all </w:t>
      </w:r>
      <w:r w:rsidR="00BB0F52">
        <w:t>also considered in the sensitivity analysis</w:t>
      </w:r>
      <w:r w:rsidR="00E24BD9">
        <w:t>.</w:t>
      </w:r>
      <w:r w:rsidR="00BB0F52">
        <w:t xml:space="preserve"> The outcomes of</w:t>
      </w:r>
      <w:r w:rsidR="00965007">
        <w:t xml:space="preserve"> these sensitivity tests are </w:t>
      </w:r>
      <w:r w:rsidR="009720EB">
        <w:t>shown</w:t>
      </w:r>
      <w:r w:rsidR="00965007">
        <w:t xml:space="preserve"> in </w:t>
      </w:r>
      <w:r w:rsidR="00553750">
        <w:t xml:space="preserve">Tables </w:t>
      </w:r>
      <w:r w:rsidR="006B0EA5">
        <w:t>12</w:t>
      </w:r>
      <w:r w:rsidR="002C5726">
        <w:t xml:space="preserve"> </w:t>
      </w:r>
      <w:r w:rsidR="00553750">
        <w:rPr>
          <w:noProof/>
        </w:rPr>
        <w:t xml:space="preserve">to </w:t>
      </w:r>
      <w:r w:rsidR="006B0EA5">
        <w:t>1</w:t>
      </w:r>
      <w:r w:rsidR="00453E08">
        <w:t>7</w:t>
      </w:r>
      <w:r w:rsidR="00553750">
        <w:rPr>
          <w:noProof/>
        </w:rPr>
        <w:t xml:space="preserve"> </w:t>
      </w:r>
      <w:r w:rsidR="00965007">
        <w:t>below.</w:t>
      </w:r>
      <w:r w:rsidR="00C12642">
        <w:t xml:space="preserve"> </w:t>
      </w:r>
      <w:r w:rsidR="00121C62">
        <w:t xml:space="preserve">The net benefits </w:t>
      </w:r>
      <w:r w:rsidR="00E87E48">
        <w:t xml:space="preserve">for each option are positive under all </w:t>
      </w:r>
      <w:r w:rsidR="00863F34">
        <w:t xml:space="preserve">these </w:t>
      </w:r>
      <w:r w:rsidR="00E87E48">
        <w:t>scenarios</w:t>
      </w:r>
      <w:r w:rsidR="00C12642">
        <w:t>.</w:t>
      </w:r>
      <w:r w:rsidR="00E87E48">
        <w:t xml:space="preserve"> The largest impact on net benefits occurs for changes in trip reductions for wider vehicles, followed by changes in the effectiveness and cost of the </w:t>
      </w:r>
      <w:r w:rsidR="00863F34">
        <w:t xml:space="preserve">mandatory </w:t>
      </w:r>
      <w:r w:rsidR="00E87E48">
        <w:t>safety systems or features.</w:t>
      </w:r>
    </w:p>
    <w:p w:rsidR="00E24BD9" w:rsidRDefault="00E24BD9" w:rsidP="00E24BD9">
      <w:pPr>
        <w:pStyle w:val="Caption"/>
        <w:keepNext/>
      </w:pPr>
      <w:bookmarkStart w:id="72" w:name="_Ref111041592"/>
      <w:bookmarkStart w:id="73" w:name="_Toc135320137"/>
      <w:r>
        <w:t xml:space="preserve">Table </w:t>
      </w:r>
      <w:fldSimple w:instr=" SEQ Table \* ARABIC ">
        <w:r w:rsidR="00534814">
          <w:rPr>
            <w:noProof/>
          </w:rPr>
          <w:t>12</w:t>
        </w:r>
      </w:fldSimple>
      <w:bookmarkEnd w:id="72"/>
      <w:r w:rsidR="001C5C07">
        <w:t xml:space="preserve">: </w:t>
      </w:r>
      <w:r>
        <w:t>Impact of changes in infrastructure update costs</w:t>
      </w:r>
      <w:r w:rsidR="006E727B" w:rsidRPr="006E727B">
        <w:t xml:space="preserve"> </w:t>
      </w:r>
      <w:r w:rsidR="006E727B">
        <w:t>on net benefits</w:t>
      </w:r>
      <w:bookmarkEnd w:id="73"/>
    </w:p>
    <w:tbl>
      <w:tblPr>
        <w:tblStyle w:val="TableGrid"/>
        <w:tblW w:w="0" w:type="auto"/>
        <w:tblLook w:val="04A0" w:firstRow="1" w:lastRow="0" w:firstColumn="1" w:lastColumn="0" w:noHBand="0" w:noVBand="1"/>
      </w:tblPr>
      <w:tblGrid>
        <w:gridCol w:w="2263"/>
        <w:gridCol w:w="1842"/>
        <w:gridCol w:w="1843"/>
        <w:gridCol w:w="1843"/>
        <w:gridCol w:w="1985"/>
      </w:tblGrid>
      <w:tr w:rsidR="00965007" w:rsidTr="00680230">
        <w:trPr>
          <w:trHeight w:val="340"/>
        </w:trPr>
        <w:tc>
          <w:tcPr>
            <w:tcW w:w="2263" w:type="dxa"/>
            <w:shd w:val="clear" w:color="auto" w:fill="081E3E" w:themeFill="text2"/>
            <w:vAlign w:val="center"/>
          </w:tcPr>
          <w:p w:rsidR="00965007" w:rsidRPr="00731C0C" w:rsidRDefault="00965007" w:rsidP="00680230">
            <w:pPr>
              <w:pStyle w:val="Table2heading"/>
              <w:jc w:val="left"/>
            </w:pPr>
            <w:r>
              <w:t>Net Benefits</w:t>
            </w:r>
          </w:p>
        </w:tc>
        <w:tc>
          <w:tcPr>
            <w:tcW w:w="1842" w:type="dxa"/>
            <w:shd w:val="clear" w:color="auto" w:fill="081E3E" w:themeFill="text2"/>
            <w:vAlign w:val="center"/>
          </w:tcPr>
          <w:p w:rsidR="00965007" w:rsidRPr="00731C0C" w:rsidRDefault="00965007" w:rsidP="00680230">
            <w:pPr>
              <w:pStyle w:val="Table2heading"/>
              <w:keepNext/>
            </w:pPr>
            <w:r w:rsidRPr="00731C0C">
              <w:t>Option 3.1a</w:t>
            </w:r>
          </w:p>
        </w:tc>
        <w:tc>
          <w:tcPr>
            <w:tcW w:w="1843" w:type="dxa"/>
            <w:shd w:val="clear" w:color="auto" w:fill="081E3E" w:themeFill="text2"/>
            <w:vAlign w:val="center"/>
          </w:tcPr>
          <w:p w:rsidR="00965007" w:rsidRPr="00731C0C" w:rsidRDefault="00965007" w:rsidP="00680230">
            <w:pPr>
              <w:pStyle w:val="Table2heading"/>
              <w:keepNext/>
            </w:pPr>
            <w:r w:rsidRPr="00731C0C">
              <w:t>Option 3.1b</w:t>
            </w:r>
          </w:p>
        </w:tc>
        <w:tc>
          <w:tcPr>
            <w:tcW w:w="1843" w:type="dxa"/>
            <w:shd w:val="clear" w:color="auto" w:fill="081E3E" w:themeFill="text2"/>
            <w:vAlign w:val="center"/>
          </w:tcPr>
          <w:p w:rsidR="00965007" w:rsidRPr="00731C0C" w:rsidRDefault="00965007" w:rsidP="00680230">
            <w:pPr>
              <w:pStyle w:val="Table2heading"/>
              <w:keepNext/>
            </w:pPr>
            <w:r w:rsidRPr="00731C0C">
              <w:t>Option 3.2a</w:t>
            </w:r>
          </w:p>
        </w:tc>
        <w:tc>
          <w:tcPr>
            <w:tcW w:w="1985" w:type="dxa"/>
            <w:shd w:val="clear" w:color="auto" w:fill="081E3E" w:themeFill="text2"/>
            <w:vAlign w:val="center"/>
          </w:tcPr>
          <w:p w:rsidR="00965007" w:rsidRPr="00731C0C" w:rsidRDefault="00965007" w:rsidP="00680230">
            <w:pPr>
              <w:pStyle w:val="Table2heading"/>
              <w:keepNext/>
            </w:pPr>
            <w:r w:rsidRPr="00731C0C">
              <w:t>Option 3.2b</w:t>
            </w:r>
          </w:p>
        </w:tc>
      </w:tr>
      <w:tr w:rsidR="0066049C" w:rsidTr="00680230">
        <w:trPr>
          <w:trHeight w:val="340"/>
        </w:trPr>
        <w:tc>
          <w:tcPr>
            <w:tcW w:w="2263" w:type="dxa"/>
            <w:vAlign w:val="center"/>
          </w:tcPr>
          <w:p w:rsidR="0066049C" w:rsidRPr="00E856F5" w:rsidRDefault="0066049C" w:rsidP="00680230">
            <w:pPr>
              <w:rPr>
                <w:b/>
              </w:rPr>
            </w:pPr>
            <w:r>
              <w:rPr>
                <w:b/>
              </w:rPr>
              <w:t>Worst Case (+20%)</w:t>
            </w:r>
          </w:p>
        </w:tc>
        <w:tc>
          <w:tcPr>
            <w:tcW w:w="1842" w:type="dxa"/>
            <w:vAlign w:val="center"/>
          </w:tcPr>
          <w:p w:rsidR="0066049C" w:rsidRDefault="0066049C" w:rsidP="00680230">
            <w:pPr>
              <w:jc w:val="center"/>
            </w:pPr>
            <w:r w:rsidRPr="009C59E0">
              <w:t>$650</w:t>
            </w:r>
            <w:r>
              <w:t> m</w:t>
            </w:r>
          </w:p>
        </w:tc>
        <w:tc>
          <w:tcPr>
            <w:tcW w:w="1843" w:type="dxa"/>
            <w:vAlign w:val="center"/>
          </w:tcPr>
          <w:p w:rsidR="0066049C" w:rsidRDefault="0066049C" w:rsidP="00680230">
            <w:pPr>
              <w:jc w:val="center"/>
            </w:pPr>
            <w:r w:rsidRPr="009C59E0">
              <w:t>$585</w:t>
            </w:r>
            <w:r>
              <w:t> m</w:t>
            </w:r>
          </w:p>
        </w:tc>
        <w:tc>
          <w:tcPr>
            <w:tcW w:w="1843" w:type="dxa"/>
            <w:vAlign w:val="center"/>
          </w:tcPr>
          <w:p w:rsidR="0066049C" w:rsidRDefault="0066049C" w:rsidP="00680230">
            <w:pPr>
              <w:jc w:val="center"/>
            </w:pPr>
            <w:r w:rsidRPr="009C59E0">
              <w:t>$1,035</w:t>
            </w:r>
            <w:r>
              <w:t> m</w:t>
            </w:r>
          </w:p>
        </w:tc>
        <w:tc>
          <w:tcPr>
            <w:tcW w:w="1985" w:type="dxa"/>
            <w:vAlign w:val="center"/>
          </w:tcPr>
          <w:p w:rsidR="0066049C" w:rsidRDefault="0066049C" w:rsidP="00680230">
            <w:pPr>
              <w:jc w:val="center"/>
            </w:pPr>
            <w:r w:rsidRPr="009C59E0">
              <w:t>$928</w:t>
            </w:r>
            <w:r>
              <w:t> m</w:t>
            </w:r>
          </w:p>
        </w:tc>
      </w:tr>
      <w:tr w:rsidR="0066049C" w:rsidTr="00680230">
        <w:trPr>
          <w:trHeight w:val="340"/>
        </w:trPr>
        <w:tc>
          <w:tcPr>
            <w:tcW w:w="2263" w:type="dxa"/>
            <w:vAlign w:val="center"/>
          </w:tcPr>
          <w:p w:rsidR="0066049C" w:rsidRPr="00E856F5" w:rsidRDefault="0066049C" w:rsidP="00680230">
            <w:pPr>
              <w:rPr>
                <w:b/>
              </w:rPr>
            </w:pPr>
            <w:r>
              <w:rPr>
                <w:b/>
              </w:rPr>
              <w:t>Main Analysis</w:t>
            </w:r>
          </w:p>
        </w:tc>
        <w:tc>
          <w:tcPr>
            <w:tcW w:w="1842" w:type="dxa"/>
            <w:vAlign w:val="center"/>
          </w:tcPr>
          <w:p w:rsidR="0066049C" w:rsidRDefault="0066049C" w:rsidP="00680230">
            <w:pPr>
              <w:jc w:val="center"/>
            </w:pPr>
            <w:r w:rsidRPr="0054194A">
              <w:t>$6</w:t>
            </w:r>
            <w:r>
              <w:t>5</w:t>
            </w:r>
            <w:r w:rsidRPr="0054194A">
              <w:t>4</w:t>
            </w:r>
            <w:r>
              <w:t> m</w:t>
            </w:r>
          </w:p>
        </w:tc>
        <w:tc>
          <w:tcPr>
            <w:tcW w:w="1843" w:type="dxa"/>
            <w:vAlign w:val="center"/>
          </w:tcPr>
          <w:p w:rsidR="0066049C" w:rsidRDefault="0066049C" w:rsidP="00680230">
            <w:pPr>
              <w:jc w:val="center"/>
            </w:pPr>
            <w:r w:rsidRPr="0054194A">
              <w:t>$588</w:t>
            </w:r>
            <w:r>
              <w:t> m</w:t>
            </w:r>
          </w:p>
        </w:tc>
        <w:tc>
          <w:tcPr>
            <w:tcW w:w="1843" w:type="dxa"/>
            <w:vAlign w:val="center"/>
          </w:tcPr>
          <w:p w:rsidR="0066049C" w:rsidRDefault="0066049C" w:rsidP="00680230">
            <w:pPr>
              <w:jc w:val="center"/>
            </w:pPr>
            <w:r w:rsidRPr="0054194A">
              <w:t>$</w:t>
            </w:r>
            <w:r>
              <w:t>1,038 m</w:t>
            </w:r>
          </w:p>
        </w:tc>
        <w:tc>
          <w:tcPr>
            <w:tcW w:w="1985" w:type="dxa"/>
            <w:vAlign w:val="center"/>
          </w:tcPr>
          <w:p w:rsidR="0066049C" w:rsidRDefault="0066049C" w:rsidP="00680230">
            <w:pPr>
              <w:jc w:val="center"/>
            </w:pPr>
            <w:r w:rsidRPr="0054194A">
              <w:t>$931</w:t>
            </w:r>
            <w:r>
              <w:t> m</w:t>
            </w:r>
          </w:p>
        </w:tc>
      </w:tr>
      <w:tr w:rsidR="0066049C" w:rsidTr="00680230">
        <w:trPr>
          <w:trHeight w:val="340"/>
        </w:trPr>
        <w:tc>
          <w:tcPr>
            <w:tcW w:w="2263" w:type="dxa"/>
            <w:vAlign w:val="center"/>
          </w:tcPr>
          <w:p w:rsidR="0066049C" w:rsidRPr="00E856F5" w:rsidRDefault="0066049C" w:rsidP="00680230">
            <w:pPr>
              <w:rPr>
                <w:b/>
              </w:rPr>
            </w:pPr>
            <w:r>
              <w:rPr>
                <w:b/>
              </w:rPr>
              <w:t>Best Case (-20%)</w:t>
            </w:r>
          </w:p>
        </w:tc>
        <w:tc>
          <w:tcPr>
            <w:tcW w:w="1842" w:type="dxa"/>
            <w:vAlign w:val="center"/>
          </w:tcPr>
          <w:p w:rsidR="0066049C" w:rsidRDefault="0066049C" w:rsidP="00680230">
            <w:pPr>
              <w:jc w:val="center"/>
            </w:pPr>
            <w:r w:rsidRPr="0066049C">
              <w:t>$657 m</w:t>
            </w:r>
          </w:p>
        </w:tc>
        <w:tc>
          <w:tcPr>
            <w:tcW w:w="1843" w:type="dxa"/>
            <w:vAlign w:val="center"/>
          </w:tcPr>
          <w:p w:rsidR="0066049C" w:rsidRDefault="0066049C" w:rsidP="00680230">
            <w:pPr>
              <w:jc w:val="center"/>
            </w:pPr>
            <w:r w:rsidRPr="0066049C">
              <w:t>$591 m</w:t>
            </w:r>
          </w:p>
        </w:tc>
        <w:tc>
          <w:tcPr>
            <w:tcW w:w="1843" w:type="dxa"/>
            <w:vAlign w:val="center"/>
          </w:tcPr>
          <w:p w:rsidR="0066049C" w:rsidRDefault="0066049C" w:rsidP="00680230">
            <w:pPr>
              <w:jc w:val="center"/>
            </w:pPr>
            <w:r w:rsidRPr="0066049C">
              <w:t>$1,042 m</w:t>
            </w:r>
          </w:p>
        </w:tc>
        <w:tc>
          <w:tcPr>
            <w:tcW w:w="1985" w:type="dxa"/>
            <w:vAlign w:val="center"/>
          </w:tcPr>
          <w:p w:rsidR="0066049C" w:rsidRDefault="0066049C" w:rsidP="00680230">
            <w:pPr>
              <w:jc w:val="center"/>
            </w:pPr>
            <w:r w:rsidRPr="0066049C">
              <w:t>$934 m</w:t>
            </w:r>
          </w:p>
        </w:tc>
      </w:tr>
    </w:tbl>
    <w:p w:rsidR="00A8498D" w:rsidRDefault="00A8498D" w:rsidP="00F64C22">
      <w:pPr>
        <w:pStyle w:val="Caption"/>
        <w:keepNext/>
      </w:pPr>
      <w:bookmarkStart w:id="74" w:name="_Toc135320138"/>
      <w:r>
        <w:t xml:space="preserve">Table </w:t>
      </w:r>
      <w:fldSimple w:instr=" SEQ Table \* ARABIC ">
        <w:r w:rsidR="00534814">
          <w:rPr>
            <w:noProof/>
          </w:rPr>
          <w:t>13</w:t>
        </w:r>
      </w:fldSimple>
      <w:r w:rsidR="001C5C07">
        <w:t xml:space="preserve">: </w:t>
      </w:r>
      <w:r>
        <w:t>Impact of changes in fleet growth for heavy freight vehicles</w:t>
      </w:r>
      <w:r w:rsidR="006E727B" w:rsidRPr="006E727B">
        <w:t xml:space="preserve"> </w:t>
      </w:r>
      <w:r w:rsidR="006E727B">
        <w:t>on net benefits</w:t>
      </w:r>
      <w:bookmarkEnd w:id="74"/>
    </w:p>
    <w:tbl>
      <w:tblPr>
        <w:tblStyle w:val="TableGrid"/>
        <w:tblW w:w="0" w:type="auto"/>
        <w:tblLook w:val="04A0" w:firstRow="1" w:lastRow="0" w:firstColumn="1" w:lastColumn="0" w:noHBand="0" w:noVBand="1"/>
      </w:tblPr>
      <w:tblGrid>
        <w:gridCol w:w="1955"/>
        <w:gridCol w:w="1955"/>
        <w:gridCol w:w="1955"/>
        <w:gridCol w:w="1955"/>
        <w:gridCol w:w="1956"/>
      </w:tblGrid>
      <w:tr w:rsidR="00A8498D" w:rsidTr="00680230">
        <w:trPr>
          <w:trHeight w:val="340"/>
        </w:trPr>
        <w:tc>
          <w:tcPr>
            <w:tcW w:w="1955" w:type="dxa"/>
            <w:shd w:val="clear" w:color="auto" w:fill="081E3E" w:themeFill="text2"/>
          </w:tcPr>
          <w:p w:rsidR="00A8498D" w:rsidRPr="00731C0C" w:rsidRDefault="00A8498D" w:rsidP="009A7B0F">
            <w:pPr>
              <w:pStyle w:val="Table2heading"/>
              <w:jc w:val="left"/>
            </w:pPr>
            <w:r>
              <w:t>Net Benefits</w:t>
            </w:r>
          </w:p>
        </w:tc>
        <w:tc>
          <w:tcPr>
            <w:tcW w:w="1955" w:type="dxa"/>
            <w:shd w:val="clear" w:color="auto" w:fill="081E3E" w:themeFill="text2"/>
          </w:tcPr>
          <w:p w:rsidR="00A8498D" w:rsidRPr="00731C0C" w:rsidRDefault="00A8498D" w:rsidP="009A7B0F">
            <w:pPr>
              <w:pStyle w:val="Table2heading"/>
              <w:keepNext/>
            </w:pPr>
            <w:r w:rsidRPr="00731C0C">
              <w:t>Option 3.1a</w:t>
            </w:r>
          </w:p>
        </w:tc>
        <w:tc>
          <w:tcPr>
            <w:tcW w:w="1955" w:type="dxa"/>
            <w:shd w:val="clear" w:color="auto" w:fill="081E3E" w:themeFill="text2"/>
          </w:tcPr>
          <w:p w:rsidR="00A8498D" w:rsidRPr="00731C0C" w:rsidRDefault="00A8498D" w:rsidP="009A7B0F">
            <w:pPr>
              <w:pStyle w:val="Table2heading"/>
              <w:keepNext/>
            </w:pPr>
            <w:r w:rsidRPr="00731C0C">
              <w:t>Option 3.1b</w:t>
            </w:r>
          </w:p>
        </w:tc>
        <w:tc>
          <w:tcPr>
            <w:tcW w:w="1955" w:type="dxa"/>
            <w:shd w:val="clear" w:color="auto" w:fill="081E3E" w:themeFill="text2"/>
          </w:tcPr>
          <w:p w:rsidR="00A8498D" w:rsidRPr="00731C0C" w:rsidRDefault="00A8498D" w:rsidP="009A7B0F">
            <w:pPr>
              <w:pStyle w:val="Table2heading"/>
              <w:keepNext/>
            </w:pPr>
            <w:r w:rsidRPr="00731C0C">
              <w:t>Option 3.2a</w:t>
            </w:r>
          </w:p>
        </w:tc>
        <w:tc>
          <w:tcPr>
            <w:tcW w:w="1956" w:type="dxa"/>
            <w:shd w:val="clear" w:color="auto" w:fill="081E3E" w:themeFill="text2"/>
          </w:tcPr>
          <w:p w:rsidR="00A8498D" w:rsidRPr="00731C0C" w:rsidRDefault="00A8498D" w:rsidP="009A7B0F">
            <w:pPr>
              <w:pStyle w:val="Table2heading"/>
              <w:keepNext/>
            </w:pPr>
            <w:r w:rsidRPr="00731C0C">
              <w:t>Option 3.2b</w:t>
            </w:r>
          </w:p>
        </w:tc>
      </w:tr>
      <w:tr w:rsidR="00E46178" w:rsidTr="00714D3D">
        <w:trPr>
          <w:trHeight w:val="340"/>
        </w:trPr>
        <w:tc>
          <w:tcPr>
            <w:tcW w:w="1955" w:type="dxa"/>
            <w:vAlign w:val="center"/>
          </w:tcPr>
          <w:p w:rsidR="00E46178" w:rsidRPr="00E856F5" w:rsidRDefault="00E46178" w:rsidP="00714D3D">
            <w:pPr>
              <w:rPr>
                <w:b/>
              </w:rPr>
            </w:pPr>
            <w:r>
              <w:rPr>
                <w:b/>
              </w:rPr>
              <w:t>Worst Case</w:t>
            </w:r>
          </w:p>
        </w:tc>
        <w:tc>
          <w:tcPr>
            <w:tcW w:w="1955" w:type="dxa"/>
            <w:vAlign w:val="center"/>
          </w:tcPr>
          <w:p w:rsidR="00E46178" w:rsidRDefault="00E46178" w:rsidP="00714D3D">
            <w:pPr>
              <w:jc w:val="center"/>
            </w:pPr>
            <w:r w:rsidRPr="0013553F">
              <w:t>$605</w:t>
            </w:r>
            <w:r>
              <w:t> m</w:t>
            </w:r>
          </w:p>
        </w:tc>
        <w:tc>
          <w:tcPr>
            <w:tcW w:w="1955" w:type="dxa"/>
            <w:vAlign w:val="center"/>
          </w:tcPr>
          <w:p w:rsidR="00E46178" w:rsidRDefault="00E46178" w:rsidP="00714D3D">
            <w:pPr>
              <w:jc w:val="center"/>
            </w:pPr>
            <w:r w:rsidRPr="0013553F">
              <w:t>$544</w:t>
            </w:r>
            <w:r>
              <w:t> m</w:t>
            </w:r>
          </w:p>
        </w:tc>
        <w:tc>
          <w:tcPr>
            <w:tcW w:w="1955" w:type="dxa"/>
            <w:vAlign w:val="center"/>
          </w:tcPr>
          <w:p w:rsidR="00E46178" w:rsidRDefault="00E46178" w:rsidP="00714D3D">
            <w:pPr>
              <w:jc w:val="center"/>
            </w:pPr>
            <w:r w:rsidRPr="0013553F">
              <w:t>$955</w:t>
            </w:r>
            <w:r>
              <w:t> m</w:t>
            </w:r>
          </w:p>
        </w:tc>
        <w:tc>
          <w:tcPr>
            <w:tcW w:w="1956" w:type="dxa"/>
            <w:vAlign w:val="center"/>
          </w:tcPr>
          <w:p w:rsidR="00E46178" w:rsidRDefault="00E46178" w:rsidP="00714D3D">
            <w:pPr>
              <w:jc w:val="center"/>
            </w:pPr>
            <w:r w:rsidRPr="0013553F">
              <w:t>$854</w:t>
            </w:r>
            <w:r>
              <w:t> m</w:t>
            </w:r>
          </w:p>
        </w:tc>
      </w:tr>
      <w:tr w:rsidR="0066049C" w:rsidTr="00714D3D">
        <w:trPr>
          <w:trHeight w:val="340"/>
        </w:trPr>
        <w:tc>
          <w:tcPr>
            <w:tcW w:w="1955" w:type="dxa"/>
            <w:vAlign w:val="center"/>
          </w:tcPr>
          <w:p w:rsidR="0066049C" w:rsidRPr="00E856F5" w:rsidRDefault="0066049C" w:rsidP="00714D3D">
            <w:pPr>
              <w:rPr>
                <w:b/>
              </w:rPr>
            </w:pPr>
            <w:r>
              <w:rPr>
                <w:b/>
              </w:rPr>
              <w:t>Main Analysis</w:t>
            </w:r>
          </w:p>
        </w:tc>
        <w:tc>
          <w:tcPr>
            <w:tcW w:w="1955" w:type="dxa"/>
            <w:vAlign w:val="center"/>
          </w:tcPr>
          <w:p w:rsidR="0066049C" w:rsidRDefault="0066049C" w:rsidP="00714D3D">
            <w:pPr>
              <w:jc w:val="center"/>
            </w:pPr>
            <w:r w:rsidRPr="0054194A">
              <w:t>$6</w:t>
            </w:r>
            <w:r>
              <w:t>5</w:t>
            </w:r>
            <w:r w:rsidRPr="0054194A">
              <w:t>4</w:t>
            </w:r>
            <w:r>
              <w:t> m</w:t>
            </w:r>
          </w:p>
        </w:tc>
        <w:tc>
          <w:tcPr>
            <w:tcW w:w="1955" w:type="dxa"/>
            <w:vAlign w:val="center"/>
          </w:tcPr>
          <w:p w:rsidR="0066049C" w:rsidRDefault="0066049C" w:rsidP="00714D3D">
            <w:pPr>
              <w:jc w:val="center"/>
            </w:pPr>
            <w:r w:rsidRPr="0054194A">
              <w:t>$588</w:t>
            </w:r>
            <w:r>
              <w:t> m</w:t>
            </w:r>
          </w:p>
        </w:tc>
        <w:tc>
          <w:tcPr>
            <w:tcW w:w="1955" w:type="dxa"/>
            <w:vAlign w:val="center"/>
          </w:tcPr>
          <w:p w:rsidR="0066049C" w:rsidRDefault="0066049C" w:rsidP="00714D3D">
            <w:pPr>
              <w:jc w:val="center"/>
            </w:pPr>
            <w:r w:rsidRPr="0054194A">
              <w:t>$</w:t>
            </w:r>
            <w:r>
              <w:t>1,038 m</w:t>
            </w:r>
          </w:p>
        </w:tc>
        <w:tc>
          <w:tcPr>
            <w:tcW w:w="1956" w:type="dxa"/>
            <w:vAlign w:val="center"/>
          </w:tcPr>
          <w:p w:rsidR="0066049C" w:rsidRDefault="0066049C" w:rsidP="00714D3D">
            <w:pPr>
              <w:jc w:val="center"/>
            </w:pPr>
            <w:r w:rsidRPr="0054194A">
              <w:t>$931</w:t>
            </w:r>
            <w:r>
              <w:t> m</w:t>
            </w:r>
          </w:p>
        </w:tc>
      </w:tr>
      <w:tr w:rsidR="00653EE5" w:rsidTr="00714D3D">
        <w:trPr>
          <w:trHeight w:val="340"/>
        </w:trPr>
        <w:tc>
          <w:tcPr>
            <w:tcW w:w="1955" w:type="dxa"/>
            <w:vAlign w:val="center"/>
          </w:tcPr>
          <w:p w:rsidR="00653EE5" w:rsidRPr="00E856F5" w:rsidRDefault="00653EE5" w:rsidP="00714D3D">
            <w:pPr>
              <w:rPr>
                <w:b/>
              </w:rPr>
            </w:pPr>
            <w:r>
              <w:rPr>
                <w:b/>
              </w:rPr>
              <w:t>Best Case</w:t>
            </w:r>
          </w:p>
        </w:tc>
        <w:tc>
          <w:tcPr>
            <w:tcW w:w="1955" w:type="dxa"/>
            <w:vAlign w:val="center"/>
          </w:tcPr>
          <w:p w:rsidR="00653EE5" w:rsidRDefault="00653EE5" w:rsidP="00714D3D">
            <w:pPr>
              <w:jc w:val="center"/>
            </w:pPr>
            <w:r w:rsidRPr="00851959">
              <w:t>$708</w:t>
            </w:r>
            <w:r>
              <w:t> m</w:t>
            </w:r>
          </w:p>
        </w:tc>
        <w:tc>
          <w:tcPr>
            <w:tcW w:w="1955" w:type="dxa"/>
            <w:vAlign w:val="center"/>
          </w:tcPr>
          <w:p w:rsidR="00653EE5" w:rsidRDefault="00653EE5" w:rsidP="00714D3D">
            <w:pPr>
              <w:jc w:val="center"/>
            </w:pPr>
            <w:r w:rsidRPr="00851959">
              <w:t>$638</w:t>
            </w:r>
            <w:r>
              <w:t> m</w:t>
            </w:r>
          </w:p>
        </w:tc>
        <w:tc>
          <w:tcPr>
            <w:tcW w:w="1955" w:type="dxa"/>
            <w:vAlign w:val="center"/>
          </w:tcPr>
          <w:p w:rsidR="00653EE5" w:rsidRDefault="00653EE5" w:rsidP="00714D3D">
            <w:pPr>
              <w:jc w:val="center"/>
            </w:pPr>
            <w:r w:rsidRPr="00851959">
              <w:t>$1,131</w:t>
            </w:r>
            <w:r>
              <w:t> m</w:t>
            </w:r>
          </w:p>
        </w:tc>
        <w:tc>
          <w:tcPr>
            <w:tcW w:w="1956" w:type="dxa"/>
            <w:vAlign w:val="center"/>
          </w:tcPr>
          <w:p w:rsidR="00653EE5" w:rsidRDefault="00653EE5" w:rsidP="00714D3D">
            <w:pPr>
              <w:jc w:val="center"/>
            </w:pPr>
            <w:r w:rsidRPr="00851959">
              <w:t>$1,016</w:t>
            </w:r>
            <w:r>
              <w:t> m</w:t>
            </w:r>
          </w:p>
        </w:tc>
      </w:tr>
    </w:tbl>
    <w:p w:rsidR="00D479B4" w:rsidRDefault="00D479B4" w:rsidP="00680230">
      <w:pPr>
        <w:pStyle w:val="Caption"/>
        <w:keepNext/>
      </w:pPr>
      <w:bookmarkStart w:id="75" w:name="_Toc135320139"/>
      <w:r>
        <w:t xml:space="preserve">Table </w:t>
      </w:r>
      <w:fldSimple w:instr=" SEQ Table \* ARABIC ">
        <w:r w:rsidR="00534814">
          <w:rPr>
            <w:noProof/>
          </w:rPr>
          <w:t>14</w:t>
        </w:r>
      </w:fldSimple>
      <w:r w:rsidR="00920065">
        <w:t xml:space="preserve">: </w:t>
      </w:r>
      <w:r>
        <w:t>Impact of changes in the cost of safety</w:t>
      </w:r>
      <w:r w:rsidR="008C56E5">
        <w:t xml:space="preserve"> systems or</w:t>
      </w:r>
      <w:r>
        <w:t xml:space="preserve"> features</w:t>
      </w:r>
      <w:r w:rsidR="006E727B" w:rsidRPr="006E727B">
        <w:t xml:space="preserve"> </w:t>
      </w:r>
      <w:r w:rsidR="006E727B">
        <w:t>on net benefits</w:t>
      </w:r>
      <w:bookmarkEnd w:id="75"/>
    </w:p>
    <w:tbl>
      <w:tblPr>
        <w:tblStyle w:val="TableGrid"/>
        <w:tblW w:w="0" w:type="auto"/>
        <w:tblLook w:val="04A0" w:firstRow="1" w:lastRow="0" w:firstColumn="1" w:lastColumn="0" w:noHBand="0" w:noVBand="1"/>
      </w:tblPr>
      <w:tblGrid>
        <w:gridCol w:w="1955"/>
        <w:gridCol w:w="1955"/>
        <w:gridCol w:w="1955"/>
        <w:gridCol w:w="1955"/>
        <w:gridCol w:w="1956"/>
      </w:tblGrid>
      <w:tr w:rsidR="00965007" w:rsidTr="00680230">
        <w:trPr>
          <w:trHeight w:val="340"/>
        </w:trPr>
        <w:tc>
          <w:tcPr>
            <w:tcW w:w="1955" w:type="dxa"/>
            <w:shd w:val="clear" w:color="auto" w:fill="081E3E" w:themeFill="text2"/>
            <w:vAlign w:val="center"/>
          </w:tcPr>
          <w:p w:rsidR="00965007" w:rsidRPr="00731C0C" w:rsidRDefault="00965007" w:rsidP="00680230">
            <w:pPr>
              <w:pStyle w:val="Table2heading"/>
              <w:jc w:val="left"/>
            </w:pPr>
            <w:r>
              <w:t>Net Benefits</w:t>
            </w:r>
          </w:p>
        </w:tc>
        <w:tc>
          <w:tcPr>
            <w:tcW w:w="1955" w:type="dxa"/>
            <w:shd w:val="clear" w:color="auto" w:fill="081E3E" w:themeFill="text2"/>
            <w:vAlign w:val="center"/>
          </w:tcPr>
          <w:p w:rsidR="00965007" w:rsidRPr="00731C0C" w:rsidRDefault="00965007" w:rsidP="00680230">
            <w:pPr>
              <w:pStyle w:val="Table2heading"/>
              <w:keepNext/>
            </w:pPr>
            <w:r w:rsidRPr="00731C0C">
              <w:t>Option 3.1a</w:t>
            </w:r>
          </w:p>
        </w:tc>
        <w:tc>
          <w:tcPr>
            <w:tcW w:w="1955" w:type="dxa"/>
            <w:shd w:val="clear" w:color="auto" w:fill="081E3E" w:themeFill="text2"/>
            <w:vAlign w:val="center"/>
          </w:tcPr>
          <w:p w:rsidR="00965007" w:rsidRPr="00731C0C" w:rsidRDefault="00965007" w:rsidP="00680230">
            <w:pPr>
              <w:pStyle w:val="Table2heading"/>
              <w:keepNext/>
            </w:pPr>
            <w:r w:rsidRPr="00731C0C">
              <w:t>Option 3.1b</w:t>
            </w:r>
          </w:p>
        </w:tc>
        <w:tc>
          <w:tcPr>
            <w:tcW w:w="1955" w:type="dxa"/>
            <w:shd w:val="clear" w:color="auto" w:fill="081E3E" w:themeFill="text2"/>
            <w:vAlign w:val="center"/>
          </w:tcPr>
          <w:p w:rsidR="00965007" w:rsidRPr="00731C0C" w:rsidRDefault="00965007" w:rsidP="00680230">
            <w:pPr>
              <w:pStyle w:val="Table2heading"/>
              <w:keepNext/>
            </w:pPr>
            <w:r w:rsidRPr="00731C0C">
              <w:t>Option 3.2a</w:t>
            </w:r>
          </w:p>
        </w:tc>
        <w:tc>
          <w:tcPr>
            <w:tcW w:w="1956" w:type="dxa"/>
            <w:shd w:val="clear" w:color="auto" w:fill="081E3E" w:themeFill="text2"/>
            <w:vAlign w:val="center"/>
          </w:tcPr>
          <w:p w:rsidR="00965007" w:rsidRPr="00731C0C" w:rsidRDefault="00965007" w:rsidP="00680230">
            <w:pPr>
              <w:pStyle w:val="Table2heading"/>
              <w:keepNext/>
            </w:pPr>
            <w:r w:rsidRPr="00731C0C">
              <w:t>Option 3.2b</w:t>
            </w:r>
          </w:p>
        </w:tc>
      </w:tr>
      <w:tr w:rsidR="00654C75" w:rsidTr="00680230">
        <w:trPr>
          <w:trHeight w:val="340"/>
        </w:trPr>
        <w:tc>
          <w:tcPr>
            <w:tcW w:w="1955" w:type="dxa"/>
            <w:vAlign w:val="center"/>
          </w:tcPr>
          <w:p w:rsidR="00654C75" w:rsidRPr="00E856F5" w:rsidRDefault="00654C75" w:rsidP="00680230">
            <w:pPr>
              <w:rPr>
                <w:b/>
              </w:rPr>
            </w:pPr>
            <w:r>
              <w:rPr>
                <w:b/>
              </w:rPr>
              <w:t>Worst Case (+20%)</w:t>
            </w:r>
          </w:p>
        </w:tc>
        <w:tc>
          <w:tcPr>
            <w:tcW w:w="1955" w:type="dxa"/>
            <w:vAlign w:val="center"/>
          </w:tcPr>
          <w:p w:rsidR="00654C75" w:rsidRDefault="00654C75" w:rsidP="00680230">
            <w:pPr>
              <w:jc w:val="center"/>
            </w:pPr>
            <w:r w:rsidRPr="002B44A7">
              <w:t>$579 m</w:t>
            </w:r>
          </w:p>
        </w:tc>
        <w:tc>
          <w:tcPr>
            <w:tcW w:w="1955" w:type="dxa"/>
            <w:vAlign w:val="center"/>
          </w:tcPr>
          <w:p w:rsidR="00654C75" w:rsidRDefault="00654C75" w:rsidP="00680230">
            <w:pPr>
              <w:jc w:val="center"/>
            </w:pPr>
            <w:r w:rsidRPr="002B44A7">
              <w:t>$521 m</w:t>
            </w:r>
          </w:p>
        </w:tc>
        <w:tc>
          <w:tcPr>
            <w:tcW w:w="1955" w:type="dxa"/>
            <w:vAlign w:val="center"/>
          </w:tcPr>
          <w:p w:rsidR="00654C75" w:rsidRDefault="00654C75" w:rsidP="00680230">
            <w:pPr>
              <w:jc w:val="center"/>
            </w:pPr>
            <w:r w:rsidRPr="002B44A7">
              <w:t>$964 m</w:t>
            </w:r>
          </w:p>
        </w:tc>
        <w:tc>
          <w:tcPr>
            <w:tcW w:w="1956" w:type="dxa"/>
            <w:vAlign w:val="center"/>
          </w:tcPr>
          <w:p w:rsidR="00654C75" w:rsidRDefault="00654C75" w:rsidP="00680230">
            <w:pPr>
              <w:jc w:val="center"/>
            </w:pPr>
            <w:r w:rsidRPr="002B44A7">
              <w:t>$864 m</w:t>
            </w:r>
          </w:p>
        </w:tc>
      </w:tr>
      <w:tr w:rsidR="0066049C" w:rsidTr="00680230">
        <w:trPr>
          <w:trHeight w:val="340"/>
        </w:trPr>
        <w:tc>
          <w:tcPr>
            <w:tcW w:w="1955" w:type="dxa"/>
            <w:vAlign w:val="center"/>
          </w:tcPr>
          <w:p w:rsidR="0066049C" w:rsidRPr="00E856F5" w:rsidRDefault="0066049C" w:rsidP="00680230">
            <w:pPr>
              <w:rPr>
                <w:b/>
              </w:rPr>
            </w:pPr>
            <w:r>
              <w:rPr>
                <w:b/>
              </w:rPr>
              <w:t>Main Analysis</w:t>
            </w:r>
          </w:p>
        </w:tc>
        <w:tc>
          <w:tcPr>
            <w:tcW w:w="1955" w:type="dxa"/>
            <w:vAlign w:val="center"/>
          </w:tcPr>
          <w:p w:rsidR="0066049C" w:rsidRDefault="0066049C" w:rsidP="00680230">
            <w:pPr>
              <w:jc w:val="center"/>
            </w:pPr>
            <w:r w:rsidRPr="0054194A">
              <w:t>$6</w:t>
            </w:r>
            <w:r>
              <w:t>5</w:t>
            </w:r>
            <w:r w:rsidRPr="0054194A">
              <w:t>4</w:t>
            </w:r>
            <w:r>
              <w:t> m</w:t>
            </w:r>
          </w:p>
        </w:tc>
        <w:tc>
          <w:tcPr>
            <w:tcW w:w="1955" w:type="dxa"/>
            <w:vAlign w:val="center"/>
          </w:tcPr>
          <w:p w:rsidR="0066049C" w:rsidRPr="00283BF1" w:rsidRDefault="0066049C" w:rsidP="00680230">
            <w:pPr>
              <w:jc w:val="center"/>
            </w:pPr>
            <w:r w:rsidRPr="0054194A">
              <w:t>$588</w:t>
            </w:r>
            <w:r>
              <w:t> m</w:t>
            </w:r>
          </w:p>
        </w:tc>
        <w:tc>
          <w:tcPr>
            <w:tcW w:w="1955" w:type="dxa"/>
            <w:vAlign w:val="center"/>
          </w:tcPr>
          <w:p w:rsidR="0066049C" w:rsidRPr="00283BF1" w:rsidRDefault="0066049C" w:rsidP="00680230">
            <w:pPr>
              <w:jc w:val="center"/>
            </w:pPr>
            <w:r w:rsidRPr="0054194A">
              <w:t>$</w:t>
            </w:r>
            <w:r>
              <w:t>1,038 m</w:t>
            </w:r>
          </w:p>
        </w:tc>
        <w:tc>
          <w:tcPr>
            <w:tcW w:w="1956" w:type="dxa"/>
            <w:vAlign w:val="center"/>
          </w:tcPr>
          <w:p w:rsidR="0066049C" w:rsidRPr="00283BF1" w:rsidRDefault="0066049C" w:rsidP="00680230">
            <w:pPr>
              <w:jc w:val="center"/>
            </w:pPr>
            <w:r w:rsidRPr="0054194A">
              <w:t>$931</w:t>
            </w:r>
            <w:r>
              <w:t> m</w:t>
            </w:r>
          </w:p>
        </w:tc>
      </w:tr>
      <w:tr w:rsidR="00654C75" w:rsidTr="00680230">
        <w:trPr>
          <w:trHeight w:val="340"/>
        </w:trPr>
        <w:tc>
          <w:tcPr>
            <w:tcW w:w="1955" w:type="dxa"/>
            <w:vAlign w:val="center"/>
          </w:tcPr>
          <w:p w:rsidR="00654C75" w:rsidRPr="00E856F5" w:rsidRDefault="00654C75" w:rsidP="00680230">
            <w:pPr>
              <w:rPr>
                <w:b/>
              </w:rPr>
            </w:pPr>
            <w:r>
              <w:rPr>
                <w:b/>
              </w:rPr>
              <w:t>Best Case (-20%)</w:t>
            </w:r>
          </w:p>
        </w:tc>
        <w:tc>
          <w:tcPr>
            <w:tcW w:w="1955" w:type="dxa"/>
            <w:vAlign w:val="center"/>
          </w:tcPr>
          <w:p w:rsidR="00654C75" w:rsidRDefault="00654C75" w:rsidP="00680230">
            <w:pPr>
              <w:jc w:val="center"/>
            </w:pPr>
            <w:r w:rsidRPr="002B44A7">
              <w:t>$728 m</w:t>
            </w:r>
          </w:p>
        </w:tc>
        <w:tc>
          <w:tcPr>
            <w:tcW w:w="1955" w:type="dxa"/>
            <w:vAlign w:val="center"/>
          </w:tcPr>
          <w:p w:rsidR="00654C75" w:rsidRPr="00283BF1" w:rsidRDefault="00654C75" w:rsidP="00680230">
            <w:pPr>
              <w:jc w:val="center"/>
            </w:pPr>
            <w:r w:rsidRPr="002B44A7">
              <w:t>$655 m</w:t>
            </w:r>
          </w:p>
        </w:tc>
        <w:tc>
          <w:tcPr>
            <w:tcW w:w="1955" w:type="dxa"/>
            <w:vAlign w:val="center"/>
          </w:tcPr>
          <w:p w:rsidR="00654C75" w:rsidRPr="00283BF1" w:rsidRDefault="00654C75" w:rsidP="00680230">
            <w:pPr>
              <w:jc w:val="center"/>
            </w:pPr>
            <w:r w:rsidRPr="002B44A7">
              <w:t>$1,113 m</w:t>
            </w:r>
          </w:p>
        </w:tc>
        <w:tc>
          <w:tcPr>
            <w:tcW w:w="1956" w:type="dxa"/>
            <w:vAlign w:val="center"/>
          </w:tcPr>
          <w:p w:rsidR="00654C75" w:rsidRPr="00283BF1" w:rsidRDefault="00654C75" w:rsidP="00680230">
            <w:pPr>
              <w:jc w:val="center"/>
            </w:pPr>
            <w:r w:rsidRPr="002B44A7">
              <w:t>$998 m</w:t>
            </w:r>
          </w:p>
        </w:tc>
      </w:tr>
    </w:tbl>
    <w:p w:rsidR="00965007" w:rsidRDefault="00965007" w:rsidP="000B5EFA">
      <w:pPr>
        <w:pStyle w:val="Caption"/>
        <w:keepNext/>
      </w:pPr>
      <w:bookmarkStart w:id="76" w:name="_Toc135320140"/>
      <w:r>
        <w:t xml:space="preserve">Table </w:t>
      </w:r>
      <w:fldSimple w:instr=" SEQ Table \* ARABIC ">
        <w:r w:rsidR="00534814">
          <w:rPr>
            <w:noProof/>
          </w:rPr>
          <w:t>15</w:t>
        </w:r>
      </w:fldSimple>
      <w:r>
        <w:t>:</w:t>
      </w:r>
      <w:r w:rsidR="001C5C07">
        <w:t xml:space="preserve"> </w:t>
      </w:r>
      <w:r>
        <w:t xml:space="preserve">Impact of changes in the effectiveness of safety </w:t>
      </w:r>
      <w:r w:rsidR="008C56E5">
        <w:t xml:space="preserve">systems or </w:t>
      </w:r>
      <w:r>
        <w:t>features</w:t>
      </w:r>
      <w:r w:rsidR="006E727B" w:rsidRPr="006E727B">
        <w:t xml:space="preserve"> </w:t>
      </w:r>
      <w:r w:rsidR="006E727B">
        <w:t>on net benefits</w:t>
      </w:r>
      <w:bookmarkEnd w:id="76"/>
    </w:p>
    <w:tbl>
      <w:tblPr>
        <w:tblStyle w:val="TableGrid"/>
        <w:tblW w:w="0" w:type="auto"/>
        <w:tblLook w:val="04A0" w:firstRow="1" w:lastRow="0" w:firstColumn="1" w:lastColumn="0" w:noHBand="0" w:noVBand="1"/>
      </w:tblPr>
      <w:tblGrid>
        <w:gridCol w:w="1955"/>
        <w:gridCol w:w="1955"/>
        <w:gridCol w:w="1955"/>
        <w:gridCol w:w="1955"/>
        <w:gridCol w:w="1956"/>
      </w:tblGrid>
      <w:tr w:rsidR="00965007" w:rsidTr="00680230">
        <w:trPr>
          <w:trHeight w:val="340"/>
        </w:trPr>
        <w:tc>
          <w:tcPr>
            <w:tcW w:w="1955" w:type="dxa"/>
            <w:shd w:val="clear" w:color="auto" w:fill="081E3E" w:themeFill="text2"/>
            <w:vAlign w:val="center"/>
          </w:tcPr>
          <w:p w:rsidR="00965007" w:rsidRPr="00731C0C" w:rsidRDefault="00965007" w:rsidP="00680230">
            <w:pPr>
              <w:pStyle w:val="Table2heading"/>
              <w:jc w:val="left"/>
            </w:pPr>
            <w:r>
              <w:t>Net Benefits</w:t>
            </w:r>
          </w:p>
        </w:tc>
        <w:tc>
          <w:tcPr>
            <w:tcW w:w="1955" w:type="dxa"/>
            <w:shd w:val="clear" w:color="auto" w:fill="081E3E" w:themeFill="text2"/>
            <w:vAlign w:val="center"/>
          </w:tcPr>
          <w:p w:rsidR="00965007" w:rsidRPr="00731C0C" w:rsidRDefault="00965007" w:rsidP="00680230">
            <w:pPr>
              <w:pStyle w:val="Table2heading"/>
              <w:keepNext/>
            </w:pPr>
            <w:r w:rsidRPr="00731C0C">
              <w:t>Option 3.1a</w:t>
            </w:r>
          </w:p>
        </w:tc>
        <w:tc>
          <w:tcPr>
            <w:tcW w:w="1955" w:type="dxa"/>
            <w:shd w:val="clear" w:color="auto" w:fill="081E3E" w:themeFill="text2"/>
            <w:vAlign w:val="center"/>
          </w:tcPr>
          <w:p w:rsidR="00965007" w:rsidRPr="00731C0C" w:rsidRDefault="00965007" w:rsidP="00680230">
            <w:pPr>
              <w:pStyle w:val="Table2heading"/>
              <w:keepNext/>
            </w:pPr>
            <w:r w:rsidRPr="00731C0C">
              <w:t>Option 3.1b</w:t>
            </w:r>
          </w:p>
        </w:tc>
        <w:tc>
          <w:tcPr>
            <w:tcW w:w="1955" w:type="dxa"/>
            <w:shd w:val="clear" w:color="auto" w:fill="081E3E" w:themeFill="text2"/>
            <w:vAlign w:val="center"/>
          </w:tcPr>
          <w:p w:rsidR="00965007" w:rsidRPr="00731C0C" w:rsidRDefault="00965007" w:rsidP="00680230">
            <w:pPr>
              <w:pStyle w:val="Table2heading"/>
              <w:keepNext/>
            </w:pPr>
            <w:r w:rsidRPr="00731C0C">
              <w:t>Option 3.2a</w:t>
            </w:r>
          </w:p>
        </w:tc>
        <w:tc>
          <w:tcPr>
            <w:tcW w:w="1956" w:type="dxa"/>
            <w:shd w:val="clear" w:color="auto" w:fill="081E3E" w:themeFill="text2"/>
            <w:vAlign w:val="center"/>
          </w:tcPr>
          <w:p w:rsidR="00965007" w:rsidRPr="00731C0C" w:rsidRDefault="00965007" w:rsidP="00680230">
            <w:pPr>
              <w:pStyle w:val="Table2heading"/>
              <w:keepNext/>
            </w:pPr>
            <w:r w:rsidRPr="00731C0C">
              <w:t>Option 3.2b</w:t>
            </w:r>
          </w:p>
        </w:tc>
      </w:tr>
      <w:tr w:rsidR="002B44A7" w:rsidTr="00680230">
        <w:trPr>
          <w:trHeight w:val="340"/>
        </w:trPr>
        <w:tc>
          <w:tcPr>
            <w:tcW w:w="1955" w:type="dxa"/>
            <w:vAlign w:val="center"/>
          </w:tcPr>
          <w:p w:rsidR="002B44A7" w:rsidRPr="00E856F5" w:rsidRDefault="002B44A7" w:rsidP="00680230">
            <w:pPr>
              <w:rPr>
                <w:b/>
              </w:rPr>
            </w:pPr>
            <w:r>
              <w:rPr>
                <w:b/>
              </w:rPr>
              <w:t>Worst Case (-20%)</w:t>
            </w:r>
          </w:p>
        </w:tc>
        <w:tc>
          <w:tcPr>
            <w:tcW w:w="1955" w:type="dxa"/>
            <w:vAlign w:val="center"/>
          </w:tcPr>
          <w:p w:rsidR="002B44A7" w:rsidRDefault="002B44A7" w:rsidP="00680230">
            <w:pPr>
              <w:jc w:val="center"/>
            </w:pPr>
            <w:r w:rsidRPr="002B44A7">
              <w:t>$545 m</w:t>
            </w:r>
          </w:p>
        </w:tc>
        <w:tc>
          <w:tcPr>
            <w:tcW w:w="1955" w:type="dxa"/>
            <w:vAlign w:val="center"/>
          </w:tcPr>
          <w:p w:rsidR="002B44A7" w:rsidRDefault="002B44A7" w:rsidP="00680230">
            <w:pPr>
              <w:jc w:val="center"/>
            </w:pPr>
            <w:r w:rsidRPr="002B44A7">
              <w:t>$491 m</w:t>
            </w:r>
          </w:p>
        </w:tc>
        <w:tc>
          <w:tcPr>
            <w:tcW w:w="1955" w:type="dxa"/>
            <w:vAlign w:val="center"/>
          </w:tcPr>
          <w:p w:rsidR="002B44A7" w:rsidRDefault="002B44A7" w:rsidP="00680230">
            <w:pPr>
              <w:jc w:val="center"/>
            </w:pPr>
            <w:r w:rsidRPr="002B44A7">
              <w:t>$933 m</w:t>
            </w:r>
          </w:p>
        </w:tc>
        <w:tc>
          <w:tcPr>
            <w:tcW w:w="1956" w:type="dxa"/>
            <w:vAlign w:val="center"/>
          </w:tcPr>
          <w:p w:rsidR="002B44A7" w:rsidRDefault="002B44A7" w:rsidP="00680230">
            <w:pPr>
              <w:jc w:val="center"/>
            </w:pPr>
            <w:r w:rsidRPr="002B44A7">
              <w:t>$836 m</w:t>
            </w:r>
          </w:p>
        </w:tc>
      </w:tr>
      <w:tr w:rsidR="0066049C" w:rsidTr="00680230">
        <w:trPr>
          <w:trHeight w:val="340"/>
        </w:trPr>
        <w:tc>
          <w:tcPr>
            <w:tcW w:w="1955" w:type="dxa"/>
            <w:vAlign w:val="center"/>
          </w:tcPr>
          <w:p w:rsidR="0066049C" w:rsidRPr="00E856F5" w:rsidRDefault="0066049C" w:rsidP="00680230">
            <w:pPr>
              <w:rPr>
                <w:b/>
              </w:rPr>
            </w:pPr>
            <w:r>
              <w:rPr>
                <w:b/>
              </w:rPr>
              <w:t>Main Analysis</w:t>
            </w:r>
          </w:p>
        </w:tc>
        <w:tc>
          <w:tcPr>
            <w:tcW w:w="1955" w:type="dxa"/>
            <w:vAlign w:val="center"/>
          </w:tcPr>
          <w:p w:rsidR="0066049C" w:rsidRDefault="0066049C" w:rsidP="00680230">
            <w:pPr>
              <w:jc w:val="center"/>
            </w:pPr>
            <w:r w:rsidRPr="0054194A">
              <w:t>$6</w:t>
            </w:r>
            <w:r>
              <w:t>5</w:t>
            </w:r>
            <w:r w:rsidRPr="0054194A">
              <w:t>4</w:t>
            </w:r>
            <w:r>
              <w:t> m</w:t>
            </w:r>
          </w:p>
        </w:tc>
        <w:tc>
          <w:tcPr>
            <w:tcW w:w="1955" w:type="dxa"/>
            <w:vAlign w:val="center"/>
          </w:tcPr>
          <w:p w:rsidR="0066049C" w:rsidRDefault="0066049C" w:rsidP="00680230">
            <w:pPr>
              <w:jc w:val="center"/>
            </w:pPr>
            <w:r w:rsidRPr="0054194A">
              <w:t>$588</w:t>
            </w:r>
            <w:r>
              <w:t> m</w:t>
            </w:r>
          </w:p>
        </w:tc>
        <w:tc>
          <w:tcPr>
            <w:tcW w:w="1955" w:type="dxa"/>
            <w:vAlign w:val="center"/>
          </w:tcPr>
          <w:p w:rsidR="0066049C" w:rsidRDefault="0066049C" w:rsidP="00680230">
            <w:pPr>
              <w:jc w:val="center"/>
            </w:pPr>
            <w:r w:rsidRPr="0054194A">
              <w:t>$</w:t>
            </w:r>
            <w:r>
              <w:t>1,038 m</w:t>
            </w:r>
          </w:p>
        </w:tc>
        <w:tc>
          <w:tcPr>
            <w:tcW w:w="1956" w:type="dxa"/>
            <w:vAlign w:val="center"/>
          </w:tcPr>
          <w:p w:rsidR="0066049C" w:rsidRDefault="0066049C" w:rsidP="00680230">
            <w:pPr>
              <w:jc w:val="center"/>
            </w:pPr>
            <w:r w:rsidRPr="0054194A">
              <w:t>$931</w:t>
            </w:r>
            <w:r>
              <w:t> m</w:t>
            </w:r>
          </w:p>
        </w:tc>
      </w:tr>
      <w:tr w:rsidR="002B44A7" w:rsidTr="00680230">
        <w:trPr>
          <w:trHeight w:val="340"/>
        </w:trPr>
        <w:tc>
          <w:tcPr>
            <w:tcW w:w="1955" w:type="dxa"/>
            <w:vAlign w:val="center"/>
          </w:tcPr>
          <w:p w:rsidR="002B44A7" w:rsidRPr="00E856F5" w:rsidRDefault="002B44A7" w:rsidP="00680230">
            <w:pPr>
              <w:rPr>
                <w:b/>
              </w:rPr>
            </w:pPr>
            <w:r>
              <w:rPr>
                <w:b/>
              </w:rPr>
              <w:t>Best Case (+20%)</w:t>
            </w:r>
          </w:p>
        </w:tc>
        <w:tc>
          <w:tcPr>
            <w:tcW w:w="1955" w:type="dxa"/>
            <w:vAlign w:val="center"/>
          </w:tcPr>
          <w:p w:rsidR="002B44A7" w:rsidRDefault="002B44A7" w:rsidP="00680230">
            <w:pPr>
              <w:jc w:val="center"/>
            </w:pPr>
            <w:r w:rsidRPr="002B44A7">
              <w:t>$762 m</w:t>
            </w:r>
          </w:p>
        </w:tc>
        <w:tc>
          <w:tcPr>
            <w:tcW w:w="1955" w:type="dxa"/>
            <w:vAlign w:val="center"/>
          </w:tcPr>
          <w:p w:rsidR="002B44A7" w:rsidRDefault="002B44A7" w:rsidP="00680230">
            <w:pPr>
              <w:jc w:val="center"/>
            </w:pPr>
            <w:r w:rsidRPr="002B44A7">
              <w:t>$686 m</w:t>
            </w:r>
          </w:p>
        </w:tc>
        <w:tc>
          <w:tcPr>
            <w:tcW w:w="1955" w:type="dxa"/>
            <w:vAlign w:val="center"/>
          </w:tcPr>
          <w:p w:rsidR="002B44A7" w:rsidRDefault="002B44A7" w:rsidP="00680230">
            <w:pPr>
              <w:jc w:val="center"/>
            </w:pPr>
            <w:r w:rsidRPr="002B44A7">
              <w:t>$1,144 m</w:t>
            </w:r>
          </w:p>
        </w:tc>
        <w:tc>
          <w:tcPr>
            <w:tcW w:w="1956" w:type="dxa"/>
            <w:vAlign w:val="center"/>
          </w:tcPr>
          <w:p w:rsidR="002B44A7" w:rsidRDefault="002B44A7" w:rsidP="00680230">
            <w:pPr>
              <w:jc w:val="center"/>
            </w:pPr>
            <w:r w:rsidRPr="002B44A7">
              <w:t>$1,026 m</w:t>
            </w:r>
          </w:p>
        </w:tc>
      </w:tr>
    </w:tbl>
    <w:p w:rsidR="00744DB3" w:rsidRDefault="00744DB3" w:rsidP="00744DB3">
      <w:pPr>
        <w:pStyle w:val="Caption"/>
        <w:keepNext/>
      </w:pPr>
      <w:bookmarkStart w:id="77" w:name="_Toc135320141"/>
      <w:r>
        <w:t xml:space="preserve">Table </w:t>
      </w:r>
      <w:fldSimple w:instr=" SEQ Table \* ARABIC ">
        <w:r w:rsidR="00534814">
          <w:rPr>
            <w:noProof/>
          </w:rPr>
          <w:t>16</w:t>
        </w:r>
      </w:fldSimple>
      <w:r>
        <w:t>:</w:t>
      </w:r>
      <w:r w:rsidR="001C5C07">
        <w:t xml:space="preserve"> </w:t>
      </w:r>
      <w:r>
        <w:t xml:space="preserve">Impact of changes in </w:t>
      </w:r>
      <w:r w:rsidR="00236D0A">
        <w:t>frontal impact and rollover crash risk for wider vehicles</w:t>
      </w:r>
      <w:r w:rsidR="006E727B" w:rsidRPr="006E727B">
        <w:t xml:space="preserve"> </w:t>
      </w:r>
      <w:r w:rsidR="006E727B">
        <w:t>on net benefits</w:t>
      </w:r>
      <w:bookmarkEnd w:id="77"/>
    </w:p>
    <w:tbl>
      <w:tblPr>
        <w:tblStyle w:val="TableGrid"/>
        <w:tblW w:w="0" w:type="auto"/>
        <w:tblLook w:val="04A0" w:firstRow="1" w:lastRow="0" w:firstColumn="1" w:lastColumn="0" w:noHBand="0" w:noVBand="1"/>
      </w:tblPr>
      <w:tblGrid>
        <w:gridCol w:w="1955"/>
        <w:gridCol w:w="1955"/>
        <w:gridCol w:w="1955"/>
        <w:gridCol w:w="1955"/>
        <w:gridCol w:w="1956"/>
      </w:tblGrid>
      <w:tr w:rsidR="00965007" w:rsidTr="00680230">
        <w:trPr>
          <w:trHeight w:val="340"/>
        </w:trPr>
        <w:tc>
          <w:tcPr>
            <w:tcW w:w="1955" w:type="dxa"/>
            <w:shd w:val="clear" w:color="auto" w:fill="081E3E" w:themeFill="text2"/>
            <w:vAlign w:val="center"/>
          </w:tcPr>
          <w:p w:rsidR="00965007" w:rsidRPr="00731C0C" w:rsidRDefault="00965007" w:rsidP="00680230">
            <w:pPr>
              <w:pStyle w:val="Table2heading"/>
              <w:jc w:val="left"/>
            </w:pPr>
            <w:r>
              <w:t>Net Benefits</w:t>
            </w:r>
          </w:p>
        </w:tc>
        <w:tc>
          <w:tcPr>
            <w:tcW w:w="1955" w:type="dxa"/>
            <w:shd w:val="clear" w:color="auto" w:fill="081E3E" w:themeFill="text2"/>
            <w:vAlign w:val="center"/>
          </w:tcPr>
          <w:p w:rsidR="00965007" w:rsidRPr="00731C0C" w:rsidRDefault="00965007" w:rsidP="00680230">
            <w:pPr>
              <w:pStyle w:val="Table2heading"/>
              <w:keepNext/>
            </w:pPr>
            <w:r w:rsidRPr="00731C0C">
              <w:t>Option 3.1a</w:t>
            </w:r>
          </w:p>
        </w:tc>
        <w:tc>
          <w:tcPr>
            <w:tcW w:w="1955" w:type="dxa"/>
            <w:shd w:val="clear" w:color="auto" w:fill="081E3E" w:themeFill="text2"/>
            <w:vAlign w:val="center"/>
          </w:tcPr>
          <w:p w:rsidR="00965007" w:rsidRPr="00731C0C" w:rsidRDefault="00965007" w:rsidP="00680230">
            <w:pPr>
              <w:pStyle w:val="Table2heading"/>
              <w:keepNext/>
            </w:pPr>
            <w:r w:rsidRPr="00731C0C">
              <w:t>Option 3.1b</w:t>
            </w:r>
          </w:p>
        </w:tc>
        <w:tc>
          <w:tcPr>
            <w:tcW w:w="1955" w:type="dxa"/>
            <w:shd w:val="clear" w:color="auto" w:fill="081E3E" w:themeFill="text2"/>
            <w:vAlign w:val="center"/>
          </w:tcPr>
          <w:p w:rsidR="00965007" w:rsidRPr="00731C0C" w:rsidRDefault="00965007" w:rsidP="00680230">
            <w:pPr>
              <w:pStyle w:val="Table2heading"/>
              <w:keepNext/>
            </w:pPr>
            <w:r w:rsidRPr="00731C0C">
              <w:t>Option 3.2a</w:t>
            </w:r>
          </w:p>
        </w:tc>
        <w:tc>
          <w:tcPr>
            <w:tcW w:w="1956" w:type="dxa"/>
            <w:shd w:val="clear" w:color="auto" w:fill="081E3E" w:themeFill="text2"/>
            <w:vAlign w:val="center"/>
          </w:tcPr>
          <w:p w:rsidR="00965007" w:rsidRPr="00731C0C" w:rsidRDefault="00965007" w:rsidP="00680230">
            <w:pPr>
              <w:pStyle w:val="Table2heading"/>
              <w:keepNext/>
            </w:pPr>
            <w:r w:rsidRPr="00731C0C">
              <w:t>Option 3.2b</w:t>
            </w:r>
          </w:p>
        </w:tc>
      </w:tr>
      <w:tr w:rsidR="0070501A" w:rsidTr="00680230">
        <w:trPr>
          <w:trHeight w:val="340"/>
        </w:trPr>
        <w:tc>
          <w:tcPr>
            <w:tcW w:w="1955" w:type="dxa"/>
            <w:vAlign w:val="center"/>
          </w:tcPr>
          <w:p w:rsidR="0070501A" w:rsidRPr="00E856F5" w:rsidRDefault="0070501A" w:rsidP="00680230">
            <w:pPr>
              <w:rPr>
                <w:b/>
              </w:rPr>
            </w:pPr>
            <w:r>
              <w:rPr>
                <w:b/>
              </w:rPr>
              <w:t>Worst Case (+0.5%)</w:t>
            </w:r>
          </w:p>
        </w:tc>
        <w:tc>
          <w:tcPr>
            <w:tcW w:w="1955" w:type="dxa"/>
            <w:vAlign w:val="center"/>
          </w:tcPr>
          <w:p w:rsidR="0070501A" w:rsidRDefault="0070501A" w:rsidP="00680230">
            <w:pPr>
              <w:jc w:val="center"/>
            </w:pPr>
            <w:r w:rsidRPr="0064746B">
              <w:t>$</w:t>
            </w:r>
            <w:r w:rsidR="00831745">
              <w:t>586</w:t>
            </w:r>
            <w:r>
              <w:t> m</w:t>
            </w:r>
          </w:p>
        </w:tc>
        <w:tc>
          <w:tcPr>
            <w:tcW w:w="1955" w:type="dxa"/>
            <w:vAlign w:val="center"/>
          </w:tcPr>
          <w:p w:rsidR="0070501A" w:rsidRDefault="0070501A" w:rsidP="00680230">
            <w:pPr>
              <w:jc w:val="center"/>
            </w:pPr>
            <w:r w:rsidRPr="0064746B">
              <w:t>$5</w:t>
            </w:r>
            <w:r w:rsidR="00831745">
              <w:t>30</w:t>
            </w:r>
            <w:r w:rsidR="00677646">
              <w:t> m</w:t>
            </w:r>
          </w:p>
        </w:tc>
        <w:tc>
          <w:tcPr>
            <w:tcW w:w="1955" w:type="dxa"/>
            <w:vAlign w:val="center"/>
          </w:tcPr>
          <w:p w:rsidR="0070501A" w:rsidRDefault="0070501A" w:rsidP="00680230">
            <w:pPr>
              <w:jc w:val="center"/>
            </w:pPr>
            <w:r w:rsidRPr="0064746B">
              <w:t>$</w:t>
            </w:r>
            <w:r w:rsidR="00831745">
              <w:t>971</w:t>
            </w:r>
            <w:r w:rsidR="00677646">
              <w:t> m</w:t>
            </w:r>
          </w:p>
        </w:tc>
        <w:tc>
          <w:tcPr>
            <w:tcW w:w="1956" w:type="dxa"/>
            <w:vAlign w:val="center"/>
          </w:tcPr>
          <w:p w:rsidR="0070501A" w:rsidRDefault="0070501A" w:rsidP="00680230">
            <w:pPr>
              <w:jc w:val="center"/>
            </w:pPr>
            <w:r w:rsidRPr="0064746B">
              <w:t>$</w:t>
            </w:r>
            <w:r w:rsidR="00831745">
              <w:t>873</w:t>
            </w:r>
            <w:r w:rsidR="00677646">
              <w:t> m</w:t>
            </w:r>
          </w:p>
        </w:tc>
      </w:tr>
      <w:tr w:rsidR="0066049C" w:rsidTr="00680230">
        <w:trPr>
          <w:trHeight w:val="340"/>
        </w:trPr>
        <w:tc>
          <w:tcPr>
            <w:tcW w:w="1955" w:type="dxa"/>
            <w:vAlign w:val="center"/>
          </w:tcPr>
          <w:p w:rsidR="0066049C" w:rsidRPr="00E856F5" w:rsidRDefault="0066049C" w:rsidP="00680230">
            <w:pPr>
              <w:rPr>
                <w:b/>
              </w:rPr>
            </w:pPr>
            <w:r>
              <w:rPr>
                <w:b/>
              </w:rPr>
              <w:t>Main Analysis</w:t>
            </w:r>
          </w:p>
        </w:tc>
        <w:tc>
          <w:tcPr>
            <w:tcW w:w="1955" w:type="dxa"/>
            <w:vAlign w:val="center"/>
          </w:tcPr>
          <w:p w:rsidR="0066049C" w:rsidRDefault="0066049C" w:rsidP="00680230">
            <w:pPr>
              <w:jc w:val="center"/>
            </w:pPr>
            <w:r w:rsidRPr="0054194A">
              <w:t>$6</w:t>
            </w:r>
            <w:r>
              <w:t>5</w:t>
            </w:r>
            <w:r w:rsidRPr="0054194A">
              <w:t>4</w:t>
            </w:r>
            <w:r>
              <w:t> m</w:t>
            </w:r>
          </w:p>
        </w:tc>
        <w:tc>
          <w:tcPr>
            <w:tcW w:w="1955" w:type="dxa"/>
            <w:vAlign w:val="center"/>
          </w:tcPr>
          <w:p w:rsidR="0066049C" w:rsidRDefault="0066049C" w:rsidP="00680230">
            <w:pPr>
              <w:jc w:val="center"/>
            </w:pPr>
            <w:r w:rsidRPr="0054194A">
              <w:t>$588</w:t>
            </w:r>
            <w:r>
              <w:t> m</w:t>
            </w:r>
          </w:p>
        </w:tc>
        <w:tc>
          <w:tcPr>
            <w:tcW w:w="1955" w:type="dxa"/>
            <w:vAlign w:val="center"/>
          </w:tcPr>
          <w:p w:rsidR="0066049C" w:rsidRDefault="0066049C" w:rsidP="00680230">
            <w:pPr>
              <w:jc w:val="center"/>
            </w:pPr>
            <w:r w:rsidRPr="0054194A">
              <w:t>$</w:t>
            </w:r>
            <w:r>
              <w:t>1,038 m</w:t>
            </w:r>
          </w:p>
        </w:tc>
        <w:tc>
          <w:tcPr>
            <w:tcW w:w="1956" w:type="dxa"/>
            <w:vAlign w:val="center"/>
          </w:tcPr>
          <w:p w:rsidR="0066049C" w:rsidRDefault="0066049C" w:rsidP="00680230">
            <w:pPr>
              <w:jc w:val="center"/>
            </w:pPr>
            <w:r w:rsidRPr="0054194A">
              <w:t>$931</w:t>
            </w:r>
            <w:r>
              <w:t> m</w:t>
            </w:r>
          </w:p>
        </w:tc>
      </w:tr>
      <w:tr w:rsidR="00677646" w:rsidTr="00680230">
        <w:trPr>
          <w:trHeight w:val="340"/>
        </w:trPr>
        <w:tc>
          <w:tcPr>
            <w:tcW w:w="1955" w:type="dxa"/>
            <w:vAlign w:val="center"/>
          </w:tcPr>
          <w:p w:rsidR="00677646" w:rsidRPr="00E856F5" w:rsidRDefault="00677646" w:rsidP="00680230">
            <w:pPr>
              <w:rPr>
                <w:b/>
              </w:rPr>
            </w:pPr>
            <w:r>
              <w:rPr>
                <w:b/>
              </w:rPr>
              <w:t>Best Case (-0.5%)</w:t>
            </w:r>
          </w:p>
        </w:tc>
        <w:tc>
          <w:tcPr>
            <w:tcW w:w="1955" w:type="dxa"/>
            <w:vAlign w:val="center"/>
          </w:tcPr>
          <w:p w:rsidR="00677646" w:rsidRDefault="00677646" w:rsidP="00680230">
            <w:pPr>
              <w:jc w:val="center"/>
            </w:pPr>
            <w:r w:rsidRPr="001702A1">
              <w:t>$</w:t>
            </w:r>
            <w:r w:rsidR="00831745">
              <w:t>721</w:t>
            </w:r>
            <w:r>
              <w:t> m</w:t>
            </w:r>
          </w:p>
        </w:tc>
        <w:tc>
          <w:tcPr>
            <w:tcW w:w="1955" w:type="dxa"/>
            <w:vAlign w:val="center"/>
          </w:tcPr>
          <w:p w:rsidR="00677646" w:rsidRDefault="00677646" w:rsidP="00680230">
            <w:pPr>
              <w:jc w:val="center"/>
            </w:pPr>
            <w:r w:rsidRPr="001702A1">
              <w:t>$</w:t>
            </w:r>
            <w:r w:rsidR="00831745">
              <w:t>647</w:t>
            </w:r>
            <w:r>
              <w:t> m</w:t>
            </w:r>
          </w:p>
        </w:tc>
        <w:tc>
          <w:tcPr>
            <w:tcW w:w="1955" w:type="dxa"/>
            <w:vAlign w:val="center"/>
          </w:tcPr>
          <w:p w:rsidR="00677646" w:rsidRDefault="00677646" w:rsidP="00680230">
            <w:pPr>
              <w:jc w:val="center"/>
            </w:pPr>
            <w:r w:rsidRPr="001702A1">
              <w:t>$1,</w:t>
            </w:r>
            <w:r w:rsidR="00831745">
              <w:t>106</w:t>
            </w:r>
            <w:r>
              <w:t> m</w:t>
            </w:r>
          </w:p>
        </w:tc>
        <w:tc>
          <w:tcPr>
            <w:tcW w:w="1956" w:type="dxa"/>
            <w:vAlign w:val="center"/>
          </w:tcPr>
          <w:p w:rsidR="00677646" w:rsidRDefault="00677646" w:rsidP="00680230">
            <w:pPr>
              <w:jc w:val="center"/>
            </w:pPr>
            <w:r w:rsidRPr="001702A1">
              <w:t>$9</w:t>
            </w:r>
            <w:r w:rsidR="00831745">
              <w:t>89</w:t>
            </w:r>
            <w:r>
              <w:t> m</w:t>
            </w:r>
          </w:p>
        </w:tc>
      </w:tr>
    </w:tbl>
    <w:p w:rsidR="00337E48" w:rsidRDefault="00337E48" w:rsidP="00F64C22">
      <w:pPr>
        <w:pStyle w:val="Caption"/>
        <w:keepNext/>
        <w:pageBreakBefore/>
      </w:pPr>
      <w:bookmarkStart w:id="78" w:name="_Toc135320142"/>
      <w:r>
        <w:t xml:space="preserve">Table </w:t>
      </w:r>
      <w:fldSimple w:instr=" SEQ Table \* ARABIC ">
        <w:r w:rsidR="00534814">
          <w:rPr>
            <w:noProof/>
          </w:rPr>
          <w:t>17</w:t>
        </w:r>
      </w:fldSimple>
      <w:r>
        <w:t>: Impact of changes in trip reductions achieved by wider freight vehicles</w:t>
      </w:r>
      <w:r w:rsidR="006E727B" w:rsidRPr="006E727B">
        <w:t xml:space="preserve"> </w:t>
      </w:r>
      <w:r w:rsidR="006E727B">
        <w:t>on net benefits</w:t>
      </w:r>
      <w:bookmarkEnd w:id="78"/>
    </w:p>
    <w:tbl>
      <w:tblPr>
        <w:tblStyle w:val="TableGrid"/>
        <w:tblW w:w="0" w:type="auto"/>
        <w:tblLook w:val="04A0" w:firstRow="1" w:lastRow="0" w:firstColumn="1" w:lastColumn="0" w:noHBand="0" w:noVBand="1"/>
      </w:tblPr>
      <w:tblGrid>
        <w:gridCol w:w="1955"/>
        <w:gridCol w:w="1955"/>
        <w:gridCol w:w="1955"/>
        <w:gridCol w:w="1955"/>
        <w:gridCol w:w="1956"/>
      </w:tblGrid>
      <w:tr w:rsidR="00337E48" w:rsidTr="00680230">
        <w:trPr>
          <w:trHeight w:val="340"/>
        </w:trPr>
        <w:tc>
          <w:tcPr>
            <w:tcW w:w="1955" w:type="dxa"/>
            <w:shd w:val="clear" w:color="auto" w:fill="081E3E" w:themeFill="text2"/>
            <w:vAlign w:val="center"/>
          </w:tcPr>
          <w:p w:rsidR="00337E48" w:rsidRPr="00731C0C" w:rsidRDefault="00337E48" w:rsidP="00680230">
            <w:pPr>
              <w:pStyle w:val="Table2heading"/>
              <w:jc w:val="left"/>
            </w:pPr>
            <w:r>
              <w:t>Net Benefits</w:t>
            </w:r>
          </w:p>
        </w:tc>
        <w:tc>
          <w:tcPr>
            <w:tcW w:w="1955" w:type="dxa"/>
            <w:shd w:val="clear" w:color="auto" w:fill="081E3E" w:themeFill="text2"/>
            <w:vAlign w:val="center"/>
          </w:tcPr>
          <w:p w:rsidR="00337E48" w:rsidRPr="00731C0C" w:rsidRDefault="00337E48" w:rsidP="00680230">
            <w:pPr>
              <w:pStyle w:val="Table2heading"/>
              <w:keepNext/>
            </w:pPr>
            <w:r w:rsidRPr="00731C0C">
              <w:t>Option 3.1a</w:t>
            </w:r>
          </w:p>
        </w:tc>
        <w:tc>
          <w:tcPr>
            <w:tcW w:w="1955" w:type="dxa"/>
            <w:shd w:val="clear" w:color="auto" w:fill="081E3E" w:themeFill="text2"/>
            <w:vAlign w:val="center"/>
          </w:tcPr>
          <w:p w:rsidR="00337E48" w:rsidRPr="00731C0C" w:rsidRDefault="00337E48" w:rsidP="00680230">
            <w:pPr>
              <w:pStyle w:val="Table2heading"/>
              <w:keepNext/>
            </w:pPr>
            <w:r w:rsidRPr="00731C0C">
              <w:t>Option 3.1b</w:t>
            </w:r>
          </w:p>
        </w:tc>
        <w:tc>
          <w:tcPr>
            <w:tcW w:w="1955" w:type="dxa"/>
            <w:shd w:val="clear" w:color="auto" w:fill="081E3E" w:themeFill="text2"/>
            <w:vAlign w:val="center"/>
          </w:tcPr>
          <w:p w:rsidR="00337E48" w:rsidRPr="00731C0C" w:rsidRDefault="00337E48" w:rsidP="00680230">
            <w:pPr>
              <w:pStyle w:val="Table2heading"/>
              <w:keepNext/>
            </w:pPr>
            <w:r w:rsidRPr="00731C0C">
              <w:t>Option 3.2a</w:t>
            </w:r>
          </w:p>
        </w:tc>
        <w:tc>
          <w:tcPr>
            <w:tcW w:w="1956" w:type="dxa"/>
            <w:shd w:val="clear" w:color="auto" w:fill="081E3E" w:themeFill="text2"/>
            <w:vAlign w:val="center"/>
          </w:tcPr>
          <w:p w:rsidR="00337E48" w:rsidRPr="00731C0C" w:rsidRDefault="00337E48" w:rsidP="00680230">
            <w:pPr>
              <w:pStyle w:val="Table2heading"/>
              <w:keepNext/>
            </w:pPr>
            <w:r w:rsidRPr="00731C0C">
              <w:t>Option 3.2b</w:t>
            </w:r>
          </w:p>
        </w:tc>
      </w:tr>
      <w:tr w:rsidR="00D00FAD" w:rsidTr="00680230">
        <w:trPr>
          <w:trHeight w:val="340"/>
        </w:trPr>
        <w:tc>
          <w:tcPr>
            <w:tcW w:w="1955" w:type="dxa"/>
            <w:vAlign w:val="center"/>
          </w:tcPr>
          <w:p w:rsidR="00D00FAD" w:rsidRPr="00E856F5" w:rsidRDefault="00D00FAD" w:rsidP="00680230">
            <w:pPr>
              <w:rPr>
                <w:b/>
              </w:rPr>
            </w:pPr>
            <w:r>
              <w:rPr>
                <w:b/>
              </w:rPr>
              <w:t>Worst Case (-20%)</w:t>
            </w:r>
          </w:p>
        </w:tc>
        <w:tc>
          <w:tcPr>
            <w:tcW w:w="1955" w:type="dxa"/>
            <w:vAlign w:val="center"/>
          </w:tcPr>
          <w:p w:rsidR="00D00FAD" w:rsidRDefault="00D00FAD" w:rsidP="00680230">
            <w:pPr>
              <w:jc w:val="center"/>
            </w:pPr>
            <w:r w:rsidRPr="005755BC">
              <w:t>$485</w:t>
            </w:r>
            <w:r>
              <w:t> m</w:t>
            </w:r>
          </w:p>
        </w:tc>
        <w:tc>
          <w:tcPr>
            <w:tcW w:w="1955" w:type="dxa"/>
            <w:vAlign w:val="center"/>
          </w:tcPr>
          <w:p w:rsidR="00D00FAD" w:rsidRDefault="00D00FAD" w:rsidP="00680230">
            <w:pPr>
              <w:jc w:val="center"/>
            </w:pPr>
            <w:r w:rsidRPr="005755BC">
              <w:t>$439</w:t>
            </w:r>
            <w:r>
              <w:t> m</w:t>
            </w:r>
          </w:p>
        </w:tc>
        <w:tc>
          <w:tcPr>
            <w:tcW w:w="1955" w:type="dxa"/>
            <w:vAlign w:val="center"/>
          </w:tcPr>
          <w:p w:rsidR="00D00FAD" w:rsidRPr="00235B1D" w:rsidRDefault="00D00FAD" w:rsidP="00680230">
            <w:pPr>
              <w:jc w:val="center"/>
            </w:pPr>
            <w:r w:rsidRPr="005755BC">
              <w:t>$708</w:t>
            </w:r>
            <w:r>
              <w:t> m</w:t>
            </w:r>
          </w:p>
        </w:tc>
        <w:tc>
          <w:tcPr>
            <w:tcW w:w="1956" w:type="dxa"/>
            <w:vAlign w:val="center"/>
          </w:tcPr>
          <w:p w:rsidR="00D00FAD" w:rsidRPr="00235B1D" w:rsidRDefault="00D00FAD" w:rsidP="00680230">
            <w:pPr>
              <w:jc w:val="center"/>
            </w:pPr>
            <w:r w:rsidRPr="005755BC">
              <w:t>$639</w:t>
            </w:r>
            <w:r>
              <w:t> m</w:t>
            </w:r>
          </w:p>
        </w:tc>
      </w:tr>
      <w:tr w:rsidR="0066049C" w:rsidTr="00680230">
        <w:trPr>
          <w:trHeight w:val="340"/>
        </w:trPr>
        <w:tc>
          <w:tcPr>
            <w:tcW w:w="1955" w:type="dxa"/>
            <w:vAlign w:val="center"/>
          </w:tcPr>
          <w:p w:rsidR="0066049C" w:rsidRPr="00E856F5" w:rsidRDefault="0066049C" w:rsidP="00680230">
            <w:pPr>
              <w:rPr>
                <w:b/>
              </w:rPr>
            </w:pPr>
            <w:r>
              <w:rPr>
                <w:b/>
              </w:rPr>
              <w:t>Main Analysis</w:t>
            </w:r>
          </w:p>
        </w:tc>
        <w:tc>
          <w:tcPr>
            <w:tcW w:w="1955" w:type="dxa"/>
            <w:vAlign w:val="center"/>
          </w:tcPr>
          <w:p w:rsidR="0066049C" w:rsidRDefault="0066049C" w:rsidP="00680230">
            <w:pPr>
              <w:jc w:val="center"/>
            </w:pPr>
            <w:r w:rsidRPr="0054194A">
              <w:t>$6</w:t>
            </w:r>
            <w:r>
              <w:t>5</w:t>
            </w:r>
            <w:r w:rsidRPr="0054194A">
              <w:t>4</w:t>
            </w:r>
            <w:r>
              <w:t> m</w:t>
            </w:r>
          </w:p>
        </w:tc>
        <w:tc>
          <w:tcPr>
            <w:tcW w:w="1955" w:type="dxa"/>
            <w:vAlign w:val="center"/>
          </w:tcPr>
          <w:p w:rsidR="0066049C" w:rsidRDefault="0066049C" w:rsidP="00680230">
            <w:pPr>
              <w:jc w:val="center"/>
            </w:pPr>
            <w:r w:rsidRPr="0054194A">
              <w:t>$588</w:t>
            </w:r>
            <w:r>
              <w:t> m</w:t>
            </w:r>
          </w:p>
        </w:tc>
        <w:tc>
          <w:tcPr>
            <w:tcW w:w="1955" w:type="dxa"/>
            <w:vAlign w:val="center"/>
          </w:tcPr>
          <w:p w:rsidR="0066049C" w:rsidRDefault="0066049C" w:rsidP="00680230">
            <w:pPr>
              <w:jc w:val="center"/>
            </w:pPr>
            <w:r w:rsidRPr="0054194A">
              <w:t>$</w:t>
            </w:r>
            <w:r>
              <w:t>1,038 m</w:t>
            </w:r>
          </w:p>
        </w:tc>
        <w:tc>
          <w:tcPr>
            <w:tcW w:w="1956" w:type="dxa"/>
            <w:vAlign w:val="center"/>
          </w:tcPr>
          <w:p w:rsidR="0066049C" w:rsidRDefault="0066049C" w:rsidP="00680230">
            <w:pPr>
              <w:jc w:val="center"/>
            </w:pPr>
            <w:r w:rsidRPr="0054194A">
              <w:t>$931</w:t>
            </w:r>
            <w:r>
              <w:t> m</w:t>
            </w:r>
          </w:p>
        </w:tc>
      </w:tr>
      <w:tr w:rsidR="00D00FAD" w:rsidTr="00680230">
        <w:trPr>
          <w:trHeight w:val="340"/>
        </w:trPr>
        <w:tc>
          <w:tcPr>
            <w:tcW w:w="1955" w:type="dxa"/>
            <w:vAlign w:val="center"/>
          </w:tcPr>
          <w:p w:rsidR="00D00FAD" w:rsidRPr="00E856F5" w:rsidRDefault="00D00FAD" w:rsidP="00680230">
            <w:pPr>
              <w:rPr>
                <w:b/>
              </w:rPr>
            </w:pPr>
            <w:r>
              <w:rPr>
                <w:b/>
              </w:rPr>
              <w:t>Best Case (+20%)</w:t>
            </w:r>
          </w:p>
        </w:tc>
        <w:tc>
          <w:tcPr>
            <w:tcW w:w="1955" w:type="dxa"/>
            <w:vAlign w:val="center"/>
          </w:tcPr>
          <w:p w:rsidR="00D00FAD" w:rsidRDefault="00D00FAD" w:rsidP="00680230">
            <w:pPr>
              <w:jc w:val="center"/>
            </w:pPr>
            <w:r w:rsidRPr="00D00FAD">
              <w:t>$823</w:t>
            </w:r>
            <w:r>
              <w:t> m</w:t>
            </w:r>
          </w:p>
        </w:tc>
        <w:tc>
          <w:tcPr>
            <w:tcW w:w="1955" w:type="dxa"/>
            <w:vAlign w:val="center"/>
          </w:tcPr>
          <w:p w:rsidR="00D00FAD" w:rsidRDefault="00D00FAD" w:rsidP="00680230">
            <w:pPr>
              <w:jc w:val="center"/>
            </w:pPr>
            <w:r w:rsidRPr="00D00FAD">
              <w:t>$737</w:t>
            </w:r>
            <w:r>
              <w:t> m</w:t>
            </w:r>
          </w:p>
        </w:tc>
        <w:tc>
          <w:tcPr>
            <w:tcW w:w="1955" w:type="dxa"/>
            <w:vAlign w:val="center"/>
          </w:tcPr>
          <w:p w:rsidR="00D00FAD" w:rsidRDefault="00D00FAD" w:rsidP="00680230">
            <w:pPr>
              <w:jc w:val="center"/>
            </w:pPr>
            <w:r w:rsidRPr="00D00FAD">
              <w:t>$1,369</w:t>
            </w:r>
            <w:r>
              <w:t> m</w:t>
            </w:r>
          </w:p>
        </w:tc>
        <w:tc>
          <w:tcPr>
            <w:tcW w:w="1956" w:type="dxa"/>
            <w:vAlign w:val="center"/>
          </w:tcPr>
          <w:p w:rsidR="00D00FAD" w:rsidRDefault="00D00FAD" w:rsidP="00680230">
            <w:pPr>
              <w:jc w:val="center"/>
            </w:pPr>
            <w:r w:rsidRPr="00D00FAD">
              <w:t>$1,223</w:t>
            </w:r>
            <w:r>
              <w:t> m</w:t>
            </w:r>
          </w:p>
        </w:tc>
      </w:tr>
    </w:tbl>
    <w:p w:rsidR="009F1F6C" w:rsidRDefault="008A52A2" w:rsidP="009F1F6C">
      <w:r>
        <w:t>Furt</w:t>
      </w:r>
      <w:r w:rsidR="00DC691C">
        <w:t>her sensitivity tests were also undertaken for changes in the take up of wider freight vehicles by market of origin</w:t>
      </w:r>
      <w:r w:rsidR="00A960E9">
        <w:t>, and changes in the size of the refrigerated fleet as a proportion of the entire heavy freight vehicle fleet</w:t>
      </w:r>
      <w:r w:rsidR="009F1F6C">
        <w:t>.</w:t>
      </w:r>
      <w:r w:rsidR="00092874">
        <w:t xml:space="preserve"> </w:t>
      </w:r>
      <w:r w:rsidR="001B495C">
        <w:t>The</w:t>
      </w:r>
      <w:r w:rsidR="007C035A">
        <w:t xml:space="preserve"> full ARRB report in the </w:t>
      </w:r>
      <w:r w:rsidR="001B495C">
        <w:t xml:space="preserve">Annex to this </w:t>
      </w:r>
      <w:r w:rsidR="00C45600">
        <w:t>IA</w:t>
      </w:r>
      <w:r w:rsidR="00286E85">
        <w:t xml:space="preserve"> includes further details of these sensitivity tests.</w:t>
      </w:r>
      <w:r w:rsidR="00AB097A">
        <w:t xml:space="preserve"> T</w:t>
      </w:r>
      <w:r w:rsidR="00AB097A" w:rsidRPr="0009474C">
        <w:t xml:space="preserve">he net benefits </w:t>
      </w:r>
      <w:r w:rsidR="00E87E48">
        <w:t xml:space="preserve">for each option </w:t>
      </w:r>
      <w:r w:rsidR="00AB097A">
        <w:t>remained</w:t>
      </w:r>
      <w:r w:rsidR="00AB097A" w:rsidRPr="0009474C">
        <w:t xml:space="preserve"> positive</w:t>
      </w:r>
      <w:r w:rsidR="00AB097A">
        <w:t>, without much variation,</w:t>
      </w:r>
      <w:r w:rsidR="00AB097A" w:rsidRPr="0009474C">
        <w:t xml:space="preserve"> under all </w:t>
      </w:r>
      <w:r w:rsidR="00AB097A">
        <w:t xml:space="preserve">these </w:t>
      </w:r>
      <w:r w:rsidR="00B7049A">
        <w:t>further</w:t>
      </w:r>
      <w:r w:rsidR="005A5872">
        <w:t xml:space="preserve"> </w:t>
      </w:r>
      <w:r w:rsidR="00AB097A">
        <w:t>scenarios</w:t>
      </w:r>
      <w:r w:rsidR="00AB097A" w:rsidRPr="0009474C">
        <w:t>.</w:t>
      </w:r>
    </w:p>
    <w:p w:rsidR="007809EA" w:rsidRPr="007B6E69" w:rsidRDefault="00D5520C" w:rsidP="00F64C22">
      <w:pPr>
        <w:pStyle w:val="Heading2"/>
        <w:rPr>
          <w:lang w:val="en-AU"/>
        </w:rPr>
      </w:pPr>
      <w:bookmarkStart w:id="79" w:name="_Toc138065705"/>
      <w:r>
        <w:rPr>
          <w:lang w:val="en-AU"/>
        </w:rPr>
        <w:t>Distribution of the benefits and costs</w:t>
      </w:r>
      <w:bookmarkEnd w:id="79"/>
    </w:p>
    <w:p w:rsidR="00E74785" w:rsidRPr="007B6E69" w:rsidRDefault="00973040" w:rsidP="00E74785">
      <w:r w:rsidRPr="007B6E69">
        <w:t xml:space="preserve">In the case of </w:t>
      </w:r>
      <w:r w:rsidR="008D0DA1" w:rsidRPr="00813B92">
        <w:t>this analysis</w:t>
      </w:r>
      <w:r w:rsidRPr="007B6E69">
        <w:t xml:space="preserve"> for </w:t>
      </w:r>
      <w:r w:rsidR="007809EA" w:rsidRPr="007B6E69">
        <w:t>heavy</w:t>
      </w:r>
      <w:r w:rsidRPr="007B6E69">
        <w:t xml:space="preserve"> </w:t>
      </w:r>
      <w:r w:rsidR="00813B92">
        <w:t xml:space="preserve">freight </w:t>
      </w:r>
      <w:r w:rsidRPr="007B6E69">
        <w:t>vehicles, the parties affected by the options are:</w:t>
      </w:r>
    </w:p>
    <w:p w:rsidR="00973040" w:rsidRDefault="00973040" w:rsidP="009F0300">
      <w:pPr>
        <w:pStyle w:val="Heading4"/>
      </w:pPr>
      <w:r w:rsidRPr="007B6E69">
        <w:t>Business</w:t>
      </w:r>
    </w:p>
    <w:p w:rsidR="00AF35BB" w:rsidRPr="00AF35BB" w:rsidRDefault="005C0744" w:rsidP="00AF35BB">
      <w:r>
        <w:t>Affected businesses include:</w:t>
      </w:r>
    </w:p>
    <w:p w:rsidR="00973040" w:rsidRPr="007B6E69" w:rsidRDefault="00973040" w:rsidP="006D7157">
      <w:pPr>
        <w:pStyle w:val="ListParagraph"/>
        <w:numPr>
          <w:ilvl w:val="0"/>
          <w:numId w:val="9"/>
        </w:numPr>
      </w:pPr>
      <w:r w:rsidRPr="007B6E69">
        <w:t>Vehicle manufacturers and importers;</w:t>
      </w:r>
    </w:p>
    <w:p w:rsidR="00973040" w:rsidRPr="007B6E69" w:rsidRDefault="00973040" w:rsidP="006D7157">
      <w:pPr>
        <w:pStyle w:val="ListParagraph"/>
        <w:numPr>
          <w:ilvl w:val="0"/>
          <w:numId w:val="9"/>
        </w:numPr>
      </w:pPr>
      <w:r w:rsidRPr="007B6E69">
        <w:t>Component manufacturers and suppliers</w:t>
      </w:r>
      <w:r w:rsidR="000B5EFA">
        <w:t>; and</w:t>
      </w:r>
    </w:p>
    <w:p w:rsidR="00973040" w:rsidRPr="007B6E69" w:rsidRDefault="000B5EFA" w:rsidP="0016354D">
      <w:pPr>
        <w:pStyle w:val="ListParagraph"/>
        <w:numPr>
          <w:ilvl w:val="0"/>
          <w:numId w:val="9"/>
        </w:numPr>
      </w:pPr>
      <w:r>
        <w:t xml:space="preserve">Vehicle owners </w:t>
      </w:r>
      <w:r w:rsidR="00973040" w:rsidRPr="007B6E69">
        <w:t>and operators.</w:t>
      </w:r>
    </w:p>
    <w:p w:rsidR="00973040" w:rsidRPr="007B6E69" w:rsidRDefault="00973040" w:rsidP="00680230">
      <w:pPr>
        <w:keepNext/>
      </w:pPr>
      <w:r w:rsidRPr="007B6E69">
        <w:t xml:space="preserve">There is an overlap between businesses and consumers when considering heavy vehicles. Unlike light vehicles, heavy </w:t>
      </w:r>
      <w:r w:rsidR="000E5B1A">
        <w:t xml:space="preserve">freight </w:t>
      </w:r>
      <w:r w:rsidRPr="007B6E69">
        <w:t>vehicle owners and operators, in general, are purchasing and operating these vehicles as part of a business. This is distinct to businesses that manufacture the vehicles or supply the components. The affected businesses are represented by a number of peak bodies, including:</w:t>
      </w:r>
    </w:p>
    <w:p w:rsidR="00973040" w:rsidRPr="007B6E69" w:rsidRDefault="000E5B1A" w:rsidP="006D7157">
      <w:pPr>
        <w:pStyle w:val="ListParagraph"/>
        <w:numPr>
          <w:ilvl w:val="0"/>
          <w:numId w:val="9"/>
        </w:numPr>
      </w:pPr>
      <w:r>
        <w:t xml:space="preserve">the </w:t>
      </w:r>
      <w:r w:rsidR="00973040" w:rsidRPr="007B6E69">
        <w:t>Australian Trucking Association (ATA), that represents trucking operators, including major logistics companies and transport industry associations;</w:t>
      </w:r>
    </w:p>
    <w:p w:rsidR="00973040" w:rsidRPr="007B6E69" w:rsidRDefault="000E5B1A" w:rsidP="006D7157">
      <w:pPr>
        <w:pStyle w:val="ListParagraph"/>
        <w:numPr>
          <w:ilvl w:val="0"/>
          <w:numId w:val="9"/>
        </w:numPr>
      </w:pPr>
      <w:r>
        <w:t xml:space="preserve">the </w:t>
      </w:r>
      <w:r w:rsidR="00973040" w:rsidRPr="007B6E69">
        <w:t xml:space="preserve">Commercial Vehicle Industry Association </w:t>
      </w:r>
      <w:r w:rsidR="005464F7">
        <w:t xml:space="preserve">of </w:t>
      </w:r>
      <w:r w:rsidR="00973040" w:rsidRPr="007B6E69">
        <w:t>Australia (CVIAA)</w:t>
      </w:r>
      <w:r w:rsidR="008A2546" w:rsidRPr="007B6E69">
        <w:t>,</w:t>
      </w:r>
      <w:r w:rsidR="00973040" w:rsidRPr="007B6E69">
        <w:t xml:space="preserve"> that represents members in the commercial vehicle industry;</w:t>
      </w:r>
    </w:p>
    <w:p w:rsidR="00973040" w:rsidRPr="007B6E69" w:rsidRDefault="000E5B1A" w:rsidP="006D7157">
      <w:pPr>
        <w:pStyle w:val="ListParagraph"/>
        <w:numPr>
          <w:ilvl w:val="0"/>
          <w:numId w:val="9"/>
        </w:numPr>
      </w:pPr>
      <w:r>
        <w:t xml:space="preserve">the </w:t>
      </w:r>
      <w:r w:rsidR="00973040" w:rsidRPr="007B6E69">
        <w:t>Heavy Vehicle Industry Australia (HVIA), that represents manufacturers and suppliers of heavy vehicles and their components, equipment and technology;</w:t>
      </w:r>
      <w:r w:rsidR="00EB5229">
        <w:t xml:space="preserve"> and</w:t>
      </w:r>
    </w:p>
    <w:p w:rsidR="00973040" w:rsidRPr="007B6E69" w:rsidRDefault="000E5B1A" w:rsidP="006D7157">
      <w:pPr>
        <w:pStyle w:val="ListParagraph"/>
        <w:numPr>
          <w:ilvl w:val="0"/>
          <w:numId w:val="9"/>
        </w:numPr>
      </w:pPr>
      <w:r>
        <w:t xml:space="preserve">the </w:t>
      </w:r>
      <w:r w:rsidR="00973040" w:rsidRPr="007B6E69">
        <w:t>Truck Industry Council (TIC), that represents truck manufacturers and importers, diesel engine companies and major truck component suppliers</w:t>
      </w:r>
      <w:r w:rsidR="00EB5229">
        <w:t>.</w:t>
      </w:r>
    </w:p>
    <w:p w:rsidR="00973040" w:rsidRPr="007B6E69" w:rsidRDefault="004725A9" w:rsidP="003F3954">
      <w:pPr>
        <w:pStyle w:val="Heading4"/>
      </w:pPr>
      <w:r w:rsidRPr="007B6E69">
        <w:t>Governments</w:t>
      </w:r>
      <w:r w:rsidR="00921F58">
        <w:t xml:space="preserve"> and represented communities</w:t>
      </w:r>
    </w:p>
    <w:p w:rsidR="004725A9" w:rsidRPr="007B6E69" w:rsidRDefault="009F0300" w:rsidP="00973040">
      <w:r>
        <w:t xml:space="preserve">This includes </w:t>
      </w:r>
      <w:r w:rsidR="004725A9" w:rsidRPr="007B6E69">
        <w:t>Australian state</w:t>
      </w:r>
      <w:r w:rsidR="000E5B1A">
        <w:t xml:space="preserve">, </w:t>
      </w:r>
      <w:r w:rsidR="004725A9" w:rsidRPr="007B6E69">
        <w:t>territory</w:t>
      </w:r>
      <w:r w:rsidR="000E5B1A">
        <w:t xml:space="preserve">, and local </w:t>
      </w:r>
      <w:r w:rsidR="004725A9" w:rsidRPr="007B6E69">
        <w:t>governments</w:t>
      </w:r>
      <w:r w:rsidR="000E5B1A">
        <w:t>,</w:t>
      </w:r>
      <w:r w:rsidR="004725A9" w:rsidRPr="007B6E69">
        <w:t xml:space="preserve"> and their represented communities.</w:t>
      </w:r>
    </w:p>
    <w:p w:rsidR="00BE6F5C" w:rsidRPr="007B6E69" w:rsidRDefault="00BE6F5C" w:rsidP="00A738BE">
      <w:pPr>
        <w:pStyle w:val="Heading3"/>
        <w:rPr>
          <w:lang w:val="en-AU"/>
        </w:rPr>
      </w:pPr>
      <w:bookmarkStart w:id="80" w:name="_Toc138065706"/>
      <w:r w:rsidRPr="007B6E69">
        <w:rPr>
          <w:lang w:val="en-AU"/>
        </w:rPr>
        <w:t>Impact of viable options</w:t>
      </w:r>
      <w:bookmarkEnd w:id="80"/>
    </w:p>
    <w:p w:rsidR="00CF4FE2" w:rsidRDefault="00CF4FE2" w:rsidP="00CF4FE2">
      <w:r>
        <w:t xml:space="preserve">There were </w:t>
      </w:r>
      <w:r w:rsidR="00E926D8">
        <w:t>two</w:t>
      </w:r>
      <w:r>
        <w:t xml:space="preserve"> options that were considered viable for further examination</w:t>
      </w:r>
      <w:r w:rsidR="00E926D8">
        <w:t xml:space="preserve"> – </w:t>
      </w:r>
      <w:r>
        <w:t xml:space="preserve">Option </w:t>
      </w:r>
      <w:r w:rsidR="00E926D8">
        <w:t>2</w:t>
      </w:r>
      <w:r>
        <w:t xml:space="preserve">: </w:t>
      </w:r>
      <w:r w:rsidR="00E926D8">
        <w:t>retain existing standards under the RVSA</w:t>
      </w:r>
      <w:r>
        <w:t xml:space="preserve">; and Option </w:t>
      </w:r>
      <w:r w:rsidR="00E926D8">
        <w:t>3</w:t>
      </w:r>
      <w:r>
        <w:t xml:space="preserve">: </w:t>
      </w:r>
      <w:r w:rsidR="00E926D8">
        <w:t>implement updated standards under the RVSA</w:t>
      </w:r>
      <w:r>
        <w:t xml:space="preserve">. This section looks at the impact of these options in terms of quantifying expected benefits and costs, and identifies how these would be distributed among affected parties. </w:t>
      </w:r>
    </w:p>
    <w:p w:rsidR="00CF4FE2" w:rsidRDefault="00CF4FE2" w:rsidP="00E926D8">
      <w:pPr>
        <w:pStyle w:val="Heading4"/>
      </w:pPr>
      <w:r>
        <w:t xml:space="preserve">Option </w:t>
      </w:r>
      <w:r w:rsidR="00E926D8">
        <w:t>2</w:t>
      </w:r>
      <w:r>
        <w:t xml:space="preserve">: </w:t>
      </w:r>
      <w:r w:rsidR="006F790F">
        <w:t>R</w:t>
      </w:r>
      <w:r w:rsidR="00E926D8">
        <w:t xml:space="preserve">etain existing standards </w:t>
      </w:r>
      <w:r w:rsidR="00216DD8">
        <w:t xml:space="preserve">under the RVSA </w:t>
      </w:r>
      <w:r w:rsidR="00E926D8">
        <w:t>(business as usual)</w:t>
      </w:r>
    </w:p>
    <w:p w:rsidR="00074961" w:rsidRDefault="00CF4FE2" w:rsidP="00CF4FE2">
      <w:r>
        <w:t xml:space="preserve">As this option is the BAU case, there are no new benefits or costs allocated. </w:t>
      </w:r>
      <w:r w:rsidR="005E379A">
        <w:t>All other viable options</w:t>
      </w:r>
      <w:r>
        <w:t xml:space="preserve"> are </w:t>
      </w:r>
      <w:r w:rsidR="00BC06A0">
        <w:t>assessed</w:t>
      </w:r>
      <w:r>
        <w:t xml:space="preserve"> relative to this BAU option, so that what would have happened anyway in the marketplace is not attributed to any proposed </w:t>
      </w:r>
      <w:r w:rsidR="005E379A">
        <w:t>policy change</w:t>
      </w:r>
      <w:r>
        <w:t>.</w:t>
      </w:r>
    </w:p>
    <w:p w:rsidR="00216DD8" w:rsidRDefault="006F790F" w:rsidP="00216DD8">
      <w:pPr>
        <w:pStyle w:val="Heading4"/>
      </w:pPr>
      <w:r>
        <w:t>Option 3: I</w:t>
      </w:r>
      <w:r w:rsidR="00216DD8">
        <w:t>mplement updated standards under the RVSA</w:t>
      </w:r>
    </w:p>
    <w:p w:rsidR="00216DD8" w:rsidRDefault="00664B6E" w:rsidP="00CF4FE2">
      <w:r w:rsidRPr="00DB54E2">
        <w:t>As th</w:t>
      </w:r>
      <w:r>
        <w:t xml:space="preserve">is </w:t>
      </w:r>
      <w:r w:rsidRPr="00DB54E2">
        <w:t>option</w:t>
      </w:r>
      <w:r>
        <w:t>, including each of the sub option</w:t>
      </w:r>
      <w:r w:rsidRPr="00DB54E2">
        <w:t>s</w:t>
      </w:r>
      <w:r>
        <w:t>,</w:t>
      </w:r>
      <w:r w:rsidRPr="00DB54E2">
        <w:t xml:space="preserve"> involve</w:t>
      </w:r>
      <w:r>
        <w:t>s</w:t>
      </w:r>
      <w:r w:rsidRPr="00DB54E2">
        <w:t xml:space="preserve"> direct intervention to </w:t>
      </w:r>
      <w:r>
        <w:t>implement an updated set of standards</w:t>
      </w:r>
      <w:r w:rsidRPr="00DB54E2">
        <w:t xml:space="preserve">, the benefits and costs are those that would occur </w:t>
      </w:r>
      <w:r>
        <w:t>over and above those of Option 2</w:t>
      </w:r>
      <w:r w:rsidR="00616BA3">
        <w:t xml:space="preserve"> (BAU)</w:t>
      </w:r>
      <w:r w:rsidRPr="00DB54E2">
        <w:t>.</w:t>
      </w:r>
    </w:p>
    <w:p w:rsidR="00944A94" w:rsidRDefault="00944A94" w:rsidP="00F64C22">
      <w:pPr>
        <w:pStyle w:val="Heading5"/>
      </w:pPr>
      <w:r>
        <w:t>Benefits</w:t>
      </w:r>
    </w:p>
    <w:p w:rsidR="00944A94" w:rsidRDefault="00944A94" w:rsidP="00944A94">
      <w:r w:rsidRPr="00944A94">
        <w:t>B</w:t>
      </w:r>
      <w:r w:rsidR="00AD7398">
        <w:t>usiness</w:t>
      </w:r>
    </w:p>
    <w:p w:rsidR="00AD7398" w:rsidRPr="006C6ADE" w:rsidRDefault="00AD7398" w:rsidP="00944A94">
      <w:pPr>
        <w:rPr>
          <w:iCs/>
        </w:rPr>
      </w:pPr>
      <w:r>
        <w:rPr>
          <w:lang w:val="en-US"/>
        </w:rPr>
        <w:t xml:space="preserve">There would be a reduction in vehicle operating costs for heavy vehicle operators, due to a combination of the overall reduction in trips required to move the same freight, together with lower energy consumption per VKT for wider refrigerated goods vehicles and/or trailers (from thicker insulation). </w:t>
      </w:r>
      <w:r>
        <w:t xml:space="preserve">From </w:t>
      </w:r>
      <w:r w:rsidR="001A3BD6">
        <w:t>the</w:t>
      </w:r>
      <w:r>
        <w:t xml:space="preserve"> calculations </w:t>
      </w:r>
      <w:r w:rsidR="001A3BD6">
        <w:t xml:space="preserve">for the BCA </w:t>
      </w:r>
      <w:r>
        <w:t xml:space="preserve">by the ARRB, the </w:t>
      </w:r>
      <w:r w:rsidR="00B9347B">
        <w:t>d</w:t>
      </w:r>
      <w:r>
        <w:t xml:space="preserve">epartment </w:t>
      </w:r>
      <w:r w:rsidR="001A3BD6">
        <w:t>estimates</w:t>
      </w:r>
      <w:r>
        <w:t xml:space="preserve"> these </w:t>
      </w:r>
      <w:r w:rsidR="001A3BD6">
        <w:t>reductions in vehicle operating costs</w:t>
      </w:r>
      <w:r>
        <w:t xml:space="preserve"> to be </w:t>
      </w:r>
      <w:r w:rsidRPr="00E87894">
        <w:t>$</w:t>
      </w:r>
      <w:r w:rsidR="005D162D">
        <w:t>2</w:t>
      </w:r>
      <w:r w:rsidR="002C16EA">
        <w:t>35</w:t>
      </w:r>
      <w:r w:rsidRPr="00E87894">
        <w:t> m under</w:t>
      </w:r>
      <w:r>
        <w:t xml:space="preserve"> Option 3.1</w:t>
      </w:r>
      <w:r w:rsidRPr="00ED16E5">
        <w:t>a</w:t>
      </w:r>
      <w:r w:rsidR="0075073D">
        <w:t xml:space="preserve"> (2.55 m goods vehicles and trailers)</w:t>
      </w:r>
      <w:r w:rsidRPr="00ED16E5">
        <w:t>,</w:t>
      </w:r>
      <w:r>
        <w:t xml:space="preserve"> </w:t>
      </w:r>
      <w:r w:rsidRPr="00E87894">
        <w:t>$</w:t>
      </w:r>
      <w:r w:rsidR="005D162D">
        <w:t>208</w:t>
      </w:r>
      <w:r w:rsidRPr="00E87894">
        <w:t> m under</w:t>
      </w:r>
      <w:r w:rsidR="001A3BD6">
        <w:t xml:space="preserve"> Option </w:t>
      </w:r>
      <w:r>
        <w:t>3.1b</w:t>
      </w:r>
      <w:r w:rsidR="0075073D">
        <w:t xml:space="preserve"> (2.55 m goods vehicles only)</w:t>
      </w:r>
      <w:r>
        <w:t xml:space="preserve">, </w:t>
      </w:r>
      <w:r w:rsidRPr="00E87894">
        <w:t>$</w:t>
      </w:r>
      <w:r w:rsidR="005D162D">
        <w:t>4</w:t>
      </w:r>
      <w:r w:rsidR="002C16EA">
        <w:t>39</w:t>
      </w:r>
      <w:r w:rsidR="00BE0042">
        <w:t> </w:t>
      </w:r>
      <w:r w:rsidRPr="00E87894">
        <w:t>m under</w:t>
      </w:r>
      <w:r>
        <w:t xml:space="preserve"> Option</w:t>
      </w:r>
      <w:r w:rsidR="00DA428A">
        <w:t> </w:t>
      </w:r>
      <w:r>
        <w:t>3.2a</w:t>
      </w:r>
      <w:r w:rsidR="0075073D">
        <w:t xml:space="preserve"> (</w:t>
      </w:r>
      <w:r w:rsidR="00B9347B">
        <w:t>2.60</w:t>
      </w:r>
      <w:r w:rsidR="0075073D">
        <w:t> m goods vehicles and trailers)</w:t>
      </w:r>
      <w:r>
        <w:t>,</w:t>
      </w:r>
      <w:r w:rsidRPr="00ED16E5">
        <w:rPr>
          <w:iCs/>
        </w:rPr>
        <w:t xml:space="preserve"> and </w:t>
      </w:r>
      <w:r w:rsidRPr="00E87894">
        <w:t>$</w:t>
      </w:r>
      <w:r w:rsidR="005D162D">
        <w:t>389</w:t>
      </w:r>
      <w:r w:rsidRPr="00E87894">
        <w:t> m under</w:t>
      </w:r>
      <w:r>
        <w:t xml:space="preserve"> Option 3.2b</w:t>
      </w:r>
      <w:r w:rsidR="0075073D">
        <w:t xml:space="preserve"> (</w:t>
      </w:r>
      <w:r w:rsidR="00B9347B">
        <w:t>2.60</w:t>
      </w:r>
      <w:r w:rsidR="0075073D">
        <w:t> m goods vehicles only)</w:t>
      </w:r>
      <w:r w:rsidRPr="00ED16E5">
        <w:rPr>
          <w:iCs/>
        </w:rPr>
        <w:t>.</w:t>
      </w:r>
      <w:r w:rsidR="001C34C7">
        <w:rPr>
          <w:iCs/>
        </w:rPr>
        <w:t xml:space="preserve"> </w:t>
      </w:r>
      <w:r w:rsidR="0083682B">
        <w:rPr>
          <w:iCs/>
        </w:rPr>
        <w:t xml:space="preserve">As the road freight sector is highly competitive with relatively low </w:t>
      </w:r>
      <w:r w:rsidR="00EC136D">
        <w:rPr>
          <w:iCs/>
        </w:rPr>
        <w:t xml:space="preserve">profit </w:t>
      </w:r>
      <w:r w:rsidR="0083682B">
        <w:rPr>
          <w:iCs/>
        </w:rPr>
        <w:t>margins</w:t>
      </w:r>
      <w:r w:rsidR="006C6ADE">
        <w:rPr>
          <w:iCs/>
        </w:rPr>
        <w:t>,</w:t>
      </w:r>
      <w:r w:rsidR="0083682B">
        <w:rPr>
          <w:iCs/>
        </w:rPr>
        <w:t xml:space="preserve"> it is likely that operators would pass any reduction in their </w:t>
      </w:r>
      <w:r w:rsidR="00EC136D">
        <w:rPr>
          <w:iCs/>
        </w:rPr>
        <w:t xml:space="preserve">overall </w:t>
      </w:r>
      <w:r w:rsidR="0083682B">
        <w:rPr>
          <w:iCs/>
        </w:rPr>
        <w:t>costs</w:t>
      </w:r>
      <w:r w:rsidR="006C6ADE">
        <w:rPr>
          <w:iCs/>
        </w:rPr>
        <w:t xml:space="preserve"> onto their customers (</w:t>
      </w:r>
      <w:r w:rsidR="0083682B">
        <w:rPr>
          <w:iCs/>
        </w:rPr>
        <w:t xml:space="preserve">after accounting for increases in vehicle </w:t>
      </w:r>
      <w:r w:rsidR="00EC136D">
        <w:rPr>
          <w:iCs/>
        </w:rPr>
        <w:t xml:space="preserve">purchase and maintenance </w:t>
      </w:r>
      <w:r w:rsidR="0083682B">
        <w:rPr>
          <w:iCs/>
        </w:rPr>
        <w:t xml:space="preserve">costs </w:t>
      </w:r>
      <w:r w:rsidR="00EC136D">
        <w:rPr>
          <w:iCs/>
        </w:rPr>
        <w:t>for the additional</w:t>
      </w:r>
      <w:r w:rsidR="0083682B">
        <w:rPr>
          <w:iCs/>
        </w:rPr>
        <w:t xml:space="preserve"> safety technologies </w:t>
      </w:r>
      <w:r w:rsidR="006C6ADE">
        <w:rPr>
          <w:iCs/>
        </w:rPr>
        <w:t xml:space="preserve">– </w:t>
      </w:r>
      <w:r w:rsidR="0083682B">
        <w:rPr>
          <w:iCs/>
        </w:rPr>
        <w:t>see below)</w:t>
      </w:r>
      <w:r w:rsidR="00D54919">
        <w:rPr>
          <w:iCs/>
        </w:rPr>
        <w:t xml:space="preserve">, which could then also lower </w:t>
      </w:r>
      <w:r w:rsidR="006C6ADE">
        <w:rPr>
          <w:iCs/>
        </w:rPr>
        <w:t xml:space="preserve">product </w:t>
      </w:r>
      <w:r w:rsidR="00D54919">
        <w:rPr>
          <w:iCs/>
        </w:rPr>
        <w:t xml:space="preserve">costs for the end consumers (i.e. the cost of goods moved by road). </w:t>
      </w:r>
      <w:r w:rsidR="006C6ADE">
        <w:rPr>
          <w:iCs/>
        </w:rPr>
        <w:t xml:space="preserve">Overall reductions in costs </w:t>
      </w:r>
      <w:r w:rsidR="00747079">
        <w:rPr>
          <w:iCs/>
        </w:rPr>
        <w:t xml:space="preserve">(savings) </w:t>
      </w:r>
      <w:r w:rsidR="006C6ADE">
        <w:rPr>
          <w:iCs/>
        </w:rPr>
        <w:t xml:space="preserve">would be most likely for the sectors that </w:t>
      </w:r>
      <w:r w:rsidR="00C46BFC">
        <w:rPr>
          <w:iCs/>
        </w:rPr>
        <w:t xml:space="preserve">would </w:t>
      </w:r>
      <w:r w:rsidR="006C6ADE">
        <w:rPr>
          <w:iCs/>
        </w:rPr>
        <w:t>benefit more from an increase in width, including operators that transport refrigerated produce (e.g. for supermarkets)</w:t>
      </w:r>
      <w:r w:rsidR="00A149EF">
        <w:rPr>
          <w:iCs/>
        </w:rPr>
        <w:t xml:space="preserve"> or </w:t>
      </w:r>
      <w:r w:rsidR="006C6ADE">
        <w:rPr>
          <w:iCs/>
        </w:rPr>
        <w:t xml:space="preserve">volume limited freight, </w:t>
      </w:r>
      <w:r w:rsidR="00A149EF">
        <w:rPr>
          <w:iCs/>
        </w:rPr>
        <w:t xml:space="preserve">or </w:t>
      </w:r>
      <w:r w:rsidR="00B217BF">
        <w:rPr>
          <w:iCs/>
        </w:rPr>
        <w:t>use EU and/or US</w:t>
      </w:r>
      <w:r w:rsidR="006C6ADE">
        <w:rPr>
          <w:iCs/>
        </w:rPr>
        <w:t xml:space="preserve"> </w:t>
      </w:r>
      <w:r w:rsidR="00B217BF">
        <w:rPr>
          <w:iCs/>
        </w:rPr>
        <w:t xml:space="preserve">size </w:t>
      </w:r>
      <w:r w:rsidR="006C6ADE">
        <w:rPr>
          <w:iCs/>
        </w:rPr>
        <w:t>pallets</w:t>
      </w:r>
      <w:r w:rsidR="00203013">
        <w:rPr>
          <w:iCs/>
        </w:rPr>
        <w:t xml:space="preserve"> (including for the distribution of imported goods</w:t>
      </w:r>
      <w:r w:rsidR="00F51399">
        <w:rPr>
          <w:iCs/>
        </w:rPr>
        <w:t xml:space="preserve"> and</w:t>
      </w:r>
      <w:r w:rsidR="008A4712">
        <w:rPr>
          <w:iCs/>
        </w:rPr>
        <w:t>/or</w:t>
      </w:r>
      <w:r w:rsidR="00F51399">
        <w:rPr>
          <w:iCs/>
        </w:rPr>
        <w:t xml:space="preserve"> for export purposes</w:t>
      </w:r>
      <w:r w:rsidR="00203013">
        <w:rPr>
          <w:iCs/>
        </w:rPr>
        <w:t>)</w:t>
      </w:r>
      <w:r w:rsidR="00C46BFC">
        <w:rPr>
          <w:iCs/>
        </w:rPr>
        <w:t xml:space="preserve">, or could use the additional width for more versatile vehicle designs (e.g. to transport different types of </w:t>
      </w:r>
      <w:r w:rsidR="006102F0">
        <w:rPr>
          <w:iCs/>
        </w:rPr>
        <w:t>goods/produce</w:t>
      </w:r>
      <w:r w:rsidR="00C46BFC">
        <w:rPr>
          <w:iCs/>
        </w:rPr>
        <w:t xml:space="preserve"> on outgoing and incoming trips)</w:t>
      </w:r>
      <w:r w:rsidR="006C6ADE">
        <w:rPr>
          <w:iCs/>
        </w:rPr>
        <w:t>.</w:t>
      </w:r>
    </w:p>
    <w:p w:rsidR="00944A94" w:rsidRPr="00944A94" w:rsidRDefault="00944A94" w:rsidP="00E92098">
      <w:pPr>
        <w:keepNext/>
      </w:pPr>
      <w:r w:rsidRPr="00944A94">
        <w:t>Gov</w:t>
      </w:r>
      <w:r>
        <w:t>ernments and communities</w:t>
      </w:r>
    </w:p>
    <w:p w:rsidR="00E92098" w:rsidRPr="00944A94" w:rsidRDefault="00657105" w:rsidP="00E92098">
      <w:pPr>
        <w:keepLines/>
      </w:pPr>
      <w:r>
        <w:t xml:space="preserve">There would be </w:t>
      </w:r>
      <w:r w:rsidR="00944A94">
        <w:t>benefit</w:t>
      </w:r>
      <w:r>
        <w:t>s</w:t>
      </w:r>
      <w:r w:rsidR="00944A94">
        <w:t xml:space="preserve"> to </w:t>
      </w:r>
      <w:r>
        <w:t>the community as a whole, including for governments and heavy vehicle operators,</w:t>
      </w:r>
      <w:r w:rsidR="00944A94">
        <w:t xml:space="preserve"> </w:t>
      </w:r>
      <w:r w:rsidR="00944A94" w:rsidRPr="00CE4FBB">
        <w:t xml:space="preserve">from </w:t>
      </w:r>
      <w:r>
        <w:t>a</w:t>
      </w:r>
      <w:r w:rsidR="00944A94" w:rsidRPr="00CE4FBB">
        <w:t xml:space="preserve"> reduction in road crashes</w:t>
      </w:r>
      <w:r w:rsidR="00D943CB">
        <w:t xml:space="preserve"> due to both a decrease in the overall number of trips required to move the same freight </w:t>
      </w:r>
      <w:r w:rsidR="001A3BD6">
        <w:br/>
      </w:r>
      <w:r w:rsidR="00D943CB">
        <w:t xml:space="preserve">(i.e. reduced exposure), and the effectiveness of the required safety systems/features in reducing fatal and serious injury crash risk. The ARRB estimated these savings to be </w:t>
      </w:r>
      <w:r w:rsidR="00E92098" w:rsidRPr="00E87894">
        <w:t>$</w:t>
      </w:r>
      <w:r w:rsidR="003814B3">
        <w:t>6</w:t>
      </w:r>
      <w:r w:rsidR="002C16EA">
        <w:t>28</w:t>
      </w:r>
      <w:r w:rsidR="00E92098" w:rsidRPr="00E87894">
        <w:t> m under</w:t>
      </w:r>
      <w:r w:rsidR="00E92098">
        <w:t xml:space="preserve"> Option 3.1</w:t>
      </w:r>
      <w:r w:rsidR="00E92098" w:rsidRPr="00ED16E5">
        <w:t>a</w:t>
      </w:r>
      <w:r w:rsidR="00E92098">
        <w:t xml:space="preserve"> (2.55 m goods vehicles and trailers)</w:t>
      </w:r>
      <w:r w:rsidR="00E92098" w:rsidRPr="00ED16E5">
        <w:t>,</w:t>
      </w:r>
      <w:r w:rsidR="00E92098">
        <w:t xml:space="preserve"> </w:t>
      </w:r>
      <w:r w:rsidR="00E92098" w:rsidRPr="003A7C7C">
        <w:t>$</w:t>
      </w:r>
      <w:r w:rsidR="003814B3">
        <w:t>558</w:t>
      </w:r>
      <w:r w:rsidR="00E92098" w:rsidRPr="00E87894">
        <w:t> m under</w:t>
      </w:r>
      <w:r w:rsidR="00E92098">
        <w:t xml:space="preserve"> Option 3.1b (2.55 m goods vehicles only), </w:t>
      </w:r>
      <w:r w:rsidR="00E92098" w:rsidRPr="00E87894">
        <w:t>$</w:t>
      </w:r>
      <w:r w:rsidR="003814B3">
        <w:t>6</w:t>
      </w:r>
      <w:r w:rsidR="002C16EA">
        <w:t>89</w:t>
      </w:r>
      <w:r w:rsidR="00E92098">
        <w:t> </w:t>
      </w:r>
      <w:r w:rsidR="00E92098" w:rsidRPr="00E87894">
        <w:t>m under</w:t>
      </w:r>
      <w:r w:rsidR="00E92098">
        <w:t xml:space="preserve"> Option 3.2a (</w:t>
      </w:r>
      <w:r w:rsidR="00B9347B">
        <w:t>2.60</w:t>
      </w:r>
      <w:r w:rsidR="00E92098">
        <w:t> m goods vehicles and trailers),</w:t>
      </w:r>
      <w:r w:rsidR="00E92098" w:rsidRPr="00ED16E5">
        <w:rPr>
          <w:iCs/>
        </w:rPr>
        <w:t xml:space="preserve"> and </w:t>
      </w:r>
      <w:r w:rsidR="00E92098" w:rsidRPr="00E87894">
        <w:t>$</w:t>
      </w:r>
      <w:r w:rsidR="003814B3">
        <w:t>612</w:t>
      </w:r>
      <w:r w:rsidR="00E92098" w:rsidRPr="00E87894">
        <w:t> m under</w:t>
      </w:r>
      <w:r w:rsidR="00E92098">
        <w:t xml:space="preserve"> Option 3.2b (</w:t>
      </w:r>
      <w:r w:rsidR="00B9347B">
        <w:t>2.60</w:t>
      </w:r>
      <w:r w:rsidR="00E92098">
        <w:t> m goods vehicles only)</w:t>
      </w:r>
      <w:r w:rsidR="00E92098" w:rsidRPr="00ED16E5">
        <w:rPr>
          <w:iCs/>
        </w:rPr>
        <w:t>.</w:t>
      </w:r>
    </w:p>
    <w:p w:rsidR="00E54329" w:rsidRPr="00944A94" w:rsidRDefault="00B74E6F" w:rsidP="00E54329">
      <w:pPr>
        <w:keepLines/>
      </w:pPr>
      <w:r>
        <w:t>There would also be asset preservation benefits for governments from the reduction in trips needed by heavy goods vehicles and/or trailers to move the same freight</w:t>
      </w:r>
      <w:r w:rsidRPr="00C62BD2">
        <w:t>.</w:t>
      </w:r>
      <w:r>
        <w:t xml:space="preserve"> </w:t>
      </w:r>
      <w:r w:rsidR="001A3BD6">
        <w:t xml:space="preserve">From the calculations for the BCA by the ARRB, the </w:t>
      </w:r>
      <w:r w:rsidR="00B9347B">
        <w:t>d</w:t>
      </w:r>
      <w:r w:rsidR="001A3BD6">
        <w:t xml:space="preserve">epartment estimates </w:t>
      </w:r>
      <w:r>
        <w:t xml:space="preserve">these savings to be </w:t>
      </w:r>
      <w:r w:rsidR="00E54329" w:rsidRPr="00760447">
        <w:t>$</w:t>
      </w:r>
      <w:r w:rsidR="003814B3">
        <w:t>2.</w:t>
      </w:r>
      <w:r w:rsidR="002C16EA">
        <w:t>8</w:t>
      </w:r>
      <w:r w:rsidR="003814B3">
        <w:t>0</w:t>
      </w:r>
      <w:r w:rsidR="00E54329" w:rsidRPr="00760447">
        <w:t> m</w:t>
      </w:r>
      <w:r w:rsidR="00E54329" w:rsidRPr="00E87894">
        <w:t xml:space="preserve"> under</w:t>
      </w:r>
      <w:r w:rsidR="00E54329">
        <w:t xml:space="preserve"> Option 3.1</w:t>
      </w:r>
      <w:r w:rsidR="00E54329" w:rsidRPr="00ED16E5">
        <w:t>a</w:t>
      </w:r>
      <w:r w:rsidR="00E54329">
        <w:t xml:space="preserve"> (2.55 m goods vehicles and trailers)</w:t>
      </w:r>
      <w:r w:rsidR="00E54329" w:rsidRPr="00ED16E5">
        <w:t>,</w:t>
      </w:r>
      <w:r w:rsidR="00E54329">
        <w:t xml:space="preserve"> </w:t>
      </w:r>
      <w:r w:rsidR="00E54329" w:rsidRPr="00E87894">
        <w:t>$</w:t>
      </w:r>
      <w:r w:rsidR="003814B3">
        <w:t>2.42</w:t>
      </w:r>
      <w:r w:rsidR="00E54329" w:rsidRPr="00E87894">
        <w:t> m under</w:t>
      </w:r>
      <w:r w:rsidR="00E54329">
        <w:t xml:space="preserve"> Option 3.1b (2.55 m goods vehicles only), </w:t>
      </w:r>
      <w:r w:rsidR="00E54329" w:rsidRPr="00E87894">
        <w:t>$</w:t>
      </w:r>
      <w:r w:rsidR="003814B3">
        <w:t>5.</w:t>
      </w:r>
      <w:r w:rsidR="002C16EA">
        <w:t>4</w:t>
      </w:r>
      <w:r w:rsidR="003814B3">
        <w:t>6</w:t>
      </w:r>
      <w:r w:rsidR="00E54329">
        <w:t> </w:t>
      </w:r>
      <w:r w:rsidR="00E54329" w:rsidRPr="00E87894">
        <w:t>m under</w:t>
      </w:r>
      <w:r w:rsidR="00E54329">
        <w:t xml:space="preserve"> Option 3.2a (</w:t>
      </w:r>
      <w:r w:rsidR="00B9347B">
        <w:t>2.60</w:t>
      </w:r>
      <w:r w:rsidR="00E54329">
        <w:t> m goods vehicles and trailers),</w:t>
      </w:r>
      <w:r w:rsidR="00E54329" w:rsidRPr="00ED16E5">
        <w:rPr>
          <w:iCs/>
        </w:rPr>
        <w:t xml:space="preserve"> and </w:t>
      </w:r>
      <w:r w:rsidR="00E54329" w:rsidRPr="00E87894">
        <w:t>$</w:t>
      </w:r>
      <w:r w:rsidR="003814B3">
        <w:t>4.73</w:t>
      </w:r>
      <w:r w:rsidR="00E54329" w:rsidRPr="00E87894">
        <w:t> m under</w:t>
      </w:r>
      <w:r w:rsidR="00E54329">
        <w:t xml:space="preserve"> Option</w:t>
      </w:r>
      <w:r w:rsidR="00760447">
        <w:t> </w:t>
      </w:r>
      <w:r w:rsidR="00E54329">
        <w:t>3.2b (</w:t>
      </w:r>
      <w:r w:rsidR="00B9347B">
        <w:t>2.60</w:t>
      </w:r>
      <w:r w:rsidR="00E54329">
        <w:t> m goods vehicles only)</w:t>
      </w:r>
      <w:r w:rsidR="00E54329" w:rsidRPr="00ED16E5">
        <w:rPr>
          <w:iCs/>
        </w:rPr>
        <w:t>.</w:t>
      </w:r>
    </w:p>
    <w:p w:rsidR="00B74E6F" w:rsidRDefault="00B74E6F" w:rsidP="00E54329">
      <w:pPr>
        <w:keepLines/>
        <w:rPr>
          <w:lang w:val="en-US"/>
        </w:rPr>
      </w:pPr>
      <w:r>
        <w:rPr>
          <w:lang w:val="en-US"/>
        </w:rPr>
        <w:t>Finally, t</w:t>
      </w:r>
      <w:r w:rsidR="004E6C14">
        <w:rPr>
          <w:lang w:val="en-US"/>
        </w:rPr>
        <w:t xml:space="preserve">here would </w:t>
      </w:r>
      <w:r w:rsidR="00657105">
        <w:rPr>
          <w:lang w:val="en-US"/>
        </w:rPr>
        <w:t xml:space="preserve">also </w:t>
      </w:r>
      <w:r w:rsidR="004E6C14">
        <w:rPr>
          <w:lang w:val="en-US"/>
        </w:rPr>
        <w:t>be a reduction in environmental costs from road freight transport, due to a combination of the overall reduction in trips required to move the same freight, together with lower energy needs per VKT for wider refrigerated goods vehicles and</w:t>
      </w:r>
      <w:r w:rsidR="00AD7398">
        <w:rPr>
          <w:lang w:val="en-US"/>
        </w:rPr>
        <w:t>/or</w:t>
      </w:r>
      <w:r w:rsidR="004E6C14">
        <w:rPr>
          <w:lang w:val="en-US"/>
        </w:rPr>
        <w:t xml:space="preserve"> trailers (</w:t>
      </w:r>
      <w:r w:rsidR="009836FD">
        <w:rPr>
          <w:lang w:val="en-US"/>
        </w:rPr>
        <w:t>with</w:t>
      </w:r>
      <w:r w:rsidR="004E6C14">
        <w:rPr>
          <w:lang w:val="en-US"/>
        </w:rPr>
        <w:t xml:space="preserve"> thicker insulation). </w:t>
      </w:r>
      <w:r w:rsidR="001A3BD6">
        <w:t xml:space="preserve">From the calculations for the BCA by the ARRB, the </w:t>
      </w:r>
      <w:r w:rsidR="00B9347B">
        <w:t>d</w:t>
      </w:r>
      <w:r w:rsidR="001A3BD6">
        <w:t>epartment estimates</w:t>
      </w:r>
      <w:r w:rsidR="004E6C14">
        <w:t xml:space="preserve"> these savings to be </w:t>
      </w:r>
      <w:r w:rsidR="00E54329" w:rsidRPr="00E87894">
        <w:t>$</w:t>
      </w:r>
      <w:r w:rsidR="003A7C7C">
        <w:t>1</w:t>
      </w:r>
      <w:r w:rsidR="002C16EA">
        <w:t>22</w:t>
      </w:r>
      <w:r w:rsidR="00E54329" w:rsidRPr="00E87894">
        <w:t> m under</w:t>
      </w:r>
      <w:r w:rsidR="00E54329">
        <w:t xml:space="preserve"> Option 3.1</w:t>
      </w:r>
      <w:r w:rsidR="00E54329" w:rsidRPr="00ED16E5">
        <w:t>a</w:t>
      </w:r>
      <w:r w:rsidR="00E54329">
        <w:t xml:space="preserve"> (2.55 m goods vehicles and trailers)</w:t>
      </w:r>
      <w:r w:rsidR="00E54329" w:rsidRPr="00ED16E5">
        <w:t>,</w:t>
      </w:r>
      <w:r w:rsidR="00E54329">
        <w:t xml:space="preserve"> </w:t>
      </w:r>
      <w:r w:rsidR="00E54329" w:rsidRPr="00E87894">
        <w:t>$</w:t>
      </w:r>
      <w:r w:rsidR="003A7C7C">
        <w:t>1</w:t>
      </w:r>
      <w:r w:rsidR="003814B3">
        <w:t>08</w:t>
      </w:r>
      <w:r w:rsidR="00E54329" w:rsidRPr="00E87894">
        <w:t> m under</w:t>
      </w:r>
      <w:r w:rsidR="00E54329">
        <w:t xml:space="preserve"> Option 3.1b (2.55 m goods vehicles only), </w:t>
      </w:r>
      <w:r w:rsidR="00E54329" w:rsidRPr="00E87894">
        <w:t>$</w:t>
      </w:r>
      <w:r w:rsidR="003814B3">
        <w:t>22</w:t>
      </w:r>
      <w:r w:rsidR="002C16EA">
        <w:t>7</w:t>
      </w:r>
      <w:r w:rsidR="00E54329">
        <w:t> </w:t>
      </w:r>
      <w:r w:rsidR="00E54329" w:rsidRPr="00E87894">
        <w:t>m under</w:t>
      </w:r>
      <w:r w:rsidR="00E54329">
        <w:t xml:space="preserve"> Option 3.2a (</w:t>
      </w:r>
      <w:r w:rsidR="00B9347B">
        <w:t>2.60</w:t>
      </w:r>
      <w:r w:rsidR="00E54329">
        <w:t> m goods vehicles and trailers),</w:t>
      </w:r>
      <w:r w:rsidR="00E54329" w:rsidRPr="00ED16E5">
        <w:rPr>
          <w:iCs/>
        </w:rPr>
        <w:t xml:space="preserve"> and </w:t>
      </w:r>
      <w:r w:rsidR="00E54329" w:rsidRPr="00E87894">
        <w:t>$</w:t>
      </w:r>
      <w:r w:rsidR="003A7C7C">
        <w:t>2</w:t>
      </w:r>
      <w:r w:rsidR="003814B3">
        <w:t>01</w:t>
      </w:r>
      <w:r w:rsidR="00E54329" w:rsidRPr="00E87894">
        <w:t> m under</w:t>
      </w:r>
      <w:r w:rsidR="00E54329">
        <w:t xml:space="preserve"> Option 3.2b (</w:t>
      </w:r>
      <w:r w:rsidR="00B9347B">
        <w:t>2.60</w:t>
      </w:r>
      <w:r w:rsidR="00E54329">
        <w:t> m goods vehicles only)</w:t>
      </w:r>
      <w:r w:rsidR="00E54329" w:rsidRPr="00ED16E5">
        <w:rPr>
          <w:iCs/>
        </w:rPr>
        <w:t>.</w:t>
      </w:r>
      <w:r w:rsidR="00492C92">
        <w:rPr>
          <w:iCs/>
        </w:rPr>
        <w:t xml:space="preserve"> </w:t>
      </w:r>
      <w:r w:rsidR="00492C92">
        <w:rPr>
          <w:lang w:val="en-US"/>
        </w:rPr>
        <w:t>These benefits would be for the community as a whole, including governments and businesses.</w:t>
      </w:r>
    </w:p>
    <w:p w:rsidR="00C75483" w:rsidRDefault="00C75483" w:rsidP="00F64C22">
      <w:pPr>
        <w:keepNext/>
        <w:rPr>
          <w:lang w:val="en-US"/>
        </w:rPr>
      </w:pPr>
      <w:r>
        <w:rPr>
          <w:lang w:val="en-US"/>
        </w:rPr>
        <w:fldChar w:fldCharType="begin"/>
      </w:r>
      <w:r>
        <w:rPr>
          <w:lang w:val="en-US"/>
        </w:rPr>
        <w:instrText xml:space="preserve"> REF _Ref112145747 \h </w:instrText>
      </w:r>
      <w:r>
        <w:rPr>
          <w:lang w:val="en-US"/>
        </w:rPr>
      </w:r>
      <w:r>
        <w:rPr>
          <w:lang w:val="en-US"/>
        </w:rPr>
        <w:fldChar w:fldCharType="separate"/>
      </w:r>
      <w:r w:rsidR="00534814" w:rsidRPr="002C1585">
        <w:t xml:space="preserve">Table </w:t>
      </w:r>
      <w:r w:rsidR="00534814">
        <w:rPr>
          <w:noProof/>
        </w:rPr>
        <w:t>18</w:t>
      </w:r>
      <w:r>
        <w:rPr>
          <w:lang w:val="en-US"/>
        </w:rPr>
        <w:fldChar w:fldCharType="end"/>
      </w:r>
      <w:r>
        <w:rPr>
          <w:lang w:val="en-US"/>
        </w:rPr>
        <w:t xml:space="preserve"> includes the safety, asset preservation, vehicle operating cost, and environment benefits for each option.</w:t>
      </w:r>
    </w:p>
    <w:p w:rsidR="002B30DC" w:rsidRPr="002C1585" w:rsidRDefault="002B30DC" w:rsidP="002B30DC">
      <w:pPr>
        <w:pStyle w:val="Caption"/>
        <w:keepNext/>
      </w:pPr>
      <w:bookmarkStart w:id="81" w:name="_Ref112145747"/>
      <w:bookmarkStart w:id="82" w:name="_Ref112145741"/>
      <w:bookmarkStart w:id="83" w:name="_Toc135320143"/>
      <w:r w:rsidRPr="002C1585">
        <w:t xml:space="preserve">Table </w:t>
      </w:r>
      <w:fldSimple w:instr=" SEQ Table \* ARABIC ">
        <w:r w:rsidR="00534814">
          <w:rPr>
            <w:noProof/>
          </w:rPr>
          <w:t>18</w:t>
        </w:r>
      </w:fldSimple>
      <w:bookmarkEnd w:id="81"/>
      <w:r>
        <w:t xml:space="preserve">: </w:t>
      </w:r>
      <w:r w:rsidRPr="002C1585">
        <w:t xml:space="preserve">Summary of the </w:t>
      </w:r>
      <w:r w:rsidR="00C75483">
        <w:t>benefits</w:t>
      </w:r>
      <w:r>
        <w:t xml:space="preserve"> for</w:t>
      </w:r>
      <w:r w:rsidRPr="002C1585">
        <w:t xml:space="preserve"> each option</w:t>
      </w:r>
      <w:bookmarkEnd w:id="82"/>
      <w:bookmarkEnd w:id="83"/>
    </w:p>
    <w:tbl>
      <w:tblPr>
        <w:tblStyle w:val="TableGrid"/>
        <w:tblW w:w="9750" w:type="dxa"/>
        <w:tblLook w:val="04A0" w:firstRow="1" w:lastRow="0" w:firstColumn="1" w:lastColumn="0" w:noHBand="0" w:noVBand="1"/>
      </w:tblPr>
      <w:tblGrid>
        <w:gridCol w:w="3402"/>
        <w:gridCol w:w="1587"/>
        <w:gridCol w:w="1587"/>
        <w:gridCol w:w="1587"/>
        <w:gridCol w:w="1587"/>
      </w:tblGrid>
      <w:tr w:rsidR="002B30DC" w:rsidTr="0027221B">
        <w:trPr>
          <w:trHeight w:val="340"/>
        </w:trPr>
        <w:tc>
          <w:tcPr>
            <w:tcW w:w="3402" w:type="dxa"/>
            <w:shd w:val="clear" w:color="auto" w:fill="081E3E" w:themeFill="text2"/>
            <w:vAlign w:val="center"/>
          </w:tcPr>
          <w:p w:rsidR="002B30DC" w:rsidRPr="00731C0C" w:rsidRDefault="00C75483" w:rsidP="0027221B">
            <w:pPr>
              <w:pStyle w:val="Table2heading"/>
              <w:jc w:val="left"/>
            </w:pPr>
            <w:r>
              <w:t>Benefits</w:t>
            </w:r>
          </w:p>
        </w:tc>
        <w:tc>
          <w:tcPr>
            <w:tcW w:w="1587" w:type="dxa"/>
            <w:shd w:val="clear" w:color="auto" w:fill="081E3E" w:themeFill="text2"/>
            <w:vAlign w:val="center"/>
          </w:tcPr>
          <w:p w:rsidR="002B30DC" w:rsidRPr="00731C0C" w:rsidRDefault="002B30DC" w:rsidP="0027221B">
            <w:pPr>
              <w:pStyle w:val="Table2heading"/>
              <w:keepNext/>
            </w:pPr>
            <w:r w:rsidRPr="00731C0C">
              <w:t>Option 3.1a</w:t>
            </w:r>
          </w:p>
        </w:tc>
        <w:tc>
          <w:tcPr>
            <w:tcW w:w="1587" w:type="dxa"/>
            <w:shd w:val="clear" w:color="auto" w:fill="081E3E" w:themeFill="text2"/>
            <w:vAlign w:val="center"/>
          </w:tcPr>
          <w:p w:rsidR="002B30DC" w:rsidRPr="00731C0C" w:rsidRDefault="002B30DC" w:rsidP="0027221B">
            <w:pPr>
              <w:pStyle w:val="Table2heading"/>
              <w:keepNext/>
            </w:pPr>
            <w:r w:rsidRPr="00731C0C">
              <w:t>Option 3.1b</w:t>
            </w:r>
          </w:p>
        </w:tc>
        <w:tc>
          <w:tcPr>
            <w:tcW w:w="1587" w:type="dxa"/>
            <w:shd w:val="clear" w:color="auto" w:fill="081E3E" w:themeFill="text2"/>
            <w:vAlign w:val="center"/>
          </w:tcPr>
          <w:p w:rsidR="002B30DC" w:rsidRPr="00731C0C" w:rsidRDefault="002B30DC" w:rsidP="0027221B">
            <w:pPr>
              <w:pStyle w:val="Table2heading"/>
              <w:keepNext/>
            </w:pPr>
            <w:r w:rsidRPr="00731C0C">
              <w:t>Option 3.2a</w:t>
            </w:r>
          </w:p>
        </w:tc>
        <w:tc>
          <w:tcPr>
            <w:tcW w:w="1587" w:type="dxa"/>
            <w:shd w:val="clear" w:color="auto" w:fill="081E3E" w:themeFill="text2"/>
            <w:vAlign w:val="center"/>
          </w:tcPr>
          <w:p w:rsidR="002B30DC" w:rsidRPr="00731C0C" w:rsidRDefault="002B30DC" w:rsidP="0027221B">
            <w:pPr>
              <w:pStyle w:val="Table2heading"/>
              <w:keepNext/>
            </w:pPr>
            <w:r w:rsidRPr="00731C0C">
              <w:t>Option 3.2b</w:t>
            </w:r>
          </w:p>
        </w:tc>
      </w:tr>
      <w:tr w:rsidR="007B0B44" w:rsidTr="0027221B">
        <w:trPr>
          <w:trHeight w:val="340"/>
        </w:trPr>
        <w:tc>
          <w:tcPr>
            <w:tcW w:w="3402" w:type="dxa"/>
            <w:vAlign w:val="center"/>
          </w:tcPr>
          <w:p w:rsidR="007B0B44" w:rsidRPr="00E856F5" w:rsidRDefault="007B0B44" w:rsidP="0027221B">
            <w:pPr>
              <w:rPr>
                <w:b/>
              </w:rPr>
            </w:pPr>
            <w:r>
              <w:rPr>
                <w:b/>
              </w:rPr>
              <w:t>Safety</w:t>
            </w:r>
          </w:p>
        </w:tc>
        <w:tc>
          <w:tcPr>
            <w:tcW w:w="1587" w:type="dxa"/>
            <w:vAlign w:val="center"/>
          </w:tcPr>
          <w:p w:rsidR="007B0B44" w:rsidRPr="005D0919" w:rsidRDefault="007B0B44" w:rsidP="0027221B">
            <w:pPr>
              <w:jc w:val="center"/>
              <w:rPr>
                <w:rFonts w:cstheme="minorHAnsi"/>
                <w:color w:val="auto"/>
              </w:rPr>
            </w:pPr>
            <w:r w:rsidRPr="00413784">
              <w:t>$6</w:t>
            </w:r>
            <w:r w:rsidR="00562542">
              <w:t>28</w:t>
            </w:r>
            <w:r>
              <w:t> m</w:t>
            </w:r>
          </w:p>
        </w:tc>
        <w:tc>
          <w:tcPr>
            <w:tcW w:w="1587" w:type="dxa"/>
            <w:vAlign w:val="center"/>
          </w:tcPr>
          <w:p w:rsidR="007B0B44" w:rsidRPr="005D0919" w:rsidRDefault="007B0B44" w:rsidP="0027221B">
            <w:pPr>
              <w:jc w:val="center"/>
              <w:rPr>
                <w:rFonts w:cstheme="minorHAnsi"/>
                <w:color w:val="auto"/>
              </w:rPr>
            </w:pPr>
            <w:r w:rsidRPr="00413784">
              <w:t>$558</w:t>
            </w:r>
            <w:r>
              <w:t> m</w:t>
            </w:r>
          </w:p>
        </w:tc>
        <w:tc>
          <w:tcPr>
            <w:tcW w:w="1587" w:type="dxa"/>
            <w:vAlign w:val="center"/>
          </w:tcPr>
          <w:p w:rsidR="007B0B44" w:rsidRPr="005D0919" w:rsidRDefault="007B0B44" w:rsidP="0027221B">
            <w:pPr>
              <w:jc w:val="center"/>
              <w:rPr>
                <w:rFonts w:cstheme="minorHAnsi"/>
                <w:color w:val="auto"/>
              </w:rPr>
            </w:pPr>
            <w:r w:rsidRPr="00413784">
              <w:t>$6</w:t>
            </w:r>
            <w:r w:rsidR="002C16EA">
              <w:t>89</w:t>
            </w:r>
            <w:r>
              <w:t> m</w:t>
            </w:r>
          </w:p>
        </w:tc>
        <w:tc>
          <w:tcPr>
            <w:tcW w:w="1587" w:type="dxa"/>
            <w:vAlign w:val="center"/>
          </w:tcPr>
          <w:p w:rsidR="007B0B44" w:rsidRPr="005D0919" w:rsidRDefault="007B0B44" w:rsidP="0027221B">
            <w:pPr>
              <w:jc w:val="center"/>
              <w:rPr>
                <w:rFonts w:cstheme="minorHAnsi"/>
                <w:color w:val="auto"/>
              </w:rPr>
            </w:pPr>
            <w:r w:rsidRPr="00413784">
              <w:t>$61</w:t>
            </w:r>
            <w:r>
              <w:t>2 m</w:t>
            </w:r>
          </w:p>
        </w:tc>
      </w:tr>
      <w:tr w:rsidR="007B0B44" w:rsidTr="0027221B">
        <w:trPr>
          <w:trHeight w:val="340"/>
        </w:trPr>
        <w:tc>
          <w:tcPr>
            <w:tcW w:w="3402" w:type="dxa"/>
            <w:vAlign w:val="center"/>
          </w:tcPr>
          <w:p w:rsidR="007B0B44" w:rsidRPr="00E856F5" w:rsidRDefault="007B0B44" w:rsidP="0027221B">
            <w:pPr>
              <w:rPr>
                <w:b/>
              </w:rPr>
            </w:pPr>
            <w:r>
              <w:rPr>
                <w:b/>
              </w:rPr>
              <w:t>Asset Preservation</w:t>
            </w:r>
          </w:p>
        </w:tc>
        <w:tc>
          <w:tcPr>
            <w:tcW w:w="1587" w:type="dxa"/>
            <w:vAlign w:val="center"/>
          </w:tcPr>
          <w:p w:rsidR="007B0B44" w:rsidRPr="007B0B44" w:rsidRDefault="007B0B44" w:rsidP="0027221B">
            <w:pPr>
              <w:jc w:val="center"/>
            </w:pPr>
            <w:r w:rsidRPr="007B0B44">
              <w:t>$2.</w:t>
            </w:r>
            <w:r w:rsidR="002C16EA">
              <w:t>8</w:t>
            </w:r>
            <w:r w:rsidRPr="007B0B44">
              <w:t>0 m</w:t>
            </w:r>
          </w:p>
        </w:tc>
        <w:tc>
          <w:tcPr>
            <w:tcW w:w="1587" w:type="dxa"/>
            <w:vAlign w:val="center"/>
          </w:tcPr>
          <w:p w:rsidR="007B0B44" w:rsidRPr="007B0B44" w:rsidRDefault="007B0B44" w:rsidP="0027221B">
            <w:pPr>
              <w:jc w:val="center"/>
            </w:pPr>
            <w:r w:rsidRPr="007B0B44">
              <w:t>$2</w:t>
            </w:r>
            <w:r>
              <w:t>.</w:t>
            </w:r>
            <w:r w:rsidRPr="007B0B44">
              <w:t>42</w:t>
            </w:r>
            <w:r>
              <w:t> m</w:t>
            </w:r>
          </w:p>
        </w:tc>
        <w:tc>
          <w:tcPr>
            <w:tcW w:w="1587" w:type="dxa"/>
            <w:vAlign w:val="center"/>
          </w:tcPr>
          <w:p w:rsidR="007B0B44" w:rsidRPr="007B0B44" w:rsidRDefault="007B0B44" w:rsidP="0027221B">
            <w:pPr>
              <w:jc w:val="center"/>
            </w:pPr>
            <w:r w:rsidRPr="007B0B44">
              <w:t>$5</w:t>
            </w:r>
            <w:r>
              <w:t>.</w:t>
            </w:r>
            <w:r w:rsidR="002C16EA">
              <w:t>4</w:t>
            </w:r>
            <w:r w:rsidRPr="007B0B44">
              <w:t>6</w:t>
            </w:r>
            <w:r>
              <w:t> m</w:t>
            </w:r>
          </w:p>
        </w:tc>
        <w:tc>
          <w:tcPr>
            <w:tcW w:w="1587" w:type="dxa"/>
            <w:vAlign w:val="center"/>
          </w:tcPr>
          <w:p w:rsidR="007B0B44" w:rsidRPr="007B0B44" w:rsidRDefault="007B0B44" w:rsidP="0027221B">
            <w:pPr>
              <w:jc w:val="center"/>
            </w:pPr>
            <w:r w:rsidRPr="007B0B44">
              <w:t>$4</w:t>
            </w:r>
            <w:r>
              <w:t>.</w:t>
            </w:r>
            <w:r w:rsidRPr="007B0B44">
              <w:t>7</w:t>
            </w:r>
            <w:r>
              <w:t>3 m</w:t>
            </w:r>
          </w:p>
        </w:tc>
      </w:tr>
      <w:tr w:rsidR="00120C6B" w:rsidTr="0027221B">
        <w:trPr>
          <w:trHeight w:val="340"/>
        </w:trPr>
        <w:tc>
          <w:tcPr>
            <w:tcW w:w="3402" w:type="dxa"/>
            <w:vAlign w:val="center"/>
          </w:tcPr>
          <w:p w:rsidR="00120C6B" w:rsidRPr="00E856F5" w:rsidRDefault="00120C6B" w:rsidP="0027221B">
            <w:pPr>
              <w:rPr>
                <w:b/>
              </w:rPr>
            </w:pPr>
            <w:r>
              <w:rPr>
                <w:b/>
              </w:rPr>
              <w:t>Vehicle Operation</w:t>
            </w:r>
          </w:p>
        </w:tc>
        <w:tc>
          <w:tcPr>
            <w:tcW w:w="1587" w:type="dxa"/>
            <w:vAlign w:val="center"/>
          </w:tcPr>
          <w:p w:rsidR="00120C6B" w:rsidRPr="005D0919" w:rsidRDefault="00120C6B" w:rsidP="0027221B">
            <w:pPr>
              <w:jc w:val="center"/>
              <w:rPr>
                <w:rFonts w:cstheme="minorHAnsi"/>
                <w:color w:val="auto"/>
              </w:rPr>
            </w:pPr>
            <w:r w:rsidRPr="00F770B3">
              <w:t>$2</w:t>
            </w:r>
            <w:r w:rsidR="002C16EA">
              <w:t>35</w:t>
            </w:r>
            <w:r>
              <w:t> m</w:t>
            </w:r>
          </w:p>
        </w:tc>
        <w:tc>
          <w:tcPr>
            <w:tcW w:w="1587" w:type="dxa"/>
            <w:vAlign w:val="center"/>
          </w:tcPr>
          <w:p w:rsidR="00120C6B" w:rsidRPr="005D0919" w:rsidRDefault="00120C6B" w:rsidP="0027221B">
            <w:pPr>
              <w:jc w:val="center"/>
              <w:rPr>
                <w:rFonts w:cstheme="minorHAnsi"/>
                <w:color w:val="auto"/>
              </w:rPr>
            </w:pPr>
            <w:r w:rsidRPr="00F770B3">
              <w:t>$208</w:t>
            </w:r>
            <w:r>
              <w:t> m</w:t>
            </w:r>
          </w:p>
        </w:tc>
        <w:tc>
          <w:tcPr>
            <w:tcW w:w="1587" w:type="dxa"/>
            <w:vAlign w:val="center"/>
          </w:tcPr>
          <w:p w:rsidR="00120C6B" w:rsidRPr="005D0919" w:rsidRDefault="00120C6B" w:rsidP="0027221B">
            <w:pPr>
              <w:jc w:val="center"/>
              <w:rPr>
                <w:rFonts w:cstheme="minorHAnsi"/>
                <w:color w:val="auto"/>
              </w:rPr>
            </w:pPr>
            <w:r w:rsidRPr="00F770B3">
              <w:t>$4</w:t>
            </w:r>
            <w:r w:rsidR="002C16EA">
              <w:t>39</w:t>
            </w:r>
            <w:r>
              <w:t> m</w:t>
            </w:r>
          </w:p>
        </w:tc>
        <w:tc>
          <w:tcPr>
            <w:tcW w:w="1587" w:type="dxa"/>
            <w:vAlign w:val="center"/>
          </w:tcPr>
          <w:p w:rsidR="00120C6B" w:rsidRPr="005D0919" w:rsidRDefault="00120C6B" w:rsidP="0027221B">
            <w:pPr>
              <w:jc w:val="center"/>
              <w:rPr>
                <w:rFonts w:cstheme="minorHAnsi"/>
                <w:color w:val="auto"/>
              </w:rPr>
            </w:pPr>
            <w:r w:rsidRPr="00F770B3">
              <w:t>$38</w:t>
            </w:r>
            <w:r>
              <w:t>9 m</w:t>
            </w:r>
          </w:p>
        </w:tc>
      </w:tr>
      <w:tr w:rsidR="00174EC2" w:rsidTr="0027221B">
        <w:trPr>
          <w:trHeight w:val="340"/>
        </w:trPr>
        <w:tc>
          <w:tcPr>
            <w:tcW w:w="3402" w:type="dxa"/>
            <w:vAlign w:val="center"/>
          </w:tcPr>
          <w:p w:rsidR="00174EC2" w:rsidRPr="00E856F5" w:rsidRDefault="00174EC2" w:rsidP="0027221B">
            <w:pPr>
              <w:rPr>
                <w:b/>
              </w:rPr>
            </w:pPr>
            <w:r>
              <w:rPr>
                <w:b/>
              </w:rPr>
              <w:t>Environment</w:t>
            </w:r>
          </w:p>
        </w:tc>
        <w:tc>
          <w:tcPr>
            <w:tcW w:w="1587" w:type="dxa"/>
            <w:vAlign w:val="center"/>
          </w:tcPr>
          <w:p w:rsidR="00174EC2" w:rsidRPr="005D0919" w:rsidRDefault="00174EC2" w:rsidP="0027221B">
            <w:pPr>
              <w:jc w:val="center"/>
              <w:rPr>
                <w:rFonts w:cstheme="minorHAnsi"/>
                <w:color w:val="auto"/>
              </w:rPr>
            </w:pPr>
            <w:r w:rsidRPr="003633B4">
              <w:t>$1</w:t>
            </w:r>
            <w:r w:rsidR="002C16EA">
              <w:t>22</w:t>
            </w:r>
            <w:r>
              <w:t> m</w:t>
            </w:r>
          </w:p>
        </w:tc>
        <w:tc>
          <w:tcPr>
            <w:tcW w:w="1587" w:type="dxa"/>
            <w:vAlign w:val="center"/>
          </w:tcPr>
          <w:p w:rsidR="00174EC2" w:rsidRPr="005D0919" w:rsidRDefault="00174EC2" w:rsidP="0027221B">
            <w:pPr>
              <w:jc w:val="center"/>
              <w:rPr>
                <w:rFonts w:cstheme="minorHAnsi"/>
                <w:color w:val="auto"/>
              </w:rPr>
            </w:pPr>
            <w:r w:rsidRPr="003633B4">
              <w:t>$10</w:t>
            </w:r>
            <w:r>
              <w:t>8 m</w:t>
            </w:r>
          </w:p>
        </w:tc>
        <w:tc>
          <w:tcPr>
            <w:tcW w:w="1587" w:type="dxa"/>
            <w:vAlign w:val="center"/>
          </w:tcPr>
          <w:p w:rsidR="00174EC2" w:rsidRPr="005D0919" w:rsidRDefault="00174EC2" w:rsidP="0027221B">
            <w:pPr>
              <w:jc w:val="center"/>
              <w:rPr>
                <w:rFonts w:cstheme="minorHAnsi"/>
                <w:color w:val="auto"/>
              </w:rPr>
            </w:pPr>
            <w:r w:rsidRPr="003633B4">
              <w:t>$2</w:t>
            </w:r>
            <w:r>
              <w:t>2</w:t>
            </w:r>
            <w:r w:rsidR="002C16EA">
              <w:t>7</w:t>
            </w:r>
            <w:r>
              <w:t> m</w:t>
            </w:r>
          </w:p>
        </w:tc>
        <w:tc>
          <w:tcPr>
            <w:tcW w:w="1587" w:type="dxa"/>
            <w:vAlign w:val="center"/>
          </w:tcPr>
          <w:p w:rsidR="00174EC2" w:rsidRPr="005D0919" w:rsidRDefault="00174EC2" w:rsidP="0027221B">
            <w:pPr>
              <w:jc w:val="center"/>
              <w:rPr>
                <w:rFonts w:cstheme="minorHAnsi"/>
                <w:color w:val="auto"/>
              </w:rPr>
            </w:pPr>
            <w:r w:rsidRPr="003633B4">
              <w:t>$20</w:t>
            </w:r>
            <w:r>
              <w:t>1 m</w:t>
            </w:r>
          </w:p>
        </w:tc>
      </w:tr>
    </w:tbl>
    <w:p w:rsidR="003532D8" w:rsidRDefault="007D1556" w:rsidP="003532D8">
      <w:r>
        <w:fldChar w:fldCharType="begin"/>
      </w:r>
      <w:r>
        <w:instrText xml:space="preserve"> REF _Ref135319497 \h </w:instrText>
      </w:r>
      <w:r>
        <w:fldChar w:fldCharType="separate"/>
      </w:r>
      <w:r w:rsidR="00534814">
        <w:t xml:space="preserve">Figure </w:t>
      </w:r>
      <w:r w:rsidR="00534814">
        <w:rPr>
          <w:noProof/>
        </w:rPr>
        <w:t>8</w:t>
      </w:r>
      <w:r>
        <w:fldChar w:fldCharType="end"/>
      </w:r>
      <w:r>
        <w:t xml:space="preserve">, </w:t>
      </w:r>
      <w:r>
        <w:fldChar w:fldCharType="begin"/>
      </w:r>
      <w:r>
        <w:instrText xml:space="preserve"> REF _Ref135319506 \h </w:instrText>
      </w:r>
      <w:r>
        <w:fldChar w:fldCharType="separate"/>
      </w:r>
      <w:r w:rsidR="00534814">
        <w:t xml:space="preserve">Figure </w:t>
      </w:r>
      <w:r w:rsidR="00534814">
        <w:rPr>
          <w:noProof/>
        </w:rPr>
        <w:t>9</w:t>
      </w:r>
      <w:r>
        <w:fldChar w:fldCharType="end"/>
      </w:r>
      <w:r>
        <w:t xml:space="preserve">, </w:t>
      </w:r>
      <w:r>
        <w:fldChar w:fldCharType="begin"/>
      </w:r>
      <w:r>
        <w:instrText xml:space="preserve"> REF _Ref135319517 \h </w:instrText>
      </w:r>
      <w:r>
        <w:fldChar w:fldCharType="separate"/>
      </w:r>
      <w:r w:rsidR="00534814">
        <w:t xml:space="preserve">Figure </w:t>
      </w:r>
      <w:r w:rsidR="00534814">
        <w:rPr>
          <w:noProof/>
        </w:rPr>
        <w:t>10</w:t>
      </w:r>
      <w:r>
        <w:fldChar w:fldCharType="end"/>
      </w:r>
      <w:r>
        <w:t xml:space="preserve">, and </w:t>
      </w:r>
      <w:r>
        <w:fldChar w:fldCharType="begin"/>
      </w:r>
      <w:r>
        <w:instrText xml:space="preserve"> REF _Ref135319526 \h </w:instrText>
      </w:r>
      <w:r>
        <w:fldChar w:fldCharType="separate"/>
      </w:r>
      <w:r w:rsidR="00534814">
        <w:t xml:space="preserve">Figure </w:t>
      </w:r>
      <w:r w:rsidR="00534814">
        <w:rPr>
          <w:noProof/>
        </w:rPr>
        <w:t>11</w:t>
      </w:r>
      <w:r>
        <w:fldChar w:fldCharType="end"/>
      </w:r>
      <w:r>
        <w:t xml:space="preserve"> show the total (i.e. cumulative) benefits for each option analysed, at each year of the analysis period. As per all other benefits presented in this IA, these are present values as of 1 July 2023.</w:t>
      </w:r>
    </w:p>
    <w:p w:rsidR="00ED523D" w:rsidRDefault="005B4049" w:rsidP="003532D8">
      <w:r w:rsidRPr="005B4049">
        <w:rPr>
          <w:noProof/>
        </w:rPr>
        <w:drawing>
          <wp:inline distT="0" distB="0" distL="0" distR="0" wp14:anchorId="2D24A6EE" wp14:editId="5C2C008E">
            <wp:extent cx="6192000" cy="2817913"/>
            <wp:effectExtent l="0" t="0" r="0" b="1905"/>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92000" cy="2817913"/>
                    </a:xfrm>
                    <a:prstGeom prst="rect">
                      <a:avLst/>
                    </a:prstGeom>
                  </pic:spPr>
                </pic:pic>
              </a:graphicData>
            </a:graphic>
          </wp:inline>
        </w:drawing>
      </w:r>
    </w:p>
    <w:p w:rsidR="003934FC" w:rsidRDefault="003934FC" w:rsidP="003934FC">
      <w:pPr>
        <w:pStyle w:val="Caption"/>
        <w:spacing w:before="120"/>
      </w:pPr>
      <w:bookmarkStart w:id="84" w:name="_Ref135319497"/>
      <w:bookmarkStart w:id="85" w:name="_Toc135321398"/>
      <w:r>
        <w:t xml:space="preserve">Figure </w:t>
      </w:r>
      <w:fldSimple w:instr=" SEQ Figure \* ARABIC ">
        <w:r w:rsidR="00534814">
          <w:rPr>
            <w:noProof/>
          </w:rPr>
          <w:t>8</w:t>
        </w:r>
      </w:fldSimple>
      <w:bookmarkEnd w:id="84"/>
      <w:r>
        <w:t xml:space="preserve">: </w:t>
      </w:r>
      <w:r w:rsidR="007D1556">
        <w:t>Total</w:t>
      </w:r>
      <w:r>
        <w:t xml:space="preserve"> (i.e. cumulative) benefits under Option 3.1a at each year of the analysis period</w:t>
      </w:r>
      <w:bookmarkEnd w:id="85"/>
    </w:p>
    <w:p w:rsidR="00ED523D" w:rsidRDefault="005B4049" w:rsidP="003532D8">
      <w:r w:rsidRPr="005B4049">
        <w:rPr>
          <w:noProof/>
        </w:rPr>
        <w:drawing>
          <wp:inline distT="0" distB="0" distL="0" distR="0" wp14:anchorId="197D5F2C" wp14:editId="4C9C674D">
            <wp:extent cx="6192000" cy="2817913"/>
            <wp:effectExtent l="0" t="0" r="0" b="1905"/>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92000" cy="2817913"/>
                    </a:xfrm>
                    <a:prstGeom prst="rect">
                      <a:avLst/>
                    </a:prstGeom>
                  </pic:spPr>
                </pic:pic>
              </a:graphicData>
            </a:graphic>
          </wp:inline>
        </w:drawing>
      </w:r>
    </w:p>
    <w:p w:rsidR="003934FC" w:rsidRDefault="003934FC" w:rsidP="003934FC">
      <w:pPr>
        <w:pStyle w:val="Caption"/>
        <w:spacing w:before="120"/>
      </w:pPr>
      <w:bookmarkStart w:id="86" w:name="_Ref135319506"/>
      <w:bookmarkStart w:id="87" w:name="_Toc135321399"/>
      <w:r>
        <w:t xml:space="preserve">Figure </w:t>
      </w:r>
      <w:fldSimple w:instr=" SEQ Figure \* ARABIC ">
        <w:r w:rsidR="00534814">
          <w:rPr>
            <w:noProof/>
          </w:rPr>
          <w:t>9</w:t>
        </w:r>
      </w:fldSimple>
      <w:bookmarkEnd w:id="86"/>
      <w:r>
        <w:t xml:space="preserve">: </w:t>
      </w:r>
      <w:r w:rsidR="007D1556">
        <w:t>Total</w:t>
      </w:r>
      <w:r>
        <w:t xml:space="preserve"> (i.e. cumulative) benefits under Option 3.1b at each year of the analysis period</w:t>
      </w:r>
      <w:bookmarkEnd w:id="87"/>
    </w:p>
    <w:p w:rsidR="00373AC2" w:rsidRDefault="00034052" w:rsidP="003934FC">
      <w:pPr>
        <w:pStyle w:val="Caption"/>
        <w:spacing w:before="120"/>
      </w:pPr>
      <w:r w:rsidRPr="00034052">
        <w:rPr>
          <w:noProof/>
        </w:rPr>
        <w:drawing>
          <wp:inline distT="0" distB="0" distL="0" distR="0" wp14:anchorId="22F1D163" wp14:editId="37889C07">
            <wp:extent cx="6192000" cy="2817913"/>
            <wp:effectExtent l="0" t="0" r="0" b="1905"/>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92000" cy="2817913"/>
                    </a:xfrm>
                    <a:prstGeom prst="rect">
                      <a:avLst/>
                    </a:prstGeom>
                  </pic:spPr>
                </pic:pic>
              </a:graphicData>
            </a:graphic>
          </wp:inline>
        </w:drawing>
      </w:r>
    </w:p>
    <w:p w:rsidR="003934FC" w:rsidRDefault="003934FC" w:rsidP="003934FC">
      <w:pPr>
        <w:pStyle w:val="Caption"/>
        <w:spacing w:before="120"/>
      </w:pPr>
      <w:bookmarkStart w:id="88" w:name="_Ref135319517"/>
      <w:bookmarkStart w:id="89" w:name="_Toc135321400"/>
      <w:r>
        <w:t xml:space="preserve">Figure </w:t>
      </w:r>
      <w:fldSimple w:instr=" SEQ Figure \* ARABIC ">
        <w:r w:rsidR="00534814">
          <w:rPr>
            <w:noProof/>
          </w:rPr>
          <w:t>10</w:t>
        </w:r>
      </w:fldSimple>
      <w:bookmarkEnd w:id="88"/>
      <w:r>
        <w:t xml:space="preserve">: </w:t>
      </w:r>
      <w:r w:rsidR="007D1556">
        <w:t>Total</w:t>
      </w:r>
      <w:r>
        <w:t xml:space="preserve"> (i.e. cumulative) benefits under Option 3.2a at each year of the analysis period</w:t>
      </w:r>
      <w:bookmarkEnd w:id="89"/>
    </w:p>
    <w:p w:rsidR="00373AC2" w:rsidRDefault="00034052" w:rsidP="003532D8">
      <w:r w:rsidRPr="00034052">
        <w:rPr>
          <w:noProof/>
        </w:rPr>
        <w:drawing>
          <wp:inline distT="0" distB="0" distL="0" distR="0" wp14:anchorId="4C6F4529" wp14:editId="67E154AF">
            <wp:extent cx="6192000" cy="2817913"/>
            <wp:effectExtent l="0" t="0" r="0" b="1905"/>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92000" cy="2817913"/>
                    </a:xfrm>
                    <a:prstGeom prst="rect">
                      <a:avLst/>
                    </a:prstGeom>
                  </pic:spPr>
                </pic:pic>
              </a:graphicData>
            </a:graphic>
          </wp:inline>
        </w:drawing>
      </w:r>
    </w:p>
    <w:p w:rsidR="003934FC" w:rsidRDefault="003934FC" w:rsidP="003934FC">
      <w:pPr>
        <w:pStyle w:val="Caption"/>
        <w:spacing w:before="120"/>
      </w:pPr>
      <w:bookmarkStart w:id="90" w:name="_Ref135319526"/>
      <w:bookmarkStart w:id="91" w:name="_Toc135321401"/>
      <w:r>
        <w:t xml:space="preserve">Figure </w:t>
      </w:r>
      <w:fldSimple w:instr=" SEQ Figure \* ARABIC ">
        <w:r w:rsidR="00534814">
          <w:rPr>
            <w:noProof/>
          </w:rPr>
          <w:t>11</w:t>
        </w:r>
      </w:fldSimple>
      <w:bookmarkEnd w:id="90"/>
      <w:r>
        <w:t xml:space="preserve">: </w:t>
      </w:r>
      <w:r w:rsidR="007D1556">
        <w:t>Total</w:t>
      </w:r>
      <w:r>
        <w:t xml:space="preserve"> (i.e. cumulative) benefits under Option 3.2b at each year of the analysis period</w:t>
      </w:r>
      <w:bookmarkEnd w:id="91"/>
    </w:p>
    <w:p w:rsidR="00944A94" w:rsidRDefault="00944A94" w:rsidP="00F64C22">
      <w:pPr>
        <w:pStyle w:val="Heading5"/>
      </w:pPr>
      <w:r>
        <w:t>Costs</w:t>
      </w:r>
    </w:p>
    <w:p w:rsidR="00944A94" w:rsidRPr="00944A94" w:rsidRDefault="00944A94" w:rsidP="00944A94">
      <w:r w:rsidRPr="00944A94">
        <w:rPr>
          <w:iCs/>
        </w:rPr>
        <w:t>Business</w:t>
      </w:r>
    </w:p>
    <w:p w:rsidR="00281EAB" w:rsidRDefault="00DA344A" w:rsidP="00281EAB">
      <w:r>
        <w:t xml:space="preserve">There would </w:t>
      </w:r>
      <w:r w:rsidR="00A918F1">
        <w:t>b</w:t>
      </w:r>
      <w:r>
        <w:t xml:space="preserve">e costs for </w:t>
      </w:r>
      <w:r w:rsidR="008465A8">
        <w:t xml:space="preserve">goods vehicle </w:t>
      </w:r>
      <w:r>
        <w:t xml:space="preserve">manufacturers to fit the additional </w:t>
      </w:r>
      <w:r w:rsidRPr="00485573">
        <w:t xml:space="preserve">safety </w:t>
      </w:r>
      <w:r>
        <w:t xml:space="preserve">systems or features required to be </w:t>
      </w:r>
      <w:r w:rsidRPr="00485573">
        <w:t>fitte</w:t>
      </w:r>
      <w:r>
        <w:t xml:space="preserve">d to wider goods vehicles. </w:t>
      </w:r>
      <w:r w:rsidR="00A918F1">
        <w:t xml:space="preserve">From the calculations for the BCA by the ARRB, the </w:t>
      </w:r>
      <w:r w:rsidR="00B9347B">
        <w:t>d</w:t>
      </w:r>
      <w:r w:rsidR="00A918F1">
        <w:t xml:space="preserve">epartment estimates the cost for manufacturers to fit these additional safety systems or features would be </w:t>
      </w:r>
      <w:r w:rsidR="00A918F1" w:rsidRPr="003278AB">
        <w:t>$</w:t>
      </w:r>
      <w:r w:rsidR="00A918F1">
        <w:t>298</w:t>
      </w:r>
      <w:r w:rsidR="00A918F1" w:rsidRPr="003278AB">
        <w:t> m</w:t>
      </w:r>
      <w:r w:rsidR="00A918F1" w:rsidRPr="00E31BFC">
        <w:t xml:space="preserve"> </w:t>
      </w:r>
      <w:r w:rsidR="00A918F1">
        <w:t xml:space="preserve">for each sub-option. There would also be savings for manufacturers no longer required to modify </w:t>
      </w:r>
      <w:r w:rsidR="008465A8">
        <w:t xml:space="preserve">heavy goods vehicle </w:t>
      </w:r>
      <w:r w:rsidR="00A918F1">
        <w:t xml:space="preserve">designs based on overseas models, to be narrower for Australia. From the calculations for the BCA by the ARRB, the </w:t>
      </w:r>
      <w:r w:rsidR="00B9347B">
        <w:t>d</w:t>
      </w:r>
      <w:r w:rsidR="00A918F1">
        <w:t xml:space="preserve">epartment estimates </w:t>
      </w:r>
      <w:r w:rsidR="00383A74">
        <w:t xml:space="preserve">these savings would be </w:t>
      </w:r>
      <w:r w:rsidR="00383A74" w:rsidRPr="003278AB">
        <w:t>$</w:t>
      </w:r>
      <w:r w:rsidR="00383A74">
        <w:t>62.5</w:t>
      </w:r>
      <w:r w:rsidR="00383A74" w:rsidRPr="003278AB">
        <w:t> m</w:t>
      </w:r>
      <w:r w:rsidR="00383A74" w:rsidRPr="00E31BFC">
        <w:t xml:space="preserve"> under Option</w:t>
      </w:r>
      <w:r w:rsidR="00383A74">
        <w:t xml:space="preserve">s 3.1a and 3.1b (all 2.55 m width options), and </w:t>
      </w:r>
      <w:r w:rsidR="00383A74" w:rsidRPr="00E31BFC">
        <w:t>$</w:t>
      </w:r>
      <w:r w:rsidR="00383A74">
        <w:t>76.4 </w:t>
      </w:r>
      <w:r w:rsidR="00383A74" w:rsidRPr="00E31BFC">
        <w:t>m under Option</w:t>
      </w:r>
      <w:r w:rsidR="00383A74">
        <w:t xml:space="preserve">s 3.2a and 3.2b (all </w:t>
      </w:r>
      <w:r w:rsidR="00B9347B">
        <w:t>2.60</w:t>
      </w:r>
      <w:r w:rsidR="00383A74">
        <w:t xml:space="preserve"> m width options). </w:t>
      </w:r>
      <w:r w:rsidR="00A918F1">
        <w:t>Overall (i.e. combining fitment costs and saving</w:t>
      </w:r>
      <w:r w:rsidR="00FC372D">
        <w:t>s</w:t>
      </w:r>
      <w:r w:rsidR="00A918F1">
        <w:t xml:space="preserve"> for width modifications) there would be net costs of</w:t>
      </w:r>
      <w:r w:rsidR="00BF130F" w:rsidRPr="00E31BFC">
        <w:t xml:space="preserve"> </w:t>
      </w:r>
      <w:r w:rsidR="00BF130F" w:rsidRPr="003278AB">
        <w:t>$</w:t>
      </w:r>
      <w:r w:rsidR="00430FD0">
        <w:t>236</w:t>
      </w:r>
      <w:r w:rsidR="003278AB" w:rsidRPr="003278AB">
        <w:t> </w:t>
      </w:r>
      <w:r w:rsidR="00BF130F" w:rsidRPr="003278AB">
        <w:t>m</w:t>
      </w:r>
      <w:r w:rsidR="00BF130F" w:rsidRPr="00E31BFC">
        <w:t xml:space="preserve"> under Option</w:t>
      </w:r>
      <w:r w:rsidR="00BF130F">
        <w:t>s 3.1a and 3.1b</w:t>
      </w:r>
      <w:r w:rsidR="00211801">
        <w:t xml:space="preserve"> (all 2.55 m width options)</w:t>
      </w:r>
      <w:r w:rsidR="00BF130F">
        <w:t xml:space="preserve">, and </w:t>
      </w:r>
      <w:r w:rsidR="00BF130F" w:rsidRPr="00E31BFC">
        <w:t>$</w:t>
      </w:r>
      <w:r w:rsidR="00430FD0">
        <w:t>222</w:t>
      </w:r>
      <w:r w:rsidR="003278AB">
        <w:t> </w:t>
      </w:r>
      <w:r w:rsidR="00BF130F" w:rsidRPr="00E31BFC">
        <w:t>m under Option</w:t>
      </w:r>
      <w:r w:rsidR="00BF130F">
        <w:t>s 3.2a and 3.2b</w:t>
      </w:r>
      <w:r w:rsidR="00211801">
        <w:t xml:space="preserve"> (all </w:t>
      </w:r>
      <w:r w:rsidR="00B9347B">
        <w:t>2.60</w:t>
      </w:r>
      <w:r w:rsidR="00211801">
        <w:t xml:space="preserve"> m width options)</w:t>
      </w:r>
      <w:r w:rsidR="00BF130F">
        <w:t xml:space="preserve">. It is </w:t>
      </w:r>
      <w:r w:rsidR="00DB2B5A">
        <w:t xml:space="preserve">most </w:t>
      </w:r>
      <w:r w:rsidR="00BF130F">
        <w:t xml:space="preserve">likely that </w:t>
      </w:r>
      <w:r>
        <w:t>these</w:t>
      </w:r>
      <w:r w:rsidR="00BF130F">
        <w:t xml:space="preserve"> manufacturers would pass </w:t>
      </w:r>
      <w:r w:rsidR="007041C3">
        <w:t>this overall increase in costs on to the operators that purchase these goods vehicles, who would then absorb most of it</w:t>
      </w:r>
      <w:r w:rsidR="00BF130F">
        <w:t>.</w:t>
      </w:r>
    </w:p>
    <w:p w:rsidR="00944A94" w:rsidRDefault="00944A94" w:rsidP="007041C3">
      <w:r>
        <w:t xml:space="preserve">There would </w:t>
      </w:r>
      <w:r w:rsidR="00383A74">
        <w:t xml:space="preserve">also </w:t>
      </w:r>
      <w:r>
        <w:t xml:space="preserve">be </w:t>
      </w:r>
      <w:r w:rsidR="00383A74">
        <w:t xml:space="preserve">costs for trailer manufacturers to fit the additional </w:t>
      </w:r>
      <w:r w:rsidR="00383A74" w:rsidRPr="00485573">
        <w:t xml:space="preserve">safety </w:t>
      </w:r>
      <w:r w:rsidR="00383A74">
        <w:t xml:space="preserve">systems or features required for wider trailers. From the calculations for the BCA by the ARRB, the </w:t>
      </w:r>
      <w:r w:rsidR="00B9347B">
        <w:t>d</w:t>
      </w:r>
      <w:r w:rsidR="00383A74">
        <w:t xml:space="preserve">epartment estimates the cost for manufacturers to fit these additional safety systems or features would be </w:t>
      </w:r>
      <w:r w:rsidR="00383A74" w:rsidRPr="003278AB">
        <w:t>$</w:t>
      </w:r>
      <w:r w:rsidR="00383A74">
        <w:t>32.9</w:t>
      </w:r>
      <w:r w:rsidR="00383A74" w:rsidRPr="003278AB">
        <w:t> m</w:t>
      </w:r>
      <w:r w:rsidR="00383A74" w:rsidRPr="00E31BFC">
        <w:t xml:space="preserve"> </w:t>
      </w:r>
      <w:r w:rsidR="00383A74">
        <w:t>for each sub-option</w:t>
      </w:r>
      <w:r w:rsidR="00383A74" w:rsidRPr="00383A74">
        <w:t xml:space="preserve"> </w:t>
      </w:r>
      <w:r w:rsidR="00383A74" w:rsidRPr="00E31BFC">
        <w:t>Option</w:t>
      </w:r>
      <w:r w:rsidR="00383A74">
        <w:t xml:space="preserve"> 3.1a (2.55 m goods vehicle and trailers) and Option 3.2a (</w:t>
      </w:r>
      <w:r w:rsidR="00B9347B">
        <w:t>2.60</w:t>
      </w:r>
      <w:r w:rsidR="00383A74">
        <w:t xml:space="preserve"> m goods vehicle and trailers). </w:t>
      </w:r>
      <w:r w:rsidR="0028375E">
        <w:t xml:space="preserve">Further, there would </w:t>
      </w:r>
      <w:r w:rsidR="00F4476F">
        <w:t xml:space="preserve">be costs for </w:t>
      </w:r>
      <w:r w:rsidR="00383A74">
        <w:t>domestic trailer manufacturers (over and above that of Option </w:t>
      </w:r>
      <w:r w:rsidR="00170998">
        <w:t>2</w:t>
      </w:r>
      <w:r w:rsidR="00383A74">
        <w:t xml:space="preserve">) </w:t>
      </w:r>
      <w:r w:rsidR="00383A74">
        <w:rPr>
          <w:lang w:val="en-US"/>
        </w:rPr>
        <w:t>to re-tool within normal model/variant replacement cycles to meet market demand from heavy vehicle operators for wider trailers</w:t>
      </w:r>
      <w:r w:rsidR="00F4476F">
        <w:t xml:space="preserve">. </w:t>
      </w:r>
      <w:r w:rsidR="001A3BD6">
        <w:t xml:space="preserve">From the calculations for the BCA by the ARRB, the </w:t>
      </w:r>
      <w:r w:rsidR="00B9347B">
        <w:t>d</w:t>
      </w:r>
      <w:r w:rsidR="001A3BD6">
        <w:t>epartment estimates</w:t>
      </w:r>
      <w:r w:rsidR="00F4476F">
        <w:t xml:space="preserve"> this would </w:t>
      </w:r>
      <w:r w:rsidRPr="00E31BFC">
        <w:t>cost $</w:t>
      </w:r>
      <w:r w:rsidR="00FC372D">
        <w:t>6.59</w:t>
      </w:r>
      <w:r w:rsidR="008F42D0">
        <w:t> </w:t>
      </w:r>
      <w:r w:rsidRPr="00E31BFC">
        <w:t>m under Option</w:t>
      </w:r>
      <w:r w:rsidR="007910E7">
        <w:t xml:space="preserve"> 3.1a </w:t>
      </w:r>
      <w:r w:rsidR="008F42D0">
        <w:t xml:space="preserve">(2.55 m goods vehicle and trailers) </w:t>
      </w:r>
      <w:r w:rsidR="007910E7">
        <w:t xml:space="preserve">and </w:t>
      </w:r>
      <w:r w:rsidR="008F42D0" w:rsidRPr="00E31BFC">
        <w:t>$</w:t>
      </w:r>
      <w:r w:rsidR="00FC372D">
        <w:t>8.05 </w:t>
      </w:r>
      <w:r w:rsidR="008F42D0" w:rsidRPr="00E31BFC">
        <w:t xml:space="preserve">m under </w:t>
      </w:r>
      <w:r w:rsidR="008F42D0">
        <w:t xml:space="preserve">Option </w:t>
      </w:r>
      <w:r w:rsidR="007910E7">
        <w:t>3.2a</w:t>
      </w:r>
      <w:r w:rsidR="00211801">
        <w:t xml:space="preserve"> (</w:t>
      </w:r>
      <w:r w:rsidR="00B9347B">
        <w:t>2.60</w:t>
      </w:r>
      <w:r w:rsidR="008F42D0">
        <w:t> </w:t>
      </w:r>
      <w:r w:rsidR="00211801">
        <w:t xml:space="preserve">m </w:t>
      </w:r>
      <w:r w:rsidR="008F42D0">
        <w:t>goods vehicle and trailer</w:t>
      </w:r>
      <w:r w:rsidR="00211801">
        <w:t>s)</w:t>
      </w:r>
      <w:r w:rsidR="007910E7">
        <w:t xml:space="preserve">. </w:t>
      </w:r>
      <w:r w:rsidR="00FC372D">
        <w:t xml:space="preserve">Overall (i.e. combining fitment costs and </w:t>
      </w:r>
      <w:r w:rsidR="00DB4550">
        <w:t>costs</w:t>
      </w:r>
      <w:r w:rsidR="00FC372D">
        <w:t xml:space="preserve"> for width modifications) there would be costs of</w:t>
      </w:r>
      <w:r w:rsidR="00FC372D" w:rsidRPr="00E31BFC">
        <w:t xml:space="preserve"> </w:t>
      </w:r>
      <w:r w:rsidR="00FC372D" w:rsidRPr="003278AB">
        <w:t>$</w:t>
      </w:r>
      <w:r w:rsidR="00FC372D">
        <w:t>39.5</w:t>
      </w:r>
      <w:r w:rsidR="00FC372D" w:rsidRPr="003278AB">
        <w:t> m</w:t>
      </w:r>
      <w:r w:rsidR="00FC372D" w:rsidRPr="00E31BFC">
        <w:t xml:space="preserve"> under </w:t>
      </w:r>
      <w:r w:rsidR="00170998" w:rsidRPr="00E31BFC">
        <w:t>Option</w:t>
      </w:r>
      <w:r w:rsidR="00170998">
        <w:t xml:space="preserve"> 3.1a (2.55 m goods vehicle and trailers)</w:t>
      </w:r>
      <w:r w:rsidR="00FC372D">
        <w:t xml:space="preserve">, and </w:t>
      </w:r>
      <w:r w:rsidR="00FC372D" w:rsidRPr="00E31BFC">
        <w:t>$</w:t>
      </w:r>
      <w:r w:rsidR="00FC372D">
        <w:t>41.0 </w:t>
      </w:r>
      <w:r w:rsidR="00FC372D" w:rsidRPr="00E31BFC">
        <w:t xml:space="preserve">m under </w:t>
      </w:r>
      <w:r w:rsidR="00170998">
        <w:t>Option 3.2a (2.60 m goods vehicle and trailers)</w:t>
      </w:r>
      <w:r w:rsidR="00FC372D">
        <w:t xml:space="preserve">. </w:t>
      </w:r>
      <w:r>
        <w:t xml:space="preserve">It is </w:t>
      </w:r>
      <w:r w:rsidR="00DB2B5A">
        <w:t xml:space="preserve">most </w:t>
      </w:r>
      <w:r>
        <w:t xml:space="preserve">likely that </w:t>
      </w:r>
      <w:r w:rsidR="00281EAB">
        <w:t xml:space="preserve">these </w:t>
      </w:r>
      <w:r>
        <w:t>ma</w:t>
      </w:r>
      <w:r w:rsidR="00281EAB">
        <w:t xml:space="preserve">nufacturers would pass this </w:t>
      </w:r>
      <w:r>
        <w:t xml:space="preserve">increase in costs on to </w:t>
      </w:r>
      <w:r w:rsidR="00BF130F">
        <w:t xml:space="preserve">the </w:t>
      </w:r>
      <w:r w:rsidR="0028375E">
        <w:t>operators that purchase</w:t>
      </w:r>
      <w:r w:rsidR="00BF130F">
        <w:t xml:space="preserve"> </w:t>
      </w:r>
      <w:r w:rsidR="00DA344A">
        <w:t>these</w:t>
      </w:r>
      <w:r w:rsidR="00DB2B5A">
        <w:t xml:space="preserve"> trailers</w:t>
      </w:r>
      <w:r w:rsidR="007041C3">
        <w:t>,</w:t>
      </w:r>
      <w:r>
        <w:t xml:space="preserve"> who would then absorb </w:t>
      </w:r>
      <w:r w:rsidR="00281EAB">
        <w:t>most of it</w:t>
      </w:r>
      <w:r w:rsidR="00747079">
        <w:t xml:space="preserve"> (and this would mostly be offset </w:t>
      </w:r>
      <w:r w:rsidR="0012097A">
        <w:t xml:space="preserve">(and for some sectors entirely offset) </w:t>
      </w:r>
      <w:r w:rsidR="00747079">
        <w:t>by savings from reductions in vehicle operating costs – as discussed above)</w:t>
      </w:r>
      <w:r>
        <w:t>.</w:t>
      </w:r>
    </w:p>
    <w:p w:rsidR="00944A94" w:rsidRDefault="00944A94" w:rsidP="00944A94">
      <w:pPr>
        <w:rPr>
          <w:iCs/>
        </w:rPr>
      </w:pPr>
      <w:r>
        <w:t xml:space="preserve">There </w:t>
      </w:r>
      <w:r w:rsidR="00816B35">
        <w:t xml:space="preserve">would also </w:t>
      </w:r>
      <w:r>
        <w:t>be cost</w:t>
      </w:r>
      <w:r w:rsidR="004C74C7">
        <w:t>s</w:t>
      </w:r>
      <w:r>
        <w:t xml:space="preserve"> for </w:t>
      </w:r>
      <w:r w:rsidR="00ED16E5">
        <w:t xml:space="preserve">heavy vehicle </w:t>
      </w:r>
      <w:r>
        <w:t>owners/operators to maintain and repair</w:t>
      </w:r>
      <w:r w:rsidR="00ED16E5">
        <w:t xml:space="preserve"> the additional </w:t>
      </w:r>
      <w:r w:rsidR="00ED16E5" w:rsidRPr="00485573">
        <w:t xml:space="preserve">safety </w:t>
      </w:r>
      <w:r w:rsidR="00ED16E5">
        <w:t>systems or features</w:t>
      </w:r>
      <w:r w:rsidR="007618E2">
        <w:t xml:space="preserve"> required to be</w:t>
      </w:r>
      <w:r w:rsidR="00ED16E5">
        <w:t xml:space="preserve"> </w:t>
      </w:r>
      <w:r w:rsidR="00ED16E5" w:rsidRPr="00485573">
        <w:t>fitte</w:t>
      </w:r>
      <w:r w:rsidR="00ED16E5">
        <w:t xml:space="preserve">d to </w:t>
      </w:r>
      <w:r w:rsidR="007618E2">
        <w:t xml:space="preserve">wider </w:t>
      </w:r>
      <w:r w:rsidR="00ED16E5">
        <w:t xml:space="preserve">heavy goods vehicles and/or trailers. </w:t>
      </w:r>
      <w:r w:rsidR="001A3BD6">
        <w:t xml:space="preserve">From the calculations for the BCA by the ARRB, the </w:t>
      </w:r>
      <w:r w:rsidR="00B9347B">
        <w:t>d</w:t>
      </w:r>
      <w:r w:rsidR="001A3BD6">
        <w:t>epartment estimates</w:t>
      </w:r>
      <w:r w:rsidR="00C9510B">
        <w:t xml:space="preserve"> these costs</w:t>
      </w:r>
      <w:r>
        <w:t xml:space="preserve"> to be </w:t>
      </w:r>
      <w:r w:rsidRPr="00E87894">
        <w:t>$</w:t>
      </w:r>
      <w:r w:rsidR="004055EF">
        <w:t>41.3</w:t>
      </w:r>
      <w:r w:rsidRPr="00E87894">
        <w:t> m under</w:t>
      </w:r>
      <w:r>
        <w:t xml:space="preserve"> Option</w:t>
      </w:r>
      <w:r w:rsidR="004C74C7">
        <w:t>s</w:t>
      </w:r>
      <w:r>
        <w:t xml:space="preserve"> </w:t>
      </w:r>
      <w:r w:rsidR="00E240F2">
        <w:t>3.1</w:t>
      </w:r>
      <w:r w:rsidR="004C74C7">
        <w:t>a and 3.2a</w:t>
      </w:r>
      <w:r w:rsidR="00211801">
        <w:t xml:space="preserve"> (2.55 m or </w:t>
      </w:r>
      <w:r w:rsidR="00B9347B">
        <w:t>2.60</w:t>
      </w:r>
      <w:r w:rsidR="00211801">
        <w:t xml:space="preserve"> m goods vehicle and trailer options)</w:t>
      </w:r>
      <w:r w:rsidR="004C74C7">
        <w:t xml:space="preserve">, and </w:t>
      </w:r>
      <w:r w:rsidR="004C74C7" w:rsidRPr="00E87894">
        <w:t>$</w:t>
      </w:r>
      <w:r w:rsidR="004055EF">
        <w:t>37.2</w:t>
      </w:r>
      <w:r w:rsidR="004C74C7" w:rsidRPr="00E87894">
        <w:t xml:space="preserve"> m </w:t>
      </w:r>
      <w:r w:rsidR="00E240F2" w:rsidRPr="00E87894">
        <w:t>under</w:t>
      </w:r>
      <w:r w:rsidR="00E240F2">
        <w:t xml:space="preserve"> Option</w:t>
      </w:r>
      <w:r w:rsidR="004C74C7">
        <w:t>s</w:t>
      </w:r>
      <w:r w:rsidR="00E240F2">
        <w:t xml:space="preserve"> 3.</w:t>
      </w:r>
      <w:r w:rsidR="004C74C7">
        <w:t>1b</w:t>
      </w:r>
      <w:r w:rsidR="00E240F2" w:rsidRPr="00ED16E5">
        <w:rPr>
          <w:iCs/>
        </w:rPr>
        <w:t xml:space="preserve"> </w:t>
      </w:r>
      <w:r w:rsidRPr="00ED16E5">
        <w:rPr>
          <w:iCs/>
        </w:rPr>
        <w:t xml:space="preserve">and </w:t>
      </w:r>
      <w:r w:rsidR="00E240F2">
        <w:t>3.2b</w:t>
      </w:r>
      <w:r w:rsidR="00211801">
        <w:t xml:space="preserve"> (2.55 m or </w:t>
      </w:r>
      <w:r w:rsidR="00B9347B">
        <w:t>2.60</w:t>
      </w:r>
      <w:r w:rsidR="00211801">
        <w:t xml:space="preserve"> m goods vehicle only options)</w:t>
      </w:r>
      <w:r w:rsidRPr="00ED16E5">
        <w:rPr>
          <w:iCs/>
        </w:rPr>
        <w:t>.</w:t>
      </w:r>
    </w:p>
    <w:p w:rsidR="00944A94" w:rsidRPr="00944A94" w:rsidRDefault="00944A94" w:rsidP="00E92098">
      <w:pPr>
        <w:keepNext/>
        <w:rPr>
          <w:iCs/>
        </w:rPr>
      </w:pPr>
      <w:r w:rsidRPr="00944A94">
        <w:t>Governments</w:t>
      </w:r>
      <w:r w:rsidR="0081629F">
        <w:t xml:space="preserve"> and communities</w:t>
      </w:r>
    </w:p>
    <w:p w:rsidR="00C9510B" w:rsidRPr="004055EF" w:rsidRDefault="00944A94" w:rsidP="00C9510B">
      <w:r>
        <w:t xml:space="preserve">There would be a cost </w:t>
      </w:r>
      <w:r w:rsidR="007618E2">
        <w:t>for government</w:t>
      </w:r>
      <w:r>
        <w:t xml:space="preserve"> </w:t>
      </w:r>
      <w:r w:rsidR="00E240F2">
        <w:t>to develop</w:t>
      </w:r>
      <w:r w:rsidR="00C63A7F">
        <w:t xml:space="preserve"> and implement</w:t>
      </w:r>
      <w:r>
        <w:t xml:space="preserve"> </w:t>
      </w:r>
      <w:r w:rsidR="0081629F">
        <w:t xml:space="preserve">updated </w:t>
      </w:r>
      <w:r w:rsidR="00E240F2">
        <w:t>standards</w:t>
      </w:r>
      <w:r>
        <w:t xml:space="preserve">. This is estimated to </w:t>
      </w:r>
      <w:r w:rsidRPr="00E87894">
        <w:t>be $</w:t>
      </w:r>
      <w:r w:rsidR="00E066EB">
        <w:t>0.47</w:t>
      </w:r>
      <w:r w:rsidRPr="00E87894">
        <w:t xml:space="preserve"> m</w:t>
      </w:r>
      <w:r w:rsidRPr="001B1D04">
        <w:t xml:space="preserve"> </w:t>
      </w:r>
      <w:r w:rsidRPr="00706943">
        <w:t xml:space="preserve">for </w:t>
      </w:r>
      <w:r>
        <w:t>each sub-option.</w:t>
      </w:r>
      <w:r w:rsidR="00747079">
        <w:t xml:space="preserve"> </w:t>
      </w:r>
      <w:r w:rsidR="007910E7">
        <w:t xml:space="preserve">There would also be costs for </w:t>
      </w:r>
      <w:r w:rsidR="00DB2B5A">
        <w:t>governments to upgrade infrastructure for wider freight vehicles</w:t>
      </w:r>
      <w:r w:rsidR="007910E7">
        <w:t xml:space="preserve">. </w:t>
      </w:r>
      <w:r w:rsidR="001A3BD6">
        <w:t xml:space="preserve">From the calculations for the BCA by the ARRB, the </w:t>
      </w:r>
      <w:r w:rsidR="00B9347B">
        <w:t>d</w:t>
      </w:r>
      <w:r w:rsidR="001A3BD6">
        <w:t>epartment</w:t>
      </w:r>
      <w:r w:rsidR="00C9510B">
        <w:t xml:space="preserve"> estimates </w:t>
      </w:r>
      <w:r w:rsidR="004055EF">
        <w:t xml:space="preserve">these costs to be </w:t>
      </w:r>
      <w:r w:rsidR="004055EF" w:rsidRPr="00E87894">
        <w:t>$</w:t>
      </w:r>
      <w:r w:rsidR="004055EF">
        <w:t>16.8</w:t>
      </w:r>
      <w:r w:rsidR="004055EF" w:rsidRPr="00E87894">
        <w:t> m under</w:t>
      </w:r>
      <w:r w:rsidR="004055EF">
        <w:t xml:space="preserve"> Options 3.1a and 3.2a (2.55 m or </w:t>
      </w:r>
      <w:r w:rsidR="00B9347B">
        <w:t>2.60</w:t>
      </w:r>
      <w:r w:rsidR="004055EF">
        <w:t xml:space="preserve"> m goods vehicle and trailer options), and </w:t>
      </w:r>
      <w:r w:rsidR="004055EF" w:rsidRPr="00E87894">
        <w:t>$</w:t>
      </w:r>
      <w:r w:rsidR="004055EF">
        <w:t>15.5</w:t>
      </w:r>
      <w:r w:rsidR="004055EF" w:rsidRPr="00E87894">
        <w:t> m under</w:t>
      </w:r>
      <w:r w:rsidR="004055EF">
        <w:t xml:space="preserve"> Options 3.1b</w:t>
      </w:r>
      <w:r w:rsidR="004055EF" w:rsidRPr="00ED16E5">
        <w:rPr>
          <w:iCs/>
        </w:rPr>
        <w:t xml:space="preserve"> and </w:t>
      </w:r>
      <w:r w:rsidR="004055EF">
        <w:t xml:space="preserve">3.2b (2.55 m or </w:t>
      </w:r>
      <w:r w:rsidR="00B9347B">
        <w:t>2.60</w:t>
      </w:r>
      <w:r w:rsidR="004055EF">
        <w:t xml:space="preserve"> m goods vehicle only options)</w:t>
      </w:r>
      <w:r w:rsidR="00C9510B" w:rsidRPr="00ED16E5">
        <w:rPr>
          <w:iCs/>
        </w:rPr>
        <w:t>.</w:t>
      </w:r>
    </w:p>
    <w:p w:rsidR="00EB47F2" w:rsidRDefault="004749DA" w:rsidP="00453E08">
      <w:pPr>
        <w:keepNext/>
        <w:rPr>
          <w:lang w:val="en-US"/>
        </w:rPr>
      </w:pPr>
      <w:r>
        <w:rPr>
          <w:lang w:val="en-US"/>
        </w:rPr>
        <w:fldChar w:fldCharType="begin"/>
      </w:r>
      <w:r>
        <w:rPr>
          <w:lang w:val="en-US"/>
        </w:rPr>
        <w:instrText xml:space="preserve"> REF _Ref112157400 \h </w:instrText>
      </w:r>
      <w:r>
        <w:rPr>
          <w:lang w:val="en-US"/>
        </w:rPr>
      </w:r>
      <w:r>
        <w:rPr>
          <w:lang w:val="en-US"/>
        </w:rPr>
        <w:fldChar w:fldCharType="separate"/>
      </w:r>
      <w:r w:rsidR="00534814" w:rsidRPr="002C1585">
        <w:t xml:space="preserve">Table </w:t>
      </w:r>
      <w:r w:rsidR="00534814">
        <w:rPr>
          <w:noProof/>
        </w:rPr>
        <w:t>19</w:t>
      </w:r>
      <w:r>
        <w:rPr>
          <w:lang w:val="en-US"/>
        </w:rPr>
        <w:fldChar w:fldCharType="end"/>
      </w:r>
      <w:r>
        <w:rPr>
          <w:lang w:val="en-US"/>
        </w:rPr>
        <w:t xml:space="preserve"> </w:t>
      </w:r>
      <w:r w:rsidR="00EB47F2">
        <w:rPr>
          <w:lang w:val="en-US"/>
        </w:rPr>
        <w:t>includes the</w:t>
      </w:r>
      <w:r w:rsidR="00CF7DE9">
        <w:rPr>
          <w:lang w:val="en-US"/>
        </w:rPr>
        <w:t xml:space="preserve"> costs of</w:t>
      </w:r>
      <w:r w:rsidR="00EB47F2">
        <w:rPr>
          <w:lang w:val="en-US"/>
        </w:rPr>
        <w:t xml:space="preserve"> </w:t>
      </w:r>
      <w:r w:rsidR="00CF7DE9">
        <w:rPr>
          <w:lang w:val="en-US"/>
        </w:rPr>
        <w:t xml:space="preserve">safety system fitment and </w:t>
      </w:r>
      <w:r w:rsidR="00034A58">
        <w:rPr>
          <w:lang w:val="en-US"/>
        </w:rPr>
        <w:t>vehicle modification for width</w:t>
      </w:r>
      <w:r w:rsidR="00CF7DE9">
        <w:rPr>
          <w:lang w:val="en-US"/>
        </w:rPr>
        <w:t xml:space="preserve"> (</w:t>
      </w:r>
      <w:r w:rsidR="008100C1">
        <w:rPr>
          <w:lang w:val="en-US"/>
        </w:rPr>
        <w:t>net/combined</w:t>
      </w:r>
      <w:r w:rsidR="00034A58">
        <w:rPr>
          <w:lang w:val="en-US"/>
        </w:rPr>
        <w:t>), maintenance of safety system</w:t>
      </w:r>
      <w:r w:rsidR="00276BAF">
        <w:rPr>
          <w:lang w:val="en-US"/>
        </w:rPr>
        <w:t>s</w:t>
      </w:r>
      <w:r w:rsidR="00034A58">
        <w:rPr>
          <w:lang w:val="en-US"/>
        </w:rPr>
        <w:t>, implementation and infrastructure update</w:t>
      </w:r>
      <w:r w:rsidR="00495887">
        <w:rPr>
          <w:lang w:val="en-US"/>
        </w:rPr>
        <w:t>s</w:t>
      </w:r>
      <w:r w:rsidR="00034A58">
        <w:rPr>
          <w:lang w:val="en-US"/>
        </w:rPr>
        <w:t xml:space="preserve"> </w:t>
      </w:r>
      <w:r w:rsidR="00EB47F2">
        <w:rPr>
          <w:lang w:val="en-US"/>
        </w:rPr>
        <w:t>for each option.</w:t>
      </w:r>
      <w:r w:rsidR="00CF7DE9">
        <w:rPr>
          <w:lang w:val="en-US"/>
        </w:rPr>
        <w:t xml:space="preserve"> </w:t>
      </w:r>
    </w:p>
    <w:p w:rsidR="00EB47F2" w:rsidRPr="002C1585" w:rsidRDefault="00EB47F2" w:rsidP="00EB47F2">
      <w:pPr>
        <w:pStyle w:val="Caption"/>
        <w:keepNext/>
      </w:pPr>
      <w:bookmarkStart w:id="92" w:name="_Ref112157400"/>
      <w:bookmarkStart w:id="93" w:name="_Toc135320144"/>
      <w:r w:rsidRPr="002C1585">
        <w:t xml:space="preserve">Table </w:t>
      </w:r>
      <w:fldSimple w:instr=" SEQ Table \* ARABIC ">
        <w:r w:rsidR="00534814">
          <w:rPr>
            <w:noProof/>
          </w:rPr>
          <w:t>19</w:t>
        </w:r>
      </w:fldSimple>
      <w:bookmarkEnd w:id="92"/>
      <w:r>
        <w:t xml:space="preserve">: </w:t>
      </w:r>
      <w:r w:rsidRPr="002C1585">
        <w:t xml:space="preserve">Summary of the </w:t>
      </w:r>
      <w:r w:rsidR="00AF6FDE">
        <w:t>costs</w:t>
      </w:r>
      <w:r>
        <w:t xml:space="preserve"> for</w:t>
      </w:r>
      <w:r w:rsidRPr="002C1585">
        <w:t xml:space="preserve"> each option</w:t>
      </w:r>
      <w:bookmarkEnd w:id="93"/>
    </w:p>
    <w:tbl>
      <w:tblPr>
        <w:tblStyle w:val="TableGrid"/>
        <w:tblW w:w="0" w:type="auto"/>
        <w:tblLook w:val="04A0" w:firstRow="1" w:lastRow="0" w:firstColumn="1" w:lastColumn="0" w:noHBand="0" w:noVBand="1"/>
      </w:tblPr>
      <w:tblGrid>
        <w:gridCol w:w="1838"/>
        <w:gridCol w:w="1564"/>
        <w:gridCol w:w="1588"/>
        <w:gridCol w:w="1588"/>
        <w:gridCol w:w="1588"/>
        <w:gridCol w:w="1588"/>
      </w:tblGrid>
      <w:tr w:rsidR="007740C1" w:rsidTr="00680230">
        <w:trPr>
          <w:trHeight w:val="340"/>
        </w:trPr>
        <w:tc>
          <w:tcPr>
            <w:tcW w:w="3402" w:type="dxa"/>
            <w:gridSpan w:val="2"/>
            <w:shd w:val="clear" w:color="auto" w:fill="081E3E" w:themeFill="text2"/>
            <w:vAlign w:val="center"/>
          </w:tcPr>
          <w:p w:rsidR="007740C1" w:rsidRPr="00731C0C" w:rsidRDefault="007740C1" w:rsidP="00D30DA7">
            <w:pPr>
              <w:pStyle w:val="Table2heading"/>
              <w:jc w:val="left"/>
            </w:pPr>
            <w:r>
              <w:t>Costs</w:t>
            </w:r>
          </w:p>
        </w:tc>
        <w:tc>
          <w:tcPr>
            <w:tcW w:w="1588" w:type="dxa"/>
            <w:shd w:val="clear" w:color="auto" w:fill="081E3E" w:themeFill="text2"/>
            <w:vAlign w:val="center"/>
          </w:tcPr>
          <w:p w:rsidR="007740C1" w:rsidRPr="00731C0C" w:rsidRDefault="007740C1" w:rsidP="00BE6FF7">
            <w:pPr>
              <w:pStyle w:val="Table2heading"/>
              <w:keepNext/>
            </w:pPr>
            <w:r w:rsidRPr="00731C0C">
              <w:t>Option 3.1a</w:t>
            </w:r>
          </w:p>
        </w:tc>
        <w:tc>
          <w:tcPr>
            <w:tcW w:w="1588" w:type="dxa"/>
            <w:shd w:val="clear" w:color="auto" w:fill="081E3E" w:themeFill="text2"/>
            <w:vAlign w:val="center"/>
          </w:tcPr>
          <w:p w:rsidR="007740C1" w:rsidRPr="00731C0C" w:rsidRDefault="007740C1" w:rsidP="00BE6FF7">
            <w:pPr>
              <w:pStyle w:val="Table2heading"/>
              <w:keepNext/>
            </w:pPr>
            <w:r w:rsidRPr="00731C0C">
              <w:t>Option 3.1b</w:t>
            </w:r>
          </w:p>
        </w:tc>
        <w:tc>
          <w:tcPr>
            <w:tcW w:w="1588" w:type="dxa"/>
            <w:shd w:val="clear" w:color="auto" w:fill="081E3E" w:themeFill="text2"/>
            <w:vAlign w:val="center"/>
          </w:tcPr>
          <w:p w:rsidR="007740C1" w:rsidRPr="00731C0C" w:rsidRDefault="007740C1" w:rsidP="00BE6FF7">
            <w:pPr>
              <w:pStyle w:val="Table2heading"/>
              <w:keepNext/>
            </w:pPr>
            <w:r w:rsidRPr="00731C0C">
              <w:t>Option 3.2a</w:t>
            </w:r>
          </w:p>
        </w:tc>
        <w:tc>
          <w:tcPr>
            <w:tcW w:w="1588" w:type="dxa"/>
            <w:shd w:val="clear" w:color="auto" w:fill="081E3E" w:themeFill="text2"/>
            <w:vAlign w:val="center"/>
          </w:tcPr>
          <w:p w:rsidR="007740C1" w:rsidRPr="00731C0C" w:rsidRDefault="007740C1" w:rsidP="00BE6FF7">
            <w:pPr>
              <w:pStyle w:val="Table2heading"/>
              <w:keepNext/>
            </w:pPr>
            <w:r w:rsidRPr="00731C0C">
              <w:t>Option 3.2b</w:t>
            </w:r>
          </w:p>
        </w:tc>
      </w:tr>
      <w:tr w:rsidR="00A67B00" w:rsidTr="00680230">
        <w:trPr>
          <w:trHeight w:val="483"/>
        </w:trPr>
        <w:tc>
          <w:tcPr>
            <w:tcW w:w="1838" w:type="dxa"/>
            <w:vMerge w:val="restart"/>
            <w:vAlign w:val="center"/>
          </w:tcPr>
          <w:p w:rsidR="00A67B00" w:rsidRDefault="00A67B00" w:rsidP="008444FB">
            <w:pPr>
              <w:rPr>
                <w:b/>
              </w:rPr>
            </w:pPr>
            <w:r>
              <w:rPr>
                <w:b/>
              </w:rPr>
              <w:t>Fitment of safety systems or features</w:t>
            </w:r>
            <w:r w:rsidR="0027221B">
              <w:rPr>
                <w:b/>
              </w:rPr>
              <w:t xml:space="preserve"> and modifications for width</w:t>
            </w:r>
            <w:r w:rsidR="00B54776">
              <w:rPr>
                <w:b/>
              </w:rPr>
              <w:t xml:space="preserve"> (net cost)</w:t>
            </w:r>
          </w:p>
        </w:tc>
        <w:tc>
          <w:tcPr>
            <w:tcW w:w="1564" w:type="dxa"/>
            <w:vAlign w:val="center"/>
          </w:tcPr>
          <w:p w:rsidR="00A67B00" w:rsidRPr="00C2534D" w:rsidRDefault="00A67B00" w:rsidP="008444FB">
            <w:r w:rsidRPr="00C2534D">
              <w:t>Goods vehicles</w:t>
            </w:r>
          </w:p>
        </w:tc>
        <w:tc>
          <w:tcPr>
            <w:tcW w:w="1588" w:type="dxa"/>
            <w:vAlign w:val="center"/>
          </w:tcPr>
          <w:p w:rsidR="00A67B00" w:rsidRPr="00A67B00" w:rsidRDefault="00A67B00" w:rsidP="008444FB">
            <w:pPr>
              <w:jc w:val="center"/>
              <w:rPr>
                <w:rFonts w:cstheme="minorHAnsi"/>
                <w:highlight w:val="yellow"/>
              </w:rPr>
            </w:pPr>
            <w:r>
              <w:rPr>
                <w:rFonts w:cstheme="minorHAnsi"/>
                <w:color w:val="000000"/>
              </w:rPr>
              <w:t>$</w:t>
            </w:r>
            <w:r w:rsidR="00134ABB">
              <w:rPr>
                <w:rFonts w:cstheme="minorHAnsi"/>
                <w:color w:val="000000"/>
              </w:rPr>
              <w:t>2</w:t>
            </w:r>
            <w:r w:rsidR="0027221B">
              <w:rPr>
                <w:rFonts w:cstheme="minorHAnsi"/>
                <w:color w:val="000000"/>
              </w:rPr>
              <w:t>36</w:t>
            </w:r>
            <w:r>
              <w:rPr>
                <w:rFonts w:cstheme="minorHAnsi"/>
                <w:color w:val="000000"/>
              </w:rPr>
              <w:t> m</w:t>
            </w:r>
          </w:p>
        </w:tc>
        <w:tc>
          <w:tcPr>
            <w:tcW w:w="1588" w:type="dxa"/>
            <w:vAlign w:val="center"/>
          </w:tcPr>
          <w:p w:rsidR="00A67B00" w:rsidRPr="00A67B00" w:rsidRDefault="00A67B00" w:rsidP="008444FB">
            <w:pPr>
              <w:jc w:val="center"/>
              <w:rPr>
                <w:rFonts w:cstheme="minorHAnsi"/>
                <w:highlight w:val="yellow"/>
              </w:rPr>
            </w:pPr>
            <w:r>
              <w:rPr>
                <w:rFonts w:cstheme="minorHAnsi"/>
                <w:color w:val="000000"/>
              </w:rPr>
              <w:t>$</w:t>
            </w:r>
            <w:r w:rsidR="00134ABB">
              <w:rPr>
                <w:rFonts w:cstheme="minorHAnsi"/>
                <w:color w:val="000000"/>
              </w:rPr>
              <w:t>2</w:t>
            </w:r>
            <w:r w:rsidR="0027221B">
              <w:rPr>
                <w:rFonts w:cstheme="minorHAnsi"/>
                <w:color w:val="000000"/>
              </w:rPr>
              <w:t>36</w:t>
            </w:r>
            <w:r>
              <w:rPr>
                <w:rFonts w:cstheme="minorHAnsi"/>
                <w:color w:val="000000"/>
              </w:rPr>
              <w:t> m</w:t>
            </w:r>
          </w:p>
        </w:tc>
        <w:tc>
          <w:tcPr>
            <w:tcW w:w="1588" w:type="dxa"/>
            <w:vAlign w:val="center"/>
          </w:tcPr>
          <w:p w:rsidR="00A67B00" w:rsidRPr="00A67B00" w:rsidRDefault="00A67B00" w:rsidP="008444FB">
            <w:pPr>
              <w:jc w:val="center"/>
              <w:rPr>
                <w:rFonts w:cstheme="minorHAnsi"/>
                <w:highlight w:val="yellow"/>
              </w:rPr>
            </w:pPr>
            <w:r>
              <w:rPr>
                <w:rFonts w:cstheme="minorHAnsi"/>
                <w:color w:val="000000"/>
              </w:rPr>
              <w:t>$</w:t>
            </w:r>
            <w:r w:rsidR="00134ABB">
              <w:rPr>
                <w:rFonts w:cstheme="minorHAnsi"/>
                <w:color w:val="000000"/>
              </w:rPr>
              <w:t>2</w:t>
            </w:r>
            <w:r w:rsidR="0027221B">
              <w:rPr>
                <w:rFonts w:cstheme="minorHAnsi"/>
                <w:color w:val="000000"/>
              </w:rPr>
              <w:t>22</w:t>
            </w:r>
            <w:r>
              <w:rPr>
                <w:rFonts w:cstheme="minorHAnsi"/>
                <w:color w:val="000000"/>
              </w:rPr>
              <w:t> m</w:t>
            </w:r>
          </w:p>
        </w:tc>
        <w:tc>
          <w:tcPr>
            <w:tcW w:w="1588" w:type="dxa"/>
            <w:vAlign w:val="center"/>
          </w:tcPr>
          <w:p w:rsidR="00A67B00" w:rsidRPr="00A67B00" w:rsidRDefault="00A67B00" w:rsidP="008444FB">
            <w:pPr>
              <w:jc w:val="center"/>
              <w:rPr>
                <w:rFonts w:cstheme="minorHAnsi"/>
                <w:highlight w:val="yellow"/>
              </w:rPr>
            </w:pPr>
            <w:r>
              <w:rPr>
                <w:rFonts w:cstheme="minorHAnsi"/>
                <w:color w:val="000000"/>
              </w:rPr>
              <w:t>$</w:t>
            </w:r>
            <w:r w:rsidR="00134ABB">
              <w:rPr>
                <w:rFonts w:cstheme="minorHAnsi"/>
                <w:color w:val="000000"/>
              </w:rPr>
              <w:t>2</w:t>
            </w:r>
            <w:r w:rsidR="0027221B">
              <w:rPr>
                <w:rFonts w:cstheme="minorHAnsi"/>
                <w:color w:val="000000"/>
              </w:rPr>
              <w:t>22</w:t>
            </w:r>
            <w:r>
              <w:rPr>
                <w:rFonts w:cstheme="minorHAnsi"/>
                <w:color w:val="000000"/>
              </w:rPr>
              <w:t> m</w:t>
            </w:r>
          </w:p>
        </w:tc>
      </w:tr>
      <w:tr w:rsidR="00A67B00" w:rsidTr="00680230">
        <w:trPr>
          <w:trHeight w:val="484"/>
        </w:trPr>
        <w:tc>
          <w:tcPr>
            <w:tcW w:w="1838" w:type="dxa"/>
            <w:vMerge/>
            <w:vAlign w:val="center"/>
          </w:tcPr>
          <w:p w:rsidR="00A67B00" w:rsidRDefault="00A67B00" w:rsidP="008444FB">
            <w:pPr>
              <w:rPr>
                <w:b/>
              </w:rPr>
            </w:pPr>
          </w:p>
        </w:tc>
        <w:tc>
          <w:tcPr>
            <w:tcW w:w="1564" w:type="dxa"/>
            <w:vAlign w:val="center"/>
          </w:tcPr>
          <w:p w:rsidR="00A67B00" w:rsidRPr="00C2534D" w:rsidRDefault="00A67B00" w:rsidP="008444FB">
            <w:r w:rsidRPr="00C2534D">
              <w:t>Trailers</w:t>
            </w:r>
          </w:p>
        </w:tc>
        <w:tc>
          <w:tcPr>
            <w:tcW w:w="1588" w:type="dxa"/>
            <w:vAlign w:val="center"/>
          </w:tcPr>
          <w:p w:rsidR="00A67B00" w:rsidRPr="00A67B00" w:rsidRDefault="00A67B00" w:rsidP="008444FB">
            <w:pPr>
              <w:jc w:val="center"/>
              <w:rPr>
                <w:rFonts w:cstheme="minorHAnsi"/>
                <w:color w:val="auto"/>
              </w:rPr>
            </w:pPr>
            <w:r>
              <w:rPr>
                <w:rFonts w:cstheme="minorHAnsi"/>
                <w:color w:val="000000"/>
              </w:rPr>
              <w:t>$3</w:t>
            </w:r>
            <w:r w:rsidR="00134ABB">
              <w:rPr>
                <w:rFonts w:cstheme="minorHAnsi"/>
                <w:color w:val="000000"/>
              </w:rPr>
              <w:t>9</w:t>
            </w:r>
            <w:r w:rsidR="0027221B">
              <w:rPr>
                <w:rFonts w:cstheme="minorHAnsi"/>
                <w:color w:val="000000"/>
              </w:rPr>
              <w:t>.5</w:t>
            </w:r>
            <w:r>
              <w:rPr>
                <w:rFonts w:cstheme="minorHAnsi"/>
                <w:color w:val="000000"/>
              </w:rPr>
              <w:t> m</w:t>
            </w:r>
          </w:p>
        </w:tc>
        <w:tc>
          <w:tcPr>
            <w:tcW w:w="1588" w:type="dxa"/>
            <w:vAlign w:val="center"/>
          </w:tcPr>
          <w:p w:rsidR="00A67B00" w:rsidRPr="00A67B00" w:rsidRDefault="008C3688" w:rsidP="008444FB">
            <w:pPr>
              <w:jc w:val="center"/>
              <w:rPr>
                <w:rFonts w:cstheme="minorHAnsi"/>
                <w:color w:val="auto"/>
              </w:rPr>
            </w:pPr>
            <w:r>
              <w:rPr>
                <w:color w:val="auto"/>
              </w:rPr>
              <w:t>-</w:t>
            </w:r>
          </w:p>
        </w:tc>
        <w:tc>
          <w:tcPr>
            <w:tcW w:w="1588" w:type="dxa"/>
            <w:vAlign w:val="center"/>
          </w:tcPr>
          <w:p w:rsidR="00A67B00" w:rsidRPr="00A67B00" w:rsidRDefault="00A67B00" w:rsidP="008444FB">
            <w:pPr>
              <w:jc w:val="center"/>
              <w:rPr>
                <w:rFonts w:cstheme="minorHAnsi"/>
                <w:color w:val="auto"/>
              </w:rPr>
            </w:pPr>
            <w:r>
              <w:rPr>
                <w:rFonts w:cstheme="minorHAnsi"/>
                <w:color w:val="000000"/>
              </w:rPr>
              <w:t>$</w:t>
            </w:r>
            <w:r w:rsidR="0027221B">
              <w:rPr>
                <w:rFonts w:cstheme="minorHAnsi"/>
                <w:color w:val="000000"/>
              </w:rPr>
              <w:t>41.0</w:t>
            </w:r>
            <w:r>
              <w:rPr>
                <w:rFonts w:cstheme="minorHAnsi"/>
                <w:color w:val="000000"/>
              </w:rPr>
              <w:t> m</w:t>
            </w:r>
          </w:p>
        </w:tc>
        <w:tc>
          <w:tcPr>
            <w:tcW w:w="1588" w:type="dxa"/>
            <w:vAlign w:val="center"/>
          </w:tcPr>
          <w:p w:rsidR="00A67B00" w:rsidRPr="00A67B00" w:rsidRDefault="008C3688" w:rsidP="008444FB">
            <w:pPr>
              <w:jc w:val="center"/>
              <w:rPr>
                <w:rFonts w:cstheme="minorHAnsi"/>
                <w:color w:val="auto"/>
              </w:rPr>
            </w:pPr>
            <w:r>
              <w:rPr>
                <w:color w:val="auto"/>
              </w:rPr>
              <w:t>-</w:t>
            </w:r>
          </w:p>
        </w:tc>
      </w:tr>
      <w:tr w:rsidR="00A67B00" w:rsidTr="00680230">
        <w:trPr>
          <w:trHeight w:val="340"/>
        </w:trPr>
        <w:tc>
          <w:tcPr>
            <w:tcW w:w="3402" w:type="dxa"/>
            <w:gridSpan w:val="2"/>
            <w:vAlign w:val="center"/>
          </w:tcPr>
          <w:p w:rsidR="00A67B00" w:rsidRPr="00E856F5" w:rsidRDefault="00A67B00" w:rsidP="008444FB">
            <w:pPr>
              <w:rPr>
                <w:b/>
              </w:rPr>
            </w:pPr>
            <w:r>
              <w:rPr>
                <w:b/>
              </w:rPr>
              <w:t>Maintenance of safety systems or features</w:t>
            </w:r>
          </w:p>
        </w:tc>
        <w:tc>
          <w:tcPr>
            <w:tcW w:w="1588" w:type="dxa"/>
            <w:vAlign w:val="center"/>
          </w:tcPr>
          <w:p w:rsidR="00A67B00" w:rsidRPr="00A67B00" w:rsidRDefault="00A67B00" w:rsidP="008444FB">
            <w:pPr>
              <w:jc w:val="center"/>
              <w:rPr>
                <w:rFonts w:cstheme="minorHAnsi"/>
                <w:color w:val="auto"/>
              </w:rPr>
            </w:pPr>
            <w:r>
              <w:rPr>
                <w:rFonts w:cstheme="minorHAnsi"/>
                <w:color w:val="000000"/>
              </w:rPr>
              <w:t>$</w:t>
            </w:r>
            <w:r w:rsidR="00134ABB">
              <w:rPr>
                <w:rFonts w:cstheme="minorHAnsi"/>
                <w:color w:val="000000"/>
              </w:rPr>
              <w:t>41.3</w:t>
            </w:r>
            <w:r>
              <w:rPr>
                <w:rFonts w:cstheme="minorHAnsi"/>
                <w:color w:val="000000"/>
              </w:rPr>
              <w:t> m</w:t>
            </w:r>
          </w:p>
        </w:tc>
        <w:tc>
          <w:tcPr>
            <w:tcW w:w="1588" w:type="dxa"/>
            <w:vAlign w:val="center"/>
          </w:tcPr>
          <w:p w:rsidR="00A67B00" w:rsidRPr="00A67B00" w:rsidRDefault="00A67B00" w:rsidP="008444FB">
            <w:pPr>
              <w:jc w:val="center"/>
              <w:rPr>
                <w:rFonts w:cstheme="minorHAnsi"/>
                <w:color w:val="auto"/>
              </w:rPr>
            </w:pPr>
            <w:r>
              <w:rPr>
                <w:rFonts w:cstheme="minorHAnsi"/>
                <w:color w:val="000000"/>
              </w:rPr>
              <w:t>$</w:t>
            </w:r>
            <w:r w:rsidR="00134ABB">
              <w:rPr>
                <w:rFonts w:cstheme="minorHAnsi"/>
                <w:color w:val="000000"/>
              </w:rPr>
              <w:t>37.2</w:t>
            </w:r>
            <w:r>
              <w:rPr>
                <w:rFonts w:cstheme="minorHAnsi"/>
                <w:color w:val="000000"/>
              </w:rPr>
              <w:t> m</w:t>
            </w:r>
          </w:p>
        </w:tc>
        <w:tc>
          <w:tcPr>
            <w:tcW w:w="1588" w:type="dxa"/>
            <w:vAlign w:val="center"/>
          </w:tcPr>
          <w:p w:rsidR="00A67B00" w:rsidRPr="00A67B00" w:rsidRDefault="00A67B00" w:rsidP="008444FB">
            <w:pPr>
              <w:jc w:val="center"/>
              <w:rPr>
                <w:rFonts w:cstheme="minorHAnsi"/>
                <w:color w:val="auto"/>
              </w:rPr>
            </w:pPr>
            <w:r>
              <w:rPr>
                <w:rFonts w:cstheme="minorHAnsi"/>
              </w:rPr>
              <w:t>$</w:t>
            </w:r>
            <w:r w:rsidR="00134ABB">
              <w:rPr>
                <w:rFonts w:cstheme="minorHAnsi"/>
              </w:rPr>
              <w:t>41.3</w:t>
            </w:r>
            <w:r>
              <w:rPr>
                <w:rFonts w:cstheme="minorHAnsi"/>
              </w:rPr>
              <w:t> m</w:t>
            </w:r>
          </w:p>
        </w:tc>
        <w:tc>
          <w:tcPr>
            <w:tcW w:w="1588" w:type="dxa"/>
            <w:vAlign w:val="center"/>
          </w:tcPr>
          <w:p w:rsidR="00A67B00" w:rsidRPr="00A67B00" w:rsidRDefault="00A67B00" w:rsidP="008444FB">
            <w:pPr>
              <w:jc w:val="center"/>
              <w:rPr>
                <w:rFonts w:cstheme="minorHAnsi"/>
                <w:color w:val="auto"/>
              </w:rPr>
            </w:pPr>
            <w:r>
              <w:rPr>
                <w:rFonts w:cstheme="minorHAnsi"/>
                <w:color w:val="000000"/>
              </w:rPr>
              <w:t>$</w:t>
            </w:r>
            <w:r w:rsidR="00134ABB">
              <w:rPr>
                <w:rFonts w:cstheme="minorHAnsi"/>
                <w:color w:val="000000"/>
              </w:rPr>
              <w:t>37.2</w:t>
            </w:r>
            <w:r>
              <w:rPr>
                <w:rFonts w:cstheme="minorHAnsi"/>
                <w:color w:val="000000"/>
              </w:rPr>
              <w:t> m</w:t>
            </w:r>
          </w:p>
        </w:tc>
      </w:tr>
      <w:tr w:rsidR="00616327" w:rsidTr="00680230">
        <w:trPr>
          <w:trHeight w:val="340"/>
        </w:trPr>
        <w:tc>
          <w:tcPr>
            <w:tcW w:w="3402" w:type="dxa"/>
            <w:gridSpan w:val="2"/>
            <w:vAlign w:val="center"/>
          </w:tcPr>
          <w:p w:rsidR="00616327" w:rsidRDefault="00616327" w:rsidP="008444FB">
            <w:pPr>
              <w:rPr>
                <w:b/>
              </w:rPr>
            </w:pPr>
            <w:r>
              <w:rPr>
                <w:b/>
              </w:rPr>
              <w:t>Implementation of standards</w:t>
            </w:r>
          </w:p>
        </w:tc>
        <w:tc>
          <w:tcPr>
            <w:tcW w:w="1588" w:type="dxa"/>
            <w:vAlign w:val="center"/>
          </w:tcPr>
          <w:p w:rsidR="00616327" w:rsidRPr="006E727B" w:rsidRDefault="00616327" w:rsidP="008444FB">
            <w:pPr>
              <w:jc w:val="center"/>
              <w:rPr>
                <w:highlight w:val="yellow"/>
              </w:rPr>
            </w:pPr>
            <w:r w:rsidRPr="00283AB0">
              <w:t>$0.47</w:t>
            </w:r>
            <w:r>
              <w:t> m</w:t>
            </w:r>
          </w:p>
        </w:tc>
        <w:tc>
          <w:tcPr>
            <w:tcW w:w="1588" w:type="dxa"/>
            <w:vAlign w:val="center"/>
          </w:tcPr>
          <w:p w:rsidR="00616327" w:rsidRPr="006E727B" w:rsidRDefault="00616327" w:rsidP="008444FB">
            <w:pPr>
              <w:jc w:val="center"/>
              <w:rPr>
                <w:highlight w:val="yellow"/>
              </w:rPr>
            </w:pPr>
            <w:r w:rsidRPr="00283AB0">
              <w:t>$0.47</w:t>
            </w:r>
            <w:r>
              <w:t> m</w:t>
            </w:r>
          </w:p>
        </w:tc>
        <w:tc>
          <w:tcPr>
            <w:tcW w:w="1588" w:type="dxa"/>
            <w:vAlign w:val="center"/>
          </w:tcPr>
          <w:p w:rsidR="00616327" w:rsidRPr="006E727B" w:rsidRDefault="00616327" w:rsidP="008444FB">
            <w:pPr>
              <w:jc w:val="center"/>
              <w:rPr>
                <w:highlight w:val="yellow"/>
              </w:rPr>
            </w:pPr>
            <w:r w:rsidRPr="00283AB0">
              <w:t>$0.47</w:t>
            </w:r>
            <w:r>
              <w:t> m</w:t>
            </w:r>
          </w:p>
        </w:tc>
        <w:tc>
          <w:tcPr>
            <w:tcW w:w="1588" w:type="dxa"/>
            <w:vAlign w:val="center"/>
          </w:tcPr>
          <w:p w:rsidR="00616327" w:rsidRPr="006E727B" w:rsidRDefault="00616327" w:rsidP="008444FB">
            <w:pPr>
              <w:jc w:val="center"/>
              <w:rPr>
                <w:highlight w:val="yellow"/>
              </w:rPr>
            </w:pPr>
            <w:r w:rsidRPr="00283AB0">
              <w:t>$0.47</w:t>
            </w:r>
            <w:r>
              <w:t> m</w:t>
            </w:r>
          </w:p>
        </w:tc>
      </w:tr>
      <w:tr w:rsidR="00616327" w:rsidTr="00680230">
        <w:trPr>
          <w:trHeight w:val="340"/>
        </w:trPr>
        <w:tc>
          <w:tcPr>
            <w:tcW w:w="3402" w:type="dxa"/>
            <w:gridSpan w:val="2"/>
            <w:vAlign w:val="center"/>
          </w:tcPr>
          <w:p w:rsidR="00616327" w:rsidRDefault="00616327" w:rsidP="008444FB">
            <w:pPr>
              <w:rPr>
                <w:b/>
              </w:rPr>
            </w:pPr>
            <w:r>
              <w:rPr>
                <w:b/>
              </w:rPr>
              <w:t>Infrastructure updates</w:t>
            </w:r>
          </w:p>
        </w:tc>
        <w:tc>
          <w:tcPr>
            <w:tcW w:w="1588" w:type="dxa"/>
            <w:vAlign w:val="center"/>
          </w:tcPr>
          <w:p w:rsidR="00616327" w:rsidRPr="006E727B" w:rsidRDefault="00616327" w:rsidP="008444FB">
            <w:pPr>
              <w:jc w:val="center"/>
              <w:rPr>
                <w:highlight w:val="yellow"/>
              </w:rPr>
            </w:pPr>
            <w:r w:rsidRPr="00283AB0">
              <w:t>$16.</w:t>
            </w:r>
            <w:r w:rsidR="00134ABB">
              <w:t>8</w:t>
            </w:r>
            <w:r>
              <w:t> m</w:t>
            </w:r>
          </w:p>
        </w:tc>
        <w:tc>
          <w:tcPr>
            <w:tcW w:w="1588" w:type="dxa"/>
            <w:vAlign w:val="center"/>
          </w:tcPr>
          <w:p w:rsidR="00616327" w:rsidRPr="006E727B" w:rsidRDefault="00616327" w:rsidP="008444FB">
            <w:pPr>
              <w:jc w:val="center"/>
              <w:rPr>
                <w:highlight w:val="yellow"/>
              </w:rPr>
            </w:pPr>
            <w:r w:rsidRPr="00283AB0">
              <w:t>$1</w:t>
            </w:r>
            <w:r w:rsidR="00134ABB">
              <w:t>5.5</w:t>
            </w:r>
            <w:r>
              <w:t> m</w:t>
            </w:r>
          </w:p>
        </w:tc>
        <w:tc>
          <w:tcPr>
            <w:tcW w:w="1588" w:type="dxa"/>
            <w:vAlign w:val="center"/>
          </w:tcPr>
          <w:p w:rsidR="00616327" w:rsidRPr="006E727B" w:rsidRDefault="00616327" w:rsidP="008444FB">
            <w:pPr>
              <w:jc w:val="center"/>
              <w:rPr>
                <w:highlight w:val="yellow"/>
              </w:rPr>
            </w:pPr>
            <w:r w:rsidRPr="00283AB0">
              <w:t>$16.</w:t>
            </w:r>
            <w:r w:rsidR="00134ABB">
              <w:t>8</w:t>
            </w:r>
            <w:r>
              <w:t> m</w:t>
            </w:r>
          </w:p>
        </w:tc>
        <w:tc>
          <w:tcPr>
            <w:tcW w:w="1588" w:type="dxa"/>
            <w:vAlign w:val="center"/>
          </w:tcPr>
          <w:p w:rsidR="00616327" w:rsidRPr="006E727B" w:rsidRDefault="00616327" w:rsidP="008444FB">
            <w:pPr>
              <w:jc w:val="center"/>
              <w:rPr>
                <w:highlight w:val="yellow"/>
              </w:rPr>
            </w:pPr>
            <w:r w:rsidRPr="00283AB0">
              <w:t>$1</w:t>
            </w:r>
            <w:r w:rsidR="00134ABB">
              <w:t>5.5</w:t>
            </w:r>
            <w:r>
              <w:t> m</w:t>
            </w:r>
          </w:p>
        </w:tc>
      </w:tr>
    </w:tbl>
    <w:p w:rsidR="00074961" w:rsidRDefault="00DE3DD5" w:rsidP="00C60087">
      <w:r>
        <w:fldChar w:fldCharType="begin"/>
      </w:r>
      <w:r>
        <w:instrText xml:space="preserve"> REF _Ref135320032 \h </w:instrText>
      </w:r>
      <w:r>
        <w:fldChar w:fldCharType="separate"/>
      </w:r>
      <w:r w:rsidR="00534814">
        <w:t xml:space="preserve">Figure </w:t>
      </w:r>
      <w:r w:rsidR="00534814">
        <w:rPr>
          <w:noProof/>
        </w:rPr>
        <w:t>12</w:t>
      </w:r>
      <w:r>
        <w:fldChar w:fldCharType="end"/>
      </w:r>
      <w:r>
        <w:t xml:space="preserve">, </w:t>
      </w:r>
      <w:r>
        <w:fldChar w:fldCharType="begin"/>
      </w:r>
      <w:r>
        <w:instrText xml:space="preserve"> REF _Ref135320041 \h </w:instrText>
      </w:r>
      <w:r>
        <w:fldChar w:fldCharType="separate"/>
      </w:r>
      <w:r w:rsidR="00534814">
        <w:t xml:space="preserve">Figure </w:t>
      </w:r>
      <w:r w:rsidR="00534814">
        <w:rPr>
          <w:noProof/>
        </w:rPr>
        <w:t>13</w:t>
      </w:r>
      <w:r>
        <w:fldChar w:fldCharType="end"/>
      </w:r>
      <w:r>
        <w:t xml:space="preserve">, </w:t>
      </w:r>
      <w:r>
        <w:fldChar w:fldCharType="begin"/>
      </w:r>
      <w:r>
        <w:instrText xml:space="preserve"> REF _Ref135320049 \h </w:instrText>
      </w:r>
      <w:r>
        <w:fldChar w:fldCharType="separate"/>
      </w:r>
      <w:r w:rsidR="00534814">
        <w:t xml:space="preserve">Figure </w:t>
      </w:r>
      <w:r w:rsidR="00534814">
        <w:rPr>
          <w:noProof/>
        </w:rPr>
        <w:t>14</w:t>
      </w:r>
      <w:r>
        <w:fldChar w:fldCharType="end"/>
      </w:r>
      <w:r>
        <w:t xml:space="preserve">, and </w:t>
      </w:r>
      <w:r>
        <w:fldChar w:fldCharType="begin"/>
      </w:r>
      <w:r>
        <w:instrText xml:space="preserve"> REF _Ref135320062 \h </w:instrText>
      </w:r>
      <w:r>
        <w:fldChar w:fldCharType="separate"/>
      </w:r>
      <w:r w:rsidR="00534814">
        <w:t xml:space="preserve">Figure </w:t>
      </w:r>
      <w:r w:rsidR="00534814">
        <w:rPr>
          <w:noProof/>
        </w:rPr>
        <w:t>15</w:t>
      </w:r>
      <w:r>
        <w:fldChar w:fldCharType="end"/>
      </w:r>
      <w:r>
        <w:t xml:space="preserve"> show the total (i.e. cumulative) costs for each option analysed, at each year of the analysis period. As per all other costs presented in this IA, these are present values as of 1 July 2023.</w:t>
      </w:r>
    </w:p>
    <w:p w:rsidR="00ED523D" w:rsidRDefault="00091A84" w:rsidP="00C60087">
      <w:r w:rsidRPr="00091A84">
        <w:rPr>
          <w:noProof/>
        </w:rPr>
        <w:drawing>
          <wp:inline distT="0" distB="0" distL="0" distR="0" wp14:anchorId="7AF40ECB" wp14:editId="1277434A">
            <wp:extent cx="6192000" cy="2799080"/>
            <wp:effectExtent l="0" t="0" r="0" b="1270"/>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92000" cy="2799080"/>
                    </a:xfrm>
                    <a:prstGeom prst="rect">
                      <a:avLst/>
                    </a:prstGeom>
                  </pic:spPr>
                </pic:pic>
              </a:graphicData>
            </a:graphic>
          </wp:inline>
        </w:drawing>
      </w:r>
    </w:p>
    <w:p w:rsidR="003934FC" w:rsidRDefault="003934FC" w:rsidP="003934FC">
      <w:pPr>
        <w:pStyle w:val="Caption"/>
        <w:spacing w:before="120"/>
      </w:pPr>
      <w:bookmarkStart w:id="94" w:name="_Ref135320032"/>
      <w:bookmarkStart w:id="95" w:name="_Toc135321402"/>
      <w:r>
        <w:t xml:space="preserve">Figure </w:t>
      </w:r>
      <w:fldSimple w:instr=" SEQ Figure \* ARABIC ">
        <w:r w:rsidR="00534814">
          <w:rPr>
            <w:noProof/>
          </w:rPr>
          <w:t>12</w:t>
        </w:r>
      </w:fldSimple>
      <w:bookmarkEnd w:id="94"/>
      <w:r>
        <w:t xml:space="preserve">: </w:t>
      </w:r>
      <w:r w:rsidR="007D1556">
        <w:t>Total</w:t>
      </w:r>
      <w:r>
        <w:t xml:space="preserve"> (i.e. cumulative) costs under Option 3.1a at each year of the analysis period</w:t>
      </w:r>
      <w:bookmarkEnd w:id="95"/>
    </w:p>
    <w:p w:rsidR="00ED523D" w:rsidRDefault="00091A84" w:rsidP="00C60087">
      <w:r w:rsidRPr="00091A84">
        <w:rPr>
          <w:noProof/>
        </w:rPr>
        <w:drawing>
          <wp:inline distT="0" distB="0" distL="0" distR="0" wp14:anchorId="483A5540" wp14:editId="65788733">
            <wp:extent cx="6192000" cy="2799080"/>
            <wp:effectExtent l="0" t="0" r="0" b="1270"/>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92000" cy="2799080"/>
                    </a:xfrm>
                    <a:prstGeom prst="rect">
                      <a:avLst/>
                    </a:prstGeom>
                  </pic:spPr>
                </pic:pic>
              </a:graphicData>
            </a:graphic>
          </wp:inline>
        </w:drawing>
      </w:r>
    </w:p>
    <w:p w:rsidR="003934FC" w:rsidRDefault="003934FC" w:rsidP="003934FC">
      <w:pPr>
        <w:pStyle w:val="Caption"/>
        <w:spacing w:before="120"/>
      </w:pPr>
      <w:bookmarkStart w:id="96" w:name="_Ref135320041"/>
      <w:bookmarkStart w:id="97" w:name="_Toc135321403"/>
      <w:r>
        <w:t xml:space="preserve">Figure </w:t>
      </w:r>
      <w:fldSimple w:instr=" SEQ Figure \* ARABIC ">
        <w:r w:rsidR="00534814">
          <w:rPr>
            <w:noProof/>
          </w:rPr>
          <w:t>13</w:t>
        </w:r>
      </w:fldSimple>
      <w:bookmarkEnd w:id="96"/>
      <w:r>
        <w:t xml:space="preserve">: </w:t>
      </w:r>
      <w:r w:rsidR="007D1556">
        <w:t>Total</w:t>
      </w:r>
      <w:r>
        <w:t xml:space="preserve"> (i.e. cumulative) costs under Option 3.1b at each year of the analysis period</w:t>
      </w:r>
      <w:bookmarkEnd w:id="97"/>
    </w:p>
    <w:p w:rsidR="00373AC2" w:rsidRDefault="00091A84" w:rsidP="00C60087">
      <w:r w:rsidRPr="00091A84">
        <w:rPr>
          <w:noProof/>
        </w:rPr>
        <w:drawing>
          <wp:inline distT="0" distB="0" distL="0" distR="0" wp14:anchorId="28DFE9F5" wp14:editId="009CCA1E">
            <wp:extent cx="6192000" cy="2799080"/>
            <wp:effectExtent l="0" t="0" r="0" b="1270"/>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92000" cy="2799080"/>
                    </a:xfrm>
                    <a:prstGeom prst="rect">
                      <a:avLst/>
                    </a:prstGeom>
                  </pic:spPr>
                </pic:pic>
              </a:graphicData>
            </a:graphic>
          </wp:inline>
        </w:drawing>
      </w:r>
    </w:p>
    <w:p w:rsidR="003934FC" w:rsidRDefault="003934FC" w:rsidP="003934FC">
      <w:pPr>
        <w:pStyle w:val="Caption"/>
        <w:spacing w:before="120"/>
      </w:pPr>
      <w:bookmarkStart w:id="98" w:name="_Ref135320049"/>
      <w:bookmarkStart w:id="99" w:name="_Toc135321404"/>
      <w:r>
        <w:t xml:space="preserve">Figure </w:t>
      </w:r>
      <w:fldSimple w:instr=" SEQ Figure \* ARABIC ">
        <w:r w:rsidR="00534814">
          <w:rPr>
            <w:noProof/>
          </w:rPr>
          <w:t>14</w:t>
        </w:r>
      </w:fldSimple>
      <w:bookmarkEnd w:id="98"/>
      <w:r>
        <w:t xml:space="preserve">: </w:t>
      </w:r>
      <w:r w:rsidR="007D1556">
        <w:t>Total</w:t>
      </w:r>
      <w:r>
        <w:t xml:space="preserve"> (i.e. cumulative) costs under Option 3.2a at each year of the analysis period</w:t>
      </w:r>
      <w:bookmarkEnd w:id="99"/>
    </w:p>
    <w:p w:rsidR="00AD2F57" w:rsidRDefault="00091A84" w:rsidP="00C60087">
      <w:r w:rsidRPr="00091A84">
        <w:rPr>
          <w:noProof/>
        </w:rPr>
        <w:drawing>
          <wp:inline distT="0" distB="0" distL="0" distR="0" wp14:anchorId="5A7BF154" wp14:editId="0A1D70CF">
            <wp:extent cx="6192000" cy="2799080"/>
            <wp:effectExtent l="0" t="0" r="0" b="1270"/>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92000" cy="2799080"/>
                    </a:xfrm>
                    <a:prstGeom prst="rect">
                      <a:avLst/>
                    </a:prstGeom>
                  </pic:spPr>
                </pic:pic>
              </a:graphicData>
            </a:graphic>
          </wp:inline>
        </w:drawing>
      </w:r>
    </w:p>
    <w:p w:rsidR="003934FC" w:rsidRDefault="003934FC" w:rsidP="003934FC">
      <w:pPr>
        <w:pStyle w:val="Caption"/>
        <w:spacing w:before="120"/>
      </w:pPr>
      <w:bookmarkStart w:id="100" w:name="_Ref135320062"/>
      <w:bookmarkStart w:id="101" w:name="_Toc135321405"/>
      <w:r>
        <w:t xml:space="preserve">Figure </w:t>
      </w:r>
      <w:fldSimple w:instr=" SEQ Figure \* ARABIC ">
        <w:r w:rsidR="00534814">
          <w:rPr>
            <w:noProof/>
          </w:rPr>
          <w:t>15</w:t>
        </w:r>
      </w:fldSimple>
      <w:bookmarkEnd w:id="100"/>
      <w:r>
        <w:t xml:space="preserve">: </w:t>
      </w:r>
      <w:r w:rsidR="007D1556">
        <w:t>Total</w:t>
      </w:r>
      <w:r>
        <w:t xml:space="preserve"> (i.e. cumulative) costs under Option 3.2b at each year of the analysis period</w:t>
      </w:r>
      <w:bookmarkEnd w:id="101"/>
    </w:p>
    <w:p w:rsidR="00ED523D" w:rsidRDefault="00ED523D" w:rsidP="00C60087"/>
    <w:p w:rsidR="003934FC" w:rsidRPr="00C60087" w:rsidRDefault="003934FC" w:rsidP="00C60087">
      <w:pPr>
        <w:sectPr w:rsidR="003934FC" w:rsidRPr="00C60087" w:rsidSect="00D87AD8">
          <w:pgSz w:w="11906" w:h="16838" w:code="9"/>
          <w:pgMar w:top="1021" w:right="1021" w:bottom="1021" w:left="1021" w:header="510" w:footer="567" w:gutter="0"/>
          <w:cols w:space="708"/>
          <w:docGrid w:linePitch="360"/>
        </w:sectPr>
      </w:pPr>
    </w:p>
    <w:p w:rsidR="0065515A" w:rsidRPr="007B6E69" w:rsidRDefault="0065515A" w:rsidP="0065515A">
      <w:pPr>
        <w:pStyle w:val="Heading1"/>
      </w:pPr>
      <w:bookmarkStart w:id="102" w:name="_Toc111576725"/>
      <w:bookmarkStart w:id="103" w:name="_Toc138065707"/>
      <w:r w:rsidRPr="007B6E69">
        <w:t xml:space="preserve">Chapter </w:t>
      </w:r>
      <w:r w:rsidR="0076730E">
        <w:t>6</w:t>
      </w:r>
      <w:r w:rsidRPr="007B6E69">
        <w:t>: Consultation</w:t>
      </w:r>
      <w:bookmarkEnd w:id="102"/>
      <w:bookmarkEnd w:id="103"/>
    </w:p>
    <w:p w:rsidR="0065515A" w:rsidRPr="007B6E69" w:rsidRDefault="008C0A45" w:rsidP="0065515A">
      <w:pPr>
        <w:pStyle w:val="Heading2"/>
        <w:rPr>
          <w:lang w:val="en-AU"/>
        </w:rPr>
      </w:pPr>
      <w:bookmarkStart w:id="104" w:name="_Toc138065708"/>
      <w:r>
        <w:rPr>
          <w:lang w:val="en-AU"/>
        </w:rPr>
        <w:t>General c</w:t>
      </w:r>
      <w:r w:rsidR="0065515A" w:rsidRPr="007B6E69">
        <w:rPr>
          <w:lang w:val="en-AU"/>
        </w:rPr>
        <w:t>onsultat</w:t>
      </w:r>
      <w:r w:rsidR="00D06826">
        <w:rPr>
          <w:lang w:val="en-AU"/>
        </w:rPr>
        <w:t>ion</w:t>
      </w:r>
      <w:r w:rsidR="0065515A" w:rsidRPr="007B6E69">
        <w:rPr>
          <w:lang w:val="en-AU"/>
        </w:rPr>
        <w:t xml:space="preserve"> </w:t>
      </w:r>
      <w:r w:rsidR="00FB2ED7">
        <w:rPr>
          <w:lang w:val="en-AU"/>
        </w:rPr>
        <w:t>arrangements</w:t>
      </w:r>
      <w:r w:rsidR="00D06826">
        <w:rPr>
          <w:lang w:val="en-AU"/>
        </w:rPr>
        <w:t xml:space="preserve"> and committees</w:t>
      </w:r>
      <w:bookmarkEnd w:id="104"/>
    </w:p>
    <w:p w:rsidR="0065515A" w:rsidRPr="007B6E69" w:rsidRDefault="0065515A" w:rsidP="0065515A">
      <w:r w:rsidRPr="007B6E69">
        <w:t xml:space="preserve">It has been longstanding practice </w:t>
      </w:r>
      <w:r w:rsidR="00AC4185">
        <w:t xml:space="preserve">for the </w:t>
      </w:r>
      <w:r w:rsidR="00B9347B">
        <w:t>d</w:t>
      </w:r>
      <w:r w:rsidR="00AC4185">
        <w:t xml:space="preserve">epartment </w:t>
      </w:r>
      <w:r w:rsidRPr="007B6E69">
        <w:t>to consult widely on proposed new or amended vehicle standards. For many years, there has been active collaboration between the Commonwealth and the state/territory governments, as well as consultation with industry and consumer groups. Much of the consultation takes place within institutional arrangements established for this purpose. The analysis and documentation prepared in a particular case, and the bodies consulted, depend on the degree of impact the new or amended standard is expected to have on industry or road users.</w:t>
      </w:r>
    </w:p>
    <w:p w:rsidR="0065515A" w:rsidRPr="007B6E69" w:rsidRDefault="0065515A" w:rsidP="0065515A">
      <w:r w:rsidRPr="007B6E69">
        <w:t xml:space="preserve">The </w:t>
      </w:r>
      <w:r w:rsidR="00B9347B">
        <w:t>d</w:t>
      </w:r>
      <w:r w:rsidRPr="007B6E69">
        <w:t>epartment undertakes public consultation on significant proposals</w:t>
      </w:r>
      <w:r w:rsidR="001972C6">
        <w:t xml:space="preserve"> in order</w:t>
      </w:r>
      <w:r w:rsidR="00B5561B">
        <w:t xml:space="preserve"> to obtain the views of affected parties, ensure all practical and viable policy alternatives are considered, confirm the accuracy of data on which analyses are based, </w:t>
      </w:r>
      <w:r w:rsidR="009E025B">
        <w:t xml:space="preserve">and </w:t>
      </w:r>
      <w:r w:rsidR="00B5561B">
        <w:t>ensure there are no implementation barriers and/or unintended consequences</w:t>
      </w:r>
      <w:r w:rsidRPr="007B6E69">
        <w:t>. Depending on the nature of the proposed changes, consultation may involve community and industry stakeholders as well as established government committees such as the Technical Liaison Group (TLG), Strategic Vehicle Safety and Environment Group (SVSEG), the Infrastructure and Transport Senior Officials’ Committee (ITSOC) and the Infrastructure and Transport Ministers Meeting (ITMM).</w:t>
      </w:r>
    </w:p>
    <w:p w:rsidR="0065515A" w:rsidRPr="007B6E69" w:rsidRDefault="0065515A" w:rsidP="006D7157">
      <w:pPr>
        <w:pStyle w:val="ListParagraph"/>
        <w:numPr>
          <w:ilvl w:val="0"/>
          <w:numId w:val="8"/>
        </w:numPr>
      </w:pPr>
      <w:r w:rsidRPr="007B6E69">
        <w:t>TLG consists of technical representatives of government (Australian and state/territory), the manufacturing and operational arms of the industry (including organisations such as the Federal Chamber of Automotive Industries and the Australian Trucking Association) and of representative organisations of consumers and road users (particularly through the Australian Automobile Association).</w:t>
      </w:r>
    </w:p>
    <w:p w:rsidR="0065515A" w:rsidRPr="007B6E69" w:rsidRDefault="0065515A" w:rsidP="006D7157">
      <w:pPr>
        <w:pStyle w:val="ListParagraph"/>
        <w:numPr>
          <w:ilvl w:val="0"/>
          <w:numId w:val="8"/>
        </w:numPr>
      </w:pPr>
      <w:r w:rsidRPr="007B6E69">
        <w:t>SVSEG consists of senior representatives of government (Australian and state/territory), the manufacturing and operational arms of the industry and of representative organisations of consumers and road users (at a higher level within each organisation as represented in TLG).</w:t>
      </w:r>
    </w:p>
    <w:p w:rsidR="0065515A" w:rsidRPr="007B6E69" w:rsidRDefault="0065515A" w:rsidP="006D7157">
      <w:pPr>
        <w:pStyle w:val="ListParagraph"/>
        <w:numPr>
          <w:ilvl w:val="0"/>
          <w:numId w:val="8"/>
        </w:numPr>
      </w:pPr>
      <w:r w:rsidRPr="007B6E69">
        <w:t>ITSOC consists of state and territory transport and/or infrastructure Chief Executive Officers (CEOs) (or equivalents), the CEO of the National Transport Commission, New Zealand and the Australian Local Government Association.</w:t>
      </w:r>
    </w:p>
    <w:p w:rsidR="0065515A" w:rsidRPr="007B6E69" w:rsidRDefault="0065515A" w:rsidP="006D7157">
      <w:pPr>
        <w:pStyle w:val="ListParagraph"/>
        <w:numPr>
          <w:ilvl w:val="0"/>
          <w:numId w:val="8"/>
        </w:numPr>
      </w:pPr>
      <w:r w:rsidRPr="007B6E69">
        <w:t>ITMM consists of the Australian, state/territory and New Zealand Ministers with responsibility for transport and infrastructure issues.</w:t>
      </w:r>
    </w:p>
    <w:p w:rsidR="0065515A" w:rsidRPr="007B6E69" w:rsidRDefault="0065515A" w:rsidP="0065515A">
      <w:r w:rsidRPr="007B6E69">
        <w:t>SVSEG and the TLG are the principal consultative forums for advising on ADR proposals. Membership of the SVSEG is shown at Appendix 1</w:t>
      </w:r>
      <w:r w:rsidR="003D06DB">
        <w:t>2</w:t>
      </w:r>
      <w:r w:rsidRPr="007B6E69">
        <w:t>, and membership of the TLG is shown at Appendix 1</w:t>
      </w:r>
      <w:r w:rsidR="003D06DB">
        <w:t>3</w:t>
      </w:r>
      <w:r w:rsidRPr="007B6E69">
        <w:t>.</w:t>
      </w:r>
    </w:p>
    <w:p w:rsidR="0065515A" w:rsidRPr="007B6E69" w:rsidRDefault="0065515A" w:rsidP="0065515A">
      <w:pPr>
        <w:pStyle w:val="Heading2"/>
        <w:rPr>
          <w:lang w:val="en-AU"/>
        </w:rPr>
      </w:pPr>
      <w:bookmarkStart w:id="105" w:name="_Toc138065709"/>
      <w:r w:rsidRPr="007B6E69">
        <w:rPr>
          <w:lang w:val="en-AU"/>
        </w:rPr>
        <w:t>Public comment</w:t>
      </w:r>
      <w:bookmarkEnd w:id="105"/>
    </w:p>
    <w:p w:rsidR="0065515A" w:rsidRPr="007B6E69" w:rsidRDefault="00D92559" w:rsidP="0065515A">
      <w:r w:rsidRPr="007B6E69">
        <w:t xml:space="preserve">The publication of </w:t>
      </w:r>
      <w:r w:rsidR="00E17D0D" w:rsidRPr="007B6E69">
        <w:t xml:space="preserve">proposed policy options and </w:t>
      </w:r>
      <w:r w:rsidRPr="007B6E69">
        <w:t>exposure draft</w:t>
      </w:r>
      <w:r w:rsidR="00E17D0D" w:rsidRPr="007B6E69">
        <w:t>s</w:t>
      </w:r>
      <w:r w:rsidRPr="007B6E69">
        <w:t xml:space="preserve"> </w:t>
      </w:r>
      <w:r w:rsidR="00E17D0D" w:rsidRPr="007B6E69">
        <w:t xml:space="preserve">of implementing ADRs </w:t>
      </w:r>
      <w:r w:rsidRPr="007B6E69">
        <w:t xml:space="preserve">for public comment is an integral part of the consultation process. This provides an opportunity for businesses and road user groups, as well as all other interested parties, to respond to the proposal by writing or otherwise submitting their comments to the </w:t>
      </w:r>
      <w:r w:rsidR="00B9347B">
        <w:t>d</w:t>
      </w:r>
      <w:r w:rsidRPr="007B6E69">
        <w:t xml:space="preserve">epartment. </w:t>
      </w:r>
      <w:r w:rsidR="00E17D0D" w:rsidRPr="007B6E69">
        <w:t>This</w:t>
      </w:r>
      <w:r w:rsidRPr="007B6E69">
        <w:t xml:space="preserve"> </w:t>
      </w:r>
      <w:r w:rsidR="00E17D0D" w:rsidRPr="007B6E69">
        <w:t xml:space="preserve">helps to </w:t>
      </w:r>
      <w:r w:rsidR="008F06C3" w:rsidRPr="007B6E69">
        <w:t>identify</w:t>
      </w:r>
      <w:r w:rsidRPr="007B6E69">
        <w:t xml:space="preserve"> the likely impacts and enables informed debate on any issues.</w:t>
      </w:r>
    </w:p>
    <w:p w:rsidR="009D166B" w:rsidRPr="007B6E69" w:rsidRDefault="009D166B" w:rsidP="0065515A">
      <w:r w:rsidRPr="007B6E69">
        <w:t xml:space="preserve">Public comment was sought on each of the policy options considered in this </w:t>
      </w:r>
      <w:r w:rsidR="00C45600">
        <w:t>IA</w:t>
      </w:r>
      <w:r w:rsidRPr="007B6E69">
        <w:t xml:space="preserve">, through the publication of the Safer Freight Vehicles </w:t>
      </w:r>
      <w:r w:rsidR="00EE4E5A" w:rsidRPr="007B6E69">
        <w:t>D</w:t>
      </w:r>
      <w:r w:rsidRPr="007B6E69">
        <w:t xml:space="preserve">iscussion </w:t>
      </w:r>
      <w:r w:rsidR="00EE4E5A" w:rsidRPr="007B6E69">
        <w:t>P</w:t>
      </w:r>
      <w:r w:rsidRPr="007B6E69">
        <w:t>aper (</w:t>
      </w:r>
      <w:r w:rsidR="00315909">
        <w:t>Commonwealth of Australia</w:t>
      </w:r>
      <w:r w:rsidR="00EE4E5A" w:rsidRPr="007B6E69">
        <w:t>, 2021</w:t>
      </w:r>
      <w:r w:rsidR="006D7376">
        <w:t>a</w:t>
      </w:r>
      <w:r w:rsidRPr="007B6E69">
        <w:t xml:space="preserve">) and draft ADRs on the </w:t>
      </w:r>
      <w:r w:rsidR="00B9347B">
        <w:t>d</w:t>
      </w:r>
      <w:r w:rsidRPr="007B6E69">
        <w:t xml:space="preserve">epartment’s website, for </w:t>
      </w:r>
      <w:r w:rsidR="00D231AF" w:rsidRPr="007B6E69">
        <w:t xml:space="preserve">a </w:t>
      </w:r>
      <w:r w:rsidR="00EE4E5A" w:rsidRPr="007B6E69">
        <w:br/>
      </w:r>
      <w:r w:rsidRPr="007B6E69">
        <w:t>10</w:t>
      </w:r>
      <w:r w:rsidR="00D231AF" w:rsidRPr="007B6E69">
        <w:t>-</w:t>
      </w:r>
      <w:r w:rsidRPr="007B6E69">
        <w:t>week</w:t>
      </w:r>
      <w:r w:rsidR="00766479" w:rsidRPr="007B6E69">
        <w:t xml:space="preserve"> public comment</w:t>
      </w:r>
      <w:r w:rsidR="00D231AF" w:rsidRPr="007B6E69">
        <w:t xml:space="preserve"> period</w:t>
      </w:r>
      <w:r w:rsidRPr="007B6E69">
        <w:t xml:space="preserve">, </w:t>
      </w:r>
      <w:r w:rsidR="00D231AF" w:rsidRPr="007B6E69">
        <w:t xml:space="preserve">which closed on 30 </w:t>
      </w:r>
      <w:r w:rsidRPr="007B6E69">
        <w:t>June 2021.</w:t>
      </w:r>
    </w:p>
    <w:p w:rsidR="00C268E4" w:rsidRDefault="00945710" w:rsidP="0065515A">
      <w:pPr>
        <w:rPr>
          <w:rFonts w:cstheme="minorHAnsi"/>
        </w:rPr>
      </w:pPr>
      <w:r>
        <w:t>The states and territories</w:t>
      </w:r>
      <w:r w:rsidR="00183C43" w:rsidRPr="00183C43">
        <w:t xml:space="preserve"> </w:t>
      </w:r>
      <w:r w:rsidR="00183C43">
        <w:t>are broadly supportive</w:t>
      </w:r>
      <w:r w:rsidR="00183C43" w:rsidRPr="00183C43">
        <w:t xml:space="preserve"> of a width limit of 2.55</w:t>
      </w:r>
      <w:r w:rsidR="00267F80">
        <w:t> </w:t>
      </w:r>
      <w:r w:rsidR="00183C43" w:rsidRPr="00183C43">
        <w:t>m for</w:t>
      </w:r>
      <w:r w:rsidR="00183C43">
        <w:t xml:space="preserve"> both goods vehicles and trailers</w:t>
      </w:r>
      <w:r w:rsidR="00183C43" w:rsidRPr="00183C43">
        <w:t xml:space="preserve">, but </w:t>
      </w:r>
      <w:r>
        <w:t>do not support</w:t>
      </w:r>
      <w:r w:rsidR="00183C43" w:rsidRPr="00183C43">
        <w:t xml:space="preserve"> a move to </w:t>
      </w:r>
      <w:r w:rsidR="00B9347B">
        <w:t>2.60</w:t>
      </w:r>
      <w:r w:rsidR="00267F80">
        <w:t> </w:t>
      </w:r>
      <w:r w:rsidR="00183C43" w:rsidRPr="00183C43">
        <w:t>m</w:t>
      </w:r>
      <w:r w:rsidR="00183C43">
        <w:t xml:space="preserve"> at this stage</w:t>
      </w:r>
      <w:r w:rsidR="00183C43" w:rsidRPr="00183C43">
        <w:t>.</w:t>
      </w:r>
      <w:r w:rsidR="00183C43">
        <w:t xml:space="preserve"> The general </w:t>
      </w:r>
      <w:r w:rsidR="007066A4">
        <w:t>position</w:t>
      </w:r>
      <w:r w:rsidR="00183C43">
        <w:t xml:space="preserve"> among </w:t>
      </w:r>
      <w:r w:rsidR="00162CAF">
        <w:t xml:space="preserve">the </w:t>
      </w:r>
      <w:r w:rsidR="00183C43">
        <w:t xml:space="preserve">jurisdictions is that the Commonwealth </w:t>
      </w:r>
      <w:r>
        <w:t>should implement a 2.55</w:t>
      </w:r>
      <w:r w:rsidR="00267F80">
        <w:t> </w:t>
      </w:r>
      <w:r>
        <w:t>m limit as supported by Austroads</w:t>
      </w:r>
      <w:r w:rsidR="00162CAF">
        <w:t xml:space="preserve"> research to date</w:t>
      </w:r>
      <w:r w:rsidR="00AB2A5B">
        <w:t xml:space="preserve"> (Austroads, 2019)</w:t>
      </w:r>
      <w:r>
        <w:t xml:space="preserve">, and </w:t>
      </w:r>
      <w:r w:rsidR="00183C43">
        <w:t xml:space="preserve">work with </w:t>
      </w:r>
      <w:r>
        <w:t>the NHVR</w:t>
      </w:r>
      <w:r w:rsidR="00183C43">
        <w:t xml:space="preserve"> and Austroads </w:t>
      </w:r>
      <w:r>
        <w:t>to</w:t>
      </w:r>
      <w:r w:rsidRPr="00383BCA">
        <w:rPr>
          <w:rFonts w:cstheme="minorHAnsi"/>
        </w:rPr>
        <w:t xml:space="preserve"> research the suitability of </w:t>
      </w:r>
      <w:r>
        <w:rPr>
          <w:rFonts w:cstheme="minorHAnsi"/>
        </w:rPr>
        <w:t xml:space="preserve">a </w:t>
      </w:r>
      <w:r w:rsidR="00B9347B">
        <w:rPr>
          <w:rFonts w:cstheme="minorHAnsi"/>
        </w:rPr>
        <w:t>2.60</w:t>
      </w:r>
      <w:r w:rsidR="00267F80">
        <w:rPr>
          <w:rFonts w:cstheme="minorHAnsi"/>
        </w:rPr>
        <w:t> </w:t>
      </w:r>
      <w:r w:rsidRPr="00383BCA">
        <w:rPr>
          <w:rFonts w:cstheme="minorHAnsi"/>
        </w:rPr>
        <w:t xml:space="preserve">m </w:t>
      </w:r>
      <w:r>
        <w:rPr>
          <w:rFonts w:cstheme="minorHAnsi"/>
        </w:rPr>
        <w:t>limit for the future.</w:t>
      </w:r>
    </w:p>
    <w:p w:rsidR="00183C43" w:rsidRDefault="00213965" w:rsidP="0065515A">
      <w:pPr>
        <w:rPr>
          <w:rFonts w:cstheme="minorHAnsi"/>
        </w:rPr>
      </w:pPr>
      <w:r>
        <w:rPr>
          <w:rFonts w:cstheme="minorHAnsi"/>
        </w:rPr>
        <w:t>Jurisdiction</w:t>
      </w:r>
      <w:r w:rsidR="009E025B">
        <w:rPr>
          <w:rFonts w:cstheme="minorHAnsi"/>
        </w:rPr>
        <w:t>s</w:t>
      </w:r>
      <w:r>
        <w:rPr>
          <w:rFonts w:cstheme="minorHAnsi"/>
        </w:rPr>
        <w:t xml:space="preserve"> generally support all of the additional proposed mandatory safety technologies for wider freight vehicles</w:t>
      </w:r>
      <w:r w:rsidR="00640FD2">
        <w:rPr>
          <w:rFonts w:cstheme="minorHAnsi"/>
        </w:rPr>
        <w:t>;</w:t>
      </w:r>
      <w:r>
        <w:rPr>
          <w:rFonts w:cstheme="minorHAnsi"/>
        </w:rPr>
        <w:t xml:space="preserve"> with NSW, VIC and QLD all re</w:t>
      </w:r>
      <w:r w:rsidR="004C5B38">
        <w:rPr>
          <w:rFonts w:cstheme="minorHAnsi"/>
        </w:rPr>
        <w:t>quest</w:t>
      </w:r>
      <w:r w:rsidR="00640FD2">
        <w:rPr>
          <w:rFonts w:cstheme="minorHAnsi"/>
        </w:rPr>
        <w:t>ing</w:t>
      </w:r>
      <w:r>
        <w:rPr>
          <w:rFonts w:cstheme="minorHAnsi"/>
        </w:rPr>
        <w:t xml:space="preserve"> further mandatory </w:t>
      </w:r>
      <w:r w:rsidR="004C5B38">
        <w:rPr>
          <w:rFonts w:cstheme="minorHAnsi"/>
        </w:rPr>
        <w:t xml:space="preserve">national </w:t>
      </w:r>
      <w:r>
        <w:rPr>
          <w:rFonts w:cstheme="minorHAnsi"/>
        </w:rPr>
        <w:t>standards</w:t>
      </w:r>
      <w:r w:rsidR="00DA60BA">
        <w:rPr>
          <w:rFonts w:cstheme="minorHAnsi"/>
        </w:rPr>
        <w:t xml:space="preserve"> (i.e. ADRs)</w:t>
      </w:r>
      <w:r>
        <w:rPr>
          <w:rFonts w:cstheme="minorHAnsi"/>
        </w:rPr>
        <w:t xml:space="preserve"> be </w:t>
      </w:r>
      <w:r w:rsidR="000B652C">
        <w:rPr>
          <w:rFonts w:cstheme="minorHAnsi"/>
        </w:rPr>
        <w:t>implemented</w:t>
      </w:r>
      <w:r>
        <w:rPr>
          <w:rFonts w:cstheme="minorHAnsi"/>
        </w:rPr>
        <w:t xml:space="preserve"> to better align with the EU.</w:t>
      </w:r>
    </w:p>
    <w:p w:rsidR="00D01015" w:rsidRDefault="007066A4" w:rsidP="00B5561B">
      <w:r w:rsidRPr="007066A4">
        <w:t>Most industry stakeholders support</w:t>
      </w:r>
      <w:r>
        <w:t xml:space="preserve"> </w:t>
      </w:r>
      <w:r w:rsidRPr="007066A4">
        <w:t xml:space="preserve">a width limit of </w:t>
      </w:r>
      <w:r w:rsidR="00B9347B">
        <w:t>2.60</w:t>
      </w:r>
      <w:r w:rsidR="00267F80">
        <w:t> </w:t>
      </w:r>
      <w:r w:rsidRPr="007066A4">
        <w:t>m for trucks</w:t>
      </w:r>
      <w:r>
        <w:t xml:space="preserve"> and trailers</w:t>
      </w:r>
      <w:r w:rsidRPr="007066A4">
        <w:t>, including the Truck Industry Council (TIC), the Commercial Vehicle Industry Association of Australia (CVIAA) and the Australian Trucking Association (ATA).</w:t>
      </w:r>
      <w:r>
        <w:t xml:space="preserve"> </w:t>
      </w:r>
      <w:r w:rsidR="00D01015">
        <w:t xml:space="preserve">These stakeholders argue that this </w:t>
      </w:r>
      <w:r w:rsidR="00151AD0">
        <w:t>would avoid the need to</w:t>
      </w:r>
      <w:r w:rsidR="00D01015">
        <w:t xml:space="preserve"> modify vehicles based on EU and US designs to be narrower for Australia, provide the </w:t>
      </w:r>
      <w:r w:rsidR="00151AD0">
        <w:t>best</w:t>
      </w:r>
      <w:r w:rsidR="00D01015">
        <w:t xml:space="preserve"> access to electric </w:t>
      </w:r>
      <w:r w:rsidR="009A2B7B">
        <w:t>trucks</w:t>
      </w:r>
      <w:r w:rsidR="00151AD0">
        <w:t xml:space="preserve"> from the world market</w:t>
      </w:r>
      <w:r w:rsidR="00D01015">
        <w:t xml:space="preserve">, </w:t>
      </w:r>
      <w:r w:rsidR="00151AD0">
        <w:t>and deliver the greatest safety and productivity benefits</w:t>
      </w:r>
      <w:r w:rsidR="00D01015">
        <w:t>.</w:t>
      </w:r>
    </w:p>
    <w:p w:rsidR="00D01015" w:rsidRDefault="00D40861" w:rsidP="00B5561B">
      <w:r>
        <w:t>However, s</w:t>
      </w:r>
      <w:r w:rsidR="007066A4">
        <w:t xml:space="preserve">ome industry stakeholders do not support increasing the width limit for trailers, including the Heavy Vehicle Industry Association (HVIA) and </w:t>
      </w:r>
      <w:r w:rsidR="00982580">
        <w:t>many</w:t>
      </w:r>
      <w:r w:rsidR="008B22BD">
        <w:t xml:space="preserve"> Australian </w:t>
      </w:r>
      <w:r w:rsidR="004D0FDB">
        <w:t xml:space="preserve">heavy </w:t>
      </w:r>
      <w:r w:rsidR="008B22BD">
        <w:t>trailer manufacturer</w:t>
      </w:r>
      <w:r w:rsidR="00982580">
        <w:t>s</w:t>
      </w:r>
      <w:r w:rsidR="007066A4" w:rsidRPr="007066A4">
        <w:t>.</w:t>
      </w:r>
      <w:r w:rsidR="00743007">
        <w:t xml:space="preserve"> They </w:t>
      </w:r>
      <w:r w:rsidR="00071788">
        <w:t xml:space="preserve">are concerned the proposed changes will favour </w:t>
      </w:r>
      <w:r w:rsidR="00151AD0">
        <w:t xml:space="preserve">trailer </w:t>
      </w:r>
      <w:r w:rsidR="00071788">
        <w:t>importers</w:t>
      </w:r>
      <w:r w:rsidR="00EB128F">
        <w:t xml:space="preserve"> and cost </w:t>
      </w:r>
      <w:r w:rsidR="00D01015">
        <w:t xml:space="preserve">Australian </w:t>
      </w:r>
      <w:r w:rsidR="00151AD0">
        <w:t xml:space="preserve">trailer </w:t>
      </w:r>
      <w:r w:rsidR="00D01015">
        <w:t xml:space="preserve">manufacturing </w:t>
      </w:r>
      <w:r w:rsidR="00EB128F">
        <w:t xml:space="preserve">jobs. </w:t>
      </w:r>
      <w:r w:rsidR="00D01015">
        <w:t>These stakeholders</w:t>
      </w:r>
      <w:r w:rsidR="00EB128F">
        <w:t xml:space="preserve"> consider </w:t>
      </w:r>
      <w:r w:rsidR="00D01015">
        <w:t>that</w:t>
      </w:r>
      <w:r w:rsidR="00EB128F">
        <w:t xml:space="preserve"> </w:t>
      </w:r>
      <w:r w:rsidR="00071788">
        <w:t>domestic trailer manufacturers would need to re-tool and change manufacturing processes to increase trailer width in order to compet</w:t>
      </w:r>
      <w:r w:rsidR="00D01015">
        <w:t>e with importers</w:t>
      </w:r>
      <w:r w:rsidR="004D492B">
        <w:t xml:space="preserve">, and </w:t>
      </w:r>
      <w:r w:rsidR="00D01015">
        <w:t xml:space="preserve">that the </w:t>
      </w:r>
      <w:r w:rsidR="00D01015" w:rsidRPr="007000C9">
        <w:rPr>
          <w:rFonts w:cstheme="minorHAnsi"/>
        </w:rPr>
        <w:t>cost of the retooling, transitional costs and potential loss of Australian manufacturing jobs, far exceed any safety or productivity benefits.</w:t>
      </w:r>
    </w:p>
    <w:p w:rsidR="007066A4" w:rsidRDefault="00213965" w:rsidP="0065515A">
      <w:r>
        <w:t xml:space="preserve">Industry stakeholders are broadly supportive of mandatory requirements for ESC, AEB and LDWS. Some industry stakeholders have raised concerns about mandatory side underrun protection, particularly for trailer design types mostly used in regional and remote areas. </w:t>
      </w:r>
      <w:r w:rsidR="0096248D">
        <w:t>The Truck Industry Council</w:t>
      </w:r>
      <w:r w:rsidR="0066363A">
        <w:t xml:space="preserve"> provided in-principle support for the adoption of a more stringent ADR for devices for indirect vision and the future adoption of an ADR for blind spot information systems, while detailing concerns regarding the suitability of the relevant UN regulations for Australia, and recommendations to address these concerns.</w:t>
      </w:r>
    </w:p>
    <w:p w:rsidR="004D2BD8" w:rsidRDefault="000D76EE" w:rsidP="0065515A">
      <w:r>
        <w:t xml:space="preserve">There is widespread support for the </w:t>
      </w:r>
      <w:r w:rsidR="00B9347B">
        <w:t>d</w:t>
      </w:r>
      <w:r w:rsidR="00493B1D">
        <w:t xml:space="preserve">epartment’s </w:t>
      </w:r>
      <w:r>
        <w:t>proposed exclusion</w:t>
      </w:r>
      <w:r w:rsidR="00493B1D">
        <w:t>s</w:t>
      </w:r>
      <w:r>
        <w:t xml:space="preserve"> </w:t>
      </w:r>
      <w:r w:rsidR="00493B1D">
        <w:t xml:space="preserve">for </w:t>
      </w:r>
      <w:r w:rsidRPr="000D76EE">
        <w:t>enhanced devices for indirect vision and/or devices to detect other road users</w:t>
      </w:r>
      <w:r>
        <w:t xml:space="preserve"> from vehicle width and length measurements. Further, there have been no objections raised to th</w:t>
      </w:r>
      <w:r w:rsidR="00493B1D">
        <w:t>ese</w:t>
      </w:r>
      <w:r>
        <w:t>.</w:t>
      </w:r>
    </w:p>
    <w:p w:rsidR="00D92559" w:rsidRPr="007B6E69" w:rsidRDefault="00166833" w:rsidP="0065515A">
      <w:r w:rsidRPr="007B6E69">
        <w:t xml:space="preserve">A more detailed summary of </w:t>
      </w:r>
      <w:r w:rsidR="00D231AF" w:rsidRPr="007B6E69">
        <w:t xml:space="preserve">the </w:t>
      </w:r>
      <w:r w:rsidRPr="007B6E69">
        <w:t>public comment</w:t>
      </w:r>
      <w:r w:rsidR="00D231AF" w:rsidRPr="007B6E69">
        <w:t>s</w:t>
      </w:r>
      <w:r w:rsidRPr="007B6E69">
        <w:t xml:space="preserve"> together with </w:t>
      </w:r>
      <w:r w:rsidR="00B9347B">
        <w:t>d</w:t>
      </w:r>
      <w:r w:rsidRPr="007B6E69">
        <w:t xml:space="preserve">epartment responses is included </w:t>
      </w:r>
      <w:r w:rsidR="004826AB">
        <w:t>in</w:t>
      </w:r>
      <w:r w:rsidRPr="007B6E69">
        <w:t xml:space="preserve"> Appendix 1</w:t>
      </w:r>
      <w:r w:rsidR="003D06DB">
        <w:t>4</w:t>
      </w:r>
      <w:r w:rsidRPr="007B6E69">
        <w:t>.</w:t>
      </w:r>
    </w:p>
    <w:p w:rsidR="00E87E35" w:rsidRPr="00AA1EDE" w:rsidRDefault="00E87E35" w:rsidP="000A6675">
      <w:pPr>
        <w:pStyle w:val="Heading2"/>
        <w:rPr>
          <w:lang w:val="en-AU"/>
        </w:rPr>
      </w:pPr>
      <w:bookmarkStart w:id="106" w:name="_Toc138065710"/>
      <w:r>
        <w:rPr>
          <w:lang w:val="en-AU"/>
        </w:rPr>
        <w:t>Informal Working Group</w:t>
      </w:r>
      <w:r w:rsidR="00E800AA">
        <w:rPr>
          <w:lang w:val="en-AU"/>
        </w:rPr>
        <w:t xml:space="preserve"> on Safer Freight Vehicles</w:t>
      </w:r>
      <w:bookmarkEnd w:id="106"/>
    </w:p>
    <w:p w:rsidR="00E87E35" w:rsidRDefault="003C1B61" w:rsidP="00682FEF">
      <w:r w:rsidRPr="003C1B61">
        <w:t xml:space="preserve">In </w:t>
      </w:r>
      <w:r>
        <w:t>November 2021</w:t>
      </w:r>
      <w:r w:rsidR="002D4497">
        <w:t>,</w:t>
      </w:r>
      <w:r>
        <w:t xml:space="preserve"> the </w:t>
      </w:r>
      <w:r w:rsidR="00B9347B">
        <w:t>d</w:t>
      </w:r>
      <w:r>
        <w:t xml:space="preserve">epartment </w:t>
      </w:r>
      <w:r w:rsidR="007B07F5">
        <w:t>established</w:t>
      </w:r>
      <w:r>
        <w:t xml:space="preserve"> </w:t>
      </w:r>
      <w:r w:rsidR="00682FEF">
        <w:t xml:space="preserve">an Informal Working Group to </w:t>
      </w:r>
      <w:r w:rsidR="009407BD">
        <w:t xml:space="preserve">help plan for </w:t>
      </w:r>
      <w:r w:rsidR="00E2145D">
        <w:t xml:space="preserve">a successful </w:t>
      </w:r>
      <w:r w:rsidR="009407BD">
        <w:t xml:space="preserve">implementation of </w:t>
      </w:r>
      <w:r w:rsidR="002D4497">
        <w:t xml:space="preserve">the </w:t>
      </w:r>
      <w:r w:rsidR="00682FEF">
        <w:t xml:space="preserve">reforms proposed in the </w:t>
      </w:r>
      <w:r w:rsidR="00682FEF" w:rsidRPr="007B6E69">
        <w:t>Safer Freight Vehicles Discussion Paper (</w:t>
      </w:r>
      <w:r w:rsidR="00315909">
        <w:t>Commonwealth of Australia</w:t>
      </w:r>
      <w:r w:rsidR="00682FEF" w:rsidRPr="007B6E69">
        <w:t>, 2021</w:t>
      </w:r>
      <w:r w:rsidR="006D7376">
        <w:t>a</w:t>
      </w:r>
      <w:r w:rsidR="00682FEF" w:rsidRPr="007B6E69">
        <w:t>)</w:t>
      </w:r>
      <w:r w:rsidR="00682FEF" w:rsidRPr="00682FEF">
        <w:t>.</w:t>
      </w:r>
      <w:r w:rsidR="00E2145D">
        <w:t xml:space="preserve"> This was particularly important to ensure </w:t>
      </w:r>
      <w:r w:rsidR="004271F1">
        <w:t>a consistent approach and</w:t>
      </w:r>
      <w:r w:rsidR="00E2145D">
        <w:t xml:space="preserve"> seamless transition </w:t>
      </w:r>
      <w:r w:rsidR="00257E51">
        <w:t xml:space="preserve">could be achieved </w:t>
      </w:r>
      <w:r w:rsidR="00E2145D">
        <w:t xml:space="preserve">between the </w:t>
      </w:r>
      <w:r w:rsidR="007B07F5">
        <w:t>regulation of vehicles at</w:t>
      </w:r>
      <w:r w:rsidR="00E2145D">
        <w:t xml:space="preserve"> first supply to market </w:t>
      </w:r>
      <w:r w:rsidR="007B07F5">
        <w:t>and in-service.</w:t>
      </w:r>
      <w:r w:rsidR="000A6675">
        <w:t xml:space="preserve"> Four meetings of this group were held between December 2021 and April 2022.</w:t>
      </w:r>
    </w:p>
    <w:p w:rsidR="00BB5FCF" w:rsidRDefault="00BB5FCF" w:rsidP="00682FEF">
      <w:r>
        <w:t>The feedback</w:t>
      </w:r>
      <w:r w:rsidR="00C03807">
        <w:t xml:space="preserve"> and agreed outcomes</w:t>
      </w:r>
      <w:r>
        <w:t xml:space="preserve"> from this </w:t>
      </w:r>
      <w:r w:rsidR="00C03807">
        <w:t xml:space="preserve">informal working </w:t>
      </w:r>
      <w:r>
        <w:t xml:space="preserve">group </w:t>
      </w:r>
      <w:r w:rsidR="007062D8">
        <w:t>have been</w:t>
      </w:r>
      <w:r>
        <w:t xml:space="preserve"> considered by the </w:t>
      </w:r>
      <w:r w:rsidR="00B9347B">
        <w:t>d</w:t>
      </w:r>
      <w:r>
        <w:t xml:space="preserve">epartment in finalising the ADRs and </w:t>
      </w:r>
      <w:r w:rsidR="00192CB0">
        <w:t xml:space="preserve">determining the </w:t>
      </w:r>
      <w:r>
        <w:t xml:space="preserve">compliance information </w:t>
      </w:r>
      <w:r w:rsidR="00192CB0">
        <w:t xml:space="preserve">to be </w:t>
      </w:r>
      <w:r>
        <w:t>collected to implement the recommended policy option.</w:t>
      </w:r>
      <w:r w:rsidR="008C714D">
        <w:t xml:space="preserve"> T</w:t>
      </w:r>
      <w:r w:rsidR="007062D8">
        <w:t xml:space="preserve">his includes drafting the ADR requirements in a way that allows for cab-chassis and other partially completed vehicles to be supplied without side underrun protection and conspicuity markings, but </w:t>
      </w:r>
      <w:r w:rsidR="00F2542C">
        <w:t xml:space="preserve">still </w:t>
      </w:r>
      <w:r w:rsidR="007062D8">
        <w:t xml:space="preserve">requires these to be fitted during the completion of the vehicle (e.g. by a vehicle bodybuilder). </w:t>
      </w:r>
      <w:r w:rsidR="001450BA">
        <w:t xml:space="preserve">It also includes </w:t>
      </w:r>
      <w:r w:rsidR="001450BA">
        <w:rPr>
          <w:lang w:val="en-US"/>
        </w:rPr>
        <w:t>updating the Register of Approved Vehicles (RAV) to include an additional field through which manufacturers would identify vehicles meeting the additional ADR requirements for wider freight vehicles, the form in which the vehicle was added to the RAV (e.g. completed vehicle, prime mover, chassis-cab), and the maximum width for which the vehicle is certified to comply with all applicable ADRs.</w:t>
      </w:r>
    </w:p>
    <w:p w:rsidR="0065515A" w:rsidRPr="00AA1EDE" w:rsidRDefault="00AA1EDE" w:rsidP="00E87E35">
      <w:pPr>
        <w:pStyle w:val="Heading2"/>
        <w:rPr>
          <w:lang w:val="en-AU"/>
        </w:rPr>
      </w:pPr>
      <w:bookmarkStart w:id="107" w:name="_Toc138065711"/>
      <w:r w:rsidRPr="00AA1EDE">
        <w:rPr>
          <w:lang w:val="en-AU"/>
        </w:rPr>
        <w:t>SVSEG and TLG</w:t>
      </w:r>
      <w:bookmarkEnd w:id="107"/>
    </w:p>
    <w:p w:rsidR="009255D5" w:rsidRDefault="009255D5" w:rsidP="0065515A">
      <w:r>
        <w:t>The</w:t>
      </w:r>
      <w:r w:rsidRPr="00CD64CC">
        <w:t xml:space="preserve"> package of new safety ADRs</w:t>
      </w:r>
      <w:r w:rsidR="006070BD">
        <w:t xml:space="preserve"> proposed</w:t>
      </w:r>
      <w:r w:rsidRPr="00CD64CC">
        <w:t xml:space="preserve"> to be mandated </w:t>
      </w:r>
      <w:r w:rsidR="006070BD">
        <w:t xml:space="preserve">under each of the options </w:t>
      </w:r>
      <w:r w:rsidRPr="00CD64CC">
        <w:t xml:space="preserve">for the wider vehicles (those exceeding the current </w:t>
      </w:r>
      <w:r>
        <w:t>2.50 </w:t>
      </w:r>
      <w:r w:rsidRPr="00CD64CC">
        <w:t>m limit)</w:t>
      </w:r>
      <w:r w:rsidR="006070BD">
        <w:t xml:space="preserve"> was </w:t>
      </w:r>
      <w:r w:rsidR="00FF0594">
        <w:t>developed</w:t>
      </w:r>
      <w:r w:rsidR="006070BD">
        <w:t xml:space="preserve"> in consultation with the SVSEG during 2018-19. As part of this process the department circulated a paper to members which </w:t>
      </w:r>
      <w:r w:rsidR="006070BD" w:rsidRPr="006070BD">
        <w:t xml:space="preserve">put forward a possible regulatory package to </w:t>
      </w:r>
      <w:r w:rsidR="006070BD">
        <w:t xml:space="preserve">increase the width limit for freight vehicles fitted with additional proposed safety systems/features. This paper was discussed at a meeting of the SVSEG in 2019 and members were </w:t>
      </w:r>
      <w:r w:rsidR="00FF0594">
        <w:t>also given the opportunity to submit comments/feedback to the department following this meeting.</w:t>
      </w:r>
    </w:p>
    <w:p w:rsidR="00AA1EDE" w:rsidRDefault="0067389C" w:rsidP="0065515A">
      <w:r w:rsidRPr="0067389C">
        <w:t xml:space="preserve">Comment </w:t>
      </w:r>
      <w:r w:rsidRPr="007B6E69">
        <w:t xml:space="preserve">on each of the policy options considered in this </w:t>
      </w:r>
      <w:r w:rsidR="00C45600">
        <w:t>IA</w:t>
      </w:r>
      <w:r>
        <w:t xml:space="preserve"> was also sought from SVSEG and TLG, by circulating </w:t>
      </w:r>
      <w:r w:rsidRPr="007B6E69">
        <w:t>the Safer Freight Vehicles Discussion Paper (</w:t>
      </w:r>
      <w:r w:rsidR="00315909">
        <w:t>Commonwealth of Australia</w:t>
      </w:r>
      <w:r w:rsidRPr="007B6E69">
        <w:t xml:space="preserve">, 2021) and </w:t>
      </w:r>
      <w:r w:rsidR="001922BD">
        <w:t xml:space="preserve">the </w:t>
      </w:r>
      <w:r w:rsidRPr="007B6E69">
        <w:t>draft ADRs</w:t>
      </w:r>
      <w:r>
        <w:t xml:space="preserve"> to members at the time of publication on the </w:t>
      </w:r>
      <w:r w:rsidR="00B9347B">
        <w:t>d</w:t>
      </w:r>
      <w:r>
        <w:t>epartment’s website</w:t>
      </w:r>
      <w:r w:rsidR="0047168D">
        <w:t xml:space="preserve"> </w:t>
      </w:r>
      <w:r w:rsidR="003F25FE">
        <w:t>(April 2021)</w:t>
      </w:r>
      <w:r w:rsidR="00656959" w:rsidRPr="0067389C">
        <w:t>.</w:t>
      </w:r>
      <w:r w:rsidR="003F25FE">
        <w:t xml:space="preserve"> During the 10-week public consultation period</w:t>
      </w:r>
      <w:r w:rsidR="00C268E4">
        <w:t>,</w:t>
      </w:r>
      <w:r w:rsidR="003F25FE">
        <w:t xml:space="preserve"> the </w:t>
      </w:r>
      <w:r w:rsidR="00B9347B">
        <w:t>d</w:t>
      </w:r>
      <w:r w:rsidR="003F25FE">
        <w:t xml:space="preserve">epartment held </w:t>
      </w:r>
      <w:r w:rsidR="00851772">
        <w:t xml:space="preserve">a </w:t>
      </w:r>
      <w:r w:rsidR="003F25FE">
        <w:t xml:space="preserve">dedicated session with government </w:t>
      </w:r>
      <w:r w:rsidR="00851772">
        <w:t>members of SVSEG as well as a dedicated session with a general safety standing committee of TLG</w:t>
      </w:r>
      <w:r w:rsidR="00B12C07">
        <w:t>,</w:t>
      </w:r>
      <w:r w:rsidR="00851772">
        <w:t xml:space="preserve"> to explain the proposed reforms and </w:t>
      </w:r>
      <w:r w:rsidR="002D4497" w:rsidRPr="002D4497">
        <w:t xml:space="preserve">provide an opportunity for </w:t>
      </w:r>
      <w:r w:rsidR="002D4497">
        <w:t>members</w:t>
      </w:r>
      <w:r w:rsidR="002D4497" w:rsidRPr="002D4497">
        <w:t xml:space="preserve"> to ask questions to assist in </w:t>
      </w:r>
      <w:r w:rsidR="008C0A45">
        <w:t>finalising</w:t>
      </w:r>
      <w:r w:rsidR="002D4497" w:rsidRPr="002D4497">
        <w:t xml:space="preserve"> </w:t>
      </w:r>
      <w:r w:rsidR="00B12C07">
        <w:t xml:space="preserve">their </w:t>
      </w:r>
      <w:r w:rsidR="002D4497" w:rsidRPr="002D4497">
        <w:t>submissions</w:t>
      </w:r>
      <w:r w:rsidR="002D4497">
        <w:t>.</w:t>
      </w:r>
    </w:p>
    <w:p w:rsidR="008C0A45" w:rsidRDefault="008C0A45" w:rsidP="001141C4">
      <w:r>
        <w:t xml:space="preserve">Following the public consultation, the proposals in this </w:t>
      </w:r>
      <w:r w:rsidR="00C45600">
        <w:t>IA</w:t>
      </w:r>
      <w:r>
        <w:t xml:space="preserve"> and draft implementing ADRs were </w:t>
      </w:r>
      <w:r w:rsidR="00B12C07">
        <w:t xml:space="preserve">further </w:t>
      </w:r>
      <w:r>
        <w:t xml:space="preserve">discussed as part of </w:t>
      </w:r>
      <w:r w:rsidR="00B12C07">
        <w:t xml:space="preserve">two </w:t>
      </w:r>
      <w:r>
        <w:t>TLG meeting</w:t>
      </w:r>
      <w:r w:rsidR="00B12C07">
        <w:t>s</w:t>
      </w:r>
      <w:r>
        <w:t xml:space="preserve"> </w:t>
      </w:r>
      <w:r w:rsidR="0060549E">
        <w:t>between July and</w:t>
      </w:r>
      <w:r w:rsidR="00B12C07">
        <w:t xml:space="preserve"> November </w:t>
      </w:r>
      <w:r w:rsidR="00D93ED7">
        <w:t>2021</w:t>
      </w:r>
      <w:r w:rsidR="00B12C07">
        <w:t>,</w:t>
      </w:r>
      <w:r w:rsidR="00D93ED7">
        <w:t xml:space="preserve"> </w:t>
      </w:r>
      <w:r>
        <w:t xml:space="preserve">a SVSEG meeting </w:t>
      </w:r>
      <w:r w:rsidR="0060549E">
        <w:t>in November</w:t>
      </w:r>
      <w:r>
        <w:t xml:space="preserve"> 2021</w:t>
      </w:r>
      <w:r w:rsidR="00E36DFA">
        <w:t>, and a TLG meeting in November 2022</w:t>
      </w:r>
      <w:r>
        <w:t>.</w:t>
      </w:r>
      <w:r w:rsidR="00A21CDF">
        <w:t xml:space="preserve"> The feedback and agreed outcomes from these meetings </w:t>
      </w:r>
      <w:r w:rsidR="00A21CDF" w:rsidRPr="007B6E69">
        <w:t xml:space="preserve">have been considered in </w:t>
      </w:r>
      <w:r w:rsidR="00A21CDF">
        <w:t xml:space="preserve">refining and </w:t>
      </w:r>
      <w:r w:rsidR="00A21CDF" w:rsidRPr="007B6E69">
        <w:t>analysing the options</w:t>
      </w:r>
      <w:r w:rsidR="00A21CDF">
        <w:t xml:space="preserve"> in this </w:t>
      </w:r>
      <w:r w:rsidR="00C45600">
        <w:t>IA</w:t>
      </w:r>
      <w:r w:rsidR="00603432">
        <w:t xml:space="preserve">, </w:t>
      </w:r>
      <w:r w:rsidR="00234F1A">
        <w:t>and in particular,</w:t>
      </w:r>
      <w:r w:rsidR="00933DE6">
        <w:t xml:space="preserve"> to improve and refine the implementing ADRs</w:t>
      </w:r>
      <w:r w:rsidR="00A21CDF">
        <w:t>.</w:t>
      </w:r>
      <w:r w:rsidR="007062D8">
        <w:t xml:space="preserve"> For example, the proposed ADR</w:t>
      </w:r>
      <w:r w:rsidR="00E36DFA">
        <w:t> </w:t>
      </w:r>
      <w:r w:rsidR="007062D8">
        <w:t xml:space="preserve">14/03 for devices for indirect vision </w:t>
      </w:r>
      <w:r w:rsidR="00E36DFA">
        <w:t>has been</w:t>
      </w:r>
      <w:r w:rsidR="007062D8">
        <w:t xml:space="preserve"> updated </w:t>
      </w:r>
      <w:r w:rsidR="00E36DFA">
        <w:t xml:space="preserve">following this consultation </w:t>
      </w:r>
      <w:r w:rsidR="007062D8">
        <w:t xml:space="preserve">to include provisions to allow for some alternative styles of mirrors used on trucks in Australia, </w:t>
      </w:r>
      <w:r w:rsidR="00E36DFA">
        <w:t>including</w:t>
      </w:r>
      <w:r w:rsidR="007062D8">
        <w:t xml:space="preserve"> </w:t>
      </w:r>
      <w:r w:rsidR="007062D8" w:rsidRPr="007C3339">
        <w:t>US</w:t>
      </w:r>
      <w:r w:rsidR="007062D8">
        <w:t xml:space="preserve"> style cross-view mirrors (refer Glossary in Appendix 2) to be used on bonneted trucks in place of UN style front-view mirrors</w:t>
      </w:r>
      <w:r w:rsidR="00E36DFA">
        <w:t>, US style fender/bonnet/hood mirrors, and a camera-monitor system in combination with an external flat glass main rear-view mirror.</w:t>
      </w:r>
    </w:p>
    <w:p w:rsidR="00AA1EDE" w:rsidRPr="00AA1EDE" w:rsidRDefault="00AA1EDE" w:rsidP="009F3379">
      <w:pPr>
        <w:pStyle w:val="Heading2"/>
        <w:rPr>
          <w:lang w:val="en-AU"/>
        </w:rPr>
      </w:pPr>
      <w:bookmarkStart w:id="108" w:name="_Toc138065712"/>
      <w:r w:rsidRPr="00AA1EDE">
        <w:rPr>
          <w:lang w:val="en-AU"/>
        </w:rPr>
        <w:t>ITMM</w:t>
      </w:r>
      <w:bookmarkEnd w:id="108"/>
    </w:p>
    <w:p w:rsidR="00AA1EDE" w:rsidRDefault="008E6D1F" w:rsidP="0065515A">
      <w:r w:rsidRPr="008E6D1F">
        <w:t>At the 16</w:t>
      </w:r>
      <w:r w:rsidRPr="008E6D1F">
        <w:rPr>
          <w:vertAlign w:val="superscript"/>
        </w:rPr>
        <w:t>th</w:t>
      </w:r>
      <w:r>
        <w:t xml:space="preserve"> </w:t>
      </w:r>
      <w:r w:rsidRPr="008E6D1F">
        <w:t>meeting of Infrastructure and Transport Ministers</w:t>
      </w:r>
      <w:r>
        <w:t xml:space="preserve"> on 11 February 2022, Ministers agreed </w:t>
      </w:r>
      <w:r w:rsidRPr="008E6D1F">
        <w:t xml:space="preserve">to amend the current </w:t>
      </w:r>
      <w:r>
        <w:t xml:space="preserve">HVNL </w:t>
      </w:r>
      <w:r w:rsidRPr="008E6D1F">
        <w:t xml:space="preserve">regulations to increase </w:t>
      </w:r>
      <w:r>
        <w:t xml:space="preserve">the maximum </w:t>
      </w:r>
      <w:r w:rsidRPr="008E6D1F">
        <w:t>heavy vehicle width from 2.50</w:t>
      </w:r>
      <w:r w:rsidR="00267F80">
        <w:t> </w:t>
      </w:r>
      <w:r w:rsidRPr="008E6D1F">
        <w:t>m to 2.55</w:t>
      </w:r>
      <w:r w:rsidR="00267F80">
        <w:t> </w:t>
      </w:r>
      <w:r w:rsidRPr="008E6D1F">
        <w:t>m</w:t>
      </w:r>
      <w:r>
        <w:t>,</w:t>
      </w:r>
      <w:r w:rsidRPr="008E6D1F">
        <w:t xml:space="preserve"> in line with the Commonwealth’s decision to amend the relevant Australian Design Rules (ADRs), for vehicles that comply with the amended ADRs, and to align the amendment of the current HVNL regulations with the timing of the ADR amendments.</w:t>
      </w:r>
    </w:p>
    <w:p w:rsidR="00AA1EDE" w:rsidRDefault="00AA1EDE" w:rsidP="0065515A"/>
    <w:p w:rsidR="00AA1EDE" w:rsidRPr="007B6E69" w:rsidRDefault="00AA1EDE" w:rsidP="0065515A">
      <w:pPr>
        <w:sectPr w:rsidR="00AA1EDE" w:rsidRPr="007B6E69" w:rsidSect="00D87AD8">
          <w:pgSz w:w="11906" w:h="16838" w:code="9"/>
          <w:pgMar w:top="1021" w:right="1021" w:bottom="1021" w:left="1021" w:header="510" w:footer="567" w:gutter="0"/>
          <w:cols w:space="708"/>
          <w:docGrid w:linePitch="360"/>
        </w:sectPr>
      </w:pPr>
    </w:p>
    <w:p w:rsidR="000D6FF2" w:rsidRPr="007B6E69" w:rsidRDefault="000D6FF2" w:rsidP="000D6FF2">
      <w:pPr>
        <w:pStyle w:val="Heading1"/>
      </w:pPr>
      <w:bookmarkStart w:id="109" w:name="_Toc111576726"/>
      <w:bookmarkStart w:id="110" w:name="_Toc138065713"/>
      <w:r w:rsidRPr="007B6E69">
        <w:t xml:space="preserve">Chapter </w:t>
      </w:r>
      <w:r w:rsidR="0006043B">
        <w:t>7</w:t>
      </w:r>
      <w:r w:rsidRPr="007B6E69">
        <w:t>: What is the best option?</w:t>
      </w:r>
      <w:bookmarkEnd w:id="109"/>
      <w:bookmarkEnd w:id="110"/>
    </w:p>
    <w:p w:rsidR="007C097D" w:rsidRPr="007D65D1" w:rsidRDefault="007C097D" w:rsidP="007C097D">
      <w:r>
        <w:t xml:space="preserve">The following options were identified earlier in this </w:t>
      </w:r>
      <w:r w:rsidR="00C45600">
        <w:t>IA</w:t>
      </w:r>
      <w:r>
        <w:t xml:space="preserve"> as being viable for analysis:</w:t>
      </w:r>
    </w:p>
    <w:p w:rsidR="007C097D" w:rsidRPr="00F2513C" w:rsidRDefault="007C097D" w:rsidP="00E248BF">
      <w:pPr>
        <w:pStyle w:val="ListParagraph"/>
        <w:keepLines/>
        <w:numPr>
          <w:ilvl w:val="0"/>
          <w:numId w:val="73"/>
        </w:numPr>
        <w:tabs>
          <w:tab w:val="left" w:pos="720"/>
        </w:tabs>
        <w:suppressAutoHyphens w:val="0"/>
        <w:autoSpaceDE/>
        <w:autoSpaceDN/>
        <w:adjustRightInd/>
        <w:textAlignment w:val="auto"/>
      </w:pPr>
      <w:r>
        <w:t>Option 2</w:t>
      </w:r>
      <w:r w:rsidRPr="00F2513C">
        <w:t xml:space="preserve">: </w:t>
      </w:r>
      <w:r>
        <w:t>Retain existing standards under the RVSA (BAU)</w:t>
      </w:r>
      <w:r w:rsidRPr="00F2513C">
        <w:t>;</w:t>
      </w:r>
      <w:r>
        <w:t xml:space="preserve"> and</w:t>
      </w:r>
    </w:p>
    <w:p w:rsidR="007C097D" w:rsidRPr="00F2513C" w:rsidRDefault="007C097D" w:rsidP="00E248BF">
      <w:pPr>
        <w:pStyle w:val="ListParagraph"/>
        <w:keepLines/>
        <w:numPr>
          <w:ilvl w:val="0"/>
          <w:numId w:val="73"/>
        </w:numPr>
        <w:tabs>
          <w:tab w:val="left" w:pos="720"/>
        </w:tabs>
        <w:suppressAutoHyphens w:val="0"/>
        <w:autoSpaceDE/>
        <w:autoSpaceDN/>
        <w:adjustRightInd/>
        <w:textAlignment w:val="auto"/>
      </w:pPr>
      <w:r w:rsidRPr="00F2513C">
        <w:t xml:space="preserve">Option </w:t>
      </w:r>
      <w:r>
        <w:t>3</w:t>
      </w:r>
      <w:r w:rsidRPr="00F2513C">
        <w:t>:</w:t>
      </w:r>
      <w:r>
        <w:t xml:space="preserve"> Implement updated standards under the RVSA</w:t>
      </w:r>
      <w:r w:rsidRPr="00F2513C">
        <w:t>.</w:t>
      </w:r>
    </w:p>
    <w:p w:rsidR="000D6FF2" w:rsidRPr="007B6E69" w:rsidRDefault="000D6FF2" w:rsidP="000D6FF2">
      <w:pPr>
        <w:pStyle w:val="Heading2"/>
        <w:rPr>
          <w:lang w:val="en-AU"/>
        </w:rPr>
      </w:pPr>
      <w:bookmarkStart w:id="111" w:name="_Toc138065714"/>
      <w:r w:rsidRPr="007B6E69">
        <w:rPr>
          <w:lang w:val="en-AU"/>
        </w:rPr>
        <w:t>Net benefits</w:t>
      </w:r>
      <w:bookmarkEnd w:id="111"/>
    </w:p>
    <w:p w:rsidR="00B875F3" w:rsidRPr="00B875F3" w:rsidRDefault="00B875F3" w:rsidP="00B875F3">
      <w:r w:rsidRPr="00B875F3">
        <w:t>Net benefit (total benefits minus total costs in present value terms) provides the best measure of the economi</w:t>
      </w:r>
      <w:r w:rsidR="00F55FD9">
        <w:t>c effectiveness of the options.</w:t>
      </w:r>
    </w:p>
    <w:p w:rsidR="00B875F3" w:rsidRPr="00B875F3" w:rsidRDefault="00F55FD9" w:rsidP="00B875F3">
      <w:r>
        <w:t xml:space="preserve">According to the benefit-cost analysis conducted by the ARRB, </w:t>
      </w:r>
      <w:r w:rsidR="00E630E6">
        <w:t>Option 3.2a</w:t>
      </w:r>
      <w:r w:rsidR="00EC08C1">
        <w:t xml:space="preserve"> </w:t>
      </w:r>
      <w:r w:rsidR="00A66A41">
        <w:t>(</w:t>
      </w:r>
      <w:r w:rsidR="00B9347B">
        <w:t>2.60</w:t>
      </w:r>
      <w:r w:rsidR="00A66A41">
        <w:t xml:space="preserve"> m wide goods vehicles and trailers) </w:t>
      </w:r>
      <w:r>
        <w:t>has</w:t>
      </w:r>
      <w:r w:rsidR="00B875F3" w:rsidRPr="00B875F3">
        <w:t xml:space="preserve"> the highest net benefit of the options examined, at $</w:t>
      </w:r>
      <w:r w:rsidR="00FA0416">
        <w:t>1,038</w:t>
      </w:r>
      <w:r w:rsidR="00FA50CF">
        <w:t> </w:t>
      </w:r>
      <w:r w:rsidR="008200FD">
        <w:t xml:space="preserve">m. </w:t>
      </w:r>
      <w:r w:rsidR="00B875F3" w:rsidRPr="00B875F3">
        <w:t>This benefit would be s</w:t>
      </w:r>
      <w:r w:rsidR="00E630E6">
        <w:t>pread over a period of around 40</w:t>
      </w:r>
      <w:r w:rsidR="00D50827">
        <w:t> </w:t>
      </w:r>
      <w:r w:rsidR="00E630E6">
        <w:t>years, including the assumed 15-</w:t>
      </w:r>
      <w:r w:rsidR="00B875F3" w:rsidRPr="00B875F3">
        <w:t xml:space="preserve">year period of regulation followed by a period of around </w:t>
      </w:r>
      <w:r w:rsidR="00192CB0">
        <w:t>25</w:t>
      </w:r>
      <w:r w:rsidR="00B875F3" w:rsidRPr="00B875F3">
        <w:t xml:space="preserve"> years over which the overall percentage </w:t>
      </w:r>
      <w:r w:rsidR="00E630E6">
        <w:t xml:space="preserve">of wider (up to </w:t>
      </w:r>
      <w:r w:rsidR="00B9347B">
        <w:t>2.60</w:t>
      </w:r>
      <w:r w:rsidR="00E630E6">
        <w:t xml:space="preserve"> m) goods vehicles and trailers fitted </w:t>
      </w:r>
      <w:r w:rsidR="00CC43DF">
        <w:t xml:space="preserve">with </w:t>
      </w:r>
      <w:r w:rsidR="00E630E6">
        <w:t>the required safety systems/features continue</w:t>
      </w:r>
      <w:r w:rsidR="00B875F3" w:rsidRPr="00B875F3">
        <w:t xml:space="preserve"> to rise</w:t>
      </w:r>
      <w:r w:rsidR="00E630E6">
        <w:t>, including due to</w:t>
      </w:r>
      <w:r w:rsidR="00B875F3" w:rsidRPr="00B875F3">
        <w:t xml:space="preserve"> older vehicles </w:t>
      </w:r>
      <w:r w:rsidR="00E630E6">
        <w:t xml:space="preserve">being </w:t>
      </w:r>
      <w:r w:rsidR="00B875F3" w:rsidRPr="00B875F3">
        <w:t>deregistered at end of service life.</w:t>
      </w:r>
    </w:p>
    <w:p w:rsidR="00B875F3" w:rsidRDefault="00B875F3" w:rsidP="00B875F3">
      <w:r w:rsidRPr="00B875F3">
        <w:t xml:space="preserve">Options </w:t>
      </w:r>
      <w:r w:rsidR="008200FD">
        <w:t>3.1a</w:t>
      </w:r>
      <w:r w:rsidR="00A66A41">
        <w:t xml:space="preserve"> (2.55 m wide goods vehicles and trailers)</w:t>
      </w:r>
      <w:r w:rsidR="008200FD">
        <w:t>, 3.1b</w:t>
      </w:r>
      <w:r w:rsidR="00A66A41">
        <w:t xml:space="preserve"> (2.55 m wide goods vehicles only)</w:t>
      </w:r>
      <w:r w:rsidR="008200FD">
        <w:t>, and 3.2b</w:t>
      </w:r>
      <w:r w:rsidRPr="00B875F3">
        <w:t xml:space="preserve"> </w:t>
      </w:r>
      <w:r w:rsidR="00A66A41">
        <w:t>(</w:t>
      </w:r>
      <w:r w:rsidR="00B9347B">
        <w:t>2.60</w:t>
      </w:r>
      <w:r w:rsidR="00A66A41">
        <w:t xml:space="preserve"> m wide goods vehicles only) </w:t>
      </w:r>
      <w:r w:rsidRPr="00B875F3">
        <w:t>also had positive net benefits of $</w:t>
      </w:r>
      <w:r w:rsidR="00FA50CF">
        <w:t>6</w:t>
      </w:r>
      <w:r w:rsidR="00FA0416">
        <w:t>5</w:t>
      </w:r>
      <w:r w:rsidR="00FA50CF">
        <w:t>4 </w:t>
      </w:r>
      <w:r w:rsidR="00F55FD9">
        <w:t xml:space="preserve">m, </w:t>
      </w:r>
      <w:r w:rsidR="00234460">
        <w:t>$</w:t>
      </w:r>
      <w:r w:rsidR="00FA50CF">
        <w:t>588 </w:t>
      </w:r>
      <w:r w:rsidRPr="00B875F3">
        <w:t>m</w:t>
      </w:r>
      <w:r w:rsidR="00234460">
        <w:t>, and $</w:t>
      </w:r>
      <w:r w:rsidR="00FA50CF">
        <w:t>931 </w:t>
      </w:r>
      <w:r w:rsidR="00752D44">
        <w:t>m</w:t>
      </w:r>
      <w:r w:rsidRPr="00B875F3">
        <w:t xml:space="preserve"> res</w:t>
      </w:r>
      <w:r>
        <w:t>pectively.</w:t>
      </w:r>
    </w:p>
    <w:p w:rsidR="005F20D2" w:rsidRPr="007B6E69" w:rsidRDefault="005F20D2" w:rsidP="00B875F3">
      <w:pPr>
        <w:pStyle w:val="Heading2"/>
        <w:rPr>
          <w:lang w:val="en-AU"/>
        </w:rPr>
      </w:pPr>
      <w:bookmarkStart w:id="112" w:name="_Toc138065715"/>
      <w:r>
        <w:rPr>
          <w:lang w:val="en-AU"/>
        </w:rPr>
        <w:t>Discussion</w:t>
      </w:r>
      <w:bookmarkEnd w:id="112"/>
    </w:p>
    <w:p w:rsidR="00C11792" w:rsidRDefault="00861978" w:rsidP="005F20D2">
      <w:r>
        <w:t>Although</w:t>
      </w:r>
      <w:r w:rsidR="00E9551E">
        <w:t xml:space="preserve"> </w:t>
      </w:r>
      <w:r w:rsidR="005D234F">
        <w:t xml:space="preserve">Option 3.2a </w:t>
      </w:r>
      <w:r w:rsidR="00A9120E">
        <w:t>(</w:t>
      </w:r>
      <w:r w:rsidR="00B9347B">
        <w:t>2.60</w:t>
      </w:r>
      <w:r w:rsidR="00A9120E">
        <w:t xml:space="preserve"> m wide goods vehicles and trailers) </w:t>
      </w:r>
      <w:r w:rsidR="005D234F">
        <w:t>has</w:t>
      </w:r>
      <w:r w:rsidR="005D234F" w:rsidRPr="00B875F3">
        <w:t xml:space="preserve"> the highest net benefit</w:t>
      </w:r>
      <w:r w:rsidR="00A206D3">
        <w:t xml:space="preserve"> according to the </w:t>
      </w:r>
      <w:r w:rsidR="00B348A0">
        <w:t xml:space="preserve">ARRB </w:t>
      </w:r>
      <w:r w:rsidR="00A9120E">
        <w:br/>
      </w:r>
      <w:r w:rsidR="00A206D3">
        <w:t>benefit-cost analysis</w:t>
      </w:r>
      <w:r w:rsidR="005D234F">
        <w:t xml:space="preserve">, </w:t>
      </w:r>
      <w:r w:rsidR="00C11792">
        <w:t xml:space="preserve">there are some key study limitations </w:t>
      </w:r>
      <w:r w:rsidR="002C5144">
        <w:t xml:space="preserve">relating to productivity benefits and infrastructure costs </w:t>
      </w:r>
      <w:r w:rsidR="00C11792">
        <w:t xml:space="preserve">that should be addressed before any decision is taken to increase the width limit to </w:t>
      </w:r>
      <w:r w:rsidR="00B9347B">
        <w:t>2.60</w:t>
      </w:r>
      <w:r w:rsidR="00C11792">
        <w:t> m for goods vehicles and/or trailers.</w:t>
      </w:r>
    </w:p>
    <w:p w:rsidR="00594CB4" w:rsidRDefault="00357395" w:rsidP="005F20D2">
      <w:r>
        <w:t>I</w:t>
      </w:r>
      <w:r w:rsidR="00594CB4">
        <w:t>t is likely that much of the other freight movements</w:t>
      </w:r>
      <w:r w:rsidR="00DB4B0B">
        <w:t xml:space="preserve"> from</w:t>
      </w:r>
      <w:r w:rsidR="00594CB4">
        <w:t xml:space="preserve"> which the ARRB derived </w:t>
      </w:r>
      <w:r w:rsidR="00DB4B0B">
        <w:t xml:space="preserve">its reduction in trip estimates </w:t>
      </w:r>
      <w:r w:rsidR="00594CB4">
        <w:t xml:space="preserve">will </w:t>
      </w:r>
      <w:r w:rsidR="00DB4B0B">
        <w:t>involve ongoing use of</w:t>
      </w:r>
      <w:r w:rsidR="00594CB4">
        <w:t xml:space="preserve"> Australian standard size pallets, including for compatibility </w:t>
      </w:r>
      <w:r w:rsidR="00266A6B">
        <w:t xml:space="preserve">with other vehicles in the fleet and </w:t>
      </w:r>
      <w:r w:rsidR="00594CB4">
        <w:t>between road and rail</w:t>
      </w:r>
      <w:r w:rsidR="00DB4B0B">
        <w:t>. This would further limit the reduction in trips</w:t>
      </w:r>
      <w:r w:rsidR="00266A6B">
        <w:t xml:space="preserve"> for each option</w:t>
      </w:r>
      <w:r w:rsidR="00DB4B0B">
        <w:t>, as wider vehicles will not be able to carry any more freight where</w:t>
      </w:r>
      <w:r w:rsidR="00266A6B">
        <w:t>ver</w:t>
      </w:r>
      <w:r w:rsidR="00DB4B0B">
        <w:t xml:space="preserve"> the same Australian standard si</w:t>
      </w:r>
      <w:r w:rsidR="00266A6B">
        <w:t xml:space="preserve">ze pallets continue to be used. </w:t>
      </w:r>
      <w:r w:rsidR="007A7E3D">
        <w:t>Also</w:t>
      </w:r>
      <w:r w:rsidR="00266A6B">
        <w:t xml:space="preserve">, </w:t>
      </w:r>
      <w:r w:rsidR="00CF0004">
        <w:t xml:space="preserve">heavy vehicles do not always operate at capacity, which may further limit the possible reduction in trips for wider freight vehicles. For example, it is likely that </w:t>
      </w:r>
      <w:r w:rsidR="00C11792">
        <w:t>many</w:t>
      </w:r>
      <w:r w:rsidR="00CF0004">
        <w:t xml:space="preserve"> operators would be able to</w:t>
      </w:r>
      <w:r w:rsidR="00CC43DF">
        <w:t xml:space="preserve"> increase movement of volume-limited-</w:t>
      </w:r>
      <w:r w:rsidR="00CF0004">
        <w:t>freight on outbound trips, but would achieve little or no productivity gain for backloads.</w:t>
      </w:r>
      <w:r w:rsidR="00623B72">
        <w:t xml:space="preserve"> </w:t>
      </w:r>
      <w:r w:rsidR="0050606E">
        <w:t xml:space="preserve">Further, </w:t>
      </w:r>
      <w:r w:rsidR="00FC29FA">
        <w:t>some</w:t>
      </w:r>
      <w:r w:rsidR="0050606E">
        <w:t xml:space="preserve"> wider </w:t>
      </w:r>
      <w:r w:rsidR="00FC29FA">
        <w:t xml:space="preserve">trucks and many wider </w:t>
      </w:r>
      <w:r w:rsidR="0064521C">
        <w:t>trailers</w:t>
      </w:r>
      <w:r w:rsidR="0050606E">
        <w:t>, would</w:t>
      </w:r>
      <w:r w:rsidR="00FC29FA">
        <w:t xml:space="preserve"> likely</w:t>
      </w:r>
      <w:r w:rsidR="0050606E">
        <w:t xml:space="preserve"> include design changes for safer and/or </w:t>
      </w:r>
      <w:r w:rsidR="005D21E9">
        <w:t>easier</w:t>
      </w:r>
      <w:r w:rsidR="0050606E">
        <w:t xml:space="preserve"> loading and unloading, rather than for increasing the load that can be carried on each trip. </w:t>
      </w:r>
      <w:r w:rsidR="00C65550">
        <w:t>On the other hand</w:t>
      </w:r>
      <w:r w:rsidR="00011E7B">
        <w:t xml:space="preserve">, </w:t>
      </w:r>
      <w:r w:rsidR="009C32B2">
        <w:t xml:space="preserve">an increased </w:t>
      </w:r>
      <w:r w:rsidR="00011E7B">
        <w:t xml:space="preserve">width </w:t>
      </w:r>
      <w:r w:rsidR="009C32B2">
        <w:t xml:space="preserve">limit </w:t>
      </w:r>
      <w:r w:rsidR="0050606E">
        <w:t>would</w:t>
      </w:r>
      <w:r w:rsidR="00011E7B">
        <w:t xml:space="preserve"> allow some operators to </w:t>
      </w:r>
      <w:r w:rsidR="0050606E">
        <w:t>more readily and efficiently transport wider EU or US size pallets, and/or to purchase</w:t>
      </w:r>
      <w:r w:rsidR="00011E7B">
        <w:t xml:space="preserve"> trailers </w:t>
      </w:r>
      <w:r w:rsidR="0050606E">
        <w:t>that</w:t>
      </w:r>
      <w:r w:rsidR="00BC53D6">
        <w:t xml:space="preserve"> are </w:t>
      </w:r>
      <w:r w:rsidR="00011E7B">
        <w:t xml:space="preserve">better designed to carry </w:t>
      </w:r>
      <w:r w:rsidR="00C65550">
        <w:t>multiple</w:t>
      </w:r>
      <w:r w:rsidR="00011E7B">
        <w:t xml:space="preserve"> load types, including </w:t>
      </w:r>
      <w:r w:rsidR="009C32B2">
        <w:t>for</w:t>
      </w:r>
      <w:r w:rsidR="00011E7B">
        <w:t xml:space="preserve"> outbound and return trips. </w:t>
      </w:r>
      <w:r w:rsidR="00623B72">
        <w:t>In this respect, f</w:t>
      </w:r>
      <w:r w:rsidR="003E5D07">
        <w:t xml:space="preserve">urther </w:t>
      </w:r>
      <w:r w:rsidR="00180904">
        <w:t>c</w:t>
      </w:r>
      <w:r w:rsidR="003E5D07">
        <w:t xml:space="preserve">onsultation, including detailed review and </w:t>
      </w:r>
      <w:r w:rsidR="00084430">
        <w:t xml:space="preserve">feedback from heavy freight vehicle </w:t>
      </w:r>
      <w:r w:rsidR="003E5D07">
        <w:t>operators</w:t>
      </w:r>
      <w:r w:rsidR="00084430">
        <w:t xml:space="preserve"> and distribution companies</w:t>
      </w:r>
      <w:r w:rsidR="00623B72">
        <w:t>,</w:t>
      </w:r>
      <w:r w:rsidR="003E5D07">
        <w:t xml:space="preserve"> </w:t>
      </w:r>
      <w:r w:rsidR="00623B72">
        <w:t>may</w:t>
      </w:r>
      <w:r w:rsidR="003E5D07">
        <w:t xml:space="preserve"> enable better</w:t>
      </w:r>
      <w:r w:rsidR="0009055C">
        <w:t xml:space="preserve"> informed estimates </w:t>
      </w:r>
      <w:r w:rsidR="00CD5F9D">
        <w:t>to be made of the p</w:t>
      </w:r>
      <w:r w:rsidR="00A45CB4">
        <w:t>roductivity impacts</w:t>
      </w:r>
      <w:r w:rsidR="0009055C">
        <w:t>.</w:t>
      </w:r>
    </w:p>
    <w:p w:rsidR="005571C4" w:rsidRDefault="00357395" w:rsidP="005571C4">
      <w:r>
        <w:t>A</w:t>
      </w:r>
      <w:r w:rsidR="005571C4">
        <w:t xml:space="preserve">lthough </w:t>
      </w:r>
      <w:r w:rsidR="009705E8">
        <w:t xml:space="preserve">the ARRB </w:t>
      </w:r>
      <w:r w:rsidR="00C36DD9">
        <w:t xml:space="preserve">have </w:t>
      </w:r>
      <w:r w:rsidR="009705E8">
        <w:t xml:space="preserve">assumed </w:t>
      </w:r>
      <w:r w:rsidR="0001512E">
        <w:t>the same infrastructure updat</w:t>
      </w:r>
      <w:r w:rsidR="009705E8">
        <w:t>e costs for both a 2.55 </w:t>
      </w:r>
      <w:r w:rsidR="00A30AF6">
        <w:t xml:space="preserve">m and </w:t>
      </w:r>
      <w:r w:rsidR="009705E8">
        <w:t xml:space="preserve">a </w:t>
      </w:r>
      <w:r w:rsidR="00B9347B">
        <w:t>2.60</w:t>
      </w:r>
      <w:r w:rsidR="009705E8">
        <w:t> </w:t>
      </w:r>
      <w:r w:rsidR="0001512E">
        <w:t>m</w:t>
      </w:r>
      <w:r w:rsidR="00363E28">
        <w:t xml:space="preserve"> </w:t>
      </w:r>
      <w:r w:rsidR="009705E8">
        <w:t>width limit</w:t>
      </w:r>
      <w:r w:rsidR="005571C4">
        <w:t xml:space="preserve">, it is </w:t>
      </w:r>
      <w:r w:rsidR="00217097">
        <w:t>possible that</w:t>
      </w:r>
      <w:r w:rsidR="005571C4">
        <w:t xml:space="preserve"> there would be some additional infrastructure costs for </w:t>
      </w:r>
      <w:r w:rsidR="00B9347B">
        <w:t>2.60</w:t>
      </w:r>
      <w:r w:rsidR="005571C4">
        <w:t xml:space="preserve"> m wide freight vehicles</w:t>
      </w:r>
      <w:r w:rsidR="009705E8">
        <w:t>.</w:t>
      </w:r>
      <w:r w:rsidR="00DD21F3">
        <w:t xml:space="preserve"> </w:t>
      </w:r>
      <w:r w:rsidR="00217097">
        <w:t xml:space="preserve">Further, state and territory governments are currently only supportive of increasing the width limit to 2.55 m, and any increased infrastructure update costs for a </w:t>
      </w:r>
      <w:r w:rsidR="00B9347B">
        <w:t>2.60</w:t>
      </w:r>
      <w:r w:rsidR="00217097">
        <w:t xml:space="preserve"> m width limit would primarily be absorbed by these governments (together with local governments). </w:t>
      </w:r>
      <w:r w:rsidR="005571C4">
        <w:t xml:space="preserve">There should therefore be an opportunity for these other government stakeholders to review and provide feedback on </w:t>
      </w:r>
      <w:r w:rsidR="00217097">
        <w:t xml:space="preserve">the benefit-cost analysis, including </w:t>
      </w:r>
      <w:r w:rsidR="000B4BB0">
        <w:t xml:space="preserve">in-particular </w:t>
      </w:r>
      <w:r w:rsidR="00217097">
        <w:t xml:space="preserve">the infrastructure update costs for </w:t>
      </w:r>
      <w:r w:rsidR="00B9347B">
        <w:t>2.60</w:t>
      </w:r>
      <w:r w:rsidR="00217097">
        <w:t xml:space="preserve"> m wide freight vehicles,</w:t>
      </w:r>
      <w:r w:rsidR="005571C4">
        <w:t xml:space="preserve"> </w:t>
      </w:r>
      <w:r w:rsidR="00217097">
        <w:t xml:space="preserve">before any decision </w:t>
      </w:r>
      <w:r w:rsidR="001569BE">
        <w:t xml:space="preserve">is taken </w:t>
      </w:r>
      <w:r w:rsidR="00217097">
        <w:t xml:space="preserve">to increase the width limit to </w:t>
      </w:r>
      <w:r w:rsidR="00B9347B">
        <w:t>2.60</w:t>
      </w:r>
      <w:r w:rsidR="00217097">
        <w:t> m for goods vehicles and/or trailers</w:t>
      </w:r>
      <w:r w:rsidR="005571C4">
        <w:t>.</w:t>
      </w:r>
    </w:p>
    <w:p w:rsidR="00A9120E" w:rsidRDefault="000D016C" w:rsidP="0050606E">
      <w:pPr>
        <w:keepLines/>
      </w:pPr>
      <w:r>
        <w:t>In addition to the above benefit-cost analysis</w:t>
      </w:r>
      <w:r w:rsidR="00D04FFE">
        <w:t xml:space="preserve"> related limitations</w:t>
      </w:r>
      <w:r>
        <w:t xml:space="preserve">, it is also important to consider the possible impacts of a staged increase in </w:t>
      </w:r>
      <w:r w:rsidR="00C32ED4">
        <w:t xml:space="preserve">the </w:t>
      </w:r>
      <w:r>
        <w:t>width limit for both truck and traile</w:t>
      </w:r>
      <w:r w:rsidR="00DB0C8E">
        <w:t xml:space="preserve">r manufacturers. For both </w:t>
      </w:r>
      <w:r>
        <w:t xml:space="preserve">trucks and imported trailers, increasing the width limit to 2.55 m would substantially </w:t>
      </w:r>
      <w:r w:rsidR="00DB0C8E">
        <w:t>reduce</w:t>
      </w:r>
      <w:r>
        <w:t xml:space="preserve"> modification costs to make vehicles narrower for Australia, and any subsequent chang</w:t>
      </w:r>
      <w:r w:rsidR="00DB0C8E">
        <w:t xml:space="preserve">e to allow for </w:t>
      </w:r>
      <w:r w:rsidR="00B9347B">
        <w:t>2.60</w:t>
      </w:r>
      <w:r w:rsidR="00536B85">
        <w:t xml:space="preserve"> m wide vehicles sh</w:t>
      </w:r>
      <w:r>
        <w:t>ould only further</w:t>
      </w:r>
      <w:r w:rsidR="00DB0C8E">
        <w:t xml:space="preserve"> reduce these costs</w:t>
      </w:r>
      <w:r>
        <w:t xml:space="preserve">. </w:t>
      </w:r>
      <w:r w:rsidR="008E5F5F">
        <w:t>However</w:t>
      </w:r>
      <w:r w:rsidR="00DB0C8E">
        <w:t>,</w:t>
      </w:r>
      <w:r w:rsidR="00A30AF6">
        <w:t xml:space="preserve"> </w:t>
      </w:r>
      <w:r w:rsidR="001F292A">
        <w:t xml:space="preserve">such </w:t>
      </w:r>
      <w:r w:rsidR="00A30AF6">
        <w:t>a staged approach would create the greatest modification costs</w:t>
      </w:r>
      <w:r w:rsidR="00A9120E">
        <w:t xml:space="preserve"> and undesirable regulatory uncertainty</w:t>
      </w:r>
      <w:r w:rsidR="006935A6">
        <w:t xml:space="preserve"> for domestic trailer manufacturers</w:t>
      </w:r>
      <w:r w:rsidR="00A30AF6">
        <w:t>.</w:t>
      </w:r>
      <w:r w:rsidR="0042001D">
        <w:t xml:space="preserve"> It would therefore be better to reserve any decision in regard to increasing the maximum width limit</w:t>
      </w:r>
      <w:r w:rsidR="00517184">
        <w:t xml:space="preserve"> for trailers until </w:t>
      </w:r>
      <w:r w:rsidR="007C1AC1">
        <w:t>the</w:t>
      </w:r>
      <w:r w:rsidR="00517184">
        <w:t xml:space="preserve"> </w:t>
      </w:r>
      <w:r w:rsidR="007C1AC1">
        <w:t xml:space="preserve">above </w:t>
      </w:r>
      <w:r w:rsidR="00517184">
        <w:t>limitations of the current analysis are addressed</w:t>
      </w:r>
      <w:r w:rsidR="0042001D">
        <w:t>.</w:t>
      </w:r>
    </w:p>
    <w:p w:rsidR="0096341F" w:rsidRDefault="00A9120E" w:rsidP="0050606E">
      <w:r>
        <w:t xml:space="preserve">None of the above study limitations or staged implementation considerations should stop the Australian Government from implementing Option 3.1b (2.55 m wide goods vehicles only) </w:t>
      </w:r>
      <w:r w:rsidR="008E5F5F">
        <w:t>as soon as possible</w:t>
      </w:r>
      <w:r>
        <w:t xml:space="preserve">. </w:t>
      </w:r>
      <w:r w:rsidR="00F70F0D">
        <w:t xml:space="preserve">This option is </w:t>
      </w:r>
      <w:r w:rsidR="00133C19">
        <w:t xml:space="preserve">the least </w:t>
      </w:r>
      <w:r w:rsidR="00F70F0D">
        <w:t xml:space="preserve">sensitive to </w:t>
      </w:r>
      <w:r w:rsidR="00AE0862">
        <w:t>changes in</w:t>
      </w:r>
      <w:r w:rsidR="00F70F0D">
        <w:t xml:space="preserve"> reductions in trips for increased width, including because the net benefit</w:t>
      </w:r>
      <w:r>
        <w:t xml:space="preserve"> for this optio</w:t>
      </w:r>
      <w:r w:rsidR="00F70F0D">
        <w:t xml:space="preserve">n </w:t>
      </w:r>
      <w:r w:rsidR="006C63B0">
        <w:t>is</w:t>
      </w:r>
      <w:r w:rsidR="004D2B98">
        <w:t xml:space="preserve"> mostly</w:t>
      </w:r>
      <w:r w:rsidR="006C63B0">
        <w:t xml:space="preserve"> </w:t>
      </w:r>
      <w:r w:rsidR="004D2B98">
        <w:t>derived</w:t>
      </w:r>
      <w:r w:rsidR="00AE0862">
        <w:t xml:space="preserve"> </w:t>
      </w:r>
      <w:r w:rsidR="004D2B98">
        <w:t>through</w:t>
      </w:r>
      <w:r w:rsidR="00AE0862">
        <w:t xml:space="preserve"> </w:t>
      </w:r>
      <w:r w:rsidR="004D2B98">
        <w:t>an increase in</w:t>
      </w:r>
      <w:r w:rsidR="00AE0862">
        <w:t xml:space="preserve"> the take-up of </w:t>
      </w:r>
      <w:r w:rsidR="004D2B98">
        <w:t>safer freight vehicles</w:t>
      </w:r>
      <w:r w:rsidR="002B14A5">
        <w:t xml:space="preserve">. Further, the net benefit of allowing 2.55 m wide </w:t>
      </w:r>
      <w:r w:rsidR="00F70F0D">
        <w:t>goods vehicles</w:t>
      </w:r>
      <w:r w:rsidR="002B14A5">
        <w:t xml:space="preserve"> under this </w:t>
      </w:r>
      <w:r w:rsidR="00843EC7">
        <w:t>sub-</w:t>
      </w:r>
      <w:r w:rsidR="003159BB">
        <w:t>option</w:t>
      </w:r>
      <w:r w:rsidR="002B14A5">
        <w:t xml:space="preserve"> </w:t>
      </w:r>
      <w:r w:rsidR="00F70F0D">
        <w:t>is</w:t>
      </w:r>
      <w:r w:rsidR="002B14A5">
        <w:t xml:space="preserve"> a </w:t>
      </w:r>
      <w:r w:rsidR="00332BB0">
        <w:t>key sub-part</w:t>
      </w:r>
      <w:r w:rsidR="002B14A5">
        <w:t xml:space="preserve"> of </w:t>
      </w:r>
      <w:r w:rsidR="00F70F0D">
        <w:t xml:space="preserve">the net benefits for </w:t>
      </w:r>
      <w:r w:rsidR="002B14A5">
        <w:t xml:space="preserve">each of the other </w:t>
      </w:r>
      <w:r w:rsidR="00843EC7">
        <w:t>sub-</w:t>
      </w:r>
      <w:r w:rsidR="002B14A5">
        <w:t xml:space="preserve">options. This means whatever option is ultimately </w:t>
      </w:r>
      <w:r w:rsidR="003159BB">
        <w:t xml:space="preserve">identified as </w:t>
      </w:r>
      <w:r w:rsidR="00332BB0">
        <w:t>the best option</w:t>
      </w:r>
      <w:r w:rsidR="002B14A5">
        <w:t xml:space="preserve">, including following further consultation to address </w:t>
      </w:r>
      <w:r w:rsidR="00F70F0D">
        <w:t xml:space="preserve">the current </w:t>
      </w:r>
      <w:r w:rsidR="002B14A5">
        <w:t>study limita</w:t>
      </w:r>
      <w:r w:rsidR="009C19FD">
        <w:t xml:space="preserve">tions, this </w:t>
      </w:r>
      <w:r w:rsidR="00192CB0">
        <w:t>will</w:t>
      </w:r>
      <w:r w:rsidR="002B14A5">
        <w:t xml:space="preserve"> at least include 2.55 m wide goods vehicles</w:t>
      </w:r>
      <w:r w:rsidR="00997B65">
        <w:t xml:space="preserve"> over 4.5 tonnes GVM</w:t>
      </w:r>
      <w:r w:rsidR="00A0278D">
        <w:t xml:space="preserve"> (i.e. Op</w:t>
      </w:r>
      <w:r w:rsidR="00FA474B">
        <w:t>tion 3.1b)</w:t>
      </w:r>
      <w:r w:rsidR="002B14A5">
        <w:t>.</w:t>
      </w:r>
    </w:p>
    <w:p w:rsidR="000D6FF2" w:rsidRPr="007B6E69" w:rsidRDefault="000D6FF2" w:rsidP="002B14A5">
      <w:pPr>
        <w:pStyle w:val="Heading2"/>
        <w:rPr>
          <w:lang w:val="en-AU"/>
        </w:rPr>
      </w:pPr>
      <w:bookmarkStart w:id="113" w:name="_Toc138065716"/>
      <w:r w:rsidRPr="007B6E69">
        <w:rPr>
          <w:lang w:val="en-AU"/>
        </w:rPr>
        <w:t>Recommendation</w:t>
      </w:r>
      <w:r w:rsidR="00617D36">
        <w:rPr>
          <w:lang w:val="en-AU"/>
        </w:rPr>
        <w:t>s</w:t>
      </w:r>
      <w:bookmarkEnd w:id="113"/>
    </w:p>
    <w:p w:rsidR="000D6FF2" w:rsidRDefault="00601D09" w:rsidP="00E248BF">
      <w:pPr>
        <w:pStyle w:val="ListParagraph"/>
        <w:numPr>
          <w:ilvl w:val="0"/>
          <w:numId w:val="74"/>
        </w:numPr>
      </w:pPr>
      <w:r>
        <w:t>As a first step, t</w:t>
      </w:r>
      <w:r w:rsidR="002B0051">
        <w:t>he Australian Government should implement Option 3.1b</w:t>
      </w:r>
      <w:r w:rsidR="004C395F">
        <w:t xml:space="preserve"> (2.55 m wide goods vehicles only)</w:t>
      </w:r>
      <w:r w:rsidR="002B0051">
        <w:t xml:space="preserve">, with a policy commencement date </w:t>
      </w:r>
      <w:r w:rsidR="00004393">
        <w:t>as close as reasonably practical to</w:t>
      </w:r>
      <w:r w:rsidR="006563A2">
        <w:t xml:space="preserve"> </w:t>
      </w:r>
      <w:r w:rsidR="00004393">
        <w:t>1 July 2023 (as was assumed and modelled in the ARRB benefit-cost analysis</w:t>
      </w:r>
      <w:r w:rsidR="006563A2">
        <w:t xml:space="preserve"> – </w:t>
      </w:r>
      <w:r w:rsidR="000B6729">
        <w:t xml:space="preserve">refer </w:t>
      </w:r>
      <w:r w:rsidR="00315F17">
        <w:t>to Chapter 8 below for further explanation of commencement timing)</w:t>
      </w:r>
      <w:r w:rsidR="002B0051">
        <w:t>.</w:t>
      </w:r>
    </w:p>
    <w:p w:rsidR="00BB45BD" w:rsidRDefault="008D5D02" w:rsidP="00E248BF">
      <w:pPr>
        <w:pStyle w:val="ListParagraph"/>
        <w:numPr>
          <w:ilvl w:val="0"/>
          <w:numId w:val="74"/>
        </w:numPr>
      </w:pPr>
      <w:r>
        <w:t xml:space="preserve">The </w:t>
      </w:r>
      <w:r w:rsidR="00B9347B">
        <w:t>d</w:t>
      </w:r>
      <w:r>
        <w:t xml:space="preserve">epartment should publish this </w:t>
      </w:r>
      <w:r w:rsidR="00C45600">
        <w:t>IA</w:t>
      </w:r>
      <w:r>
        <w:t xml:space="preserve"> on its website and invite further public comment in regard to the possible future implementation of Options 3.1a (2.55 m goods vehicles and trailers), 3.2a (</w:t>
      </w:r>
      <w:r w:rsidR="00B9347B">
        <w:t>2.60</w:t>
      </w:r>
      <w:r>
        <w:t> m goods vehicles and trailers), or 3.2b (</w:t>
      </w:r>
      <w:r w:rsidR="00B9347B">
        <w:t>2.60</w:t>
      </w:r>
      <w:r>
        <w:t> m goods vehicles only).</w:t>
      </w:r>
    </w:p>
    <w:p w:rsidR="00363533" w:rsidRDefault="00B01993" w:rsidP="00E248BF">
      <w:pPr>
        <w:pStyle w:val="ListParagraph"/>
        <w:numPr>
          <w:ilvl w:val="0"/>
          <w:numId w:val="74"/>
        </w:numPr>
      </w:pPr>
      <w:r>
        <w:t xml:space="preserve">Stakeholders, particularly heavy </w:t>
      </w:r>
      <w:r w:rsidR="00842227">
        <w:t xml:space="preserve">freight </w:t>
      </w:r>
      <w:r>
        <w:t>vehicle operators</w:t>
      </w:r>
      <w:r w:rsidR="00F73FBD">
        <w:t xml:space="preserve"> and distribution companies</w:t>
      </w:r>
      <w:r>
        <w:t>,</w:t>
      </w:r>
      <w:r w:rsidR="002310C0">
        <w:t xml:space="preserve"> should provide </w:t>
      </w:r>
      <w:r w:rsidR="00682422">
        <w:t xml:space="preserve">the </w:t>
      </w:r>
      <w:r w:rsidR="00B9347B">
        <w:t>d</w:t>
      </w:r>
      <w:r w:rsidR="00682422">
        <w:t xml:space="preserve">epartment with </w:t>
      </w:r>
      <w:r w:rsidR="002310C0">
        <w:t xml:space="preserve">more detailed </w:t>
      </w:r>
      <w:r w:rsidR="00586725">
        <w:t xml:space="preserve">and verifiable </w:t>
      </w:r>
      <w:r w:rsidR="002310C0">
        <w:t xml:space="preserve">data to enable </w:t>
      </w:r>
      <w:r w:rsidR="00CC66CC">
        <w:t>better</w:t>
      </w:r>
      <w:r w:rsidR="008D5D02">
        <w:t xml:space="preserve">-informed </w:t>
      </w:r>
      <w:r w:rsidR="002310C0">
        <w:t>estimate</w:t>
      </w:r>
      <w:r w:rsidR="00EE61FF">
        <w:t>s</w:t>
      </w:r>
      <w:r w:rsidR="002310C0">
        <w:t xml:space="preserve"> to be made of the </w:t>
      </w:r>
      <w:r w:rsidR="00682422">
        <w:t xml:space="preserve">likely </w:t>
      </w:r>
      <w:r w:rsidR="002310C0">
        <w:t xml:space="preserve">reduction in trips for 2.55 m and </w:t>
      </w:r>
      <w:r w:rsidR="00B9347B">
        <w:t>2.60</w:t>
      </w:r>
      <w:r w:rsidR="00601D09">
        <w:t> m wide heavy freight vehicles</w:t>
      </w:r>
      <w:r w:rsidR="00D05D90">
        <w:t xml:space="preserve"> (e.g. freight movement by pallets, utilisation of available volumetric capacity etc.)</w:t>
      </w:r>
      <w:r w:rsidR="008B4D75">
        <w:t xml:space="preserve">, together with likely benefits from design changes for </w:t>
      </w:r>
      <w:r w:rsidR="00F4024D">
        <w:t xml:space="preserve">both </w:t>
      </w:r>
      <w:r w:rsidR="008B4D75">
        <w:t>safer and/or easier loading and unloading of wider freight vehicles</w:t>
      </w:r>
      <w:r w:rsidR="00F4024D">
        <w:t xml:space="preserve"> </w:t>
      </w:r>
      <w:r w:rsidR="00F4024D" w:rsidRPr="00F4024D">
        <w:t>and increased versatility to provide greater productivity (e.g. designs that can be better utilised during back-loads)</w:t>
      </w:r>
      <w:r w:rsidR="00601D09">
        <w:t>.</w:t>
      </w:r>
    </w:p>
    <w:p w:rsidR="002B0051" w:rsidRDefault="00363533" w:rsidP="00E248BF">
      <w:pPr>
        <w:pStyle w:val="ListParagraph"/>
        <w:numPr>
          <w:ilvl w:val="0"/>
          <w:numId w:val="74"/>
        </w:numPr>
      </w:pPr>
      <w:r>
        <w:t xml:space="preserve">State and territory governments should work together with local governments to </w:t>
      </w:r>
      <w:r w:rsidR="002310C0">
        <w:t>identify</w:t>
      </w:r>
      <w:r>
        <w:t xml:space="preserve"> where there are roads or intersections within the network that are not suitable for </w:t>
      </w:r>
      <w:r w:rsidR="00B9347B">
        <w:t>2.60</w:t>
      </w:r>
      <w:r>
        <w:t xml:space="preserve"> m wide vehicles, and </w:t>
      </w:r>
      <w:r w:rsidR="00682422">
        <w:t xml:space="preserve">provide the </w:t>
      </w:r>
      <w:r w:rsidR="00B9347B">
        <w:t>d</w:t>
      </w:r>
      <w:r w:rsidR="00682422">
        <w:t xml:space="preserve">epartment with </w:t>
      </w:r>
      <w:r w:rsidR="00586725">
        <w:t>verifiable</w:t>
      </w:r>
      <w:r w:rsidR="00682422">
        <w:t xml:space="preserve"> estimate</w:t>
      </w:r>
      <w:r w:rsidR="00586725">
        <w:t>s</w:t>
      </w:r>
      <w:r w:rsidR="00682422">
        <w:t xml:space="preserve"> of</w:t>
      </w:r>
      <w:r>
        <w:t xml:space="preserve"> the cost to update these </w:t>
      </w:r>
      <w:r w:rsidR="002310C0">
        <w:t>and/</w:t>
      </w:r>
      <w:r>
        <w:t xml:space="preserve">or </w:t>
      </w:r>
      <w:r w:rsidR="002310C0">
        <w:t>implemen</w:t>
      </w:r>
      <w:r>
        <w:t xml:space="preserve">t </w:t>
      </w:r>
      <w:r w:rsidR="00055FAD">
        <w:t xml:space="preserve">any </w:t>
      </w:r>
      <w:r>
        <w:t>access</w:t>
      </w:r>
      <w:r w:rsidR="002310C0">
        <w:t xml:space="preserve"> restrictions</w:t>
      </w:r>
      <w:r w:rsidR="00EE61FF">
        <w:t xml:space="preserve">, to enable a </w:t>
      </w:r>
      <w:r w:rsidR="008D5D02">
        <w:br/>
        <w:t xml:space="preserve">better-informed </w:t>
      </w:r>
      <w:r w:rsidR="00EE61FF">
        <w:t xml:space="preserve">estimate to be made of the likely infrastructure impact for </w:t>
      </w:r>
      <w:r w:rsidR="00B9347B">
        <w:t>2.60</w:t>
      </w:r>
      <w:r w:rsidR="00EE61FF">
        <w:t> m wide heavy freight vehicles</w:t>
      </w:r>
      <w:r>
        <w:t>.</w:t>
      </w:r>
    </w:p>
    <w:p w:rsidR="002310C0" w:rsidRPr="007B6E69" w:rsidRDefault="002310C0" w:rsidP="00E248BF">
      <w:pPr>
        <w:pStyle w:val="ListParagraph"/>
        <w:numPr>
          <w:ilvl w:val="0"/>
          <w:numId w:val="74"/>
        </w:numPr>
      </w:pPr>
      <w:r>
        <w:t xml:space="preserve">The </w:t>
      </w:r>
      <w:r w:rsidR="00B9347B">
        <w:t>d</w:t>
      </w:r>
      <w:r>
        <w:t xml:space="preserve">epartment should update the benefit-cost analysis </w:t>
      </w:r>
      <w:r w:rsidR="00682422">
        <w:t>as</w:t>
      </w:r>
      <w:r>
        <w:t xml:space="preserve"> </w:t>
      </w:r>
      <w:r w:rsidR="00B033B5">
        <w:t xml:space="preserve">the actions arising from </w:t>
      </w:r>
      <w:r>
        <w:t>recommendations 2</w:t>
      </w:r>
      <w:r w:rsidR="002E2700">
        <w:t>, 3</w:t>
      </w:r>
      <w:r>
        <w:t xml:space="preserve"> and </w:t>
      </w:r>
      <w:r w:rsidR="002E2700">
        <w:t>4</w:t>
      </w:r>
      <w:r>
        <w:t xml:space="preserve"> above are completed, and </w:t>
      </w:r>
      <w:r w:rsidR="000C2A8F">
        <w:t>if</w:t>
      </w:r>
      <w:r w:rsidR="00750184">
        <w:t xml:space="preserve"> th</w:t>
      </w:r>
      <w:r w:rsidR="00333D3D">
        <w:t>e outcomes of this</w:t>
      </w:r>
      <w:r w:rsidR="00750184">
        <w:t xml:space="preserve"> justif</w:t>
      </w:r>
      <w:r w:rsidR="00333D3D">
        <w:t>y</w:t>
      </w:r>
      <w:r w:rsidR="00750184">
        <w:t xml:space="preserve"> a further stage of reform, </w:t>
      </w:r>
      <w:r>
        <w:t xml:space="preserve">prepare an updated </w:t>
      </w:r>
      <w:r w:rsidR="00C45600">
        <w:t>IA</w:t>
      </w:r>
      <w:r w:rsidR="007B2205">
        <w:t xml:space="preserve"> for consideration by the Minister</w:t>
      </w:r>
      <w:r>
        <w:t>.</w:t>
      </w:r>
    </w:p>
    <w:p w:rsidR="000D6FF2" w:rsidRPr="007B6E69" w:rsidRDefault="000D6FF2" w:rsidP="000D6FF2"/>
    <w:p w:rsidR="000D6FF2" w:rsidRDefault="000D6FF2" w:rsidP="00E13D3A">
      <w:pPr>
        <w:pStyle w:val="Heading1"/>
        <w:sectPr w:rsidR="000D6FF2" w:rsidSect="00D87AD8">
          <w:pgSz w:w="11906" w:h="16838" w:code="9"/>
          <w:pgMar w:top="1021" w:right="1021" w:bottom="1021" w:left="1021" w:header="510" w:footer="567" w:gutter="0"/>
          <w:cols w:space="708"/>
          <w:docGrid w:linePitch="360"/>
        </w:sectPr>
      </w:pPr>
    </w:p>
    <w:p w:rsidR="00044540" w:rsidRPr="007B6E69" w:rsidRDefault="00044540" w:rsidP="00E13D3A">
      <w:pPr>
        <w:pStyle w:val="Heading1"/>
      </w:pPr>
      <w:bookmarkStart w:id="114" w:name="_Toc111576727"/>
      <w:bookmarkStart w:id="115" w:name="_Toc138065717"/>
      <w:r w:rsidRPr="007B6E69">
        <w:t xml:space="preserve">Chapter </w:t>
      </w:r>
      <w:r w:rsidR="005C72E8" w:rsidRPr="007B6E69">
        <w:t>8</w:t>
      </w:r>
      <w:r w:rsidRPr="007B6E69">
        <w:t xml:space="preserve">: </w:t>
      </w:r>
      <w:r w:rsidR="009A2F0A">
        <w:t>Implementation and e</w:t>
      </w:r>
      <w:r w:rsidR="004E1E4C" w:rsidRPr="007B6E69">
        <w:t>valuation</w:t>
      </w:r>
      <w:bookmarkEnd w:id="114"/>
      <w:bookmarkEnd w:id="115"/>
    </w:p>
    <w:p w:rsidR="00125C88" w:rsidRPr="007B6E69" w:rsidRDefault="00125C88" w:rsidP="00125C88">
      <w:r w:rsidRPr="007B6E69">
        <w:t xml:space="preserve">New ADRs or amendments to the ADRs are determined by the responsible </w:t>
      </w:r>
      <w:r w:rsidR="00786281" w:rsidRPr="007B6E69">
        <w:t>minister</w:t>
      </w:r>
      <w:r w:rsidRPr="007B6E69">
        <w:t xml:space="preserve"> under section 12 of the RVSA.</w:t>
      </w:r>
    </w:p>
    <w:p w:rsidR="00125C88" w:rsidRDefault="00125C88" w:rsidP="006F274C">
      <w:r w:rsidRPr="007B6E69">
        <w:t xml:space="preserve">Development of safety-related ADRs under the RVSA is the responsibility of the Vehicle Safety Policy and Partnerships </w:t>
      </w:r>
      <w:r w:rsidR="005637CE" w:rsidRPr="007B6E69">
        <w:t xml:space="preserve">(VSP&amp;P) </w:t>
      </w:r>
      <w:r w:rsidRPr="007B6E69">
        <w:t xml:space="preserve">Branch of the </w:t>
      </w:r>
      <w:r w:rsidR="00B9347B">
        <w:t>d</w:t>
      </w:r>
      <w:r w:rsidRPr="007B6E69">
        <w:t>epartment. It is carried out in consultation with representatives of the Australian Government, state and territory governments, manufacturing and operating industries, road user groups and experts in the field of road safety. Under the RVSA, the Minister may consult with state and territory agencies responsible for road safety, organisations and persons involved in the road vehicle industry and organisations representing road vehicle users before determining an ADR.</w:t>
      </w:r>
    </w:p>
    <w:p w:rsidR="00617D36" w:rsidRDefault="003F6478" w:rsidP="00617D36">
      <w:pPr>
        <w:pStyle w:val="Heading2"/>
      </w:pPr>
      <w:bookmarkStart w:id="116" w:name="_Toc138065718"/>
      <w:r>
        <w:t>Implementation of updated standards</w:t>
      </w:r>
      <w:bookmarkEnd w:id="116"/>
    </w:p>
    <w:p w:rsidR="00F249C8" w:rsidRDefault="00AF716C" w:rsidP="00617D36">
      <w:pPr>
        <w:rPr>
          <w:lang w:val="en-US"/>
        </w:rPr>
      </w:pPr>
      <w:r>
        <w:rPr>
          <w:lang w:val="en-US"/>
        </w:rPr>
        <w:t>Option 3.1</w:t>
      </w:r>
      <w:r w:rsidR="0026447A">
        <w:rPr>
          <w:lang w:val="en-US"/>
        </w:rPr>
        <w:t xml:space="preserve">b would be implemented with a </w:t>
      </w:r>
      <w:r w:rsidR="0023262A">
        <w:rPr>
          <w:lang w:val="en-US"/>
        </w:rPr>
        <w:t xml:space="preserve">fixed </w:t>
      </w:r>
      <w:r w:rsidR="0026447A">
        <w:rPr>
          <w:lang w:val="en-US"/>
        </w:rPr>
        <w:t>policy commencement date</w:t>
      </w:r>
      <w:r w:rsidR="00EC72D8">
        <w:rPr>
          <w:lang w:val="en-US"/>
        </w:rPr>
        <w:t>,</w:t>
      </w:r>
      <w:r w:rsidR="0026447A">
        <w:rPr>
          <w:lang w:val="en-US"/>
        </w:rPr>
        <w:t xml:space="preserve"> </w:t>
      </w:r>
      <w:r w:rsidR="0023262A">
        <w:rPr>
          <w:lang w:val="en-US"/>
        </w:rPr>
        <w:t xml:space="preserve">to be set </w:t>
      </w:r>
      <w:r w:rsidR="002F62AC">
        <w:rPr>
          <w:lang w:val="en-US"/>
        </w:rPr>
        <w:t xml:space="preserve">as close as </w:t>
      </w:r>
      <w:r w:rsidR="00C4295D">
        <w:rPr>
          <w:lang w:val="en-US"/>
        </w:rPr>
        <w:t>reasonably practical</w:t>
      </w:r>
      <w:r w:rsidR="002F62AC">
        <w:rPr>
          <w:lang w:val="en-US"/>
        </w:rPr>
        <w:t xml:space="preserve"> to</w:t>
      </w:r>
      <w:r w:rsidR="0026447A">
        <w:rPr>
          <w:lang w:val="en-US"/>
        </w:rPr>
        <w:t xml:space="preserve"> </w:t>
      </w:r>
      <w:r w:rsidR="0026447A" w:rsidRPr="00762CC1">
        <w:rPr>
          <w:lang w:val="en-US"/>
        </w:rPr>
        <w:t>1 July 2023</w:t>
      </w:r>
      <w:r w:rsidR="0023262A">
        <w:rPr>
          <w:lang w:val="en-US"/>
        </w:rPr>
        <w:t xml:space="preserve"> (</w:t>
      </w:r>
      <w:r w:rsidR="00706D8A">
        <w:rPr>
          <w:lang w:val="en-US"/>
        </w:rPr>
        <w:t xml:space="preserve">as was </w:t>
      </w:r>
      <w:r w:rsidR="009905BE">
        <w:rPr>
          <w:lang w:val="en-US"/>
        </w:rPr>
        <w:t xml:space="preserve">assumed </w:t>
      </w:r>
      <w:r w:rsidR="00EC72D8">
        <w:rPr>
          <w:lang w:val="en-US"/>
        </w:rPr>
        <w:t>and modelled in</w:t>
      </w:r>
      <w:r w:rsidR="009905BE">
        <w:rPr>
          <w:lang w:val="en-US"/>
        </w:rPr>
        <w:t xml:space="preserve"> the ARRB </w:t>
      </w:r>
      <w:r w:rsidR="00C4295D">
        <w:rPr>
          <w:lang w:val="en-US"/>
        </w:rPr>
        <w:t xml:space="preserve">benefit-cost </w:t>
      </w:r>
      <w:r w:rsidR="009905BE">
        <w:rPr>
          <w:lang w:val="en-US"/>
        </w:rPr>
        <w:t>analysis</w:t>
      </w:r>
      <w:r w:rsidR="0023262A">
        <w:rPr>
          <w:lang w:val="en-US"/>
        </w:rPr>
        <w:t>)</w:t>
      </w:r>
      <w:r w:rsidR="00617D36">
        <w:rPr>
          <w:lang w:val="en-US"/>
        </w:rPr>
        <w:t>.</w:t>
      </w:r>
      <w:r w:rsidR="00DD05A5">
        <w:rPr>
          <w:lang w:val="en-US"/>
        </w:rPr>
        <w:t xml:space="preserve"> This would be achieved by commencing </w:t>
      </w:r>
      <w:r w:rsidR="00C4295D">
        <w:rPr>
          <w:lang w:val="en-US"/>
        </w:rPr>
        <w:t>an</w:t>
      </w:r>
      <w:r w:rsidR="009905BE">
        <w:rPr>
          <w:lang w:val="en-US"/>
        </w:rPr>
        <w:t xml:space="preserve"> </w:t>
      </w:r>
      <w:r w:rsidR="00DD05A5">
        <w:rPr>
          <w:lang w:val="en-US"/>
        </w:rPr>
        <w:t>ADR amendment</w:t>
      </w:r>
      <w:r w:rsidR="009905BE">
        <w:rPr>
          <w:lang w:val="en-US"/>
        </w:rPr>
        <w:t xml:space="preserve"> to increase the width limit </w:t>
      </w:r>
      <w:r w:rsidR="00C4295D">
        <w:rPr>
          <w:lang w:val="en-US"/>
        </w:rPr>
        <w:t xml:space="preserve">to 2.55 m for goods vehicles over 4.5 </w:t>
      </w:r>
      <w:r w:rsidR="00C4295D" w:rsidRPr="00C4295D">
        <w:t>tonnes</w:t>
      </w:r>
      <w:r w:rsidR="00C4295D">
        <w:rPr>
          <w:lang w:val="en-US"/>
        </w:rPr>
        <w:t xml:space="preserve">, </w:t>
      </w:r>
      <w:r w:rsidR="009905BE">
        <w:rPr>
          <w:lang w:val="en-US"/>
        </w:rPr>
        <w:t xml:space="preserve">on the same </w:t>
      </w:r>
      <w:r w:rsidR="0023262A">
        <w:rPr>
          <w:lang w:val="en-US"/>
        </w:rPr>
        <w:t xml:space="preserve">fixed </w:t>
      </w:r>
      <w:r w:rsidR="009905BE">
        <w:rPr>
          <w:lang w:val="en-US"/>
        </w:rPr>
        <w:t>da</w:t>
      </w:r>
      <w:r w:rsidR="00C4295D">
        <w:rPr>
          <w:lang w:val="en-US"/>
        </w:rPr>
        <w:t>te</w:t>
      </w:r>
      <w:r w:rsidR="009905BE">
        <w:rPr>
          <w:lang w:val="en-US"/>
        </w:rPr>
        <w:t xml:space="preserve"> that the new ADR requirements for the additional safety systems/features become mandatory (applicable) for </w:t>
      </w:r>
      <w:r w:rsidR="00706D8A">
        <w:rPr>
          <w:lang w:val="en-US"/>
        </w:rPr>
        <w:t>those</w:t>
      </w:r>
      <w:r w:rsidR="00C4295D">
        <w:rPr>
          <w:lang w:val="en-US"/>
        </w:rPr>
        <w:t xml:space="preserve"> </w:t>
      </w:r>
      <w:r w:rsidR="009905BE">
        <w:rPr>
          <w:lang w:val="en-US"/>
        </w:rPr>
        <w:t xml:space="preserve">vehicles exceeding </w:t>
      </w:r>
      <w:r w:rsidR="00B9347B">
        <w:rPr>
          <w:lang w:val="en-US"/>
        </w:rPr>
        <w:t>2.50</w:t>
      </w:r>
      <w:r w:rsidR="009905BE">
        <w:rPr>
          <w:lang w:val="en-US"/>
        </w:rPr>
        <w:t> m in width.</w:t>
      </w:r>
      <w:r w:rsidR="00A93CA3">
        <w:rPr>
          <w:lang w:val="en-US"/>
        </w:rPr>
        <w:t xml:space="preserve"> </w:t>
      </w:r>
      <w:r w:rsidR="009905BE">
        <w:rPr>
          <w:lang w:val="en-US"/>
        </w:rPr>
        <w:t xml:space="preserve">The exact commencement </w:t>
      </w:r>
      <w:r w:rsidR="009905BE" w:rsidRPr="009905BE">
        <w:rPr>
          <w:lang w:val="en-US"/>
        </w:rPr>
        <w:t>date will be determined by the Government.</w:t>
      </w:r>
      <w:r w:rsidR="00C6748A">
        <w:rPr>
          <w:lang w:val="en-US"/>
        </w:rPr>
        <w:t xml:space="preserve"> It is not proposed to include separate new models and all new vehicles applicability dates, as is </w:t>
      </w:r>
      <w:r w:rsidR="003E0BAB">
        <w:rPr>
          <w:lang w:val="en-US"/>
        </w:rPr>
        <w:t>the normal</w:t>
      </w:r>
      <w:r w:rsidR="00C6748A">
        <w:rPr>
          <w:lang w:val="en-US"/>
        </w:rPr>
        <w:t xml:space="preserve"> practice for other new ADRs. This is because</w:t>
      </w:r>
      <w:r w:rsidR="0049770E">
        <w:rPr>
          <w:lang w:val="en-US"/>
        </w:rPr>
        <w:t xml:space="preserve"> the changes proposed under Option 3.1b will simply allow for vehicle type approval under the RVSA of wider goods vehicles that cannot currently comply with </w:t>
      </w:r>
      <w:r w:rsidR="003E0BAB">
        <w:rPr>
          <w:lang w:val="en-US"/>
        </w:rPr>
        <w:t>all</w:t>
      </w:r>
      <w:r w:rsidR="0049770E">
        <w:rPr>
          <w:lang w:val="en-US"/>
        </w:rPr>
        <w:t xml:space="preserve"> </w:t>
      </w:r>
      <w:r w:rsidR="00D26BBE">
        <w:rPr>
          <w:lang w:val="en-US"/>
        </w:rPr>
        <w:t xml:space="preserve">the </w:t>
      </w:r>
      <w:r w:rsidR="0049770E">
        <w:rPr>
          <w:lang w:val="en-US"/>
        </w:rPr>
        <w:t>applicable national road vehicle standards (ADRs)</w:t>
      </w:r>
      <w:r w:rsidR="003E0BAB">
        <w:rPr>
          <w:lang w:val="en-US"/>
        </w:rPr>
        <w:t xml:space="preserve">, and as a consequence are not yet available for operators to purchase and use in </w:t>
      </w:r>
      <w:r w:rsidR="00D26BBE">
        <w:rPr>
          <w:lang w:val="en-US"/>
        </w:rPr>
        <w:t>Australia</w:t>
      </w:r>
      <w:r w:rsidR="00281D46">
        <w:rPr>
          <w:lang w:val="en-US"/>
        </w:rPr>
        <w:t>.</w:t>
      </w:r>
      <w:r w:rsidR="00AC01CD">
        <w:rPr>
          <w:lang w:val="en-US"/>
        </w:rPr>
        <w:t xml:space="preserve"> </w:t>
      </w:r>
      <w:r w:rsidR="00741492">
        <w:rPr>
          <w:lang w:val="en-US"/>
        </w:rPr>
        <w:t>There will therefore not be the usual need for a transition period for existing models already in the market, which is usually provided through a later applicability date for all new vehicles.</w:t>
      </w:r>
    </w:p>
    <w:p w:rsidR="00601A9A" w:rsidRPr="00601A9A" w:rsidRDefault="00601A9A" w:rsidP="00601A9A">
      <w:pPr>
        <w:rPr>
          <w:lang w:val="en-US"/>
        </w:rPr>
      </w:pPr>
      <w:r w:rsidRPr="00601A9A">
        <w:rPr>
          <w:lang w:val="en-US"/>
        </w:rPr>
        <w:t xml:space="preserve">The RAV would be updated to include an additional field through which manufacturers would identify vehicles meeting the additional ADR requirements for wider freight vehicles, the form in which the vehicle was added to the RAV </w:t>
      </w:r>
      <w:r w:rsidR="001E4DAE">
        <w:rPr>
          <w:lang w:val="en-US"/>
        </w:rPr>
        <w:br/>
      </w:r>
      <w:r w:rsidRPr="00601A9A">
        <w:rPr>
          <w:lang w:val="en-US"/>
        </w:rPr>
        <w:t>(e.g. completed vehicle, prime mover, chassis-cab), and the maximum width for which the vehicle is certified to comply with all applicable ADRs. This additional information would be required for all goods vehicles approved to exceed 2.50 m in width, and would enable vehicle bodybuilders, in-service regulators and heavy vehicle operators to establish the maximum permissible width for individual vehicles in service.</w:t>
      </w:r>
    </w:p>
    <w:p w:rsidR="00EC72D8" w:rsidRPr="00617D36" w:rsidRDefault="00601A9A" w:rsidP="00601A9A">
      <w:pPr>
        <w:rPr>
          <w:lang w:val="en-US"/>
        </w:rPr>
      </w:pPr>
      <w:r w:rsidRPr="00601A9A">
        <w:rPr>
          <w:lang w:val="en-US"/>
        </w:rPr>
        <w:t>Following registration of the new and amended ADRs, it is expected that changes would be made to the Heavy Vehicle National Law (HVNL) and the Heavy Vehicle (Mass, Dimension and Loading) (MDL) National Regulation (and the equivalent laws in WA and the NT), to allow for the use in-service of wider goods vehicles meeting the new and amended ADRs, including when used to carry loads up to 2.55 m in width. For example, heavy vehicles exceeding 2.50 m in width are currently defined as restricted access vehicles under the HVNL, and operators must not use these on a road unless the road is one for which the vehicle is allowed to be used under an exemption notice or permit. Further the MDL Regulation currently limits heavy vehicle width, including loads/cargo carried, to 2.5 m (except where an exemption notice or permit allows for the operation of an over-width vehicle and/or load).</w:t>
      </w:r>
    </w:p>
    <w:p w:rsidR="0088169A" w:rsidRDefault="0088169A" w:rsidP="00617D36">
      <w:pPr>
        <w:pStyle w:val="Heading2"/>
      </w:pPr>
      <w:bookmarkStart w:id="117" w:name="_Toc138065719"/>
      <w:r>
        <w:t>Implementation risks</w:t>
      </w:r>
      <w:bookmarkEnd w:id="117"/>
    </w:p>
    <w:p w:rsidR="0088169A" w:rsidRPr="0088169A" w:rsidRDefault="00584BE9" w:rsidP="0088169A">
      <w:pPr>
        <w:rPr>
          <w:lang w:val="en-US"/>
        </w:rPr>
      </w:pPr>
      <w:r>
        <w:rPr>
          <w:lang w:val="en-US"/>
        </w:rPr>
        <w:t>As considered in the benefit-cost analysis by the ARRB, it is possible that some roads would need to be made wider to maintain existing safety margins for use by wider trucks</w:t>
      </w:r>
      <w:r w:rsidR="00A53145">
        <w:rPr>
          <w:lang w:val="en-US"/>
        </w:rPr>
        <w:t xml:space="preserve"> (i.e. maintain clearance between trucks and other vehicles, and between trucks and roadside infrastructure)</w:t>
      </w:r>
      <w:r>
        <w:rPr>
          <w:lang w:val="en-US"/>
        </w:rPr>
        <w:t xml:space="preserve">. However, this would only be an issue for roads with lane widths </w:t>
      </w:r>
      <w:r w:rsidRPr="00F26B85">
        <w:t>well below the recommended 3.5</w:t>
      </w:r>
      <w:r>
        <w:t> </w:t>
      </w:r>
      <w:r w:rsidRPr="00F26B85">
        <w:t>m lane widths in Australia</w:t>
      </w:r>
      <w:r>
        <w:t xml:space="preserve">, which are also less likely to be significant freight routes. </w:t>
      </w:r>
      <w:r w:rsidR="005D2249">
        <w:t>A</w:t>
      </w:r>
      <w:r w:rsidRPr="00F26B85">
        <w:t xml:space="preserve">ny issues arising from wider vehicles on specific routes would </w:t>
      </w:r>
      <w:r w:rsidR="005D2249">
        <w:t xml:space="preserve">likely </w:t>
      </w:r>
      <w:r w:rsidRPr="00F26B85">
        <w:t>be managed by</w:t>
      </w:r>
      <w:r>
        <w:t xml:space="preserve"> local</w:t>
      </w:r>
      <w:r w:rsidRPr="00F26B85">
        <w:t xml:space="preserve"> road managers </w:t>
      </w:r>
      <w:r>
        <w:t>through means such as r</w:t>
      </w:r>
      <w:r w:rsidRPr="00F26B85">
        <w:t>estricting access</w:t>
      </w:r>
      <w:r>
        <w:t xml:space="preserve"> for wider vehicles</w:t>
      </w:r>
      <w:r w:rsidRPr="00F26B85">
        <w:t>; or</w:t>
      </w:r>
      <w:r>
        <w:t xml:space="preserve"> r</w:t>
      </w:r>
      <w:r w:rsidRPr="00F26B85">
        <w:t>epainting line markings (where room is available in shoulders or painted out traffic islands).</w:t>
      </w:r>
      <w:r w:rsidR="005D2249">
        <w:t xml:space="preserve"> In the absence of appropriate treatments, there could be an increase in </w:t>
      </w:r>
      <w:r w:rsidR="005D2249">
        <w:rPr>
          <w:lang w:val="en-US"/>
        </w:rPr>
        <w:t xml:space="preserve">frontal impact and/or side swipe crashes for wider </w:t>
      </w:r>
      <w:r w:rsidR="00A53145">
        <w:rPr>
          <w:lang w:val="en-US"/>
        </w:rPr>
        <w:t>trucks</w:t>
      </w:r>
      <w:r w:rsidR="005D2249">
        <w:rPr>
          <w:lang w:val="en-US"/>
        </w:rPr>
        <w:t>, and/or an increase in collisions with roadside infrastructure.</w:t>
      </w:r>
      <w:r w:rsidR="008C4173">
        <w:rPr>
          <w:lang w:val="en-US"/>
        </w:rPr>
        <w:t xml:space="preserve"> This risk may be offset by a reduction in rollover crashes, if manufacturers use the </w:t>
      </w:r>
      <w:r w:rsidR="00EA0F86">
        <w:rPr>
          <w:lang w:val="en-US"/>
        </w:rPr>
        <w:t>additional width to improve stability by lowering the height of the vehicle</w:t>
      </w:r>
      <w:r w:rsidR="00EA0F86" w:rsidRPr="00D5008D">
        <w:t xml:space="preserve"> centre</w:t>
      </w:r>
      <w:r w:rsidR="00EA0F86">
        <w:rPr>
          <w:lang w:val="en-US"/>
        </w:rPr>
        <w:t>-of-gravity</w:t>
      </w:r>
      <w:r w:rsidR="008C4173">
        <w:rPr>
          <w:lang w:val="en-US"/>
        </w:rPr>
        <w:t>.</w:t>
      </w:r>
    </w:p>
    <w:p w:rsidR="00617D36" w:rsidRDefault="00617D36" w:rsidP="00D477C7">
      <w:pPr>
        <w:pStyle w:val="Heading2"/>
        <w:pageBreakBefore/>
      </w:pPr>
      <w:bookmarkStart w:id="118" w:name="_Toc138065720"/>
      <w:r>
        <w:t>Review and evaluation</w:t>
      </w:r>
      <w:r w:rsidR="000804AD">
        <w:t xml:space="preserve"> of standards</w:t>
      </w:r>
      <w:bookmarkEnd w:id="118"/>
    </w:p>
    <w:p w:rsidR="00044540" w:rsidRPr="007B6E69" w:rsidRDefault="006F274C" w:rsidP="00F10B3C">
      <w:r w:rsidRPr="007B6E69">
        <w:t>As Australian Government regulations,</w:t>
      </w:r>
      <w:r w:rsidR="007E0C3C" w:rsidRPr="007B6E69">
        <w:t xml:space="preserve"> the</w:t>
      </w:r>
      <w:r w:rsidRPr="007B6E69">
        <w:t xml:space="preserve"> ADRs are subject to review every ten years as resources permit. This </w:t>
      </w:r>
      <w:r w:rsidR="00931498">
        <w:t>is important to check if regulation is still needed and identify if/where an ADR can be improved, including to account for changes in technology, consumer preferences, international standards and other regulatory requirements. This ensures</w:t>
      </w:r>
      <w:r w:rsidRPr="007B6E69">
        <w:t xml:space="preserve"> that the</w:t>
      </w:r>
      <w:r w:rsidR="00931498">
        <w:t xml:space="preserve"> ADRs</w:t>
      </w:r>
      <w:r w:rsidRPr="007B6E69">
        <w:t xml:space="preserve"> remain relevant, cost effective and do not become a barrier to the importation of safer </w:t>
      </w:r>
      <w:r w:rsidR="004A1FAF">
        <w:t xml:space="preserve">and/or lower emissions </w:t>
      </w:r>
      <w:r w:rsidRPr="007B6E69">
        <w:t xml:space="preserve">vehicles and vehicle components. </w:t>
      </w:r>
      <w:r w:rsidR="00FD79B3" w:rsidRPr="007B6E69">
        <w:t xml:space="preserve">Each of the new </w:t>
      </w:r>
      <w:r w:rsidR="00F31CA4" w:rsidRPr="007B6E69">
        <w:t>and amended ADRs to implement the recommended option would be scheduled for a full review on an ongoing basis and in line with this practice</w:t>
      </w:r>
      <w:r w:rsidRPr="007B6E69">
        <w:t xml:space="preserve">. </w:t>
      </w:r>
      <w:r w:rsidR="00F31CA4" w:rsidRPr="007B6E69">
        <w:t>Further, UN regulations are revised on an ongoing basis, and t</w:t>
      </w:r>
      <w:r w:rsidRPr="007B6E69">
        <w:t xml:space="preserve">he </w:t>
      </w:r>
      <w:r w:rsidR="00786281" w:rsidRPr="007B6E69">
        <w:t>department</w:t>
      </w:r>
      <w:r w:rsidR="005A26A5" w:rsidRPr="007B6E69">
        <w:t xml:space="preserve"> </w:t>
      </w:r>
      <w:r w:rsidRPr="007B6E69">
        <w:t>reviews</w:t>
      </w:r>
      <w:r w:rsidR="007E0C3C" w:rsidRPr="007B6E69">
        <w:t xml:space="preserve"> the possible</w:t>
      </w:r>
      <w:r w:rsidRPr="007B6E69">
        <w:t xml:space="preserve"> adopt</w:t>
      </w:r>
      <w:r w:rsidR="007E0C3C" w:rsidRPr="007B6E69">
        <w:t>ion</w:t>
      </w:r>
      <w:r w:rsidRPr="007B6E69">
        <w:t xml:space="preserve"> </w:t>
      </w:r>
      <w:r w:rsidR="007E0C3C" w:rsidRPr="007B6E69">
        <w:t xml:space="preserve">of UN regulations and their revisions into the ADRs </w:t>
      </w:r>
      <w:r w:rsidRPr="007B6E69">
        <w:t>as they become available.</w:t>
      </w:r>
    </w:p>
    <w:p w:rsidR="003C05BD" w:rsidRDefault="00F31CA4" w:rsidP="00F10B3C">
      <w:r w:rsidRPr="007B6E69">
        <w:t>The Bureau of Infrastructure, Transport and Regional Economics</w:t>
      </w:r>
      <w:r w:rsidR="006039EF">
        <w:t xml:space="preserve"> (BITRE)</w:t>
      </w:r>
      <w:r w:rsidRPr="007B6E69">
        <w:t xml:space="preserve"> regularly publishes road crash statistics for Australia, including quarterly and annual summaries of trauma from road crashes in which one or more heavy trucks or buses were involved. Each </w:t>
      </w:r>
      <w:r w:rsidR="00DF0CD0">
        <w:t xml:space="preserve">of the </w:t>
      </w:r>
      <w:r w:rsidRPr="007B6E69">
        <w:t>state</w:t>
      </w:r>
      <w:r w:rsidR="00DF0CD0">
        <w:t>s</w:t>
      </w:r>
      <w:r w:rsidRPr="007B6E69">
        <w:t xml:space="preserve"> and territo</w:t>
      </w:r>
      <w:r w:rsidR="00DF0CD0">
        <w:t>ries</w:t>
      </w:r>
      <w:r w:rsidRPr="007B6E69">
        <w:t xml:space="preserve"> also publish police reported road crash data, including for crashes involving heavy vehicles. </w:t>
      </w:r>
      <w:r w:rsidR="00F9670E">
        <w:t xml:space="preserve">Further, in May 2021, </w:t>
      </w:r>
      <w:r w:rsidR="009C3624">
        <w:t>t</w:t>
      </w:r>
      <w:r w:rsidR="00F9670E" w:rsidRPr="00F9670E">
        <w:t>he Australian Government committed $16.5 million over four years to establish the National Freight Data Hub</w:t>
      </w:r>
      <w:r w:rsidR="00F9670E">
        <w:t xml:space="preserve">. </w:t>
      </w:r>
      <w:r w:rsidRPr="007B6E69">
        <w:t xml:space="preserve">The </w:t>
      </w:r>
      <w:r w:rsidR="00F9670E">
        <w:t>d</w:t>
      </w:r>
      <w:r w:rsidRPr="007B6E69">
        <w:t xml:space="preserve">epartment expects </w:t>
      </w:r>
      <w:r w:rsidR="003E0F31">
        <w:t xml:space="preserve">that </w:t>
      </w:r>
      <w:r w:rsidRPr="007B6E69">
        <w:t>these data sources</w:t>
      </w:r>
      <w:r w:rsidR="004D12C6">
        <w:t xml:space="preserve">, together with </w:t>
      </w:r>
      <w:r w:rsidR="00804AC9">
        <w:t xml:space="preserve">the </w:t>
      </w:r>
      <w:r w:rsidR="009B4292">
        <w:t>details</w:t>
      </w:r>
      <w:r w:rsidR="00414723">
        <w:t xml:space="preserve"> of </w:t>
      </w:r>
      <w:r w:rsidR="00804AC9">
        <w:t xml:space="preserve">the </w:t>
      </w:r>
      <w:r w:rsidR="00414723">
        <w:t xml:space="preserve">wider freight vehicles added </w:t>
      </w:r>
      <w:r w:rsidR="003E0F31">
        <w:t xml:space="preserve">each month and year </w:t>
      </w:r>
      <w:r w:rsidR="00414723">
        <w:t>to the RAV,</w:t>
      </w:r>
      <w:r w:rsidRPr="007B6E69">
        <w:t xml:space="preserve"> will be used to collectively inform and support future evaluation(s) of the implementation of the recommended option</w:t>
      </w:r>
      <w:r w:rsidR="00F9670E">
        <w:t xml:space="preserve"> </w:t>
      </w:r>
      <w:r w:rsidR="00C8322A">
        <w:t xml:space="preserve">in terms of the key metrics for success, </w:t>
      </w:r>
      <w:r w:rsidR="00F9670E">
        <w:t xml:space="preserve">including </w:t>
      </w:r>
      <w:r w:rsidR="00C8322A">
        <w:t xml:space="preserve">the </w:t>
      </w:r>
      <w:r w:rsidR="00F9670E">
        <w:t xml:space="preserve">impacts </w:t>
      </w:r>
      <w:r w:rsidR="00E754F5">
        <w:t xml:space="preserve">of the increase in the number of wider freight vehicles in the fleet over time </w:t>
      </w:r>
      <w:r w:rsidR="00F9670E">
        <w:t>on both road safety (i.e. fatal and serious injury crashes) and productivity (e.g. freight movement costs)</w:t>
      </w:r>
      <w:r w:rsidRPr="007B6E69">
        <w:t>.</w:t>
      </w:r>
    </w:p>
    <w:p w:rsidR="00F31CA4" w:rsidRPr="007B6E69" w:rsidRDefault="00A41E6F" w:rsidP="00F10B3C">
      <w:r>
        <w:t>State and territory government</w:t>
      </w:r>
      <w:r w:rsidR="003C05BD">
        <w:t xml:space="preserve"> vehicle registration authorities and road agencies </w:t>
      </w:r>
      <w:r>
        <w:t xml:space="preserve">would be able to </w:t>
      </w:r>
      <w:r w:rsidR="003C05BD">
        <w:t>identify where wider freight vehicles are involved in crashes, by linking the Vehicle Identification Number(s) from police reported crash</w:t>
      </w:r>
      <w:r w:rsidR="00D161EB">
        <w:t>es</w:t>
      </w:r>
      <w:r w:rsidR="003C05BD">
        <w:t xml:space="preserve"> to those for the wider freight vehicles added to the RAV. This could be used to monitor and report back any changes (positive or negative) in crash trends</w:t>
      </w:r>
      <w:r w:rsidR="00D161EB">
        <w:t xml:space="preserve"> to the Commonwealth</w:t>
      </w:r>
      <w:r w:rsidR="003C05BD">
        <w:t>, including for particular accident codes</w:t>
      </w:r>
      <w:r w:rsidR="00D161EB">
        <w:t xml:space="preserve"> of interest</w:t>
      </w:r>
      <w:r w:rsidR="003C05BD">
        <w:t>, such as frontal impacts, rollovers and lane side swipes.</w:t>
      </w:r>
    </w:p>
    <w:p w:rsidR="00166617" w:rsidRPr="007B6E69" w:rsidRDefault="004C41D3" w:rsidP="003C05BD">
      <w:pPr>
        <w:pStyle w:val="Heading2"/>
        <w:rPr>
          <w:lang w:val="en-AU"/>
        </w:rPr>
      </w:pPr>
      <w:bookmarkStart w:id="119" w:name="_Toc138065721"/>
      <w:r w:rsidRPr="007B6E69">
        <w:rPr>
          <w:lang w:val="en-AU"/>
        </w:rPr>
        <w:t>Exemption from s</w:t>
      </w:r>
      <w:r w:rsidR="00B14F96" w:rsidRPr="007B6E69">
        <w:rPr>
          <w:lang w:val="en-AU"/>
        </w:rPr>
        <w:t>unsetting</w:t>
      </w:r>
      <w:bookmarkEnd w:id="119"/>
    </w:p>
    <w:p w:rsidR="00B14F96" w:rsidRPr="007B6E69" w:rsidRDefault="00A57C96" w:rsidP="00A57C96">
      <w:r w:rsidRPr="007B6E69">
        <w:t xml:space="preserve">A </w:t>
      </w:r>
      <w:r w:rsidR="0039389C">
        <w:t xml:space="preserve">national road vehicle </w:t>
      </w:r>
      <w:r w:rsidRPr="007B6E69">
        <w:t xml:space="preserve">standard </w:t>
      </w:r>
      <w:r w:rsidR="007E0C3C" w:rsidRPr="007B6E69">
        <w:t xml:space="preserve">(ADR) </w:t>
      </w:r>
      <w:r w:rsidRPr="007B6E69">
        <w:t xml:space="preserve">made under section 12 of the </w:t>
      </w:r>
      <w:r w:rsidR="005B2A57" w:rsidRPr="007B6E69">
        <w:t>RVSA</w:t>
      </w:r>
      <w:r w:rsidRPr="007B6E69">
        <w:t xml:space="preserve"> is not subject to the sunsetting provisions of section 50 of the </w:t>
      </w:r>
      <w:r w:rsidRPr="007B6E69">
        <w:rPr>
          <w:i/>
        </w:rPr>
        <w:t>Legislation (Exemptions and Other Matters) Act 2003</w:t>
      </w:r>
      <w:r w:rsidRPr="007B6E69">
        <w:t xml:space="preserve"> through section 12 of the </w:t>
      </w:r>
      <w:r w:rsidRPr="007B6E69">
        <w:rPr>
          <w:i/>
        </w:rPr>
        <w:t>Legislation (Exemptions and Other Matters) Regulation 2015 (table item 56C)</w:t>
      </w:r>
      <w:r w:rsidRPr="007B6E69">
        <w:t xml:space="preserve">. A similar exemption was previously granted in respect of national standards made under section 7 of the </w:t>
      </w:r>
      <w:r w:rsidRPr="007B6E69">
        <w:rPr>
          <w:i/>
        </w:rPr>
        <w:t>Motor Vehicle Standards Act 1989</w:t>
      </w:r>
      <w:r w:rsidRPr="007B6E69">
        <w:t xml:space="preserve"> (MVSA) (item 40, section 12 of the </w:t>
      </w:r>
      <w:r w:rsidRPr="007B6E69">
        <w:rPr>
          <w:i/>
        </w:rPr>
        <w:t>Legislation (Exemptions and Other Matters) Regulation 2015</w:t>
      </w:r>
      <w:r w:rsidRPr="007B6E69">
        <w:t>). This exemption is important to ensure that ADR</w:t>
      </w:r>
      <w:r w:rsidR="005B2A57" w:rsidRPr="007B6E69">
        <w:t>s</w:t>
      </w:r>
      <w:r w:rsidRPr="007B6E69">
        <w:t xml:space="preserve"> </w:t>
      </w:r>
      <w:r w:rsidR="005B2A57" w:rsidRPr="007B6E69">
        <w:t>continue</w:t>
      </w:r>
      <w:r w:rsidRPr="007B6E69">
        <w:t xml:space="preserve"> to remain in force, and available to regulators and industry.</w:t>
      </w:r>
    </w:p>
    <w:p w:rsidR="00A57C96" w:rsidRPr="007B6E69" w:rsidRDefault="00A57C96" w:rsidP="00A57C96">
      <w:r w:rsidRPr="007B6E69">
        <w:t xml:space="preserve">It is appropriate that standards made under section 12 of the </w:t>
      </w:r>
      <w:r w:rsidR="005B2A57" w:rsidRPr="007B6E69">
        <w:t xml:space="preserve">RVSA </w:t>
      </w:r>
      <w:r w:rsidRPr="007B6E69">
        <w:t>remain enduring and effective to regulate ongoing road worthiness of vehicles throughout their useful life and reduce regulatory burden on vehicle manufacturers.</w:t>
      </w:r>
    </w:p>
    <w:p w:rsidR="00A57C96" w:rsidRPr="007B6E69" w:rsidRDefault="00A57C96" w:rsidP="00A57C96">
      <w:r w:rsidRPr="007B6E69">
        <w:t xml:space="preserve">The exemption </w:t>
      </w:r>
      <w:r w:rsidR="007E0C3C" w:rsidRPr="007B6E69">
        <w:t xml:space="preserve">was granted to </w:t>
      </w:r>
      <w:r w:rsidRPr="007B6E69">
        <w:t xml:space="preserve">ADRs </w:t>
      </w:r>
      <w:r w:rsidR="007E0C3C" w:rsidRPr="007B6E69">
        <w:t xml:space="preserve">as they </w:t>
      </w:r>
      <w:r w:rsidRPr="007B6E69">
        <w:t>facilitate the establishment and operation of the intergovernmental vehicle standard regime that Commonwealth, State and Territory governments rely on to regulate the safe</w:t>
      </w:r>
      <w:r w:rsidR="00DD56E3">
        <w:t>ty of vehicles on public roads.</w:t>
      </w:r>
    </w:p>
    <w:p w:rsidR="00A57C96" w:rsidRPr="007B6E69" w:rsidRDefault="00A57C96" w:rsidP="00A57C96">
      <w:r w:rsidRPr="007B6E69">
        <w:t xml:space="preserve">While the ADRs are regularly updated to reflect changes in technology, it is not possible to apply these new standards retrospectively to vehicles that are already in use. With former ADRs </w:t>
      </w:r>
      <w:r w:rsidR="007E0C3C" w:rsidRPr="007B6E69">
        <w:t>being available</w:t>
      </w:r>
      <w:r w:rsidRPr="007B6E69">
        <w:t xml:space="preserve"> on the Federal Register of Legislation, State and Territory governments can use them to ensure vehicles continue to comply with the ADRs that were in force when they were first supplied to the market.</w:t>
      </w:r>
    </w:p>
    <w:p w:rsidR="00A57C96" w:rsidRPr="007B6E69" w:rsidRDefault="007E0C3C" w:rsidP="00D477C7">
      <w:pPr>
        <w:keepNext/>
        <w:keepLines/>
      </w:pPr>
      <w:r w:rsidRPr="007B6E69">
        <w:t>Requiring</w:t>
      </w:r>
      <w:r w:rsidR="00A57C96" w:rsidRPr="007B6E69">
        <w:t xml:space="preserve"> vehicle manufacturers to redesign existing models to comply with new ADRs would be a costly and onerous exercise. </w:t>
      </w:r>
      <w:r w:rsidR="00D70041" w:rsidRPr="007B6E69">
        <w:t>Vehicle m</w:t>
      </w:r>
      <w:r w:rsidR="00A57C96" w:rsidRPr="007B6E69">
        <w:t xml:space="preserve">anufacturers should not be expected to continually redesign existing vehicles. </w:t>
      </w:r>
      <w:r w:rsidRPr="007B6E69">
        <w:t>O</w:t>
      </w:r>
      <w:r w:rsidR="00A57C96" w:rsidRPr="007B6E69">
        <w:t>ngoing product recalls</w:t>
      </w:r>
      <w:r w:rsidRPr="007B6E69">
        <w:t xml:space="preserve"> of vehicles in the fleet would be needed</w:t>
      </w:r>
      <w:r w:rsidR="00A57C96" w:rsidRPr="007B6E69">
        <w:t xml:space="preserve"> to comply with new ADRs </w:t>
      </w:r>
      <w:r w:rsidRPr="007B6E69">
        <w:t xml:space="preserve">and this </w:t>
      </w:r>
      <w:r w:rsidR="00A57C96" w:rsidRPr="007B6E69">
        <w:t>would undermine consumer confidence</w:t>
      </w:r>
      <w:r w:rsidRPr="007B6E69">
        <w:t xml:space="preserve">, </w:t>
      </w:r>
      <w:r w:rsidR="00A57C96" w:rsidRPr="007B6E69">
        <w:t xml:space="preserve">with significant financial impact to </w:t>
      </w:r>
      <w:r w:rsidR="00D70041" w:rsidRPr="007B6E69">
        <w:t xml:space="preserve">vehicle </w:t>
      </w:r>
      <w:r w:rsidR="00A57C96" w:rsidRPr="007B6E69">
        <w:t>manufacturers. Th</w:t>
      </w:r>
      <w:r w:rsidRPr="007B6E69">
        <w:t>e</w:t>
      </w:r>
      <w:r w:rsidR="00A57C96" w:rsidRPr="007B6E69">
        <w:t xml:space="preserve"> exemption </w:t>
      </w:r>
      <w:r w:rsidR="00D70041" w:rsidRPr="007B6E69">
        <w:t xml:space="preserve">from sunsetting </w:t>
      </w:r>
      <w:r w:rsidR="00A57C96" w:rsidRPr="007B6E69">
        <w:t xml:space="preserve">allows vehicle manufacturers to focus their efforts </w:t>
      </w:r>
      <w:r w:rsidRPr="007B6E69">
        <w:t xml:space="preserve">on </w:t>
      </w:r>
      <w:r w:rsidR="00A57C96" w:rsidRPr="007B6E69">
        <w:t>ensur</w:t>
      </w:r>
      <w:r w:rsidRPr="007B6E69">
        <w:t>ing</w:t>
      </w:r>
      <w:r w:rsidR="00A57C96" w:rsidRPr="007B6E69">
        <w:t xml:space="preserve"> new models supplied to the market comply</w:t>
      </w:r>
      <w:r w:rsidR="00D70041" w:rsidRPr="007B6E69">
        <w:t xml:space="preserve"> with the ADRs</w:t>
      </w:r>
      <w:r w:rsidR="00A57C96" w:rsidRPr="007B6E69">
        <w:t>.</w:t>
      </w:r>
    </w:p>
    <w:p w:rsidR="00A57C96" w:rsidRPr="007B6E69" w:rsidRDefault="00A57C96" w:rsidP="00A57C96">
      <w:r w:rsidRPr="007B6E69">
        <w:t>The exemption from sunsetting does not mean that ADRs do not undergo regular evaluations. ADRs are subject to regular reviews, as resources permit, and when developments in vehicle technology necessitates updates to requirements. Comprehensive parliamentary scrutiny is available through these reviews.</w:t>
      </w:r>
    </w:p>
    <w:p w:rsidR="00F10B3C" w:rsidRPr="007B6E69" w:rsidRDefault="00F10B3C" w:rsidP="00BD224C"/>
    <w:p w:rsidR="00CC2B33" w:rsidRPr="007B6E69" w:rsidRDefault="00CC2B33" w:rsidP="00CC2B33">
      <w:pPr>
        <w:sectPr w:rsidR="00CC2B33" w:rsidRPr="007B6E69" w:rsidSect="00D87AD8">
          <w:pgSz w:w="11906" w:h="16838" w:code="9"/>
          <w:pgMar w:top="1021" w:right="1021" w:bottom="1021" w:left="1021" w:header="510" w:footer="567" w:gutter="0"/>
          <w:cols w:space="708"/>
          <w:docGrid w:linePitch="360"/>
        </w:sectPr>
      </w:pPr>
    </w:p>
    <w:p w:rsidR="005F794B" w:rsidRPr="007B6E69" w:rsidRDefault="00134ED8" w:rsidP="00E13D3A">
      <w:pPr>
        <w:pStyle w:val="AppendixHeading1"/>
      </w:pPr>
      <w:bookmarkStart w:id="120" w:name="_Toc111576728"/>
      <w:bookmarkStart w:id="121" w:name="_Toc138065722"/>
      <w:r w:rsidRPr="007B6E69">
        <w:t>References</w:t>
      </w:r>
      <w:bookmarkEnd w:id="120"/>
      <w:bookmarkEnd w:id="121"/>
    </w:p>
    <w:p w:rsidR="00C83F75" w:rsidRPr="007B6E69" w:rsidRDefault="00C83F75" w:rsidP="00C83F75">
      <w:pPr>
        <w:pStyle w:val="References0"/>
        <w:rPr>
          <w:rFonts w:asciiTheme="minorHAnsi" w:hAnsiTheme="minorHAnsi"/>
        </w:rPr>
      </w:pPr>
      <w:r w:rsidRPr="007B6E69">
        <w:rPr>
          <w:rFonts w:asciiTheme="minorHAnsi" w:hAnsiTheme="minorHAnsi"/>
        </w:rPr>
        <w:t xml:space="preserve">ARTSA (2011). </w:t>
      </w:r>
      <w:r w:rsidRPr="007B6E69">
        <w:rPr>
          <w:rFonts w:asciiTheme="minorHAnsi" w:hAnsiTheme="minorHAnsi"/>
          <w:i/>
        </w:rPr>
        <w:t>Combination Vehicle Brake Code of Practice: Part 5—Review of Electronically-Controlled Brake Technologies for Heavy Vehicles</w:t>
      </w:r>
      <w:r w:rsidRPr="007B6E69">
        <w:rPr>
          <w:rFonts w:asciiTheme="minorHAnsi" w:hAnsiTheme="minorHAnsi"/>
        </w:rPr>
        <w:t xml:space="preserve">. Retrieved </w:t>
      </w:r>
      <w:r w:rsidR="008A5EDB">
        <w:rPr>
          <w:rFonts w:asciiTheme="minorHAnsi" w:hAnsiTheme="minorHAnsi"/>
        </w:rPr>
        <w:t>August 2022</w:t>
      </w:r>
      <w:r w:rsidRPr="007B6E69">
        <w:rPr>
          <w:rFonts w:asciiTheme="minorHAnsi" w:hAnsiTheme="minorHAnsi"/>
        </w:rPr>
        <w:t xml:space="preserve"> from </w:t>
      </w:r>
      <w:hyperlink r:id="rId45" w:history="1">
        <w:r w:rsidRPr="007B6E69">
          <w:rPr>
            <w:rStyle w:val="Hyperlink"/>
            <w:rFonts w:asciiTheme="minorHAnsi" w:hAnsiTheme="minorHAnsi"/>
          </w:rPr>
          <w:t>www.artsa.com.au/library</w:t>
        </w:r>
      </w:hyperlink>
      <w:r w:rsidRPr="007B6E69">
        <w:rPr>
          <w:rFonts w:asciiTheme="minorHAnsi" w:hAnsiTheme="minorHAnsi"/>
        </w:rPr>
        <w:t>.</w:t>
      </w:r>
    </w:p>
    <w:p w:rsidR="00C83F75" w:rsidRDefault="00C83F75" w:rsidP="00C83F75">
      <w:pPr>
        <w:pStyle w:val="References0"/>
        <w:rPr>
          <w:rFonts w:asciiTheme="minorHAnsi" w:hAnsiTheme="minorHAnsi"/>
        </w:rPr>
      </w:pPr>
      <w:r w:rsidRPr="007B6E69">
        <w:rPr>
          <w:rFonts w:asciiTheme="minorHAnsi" w:hAnsiTheme="minorHAnsi"/>
        </w:rPr>
        <w:t xml:space="preserve">ATA (2016). </w:t>
      </w:r>
      <w:r w:rsidRPr="007B6E69">
        <w:rPr>
          <w:rFonts w:asciiTheme="minorHAnsi" w:hAnsiTheme="minorHAnsi"/>
          <w:i/>
        </w:rPr>
        <w:t>Heavy Vehicle Visibility Technical Advisory Procedure.</w:t>
      </w:r>
      <w:r w:rsidRPr="007B6E69">
        <w:rPr>
          <w:rFonts w:asciiTheme="minorHAnsi" w:hAnsiTheme="minorHAnsi"/>
        </w:rPr>
        <w:t xml:space="preserve"> Retrieved </w:t>
      </w:r>
      <w:r w:rsidR="008A5EDB">
        <w:rPr>
          <w:rFonts w:asciiTheme="minorHAnsi" w:hAnsiTheme="minorHAnsi"/>
        </w:rPr>
        <w:t>August 2022</w:t>
      </w:r>
      <w:r w:rsidRPr="007B6E69">
        <w:rPr>
          <w:rFonts w:asciiTheme="minorHAnsi" w:hAnsiTheme="minorHAnsi"/>
        </w:rPr>
        <w:t xml:space="preserve"> from </w:t>
      </w:r>
      <w:hyperlink r:id="rId46" w:history="1">
        <w:r w:rsidRPr="007B6E69">
          <w:rPr>
            <w:rStyle w:val="Hyperlink"/>
            <w:rFonts w:asciiTheme="minorHAnsi" w:hAnsiTheme="minorHAnsi"/>
          </w:rPr>
          <w:t>www.truck.net.au/resource-tags/technical-advisory-procedures</w:t>
        </w:r>
      </w:hyperlink>
      <w:r w:rsidRPr="007B6E69">
        <w:rPr>
          <w:rFonts w:asciiTheme="minorHAnsi" w:hAnsiTheme="minorHAnsi"/>
        </w:rPr>
        <w:t>.</w:t>
      </w:r>
    </w:p>
    <w:p w:rsidR="00AF74C4" w:rsidRPr="007B6E69" w:rsidRDefault="00AF74C4" w:rsidP="00AF74C4">
      <w:pPr>
        <w:pStyle w:val="References0"/>
        <w:rPr>
          <w:rFonts w:asciiTheme="minorHAnsi" w:hAnsiTheme="minorHAnsi"/>
        </w:rPr>
      </w:pPr>
      <w:r w:rsidRPr="007B6E69">
        <w:rPr>
          <w:rFonts w:asciiTheme="minorHAnsi" w:hAnsiTheme="minorHAnsi"/>
        </w:rPr>
        <w:t xml:space="preserve">Austroads (2019). </w:t>
      </w:r>
      <w:r w:rsidRPr="007B6E69">
        <w:rPr>
          <w:rFonts w:asciiTheme="minorHAnsi" w:hAnsiTheme="minorHAnsi"/>
          <w:i/>
        </w:rPr>
        <w:t>Austroads supports increasing heavy vehicle widths to 2550 mm</w:t>
      </w:r>
      <w:r w:rsidRPr="007B6E69">
        <w:rPr>
          <w:rFonts w:asciiTheme="minorHAnsi" w:hAnsiTheme="minorHAnsi"/>
        </w:rPr>
        <w:t xml:space="preserve">. Retrieved </w:t>
      </w:r>
      <w:r w:rsidR="008A5EDB">
        <w:rPr>
          <w:rFonts w:asciiTheme="minorHAnsi" w:hAnsiTheme="minorHAnsi"/>
        </w:rPr>
        <w:t>August 2022</w:t>
      </w:r>
      <w:r w:rsidRPr="007B6E69">
        <w:rPr>
          <w:rFonts w:asciiTheme="minorHAnsi" w:hAnsiTheme="minorHAnsi"/>
        </w:rPr>
        <w:t xml:space="preserve"> from </w:t>
      </w:r>
      <w:hyperlink r:id="rId47" w:history="1">
        <w:r w:rsidRPr="007B6E69">
          <w:rPr>
            <w:rStyle w:val="Hyperlink"/>
            <w:rFonts w:asciiTheme="minorHAnsi" w:hAnsiTheme="minorHAnsi"/>
          </w:rPr>
          <w:t>austroads.com.au/latest-news/austroads-supports-increasing-heavy-vehicle-widths-to-2550mm</w:t>
        </w:r>
      </w:hyperlink>
      <w:r w:rsidRPr="007B6E69">
        <w:rPr>
          <w:rFonts w:asciiTheme="minorHAnsi" w:hAnsiTheme="minorHAnsi"/>
        </w:rPr>
        <w:t>.</w:t>
      </w:r>
    </w:p>
    <w:p w:rsidR="00C83F75" w:rsidRPr="007B6E69" w:rsidRDefault="00315909" w:rsidP="00C83F75">
      <w:pPr>
        <w:pStyle w:val="References0"/>
        <w:rPr>
          <w:rFonts w:asciiTheme="minorHAnsi" w:hAnsiTheme="minorHAnsi"/>
        </w:rPr>
      </w:pPr>
      <w:r>
        <w:rPr>
          <w:rFonts w:asciiTheme="minorHAnsi" w:hAnsiTheme="minorHAnsi"/>
        </w:rPr>
        <w:t>Commonwealth of Australia</w:t>
      </w:r>
      <w:r w:rsidR="00C83F75" w:rsidRPr="007B6E69">
        <w:rPr>
          <w:rFonts w:asciiTheme="minorHAnsi" w:hAnsiTheme="minorHAnsi"/>
        </w:rPr>
        <w:t xml:space="preserve"> (2016). </w:t>
      </w:r>
      <w:r w:rsidR="00C83F75" w:rsidRPr="007B6E69">
        <w:rPr>
          <w:rFonts w:asciiTheme="minorHAnsi" w:hAnsiTheme="minorHAnsi"/>
          <w:i/>
        </w:rPr>
        <w:t>Vehicle Standard (Australian Design Rule 43/04 – Vehicle Configuration and Dimensions) 2006</w:t>
      </w:r>
      <w:r w:rsidR="00C83F75" w:rsidRPr="007B6E69">
        <w:rPr>
          <w:rFonts w:asciiTheme="minorHAnsi" w:hAnsiTheme="minorHAnsi"/>
        </w:rPr>
        <w:t xml:space="preserve">. Retrieved </w:t>
      </w:r>
      <w:r w:rsidR="008A5EDB">
        <w:rPr>
          <w:rFonts w:asciiTheme="minorHAnsi" w:hAnsiTheme="minorHAnsi"/>
        </w:rPr>
        <w:t>August 2022</w:t>
      </w:r>
      <w:r w:rsidR="00C83F75" w:rsidRPr="007B6E69">
        <w:rPr>
          <w:rFonts w:asciiTheme="minorHAnsi" w:hAnsiTheme="minorHAnsi"/>
        </w:rPr>
        <w:t xml:space="preserve"> from </w:t>
      </w:r>
      <w:hyperlink r:id="rId48" w:history="1">
        <w:r w:rsidR="00C83F75" w:rsidRPr="007B6E69">
          <w:rPr>
            <w:rStyle w:val="Hyperlink"/>
            <w:rFonts w:asciiTheme="minorHAnsi" w:hAnsiTheme="minorHAnsi"/>
          </w:rPr>
          <w:t>www.legislation.gov.au/Details/F2016C00480</w:t>
        </w:r>
      </w:hyperlink>
      <w:r w:rsidR="00C83F75" w:rsidRPr="007B6E69">
        <w:rPr>
          <w:rFonts w:asciiTheme="minorHAnsi" w:hAnsiTheme="minorHAnsi"/>
        </w:rPr>
        <w:t>.</w:t>
      </w:r>
    </w:p>
    <w:p w:rsidR="00C83F75" w:rsidRPr="00AF42DB" w:rsidRDefault="00315909" w:rsidP="00C83F75">
      <w:pPr>
        <w:pStyle w:val="References0"/>
        <w:rPr>
          <w:rFonts w:asciiTheme="minorHAnsi" w:hAnsiTheme="minorHAnsi"/>
        </w:rPr>
      </w:pPr>
      <w:r>
        <w:rPr>
          <w:rFonts w:asciiTheme="minorHAnsi" w:hAnsiTheme="minorHAnsi"/>
        </w:rPr>
        <w:t>Commonwealth of Australia</w:t>
      </w:r>
      <w:r w:rsidR="00C83F75" w:rsidRPr="007B6E69">
        <w:rPr>
          <w:rFonts w:asciiTheme="minorHAnsi" w:hAnsiTheme="minorHAnsi"/>
        </w:rPr>
        <w:t xml:space="preserve"> (2018a). </w:t>
      </w:r>
      <w:r w:rsidR="00C83F75" w:rsidRPr="007B6E69">
        <w:rPr>
          <w:rFonts w:asciiTheme="minorHAnsi" w:hAnsiTheme="minorHAnsi"/>
          <w:i/>
        </w:rPr>
        <w:t>National Road Safety Action Plan 2018-2020</w:t>
      </w:r>
      <w:r w:rsidR="00C83F75" w:rsidRPr="007B6E69">
        <w:rPr>
          <w:rFonts w:asciiTheme="minorHAnsi" w:hAnsiTheme="minorHAnsi"/>
        </w:rPr>
        <w:t xml:space="preserve">. Retrieved </w:t>
      </w:r>
      <w:r w:rsidR="008A5EDB">
        <w:rPr>
          <w:rFonts w:asciiTheme="minorHAnsi" w:hAnsiTheme="minorHAnsi"/>
        </w:rPr>
        <w:t>August 2022</w:t>
      </w:r>
      <w:r w:rsidR="00C83F75" w:rsidRPr="007B6E69">
        <w:rPr>
          <w:rFonts w:asciiTheme="minorHAnsi" w:hAnsiTheme="minorHAnsi"/>
        </w:rPr>
        <w:t xml:space="preserve"> </w:t>
      </w:r>
      <w:r w:rsidR="00C83F75" w:rsidRPr="00AF42DB">
        <w:rPr>
          <w:rFonts w:asciiTheme="minorHAnsi" w:hAnsiTheme="minorHAnsi"/>
        </w:rPr>
        <w:t>from </w:t>
      </w:r>
      <w:hyperlink r:id="rId49" w:history="1">
        <w:r w:rsidR="00C83F75" w:rsidRPr="00AF42DB">
          <w:rPr>
            <w:rStyle w:val="Hyperlink"/>
            <w:rFonts w:asciiTheme="minorHAnsi" w:hAnsiTheme="minorHAnsi"/>
          </w:rPr>
          <w:t>www.roadsafety.gov.au/action-plan/2018-2020</w:t>
        </w:r>
      </w:hyperlink>
      <w:r w:rsidR="00C83F75" w:rsidRPr="00AF42DB">
        <w:rPr>
          <w:rFonts w:asciiTheme="minorHAnsi" w:hAnsiTheme="minorHAnsi"/>
        </w:rPr>
        <w:t>.</w:t>
      </w:r>
    </w:p>
    <w:p w:rsidR="003447C3" w:rsidRDefault="005510C4" w:rsidP="00C83F75">
      <w:pPr>
        <w:pStyle w:val="References0"/>
        <w:rPr>
          <w:rFonts w:asciiTheme="minorHAnsi" w:hAnsiTheme="minorHAnsi"/>
        </w:rPr>
      </w:pPr>
      <w:r>
        <w:rPr>
          <w:rFonts w:asciiTheme="minorHAnsi" w:hAnsiTheme="minorHAnsi"/>
        </w:rPr>
        <w:t>Commonwealth of Australia</w:t>
      </w:r>
      <w:r w:rsidRPr="007B6E69">
        <w:rPr>
          <w:rFonts w:asciiTheme="minorHAnsi" w:hAnsiTheme="minorHAnsi"/>
        </w:rPr>
        <w:t xml:space="preserve"> (2018</w:t>
      </w:r>
      <w:r w:rsidR="00D7633A">
        <w:rPr>
          <w:rFonts w:asciiTheme="minorHAnsi" w:hAnsiTheme="minorHAnsi"/>
        </w:rPr>
        <w:t>b</w:t>
      </w:r>
      <w:r w:rsidRPr="007B6E69">
        <w:rPr>
          <w:rFonts w:asciiTheme="minorHAnsi" w:hAnsiTheme="minorHAnsi"/>
        </w:rPr>
        <w:t xml:space="preserve">). </w:t>
      </w:r>
      <w:r>
        <w:rPr>
          <w:rFonts w:asciiTheme="minorHAnsi" w:hAnsiTheme="minorHAnsi"/>
          <w:i/>
        </w:rPr>
        <w:t>Road Vehicle Standards Bill</w:t>
      </w:r>
      <w:r w:rsidRPr="007B6E69">
        <w:rPr>
          <w:rFonts w:asciiTheme="minorHAnsi" w:hAnsiTheme="minorHAnsi"/>
          <w:i/>
        </w:rPr>
        <w:t xml:space="preserve"> 2018</w:t>
      </w:r>
      <w:r>
        <w:rPr>
          <w:rFonts w:asciiTheme="minorHAnsi" w:hAnsiTheme="minorHAnsi"/>
          <w:i/>
        </w:rPr>
        <w:t xml:space="preserve"> Explanatory Memorandum</w:t>
      </w:r>
      <w:r w:rsidRPr="007B6E69">
        <w:rPr>
          <w:rFonts w:asciiTheme="minorHAnsi" w:hAnsiTheme="minorHAnsi"/>
        </w:rPr>
        <w:t xml:space="preserve">. Retrieved </w:t>
      </w:r>
      <w:r w:rsidR="008A5EDB">
        <w:rPr>
          <w:rFonts w:asciiTheme="minorHAnsi" w:hAnsiTheme="minorHAnsi"/>
        </w:rPr>
        <w:t>August</w:t>
      </w:r>
      <w:r>
        <w:rPr>
          <w:rFonts w:asciiTheme="minorHAnsi" w:hAnsiTheme="minorHAnsi"/>
        </w:rPr>
        <w:t xml:space="preserve"> 2022</w:t>
      </w:r>
      <w:r w:rsidRPr="007B6E69">
        <w:rPr>
          <w:rFonts w:asciiTheme="minorHAnsi" w:hAnsiTheme="minorHAnsi"/>
        </w:rPr>
        <w:t xml:space="preserve"> from </w:t>
      </w:r>
      <w:r>
        <w:rPr>
          <w:rFonts w:asciiTheme="minorHAnsi" w:hAnsiTheme="minorHAnsi"/>
        </w:rPr>
        <w:t xml:space="preserve"> </w:t>
      </w:r>
      <w:hyperlink r:id="rId50" w:history="1">
        <w:r w:rsidRPr="00B6456A">
          <w:rPr>
            <w:rStyle w:val="Hyperlink"/>
            <w:rFonts w:asciiTheme="minorHAnsi" w:hAnsiTheme="minorHAnsi"/>
          </w:rPr>
          <w:t>www.legislation.gov.au/Details/C2018B00005/Download</w:t>
        </w:r>
      </w:hyperlink>
      <w:r w:rsidR="008A5EDB">
        <w:rPr>
          <w:rFonts w:asciiTheme="minorHAnsi" w:hAnsiTheme="minorHAnsi"/>
        </w:rPr>
        <w:t>.</w:t>
      </w:r>
    </w:p>
    <w:p w:rsidR="00D7633A" w:rsidRDefault="00D7633A" w:rsidP="00D7633A">
      <w:pPr>
        <w:pStyle w:val="References0"/>
        <w:rPr>
          <w:rFonts w:asciiTheme="minorHAnsi" w:hAnsiTheme="minorHAnsi"/>
        </w:rPr>
      </w:pPr>
      <w:r w:rsidRPr="00AF42DB">
        <w:rPr>
          <w:rFonts w:asciiTheme="minorHAnsi" w:hAnsiTheme="minorHAnsi"/>
        </w:rPr>
        <w:t>Commonwealth of Australia</w:t>
      </w:r>
      <w:r>
        <w:rPr>
          <w:rFonts w:asciiTheme="minorHAnsi" w:hAnsiTheme="minorHAnsi"/>
        </w:rPr>
        <w:t xml:space="preserve"> (2018c</w:t>
      </w:r>
      <w:r w:rsidRPr="00AF42DB">
        <w:rPr>
          <w:rFonts w:asciiTheme="minorHAnsi" w:hAnsiTheme="minorHAnsi"/>
        </w:rPr>
        <w:t xml:space="preserve">). </w:t>
      </w:r>
      <w:r w:rsidRPr="00AF42DB">
        <w:rPr>
          <w:rFonts w:asciiTheme="minorHAnsi" w:hAnsiTheme="minorHAnsi"/>
          <w:i/>
        </w:rPr>
        <w:t>Vehicle Standard (Australian Design Rule 35/07 – Commercial Vehicle Brake Systems) 2022</w:t>
      </w:r>
      <w:r w:rsidRPr="00AF42DB">
        <w:rPr>
          <w:rFonts w:asciiTheme="minorHAnsi" w:hAnsiTheme="minorHAnsi"/>
        </w:rPr>
        <w:t>. Retrieved August 2022 from </w:t>
      </w:r>
      <w:hyperlink r:id="rId51" w:history="1">
        <w:r>
          <w:rPr>
            <w:rStyle w:val="Hyperlink"/>
            <w:rFonts w:asciiTheme="minorHAnsi" w:hAnsiTheme="minorHAnsi"/>
          </w:rPr>
          <w:t>www.legislation.gov.au/Details/F2022L00213</w:t>
        </w:r>
      </w:hyperlink>
      <w:r w:rsidRPr="00AF42DB">
        <w:rPr>
          <w:rFonts w:asciiTheme="minorHAnsi" w:hAnsiTheme="minorHAnsi"/>
        </w:rPr>
        <w:t>.</w:t>
      </w:r>
    </w:p>
    <w:p w:rsidR="00C83F75" w:rsidRPr="007B6E69" w:rsidRDefault="00315909" w:rsidP="00C83F75">
      <w:pPr>
        <w:pStyle w:val="References0"/>
        <w:rPr>
          <w:rFonts w:asciiTheme="minorHAnsi" w:hAnsiTheme="minorHAnsi"/>
        </w:rPr>
      </w:pPr>
      <w:r>
        <w:rPr>
          <w:rFonts w:asciiTheme="minorHAnsi" w:hAnsiTheme="minorHAnsi"/>
        </w:rPr>
        <w:t>Commonwealth of Australia</w:t>
      </w:r>
      <w:r w:rsidR="00C83F75" w:rsidRPr="007B6E69">
        <w:rPr>
          <w:rFonts w:asciiTheme="minorHAnsi" w:hAnsiTheme="minorHAnsi"/>
        </w:rPr>
        <w:t xml:space="preserve"> (2019). </w:t>
      </w:r>
      <w:r w:rsidR="00C83F75" w:rsidRPr="007B6E69">
        <w:rPr>
          <w:rFonts w:asciiTheme="minorHAnsi" w:hAnsiTheme="minorHAnsi"/>
          <w:i/>
        </w:rPr>
        <w:t>Road Vehicle Standards Act 2018</w:t>
      </w:r>
      <w:r w:rsidR="00C83F75" w:rsidRPr="007B6E69">
        <w:rPr>
          <w:rFonts w:asciiTheme="minorHAnsi" w:hAnsiTheme="minorHAnsi"/>
        </w:rPr>
        <w:t xml:space="preserve">. Retrieved </w:t>
      </w:r>
      <w:r w:rsidR="008A5EDB">
        <w:rPr>
          <w:rFonts w:asciiTheme="minorHAnsi" w:hAnsiTheme="minorHAnsi"/>
        </w:rPr>
        <w:t>August 2022</w:t>
      </w:r>
      <w:r w:rsidR="00C83F75" w:rsidRPr="007B6E69">
        <w:rPr>
          <w:rFonts w:asciiTheme="minorHAnsi" w:hAnsiTheme="minorHAnsi"/>
        </w:rPr>
        <w:t xml:space="preserve"> from </w:t>
      </w:r>
      <w:hyperlink r:id="rId52" w:history="1">
        <w:r w:rsidR="008A5EDB">
          <w:rPr>
            <w:rStyle w:val="Hyperlink"/>
            <w:rFonts w:asciiTheme="minorHAnsi" w:hAnsiTheme="minorHAnsi"/>
          </w:rPr>
          <w:t>www.legislation.gov.au/Details/C2021C00555</w:t>
        </w:r>
      </w:hyperlink>
      <w:r w:rsidR="00C83F75" w:rsidRPr="007B6E69">
        <w:rPr>
          <w:rFonts w:asciiTheme="minorHAnsi" w:hAnsiTheme="minorHAnsi"/>
        </w:rPr>
        <w:t>.</w:t>
      </w:r>
    </w:p>
    <w:p w:rsidR="0025667A" w:rsidRPr="007B6E69" w:rsidRDefault="00315909" w:rsidP="0025667A">
      <w:pPr>
        <w:pStyle w:val="References0"/>
        <w:rPr>
          <w:rFonts w:asciiTheme="minorHAnsi" w:hAnsiTheme="minorHAnsi"/>
        </w:rPr>
      </w:pPr>
      <w:r>
        <w:rPr>
          <w:rFonts w:asciiTheme="minorHAnsi" w:hAnsiTheme="minorHAnsi"/>
        </w:rPr>
        <w:t>Commonwealth of Australia</w:t>
      </w:r>
      <w:r w:rsidR="0025667A" w:rsidRPr="0025667A">
        <w:rPr>
          <w:rFonts w:asciiTheme="minorHAnsi" w:hAnsiTheme="minorHAnsi"/>
        </w:rPr>
        <w:t xml:space="preserve"> (2020). </w:t>
      </w:r>
      <w:r w:rsidR="0025667A" w:rsidRPr="00C420BE">
        <w:rPr>
          <w:rFonts w:asciiTheme="minorHAnsi" w:hAnsiTheme="minorHAnsi"/>
          <w:i/>
        </w:rPr>
        <w:t xml:space="preserve">Australian Government Guide </w:t>
      </w:r>
      <w:r w:rsidR="00176F2F" w:rsidRPr="00C420BE">
        <w:rPr>
          <w:rFonts w:asciiTheme="minorHAnsi" w:hAnsiTheme="minorHAnsi"/>
          <w:i/>
        </w:rPr>
        <w:t>to Regulatory Impact Analysis (Second e</w:t>
      </w:r>
      <w:r w:rsidR="0025667A" w:rsidRPr="00C420BE">
        <w:rPr>
          <w:rFonts w:asciiTheme="minorHAnsi" w:hAnsiTheme="minorHAnsi"/>
          <w:i/>
        </w:rPr>
        <w:t>dition</w:t>
      </w:r>
      <w:r w:rsidR="00176F2F" w:rsidRPr="00C420BE">
        <w:rPr>
          <w:rFonts w:asciiTheme="minorHAnsi" w:hAnsiTheme="minorHAnsi"/>
          <w:i/>
        </w:rPr>
        <w:t>)</w:t>
      </w:r>
      <w:r w:rsidR="0025667A" w:rsidRPr="0025667A">
        <w:rPr>
          <w:rFonts w:asciiTheme="minorHAnsi" w:hAnsiTheme="minorHAnsi"/>
        </w:rPr>
        <w:t>.</w:t>
      </w:r>
      <w:r w:rsidR="00176F2F">
        <w:rPr>
          <w:rFonts w:asciiTheme="minorHAnsi" w:hAnsiTheme="minorHAnsi"/>
        </w:rPr>
        <w:t xml:space="preserve"> </w:t>
      </w:r>
      <w:r w:rsidR="00176F2F" w:rsidRPr="007B6E69">
        <w:rPr>
          <w:rFonts w:asciiTheme="minorHAnsi" w:hAnsiTheme="minorHAnsi"/>
        </w:rPr>
        <w:t xml:space="preserve">Retrieved </w:t>
      </w:r>
      <w:r w:rsidR="00176F2F">
        <w:rPr>
          <w:rFonts w:asciiTheme="minorHAnsi" w:hAnsiTheme="minorHAnsi"/>
        </w:rPr>
        <w:t>August 2022</w:t>
      </w:r>
      <w:r w:rsidR="00176F2F" w:rsidRPr="007B6E69">
        <w:rPr>
          <w:rFonts w:asciiTheme="minorHAnsi" w:hAnsiTheme="minorHAnsi"/>
        </w:rPr>
        <w:t xml:space="preserve"> from</w:t>
      </w:r>
      <w:r w:rsidR="006F45D2">
        <w:rPr>
          <w:rFonts w:asciiTheme="minorHAnsi" w:hAnsiTheme="minorHAnsi"/>
        </w:rPr>
        <w:t xml:space="preserve"> </w:t>
      </w:r>
      <w:hyperlink r:id="rId53" w:history="1">
        <w:r w:rsidR="00D90BD0">
          <w:rPr>
            <w:rStyle w:val="Hyperlink"/>
            <w:rFonts w:asciiTheme="minorHAnsi" w:hAnsiTheme="minorHAnsi"/>
          </w:rPr>
          <w:t>obpr.pmc.gov.au/resources/guidance-impact-analysis/australian-government-guide-regulatory-impact-analysis</w:t>
        </w:r>
      </w:hyperlink>
    </w:p>
    <w:p w:rsidR="00CD2C0D" w:rsidRDefault="00315909" w:rsidP="00C83F75">
      <w:pPr>
        <w:pStyle w:val="References0"/>
        <w:rPr>
          <w:rFonts w:asciiTheme="minorHAnsi" w:hAnsiTheme="minorHAnsi"/>
        </w:rPr>
      </w:pPr>
      <w:r>
        <w:rPr>
          <w:rFonts w:asciiTheme="minorHAnsi" w:hAnsiTheme="minorHAnsi"/>
        </w:rPr>
        <w:t>Commonwealth of Australia</w:t>
      </w:r>
      <w:r w:rsidR="00CD2C0D" w:rsidRPr="007B6E69">
        <w:rPr>
          <w:rFonts w:asciiTheme="minorHAnsi" w:hAnsiTheme="minorHAnsi"/>
        </w:rPr>
        <w:t xml:space="preserve"> (2021</w:t>
      </w:r>
      <w:r w:rsidR="00FB35E5">
        <w:rPr>
          <w:rFonts w:asciiTheme="minorHAnsi" w:hAnsiTheme="minorHAnsi"/>
        </w:rPr>
        <w:t>a</w:t>
      </w:r>
      <w:r w:rsidR="00CD2C0D" w:rsidRPr="007B6E69">
        <w:rPr>
          <w:rFonts w:asciiTheme="minorHAnsi" w:hAnsiTheme="minorHAnsi"/>
        </w:rPr>
        <w:t xml:space="preserve">). </w:t>
      </w:r>
      <w:r w:rsidR="00CD2C0D" w:rsidRPr="007B6E69">
        <w:rPr>
          <w:rFonts w:asciiTheme="minorHAnsi" w:hAnsiTheme="minorHAnsi"/>
          <w:i/>
        </w:rPr>
        <w:t>Safer Freight Vehicles Discussion Paper</w:t>
      </w:r>
      <w:r w:rsidR="00CD2C0D" w:rsidRPr="007B6E69">
        <w:rPr>
          <w:rFonts w:asciiTheme="minorHAnsi" w:hAnsiTheme="minorHAnsi"/>
        </w:rPr>
        <w:t>.</w:t>
      </w:r>
    </w:p>
    <w:p w:rsidR="00FB35E5" w:rsidRDefault="00FB35E5" w:rsidP="00FB35E5">
      <w:pPr>
        <w:pStyle w:val="References0"/>
        <w:rPr>
          <w:rFonts w:asciiTheme="minorHAnsi" w:hAnsiTheme="minorHAnsi"/>
        </w:rPr>
      </w:pPr>
      <w:r>
        <w:rPr>
          <w:rFonts w:asciiTheme="minorHAnsi" w:hAnsiTheme="minorHAnsi"/>
        </w:rPr>
        <w:t>Commonwealth of Australia</w:t>
      </w:r>
      <w:r w:rsidRPr="007B6E69">
        <w:rPr>
          <w:rFonts w:asciiTheme="minorHAnsi" w:hAnsiTheme="minorHAnsi"/>
        </w:rPr>
        <w:t xml:space="preserve"> (202</w:t>
      </w:r>
      <w:r>
        <w:rPr>
          <w:rFonts w:asciiTheme="minorHAnsi" w:hAnsiTheme="minorHAnsi"/>
        </w:rPr>
        <w:t>1b</w:t>
      </w:r>
      <w:r w:rsidRPr="007B6E69">
        <w:rPr>
          <w:rFonts w:asciiTheme="minorHAnsi" w:hAnsiTheme="minorHAnsi"/>
        </w:rPr>
        <w:t xml:space="preserve">). </w:t>
      </w:r>
      <w:r w:rsidRPr="007B6E69">
        <w:rPr>
          <w:rFonts w:asciiTheme="minorHAnsi" w:hAnsiTheme="minorHAnsi"/>
          <w:i/>
        </w:rPr>
        <w:t>Vehicle Standard (Australian Design Rule – Definitions and Vehicle Categories) 2005</w:t>
      </w:r>
      <w:r w:rsidRPr="007B6E69">
        <w:rPr>
          <w:rFonts w:asciiTheme="minorHAnsi" w:hAnsiTheme="minorHAnsi"/>
        </w:rPr>
        <w:t xml:space="preserve">. Retrieved </w:t>
      </w:r>
      <w:r>
        <w:rPr>
          <w:rFonts w:asciiTheme="minorHAnsi" w:hAnsiTheme="minorHAnsi"/>
        </w:rPr>
        <w:t xml:space="preserve">August 2022 from </w:t>
      </w:r>
      <w:hyperlink r:id="rId54" w:history="1">
        <w:r>
          <w:rPr>
            <w:rStyle w:val="Hyperlink"/>
            <w:rFonts w:asciiTheme="minorHAnsi" w:hAnsiTheme="minorHAnsi"/>
          </w:rPr>
          <w:t>www.legislation.gov.au/Details/F2021C01202</w:t>
        </w:r>
      </w:hyperlink>
      <w:r w:rsidRPr="007B6E69">
        <w:rPr>
          <w:rFonts w:asciiTheme="minorHAnsi" w:hAnsiTheme="minorHAnsi"/>
        </w:rPr>
        <w:t>.</w:t>
      </w:r>
    </w:p>
    <w:p w:rsidR="00C83F75" w:rsidRPr="007B6E69" w:rsidRDefault="00C83F75" w:rsidP="00C83F75">
      <w:pPr>
        <w:pStyle w:val="References0"/>
        <w:rPr>
          <w:rFonts w:asciiTheme="minorHAnsi" w:hAnsiTheme="minorHAnsi"/>
        </w:rPr>
      </w:pPr>
      <w:r w:rsidRPr="00D70150">
        <w:rPr>
          <w:rFonts w:asciiTheme="minorHAnsi" w:hAnsiTheme="minorHAnsi"/>
        </w:rPr>
        <w:t xml:space="preserve">EU (2019). </w:t>
      </w:r>
      <w:r w:rsidRPr="00D70150">
        <w:rPr>
          <w:rFonts w:asciiTheme="minorHAnsi" w:hAnsiTheme="minorHAnsi"/>
          <w:i/>
        </w:rPr>
        <w:t>Commission Regulation (EU) No 1230/2012</w:t>
      </w:r>
      <w:r w:rsidRPr="00D70150">
        <w:rPr>
          <w:rFonts w:asciiTheme="minorHAnsi" w:hAnsiTheme="minorHAnsi"/>
        </w:rPr>
        <w:t xml:space="preserve">. Retrieved November 2020 </w:t>
      </w:r>
      <w:r w:rsidRPr="00D70150">
        <w:rPr>
          <w:rFonts w:asciiTheme="minorHAnsi" w:hAnsiTheme="minorHAnsi"/>
        </w:rPr>
        <w:br/>
        <w:t>from </w:t>
      </w:r>
      <w:hyperlink r:id="rId55" w:history="1">
        <w:r w:rsidRPr="00D70150">
          <w:rPr>
            <w:rStyle w:val="Hyperlink"/>
            <w:rFonts w:asciiTheme="minorHAnsi" w:hAnsiTheme="minorHAnsi"/>
          </w:rPr>
          <w:t>eur-lex.europa.eu/legal-content/EN/TXT/?uri=CELEX%3A02012R1230-20191202</w:t>
        </w:r>
      </w:hyperlink>
      <w:r w:rsidRPr="00D70150">
        <w:rPr>
          <w:rFonts w:asciiTheme="minorHAnsi" w:hAnsiTheme="minorHAnsi"/>
        </w:rPr>
        <w:t>.</w:t>
      </w:r>
    </w:p>
    <w:p w:rsidR="00C83F75" w:rsidRPr="007B6E69" w:rsidRDefault="00C83F75" w:rsidP="00C83F75">
      <w:pPr>
        <w:pStyle w:val="References0"/>
        <w:rPr>
          <w:rFonts w:asciiTheme="minorHAnsi" w:hAnsiTheme="minorHAnsi"/>
        </w:rPr>
      </w:pPr>
      <w:r w:rsidRPr="007B6E69">
        <w:rPr>
          <w:rFonts w:asciiTheme="minorHAnsi" w:hAnsiTheme="minorHAnsi"/>
        </w:rPr>
        <w:t>NHVR (2019).</w:t>
      </w:r>
      <w:r w:rsidRPr="007B6E69">
        <w:rPr>
          <w:rFonts w:asciiTheme="minorHAnsi" w:hAnsiTheme="minorHAnsi"/>
          <w:i/>
        </w:rPr>
        <w:t xml:space="preserve"> Performance Based Standards: An introduction for road managers</w:t>
      </w:r>
      <w:r w:rsidRPr="007B6E69">
        <w:rPr>
          <w:rFonts w:asciiTheme="minorHAnsi" w:hAnsiTheme="minorHAnsi"/>
        </w:rPr>
        <w:t xml:space="preserve">. Retrieved </w:t>
      </w:r>
      <w:r w:rsidR="004E4B71">
        <w:rPr>
          <w:rFonts w:asciiTheme="minorHAnsi" w:hAnsiTheme="minorHAnsi"/>
        </w:rPr>
        <w:t>August 2022</w:t>
      </w:r>
      <w:r w:rsidRPr="007B6E69">
        <w:rPr>
          <w:rFonts w:asciiTheme="minorHAnsi" w:hAnsiTheme="minorHAnsi"/>
        </w:rPr>
        <w:t xml:space="preserve"> from </w:t>
      </w:r>
      <w:hyperlink r:id="rId56" w:history="1">
        <w:r w:rsidR="004E4B71">
          <w:rPr>
            <w:rStyle w:val="Hyperlink"/>
            <w:rFonts w:asciiTheme="minorHAnsi" w:hAnsiTheme="minorHAnsi"/>
          </w:rPr>
          <w:t>www.nhvr.gov.au/about-us/publications</w:t>
        </w:r>
      </w:hyperlink>
      <w:r w:rsidRPr="007B6E69">
        <w:rPr>
          <w:rFonts w:asciiTheme="minorHAnsi" w:hAnsiTheme="minorHAnsi"/>
        </w:rPr>
        <w:t>.</w:t>
      </w:r>
    </w:p>
    <w:p w:rsidR="00C83F75" w:rsidRPr="007B6E69" w:rsidRDefault="00C83F75" w:rsidP="00C83F75">
      <w:pPr>
        <w:pStyle w:val="References0"/>
        <w:rPr>
          <w:rFonts w:asciiTheme="minorHAnsi" w:hAnsiTheme="minorHAnsi"/>
        </w:rPr>
      </w:pPr>
      <w:r w:rsidRPr="007B6E69">
        <w:rPr>
          <w:rFonts w:asciiTheme="minorHAnsi" w:hAnsiTheme="minorHAnsi"/>
        </w:rPr>
        <w:t xml:space="preserve">NHVR (2020). </w:t>
      </w:r>
      <w:r w:rsidRPr="007B6E69">
        <w:rPr>
          <w:rFonts w:asciiTheme="minorHAnsi" w:hAnsiTheme="minorHAnsi"/>
          <w:i/>
        </w:rPr>
        <w:t>Vehicle Safety and Environmental Technology Uptake Plan</w:t>
      </w:r>
      <w:r w:rsidRPr="007B6E69">
        <w:rPr>
          <w:rFonts w:asciiTheme="minorHAnsi" w:hAnsiTheme="minorHAnsi"/>
        </w:rPr>
        <w:t xml:space="preserve">. Retrieved </w:t>
      </w:r>
      <w:r w:rsidR="00D90BD0">
        <w:rPr>
          <w:rFonts w:asciiTheme="minorHAnsi" w:hAnsiTheme="minorHAnsi"/>
        </w:rPr>
        <w:t>August 2022</w:t>
      </w:r>
      <w:r w:rsidR="006F45D2">
        <w:rPr>
          <w:rFonts w:asciiTheme="minorHAnsi" w:hAnsiTheme="minorHAnsi"/>
        </w:rPr>
        <w:t xml:space="preserve"> </w:t>
      </w:r>
      <w:r w:rsidR="006F45D2">
        <w:rPr>
          <w:rFonts w:asciiTheme="minorHAnsi" w:hAnsiTheme="minorHAnsi"/>
        </w:rPr>
        <w:br/>
        <w:t xml:space="preserve">from </w:t>
      </w:r>
      <w:hyperlink r:id="rId57" w:history="1">
        <w:r w:rsidR="006F45D2">
          <w:rPr>
            <w:rStyle w:val="Hyperlink"/>
            <w:rFonts w:asciiTheme="minorHAnsi" w:hAnsiTheme="minorHAnsi"/>
          </w:rPr>
          <w:t>www.nhvr.gov.au/safety-accreditation-compliance/vehicle-standards-and-modifications/vehicle-safety-and-environmental-technology-uptake-plan</w:t>
        </w:r>
      </w:hyperlink>
      <w:r w:rsidRPr="007B6E69">
        <w:rPr>
          <w:rFonts w:asciiTheme="minorHAnsi" w:hAnsiTheme="minorHAnsi"/>
        </w:rPr>
        <w:t>.</w:t>
      </w:r>
    </w:p>
    <w:p w:rsidR="00C83F75" w:rsidRPr="007B6E69" w:rsidRDefault="00303FC6" w:rsidP="00C83F75">
      <w:pPr>
        <w:pStyle w:val="References0"/>
        <w:rPr>
          <w:rFonts w:asciiTheme="minorHAnsi" w:hAnsiTheme="minorHAnsi"/>
        </w:rPr>
      </w:pPr>
      <w:r>
        <w:rPr>
          <w:rFonts w:asciiTheme="minorHAnsi" w:hAnsiTheme="minorHAnsi"/>
        </w:rPr>
        <w:t>State of Queensland (2021</w:t>
      </w:r>
      <w:r w:rsidR="00C83F75" w:rsidRPr="007B6E69">
        <w:rPr>
          <w:rFonts w:asciiTheme="minorHAnsi" w:hAnsiTheme="minorHAnsi"/>
        </w:rPr>
        <w:t xml:space="preserve">). </w:t>
      </w:r>
      <w:r w:rsidR="00C83F75" w:rsidRPr="007B6E69">
        <w:rPr>
          <w:rFonts w:asciiTheme="minorHAnsi" w:hAnsiTheme="minorHAnsi"/>
          <w:i/>
        </w:rPr>
        <w:t>Heavy Vehicle National Law</w:t>
      </w:r>
      <w:r w:rsidR="00C83F75" w:rsidRPr="007B6E69">
        <w:rPr>
          <w:rFonts w:asciiTheme="minorHAnsi" w:hAnsiTheme="minorHAnsi"/>
        </w:rPr>
        <w:t xml:space="preserve">. Retrieved </w:t>
      </w:r>
      <w:r w:rsidR="00672959">
        <w:rPr>
          <w:rFonts w:asciiTheme="minorHAnsi" w:hAnsiTheme="minorHAnsi"/>
        </w:rPr>
        <w:t>August 2022</w:t>
      </w:r>
      <w:r w:rsidR="00C83F75" w:rsidRPr="007B6E69">
        <w:rPr>
          <w:rFonts w:asciiTheme="minorHAnsi" w:hAnsiTheme="minorHAnsi"/>
        </w:rPr>
        <w:t xml:space="preserve"> from </w:t>
      </w:r>
      <w:hyperlink r:id="rId58" w:history="1">
        <w:r w:rsidR="00C83F75" w:rsidRPr="007B6E69">
          <w:rPr>
            <w:rStyle w:val="Hyperlink"/>
            <w:rFonts w:asciiTheme="minorHAnsi" w:hAnsiTheme="minorHAnsi"/>
          </w:rPr>
          <w:t>www.legislation.qld.gov.au/view/pdf/inforce/current/act-2012-hvnlq</w:t>
        </w:r>
      </w:hyperlink>
      <w:r w:rsidR="00C83F75" w:rsidRPr="007B6E69">
        <w:rPr>
          <w:rFonts w:asciiTheme="minorHAnsi" w:hAnsiTheme="minorHAnsi"/>
        </w:rPr>
        <w:t>.</w:t>
      </w:r>
    </w:p>
    <w:p w:rsidR="00C83F75" w:rsidRPr="007B6E69" w:rsidRDefault="00C83F75" w:rsidP="00C83F75">
      <w:pPr>
        <w:pStyle w:val="References0"/>
        <w:rPr>
          <w:rFonts w:asciiTheme="minorHAnsi" w:hAnsiTheme="minorHAnsi"/>
        </w:rPr>
      </w:pPr>
      <w:r w:rsidRPr="007B6E69">
        <w:rPr>
          <w:rFonts w:asciiTheme="minorHAnsi" w:hAnsiTheme="minorHAnsi"/>
        </w:rPr>
        <w:t xml:space="preserve">UN (2010). </w:t>
      </w:r>
      <w:r w:rsidRPr="007B6E69">
        <w:rPr>
          <w:rFonts w:asciiTheme="minorHAnsi" w:hAnsiTheme="minorHAnsi"/>
          <w:i/>
        </w:rPr>
        <w:t>United Nations Regulation No. 104 – Uniform provisions concerning the approval of retro-reflective markings for vehicles of category M, N, and O</w:t>
      </w:r>
      <w:r w:rsidRPr="007B6E69">
        <w:rPr>
          <w:rFonts w:asciiTheme="minorHAnsi" w:hAnsiTheme="minorHAnsi"/>
        </w:rPr>
        <w:t xml:space="preserve">. Retrieved </w:t>
      </w:r>
      <w:r w:rsidR="00656D2F">
        <w:rPr>
          <w:rFonts w:asciiTheme="minorHAnsi" w:hAnsiTheme="minorHAnsi"/>
        </w:rPr>
        <w:t>August 2022</w:t>
      </w:r>
      <w:r w:rsidRPr="007B6E69">
        <w:rPr>
          <w:rFonts w:asciiTheme="minorHAnsi" w:hAnsiTheme="minorHAnsi"/>
        </w:rPr>
        <w:t xml:space="preserve"> from </w:t>
      </w:r>
      <w:hyperlink r:id="rId59" w:history="1">
        <w:r w:rsidRPr="007B6E69">
          <w:rPr>
            <w:rStyle w:val="Hyperlink"/>
            <w:rFonts w:asciiTheme="minorHAnsi" w:hAnsiTheme="minorHAnsi"/>
          </w:rPr>
          <w:t>www.unece.org/trans/main/wp29/wp29regs101-120.html</w:t>
        </w:r>
      </w:hyperlink>
      <w:r w:rsidRPr="007B6E69">
        <w:rPr>
          <w:rFonts w:asciiTheme="minorHAnsi" w:hAnsiTheme="minorHAnsi"/>
        </w:rPr>
        <w:t>.</w:t>
      </w:r>
    </w:p>
    <w:p w:rsidR="00C83F75" w:rsidRPr="007B6E69" w:rsidRDefault="00C83F75" w:rsidP="00C83F75">
      <w:pPr>
        <w:pStyle w:val="References0"/>
        <w:rPr>
          <w:rFonts w:asciiTheme="minorHAnsi" w:hAnsiTheme="minorHAnsi"/>
        </w:rPr>
      </w:pPr>
      <w:r w:rsidRPr="007B6E69">
        <w:rPr>
          <w:rFonts w:asciiTheme="minorHAnsi" w:hAnsiTheme="minorHAnsi"/>
        </w:rPr>
        <w:t xml:space="preserve">UN (2011). </w:t>
      </w:r>
      <w:r w:rsidRPr="007B6E69">
        <w:rPr>
          <w:rFonts w:asciiTheme="minorHAnsi" w:hAnsiTheme="minorHAnsi"/>
          <w:i/>
        </w:rPr>
        <w:t>United Nations Regulation No. 73 – Revision 1 – Uniform provisions concerning the approval of vehicles with regard to their lateral protection devices (LPDS)</w:t>
      </w:r>
      <w:r w:rsidRPr="007B6E69">
        <w:rPr>
          <w:rFonts w:asciiTheme="minorHAnsi" w:hAnsiTheme="minorHAnsi"/>
        </w:rPr>
        <w:t xml:space="preserve">. Retrieved </w:t>
      </w:r>
      <w:r w:rsidR="00656D2F">
        <w:rPr>
          <w:rFonts w:asciiTheme="minorHAnsi" w:hAnsiTheme="minorHAnsi"/>
        </w:rPr>
        <w:t>August 2022</w:t>
      </w:r>
      <w:r w:rsidRPr="007B6E69">
        <w:rPr>
          <w:rFonts w:asciiTheme="minorHAnsi" w:hAnsiTheme="minorHAnsi"/>
        </w:rPr>
        <w:t xml:space="preserve"> from </w:t>
      </w:r>
      <w:hyperlink r:id="rId60" w:history="1">
        <w:r w:rsidRPr="007B6E69">
          <w:rPr>
            <w:rStyle w:val="Hyperlink"/>
            <w:rFonts w:asciiTheme="minorHAnsi" w:hAnsiTheme="minorHAnsi"/>
          </w:rPr>
          <w:t>www.unece.org/trans/main/wp29/wp29regs61-80.html</w:t>
        </w:r>
      </w:hyperlink>
      <w:r w:rsidRPr="007B6E69">
        <w:rPr>
          <w:rFonts w:asciiTheme="minorHAnsi" w:hAnsiTheme="minorHAnsi"/>
        </w:rPr>
        <w:t>.</w:t>
      </w:r>
    </w:p>
    <w:p w:rsidR="00C83F75" w:rsidRPr="007B6E69" w:rsidRDefault="00C83F75" w:rsidP="00C83F75">
      <w:pPr>
        <w:pStyle w:val="References0"/>
        <w:rPr>
          <w:rFonts w:asciiTheme="minorHAnsi" w:hAnsiTheme="minorHAnsi"/>
        </w:rPr>
      </w:pPr>
      <w:r w:rsidRPr="007B6E69">
        <w:rPr>
          <w:rFonts w:asciiTheme="minorHAnsi" w:hAnsiTheme="minorHAnsi"/>
        </w:rPr>
        <w:t xml:space="preserve">UN (2013). </w:t>
      </w:r>
      <w:r w:rsidRPr="007B6E69">
        <w:rPr>
          <w:rFonts w:asciiTheme="minorHAnsi" w:hAnsiTheme="minorHAnsi"/>
          <w:i/>
        </w:rPr>
        <w:t>United Nations Regulation No. 130 – Uniform provisions concerning the approval of motor vehicles with regard to the Lane Departure Warning System (LDWS)</w:t>
      </w:r>
      <w:r w:rsidRPr="007B6E69">
        <w:rPr>
          <w:rFonts w:asciiTheme="minorHAnsi" w:hAnsiTheme="minorHAnsi"/>
        </w:rPr>
        <w:t xml:space="preserve">. Retrieved </w:t>
      </w:r>
      <w:r w:rsidR="00656D2F">
        <w:rPr>
          <w:rFonts w:asciiTheme="minorHAnsi" w:hAnsiTheme="minorHAnsi"/>
        </w:rPr>
        <w:t>August 2022</w:t>
      </w:r>
      <w:r w:rsidRPr="007B6E69">
        <w:rPr>
          <w:rFonts w:asciiTheme="minorHAnsi" w:hAnsiTheme="minorHAnsi"/>
        </w:rPr>
        <w:t xml:space="preserve"> from </w:t>
      </w:r>
      <w:hyperlink r:id="rId61" w:history="1">
        <w:r w:rsidRPr="007B6E69">
          <w:rPr>
            <w:rStyle w:val="Hyperlink"/>
            <w:rFonts w:asciiTheme="minorHAnsi" w:hAnsiTheme="minorHAnsi"/>
          </w:rPr>
          <w:t>www.unece.org/trans/main/wp29/wp29regs121-140.html</w:t>
        </w:r>
      </w:hyperlink>
      <w:r w:rsidRPr="007B6E69">
        <w:rPr>
          <w:rFonts w:asciiTheme="minorHAnsi" w:hAnsiTheme="minorHAnsi"/>
        </w:rPr>
        <w:t>.</w:t>
      </w:r>
    </w:p>
    <w:p w:rsidR="00C83F75" w:rsidRPr="007B6E69" w:rsidRDefault="00C83F75" w:rsidP="00C83F75">
      <w:pPr>
        <w:pStyle w:val="References0"/>
        <w:rPr>
          <w:rFonts w:asciiTheme="minorHAnsi" w:hAnsiTheme="minorHAnsi"/>
        </w:rPr>
      </w:pPr>
      <w:r w:rsidRPr="007B6E69">
        <w:rPr>
          <w:rFonts w:asciiTheme="minorHAnsi" w:hAnsiTheme="minorHAnsi"/>
        </w:rPr>
        <w:t xml:space="preserve">UN (2014a). </w:t>
      </w:r>
      <w:r w:rsidRPr="007B6E69">
        <w:rPr>
          <w:rFonts w:asciiTheme="minorHAnsi" w:hAnsiTheme="minorHAnsi"/>
          <w:i/>
        </w:rPr>
        <w:t>United Nations Regulation No. 13 – Revision 8 – Uniform provisions concerning the approval of vehicles of categories M, N and O with regard to braking</w:t>
      </w:r>
      <w:r w:rsidRPr="007B6E69">
        <w:rPr>
          <w:rFonts w:asciiTheme="minorHAnsi" w:hAnsiTheme="minorHAnsi"/>
        </w:rPr>
        <w:t xml:space="preserve">. Retrieved </w:t>
      </w:r>
      <w:r w:rsidR="00656D2F">
        <w:rPr>
          <w:rFonts w:asciiTheme="minorHAnsi" w:hAnsiTheme="minorHAnsi"/>
        </w:rPr>
        <w:t>August 2022</w:t>
      </w:r>
      <w:r w:rsidRPr="007B6E69">
        <w:rPr>
          <w:rFonts w:asciiTheme="minorHAnsi" w:hAnsiTheme="minorHAnsi"/>
        </w:rPr>
        <w:t xml:space="preserve"> from </w:t>
      </w:r>
      <w:hyperlink r:id="rId62" w:history="1">
        <w:r w:rsidRPr="007B6E69">
          <w:rPr>
            <w:rStyle w:val="Hyperlink"/>
            <w:rFonts w:asciiTheme="minorHAnsi" w:hAnsiTheme="minorHAnsi"/>
          </w:rPr>
          <w:t>www.unece.org/trans/main/wp29/wp29regs0-20.html</w:t>
        </w:r>
      </w:hyperlink>
      <w:r w:rsidRPr="007B6E69">
        <w:rPr>
          <w:rFonts w:asciiTheme="minorHAnsi" w:hAnsiTheme="minorHAnsi"/>
        </w:rPr>
        <w:t>.</w:t>
      </w:r>
    </w:p>
    <w:p w:rsidR="00C83F75" w:rsidRPr="007B6E69" w:rsidRDefault="00C83F75" w:rsidP="00C83F75">
      <w:pPr>
        <w:pStyle w:val="References0"/>
        <w:rPr>
          <w:rFonts w:asciiTheme="minorHAnsi" w:hAnsiTheme="minorHAnsi"/>
        </w:rPr>
      </w:pPr>
      <w:r w:rsidRPr="007B6E69">
        <w:rPr>
          <w:rFonts w:asciiTheme="minorHAnsi" w:hAnsiTheme="minorHAnsi"/>
        </w:rPr>
        <w:t xml:space="preserve">UN (2014b). </w:t>
      </w:r>
      <w:r w:rsidRPr="007B6E69">
        <w:rPr>
          <w:rFonts w:asciiTheme="minorHAnsi" w:hAnsiTheme="minorHAnsi"/>
          <w:i/>
        </w:rPr>
        <w:t>United Nations Regulation No. 131 – Revision 1 – Uniform provisions concerning the approval of motor vehicles with regard to the Advanced Emergency Braking Systems (AEBS)</w:t>
      </w:r>
      <w:r w:rsidRPr="007B6E69">
        <w:rPr>
          <w:rFonts w:asciiTheme="minorHAnsi" w:hAnsiTheme="minorHAnsi"/>
        </w:rPr>
        <w:t xml:space="preserve">. Retrieved </w:t>
      </w:r>
      <w:r w:rsidR="007214CC">
        <w:rPr>
          <w:rFonts w:asciiTheme="minorHAnsi" w:hAnsiTheme="minorHAnsi"/>
        </w:rPr>
        <w:t>August 2022</w:t>
      </w:r>
      <w:r w:rsidRPr="007B6E69">
        <w:rPr>
          <w:rFonts w:asciiTheme="minorHAnsi" w:hAnsiTheme="minorHAnsi"/>
        </w:rPr>
        <w:t xml:space="preserve"> from </w:t>
      </w:r>
      <w:hyperlink r:id="rId63" w:history="1">
        <w:r w:rsidRPr="007B6E69">
          <w:rPr>
            <w:rStyle w:val="Hyperlink"/>
            <w:rFonts w:asciiTheme="minorHAnsi" w:hAnsiTheme="minorHAnsi"/>
          </w:rPr>
          <w:t>www.unece.org/trans/main/wp29/wp29regs121-140.html</w:t>
        </w:r>
      </w:hyperlink>
      <w:r w:rsidRPr="007B6E69">
        <w:rPr>
          <w:rFonts w:asciiTheme="minorHAnsi" w:hAnsiTheme="minorHAnsi"/>
        </w:rPr>
        <w:t>.</w:t>
      </w:r>
    </w:p>
    <w:p w:rsidR="00C83F75" w:rsidRPr="007B6E69" w:rsidRDefault="00C83F75" w:rsidP="00C83F75">
      <w:pPr>
        <w:pStyle w:val="References0"/>
        <w:rPr>
          <w:rFonts w:asciiTheme="minorHAnsi" w:hAnsiTheme="minorHAnsi"/>
        </w:rPr>
      </w:pPr>
      <w:r w:rsidRPr="007B6E69">
        <w:rPr>
          <w:rFonts w:asciiTheme="minorHAnsi" w:hAnsiTheme="minorHAnsi"/>
        </w:rPr>
        <w:t xml:space="preserve">UN (2014c). </w:t>
      </w:r>
      <w:r w:rsidRPr="007B6E69">
        <w:rPr>
          <w:rFonts w:asciiTheme="minorHAnsi" w:hAnsiTheme="minorHAnsi"/>
          <w:i/>
        </w:rPr>
        <w:t>United Nations Regulation No. 48 – Revision 12 – Uniform provisions concerning the approval of vehicles with regard to the installation of lighting and light-signalling devices</w:t>
      </w:r>
      <w:r w:rsidRPr="007B6E69">
        <w:rPr>
          <w:rFonts w:asciiTheme="minorHAnsi" w:hAnsiTheme="minorHAnsi"/>
        </w:rPr>
        <w:t xml:space="preserve">. Retrieved </w:t>
      </w:r>
      <w:r w:rsidR="007214CC">
        <w:rPr>
          <w:rFonts w:asciiTheme="minorHAnsi" w:hAnsiTheme="minorHAnsi"/>
        </w:rPr>
        <w:t>August 2022</w:t>
      </w:r>
      <w:r w:rsidRPr="007B6E69">
        <w:rPr>
          <w:rFonts w:asciiTheme="minorHAnsi" w:hAnsiTheme="minorHAnsi"/>
        </w:rPr>
        <w:t xml:space="preserve"> from </w:t>
      </w:r>
      <w:hyperlink r:id="rId64" w:history="1">
        <w:r w:rsidRPr="007B6E69">
          <w:rPr>
            <w:rStyle w:val="Hyperlink"/>
            <w:rFonts w:asciiTheme="minorHAnsi" w:hAnsiTheme="minorHAnsi"/>
          </w:rPr>
          <w:t>www.unece.org/trans/main/wp29/wp29regs41-60.html</w:t>
        </w:r>
      </w:hyperlink>
      <w:r w:rsidRPr="007B6E69">
        <w:rPr>
          <w:rFonts w:asciiTheme="minorHAnsi" w:hAnsiTheme="minorHAnsi"/>
        </w:rPr>
        <w:t>.</w:t>
      </w:r>
    </w:p>
    <w:p w:rsidR="00C83F75" w:rsidRPr="007B6E69" w:rsidRDefault="00C83F75" w:rsidP="00C83F75">
      <w:pPr>
        <w:pStyle w:val="References0"/>
        <w:rPr>
          <w:rFonts w:asciiTheme="minorHAnsi" w:hAnsiTheme="minorHAnsi"/>
        </w:rPr>
      </w:pPr>
      <w:r w:rsidRPr="007B6E69">
        <w:rPr>
          <w:rFonts w:asciiTheme="minorHAnsi" w:hAnsiTheme="minorHAnsi"/>
        </w:rPr>
        <w:t xml:space="preserve">UN (2016). </w:t>
      </w:r>
      <w:r w:rsidRPr="007B6E69">
        <w:rPr>
          <w:rFonts w:asciiTheme="minorHAnsi" w:hAnsiTheme="minorHAnsi"/>
          <w:i/>
        </w:rPr>
        <w:t>United Nations Regulation No. 46 – Revision 6 – Uniform provisions concerning the approval of devices for indirect vision and of motor vehicles with regard to the installation of these devices</w:t>
      </w:r>
      <w:r w:rsidRPr="007B6E69">
        <w:rPr>
          <w:rFonts w:asciiTheme="minorHAnsi" w:hAnsiTheme="minorHAnsi"/>
        </w:rPr>
        <w:t xml:space="preserve">. Retrieved </w:t>
      </w:r>
      <w:r w:rsidR="007214CC">
        <w:rPr>
          <w:rFonts w:asciiTheme="minorHAnsi" w:hAnsiTheme="minorHAnsi"/>
        </w:rPr>
        <w:t>August 2022 from </w:t>
      </w:r>
      <w:hyperlink r:id="rId65" w:history="1">
        <w:r w:rsidRPr="007B6E69">
          <w:rPr>
            <w:rStyle w:val="Hyperlink"/>
            <w:rFonts w:asciiTheme="minorHAnsi" w:hAnsiTheme="minorHAnsi"/>
          </w:rPr>
          <w:t>www.unece.org/trans/main/wp29/wp29regs41-60.html</w:t>
        </w:r>
      </w:hyperlink>
      <w:r w:rsidRPr="007B6E69">
        <w:rPr>
          <w:rFonts w:asciiTheme="minorHAnsi" w:hAnsiTheme="minorHAnsi"/>
        </w:rPr>
        <w:t>.</w:t>
      </w:r>
    </w:p>
    <w:p w:rsidR="00C83F75" w:rsidRPr="007B6E69" w:rsidRDefault="00C83F75" w:rsidP="00C83F75">
      <w:pPr>
        <w:pStyle w:val="References0"/>
        <w:rPr>
          <w:rFonts w:asciiTheme="minorHAnsi" w:hAnsiTheme="minorHAnsi"/>
        </w:rPr>
      </w:pPr>
      <w:r w:rsidRPr="007B6E69">
        <w:rPr>
          <w:rFonts w:asciiTheme="minorHAnsi" w:hAnsiTheme="minorHAnsi"/>
        </w:rPr>
        <w:t xml:space="preserve">UN (2020a). </w:t>
      </w:r>
      <w:r w:rsidRPr="007B6E69">
        <w:rPr>
          <w:rFonts w:asciiTheme="minorHAnsi" w:hAnsiTheme="minorHAnsi"/>
          <w:i/>
        </w:rPr>
        <w:t>United Nations Regulation No. 150 – Uniform provisions concerning the approval of retro-reflective devices and markings for power-driven vehicles and their trailers</w:t>
      </w:r>
      <w:r w:rsidRPr="007B6E69">
        <w:rPr>
          <w:rFonts w:asciiTheme="minorHAnsi" w:hAnsiTheme="minorHAnsi"/>
        </w:rPr>
        <w:t xml:space="preserve">. Retrieved </w:t>
      </w:r>
      <w:r w:rsidR="007214CC">
        <w:rPr>
          <w:rFonts w:asciiTheme="minorHAnsi" w:hAnsiTheme="minorHAnsi"/>
        </w:rPr>
        <w:t>August 2022</w:t>
      </w:r>
      <w:r w:rsidRPr="007B6E69">
        <w:rPr>
          <w:rFonts w:asciiTheme="minorHAnsi" w:hAnsiTheme="minorHAnsi"/>
        </w:rPr>
        <w:t xml:space="preserve"> from </w:t>
      </w:r>
      <w:hyperlink r:id="rId66" w:history="1">
        <w:r w:rsidRPr="007B6E69">
          <w:rPr>
            <w:rStyle w:val="Hyperlink"/>
            <w:rFonts w:asciiTheme="minorHAnsi" w:hAnsiTheme="minorHAnsi"/>
          </w:rPr>
          <w:t>www.unece.org/trans/main/wp29/wp29regs141-160.html</w:t>
        </w:r>
      </w:hyperlink>
      <w:r w:rsidRPr="007B6E69">
        <w:rPr>
          <w:rFonts w:asciiTheme="minorHAnsi" w:hAnsiTheme="minorHAnsi"/>
        </w:rPr>
        <w:t>.</w:t>
      </w:r>
    </w:p>
    <w:p w:rsidR="00C83F75" w:rsidRPr="007B6E69" w:rsidRDefault="00C83F75" w:rsidP="00C83F75">
      <w:pPr>
        <w:pStyle w:val="References0"/>
        <w:rPr>
          <w:rFonts w:asciiTheme="minorHAnsi" w:hAnsiTheme="minorHAnsi"/>
        </w:rPr>
      </w:pPr>
      <w:r w:rsidRPr="007B6E69">
        <w:rPr>
          <w:rFonts w:asciiTheme="minorHAnsi" w:hAnsiTheme="minorHAnsi"/>
        </w:rPr>
        <w:t>UN (</w:t>
      </w:r>
      <w:r w:rsidR="002943C4">
        <w:rPr>
          <w:rFonts w:asciiTheme="minorHAnsi" w:hAnsiTheme="minorHAnsi"/>
        </w:rPr>
        <w:t>2</w:t>
      </w:r>
      <w:r w:rsidR="006D7376">
        <w:rPr>
          <w:rFonts w:asciiTheme="minorHAnsi" w:hAnsiTheme="minorHAnsi"/>
        </w:rPr>
        <w:t>021</w:t>
      </w:r>
      <w:r w:rsidRPr="007B6E69">
        <w:rPr>
          <w:rFonts w:asciiTheme="minorHAnsi" w:hAnsiTheme="minorHAnsi"/>
        </w:rPr>
        <w:t xml:space="preserve">). </w:t>
      </w:r>
      <w:r w:rsidRPr="007B6E69">
        <w:rPr>
          <w:rFonts w:asciiTheme="minorHAnsi" w:hAnsiTheme="minorHAnsi"/>
          <w:i/>
        </w:rPr>
        <w:t>United Nations Regulation No. 151 – Uniform provisions concerning the approval of motor vehicles with regard to the Blind Spot Information Systems for the Detection of Bicycles</w:t>
      </w:r>
      <w:r w:rsidRPr="007B6E69">
        <w:rPr>
          <w:rFonts w:asciiTheme="minorHAnsi" w:hAnsiTheme="minorHAnsi"/>
        </w:rPr>
        <w:t xml:space="preserve">. Retrieved </w:t>
      </w:r>
      <w:r w:rsidR="007214CC">
        <w:rPr>
          <w:rFonts w:asciiTheme="minorHAnsi" w:hAnsiTheme="minorHAnsi"/>
        </w:rPr>
        <w:t>August 2022</w:t>
      </w:r>
      <w:r w:rsidRPr="007B6E69">
        <w:rPr>
          <w:rFonts w:asciiTheme="minorHAnsi" w:hAnsiTheme="minorHAnsi"/>
        </w:rPr>
        <w:t xml:space="preserve"> from </w:t>
      </w:r>
      <w:hyperlink r:id="rId67" w:history="1">
        <w:r w:rsidRPr="007B6E69">
          <w:rPr>
            <w:rStyle w:val="Hyperlink"/>
            <w:rFonts w:asciiTheme="minorHAnsi" w:hAnsiTheme="minorHAnsi"/>
          </w:rPr>
          <w:t>www.unece.org/trans/main/wp29/wp29regs141-160.html</w:t>
        </w:r>
      </w:hyperlink>
      <w:r w:rsidRPr="007B6E69">
        <w:rPr>
          <w:rFonts w:asciiTheme="minorHAnsi" w:hAnsiTheme="minorHAnsi"/>
        </w:rPr>
        <w:t>.</w:t>
      </w:r>
    </w:p>
    <w:p w:rsidR="00D509A5" w:rsidRDefault="00C83F75" w:rsidP="00D57C3B">
      <w:pPr>
        <w:pStyle w:val="References0"/>
        <w:rPr>
          <w:rFonts w:asciiTheme="minorHAnsi" w:hAnsiTheme="minorHAnsi"/>
        </w:rPr>
      </w:pPr>
      <w:r w:rsidRPr="007B6E69">
        <w:rPr>
          <w:rFonts w:asciiTheme="minorHAnsi" w:hAnsiTheme="minorHAnsi"/>
        </w:rPr>
        <w:t xml:space="preserve">US Government (2020). </w:t>
      </w:r>
      <w:r w:rsidRPr="007B6E69">
        <w:rPr>
          <w:rFonts w:asciiTheme="minorHAnsi" w:hAnsiTheme="minorHAnsi"/>
          <w:i/>
        </w:rPr>
        <w:t xml:space="preserve">Part 658 of the US Code of Federal Regulations – Truck Size and Weight, Route Designations – Length, Width and Weight Limitations </w:t>
      </w:r>
      <w:r w:rsidRPr="007B6E69">
        <w:rPr>
          <w:rFonts w:asciiTheme="minorHAnsi" w:hAnsiTheme="minorHAnsi"/>
        </w:rPr>
        <w:t xml:space="preserve">(23 CFR 658). Retrieved </w:t>
      </w:r>
      <w:r w:rsidR="00F869CA">
        <w:rPr>
          <w:rFonts w:asciiTheme="minorHAnsi" w:hAnsiTheme="minorHAnsi"/>
        </w:rPr>
        <w:t>August 2022</w:t>
      </w:r>
      <w:r w:rsidRPr="007B6E69">
        <w:rPr>
          <w:rFonts w:asciiTheme="minorHAnsi" w:hAnsiTheme="minorHAnsi"/>
        </w:rPr>
        <w:t xml:space="preserve"> from </w:t>
      </w:r>
      <w:hyperlink r:id="rId68" w:anchor="citation" w:history="1">
        <w:r w:rsidRPr="007B6E69">
          <w:rPr>
            <w:rStyle w:val="Hyperlink"/>
            <w:rFonts w:asciiTheme="minorHAnsi" w:hAnsiTheme="minorHAnsi"/>
          </w:rPr>
          <w:t>www.govinfo.gov/#citation</w:t>
        </w:r>
      </w:hyperlink>
      <w:r w:rsidRPr="007B6E69">
        <w:rPr>
          <w:rFonts w:asciiTheme="minorHAnsi" w:hAnsiTheme="minorHAnsi"/>
        </w:rPr>
        <w:t>.</w:t>
      </w:r>
    </w:p>
    <w:p w:rsidR="00F869CA" w:rsidRPr="007B6E69" w:rsidRDefault="00F869CA" w:rsidP="00D57C3B">
      <w:pPr>
        <w:pStyle w:val="References0"/>
        <w:rPr>
          <w:rFonts w:asciiTheme="minorHAnsi" w:hAnsiTheme="minorHAnsi"/>
        </w:rPr>
      </w:pPr>
    </w:p>
    <w:p w:rsidR="008E226D" w:rsidRPr="007B6E69" w:rsidRDefault="008E226D" w:rsidP="00E13D3A">
      <w:pPr>
        <w:pStyle w:val="AppendixHeading1"/>
        <w:sectPr w:rsidR="008E226D" w:rsidRPr="007B6E69" w:rsidSect="00D87AD8">
          <w:pgSz w:w="11906" w:h="16838" w:code="9"/>
          <w:pgMar w:top="1021" w:right="1021" w:bottom="1021" w:left="1021" w:header="510" w:footer="567" w:gutter="0"/>
          <w:cols w:space="708"/>
          <w:docGrid w:linePitch="360"/>
        </w:sectPr>
      </w:pPr>
    </w:p>
    <w:p w:rsidR="004F675A" w:rsidRPr="007B6E69" w:rsidRDefault="004F675A" w:rsidP="004F675A">
      <w:pPr>
        <w:pStyle w:val="AppendixHeading1"/>
      </w:pPr>
      <w:bookmarkStart w:id="122" w:name="_Toc111576742"/>
      <w:bookmarkStart w:id="123" w:name="_Toc138065723"/>
      <w:bookmarkStart w:id="124" w:name="_Toc67060913"/>
      <w:bookmarkStart w:id="125" w:name="_Toc54275950"/>
      <w:bookmarkStart w:id="126" w:name="_Toc54095112"/>
      <w:bookmarkStart w:id="127" w:name="_Toc54095110"/>
      <w:r w:rsidRPr="007B6E69">
        <w:t xml:space="preserve">Appendix </w:t>
      </w:r>
      <w:r>
        <w:t>1</w:t>
      </w:r>
      <w:r w:rsidRPr="007B6E69">
        <w:t xml:space="preserve"> – Acronyms and abbreviations</w:t>
      </w:r>
      <w:bookmarkEnd w:id="122"/>
      <w:bookmarkEnd w:id="123"/>
    </w:p>
    <w:p w:rsidR="004F675A" w:rsidRPr="007B6E69" w:rsidRDefault="004F675A" w:rsidP="004F675A">
      <w:pPr>
        <w:pStyle w:val="Glossarylist"/>
      </w:pPr>
      <w:r w:rsidRPr="007B6E69">
        <w:t>ABS</w:t>
      </w:r>
      <w:r w:rsidRPr="007B6E69">
        <w:tab/>
        <w:t>Antilock Brake System</w:t>
      </w:r>
    </w:p>
    <w:p w:rsidR="004F675A" w:rsidRPr="007B6E69" w:rsidRDefault="004F675A" w:rsidP="004F675A">
      <w:pPr>
        <w:pStyle w:val="Glossarylist"/>
      </w:pPr>
      <w:r w:rsidRPr="007B6E69">
        <w:t>AEB/AEBS</w:t>
      </w:r>
      <w:r w:rsidRPr="007B6E69">
        <w:tab/>
        <w:t>Advanced Emergency Braking (System)</w:t>
      </w:r>
    </w:p>
    <w:p w:rsidR="004F675A" w:rsidRPr="007B6E69" w:rsidRDefault="004F675A" w:rsidP="004F675A">
      <w:pPr>
        <w:pStyle w:val="Glossarylist"/>
      </w:pPr>
      <w:r w:rsidRPr="007B6E69">
        <w:t>ADR</w:t>
      </w:r>
      <w:r w:rsidRPr="007B6E69">
        <w:tab/>
        <w:t>Australian Design Rule</w:t>
      </w:r>
    </w:p>
    <w:p w:rsidR="004F675A" w:rsidRDefault="004F675A" w:rsidP="004F675A">
      <w:pPr>
        <w:pStyle w:val="Glossarylist"/>
      </w:pPr>
      <w:r>
        <w:t>ALVSRs</w:t>
      </w:r>
      <w:r>
        <w:tab/>
        <w:t>Australian Light Vehicle Standards Rules</w:t>
      </w:r>
    </w:p>
    <w:p w:rsidR="004F675A" w:rsidRDefault="004F675A" w:rsidP="004F675A">
      <w:pPr>
        <w:pStyle w:val="Glossarylist"/>
      </w:pPr>
      <w:r>
        <w:t>ARRB</w:t>
      </w:r>
      <w:r>
        <w:tab/>
        <w:t>Australian Road Research Board</w:t>
      </w:r>
    </w:p>
    <w:p w:rsidR="004F675A" w:rsidRDefault="004F675A" w:rsidP="004F675A">
      <w:pPr>
        <w:pStyle w:val="Glossarylist"/>
      </w:pPr>
      <w:r w:rsidRPr="007B6E69">
        <w:t>ARTSA</w:t>
      </w:r>
      <w:r w:rsidRPr="007B6E69">
        <w:tab/>
        <w:t>Australian Road Transport Suppliers Association</w:t>
      </w:r>
      <w:r>
        <w:t xml:space="preserve"> (now part of the HVIA)</w:t>
      </w:r>
    </w:p>
    <w:p w:rsidR="004F675A" w:rsidRPr="007B6E69" w:rsidRDefault="004F675A" w:rsidP="004F675A">
      <w:pPr>
        <w:pStyle w:val="Glossarylist"/>
      </w:pPr>
      <w:r>
        <w:t>ATA</w:t>
      </w:r>
      <w:r>
        <w:tab/>
        <w:t>Australian Trucking Association</w:t>
      </w:r>
    </w:p>
    <w:p w:rsidR="004F675A" w:rsidRDefault="004F675A" w:rsidP="004F675A">
      <w:pPr>
        <w:pStyle w:val="Glossarylist"/>
      </w:pPr>
      <w:r>
        <w:t>ATM</w:t>
      </w:r>
      <w:r>
        <w:tab/>
        <w:t>Aggregate Trailer Mass</w:t>
      </w:r>
    </w:p>
    <w:p w:rsidR="004F675A" w:rsidRPr="007B6E69" w:rsidRDefault="004F675A" w:rsidP="004F675A">
      <w:pPr>
        <w:pStyle w:val="Glossarylist"/>
      </w:pPr>
      <w:r w:rsidRPr="007B6E69">
        <w:t>BAU</w:t>
      </w:r>
      <w:r w:rsidRPr="007B6E69">
        <w:tab/>
        <w:t>Business as Usual</w:t>
      </w:r>
    </w:p>
    <w:p w:rsidR="004F675A" w:rsidRPr="007B6E69" w:rsidRDefault="004F675A" w:rsidP="004F675A">
      <w:pPr>
        <w:pStyle w:val="Glossarylist"/>
      </w:pPr>
      <w:r w:rsidRPr="007B6E69">
        <w:t>BCR</w:t>
      </w:r>
      <w:r w:rsidRPr="007B6E69">
        <w:tab/>
        <w:t>Benefit-Cost Ratio</w:t>
      </w:r>
    </w:p>
    <w:p w:rsidR="004F675A" w:rsidRPr="007B6E69" w:rsidRDefault="004F675A" w:rsidP="004F675A">
      <w:pPr>
        <w:pStyle w:val="Glossarylist"/>
      </w:pPr>
      <w:r w:rsidRPr="007B6E69">
        <w:t>BITRE</w:t>
      </w:r>
      <w:r w:rsidRPr="007B6E69">
        <w:tab/>
        <w:t>Bureau of Infrastructure, Transport and Regional Economics</w:t>
      </w:r>
    </w:p>
    <w:p w:rsidR="004F675A" w:rsidRPr="007B6E69" w:rsidRDefault="004F675A" w:rsidP="004F675A">
      <w:pPr>
        <w:pStyle w:val="Glossarylist"/>
      </w:pPr>
      <w:r w:rsidRPr="007B6E69">
        <w:t>BS</w:t>
      </w:r>
      <w:r>
        <w:t>IS</w:t>
      </w:r>
      <w:r w:rsidRPr="007B6E69">
        <w:tab/>
        <w:t xml:space="preserve">Blind Spot </w:t>
      </w:r>
      <w:r>
        <w:t>Information Systems</w:t>
      </w:r>
    </w:p>
    <w:p w:rsidR="004F675A" w:rsidRPr="007B6E69" w:rsidRDefault="004F675A" w:rsidP="004F675A">
      <w:pPr>
        <w:pStyle w:val="Glossarylist"/>
      </w:pPr>
      <w:r w:rsidRPr="007B6E69">
        <w:t>BTE</w:t>
      </w:r>
      <w:r w:rsidRPr="007B6E69">
        <w:tab/>
        <w:t>Bureau of Transport Economics (now BITRE)</w:t>
      </w:r>
    </w:p>
    <w:p w:rsidR="004F675A" w:rsidRPr="007B6E69" w:rsidRDefault="004F675A" w:rsidP="004F675A">
      <w:pPr>
        <w:pStyle w:val="Glossarylist"/>
      </w:pPr>
      <w:r w:rsidRPr="007B6E69">
        <w:t>CEO</w:t>
      </w:r>
      <w:r w:rsidRPr="007B6E69">
        <w:tab/>
        <w:t>Chief Executive Officer</w:t>
      </w:r>
    </w:p>
    <w:p w:rsidR="004F675A" w:rsidRPr="007B6E69" w:rsidRDefault="004F675A" w:rsidP="004F675A">
      <w:pPr>
        <w:pStyle w:val="Glossarylist"/>
      </w:pPr>
      <w:r w:rsidRPr="007B6E69">
        <w:t>CVIAA</w:t>
      </w:r>
      <w:r w:rsidRPr="007B6E69">
        <w:tab/>
        <w:t xml:space="preserve">Commercial Vehicle Industry Association </w:t>
      </w:r>
      <w:r>
        <w:t xml:space="preserve">of </w:t>
      </w:r>
      <w:r w:rsidRPr="007B6E69">
        <w:t>Australia</w:t>
      </w:r>
    </w:p>
    <w:p w:rsidR="004F675A" w:rsidRPr="007B6E69" w:rsidRDefault="004F675A" w:rsidP="004F675A">
      <w:pPr>
        <w:pStyle w:val="Glossarylist"/>
      </w:pPr>
      <w:r w:rsidRPr="007B6E69">
        <w:t>ESC</w:t>
      </w:r>
      <w:r w:rsidRPr="007B6E69">
        <w:tab/>
        <w:t>Electronic Stability Control</w:t>
      </w:r>
    </w:p>
    <w:p w:rsidR="00B26A99" w:rsidRDefault="00B26A99" w:rsidP="004F675A">
      <w:pPr>
        <w:pStyle w:val="Glossarylist"/>
      </w:pPr>
      <w:r>
        <w:t>EC</w:t>
      </w:r>
      <w:r>
        <w:tab/>
        <w:t>European Commission</w:t>
      </w:r>
    </w:p>
    <w:p w:rsidR="004F675A" w:rsidRPr="007B6E69" w:rsidRDefault="004F675A" w:rsidP="004F675A">
      <w:pPr>
        <w:pStyle w:val="Glossarylist"/>
      </w:pPr>
      <w:r>
        <w:t>EU</w:t>
      </w:r>
      <w:r>
        <w:tab/>
        <w:t>European Union</w:t>
      </w:r>
    </w:p>
    <w:p w:rsidR="004F675A" w:rsidRPr="007B6E69" w:rsidRDefault="004F675A" w:rsidP="004F675A">
      <w:pPr>
        <w:pStyle w:val="Glossarylist"/>
      </w:pPr>
      <w:r w:rsidRPr="007B6E69">
        <w:t>GVM</w:t>
      </w:r>
      <w:r w:rsidRPr="007B6E69">
        <w:tab/>
        <w:t>Gross Vehicle Mass</w:t>
      </w:r>
    </w:p>
    <w:p w:rsidR="004F675A" w:rsidRDefault="004F675A" w:rsidP="004F675A">
      <w:pPr>
        <w:pStyle w:val="Glossarylist"/>
      </w:pPr>
      <w:r>
        <w:t>HVIA</w:t>
      </w:r>
      <w:r>
        <w:tab/>
        <w:t>Heavy Vehicle Industry Association</w:t>
      </w:r>
    </w:p>
    <w:p w:rsidR="004F675A" w:rsidRDefault="004F675A" w:rsidP="004F675A">
      <w:pPr>
        <w:pStyle w:val="Glossarylist"/>
      </w:pPr>
      <w:r>
        <w:t>HVNL</w:t>
      </w:r>
      <w:r>
        <w:tab/>
        <w:t>Heavy Vehicle National Law</w:t>
      </w:r>
    </w:p>
    <w:p w:rsidR="00C45600" w:rsidRPr="007B6E69" w:rsidRDefault="00C45600" w:rsidP="00C45600">
      <w:pPr>
        <w:pStyle w:val="Glossarylist"/>
      </w:pPr>
      <w:r>
        <w:t>IA</w:t>
      </w:r>
      <w:r w:rsidRPr="007B6E69">
        <w:tab/>
      </w:r>
      <w:r>
        <w:t>Impact Analysis</w:t>
      </w:r>
    </w:p>
    <w:p w:rsidR="004F675A" w:rsidRPr="007B6E69" w:rsidRDefault="004F675A" w:rsidP="004F675A">
      <w:pPr>
        <w:pStyle w:val="Glossarylist"/>
      </w:pPr>
      <w:r w:rsidRPr="007B6E69">
        <w:t>ITMM</w:t>
      </w:r>
      <w:r w:rsidRPr="007B6E69">
        <w:tab/>
        <w:t>Infrastructure and Transport Ministers Meeting</w:t>
      </w:r>
    </w:p>
    <w:p w:rsidR="004F675A" w:rsidRPr="007B6E69" w:rsidRDefault="004F675A" w:rsidP="004F675A">
      <w:pPr>
        <w:pStyle w:val="Glossarylist"/>
      </w:pPr>
      <w:r w:rsidRPr="007B6E69">
        <w:t>ITSOC</w:t>
      </w:r>
      <w:r w:rsidRPr="007B6E69">
        <w:tab/>
        <w:t>Infrastructure and Transport Senior Officials’ Committee</w:t>
      </w:r>
    </w:p>
    <w:p w:rsidR="004F675A" w:rsidRPr="007B6E69" w:rsidRDefault="004F675A" w:rsidP="004F675A">
      <w:pPr>
        <w:pStyle w:val="Glossarylist"/>
      </w:pPr>
      <w:r w:rsidRPr="007B6E69">
        <w:t>LDWS</w:t>
      </w:r>
      <w:r w:rsidRPr="007B6E69">
        <w:tab/>
        <w:t>Lane Departure Warning System</w:t>
      </w:r>
    </w:p>
    <w:p w:rsidR="004F675A" w:rsidRDefault="004F675A" w:rsidP="004F675A">
      <w:pPr>
        <w:pStyle w:val="Glossarylist"/>
      </w:pPr>
      <w:r>
        <w:t>LPDs</w:t>
      </w:r>
      <w:r>
        <w:tab/>
        <w:t>Lateral Protection Devices</w:t>
      </w:r>
    </w:p>
    <w:p w:rsidR="004F675A" w:rsidRPr="007B6E69" w:rsidRDefault="004F675A" w:rsidP="004F675A">
      <w:pPr>
        <w:pStyle w:val="Glossarylist"/>
      </w:pPr>
      <w:r w:rsidRPr="007B6E69">
        <w:t>MVSA</w:t>
      </w:r>
      <w:r w:rsidRPr="007B6E69">
        <w:tab/>
      </w:r>
      <w:r w:rsidRPr="00E624A6">
        <w:rPr>
          <w:i/>
        </w:rPr>
        <w:t>Motor Vehicle Standards Act 1989</w:t>
      </w:r>
    </w:p>
    <w:p w:rsidR="004F675A" w:rsidRDefault="004F675A" w:rsidP="004F675A">
      <w:pPr>
        <w:pStyle w:val="Glossarylist"/>
      </w:pPr>
      <w:r>
        <w:t>NHVR</w:t>
      </w:r>
      <w:r>
        <w:tab/>
        <w:t>National Heavy Vehicle Regulator</w:t>
      </w:r>
    </w:p>
    <w:p w:rsidR="004F675A" w:rsidRPr="007B6E69" w:rsidRDefault="004F675A" w:rsidP="004F675A">
      <w:pPr>
        <w:pStyle w:val="Glossarylist"/>
      </w:pPr>
      <w:r w:rsidRPr="007B6E69">
        <w:t>NPV</w:t>
      </w:r>
      <w:r w:rsidRPr="007B6E69">
        <w:tab/>
        <w:t>Net Present Value</w:t>
      </w:r>
    </w:p>
    <w:p w:rsidR="004F675A" w:rsidRPr="007B6E69" w:rsidRDefault="004F675A" w:rsidP="004F675A">
      <w:pPr>
        <w:pStyle w:val="Glossarylist"/>
      </w:pPr>
      <w:r w:rsidRPr="007B6E69">
        <w:t>NTC</w:t>
      </w:r>
      <w:r w:rsidRPr="007B6E69">
        <w:tab/>
        <w:t>National Transport Commission</w:t>
      </w:r>
    </w:p>
    <w:p w:rsidR="004F675A" w:rsidRPr="007B6E69" w:rsidRDefault="004F675A" w:rsidP="004F675A">
      <w:pPr>
        <w:pStyle w:val="Glossarylist"/>
      </w:pPr>
      <w:r w:rsidRPr="007B6E69">
        <w:t>OBPR</w:t>
      </w:r>
      <w:r w:rsidRPr="007B6E69">
        <w:tab/>
        <w:t>Office of Best Practice Regulation</w:t>
      </w:r>
    </w:p>
    <w:p w:rsidR="004F675A" w:rsidRPr="007B6E69" w:rsidRDefault="004F675A" w:rsidP="004F675A">
      <w:pPr>
        <w:pStyle w:val="Glossarylist"/>
      </w:pPr>
      <w:r w:rsidRPr="007B6E69">
        <w:t>PBS</w:t>
      </w:r>
      <w:r w:rsidRPr="007B6E69">
        <w:tab/>
        <w:t>Performance Based Standards</w:t>
      </w:r>
    </w:p>
    <w:p w:rsidR="00C4295D" w:rsidRDefault="00C4295D" w:rsidP="004F675A">
      <w:pPr>
        <w:pStyle w:val="Glossarylist"/>
      </w:pPr>
      <w:r>
        <w:t>RAV</w:t>
      </w:r>
      <w:r>
        <w:tab/>
        <w:t>Register of Approved Vehicles</w:t>
      </w:r>
    </w:p>
    <w:p w:rsidR="004F675A" w:rsidRPr="007B6E69" w:rsidRDefault="004F675A" w:rsidP="004F675A">
      <w:pPr>
        <w:pStyle w:val="Glossarylist"/>
      </w:pPr>
      <w:r w:rsidRPr="007B6E69">
        <w:t>RSC</w:t>
      </w:r>
      <w:r w:rsidRPr="007B6E69">
        <w:tab/>
        <w:t>Roll Stability Control</w:t>
      </w:r>
    </w:p>
    <w:p w:rsidR="004F675A" w:rsidRPr="007B6E69" w:rsidRDefault="004F675A" w:rsidP="004F675A">
      <w:pPr>
        <w:pStyle w:val="Glossarylist"/>
      </w:pPr>
      <w:r w:rsidRPr="007B6E69">
        <w:t>RVSA</w:t>
      </w:r>
      <w:r w:rsidRPr="007B6E69">
        <w:tab/>
      </w:r>
      <w:r w:rsidRPr="00E624A6">
        <w:rPr>
          <w:i/>
        </w:rPr>
        <w:t>Road Vehicles Standards Act 2018</w:t>
      </w:r>
    </w:p>
    <w:p w:rsidR="004F675A" w:rsidRPr="007B6E69" w:rsidRDefault="004F675A" w:rsidP="004F675A">
      <w:pPr>
        <w:pStyle w:val="Glossarylist"/>
      </w:pPr>
      <w:r w:rsidRPr="007B6E69">
        <w:t>SVSEG</w:t>
      </w:r>
      <w:r w:rsidRPr="007B6E69">
        <w:tab/>
        <w:t>Strategic Vehicle Safety and Environment Group</w:t>
      </w:r>
    </w:p>
    <w:p w:rsidR="004F675A" w:rsidRDefault="004F675A" w:rsidP="004F675A">
      <w:pPr>
        <w:pStyle w:val="Glossarylist"/>
      </w:pPr>
      <w:r>
        <w:t>SVTG</w:t>
      </w:r>
      <w:r>
        <w:tab/>
        <w:t>Safe Vehicles Theme Group</w:t>
      </w:r>
    </w:p>
    <w:p w:rsidR="004F675A" w:rsidRPr="007B6E69" w:rsidRDefault="004F675A" w:rsidP="004F675A">
      <w:pPr>
        <w:pStyle w:val="Glossarylist"/>
      </w:pPr>
      <w:r w:rsidRPr="007B6E69">
        <w:t>TIC</w:t>
      </w:r>
      <w:r w:rsidRPr="007B6E69">
        <w:tab/>
        <w:t>Truck Industry Council</w:t>
      </w:r>
    </w:p>
    <w:p w:rsidR="004F675A" w:rsidRPr="007B6E69" w:rsidRDefault="004F675A" w:rsidP="004F675A">
      <w:pPr>
        <w:pStyle w:val="Glossarylist"/>
      </w:pPr>
      <w:r w:rsidRPr="007B6E69">
        <w:t>TLG</w:t>
      </w:r>
      <w:r w:rsidRPr="007B6E69">
        <w:tab/>
        <w:t>Technical Liaison Group</w:t>
      </w:r>
    </w:p>
    <w:p w:rsidR="004F675A" w:rsidRPr="007B6E69" w:rsidRDefault="004F675A" w:rsidP="004F675A">
      <w:pPr>
        <w:pStyle w:val="Glossarylist"/>
      </w:pPr>
      <w:r w:rsidRPr="007B6E69">
        <w:t>UN</w:t>
      </w:r>
      <w:r w:rsidRPr="007B6E69">
        <w:tab/>
        <w:t>United Nations</w:t>
      </w:r>
    </w:p>
    <w:p w:rsidR="004F675A" w:rsidRDefault="004F675A" w:rsidP="004F675A">
      <w:pPr>
        <w:pStyle w:val="Glossarylist"/>
      </w:pPr>
      <w:r w:rsidRPr="007B6E69">
        <w:t>US</w:t>
      </w:r>
      <w:r w:rsidRPr="007B6E69">
        <w:tab/>
        <w:t>United States</w:t>
      </w:r>
    </w:p>
    <w:p w:rsidR="004F675A" w:rsidRDefault="004F675A" w:rsidP="004F675A">
      <w:pPr>
        <w:pStyle w:val="Glossarylist"/>
      </w:pPr>
      <w:r>
        <w:t>VKT</w:t>
      </w:r>
      <w:r>
        <w:tab/>
        <w:t>Vehicle Kilometres Travelled</w:t>
      </w:r>
    </w:p>
    <w:p w:rsidR="00F607CD" w:rsidRDefault="00F607CD" w:rsidP="00F607CD">
      <w:pPr>
        <w:rPr>
          <w:rFonts w:cstheme="minorHAnsi"/>
        </w:rPr>
      </w:pPr>
    </w:p>
    <w:p w:rsidR="00F607CD" w:rsidRDefault="00F607CD" w:rsidP="00F607CD">
      <w:pPr>
        <w:rPr>
          <w:rFonts w:cstheme="minorHAnsi"/>
        </w:rPr>
        <w:sectPr w:rsidR="00F607CD" w:rsidSect="00237D88">
          <w:pgSz w:w="11906" w:h="16838" w:code="9"/>
          <w:pgMar w:top="2835" w:right="1049" w:bottom="1701" w:left="1049" w:header="1276" w:footer="709" w:gutter="0"/>
          <w:cols w:space="708"/>
          <w:docGrid w:linePitch="360"/>
        </w:sectPr>
      </w:pPr>
    </w:p>
    <w:p w:rsidR="00223F09" w:rsidRPr="007B6E69" w:rsidRDefault="00197BA7" w:rsidP="00E13D3A">
      <w:pPr>
        <w:pStyle w:val="AppendixHeading1"/>
      </w:pPr>
      <w:bookmarkStart w:id="128" w:name="_Toc111576730"/>
      <w:bookmarkStart w:id="129" w:name="_Toc138065724"/>
      <w:r w:rsidRPr="007B6E69">
        <w:t xml:space="preserve">Appendix </w:t>
      </w:r>
      <w:r w:rsidR="002C24D8">
        <w:t>2</w:t>
      </w:r>
      <w:r w:rsidRPr="007B6E69">
        <w:t xml:space="preserve"> – </w:t>
      </w:r>
      <w:r w:rsidR="00223F09" w:rsidRPr="007B6E69">
        <w:t>Glossary</w:t>
      </w:r>
      <w:bookmarkEnd w:id="124"/>
      <w:bookmarkEnd w:id="128"/>
      <w:bookmarkEnd w:id="129"/>
    </w:p>
    <w:p w:rsidR="00223F09" w:rsidRPr="007B6E69" w:rsidRDefault="00223F09" w:rsidP="00EE18DA">
      <w:pPr>
        <w:pStyle w:val="Glossarylist"/>
      </w:pPr>
      <w:r w:rsidRPr="007B6E69">
        <w:t>Advanced Emergency Braking (AEB)</w:t>
      </w:r>
      <w:r w:rsidRPr="007B6E69">
        <w:tab/>
        <w:t>A system that can automatically detect a potential forward collision and activate the vehicle braking system to decelerate the vehicle with the purpose of avoiding or mitigating a collision.</w:t>
      </w:r>
    </w:p>
    <w:p w:rsidR="00223F09" w:rsidRPr="007B6E69" w:rsidRDefault="00223F09" w:rsidP="00EE18DA">
      <w:pPr>
        <w:pStyle w:val="Glossarylist"/>
      </w:pPr>
      <w:r w:rsidRPr="007B6E69">
        <w:t>Aggregate Trailer Mass (ATM)</w:t>
      </w:r>
      <w:r w:rsidRPr="007B6E69">
        <w:tab/>
        <w:t>The total mass of the laden trailer when carrying the maximum load recommended by the manufacturer. This will include any mass imposed onto the drawing vehicle when the combination vehicle is resting on a horizontal supporting plane.</w:t>
      </w:r>
    </w:p>
    <w:p w:rsidR="00223F09" w:rsidRPr="007B6E69" w:rsidRDefault="00223F09" w:rsidP="00EE18DA">
      <w:pPr>
        <w:pStyle w:val="Glossarylist"/>
      </w:pPr>
      <w:r w:rsidRPr="007B6E69">
        <w:t>Antilock Brake System (ABS)</w:t>
      </w:r>
      <w:r w:rsidRPr="007B6E69">
        <w:tab/>
        <w:t>A portion of a service brake system that automatically controls the degree of rotational wheel slip relative to the road at one or more road wheels of the vehicle during braking.</w:t>
      </w:r>
    </w:p>
    <w:p w:rsidR="00223F09" w:rsidRPr="007B6E69" w:rsidRDefault="00223F09" w:rsidP="00EE18DA">
      <w:pPr>
        <w:pStyle w:val="Glossarylist"/>
      </w:pPr>
      <w:r w:rsidRPr="007B6E69">
        <w:t>Axle</w:t>
      </w:r>
      <w:r w:rsidRPr="007B6E69">
        <w:tab/>
        <w:t>One or more shafts positioned in a line across a vehicle, on which one or more wheels intended to support the vehicle turn.</w:t>
      </w:r>
    </w:p>
    <w:p w:rsidR="00B523DF" w:rsidRPr="007B6E69" w:rsidRDefault="00B523DF" w:rsidP="00B523DF">
      <w:pPr>
        <w:pStyle w:val="Glossarylist"/>
      </w:pPr>
      <w:r w:rsidRPr="007B6E69">
        <w:t>Axle Group</w:t>
      </w:r>
      <w:r w:rsidRPr="007B6E69">
        <w:tab/>
        <w:t>Either a single axle, tandem axle group, triaxle group, or close coupled axle group.</w:t>
      </w:r>
    </w:p>
    <w:p w:rsidR="00223F09" w:rsidRPr="007B6E69" w:rsidRDefault="00223F09" w:rsidP="00EE18DA">
      <w:pPr>
        <w:pStyle w:val="Glossarylist"/>
      </w:pPr>
      <w:r w:rsidRPr="007B6E69">
        <w:t>B-Double</w:t>
      </w:r>
      <w:r w:rsidRPr="007B6E69">
        <w:tab/>
        <w:t>A combination of vehicles consisting of a prime mover towing two semi-trailers.</w:t>
      </w:r>
    </w:p>
    <w:p w:rsidR="00687E4F" w:rsidRDefault="00687E4F" w:rsidP="00EE18DA">
      <w:pPr>
        <w:pStyle w:val="Glossarylist"/>
      </w:pPr>
      <w:r>
        <w:t>Benefit-Cost Ratio</w:t>
      </w:r>
      <w:r w:rsidR="009F676B">
        <w:t xml:space="preserve"> (BCR)</w:t>
      </w:r>
      <w:r>
        <w:tab/>
      </w:r>
      <w:r w:rsidR="009F676B">
        <w:t>The ratio of expected total (gross) benefits to expected total costs (in terms of their present monetary value) for a change of policy relative to business as usual.</w:t>
      </w:r>
    </w:p>
    <w:p w:rsidR="00223F09" w:rsidRPr="007B6E69" w:rsidRDefault="00223F09" w:rsidP="00EE18DA">
      <w:pPr>
        <w:pStyle w:val="Glossarylist"/>
      </w:pPr>
      <w:r w:rsidRPr="007B6E69">
        <w:t>Blind Spot Information System</w:t>
      </w:r>
      <w:r w:rsidRPr="007B6E69">
        <w:tab/>
        <w:t>A system to inform the driver of a possible collision with another road user (e.g. vehicle, motorcycle, bicycle, pedestrian etc.) in close proximity to the vehicle.</w:t>
      </w:r>
    </w:p>
    <w:p w:rsidR="00BA6C31" w:rsidRPr="000B64C0" w:rsidRDefault="00BA6C31" w:rsidP="00BA6C31">
      <w:pPr>
        <w:pStyle w:val="Glossarylist"/>
      </w:pPr>
      <w:r w:rsidRPr="000B64C0">
        <w:t>Close Coupled Axle Group</w:t>
      </w:r>
      <w:r w:rsidRPr="000B64C0">
        <w:tab/>
        <w:t xml:space="preserve">Two axles with centres not more than 1.0 m apart (regarded under the ADRs as a single axle); three axles with centres not more than 2.0 m apart (regarded under the ADRs as a tandem axle group); or four or more axles with centres not more than 3.2 </w:t>
      </w:r>
      <w:r>
        <w:t>m</w:t>
      </w:r>
      <w:r w:rsidRPr="000B64C0">
        <w:t xml:space="preserve"> apart (regarded under the ADRs as a tri-axle group).</w:t>
      </w:r>
    </w:p>
    <w:p w:rsidR="00223F09" w:rsidRPr="007B6E69" w:rsidRDefault="00223F09" w:rsidP="00EE18DA">
      <w:pPr>
        <w:pStyle w:val="Glossarylist"/>
      </w:pPr>
      <w:r w:rsidRPr="007B6E69">
        <w:t>Conspicuity Marking</w:t>
      </w:r>
      <w:r w:rsidRPr="007B6E69">
        <w:tab/>
        <w:t xml:space="preserve">A device intended to </w:t>
      </w:r>
      <w:r w:rsidR="00787644">
        <w:t>make</w:t>
      </w:r>
      <w:r w:rsidRPr="007B6E69">
        <w:t xml:space="preserve"> a vehicle</w:t>
      </w:r>
      <w:r w:rsidR="00CF3A37">
        <w:t xml:space="preserve"> more clearly visible</w:t>
      </w:r>
      <w:r w:rsidRPr="007B6E69">
        <w:t>, when viewed from the side or rear (or in the case of trailers, additionally from the front), by the reflection of light emanating from a light source not connected to the vehicle.</w:t>
      </w:r>
    </w:p>
    <w:p w:rsidR="00223F09" w:rsidRPr="007B6E69" w:rsidRDefault="00223F09" w:rsidP="00EE18DA">
      <w:pPr>
        <w:pStyle w:val="Glossarylist"/>
      </w:pPr>
      <w:r w:rsidRPr="007B6E69">
        <w:t>Converter Dolly</w:t>
      </w:r>
      <w:r w:rsidRPr="007B6E69">
        <w:tab/>
        <w:t>A trailer with an axle group and a fifth wheel coupling near the middle of its load-carrying surface, designed to convert a semi-trailer into a dog trailer.</w:t>
      </w:r>
    </w:p>
    <w:p w:rsidR="00223F09" w:rsidRPr="007B6E69" w:rsidRDefault="000F1B96" w:rsidP="00EE18DA">
      <w:pPr>
        <w:pStyle w:val="Glossarylist"/>
      </w:pPr>
      <w:r>
        <w:t>Cross-view</w:t>
      </w:r>
      <w:r w:rsidR="00223F09" w:rsidRPr="007B6E69">
        <w:t xml:space="preserve"> mirror</w:t>
      </w:r>
      <w:r w:rsidR="00223F09" w:rsidRPr="007B6E69">
        <w:tab/>
        <w:t>A mirror that can be adjusted to enable a driver to see all points on a transverse horizontal line that is 1 m above a flat horizontal portion of road, 300 mm forward of the front end of the vehicle, and extends across the full width of the vehicle.</w:t>
      </w:r>
    </w:p>
    <w:p w:rsidR="00223F09" w:rsidRPr="007B6E69" w:rsidRDefault="00223F09" w:rsidP="00EE18DA">
      <w:pPr>
        <w:pStyle w:val="Glossarylist"/>
      </w:pPr>
      <w:r w:rsidRPr="007B6E69">
        <w:t>Device for Indirect Vision</w:t>
      </w:r>
      <w:r w:rsidRPr="007B6E69">
        <w:tab/>
        <w:t>Devices intended to give a clear view of the rear, side or front of the vehicle within the fields of vision defined in UN R46. These can be conventional mirrors, camera-monitors or other devices able to present information about the indirect field of vision to the driver.</w:t>
      </w:r>
    </w:p>
    <w:p w:rsidR="009F676B" w:rsidRDefault="009F676B" w:rsidP="009F676B">
      <w:pPr>
        <w:pStyle w:val="Glossarylist"/>
      </w:pPr>
      <w:r>
        <w:t>Discount Rate</w:t>
      </w:r>
      <w:r>
        <w:tab/>
        <w:t>A rate of interest used to translate costs which will be incurred and benefits which will be received across future years into present day values.</w:t>
      </w:r>
    </w:p>
    <w:p w:rsidR="00223F09" w:rsidRPr="007B6E69" w:rsidRDefault="00223F09" w:rsidP="00EE18DA">
      <w:pPr>
        <w:pStyle w:val="Glossarylist"/>
      </w:pPr>
      <w:r w:rsidRPr="007B6E69">
        <w:t>Dog Trailer</w:t>
      </w:r>
      <w:r w:rsidRPr="007B6E69">
        <w:tab/>
        <w:t>A trailer with two axle groups of which the front axle group is steered by connection to the drawing vehicle.</w:t>
      </w:r>
    </w:p>
    <w:p w:rsidR="00223F09" w:rsidRPr="007B6E69" w:rsidRDefault="00223F09" w:rsidP="00EE18DA">
      <w:pPr>
        <w:pStyle w:val="Glossarylist"/>
      </w:pPr>
      <w:r w:rsidRPr="007B6E69">
        <w:t>Electronic Stability Control</w:t>
      </w:r>
      <w:r w:rsidRPr="007B6E69">
        <w:tab/>
        <w:t>A vehicle stability function.</w:t>
      </w:r>
    </w:p>
    <w:p w:rsidR="009F676B" w:rsidRDefault="009F676B" w:rsidP="009F676B">
      <w:pPr>
        <w:pStyle w:val="Glossarylist"/>
      </w:pPr>
      <w:r>
        <w:t>Fatal Crash</w:t>
      </w:r>
      <w:r>
        <w:tab/>
        <w:t>A crash for which there is at least one death.</w:t>
      </w:r>
    </w:p>
    <w:p w:rsidR="00223F09" w:rsidRPr="007B6E69" w:rsidRDefault="00223F09" w:rsidP="00EE18DA">
      <w:pPr>
        <w:pStyle w:val="Glossarylist"/>
      </w:pPr>
      <w:r w:rsidRPr="007B6E69">
        <w:t>Fifth Wheel Assembly</w:t>
      </w:r>
      <w:r w:rsidRPr="007B6E69">
        <w:tab/>
        <w:t>A fifth wheel coupling including any turn-table, mounting plate, sliding assembly, load cell and other equipment mounted between the towing vehicle chassis and the trailer skid plate, but not including any attachment sections.</w:t>
      </w:r>
    </w:p>
    <w:p w:rsidR="00223F09" w:rsidRPr="007B6E69" w:rsidRDefault="00223F09" w:rsidP="00EE18DA">
      <w:pPr>
        <w:pStyle w:val="Glossarylist"/>
      </w:pPr>
      <w:r w:rsidRPr="007B6E69">
        <w:t>Fifth Wheel Coupling</w:t>
      </w:r>
      <w:r w:rsidRPr="007B6E69">
        <w:tab/>
        <w:t>A device, other than the skid plate and the kingpin (which are parts of a semi-trailer), used with a prime mover, semi-trailer or a converter dolly to permit quick coupling and uncoupling and to provide for articulation.</w:t>
      </w:r>
    </w:p>
    <w:p w:rsidR="00223F09" w:rsidRPr="007B6E69" w:rsidRDefault="00223F09" w:rsidP="00EE18DA">
      <w:pPr>
        <w:pStyle w:val="Glossarylist"/>
      </w:pPr>
      <w:r w:rsidRPr="007B6E69">
        <w:t>Front End</w:t>
      </w:r>
      <w:r w:rsidRPr="007B6E69">
        <w:tab/>
        <w:t xml:space="preserve">The foremost point on the vehicle including the bumper bar; </w:t>
      </w:r>
      <w:r w:rsidRPr="007B6E69">
        <w:br/>
        <w:t>over-riders; tow hook; and bull bar if standard equipment.</w:t>
      </w:r>
    </w:p>
    <w:p w:rsidR="00223F09" w:rsidRPr="007B6E69" w:rsidRDefault="00223F09" w:rsidP="00EE18DA">
      <w:pPr>
        <w:pStyle w:val="Glossarylist"/>
      </w:pPr>
      <w:r w:rsidRPr="007B6E69">
        <w:t>Gross Vehicle Mass (GVM)</w:t>
      </w:r>
      <w:r w:rsidRPr="007B6E69">
        <w:tab/>
        <w:t>The maximum laden mass of a motor vehicle as specified by the manufacturer.</w:t>
      </w:r>
    </w:p>
    <w:p w:rsidR="00223F09" w:rsidRPr="007B6E69" w:rsidRDefault="00223F09" w:rsidP="00EE18DA">
      <w:pPr>
        <w:pStyle w:val="Glossarylist"/>
      </w:pPr>
      <w:r w:rsidRPr="007B6E69">
        <w:t>Gross Trailer Mass (GTM)</w:t>
      </w:r>
      <w:r w:rsidRPr="007B6E69">
        <w:tab/>
        <w:t>The mass transmitted to the ground by the axle or axles of the trailer when coupled to a drawing vehicle and carrying its maximum load approximately uniformly distributed over the load bearing area, and at which compliance with the appropriate ADRs has been or can be established.</w:t>
      </w:r>
    </w:p>
    <w:p w:rsidR="00223F09" w:rsidRPr="007B6E69" w:rsidRDefault="00223F09" w:rsidP="00EE18DA">
      <w:pPr>
        <w:pStyle w:val="Glossarylist"/>
      </w:pPr>
      <w:r w:rsidRPr="007B6E69">
        <w:t>Heavy Freight Vehicle</w:t>
      </w:r>
      <w:r w:rsidRPr="007B6E69">
        <w:tab/>
        <w:t>Any goods vehicles greater than 4.5 tonnes GVM or any trailer greater than 4.5 tonnes ATM.</w:t>
      </w:r>
    </w:p>
    <w:p w:rsidR="00223F09" w:rsidRPr="007B6E69" w:rsidRDefault="00223F09" w:rsidP="00EE18DA">
      <w:pPr>
        <w:pStyle w:val="Glossarylist"/>
      </w:pPr>
      <w:r w:rsidRPr="007B6E69">
        <w:t>Lane Departure Warning System</w:t>
      </w:r>
      <w:r w:rsidRPr="007B6E69">
        <w:tab/>
        <w:t>A system to warn the driver of an unintentional drift of the vehicle out of its travel lane.</w:t>
      </w:r>
    </w:p>
    <w:p w:rsidR="00223F09" w:rsidRPr="007B6E69" w:rsidRDefault="00223F09" w:rsidP="00EE18DA">
      <w:pPr>
        <w:pStyle w:val="Glossarylist"/>
      </w:pPr>
      <w:r w:rsidRPr="007B6E69">
        <w:t>Lateral Protection Device</w:t>
      </w:r>
      <w:r w:rsidRPr="007B6E69">
        <w:tab/>
        <w:t>A combination of longitudinal member(s) and link(s) (fixing elements) to the chassis side members or other structural parts of the vehicle, designed to offer effective protection to pedestrians, cyclists or motorcyclists against the risk of falling under the sides of the vehicle and being caught under the wheels. Parts of the vehicle can also be used as lateral protection devices.</w:t>
      </w:r>
    </w:p>
    <w:p w:rsidR="009F676B" w:rsidRDefault="009F676B" w:rsidP="009F676B">
      <w:pPr>
        <w:pStyle w:val="Glossarylist"/>
      </w:pPr>
      <w:r>
        <w:t>Net Benefit</w:t>
      </w:r>
      <w:r>
        <w:tab/>
        <w:t>The sum of expected benefits (in monetary terms), less expected costs associated with a change of policy relative to business as usual.</w:t>
      </w:r>
    </w:p>
    <w:p w:rsidR="009F676B" w:rsidRDefault="009F676B" w:rsidP="009F676B">
      <w:pPr>
        <w:pStyle w:val="Glossarylist"/>
      </w:pPr>
      <w:r>
        <w:t>Net Present Value (NPV)</w:t>
      </w:r>
      <w:r>
        <w:tab/>
        <w:t>The difference between the present economic value (determined using an appropriate discount rate) of all expected benefits and costs over time due to a change of policy relative to business as usual.</w:t>
      </w:r>
    </w:p>
    <w:p w:rsidR="00223F09" w:rsidRPr="007B6E69" w:rsidRDefault="00223F09" w:rsidP="00EE18DA">
      <w:pPr>
        <w:pStyle w:val="Glossarylist"/>
      </w:pPr>
      <w:r w:rsidRPr="007B6E69">
        <w:t>Prime Mover</w:t>
      </w:r>
      <w:r w:rsidRPr="007B6E69">
        <w:tab/>
        <w:t>A motor vehicle built to tow a semi-trailer.</w:t>
      </w:r>
    </w:p>
    <w:p w:rsidR="00223F09" w:rsidRPr="007B6E69" w:rsidRDefault="00223F09" w:rsidP="00EE18DA">
      <w:pPr>
        <w:pStyle w:val="Glossarylist"/>
      </w:pPr>
      <w:r w:rsidRPr="007B6E69">
        <w:t>Rigid Truck</w:t>
      </w:r>
      <w:r w:rsidRPr="007B6E69">
        <w:tab/>
        <w:t>A motor vehicle with a GVM greater than 4.5 tonnes constructed with a load carrying area. Includes a rigid truck with a tow bar, draw bar or other coupling on the rear of the vehicle.</w:t>
      </w:r>
    </w:p>
    <w:p w:rsidR="00B523DF" w:rsidRPr="007B6E69" w:rsidRDefault="00B523DF" w:rsidP="00B523DF">
      <w:pPr>
        <w:pStyle w:val="Glossarylist"/>
      </w:pPr>
      <w:r w:rsidRPr="007B6E69">
        <w:t>Rear End</w:t>
      </w:r>
      <w:r w:rsidRPr="007B6E69">
        <w:tab/>
        <w:t>The rearmost point on the vehicle including the bumper bar, over-riders</w:t>
      </w:r>
      <w:r w:rsidRPr="007B6E69">
        <w:cr/>
        <w:t>and tow hook or towbar if standard equipment.</w:t>
      </w:r>
    </w:p>
    <w:p w:rsidR="00B523DF" w:rsidRPr="007B6E69" w:rsidRDefault="00B523DF" w:rsidP="00B523DF">
      <w:pPr>
        <w:pStyle w:val="Glossarylist"/>
      </w:pPr>
      <w:r w:rsidRPr="007B6E69">
        <w:t>Rear Overhang</w:t>
      </w:r>
      <w:r w:rsidRPr="007B6E69">
        <w:tab/>
        <w:t>The distance measured horizontally and parallel to the longitudinal axis of the vehicle between the rear end of the vehicle and the centre of the rear axle group.</w:t>
      </w:r>
    </w:p>
    <w:p w:rsidR="00B523DF" w:rsidRPr="007B6E69" w:rsidRDefault="00B523DF" w:rsidP="00B523DF">
      <w:pPr>
        <w:pStyle w:val="Glossarylist"/>
      </w:pPr>
      <w:r w:rsidRPr="007B6E69">
        <w:t>Retractable Axle</w:t>
      </w:r>
      <w:r w:rsidRPr="007B6E69">
        <w:tab/>
        <w:t>An axle with a means of adjustment enabling it to be raised or lowered relative to the other axles in the axle group.</w:t>
      </w:r>
    </w:p>
    <w:p w:rsidR="009F676B" w:rsidRDefault="009F676B" w:rsidP="009F676B">
      <w:pPr>
        <w:pStyle w:val="Glossarylist"/>
      </w:pPr>
      <w:r>
        <w:t>Road Crash Fatality</w:t>
      </w:r>
      <w:r>
        <w:tab/>
        <w:t>A person who dies within 30 days of a crash as a result of injuries received in that crash.</w:t>
      </w:r>
    </w:p>
    <w:p w:rsidR="00223F09" w:rsidRPr="007B6E69" w:rsidRDefault="00223F09" w:rsidP="00EE18DA">
      <w:pPr>
        <w:pStyle w:val="Glossarylist"/>
      </w:pPr>
      <w:r w:rsidRPr="007B6E69">
        <w:t>Semi-trailer</w:t>
      </w:r>
      <w:r w:rsidRPr="007B6E69">
        <w:tab/>
        <w:t>A trailer that has one axle group or a single axle towards the rear; and a kingpin and skid plate at the front for coupling to the fifth wheel assembly of a prime mover, another semi-trailer or a converter dolly.</w:t>
      </w:r>
    </w:p>
    <w:p w:rsidR="00223F09" w:rsidRDefault="00223F09" w:rsidP="00EE18DA">
      <w:pPr>
        <w:pStyle w:val="Glossarylist"/>
      </w:pPr>
      <w:r w:rsidRPr="007B6E69">
        <w:t>Truck Tractor</w:t>
      </w:r>
      <w:r w:rsidRPr="007B6E69">
        <w:tab/>
        <w:t>A prime mover.</w:t>
      </w:r>
    </w:p>
    <w:p w:rsidR="009D2AC4" w:rsidRPr="007B6E69" w:rsidRDefault="009D2AC4" w:rsidP="00EE18DA">
      <w:pPr>
        <w:pStyle w:val="Glossarylist"/>
      </w:pPr>
      <w:r>
        <w:t>Unladen Mass</w:t>
      </w:r>
      <w:r>
        <w:tab/>
      </w:r>
      <w:r w:rsidR="00EE5CB7">
        <w:t>T</w:t>
      </w:r>
      <w:r w:rsidR="00EE5CB7" w:rsidRPr="00EE5CB7">
        <w:t>he mass of the vehicle in running order unoccupied and unladen with all fluid reservoirs filled to nominal capacity including fuel, and with all standard equipment.</w:t>
      </w:r>
    </w:p>
    <w:p w:rsidR="00223F09" w:rsidRPr="007B6E69" w:rsidRDefault="00223F09" w:rsidP="00EE18DA">
      <w:pPr>
        <w:pStyle w:val="Glossarylist"/>
      </w:pPr>
      <w:r w:rsidRPr="007B6E69">
        <w:t>Vehicle Stability Function</w:t>
      </w:r>
      <w:r w:rsidRPr="007B6E69">
        <w:tab/>
        <w:t>An electronic control function for a vehicle that improves the dynamic stability of the vehicle.</w:t>
      </w:r>
    </w:p>
    <w:p w:rsidR="00223F09" w:rsidRDefault="00223F09" w:rsidP="00EE18DA">
      <w:pPr>
        <w:pStyle w:val="Glossarylist"/>
      </w:pPr>
      <w:r w:rsidRPr="007B6E69">
        <w:t>Vision Support System</w:t>
      </w:r>
      <w:r w:rsidRPr="007B6E69">
        <w:tab/>
        <w:t>A system to enable the driver to detect and/or see objects in the area adjacent to the vehicle.</w:t>
      </w:r>
    </w:p>
    <w:p w:rsidR="00223F09" w:rsidRDefault="00223F09" w:rsidP="00223F09">
      <w:pPr>
        <w:rPr>
          <w:rFonts w:eastAsia="Calibri" w:cstheme="minorHAnsi"/>
          <w:color w:val="auto"/>
          <w:kern w:val="0"/>
        </w:rPr>
      </w:pPr>
    </w:p>
    <w:p w:rsidR="004F675A" w:rsidRPr="007B6E69" w:rsidRDefault="004F675A" w:rsidP="00223F09">
      <w:pPr>
        <w:sectPr w:rsidR="004F675A" w:rsidRPr="007B6E69" w:rsidSect="00237D88">
          <w:pgSz w:w="11906" w:h="16838" w:code="9"/>
          <w:pgMar w:top="2835" w:right="1049" w:bottom="1701" w:left="1049" w:header="1276" w:footer="709" w:gutter="0"/>
          <w:cols w:space="708"/>
          <w:docGrid w:linePitch="360"/>
        </w:sectPr>
      </w:pPr>
    </w:p>
    <w:p w:rsidR="004F675A" w:rsidRPr="00D337F2" w:rsidRDefault="004F675A" w:rsidP="004F675A">
      <w:pPr>
        <w:pStyle w:val="AppendixHeading1"/>
      </w:pPr>
      <w:bookmarkStart w:id="130" w:name="_Toc111576729"/>
      <w:bookmarkStart w:id="131" w:name="_Toc138065725"/>
      <w:bookmarkStart w:id="132" w:name="_Toc67060914"/>
      <w:bookmarkStart w:id="133" w:name="_Toc111576731"/>
      <w:r>
        <w:t xml:space="preserve">Appendix 3 – </w:t>
      </w:r>
      <w:r w:rsidRPr="00D337F2">
        <w:t>Heavy goods vehicle and trailer categories</w:t>
      </w:r>
      <w:bookmarkEnd w:id="130"/>
      <w:bookmarkEnd w:id="131"/>
    </w:p>
    <w:p w:rsidR="004F675A" w:rsidRPr="007B6E69" w:rsidRDefault="004F675A" w:rsidP="004F675A">
      <w:r w:rsidRPr="007B6E69">
        <w:t xml:space="preserve">A two-character vehicle category code is shown for each vehicle category. This code is used to designate the relevant vehicles in the national </w:t>
      </w:r>
      <w:r>
        <w:t>road vehicle standards (</w:t>
      </w:r>
      <w:r w:rsidRPr="007B6E69">
        <w:t>the ADRs</w:t>
      </w:r>
      <w:r>
        <w:t>)</w:t>
      </w:r>
      <w:r w:rsidRPr="007B6E69">
        <w:t>, and in related documentation.</w:t>
      </w:r>
    </w:p>
    <w:p w:rsidR="004F675A" w:rsidRPr="007B6E69" w:rsidRDefault="004F675A" w:rsidP="004F675A">
      <w:r w:rsidRPr="007B6E69">
        <w:t>The categories listed below are those relevant to vehicles greater than 4.5 tonnes ‘</w:t>
      </w:r>
      <w:r w:rsidRPr="007B6E69">
        <w:rPr>
          <w:i/>
        </w:rPr>
        <w:t>Gross Vehicle Mass</w:t>
      </w:r>
      <w:r w:rsidRPr="007B6E69">
        <w:t xml:space="preserve">’ and trailers greater than 4.5 tonnes </w:t>
      </w:r>
      <w:r w:rsidRPr="006A0488">
        <w:rPr>
          <w:i/>
        </w:rPr>
        <w:t>‘Gross Trailer Mass’</w:t>
      </w:r>
      <w:r w:rsidRPr="007B6E69">
        <w:t xml:space="preserve"> (Heavy Vehicles).</w:t>
      </w:r>
    </w:p>
    <w:p w:rsidR="004F675A" w:rsidRPr="00FA760A" w:rsidRDefault="004F675A" w:rsidP="004F675A">
      <w:pPr>
        <w:spacing w:before="240" w:after="120"/>
        <w:rPr>
          <w:color w:val="081E3E" w:themeColor="text2"/>
          <w:sz w:val="28"/>
          <w:szCs w:val="28"/>
        </w:rPr>
      </w:pPr>
      <w:r w:rsidRPr="00FA760A">
        <w:rPr>
          <w:color w:val="081E3E" w:themeColor="text2"/>
          <w:sz w:val="28"/>
          <w:szCs w:val="28"/>
        </w:rPr>
        <w:t>Goods Vehicles (N)</w:t>
      </w:r>
    </w:p>
    <w:p w:rsidR="004F675A" w:rsidRPr="007B6E69" w:rsidRDefault="004F675A" w:rsidP="004F675A">
      <w:r w:rsidRPr="007B6E69">
        <w:t>A motor vehicle constructed primarily for the carriage of goods and having at least 4 wheels; or 3 wheels and a ‘</w:t>
      </w:r>
      <w:r w:rsidRPr="007B6E69">
        <w:rPr>
          <w:i/>
        </w:rPr>
        <w:t>Gross Vehicle Mass</w:t>
      </w:r>
      <w:r w:rsidRPr="007B6E69">
        <w:t>’ exceeding 1.0 tonne.</w:t>
      </w:r>
    </w:p>
    <w:p w:rsidR="004F675A" w:rsidRPr="007B6E69" w:rsidRDefault="004F675A" w:rsidP="004F675A">
      <w:r w:rsidRPr="007B6E69">
        <w:t>A vehicle constructed for both the carriage of persons and the carriage of good shall be considered to be primarily for the carriage of goods if the number of seating positions times 68 kg is less than 50</w:t>
      </w:r>
      <w:r>
        <w:t xml:space="preserve">% </w:t>
      </w:r>
      <w:r w:rsidRPr="007B6E69">
        <w:t>of the difference between the ‘</w:t>
      </w:r>
      <w:r w:rsidRPr="007B6E69">
        <w:rPr>
          <w:i/>
        </w:rPr>
        <w:t>Gross Vehicle Mass</w:t>
      </w:r>
      <w:r>
        <w:t xml:space="preserve">’ </w:t>
      </w:r>
      <w:r w:rsidRPr="007B6E69">
        <w:t>and the ‘</w:t>
      </w:r>
      <w:r w:rsidRPr="007B6E69">
        <w:rPr>
          <w:i/>
        </w:rPr>
        <w:t>Unladen Mass</w:t>
      </w:r>
      <w:r w:rsidRPr="007B6E69">
        <w:t>‘.</w:t>
      </w:r>
    </w:p>
    <w:p w:rsidR="004F675A" w:rsidRPr="007B6E69" w:rsidRDefault="004F675A" w:rsidP="004F675A">
      <w:r w:rsidRPr="007B6E69">
        <w:t>The equipment and installations carried on certain special-purpose vehicles not designed for the carriage of passengers (crane vehicles, workshop vehicles, publicity vehicles, etc.) are regarded as being equivalent to goods for the purposes of this definition.</w:t>
      </w:r>
    </w:p>
    <w:p w:rsidR="004F675A" w:rsidRPr="007B6E69" w:rsidRDefault="004F675A" w:rsidP="004F675A">
      <w:r w:rsidRPr="007B6E69">
        <w:t>A goods vehicle comprising two or more non-separable but articulated units shall be considered as a single vehicle.</w:t>
      </w:r>
    </w:p>
    <w:p w:rsidR="004F675A" w:rsidRPr="00FA760A" w:rsidRDefault="004F675A" w:rsidP="004F675A">
      <w:pPr>
        <w:rPr>
          <w:color w:val="081E3E" w:themeColor="text2"/>
          <w:sz w:val="24"/>
          <w:szCs w:val="24"/>
        </w:rPr>
      </w:pPr>
      <w:r w:rsidRPr="00FA760A">
        <w:rPr>
          <w:color w:val="081E3E" w:themeColor="text2"/>
          <w:sz w:val="24"/>
          <w:szCs w:val="24"/>
        </w:rPr>
        <w:t>Medium Goods Vehicle (NB)</w:t>
      </w:r>
    </w:p>
    <w:p w:rsidR="004F675A" w:rsidRPr="007B6E69" w:rsidRDefault="004F675A" w:rsidP="004F675A">
      <w:r w:rsidRPr="007B6E69">
        <w:t>A goods vehicle with a ‘</w:t>
      </w:r>
      <w:r w:rsidRPr="007B6E69">
        <w:rPr>
          <w:i/>
        </w:rPr>
        <w:t>Gross Vehicle Mass</w:t>
      </w:r>
      <w:r w:rsidRPr="007B6E69">
        <w:t>’ exceeding 3.5 tonnes but not exceeding 12.0 tonnes.</w:t>
      </w:r>
    </w:p>
    <w:p w:rsidR="004F675A" w:rsidRPr="007B6E69" w:rsidRDefault="004F675A" w:rsidP="004F675A">
      <w:r w:rsidRPr="007B6E69">
        <w:t>Sub-category NB2 – over 4.5 tonnes, up to 12 tonnes ‘</w:t>
      </w:r>
      <w:r w:rsidRPr="007B6E69">
        <w:rPr>
          <w:i/>
        </w:rPr>
        <w:t>Gross Vehicle Mass</w:t>
      </w:r>
      <w:r w:rsidRPr="007B6E69">
        <w:t>’</w:t>
      </w:r>
    </w:p>
    <w:p w:rsidR="004F675A" w:rsidRPr="00FA760A" w:rsidRDefault="004F675A" w:rsidP="004F675A">
      <w:pPr>
        <w:rPr>
          <w:color w:val="081E3E" w:themeColor="text2"/>
          <w:sz w:val="24"/>
          <w:szCs w:val="24"/>
        </w:rPr>
      </w:pPr>
      <w:r w:rsidRPr="00FA760A">
        <w:rPr>
          <w:color w:val="081E3E" w:themeColor="text2"/>
          <w:sz w:val="24"/>
          <w:szCs w:val="24"/>
        </w:rPr>
        <w:t>Heavy Goods Vehicle (NC)</w:t>
      </w:r>
    </w:p>
    <w:p w:rsidR="004F675A" w:rsidRDefault="004F675A" w:rsidP="004F675A">
      <w:r w:rsidRPr="007B6E69">
        <w:t>A goods vehicle with a ‘</w:t>
      </w:r>
      <w:r w:rsidRPr="007B6E69">
        <w:rPr>
          <w:i/>
        </w:rPr>
        <w:t>Gross Vehicle Mass</w:t>
      </w:r>
      <w:r w:rsidRPr="007B6E69">
        <w:t>’ exceeding 12.0 tonnes.</w:t>
      </w:r>
    </w:p>
    <w:p w:rsidR="004F675A" w:rsidRPr="00FA760A" w:rsidRDefault="004F675A" w:rsidP="004F675A">
      <w:pPr>
        <w:spacing w:before="240" w:after="120"/>
        <w:rPr>
          <w:rFonts w:cstheme="minorHAnsi"/>
          <w:color w:val="081E3E" w:themeColor="text2"/>
          <w:sz w:val="28"/>
          <w:szCs w:val="28"/>
        </w:rPr>
      </w:pPr>
      <w:r w:rsidRPr="00FA760A">
        <w:rPr>
          <w:rFonts w:cstheme="minorHAnsi"/>
          <w:color w:val="081E3E" w:themeColor="text2"/>
          <w:sz w:val="28"/>
          <w:szCs w:val="28"/>
        </w:rPr>
        <w:t>Trailers (T)</w:t>
      </w:r>
    </w:p>
    <w:p w:rsidR="004F675A" w:rsidRPr="006A0488" w:rsidRDefault="004F675A" w:rsidP="004F675A">
      <w:pPr>
        <w:rPr>
          <w:rFonts w:cstheme="minorHAnsi"/>
        </w:rPr>
      </w:pPr>
      <w:r w:rsidRPr="006A0488">
        <w:rPr>
          <w:rFonts w:cstheme="minorHAnsi"/>
        </w:rPr>
        <w:t>A vehicle without motive power constructed to be drawn behind a motor vehicle.</w:t>
      </w:r>
    </w:p>
    <w:p w:rsidR="004F675A" w:rsidRPr="00FA760A" w:rsidRDefault="004F675A" w:rsidP="004F675A">
      <w:pPr>
        <w:rPr>
          <w:rFonts w:cstheme="minorHAnsi"/>
          <w:color w:val="081E3E" w:themeColor="text2"/>
          <w:sz w:val="24"/>
          <w:szCs w:val="24"/>
        </w:rPr>
      </w:pPr>
      <w:r w:rsidRPr="00FA760A">
        <w:rPr>
          <w:rFonts w:cstheme="minorHAnsi"/>
          <w:color w:val="081E3E" w:themeColor="text2"/>
          <w:sz w:val="24"/>
          <w:szCs w:val="24"/>
        </w:rPr>
        <w:t>Medium Trailer (TC)</w:t>
      </w:r>
    </w:p>
    <w:p w:rsidR="004F675A" w:rsidRPr="006A0488" w:rsidRDefault="004F675A" w:rsidP="004F675A">
      <w:pPr>
        <w:rPr>
          <w:rFonts w:cstheme="minorHAnsi"/>
        </w:rPr>
      </w:pPr>
      <w:r w:rsidRPr="006A0488">
        <w:rPr>
          <w:rFonts w:cstheme="minorHAnsi"/>
        </w:rPr>
        <w:t xml:space="preserve">A trailer with a </w:t>
      </w:r>
      <w:r w:rsidRPr="00871EF0">
        <w:rPr>
          <w:rFonts w:cstheme="minorHAnsi"/>
          <w:i/>
        </w:rPr>
        <w:t>‘Gross Trailer Mass’</w:t>
      </w:r>
      <w:r w:rsidRPr="006A0488">
        <w:rPr>
          <w:rFonts w:cstheme="minorHAnsi"/>
        </w:rPr>
        <w:t xml:space="preserve"> exceeding 3.5 tonnes but not exceeding 10 tonnes</w:t>
      </w:r>
    </w:p>
    <w:p w:rsidR="004F675A" w:rsidRPr="00FA760A" w:rsidRDefault="004F675A" w:rsidP="004F675A">
      <w:pPr>
        <w:rPr>
          <w:rFonts w:cstheme="minorHAnsi"/>
          <w:color w:val="081E3E" w:themeColor="text2"/>
          <w:sz w:val="24"/>
          <w:szCs w:val="24"/>
        </w:rPr>
      </w:pPr>
      <w:r w:rsidRPr="00FA760A">
        <w:rPr>
          <w:rFonts w:cstheme="minorHAnsi"/>
          <w:color w:val="081E3E" w:themeColor="text2"/>
          <w:sz w:val="24"/>
          <w:szCs w:val="24"/>
        </w:rPr>
        <w:t>Heavy Trailer (TD)</w:t>
      </w:r>
    </w:p>
    <w:p w:rsidR="004F675A" w:rsidRDefault="004F675A" w:rsidP="004F675A">
      <w:pPr>
        <w:rPr>
          <w:rFonts w:cstheme="minorHAnsi"/>
        </w:rPr>
      </w:pPr>
      <w:r w:rsidRPr="006A0488">
        <w:rPr>
          <w:rFonts w:cstheme="minorHAnsi"/>
        </w:rPr>
        <w:t xml:space="preserve">A trailer with a </w:t>
      </w:r>
      <w:r w:rsidRPr="00871EF0">
        <w:rPr>
          <w:rFonts w:cstheme="minorHAnsi"/>
          <w:i/>
        </w:rPr>
        <w:t>‘Gross Trailer Mass’</w:t>
      </w:r>
      <w:r w:rsidRPr="006A0488">
        <w:rPr>
          <w:rFonts w:cstheme="minorHAnsi"/>
        </w:rPr>
        <w:t xml:space="preserve"> exceeding 10 tonnes</w:t>
      </w:r>
    </w:p>
    <w:p w:rsidR="004F675A" w:rsidRPr="007B6E69" w:rsidRDefault="004F675A" w:rsidP="008B1541">
      <w:pPr>
        <w:pStyle w:val="Glossarylist"/>
      </w:pPr>
    </w:p>
    <w:p w:rsidR="008B1541" w:rsidRDefault="008B1541" w:rsidP="00E13D3A">
      <w:pPr>
        <w:pStyle w:val="AppendixHeading1"/>
        <w:sectPr w:rsidR="008B1541" w:rsidSect="00237D88">
          <w:pgSz w:w="11906" w:h="16838" w:code="9"/>
          <w:pgMar w:top="2835" w:right="1049" w:bottom="1701" w:left="1049" w:header="1276" w:footer="709" w:gutter="0"/>
          <w:cols w:space="708"/>
          <w:docGrid w:linePitch="360"/>
        </w:sectPr>
      </w:pPr>
    </w:p>
    <w:p w:rsidR="00223F09" w:rsidRPr="007B6E69" w:rsidRDefault="00197BA7" w:rsidP="00E13D3A">
      <w:pPr>
        <w:pStyle w:val="AppendixHeading1"/>
      </w:pPr>
      <w:bookmarkStart w:id="134" w:name="_Toc138065726"/>
      <w:r w:rsidRPr="007B6E69">
        <w:t xml:space="preserve">Appendix </w:t>
      </w:r>
      <w:r w:rsidR="008B1541">
        <w:t>4</w:t>
      </w:r>
      <w:r w:rsidRPr="007B6E69">
        <w:t xml:space="preserve"> – </w:t>
      </w:r>
      <w:r w:rsidR="00223F09" w:rsidRPr="007B6E69">
        <w:t>Summary of vehicle width requirements by market</w:t>
      </w:r>
      <w:bookmarkEnd w:id="125"/>
      <w:bookmarkEnd w:id="132"/>
      <w:bookmarkEnd w:id="133"/>
      <w:bookmarkEnd w:id="134"/>
    </w:p>
    <w:p w:rsidR="00223F09" w:rsidRPr="007B6E69" w:rsidRDefault="000C6BB7" w:rsidP="000C6BB7">
      <w:pPr>
        <w:pStyle w:val="Caption"/>
      </w:pPr>
      <w:bookmarkStart w:id="135" w:name="_Toc135320145"/>
      <w:r>
        <w:t xml:space="preserve">Table </w:t>
      </w:r>
      <w:fldSimple w:instr=" SEQ Table \* ARABIC ">
        <w:r w:rsidR="00534814">
          <w:rPr>
            <w:noProof/>
          </w:rPr>
          <w:t>20</w:t>
        </w:r>
      </w:fldSimple>
      <w:r>
        <w:t xml:space="preserve">: </w:t>
      </w:r>
      <w:r w:rsidR="00223F09" w:rsidRPr="007B6E69">
        <w:t>Aus</w:t>
      </w:r>
      <w:r w:rsidR="009C2101">
        <w:t xml:space="preserve">tralian vehicle width limit, including summary of </w:t>
      </w:r>
      <w:r w:rsidR="009C2101" w:rsidRPr="007B6E69">
        <w:t>exclusions</w:t>
      </w:r>
      <w:r w:rsidR="009C2101">
        <w:t xml:space="preserve"> and conditions</w:t>
      </w:r>
      <w:bookmarkEnd w:id="135"/>
    </w:p>
    <w:tbl>
      <w:tblPr>
        <w:tblStyle w:val="TableGrid"/>
        <w:tblW w:w="9808" w:type="dxa"/>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Caption w:val="Table"/>
        <w:tblDescription w:val="Table of devices/systems excluded from width requirements in Australia, including conditions of exclusion."/>
      </w:tblPr>
      <w:tblGrid>
        <w:gridCol w:w="4422"/>
        <w:gridCol w:w="5386"/>
      </w:tblGrid>
      <w:tr w:rsidR="000C6BB7" w:rsidRPr="007B6E69" w:rsidTr="007E267D">
        <w:tc>
          <w:tcPr>
            <w:tcW w:w="9808" w:type="dxa"/>
            <w:gridSpan w:val="2"/>
            <w:shd w:val="clear" w:color="auto" w:fill="0D3064" w:themeFill="accent1" w:themeFillTint="E6"/>
          </w:tcPr>
          <w:p w:rsidR="000C6BB7" w:rsidRPr="007B6E69" w:rsidRDefault="000C6BB7" w:rsidP="00237D88">
            <w:pPr>
              <w:rPr>
                <w:b/>
                <w:color w:val="FFFFFF" w:themeColor="background1"/>
              </w:rPr>
            </w:pPr>
            <w:r>
              <w:rPr>
                <w:b/>
                <w:color w:val="FFFFFF" w:themeColor="background1"/>
              </w:rPr>
              <w:t>Overall width limit</w:t>
            </w:r>
          </w:p>
        </w:tc>
      </w:tr>
      <w:tr w:rsidR="000C6BB7" w:rsidRPr="007B6E69" w:rsidTr="000C6BB7">
        <w:tc>
          <w:tcPr>
            <w:tcW w:w="9808" w:type="dxa"/>
            <w:gridSpan w:val="2"/>
            <w:shd w:val="clear" w:color="auto" w:fill="FFFFFF" w:themeFill="background1"/>
          </w:tcPr>
          <w:p w:rsidR="000C6BB7" w:rsidRPr="000C6BB7" w:rsidRDefault="00B9347B" w:rsidP="00237D88">
            <w:r>
              <w:t>2.50</w:t>
            </w:r>
            <w:r w:rsidR="009C2101">
              <w:t> </w:t>
            </w:r>
            <w:r w:rsidR="000C6BB7">
              <w:t>m</w:t>
            </w:r>
          </w:p>
        </w:tc>
      </w:tr>
      <w:tr w:rsidR="00223F09" w:rsidRPr="007B6E69" w:rsidTr="00AC110B">
        <w:tc>
          <w:tcPr>
            <w:tcW w:w="4422" w:type="dxa"/>
            <w:shd w:val="clear" w:color="auto" w:fill="0D3064" w:themeFill="accent1" w:themeFillTint="E6"/>
          </w:tcPr>
          <w:p w:rsidR="00223F09" w:rsidRPr="007B6E69" w:rsidRDefault="00223F09" w:rsidP="00237D88">
            <w:pPr>
              <w:rPr>
                <w:b/>
                <w:color w:val="FFFFFF" w:themeColor="background1"/>
              </w:rPr>
            </w:pPr>
            <w:r w:rsidRPr="007B6E69">
              <w:rPr>
                <w:b/>
                <w:color w:val="FFFFFF" w:themeColor="background1"/>
              </w:rPr>
              <w:t>Exclusions</w:t>
            </w:r>
          </w:p>
        </w:tc>
        <w:tc>
          <w:tcPr>
            <w:tcW w:w="5386" w:type="dxa"/>
            <w:shd w:val="clear" w:color="auto" w:fill="0D3064" w:themeFill="accent1" w:themeFillTint="E6"/>
          </w:tcPr>
          <w:p w:rsidR="00223F09" w:rsidRPr="007B6E69" w:rsidRDefault="00223F09" w:rsidP="00237D88">
            <w:pPr>
              <w:rPr>
                <w:b/>
                <w:color w:val="FFFFFF" w:themeColor="background1"/>
              </w:rPr>
            </w:pPr>
            <w:r w:rsidRPr="007B6E69">
              <w:rPr>
                <w:b/>
                <w:color w:val="FFFFFF" w:themeColor="background1"/>
              </w:rPr>
              <w:t>Conditions</w:t>
            </w:r>
          </w:p>
        </w:tc>
      </w:tr>
      <w:tr w:rsidR="00223F09" w:rsidRPr="007B6E69" w:rsidTr="00AC110B">
        <w:tc>
          <w:tcPr>
            <w:tcW w:w="4422" w:type="dxa"/>
          </w:tcPr>
          <w:p w:rsidR="00223F09" w:rsidRPr="007B6E69" w:rsidRDefault="00223F09" w:rsidP="00237D88">
            <w:r w:rsidRPr="007B6E69">
              <w:t>Rear vision mirrors</w:t>
            </w:r>
          </w:p>
        </w:tc>
        <w:tc>
          <w:tcPr>
            <w:tcW w:w="5386" w:type="dxa"/>
          </w:tcPr>
          <w:p w:rsidR="00223F09" w:rsidRPr="007B6E69" w:rsidRDefault="00223F09" w:rsidP="00237D88">
            <w:r w:rsidRPr="007B6E69">
              <w:t>May project up to 230</w:t>
            </w:r>
            <w:r w:rsidR="00E35A93">
              <w:t> </w:t>
            </w:r>
            <w:r w:rsidRPr="007B6E69">
              <w:t>mm (on each side) beyond the vehicle width (without mirrors), if capable of collapsing to 150</w:t>
            </w:r>
            <w:r w:rsidR="00E35A93">
              <w:t> </w:t>
            </w:r>
            <w:r w:rsidRPr="007B6E69">
              <w:t>mm.</w:t>
            </w:r>
          </w:p>
          <w:p w:rsidR="00223F09" w:rsidRPr="007B6E69" w:rsidRDefault="00223F09" w:rsidP="00237D88">
            <w:r w:rsidRPr="007B6E69">
              <w:t>If less than 2 m above the ground when vehicle is loaded to its technically permissible maximum laden mass (i.e. GVM) – may project up to 250</w:t>
            </w:r>
            <w:r w:rsidR="00E35A93">
              <w:t> </w:t>
            </w:r>
            <w:r w:rsidRPr="007B6E69">
              <w:t>mm (on each side) beyond the vehicle width (without mirrors), but only if necessary to comply with UN R46 field of view requirements.</w:t>
            </w:r>
          </w:p>
          <w:p w:rsidR="00223F09" w:rsidRPr="007B6E69" w:rsidRDefault="00223F09" w:rsidP="00237D88">
            <w:r w:rsidRPr="007B6E69">
              <w:t>If more than 2</w:t>
            </w:r>
            <w:r w:rsidR="00E35A93">
              <w:t> </w:t>
            </w:r>
            <w:r w:rsidRPr="007B6E69">
              <w:t>m above the ground when vehicle is loaded to its technically permissible maximum laden mass (i.e. GVM) – may project as much as necessary (on each side) to comply with UN R46 field of view requirements.</w:t>
            </w:r>
          </w:p>
        </w:tc>
      </w:tr>
      <w:tr w:rsidR="00223F09" w:rsidRPr="007B6E69" w:rsidTr="00AC110B">
        <w:tc>
          <w:tcPr>
            <w:tcW w:w="4422" w:type="dxa"/>
          </w:tcPr>
          <w:p w:rsidR="00223F09" w:rsidRPr="007B6E69" w:rsidRDefault="00223F09" w:rsidP="00237D88">
            <w:r w:rsidRPr="007B6E69">
              <w:t>Signalling devices</w:t>
            </w:r>
            <w:r w:rsidRPr="007B6E69">
              <w:br/>
              <w:t>Side-mounted lamps and reflectors</w:t>
            </w:r>
          </w:p>
        </w:tc>
        <w:tc>
          <w:tcPr>
            <w:tcW w:w="5386" w:type="dxa"/>
          </w:tcPr>
          <w:p w:rsidR="00223F09" w:rsidRPr="007B6E69" w:rsidRDefault="00223F09" w:rsidP="00237D88"/>
        </w:tc>
      </w:tr>
      <w:tr w:rsidR="00223F09" w:rsidRPr="007B6E69" w:rsidTr="00AC110B">
        <w:tc>
          <w:tcPr>
            <w:tcW w:w="4422" w:type="dxa"/>
          </w:tcPr>
          <w:p w:rsidR="00223F09" w:rsidRPr="007B6E69" w:rsidRDefault="00223F09" w:rsidP="00237D88">
            <w:r w:rsidRPr="007B6E69">
              <w:t>Permanently fixed webbing-assembly-type devices such as curtain-side devices</w:t>
            </w:r>
          </w:p>
        </w:tc>
        <w:tc>
          <w:tcPr>
            <w:tcW w:w="5386" w:type="dxa"/>
          </w:tcPr>
          <w:p w:rsidR="00223F09" w:rsidRPr="007B6E69" w:rsidRDefault="00223F09" w:rsidP="00237D88">
            <w:r w:rsidRPr="007B6E69">
              <w:t xml:space="preserve">The maximum distance measured across the body of the vehicle </w:t>
            </w:r>
            <w:r w:rsidRPr="007B6E69">
              <w:cr/>
              <w:t>including any part of the devices must not exceed 2.55</w:t>
            </w:r>
            <w:r w:rsidR="00E35A93">
              <w:t> </w:t>
            </w:r>
            <w:r w:rsidRPr="007B6E69">
              <w:t>m.</w:t>
            </w:r>
          </w:p>
        </w:tc>
      </w:tr>
      <w:tr w:rsidR="00223F09" w:rsidRPr="007B6E69" w:rsidTr="00AC110B">
        <w:tc>
          <w:tcPr>
            <w:tcW w:w="4422" w:type="dxa"/>
          </w:tcPr>
          <w:p w:rsidR="00223F09" w:rsidRPr="007B6E69" w:rsidRDefault="00223F09" w:rsidP="00237D88">
            <w:r w:rsidRPr="007B6E69">
              <w:t>Anti-skid devices mounted on wheels</w:t>
            </w:r>
            <w:r w:rsidRPr="007B6E69">
              <w:br/>
              <w:t>Central tyre inflation systems</w:t>
            </w:r>
            <w:r w:rsidRPr="007B6E69">
              <w:br/>
              <w:t>Tyre pressure gauges</w:t>
            </w:r>
          </w:p>
        </w:tc>
        <w:tc>
          <w:tcPr>
            <w:tcW w:w="5386" w:type="dxa"/>
          </w:tcPr>
          <w:p w:rsidR="00223F09" w:rsidRPr="007B6E69" w:rsidRDefault="00223F09" w:rsidP="00237D88"/>
        </w:tc>
      </w:tr>
    </w:tbl>
    <w:p w:rsidR="00223F09" w:rsidRPr="007B6E69" w:rsidRDefault="00223F09" w:rsidP="00223F09">
      <w:pPr>
        <w:spacing w:before="0" w:after="200" w:line="276" w:lineRule="auto"/>
        <w:rPr>
          <w:rFonts w:cs="FranklinGothic-BookCnd"/>
          <w:color w:val="auto"/>
          <w:spacing w:val="1"/>
          <w:sz w:val="26"/>
          <w:szCs w:val="26"/>
        </w:rPr>
      </w:pPr>
      <w:r w:rsidRPr="007B6E69">
        <w:br w:type="page"/>
      </w:r>
    </w:p>
    <w:p w:rsidR="00223F09" w:rsidRPr="007B6E69" w:rsidRDefault="00DB07D4" w:rsidP="00DB07D4">
      <w:pPr>
        <w:pStyle w:val="Caption"/>
      </w:pPr>
      <w:bookmarkStart w:id="136" w:name="_Toc135320146"/>
      <w:r>
        <w:t xml:space="preserve">Table </w:t>
      </w:r>
      <w:fldSimple w:instr=" SEQ Table \* ARABIC ">
        <w:r w:rsidR="00534814">
          <w:rPr>
            <w:noProof/>
          </w:rPr>
          <w:t>21</w:t>
        </w:r>
      </w:fldSimple>
      <w:r>
        <w:t xml:space="preserve">: </w:t>
      </w:r>
      <w:r w:rsidR="009C2101">
        <w:t xml:space="preserve">EU and UK vehicle width limits, including summary of </w:t>
      </w:r>
      <w:r w:rsidR="009C2101" w:rsidRPr="007B6E69">
        <w:t>exclusions</w:t>
      </w:r>
      <w:r w:rsidR="009C2101">
        <w:t xml:space="preserve"> and conditions</w:t>
      </w:r>
      <w:bookmarkEnd w:id="136"/>
    </w:p>
    <w:tbl>
      <w:tblPr>
        <w:tblStyle w:val="TableGrid"/>
        <w:tblW w:w="9808" w:type="dxa"/>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Caption w:val="Table"/>
        <w:tblDescription w:val="Table of devices/systems excluded from width requirements in the EU and UK, including conditions of exclusion."/>
      </w:tblPr>
      <w:tblGrid>
        <w:gridCol w:w="4422"/>
        <w:gridCol w:w="5386"/>
      </w:tblGrid>
      <w:tr w:rsidR="000C6BB7" w:rsidRPr="007B6E69" w:rsidTr="007E267D">
        <w:trPr>
          <w:tblHeader/>
        </w:trPr>
        <w:tc>
          <w:tcPr>
            <w:tcW w:w="9808" w:type="dxa"/>
            <w:gridSpan w:val="2"/>
            <w:shd w:val="clear" w:color="auto" w:fill="0D3064" w:themeFill="accent1" w:themeFillTint="E6"/>
          </w:tcPr>
          <w:p w:rsidR="000C6BB7" w:rsidRPr="007B6E69" w:rsidRDefault="000C6BB7" w:rsidP="00237D88">
            <w:pPr>
              <w:rPr>
                <w:b/>
                <w:color w:val="FFFFFF" w:themeColor="background1"/>
              </w:rPr>
            </w:pPr>
            <w:r>
              <w:rPr>
                <w:b/>
                <w:color w:val="FFFFFF" w:themeColor="background1"/>
              </w:rPr>
              <w:t>Overall width limit</w:t>
            </w:r>
          </w:p>
        </w:tc>
      </w:tr>
      <w:tr w:rsidR="000C6BB7" w:rsidRPr="007B6E69" w:rsidTr="000C6BB7">
        <w:trPr>
          <w:tblHeader/>
        </w:trPr>
        <w:tc>
          <w:tcPr>
            <w:tcW w:w="9808" w:type="dxa"/>
            <w:gridSpan w:val="2"/>
            <w:shd w:val="clear" w:color="auto" w:fill="FFFFFF" w:themeFill="background1"/>
          </w:tcPr>
          <w:p w:rsidR="000C6BB7" w:rsidRPr="0010637F" w:rsidRDefault="00B9347B" w:rsidP="00C240FD">
            <w:r>
              <w:t>2.60</w:t>
            </w:r>
            <w:r w:rsidR="000C6BB7">
              <w:t xml:space="preserve"> m </w:t>
            </w:r>
            <w:r w:rsidR="000C6BB7" w:rsidRPr="007B6E69">
              <w:t xml:space="preserve">for </w:t>
            </w:r>
            <w:r w:rsidR="0010637F">
              <w:t xml:space="preserve">refrigerated </w:t>
            </w:r>
            <w:r w:rsidR="000C6BB7" w:rsidRPr="007B6E69">
              <w:t>vehicles with insul</w:t>
            </w:r>
            <w:r w:rsidR="0010637F">
              <w:t xml:space="preserve">ated walls at least 45 mm thick; </w:t>
            </w:r>
            <w:r w:rsidR="000C6BB7" w:rsidRPr="007B6E69">
              <w:t>2.55</w:t>
            </w:r>
            <w:r w:rsidR="000C6BB7">
              <w:t xml:space="preserve"> m </w:t>
            </w:r>
            <w:r w:rsidR="0010637F">
              <w:t xml:space="preserve">for all </w:t>
            </w:r>
            <w:r w:rsidR="000C6BB7" w:rsidRPr="007B6E69">
              <w:t>other vehicles</w:t>
            </w:r>
          </w:p>
        </w:tc>
      </w:tr>
      <w:tr w:rsidR="00223F09" w:rsidRPr="007B6E69" w:rsidTr="002C24D8">
        <w:trPr>
          <w:tblHeader/>
        </w:trPr>
        <w:tc>
          <w:tcPr>
            <w:tcW w:w="4422" w:type="dxa"/>
            <w:shd w:val="clear" w:color="auto" w:fill="0D3064" w:themeFill="accent1" w:themeFillTint="E6"/>
          </w:tcPr>
          <w:p w:rsidR="00223F09" w:rsidRPr="007B6E69" w:rsidRDefault="00223F09" w:rsidP="00237D88">
            <w:pPr>
              <w:rPr>
                <w:b/>
                <w:color w:val="FFFFFF" w:themeColor="background1"/>
              </w:rPr>
            </w:pPr>
            <w:r w:rsidRPr="007B6E69">
              <w:rPr>
                <w:b/>
                <w:color w:val="FFFFFF" w:themeColor="background1"/>
              </w:rPr>
              <w:t>Exclusions</w:t>
            </w:r>
          </w:p>
        </w:tc>
        <w:tc>
          <w:tcPr>
            <w:tcW w:w="5386" w:type="dxa"/>
            <w:shd w:val="clear" w:color="auto" w:fill="0D3064" w:themeFill="accent1" w:themeFillTint="E6"/>
          </w:tcPr>
          <w:p w:rsidR="00223F09" w:rsidRPr="007B6E69" w:rsidRDefault="00223F09" w:rsidP="00237D88">
            <w:pPr>
              <w:rPr>
                <w:b/>
                <w:color w:val="FFFFFF" w:themeColor="background1"/>
              </w:rPr>
            </w:pPr>
            <w:r w:rsidRPr="007B6E69">
              <w:rPr>
                <w:b/>
                <w:color w:val="FFFFFF" w:themeColor="background1"/>
              </w:rPr>
              <w:t>Conditions</w:t>
            </w:r>
          </w:p>
        </w:tc>
      </w:tr>
      <w:tr w:rsidR="00223F09" w:rsidRPr="007B6E69" w:rsidTr="002C24D8">
        <w:tc>
          <w:tcPr>
            <w:tcW w:w="4422" w:type="dxa"/>
          </w:tcPr>
          <w:p w:rsidR="00223F09" w:rsidRPr="007B6E69" w:rsidRDefault="00223F09" w:rsidP="00237D88">
            <w:r w:rsidRPr="007B6E69">
              <w:t>Devices for indirect vision as defined in UN R46</w:t>
            </w:r>
          </w:p>
        </w:tc>
        <w:tc>
          <w:tcPr>
            <w:tcW w:w="5386" w:type="dxa"/>
          </w:tcPr>
          <w:p w:rsidR="00223F09" w:rsidRPr="007B6E69" w:rsidRDefault="00223F09" w:rsidP="00237D88">
            <w:r w:rsidRPr="007B6E69">
              <w:t>The devices and the vehicles they are fitted to must fully comply with UN</w:t>
            </w:r>
            <w:r w:rsidR="00E35A93">
              <w:t> </w:t>
            </w:r>
            <w:r w:rsidRPr="007B6E69">
              <w:t>R46.</w:t>
            </w:r>
          </w:p>
        </w:tc>
      </w:tr>
      <w:tr w:rsidR="00223F09" w:rsidRPr="007B6E69" w:rsidTr="002C24D8">
        <w:tc>
          <w:tcPr>
            <w:tcW w:w="4422" w:type="dxa"/>
          </w:tcPr>
          <w:p w:rsidR="00223F09" w:rsidRPr="007B6E69" w:rsidRDefault="00223F09" w:rsidP="0010637F">
            <w:r w:rsidRPr="007B6E69">
              <w:t>The d</w:t>
            </w:r>
            <w:r w:rsidR="0010637F">
              <w:t>eflected part of the tyre walls</w:t>
            </w:r>
          </w:p>
        </w:tc>
        <w:tc>
          <w:tcPr>
            <w:tcW w:w="5386" w:type="dxa"/>
          </w:tcPr>
          <w:p w:rsidR="00223F09" w:rsidRPr="007B6E69" w:rsidRDefault="00223F09" w:rsidP="00237D88"/>
        </w:tc>
      </w:tr>
      <w:tr w:rsidR="00223F09" w:rsidRPr="007B6E69" w:rsidTr="002C24D8">
        <w:tc>
          <w:tcPr>
            <w:tcW w:w="4422" w:type="dxa"/>
          </w:tcPr>
          <w:p w:rsidR="00223F09" w:rsidRPr="007B6E69" w:rsidRDefault="00223F09" w:rsidP="00237D88">
            <w:r w:rsidRPr="007B6E69">
              <w:t>Tyre failure tell-tale devices</w:t>
            </w:r>
            <w:r w:rsidRPr="007B6E69">
              <w:br/>
              <w:t>Tyre-pressure indicators</w:t>
            </w:r>
          </w:p>
        </w:tc>
        <w:tc>
          <w:tcPr>
            <w:tcW w:w="5386" w:type="dxa"/>
          </w:tcPr>
          <w:p w:rsidR="00223F09" w:rsidRPr="007B6E69" w:rsidRDefault="00223F09" w:rsidP="00237D88">
            <w:r w:rsidRPr="007B6E69">
              <w:t>Provided the total protrusion of the devices added to the width of the vehicle does not exceed 100 mm.</w:t>
            </w:r>
          </w:p>
        </w:tc>
      </w:tr>
      <w:tr w:rsidR="00223F09" w:rsidRPr="007B6E69" w:rsidTr="002C24D8">
        <w:tc>
          <w:tcPr>
            <w:tcW w:w="4422" w:type="dxa"/>
          </w:tcPr>
          <w:p w:rsidR="00223F09" w:rsidRPr="007B6E69" w:rsidRDefault="00223F09" w:rsidP="00237D88">
            <w:r w:rsidRPr="007B6E69">
              <w:t xml:space="preserve">Side-marker lamps, end-outline marker lamps, </w:t>
            </w:r>
            <w:r w:rsidR="002C24D8">
              <w:br/>
            </w:r>
            <w:r w:rsidRPr="007B6E69">
              <w:t xml:space="preserve">side-retro-reflectors, direction indicator lamps, </w:t>
            </w:r>
            <w:r w:rsidR="002C24D8">
              <w:br/>
            </w:r>
            <w:r w:rsidRPr="007B6E69">
              <w:t>rear position lamps, service-door lighting systems</w:t>
            </w:r>
          </w:p>
        </w:tc>
        <w:tc>
          <w:tcPr>
            <w:tcW w:w="5386" w:type="dxa"/>
          </w:tcPr>
          <w:p w:rsidR="00223F09" w:rsidRPr="007B6E69" w:rsidRDefault="00223F09" w:rsidP="00237D88">
            <w:r w:rsidRPr="007B6E69">
              <w:t>Provided the total protrusion of the devices added to the width of the vehicle does not exceed 100 mm.</w:t>
            </w:r>
          </w:p>
        </w:tc>
      </w:tr>
      <w:tr w:rsidR="00223F09" w:rsidRPr="007B6E69" w:rsidTr="002C24D8">
        <w:tc>
          <w:tcPr>
            <w:tcW w:w="4422" w:type="dxa"/>
          </w:tcPr>
          <w:p w:rsidR="00223F09" w:rsidRPr="007B6E69" w:rsidRDefault="00223F09" w:rsidP="00237D88">
            <w:r w:rsidRPr="007B6E69">
              <w:t>Retractable lateral guidance devices intended for use on guided bus system</w:t>
            </w:r>
          </w:p>
        </w:tc>
        <w:tc>
          <w:tcPr>
            <w:tcW w:w="5386" w:type="dxa"/>
          </w:tcPr>
          <w:p w:rsidR="00223F09" w:rsidRPr="007B6E69" w:rsidRDefault="00223F09" w:rsidP="00237D88">
            <w:r w:rsidRPr="007B6E69">
              <w:t>Excluded, if not retracted and provided the total protrusion of devices added to the width of the vehicle does not exceed 100</w:t>
            </w:r>
            <w:r w:rsidR="00E35A93">
              <w:t> </w:t>
            </w:r>
            <w:r w:rsidRPr="007B6E69">
              <w:t>mm.</w:t>
            </w:r>
          </w:p>
        </w:tc>
      </w:tr>
      <w:tr w:rsidR="00223F09" w:rsidRPr="007B6E69" w:rsidTr="002C24D8">
        <w:tc>
          <w:tcPr>
            <w:tcW w:w="4422" w:type="dxa"/>
          </w:tcPr>
          <w:p w:rsidR="00223F09" w:rsidRPr="007B6E69" w:rsidRDefault="00223F09" w:rsidP="00237D88">
            <w:r w:rsidRPr="007B6E69">
              <w:t>Retractable steps</w:t>
            </w:r>
          </w:p>
        </w:tc>
        <w:tc>
          <w:tcPr>
            <w:tcW w:w="5386" w:type="dxa"/>
          </w:tcPr>
          <w:p w:rsidR="00223F09" w:rsidRPr="007B6E69" w:rsidRDefault="00223F09" w:rsidP="00237D88">
            <w:r w:rsidRPr="007B6E69">
              <w:t>Excluded, when vehicle is in a stand-still position and provided the total protrusion of devices added to the width of the vehicle does not exceed 100 mm.</w:t>
            </w:r>
          </w:p>
        </w:tc>
      </w:tr>
      <w:tr w:rsidR="00223F09" w:rsidRPr="007B6E69" w:rsidTr="002C24D8">
        <w:tc>
          <w:tcPr>
            <w:tcW w:w="4422" w:type="dxa"/>
          </w:tcPr>
          <w:p w:rsidR="00223F09" w:rsidRPr="007B6E69" w:rsidRDefault="00223F09" w:rsidP="00237D88">
            <w:r w:rsidRPr="007B6E69">
              <w:t>Watching and detection aids including radars</w:t>
            </w:r>
          </w:p>
        </w:tc>
        <w:tc>
          <w:tcPr>
            <w:tcW w:w="5386" w:type="dxa"/>
          </w:tcPr>
          <w:p w:rsidR="00223F09" w:rsidRPr="007B6E69" w:rsidRDefault="00223F09" w:rsidP="00237D88">
            <w:r w:rsidRPr="007B6E69">
              <w:t>Provided the total protrusion of the devices added to the width of the vehicle does not exceed 100 mm.</w:t>
            </w:r>
          </w:p>
        </w:tc>
      </w:tr>
      <w:tr w:rsidR="00223F09" w:rsidRPr="007B6E69" w:rsidTr="002C24D8">
        <w:tc>
          <w:tcPr>
            <w:tcW w:w="4422" w:type="dxa"/>
          </w:tcPr>
          <w:p w:rsidR="00223F09" w:rsidRPr="007B6E69" w:rsidRDefault="00223F09" w:rsidP="00237D88">
            <w:r w:rsidRPr="007B6E69">
              <w:t>Devices and equipment especially designed to reduce aerodynamic drag</w:t>
            </w:r>
          </w:p>
        </w:tc>
        <w:tc>
          <w:tcPr>
            <w:tcW w:w="5386" w:type="dxa"/>
          </w:tcPr>
          <w:p w:rsidR="00223F09" w:rsidRPr="007B6E69" w:rsidRDefault="00223F09" w:rsidP="00237D88">
            <w:r w:rsidRPr="007B6E69">
              <w:t>Excluded, provided that they do not protrude by more than 50</w:t>
            </w:r>
            <w:r w:rsidR="00E35A93">
              <w:t> </w:t>
            </w:r>
            <w:r w:rsidRPr="007B6E69">
              <w:t>mm on each side from the outermost width of the vehicle and they do not increase the loading capacity.</w:t>
            </w:r>
          </w:p>
          <w:p w:rsidR="00223F09" w:rsidRPr="007B6E69" w:rsidRDefault="00223F09" w:rsidP="00237D88">
            <w:r w:rsidRPr="007B6E69">
              <w:t>Such devices must be designed to be retractable when the vehicle is at standstill in such a way that the maximum authorised width is not exceeded and they do not impair the capability of the vehicle to be used for intermodal transport.</w:t>
            </w:r>
          </w:p>
          <w:p w:rsidR="00223F09" w:rsidRPr="007B6E69" w:rsidRDefault="00223F09" w:rsidP="00237D88">
            <w:r w:rsidRPr="007B6E69">
              <w:t xml:space="preserve">Where the devices and equipment are in service, the vehicle width must not exceed </w:t>
            </w:r>
            <w:r w:rsidR="00B9347B">
              <w:t>2.6</w:t>
            </w:r>
            <w:r w:rsidRPr="007B6E69">
              <w:t>5</w:t>
            </w:r>
            <w:r w:rsidR="00E35A93">
              <w:t> </w:t>
            </w:r>
            <w:r w:rsidRPr="007B6E69">
              <w:t>m.</w:t>
            </w:r>
          </w:p>
        </w:tc>
      </w:tr>
      <w:tr w:rsidR="00223F09" w:rsidRPr="007B6E69" w:rsidTr="002C24D8">
        <w:tc>
          <w:tcPr>
            <w:tcW w:w="4422" w:type="dxa"/>
          </w:tcPr>
          <w:p w:rsidR="00223F09" w:rsidRPr="007B6E69" w:rsidRDefault="00223F09" w:rsidP="00237D88">
            <w:r w:rsidRPr="007B6E69">
              <w:t>Customs sealing devices and their protection</w:t>
            </w:r>
          </w:p>
        </w:tc>
        <w:tc>
          <w:tcPr>
            <w:tcW w:w="5386" w:type="dxa"/>
          </w:tcPr>
          <w:p w:rsidR="00223F09" w:rsidRPr="007B6E69" w:rsidRDefault="00223F09" w:rsidP="00237D88">
            <w:r w:rsidRPr="007B6E69">
              <w:t>Provided the total protrusion of the devices added to the width of the vehicle does not exceed 100 mm.</w:t>
            </w:r>
          </w:p>
        </w:tc>
      </w:tr>
      <w:tr w:rsidR="00223F09" w:rsidRPr="007B6E69" w:rsidTr="002C24D8">
        <w:tc>
          <w:tcPr>
            <w:tcW w:w="4422" w:type="dxa"/>
          </w:tcPr>
          <w:p w:rsidR="00223F09" w:rsidRPr="007B6E69" w:rsidRDefault="00223F09" w:rsidP="00237D88">
            <w:r w:rsidRPr="007B6E69">
              <w:t>Devices for securing the tarpaulin and their protection</w:t>
            </w:r>
          </w:p>
        </w:tc>
        <w:tc>
          <w:tcPr>
            <w:tcW w:w="5386" w:type="dxa"/>
          </w:tcPr>
          <w:p w:rsidR="00223F09" w:rsidRPr="007B6E69" w:rsidRDefault="00223F09" w:rsidP="00237D88">
            <w:r w:rsidRPr="007B6E69">
              <w:t>Excluded, provided they do not project more than 20 mm (on each side) where they are no more than 2 m from ground level, and no more than 50 mm (on each side) where they are more than 2 m from ground level. The edges must be rounded to a radius of not less than 2.5 mm.</w:t>
            </w:r>
          </w:p>
        </w:tc>
      </w:tr>
      <w:tr w:rsidR="00223F09" w:rsidRPr="007B6E69" w:rsidTr="002C24D8">
        <w:tc>
          <w:tcPr>
            <w:tcW w:w="4422" w:type="dxa"/>
          </w:tcPr>
          <w:p w:rsidR="00223F09" w:rsidRPr="007B6E69" w:rsidRDefault="00223F09" w:rsidP="00237D88">
            <w:r w:rsidRPr="007B6E69">
              <w:t>Flexible parts of a spray-suppression system</w:t>
            </w:r>
            <w:r w:rsidRPr="007B6E69">
              <w:br/>
              <w:t>Flexible mudguards</w:t>
            </w:r>
          </w:p>
        </w:tc>
        <w:tc>
          <w:tcPr>
            <w:tcW w:w="5386" w:type="dxa"/>
          </w:tcPr>
          <w:p w:rsidR="00223F09" w:rsidRPr="007B6E69" w:rsidRDefault="00223F09" w:rsidP="00237D88">
            <w:r w:rsidRPr="007B6E69">
              <w:t>Provided the total protrusion of the devices added to the width of the vehicle does not exceed 100 mm.</w:t>
            </w:r>
          </w:p>
        </w:tc>
      </w:tr>
      <w:tr w:rsidR="00223F09" w:rsidRPr="007B6E69" w:rsidTr="002C24D8">
        <w:tc>
          <w:tcPr>
            <w:tcW w:w="4422" w:type="dxa"/>
          </w:tcPr>
          <w:p w:rsidR="00223F09" w:rsidRPr="007B6E69" w:rsidRDefault="00223F09" w:rsidP="00237D88">
            <w:r w:rsidRPr="007B6E69">
              <w:t>Safety railings on vehicle transporters</w:t>
            </w:r>
          </w:p>
        </w:tc>
        <w:tc>
          <w:tcPr>
            <w:tcW w:w="5386" w:type="dxa"/>
          </w:tcPr>
          <w:p w:rsidR="00223F09" w:rsidRPr="007B6E69" w:rsidRDefault="00223F09" w:rsidP="00237D88">
            <w:r w:rsidRPr="007B6E69">
              <w:t>Excluded for vehicles designed and constructed to transport at least two other vehicles and for which the safety railings are more than 2.0</w:t>
            </w:r>
            <w:r w:rsidR="00E35A93">
              <w:t> </w:t>
            </w:r>
            <w:r w:rsidRPr="007B6E69">
              <w:t>m, but not more than 3.7 m from the ground and do not project more than 50 mm from the outermost side of the vehicle. The vehicle width including the safety railings must not exceed 2.65</w:t>
            </w:r>
            <w:r w:rsidR="00E35A93">
              <w:t> </w:t>
            </w:r>
            <w:r w:rsidRPr="007B6E69">
              <w:t>m.</w:t>
            </w:r>
          </w:p>
        </w:tc>
      </w:tr>
      <w:tr w:rsidR="00223F09" w:rsidRPr="007B6E69" w:rsidTr="002C24D8">
        <w:tc>
          <w:tcPr>
            <w:tcW w:w="4422" w:type="dxa"/>
          </w:tcPr>
          <w:p w:rsidR="00223F09" w:rsidRPr="007B6E69" w:rsidRDefault="00223F09" w:rsidP="00237D88">
            <w:r w:rsidRPr="007B6E69">
              <w:t xml:space="preserve">Antennas used in vehicle-to-vehicle and </w:t>
            </w:r>
            <w:r w:rsidRPr="007B6E69">
              <w:br/>
              <w:t>vehicle-to-infrastructure communications</w:t>
            </w:r>
          </w:p>
        </w:tc>
        <w:tc>
          <w:tcPr>
            <w:tcW w:w="5386" w:type="dxa"/>
          </w:tcPr>
          <w:p w:rsidR="00223F09" w:rsidRPr="007B6E69" w:rsidRDefault="00223F09" w:rsidP="00237D88">
            <w:r w:rsidRPr="007B6E69">
              <w:t>Provided the total protrusion of the devices added to the width of the vehicle does not exceed 100 mm.</w:t>
            </w:r>
          </w:p>
        </w:tc>
      </w:tr>
      <w:tr w:rsidR="00223F09" w:rsidRPr="007B6E69" w:rsidTr="002C24D8">
        <w:tc>
          <w:tcPr>
            <w:tcW w:w="4422" w:type="dxa"/>
          </w:tcPr>
          <w:p w:rsidR="00223F09" w:rsidRPr="007B6E69" w:rsidRDefault="00223F09" w:rsidP="00237D88">
            <w:r w:rsidRPr="007B6E69">
              <w:t>Flexible hoses of tyre pressure monitoring systems</w:t>
            </w:r>
          </w:p>
        </w:tc>
        <w:tc>
          <w:tcPr>
            <w:tcW w:w="5386" w:type="dxa"/>
          </w:tcPr>
          <w:p w:rsidR="00223F09" w:rsidRPr="007B6E69" w:rsidRDefault="00223F09" w:rsidP="00237D88">
            <w:r w:rsidRPr="007B6E69">
              <w:t>Provided they do not protrude by more than 70 mm on each side from the outermost width of the vehicle.</w:t>
            </w:r>
          </w:p>
        </w:tc>
      </w:tr>
    </w:tbl>
    <w:p w:rsidR="00223F09" w:rsidRPr="007B6E69" w:rsidRDefault="0010637F" w:rsidP="0010637F">
      <w:pPr>
        <w:pStyle w:val="Caption"/>
      </w:pPr>
      <w:bookmarkStart w:id="137" w:name="_Toc135320147"/>
      <w:r>
        <w:t xml:space="preserve">Table </w:t>
      </w:r>
      <w:fldSimple w:instr=" SEQ Table \* ARABIC ">
        <w:r w:rsidR="00534814">
          <w:rPr>
            <w:noProof/>
          </w:rPr>
          <w:t>22</w:t>
        </w:r>
      </w:fldSimple>
      <w:r>
        <w:t xml:space="preserve">: </w:t>
      </w:r>
      <w:r w:rsidR="00223F09" w:rsidRPr="007B6E69">
        <w:t xml:space="preserve">Japanese </w:t>
      </w:r>
      <w:r w:rsidR="009C2101">
        <w:t xml:space="preserve">vehicle width limit, including summary of </w:t>
      </w:r>
      <w:r w:rsidR="00223F09" w:rsidRPr="007B6E69">
        <w:t>exclusions</w:t>
      </w:r>
      <w:r w:rsidR="009C2101">
        <w:t xml:space="preserve"> and conditions</w:t>
      </w:r>
      <w:bookmarkEnd w:id="137"/>
    </w:p>
    <w:tbl>
      <w:tblPr>
        <w:tblStyle w:val="TableGrid"/>
        <w:tblW w:w="9808" w:type="dxa"/>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Caption w:val="Table"/>
        <w:tblDescription w:val="Table of devices/systems excluded from width requirements in Japan, including conditions of exclusion."/>
      </w:tblPr>
      <w:tblGrid>
        <w:gridCol w:w="4422"/>
        <w:gridCol w:w="5386"/>
      </w:tblGrid>
      <w:tr w:rsidR="0010637F" w:rsidRPr="007B6E69" w:rsidTr="007E267D">
        <w:tc>
          <w:tcPr>
            <w:tcW w:w="9808" w:type="dxa"/>
            <w:gridSpan w:val="2"/>
            <w:shd w:val="clear" w:color="auto" w:fill="0D3064" w:themeFill="accent1" w:themeFillTint="E6"/>
          </w:tcPr>
          <w:p w:rsidR="0010637F" w:rsidRPr="007B6E69" w:rsidRDefault="0010637F" w:rsidP="00237D88">
            <w:pPr>
              <w:rPr>
                <w:b/>
                <w:color w:val="FFFFFF" w:themeColor="background1"/>
              </w:rPr>
            </w:pPr>
            <w:r>
              <w:rPr>
                <w:b/>
                <w:color w:val="FFFFFF" w:themeColor="background1"/>
              </w:rPr>
              <w:t>Overall width limit</w:t>
            </w:r>
          </w:p>
        </w:tc>
      </w:tr>
      <w:tr w:rsidR="0010637F" w:rsidRPr="007B6E69" w:rsidTr="0010637F">
        <w:tc>
          <w:tcPr>
            <w:tcW w:w="9808" w:type="dxa"/>
            <w:gridSpan w:val="2"/>
            <w:shd w:val="clear" w:color="auto" w:fill="FFFFFF" w:themeFill="background1"/>
          </w:tcPr>
          <w:p w:rsidR="0010637F" w:rsidRPr="0010637F" w:rsidRDefault="00B9347B" w:rsidP="00237D88">
            <w:r>
              <w:t>2.50</w:t>
            </w:r>
            <w:r w:rsidR="0010637F" w:rsidRPr="0010637F">
              <w:t xml:space="preserve"> m</w:t>
            </w:r>
          </w:p>
        </w:tc>
      </w:tr>
      <w:tr w:rsidR="00223F09" w:rsidRPr="007B6E69" w:rsidTr="00AC110B">
        <w:tc>
          <w:tcPr>
            <w:tcW w:w="4422" w:type="dxa"/>
            <w:shd w:val="clear" w:color="auto" w:fill="0D3064" w:themeFill="accent1" w:themeFillTint="E6"/>
          </w:tcPr>
          <w:p w:rsidR="00223F09" w:rsidRPr="007B6E69" w:rsidRDefault="00223F09" w:rsidP="00237D88">
            <w:pPr>
              <w:rPr>
                <w:b/>
                <w:color w:val="FFFFFF" w:themeColor="background1"/>
              </w:rPr>
            </w:pPr>
            <w:r w:rsidRPr="007B6E69">
              <w:rPr>
                <w:b/>
                <w:color w:val="FFFFFF" w:themeColor="background1"/>
              </w:rPr>
              <w:t>Exclusions</w:t>
            </w:r>
          </w:p>
        </w:tc>
        <w:tc>
          <w:tcPr>
            <w:tcW w:w="5386" w:type="dxa"/>
            <w:shd w:val="clear" w:color="auto" w:fill="0D3064" w:themeFill="accent1" w:themeFillTint="E6"/>
          </w:tcPr>
          <w:p w:rsidR="00223F09" w:rsidRPr="007B6E69" w:rsidRDefault="00223F09" w:rsidP="00237D88">
            <w:pPr>
              <w:rPr>
                <w:b/>
                <w:color w:val="FFFFFF" w:themeColor="background1"/>
              </w:rPr>
            </w:pPr>
            <w:r w:rsidRPr="007B6E69">
              <w:rPr>
                <w:b/>
                <w:color w:val="FFFFFF" w:themeColor="background1"/>
              </w:rPr>
              <w:t>Conditions</w:t>
            </w:r>
          </w:p>
        </w:tc>
      </w:tr>
      <w:tr w:rsidR="00223F09" w:rsidRPr="007B6E69" w:rsidTr="00AC110B">
        <w:tc>
          <w:tcPr>
            <w:tcW w:w="4422" w:type="dxa"/>
          </w:tcPr>
          <w:p w:rsidR="00223F09" w:rsidRPr="007B6E69" w:rsidRDefault="00223F09" w:rsidP="00237D88">
            <w:r w:rsidRPr="007B6E69">
              <w:t xml:space="preserve">Any outward-opening windows, ventilators, </w:t>
            </w:r>
            <w:r w:rsidRPr="007B6E69">
              <w:br/>
              <w:t>rear-view mirrors, and [other] devices for confirming rearward vision</w:t>
            </w:r>
          </w:p>
        </w:tc>
        <w:tc>
          <w:tcPr>
            <w:tcW w:w="5386" w:type="dxa"/>
          </w:tcPr>
          <w:p w:rsidR="00223F09" w:rsidRPr="007B6E69" w:rsidRDefault="00223F09" w:rsidP="00237D88">
            <w:r w:rsidRPr="007B6E69">
              <w:t>Must not protrude 250</w:t>
            </w:r>
            <w:r w:rsidR="00E35A93">
              <w:t> </w:t>
            </w:r>
            <w:r w:rsidRPr="007B6E69">
              <w:t>mm or more outwards from the outermost part of the motor vehicle.</w:t>
            </w:r>
          </w:p>
        </w:tc>
      </w:tr>
      <w:tr w:rsidR="00223F09" w:rsidRPr="007B6E69" w:rsidTr="00AC110B">
        <w:tc>
          <w:tcPr>
            <w:tcW w:w="4422" w:type="dxa"/>
          </w:tcPr>
          <w:p w:rsidR="00223F09" w:rsidRPr="007B6E69" w:rsidRDefault="00223F09" w:rsidP="00237D88">
            <w:r w:rsidRPr="007B6E69">
              <w:t>Blind spot information systems for the detection of bicycles</w:t>
            </w:r>
          </w:p>
        </w:tc>
        <w:tc>
          <w:tcPr>
            <w:tcW w:w="5386" w:type="dxa"/>
          </w:tcPr>
          <w:p w:rsidR="00223F09" w:rsidRPr="007B6E69" w:rsidRDefault="00223F09" w:rsidP="00237D88">
            <w:r w:rsidRPr="007B6E69">
              <w:t>Must not protrude more than 100</w:t>
            </w:r>
            <w:r w:rsidR="00E35A93">
              <w:t> </w:t>
            </w:r>
            <w:r w:rsidRPr="007B6E69">
              <w:t>mm outwards from the outermost part of the motor vehicle.</w:t>
            </w:r>
          </w:p>
        </w:tc>
      </w:tr>
    </w:tbl>
    <w:p w:rsidR="00223F09" w:rsidRPr="007B6E69" w:rsidRDefault="0010637F" w:rsidP="0010637F">
      <w:pPr>
        <w:pStyle w:val="Caption"/>
      </w:pPr>
      <w:bookmarkStart w:id="138" w:name="_Toc135320148"/>
      <w:r>
        <w:t xml:space="preserve">Table </w:t>
      </w:r>
      <w:fldSimple w:instr=" SEQ Table \* ARABIC ">
        <w:r w:rsidR="00534814">
          <w:rPr>
            <w:noProof/>
          </w:rPr>
          <w:t>23</w:t>
        </w:r>
      </w:fldSimple>
      <w:r>
        <w:t xml:space="preserve">: </w:t>
      </w:r>
      <w:r w:rsidR="00223F09" w:rsidRPr="007B6E69">
        <w:t xml:space="preserve">New Zealand </w:t>
      </w:r>
      <w:r w:rsidR="009C2101">
        <w:t xml:space="preserve">vehicle </w:t>
      </w:r>
      <w:r w:rsidR="00223F09" w:rsidRPr="007B6E69">
        <w:t xml:space="preserve">width </w:t>
      </w:r>
      <w:r w:rsidR="009C2101">
        <w:t>limit, including summary of exclusions and conditions</w:t>
      </w:r>
      <w:bookmarkEnd w:id="138"/>
    </w:p>
    <w:tbl>
      <w:tblPr>
        <w:tblStyle w:val="TableGrid"/>
        <w:tblW w:w="9808" w:type="dxa"/>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Caption w:val="Table"/>
        <w:tblDescription w:val="Table of devices/systems excluded from width requirements in New Zealand, including conditions of exclusion."/>
      </w:tblPr>
      <w:tblGrid>
        <w:gridCol w:w="4422"/>
        <w:gridCol w:w="5386"/>
      </w:tblGrid>
      <w:tr w:rsidR="0010637F" w:rsidRPr="007B6E69" w:rsidTr="007E267D">
        <w:tc>
          <w:tcPr>
            <w:tcW w:w="9808" w:type="dxa"/>
            <w:gridSpan w:val="2"/>
            <w:shd w:val="clear" w:color="auto" w:fill="0D3064" w:themeFill="accent1" w:themeFillTint="E6"/>
          </w:tcPr>
          <w:p w:rsidR="0010637F" w:rsidRPr="0010637F" w:rsidRDefault="0010637F" w:rsidP="00237D88">
            <w:pPr>
              <w:rPr>
                <w:b/>
                <w:color w:val="auto"/>
              </w:rPr>
            </w:pPr>
            <w:r w:rsidRPr="0010637F">
              <w:rPr>
                <w:b/>
                <w:color w:val="auto"/>
              </w:rPr>
              <w:t>Overall width limit</w:t>
            </w:r>
          </w:p>
        </w:tc>
      </w:tr>
      <w:tr w:rsidR="0010637F" w:rsidRPr="007B6E69" w:rsidTr="0010637F">
        <w:tc>
          <w:tcPr>
            <w:tcW w:w="9808" w:type="dxa"/>
            <w:gridSpan w:val="2"/>
            <w:shd w:val="clear" w:color="auto" w:fill="FFFFFF" w:themeFill="background1"/>
          </w:tcPr>
          <w:p w:rsidR="0010637F" w:rsidRPr="0010637F" w:rsidRDefault="0010637F" w:rsidP="00237D88">
            <w:pPr>
              <w:rPr>
                <w:color w:val="auto"/>
              </w:rPr>
            </w:pPr>
            <w:r w:rsidRPr="0010637F">
              <w:rPr>
                <w:color w:val="auto"/>
              </w:rPr>
              <w:t>2.55 m</w:t>
            </w:r>
          </w:p>
        </w:tc>
      </w:tr>
      <w:tr w:rsidR="00223F09" w:rsidRPr="007B6E69" w:rsidTr="00AC110B">
        <w:tc>
          <w:tcPr>
            <w:tcW w:w="4422" w:type="dxa"/>
            <w:shd w:val="clear" w:color="auto" w:fill="0D3064" w:themeFill="accent1" w:themeFillTint="E6"/>
          </w:tcPr>
          <w:p w:rsidR="00223F09" w:rsidRPr="007B6E69" w:rsidRDefault="00223F09" w:rsidP="00237D88">
            <w:pPr>
              <w:rPr>
                <w:b/>
                <w:color w:val="FFFFFF" w:themeColor="background1"/>
              </w:rPr>
            </w:pPr>
            <w:r w:rsidRPr="007B6E69">
              <w:rPr>
                <w:b/>
                <w:color w:val="FFFFFF" w:themeColor="background1"/>
              </w:rPr>
              <w:t>Exclusions</w:t>
            </w:r>
          </w:p>
        </w:tc>
        <w:tc>
          <w:tcPr>
            <w:tcW w:w="5386" w:type="dxa"/>
            <w:shd w:val="clear" w:color="auto" w:fill="0D3064" w:themeFill="accent1" w:themeFillTint="E6"/>
          </w:tcPr>
          <w:p w:rsidR="00223F09" w:rsidRPr="007B6E69" w:rsidRDefault="00223F09" w:rsidP="00237D88">
            <w:pPr>
              <w:rPr>
                <w:b/>
                <w:color w:val="FFFFFF" w:themeColor="background1"/>
              </w:rPr>
            </w:pPr>
            <w:r w:rsidRPr="007B6E69">
              <w:rPr>
                <w:b/>
                <w:color w:val="FFFFFF" w:themeColor="background1"/>
              </w:rPr>
              <w:t>Conditions</w:t>
            </w:r>
          </w:p>
        </w:tc>
      </w:tr>
      <w:tr w:rsidR="00223F09" w:rsidRPr="007B6E69" w:rsidTr="00AC110B">
        <w:tc>
          <w:tcPr>
            <w:tcW w:w="4422" w:type="dxa"/>
          </w:tcPr>
          <w:p w:rsidR="00223F09" w:rsidRPr="007B6E69" w:rsidRDefault="00223F09" w:rsidP="00237D88">
            <w:r w:rsidRPr="007B6E69">
              <w:t>Collapsible mirrors</w:t>
            </w:r>
          </w:p>
        </w:tc>
        <w:tc>
          <w:tcPr>
            <w:tcW w:w="5386" w:type="dxa"/>
          </w:tcPr>
          <w:p w:rsidR="00223F09" w:rsidRPr="007B6E69" w:rsidRDefault="00223F09" w:rsidP="00237D88">
            <w:r w:rsidRPr="007B6E69">
              <w:t>Must not extend more than 240</w:t>
            </w:r>
            <w:r w:rsidR="00E35A93">
              <w:t> </w:t>
            </w:r>
            <w:r w:rsidRPr="007B6E69">
              <w:t>mm beyond the side of the vehicle.</w:t>
            </w:r>
          </w:p>
          <w:p w:rsidR="00223F09" w:rsidRPr="007B6E69" w:rsidRDefault="00223F09" w:rsidP="00237D88">
            <w:r w:rsidRPr="007B6E69">
              <w:t>Must not extend more than 1.49</w:t>
            </w:r>
            <w:r w:rsidR="00E35A93">
              <w:t> </w:t>
            </w:r>
            <w:r w:rsidRPr="007B6E69">
              <w:t>m beyond the vehicle longitudinal centreline.</w:t>
            </w:r>
          </w:p>
        </w:tc>
      </w:tr>
      <w:tr w:rsidR="00223F09" w:rsidRPr="007B6E69" w:rsidTr="00AC110B">
        <w:tc>
          <w:tcPr>
            <w:tcW w:w="4422" w:type="dxa"/>
          </w:tcPr>
          <w:p w:rsidR="00223F09" w:rsidRPr="007B6E69" w:rsidRDefault="00223F09" w:rsidP="00237D88">
            <w:r w:rsidRPr="007B6E69">
              <w:t>Side marker lamps and direction indicators</w:t>
            </w:r>
          </w:p>
        </w:tc>
        <w:tc>
          <w:tcPr>
            <w:tcW w:w="5386" w:type="dxa"/>
          </w:tcPr>
          <w:p w:rsidR="00223F09" w:rsidRPr="007B6E69" w:rsidRDefault="00223F09" w:rsidP="00237D88"/>
        </w:tc>
      </w:tr>
      <w:tr w:rsidR="00223F09" w:rsidRPr="007B6E69" w:rsidTr="00AC110B">
        <w:tc>
          <w:tcPr>
            <w:tcW w:w="4422" w:type="dxa"/>
          </w:tcPr>
          <w:p w:rsidR="00223F09" w:rsidRPr="007B6E69" w:rsidRDefault="00223F09" w:rsidP="00237D88">
            <w:r w:rsidRPr="007B6E69">
              <w:t>Central tyre inflation systems</w:t>
            </w:r>
          </w:p>
        </w:tc>
        <w:tc>
          <w:tcPr>
            <w:tcW w:w="5386" w:type="dxa"/>
          </w:tcPr>
          <w:p w:rsidR="00223F09" w:rsidRPr="007B6E69" w:rsidRDefault="00223F09" w:rsidP="00237D88">
            <w:r w:rsidRPr="007B6E69">
              <w:t>Must not extend more than 75</w:t>
            </w:r>
            <w:r w:rsidR="00E35A93">
              <w:t> </w:t>
            </w:r>
            <w:r w:rsidRPr="007B6E69">
              <w:t>mm beyond the outside of the tyre on the drive axles of a heavy motor vehicle.</w:t>
            </w:r>
          </w:p>
        </w:tc>
      </w:tr>
      <w:tr w:rsidR="00223F09" w:rsidRPr="007B6E69" w:rsidTr="00AC110B">
        <w:tc>
          <w:tcPr>
            <w:tcW w:w="4422" w:type="dxa"/>
          </w:tcPr>
          <w:p w:rsidR="00223F09" w:rsidRPr="007B6E69" w:rsidRDefault="00223F09" w:rsidP="00237D88">
            <w:r w:rsidRPr="007B6E69">
              <w:t>Hub odometers</w:t>
            </w:r>
          </w:p>
        </w:tc>
        <w:tc>
          <w:tcPr>
            <w:tcW w:w="5386" w:type="dxa"/>
          </w:tcPr>
          <w:p w:rsidR="00223F09" w:rsidRPr="007B6E69" w:rsidRDefault="00223F09" w:rsidP="00237D88">
            <w:r w:rsidRPr="007B6E69">
              <w:t>Must not extend more than 50</w:t>
            </w:r>
            <w:r w:rsidR="00E35A93">
              <w:t> </w:t>
            </w:r>
            <w:r w:rsidRPr="007B6E69">
              <w:t>mm beyond one side of a vehicle from a non-lifting, non-steering axle whose outer casings are of a light colour, provided the hub odometer is fitted on the axle that causes the least over width.</w:t>
            </w:r>
          </w:p>
        </w:tc>
      </w:tr>
      <w:tr w:rsidR="00223F09" w:rsidRPr="007B6E69" w:rsidTr="00AC110B">
        <w:tc>
          <w:tcPr>
            <w:tcW w:w="4422" w:type="dxa"/>
          </w:tcPr>
          <w:p w:rsidR="00223F09" w:rsidRPr="007B6E69" w:rsidRDefault="00223F09" w:rsidP="00237D88">
            <w:r w:rsidRPr="007B6E69">
              <w:t>Cab exterior grab rails</w:t>
            </w:r>
          </w:p>
        </w:tc>
        <w:tc>
          <w:tcPr>
            <w:tcW w:w="5386" w:type="dxa"/>
          </w:tcPr>
          <w:p w:rsidR="00223F09" w:rsidRPr="007B6E69" w:rsidRDefault="00223F09" w:rsidP="00237D88">
            <w:r w:rsidRPr="007B6E69">
              <w:t>Must not extend more than 1.325</w:t>
            </w:r>
            <w:r w:rsidR="00E35A93">
              <w:t> </w:t>
            </w:r>
            <w:r w:rsidRPr="007B6E69">
              <w:t>m beyond the vehicle longitudinal centreline.</w:t>
            </w:r>
          </w:p>
        </w:tc>
      </w:tr>
      <w:tr w:rsidR="00223F09" w:rsidRPr="007B6E69" w:rsidTr="00AC110B">
        <w:tc>
          <w:tcPr>
            <w:tcW w:w="4422" w:type="dxa"/>
          </w:tcPr>
          <w:p w:rsidR="00223F09" w:rsidRPr="007B6E69" w:rsidRDefault="00223F09" w:rsidP="00237D88">
            <w:r w:rsidRPr="007B6E69">
              <w:t>The bulge towards the bottom of a tyre</w:t>
            </w:r>
          </w:p>
        </w:tc>
        <w:tc>
          <w:tcPr>
            <w:tcW w:w="5386" w:type="dxa"/>
          </w:tcPr>
          <w:p w:rsidR="00223F09" w:rsidRPr="007B6E69" w:rsidRDefault="00223F09" w:rsidP="00237D88"/>
        </w:tc>
      </w:tr>
      <w:tr w:rsidR="00223F09" w:rsidRPr="007B6E69" w:rsidTr="00AC110B">
        <w:tc>
          <w:tcPr>
            <w:tcW w:w="4422" w:type="dxa"/>
          </w:tcPr>
          <w:p w:rsidR="00223F09" w:rsidRPr="007B6E69" w:rsidRDefault="00223F09" w:rsidP="00237D88">
            <w:r w:rsidRPr="007B6E69">
              <w:t>Cameras or close-proximity monitoring systems mounted on the side exterior of a vehicle</w:t>
            </w:r>
          </w:p>
        </w:tc>
        <w:tc>
          <w:tcPr>
            <w:tcW w:w="5386" w:type="dxa"/>
          </w:tcPr>
          <w:p w:rsidR="00223F09" w:rsidRPr="007B6E69" w:rsidRDefault="00223F09" w:rsidP="00237D88">
            <w:r w:rsidRPr="007B6E69">
              <w:t>Must not extend more than 70</w:t>
            </w:r>
            <w:r w:rsidR="00E35A93">
              <w:t> </w:t>
            </w:r>
            <w:r w:rsidRPr="007B6E69">
              <w:t>mm from the sidewall of the vehicle.</w:t>
            </w:r>
          </w:p>
        </w:tc>
      </w:tr>
      <w:tr w:rsidR="00223F09" w:rsidRPr="007B6E69" w:rsidTr="00AC110B">
        <w:tc>
          <w:tcPr>
            <w:tcW w:w="4422" w:type="dxa"/>
          </w:tcPr>
          <w:p w:rsidR="00223F09" w:rsidRPr="007B6E69" w:rsidRDefault="00223F09" w:rsidP="00237D88">
            <w:r w:rsidRPr="007B6E69">
              <w:t>Devices for improving the aerodynamic performance of a vehicle</w:t>
            </w:r>
          </w:p>
        </w:tc>
        <w:tc>
          <w:tcPr>
            <w:tcW w:w="5386" w:type="dxa"/>
          </w:tcPr>
          <w:p w:rsidR="00223F09" w:rsidRPr="007B6E69" w:rsidRDefault="00223F09" w:rsidP="00237D88">
            <w:r w:rsidRPr="007B6E69">
              <w:t>Must not extend more than 25</w:t>
            </w:r>
            <w:r w:rsidR="00E35A93">
              <w:t> </w:t>
            </w:r>
            <w:r w:rsidRPr="007B6E69">
              <w:t>mm from either side of a vehicle.</w:t>
            </w:r>
          </w:p>
        </w:tc>
      </w:tr>
    </w:tbl>
    <w:p w:rsidR="00223F09" w:rsidRPr="007B6E69" w:rsidRDefault="00F00B9B" w:rsidP="00F00B9B">
      <w:pPr>
        <w:pStyle w:val="Caption"/>
      </w:pPr>
      <w:bookmarkStart w:id="139" w:name="_Toc135320149"/>
      <w:r>
        <w:t xml:space="preserve">Table </w:t>
      </w:r>
      <w:fldSimple w:instr=" SEQ Table \* ARABIC ">
        <w:r w:rsidR="00534814">
          <w:rPr>
            <w:noProof/>
          </w:rPr>
          <w:t>24</w:t>
        </w:r>
      </w:fldSimple>
      <w:r>
        <w:t xml:space="preserve">: </w:t>
      </w:r>
      <w:r w:rsidR="00223F09" w:rsidRPr="007B6E69">
        <w:t xml:space="preserve">US </w:t>
      </w:r>
      <w:r w:rsidR="009C2101">
        <w:t xml:space="preserve">vehicle </w:t>
      </w:r>
      <w:r w:rsidR="00223F09" w:rsidRPr="007B6E69">
        <w:t xml:space="preserve">width </w:t>
      </w:r>
      <w:r w:rsidR="009C2101">
        <w:t xml:space="preserve">limit, including summary of </w:t>
      </w:r>
      <w:r w:rsidR="00223F09" w:rsidRPr="007B6E69">
        <w:t>exclusions</w:t>
      </w:r>
      <w:r w:rsidR="009C2101">
        <w:t xml:space="preserve"> and conditions</w:t>
      </w:r>
      <w:bookmarkEnd w:id="139"/>
    </w:p>
    <w:tbl>
      <w:tblPr>
        <w:tblStyle w:val="TableGrid"/>
        <w:tblW w:w="9808" w:type="dxa"/>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Caption w:val="Table"/>
        <w:tblDescription w:val="Table of devices/systems excluded from width requirements in the US, including conditions of exclusion."/>
      </w:tblPr>
      <w:tblGrid>
        <w:gridCol w:w="4422"/>
        <w:gridCol w:w="5386"/>
      </w:tblGrid>
      <w:tr w:rsidR="00F00B9B" w:rsidRPr="007B6E69" w:rsidTr="007E267D">
        <w:tc>
          <w:tcPr>
            <w:tcW w:w="9808" w:type="dxa"/>
            <w:gridSpan w:val="2"/>
            <w:shd w:val="clear" w:color="auto" w:fill="0D3064" w:themeFill="accent1" w:themeFillTint="E6"/>
          </w:tcPr>
          <w:p w:rsidR="00F00B9B" w:rsidRPr="007B6E69" w:rsidRDefault="00F00B9B" w:rsidP="00237D88">
            <w:pPr>
              <w:rPr>
                <w:b/>
                <w:color w:val="FFFFFF" w:themeColor="background1"/>
              </w:rPr>
            </w:pPr>
            <w:r w:rsidRPr="0010637F">
              <w:rPr>
                <w:b/>
                <w:color w:val="auto"/>
              </w:rPr>
              <w:t>Overall width limit</w:t>
            </w:r>
          </w:p>
        </w:tc>
      </w:tr>
      <w:tr w:rsidR="00F00B9B" w:rsidRPr="007B6E69" w:rsidTr="00F00B9B">
        <w:tc>
          <w:tcPr>
            <w:tcW w:w="9808" w:type="dxa"/>
            <w:gridSpan w:val="2"/>
            <w:shd w:val="clear" w:color="auto" w:fill="FFFFFF" w:themeFill="background1"/>
          </w:tcPr>
          <w:p w:rsidR="00F00B9B" w:rsidRPr="007B6E69" w:rsidRDefault="00B9347B" w:rsidP="00237D88">
            <w:pPr>
              <w:rPr>
                <w:b/>
                <w:color w:val="FFFFFF" w:themeColor="background1"/>
              </w:rPr>
            </w:pPr>
            <w:r>
              <w:t>2.60</w:t>
            </w:r>
            <w:r w:rsidR="00F00B9B" w:rsidRPr="00F00B9B">
              <w:t xml:space="preserve"> m</w:t>
            </w:r>
          </w:p>
        </w:tc>
      </w:tr>
      <w:tr w:rsidR="00223F09" w:rsidRPr="007B6E69" w:rsidTr="00AC110B">
        <w:tc>
          <w:tcPr>
            <w:tcW w:w="4422" w:type="dxa"/>
            <w:shd w:val="clear" w:color="auto" w:fill="0D3064" w:themeFill="accent1" w:themeFillTint="E6"/>
          </w:tcPr>
          <w:p w:rsidR="00223F09" w:rsidRPr="007B6E69" w:rsidRDefault="00223F09" w:rsidP="00237D88">
            <w:pPr>
              <w:rPr>
                <w:b/>
                <w:color w:val="FFFFFF" w:themeColor="background1"/>
              </w:rPr>
            </w:pPr>
            <w:r w:rsidRPr="007B6E69">
              <w:rPr>
                <w:b/>
                <w:color w:val="FFFFFF" w:themeColor="background1"/>
              </w:rPr>
              <w:t>Exclusions</w:t>
            </w:r>
          </w:p>
        </w:tc>
        <w:tc>
          <w:tcPr>
            <w:tcW w:w="5386" w:type="dxa"/>
            <w:shd w:val="clear" w:color="auto" w:fill="0D3064" w:themeFill="accent1" w:themeFillTint="E6"/>
          </w:tcPr>
          <w:p w:rsidR="00223F09" w:rsidRPr="007B6E69" w:rsidRDefault="00223F09" w:rsidP="00237D88">
            <w:pPr>
              <w:rPr>
                <w:b/>
                <w:color w:val="FFFFFF" w:themeColor="background1"/>
              </w:rPr>
            </w:pPr>
            <w:r w:rsidRPr="007B6E69">
              <w:rPr>
                <w:b/>
                <w:color w:val="FFFFFF" w:themeColor="background1"/>
              </w:rPr>
              <w:t>Conditions</w:t>
            </w:r>
          </w:p>
        </w:tc>
      </w:tr>
      <w:tr w:rsidR="00223F09" w:rsidRPr="007B6E69" w:rsidTr="00AC110B">
        <w:tc>
          <w:tcPr>
            <w:tcW w:w="4422" w:type="dxa"/>
          </w:tcPr>
          <w:p w:rsidR="00223F09" w:rsidRPr="007B6E69" w:rsidRDefault="00223F09" w:rsidP="00237D88">
            <w:r w:rsidRPr="007B6E69">
              <w:t>Rear view mirrors</w:t>
            </w:r>
          </w:p>
        </w:tc>
        <w:tc>
          <w:tcPr>
            <w:tcW w:w="5386" w:type="dxa"/>
          </w:tcPr>
          <w:p w:rsidR="00223F09" w:rsidRPr="007B6E69" w:rsidRDefault="00223F09" w:rsidP="00237D88"/>
        </w:tc>
      </w:tr>
      <w:tr w:rsidR="00223F09" w:rsidRPr="007B6E69" w:rsidTr="00AC110B">
        <w:tc>
          <w:tcPr>
            <w:tcW w:w="4422" w:type="dxa"/>
          </w:tcPr>
          <w:p w:rsidR="00223F09" w:rsidRPr="007B6E69" w:rsidRDefault="00223F09" w:rsidP="00237D88">
            <w:r w:rsidRPr="007B6E69">
              <w:t>Turn signal lamps</w:t>
            </w:r>
          </w:p>
        </w:tc>
        <w:tc>
          <w:tcPr>
            <w:tcW w:w="5386" w:type="dxa"/>
          </w:tcPr>
          <w:p w:rsidR="00223F09" w:rsidRPr="007B6E69" w:rsidRDefault="00223F09" w:rsidP="00237D88"/>
        </w:tc>
      </w:tr>
      <w:tr w:rsidR="00223F09" w:rsidRPr="007B6E69" w:rsidTr="00AC110B">
        <w:tc>
          <w:tcPr>
            <w:tcW w:w="4422" w:type="dxa"/>
          </w:tcPr>
          <w:p w:rsidR="00223F09" w:rsidRPr="007B6E69" w:rsidRDefault="00223F09" w:rsidP="00237D88">
            <w:r w:rsidRPr="007B6E69">
              <w:t>Handholds for cab entry/egress</w:t>
            </w:r>
          </w:p>
        </w:tc>
        <w:tc>
          <w:tcPr>
            <w:tcW w:w="5386" w:type="dxa"/>
          </w:tcPr>
          <w:p w:rsidR="00223F09" w:rsidRPr="007B6E69" w:rsidRDefault="00223F09" w:rsidP="00237D88"/>
        </w:tc>
      </w:tr>
      <w:tr w:rsidR="00223F09" w:rsidRPr="007B6E69" w:rsidTr="00AC110B">
        <w:tc>
          <w:tcPr>
            <w:tcW w:w="4422" w:type="dxa"/>
          </w:tcPr>
          <w:p w:rsidR="00223F09" w:rsidRPr="007B6E69" w:rsidRDefault="00223F09" w:rsidP="00237D88">
            <w:r w:rsidRPr="007B6E69">
              <w:t>Splash and spray suppressant devices</w:t>
            </w:r>
          </w:p>
        </w:tc>
        <w:tc>
          <w:tcPr>
            <w:tcW w:w="5386" w:type="dxa"/>
          </w:tcPr>
          <w:p w:rsidR="00223F09" w:rsidRPr="007B6E69" w:rsidRDefault="00223F09" w:rsidP="00237D88"/>
        </w:tc>
      </w:tr>
      <w:tr w:rsidR="00223F09" w:rsidRPr="007B6E69" w:rsidTr="00AC110B">
        <w:tc>
          <w:tcPr>
            <w:tcW w:w="4422" w:type="dxa"/>
          </w:tcPr>
          <w:p w:rsidR="00223F09" w:rsidRPr="007B6E69" w:rsidRDefault="00223F09" w:rsidP="00237D88">
            <w:r w:rsidRPr="007B6E69">
              <w:t>Load induced tyre bulge</w:t>
            </w:r>
          </w:p>
        </w:tc>
        <w:tc>
          <w:tcPr>
            <w:tcW w:w="5386" w:type="dxa"/>
          </w:tcPr>
          <w:p w:rsidR="00223F09" w:rsidRPr="007B6E69" w:rsidRDefault="00223F09" w:rsidP="00237D88"/>
        </w:tc>
      </w:tr>
      <w:tr w:rsidR="00223F09" w:rsidRPr="007B6E69" w:rsidTr="00AC110B">
        <w:tc>
          <w:tcPr>
            <w:tcW w:w="4422" w:type="dxa"/>
          </w:tcPr>
          <w:p w:rsidR="00223F09" w:rsidRPr="007B6E69" w:rsidRDefault="00223F09" w:rsidP="00237D88">
            <w:r w:rsidRPr="007B6E69">
              <w:t>Non</w:t>
            </w:r>
            <w:r w:rsidR="000A0D2C">
              <w:t>-</w:t>
            </w:r>
            <w:r w:rsidRPr="007B6E69">
              <w:t>property carrying devices or components thereof</w:t>
            </w:r>
          </w:p>
        </w:tc>
        <w:tc>
          <w:tcPr>
            <w:tcW w:w="5386" w:type="dxa"/>
          </w:tcPr>
          <w:p w:rsidR="00223F09" w:rsidRPr="007B6E69" w:rsidRDefault="00223F09" w:rsidP="00237D88">
            <w:r w:rsidRPr="007B6E69">
              <w:t>Provided the devices do not extend more than 3 inches (76</w:t>
            </w:r>
            <w:r w:rsidR="00E35A93">
              <w:t> </w:t>
            </w:r>
            <w:r w:rsidRPr="007B6E69">
              <w:t>mm) beyond each side of the vehicle.</w:t>
            </w:r>
          </w:p>
        </w:tc>
      </w:tr>
    </w:tbl>
    <w:p w:rsidR="00223F09" w:rsidRPr="007B6E69" w:rsidRDefault="00223F09" w:rsidP="00223F09"/>
    <w:p w:rsidR="00223F09" w:rsidRPr="007B6E69" w:rsidRDefault="00223F09" w:rsidP="00223F09">
      <w:pPr>
        <w:sectPr w:rsidR="00223F09" w:rsidRPr="007B6E69" w:rsidSect="00237D88">
          <w:pgSz w:w="11906" w:h="16838" w:code="9"/>
          <w:pgMar w:top="2835" w:right="1049" w:bottom="1701" w:left="1049" w:header="1276" w:footer="709" w:gutter="0"/>
          <w:cols w:space="708"/>
          <w:docGrid w:linePitch="360"/>
        </w:sectPr>
      </w:pPr>
    </w:p>
    <w:p w:rsidR="00223F09" w:rsidRPr="007B6E69" w:rsidRDefault="00197BA7" w:rsidP="00E13D3A">
      <w:pPr>
        <w:pStyle w:val="AppendixHeading1"/>
      </w:pPr>
      <w:bookmarkStart w:id="140" w:name="_Toc54275951"/>
      <w:bookmarkStart w:id="141" w:name="_Toc67060915"/>
      <w:bookmarkStart w:id="142" w:name="_Toc111576732"/>
      <w:bookmarkStart w:id="143" w:name="_Toc138065727"/>
      <w:r w:rsidRPr="007B6E69">
        <w:t xml:space="preserve">Appendix </w:t>
      </w:r>
      <w:r w:rsidR="008B1541">
        <w:t>5</w:t>
      </w:r>
      <w:r w:rsidRPr="007B6E69">
        <w:t xml:space="preserve"> – </w:t>
      </w:r>
      <w:r w:rsidR="00223F09" w:rsidRPr="007B6E69">
        <w:t>Devices for indirect vision</w:t>
      </w:r>
      <w:bookmarkEnd w:id="126"/>
      <w:bookmarkEnd w:id="140"/>
      <w:bookmarkEnd w:id="141"/>
      <w:bookmarkEnd w:id="142"/>
      <w:bookmarkEnd w:id="143"/>
    </w:p>
    <w:p w:rsidR="00223F09" w:rsidRPr="007B6E69" w:rsidRDefault="00223F09" w:rsidP="00223F09">
      <w:r w:rsidRPr="007B6E69">
        <w:t>Devices for indirect vision are fitted to vehicles to give the driver a clear view of prescribed zones to the rear, side or front of the vehicle. These can be conventional mirrors, camera-monitors, or other devices able to present information about the indirect field of vision to the driver.</w:t>
      </w:r>
    </w:p>
    <w:p w:rsidR="00223F09" w:rsidRPr="007B6E69" w:rsidRDefault="00223F09" w:rsidP="00223F09">
      <w:r w:rsidRPr="007B6E69">
        <w:t>The recognised international standard for devices for indirect vision is the UN Regulation No. 46 (R46) – Uniform provisions concerning the approval of devices for indirect vision and of motor vehicles with regard to the installation of these devices (UN, 2016). It is applicable for passenger vehicles and goods vehicles (UN category M and N vehicles), as well as two-wheeled, three-wheeled and light quadricycle vehicles (UN L category vehicles) with enclosed bodywork.</w:t>
      </w:r>
    </w:p>
    <w:p w:rsidR="00223F09" w:rsidRPr="007B6E69" w:rsidRDefault="00223F09" w:rsidP="00223F09">
      <w:r w:rsidRPr="007B6E69">
        <w:t xml:space="preserve">UN R46 requires vehicles to be fitted with multiple devices for indirect vision to give the driver a clear view of prescribed fields of vision to the side, rear and front of the vehicle. The required fields of vision must be obtained from the minimum number of compulsory devices for indirect vision (i.e. mirrors or camera-monitor devices) set out in </w:t>
      </w:r>
      <w:r w:rsidR="00E35A93">
        <w:fldChar w:fldCharType="begin"/>
      </w:r>
      <w:r w:rsidR="00E35A93">
        <w:instrText xml:space="preserve"> REF _Ref109640404 \h </w:instrText>
      </w:r>
      <w:r w:rsidR="00E35A93">
        <w:fldChar w:fldCharType="separate"/>
      </w:r>
      <w:r w:rsidR="00534814" w:rsidRPr="007B6E69">
        <w:t xml:space="preserve">Table </w:t>
      </w:r>
      <w:r w:rsidR="00534814">
        <w:rPr>
          <w:noProof/>
        </w:rPr>
        <w:t>25</w:t>
      </w:r>
      <w:r w:rsidR="00E35A93">
        <w:fldChar w:fldCharType="end"/>
      </w:r>
      <w:r w:rsidRPr="007B6E69">
        <w:t xml:space="preserve"> below. </w:t>
      </w:r>
      <w:r w:rsidRPr="007B6E69">
        <w:fldChar w:fldCharType="begin"/>
      </w:r>
      <w:r w:rsidRPr="007B6E69">
        <w:instrText xml:space="preserve"> REF _Ref57211676 \h  \* MERGEFORMAT </w:instrText>
      </w:r>
      <w:r w:rsidRPr="007B6E69">
        <w:fldChar w:fldCharType="separate"/>
      </w:r>
      <w:r w:rsidR="00534814" w:rsidRPr="007B6E69">
        <w:t xml:space="preserve">Figure </w:t>
      </w:r>
      <w:r w:rsidR="00534814">
        <w:rPr>
          <w:noProof/>
        </w:rPr>
        <w:t>16</w:t>
      </w:r>
      <w:r w:rsidRPr="007B6E69">
        <w:fldChar w:fldCharType="end"/>
      </w:r>
      <w:r w:rsidRPr="007B6E69">
        <w:t xml:space="preserve"> shows the minimum required fields of vision to be provided by the devices for indirect vision for goods vehicles over 3.5 tonnes maximum mass. In addition, for goods vehicles over 7.5 tonnes, the field of vision must also be such that the driver can see the larger required view area (on the passenger side) shown in </w:t>
      </w:r>
      <w:r w:rsidRPr="007B6E69">
        <w:fldChar w:fldCharType="begin"/>
      </w:r>
      <w:r w:rsidRPr="007B6E69">
        <w:instrText xml:space="preserve"> REF _Ref57212332 \h  \* MERGEFORMAT </w:instrText>
      </w:r>
      <w:r w:rsidRPr="007B6E69">
        <w:fldChar w:fldCharType="separate"/>
      </w:r>
      <w:r w:rsidR="00534814" w:rsidRPr="007B6E69">
        <w:t xml:space="preserve">Figure </w:t>
      </w:r>
      <w:r w:rsidR="00534814">
        <w:rPr>
          <w:noProof/>
        </w:rPr>
        <w:t>17</w:t>
      </w:r>
      <w:r w:rsidRPr="007B6E69">
        <w:fldChar w:fldCharType="end"/>
      </w:r>
      <w:r w:rsidRPr="007B6E69">
        <w:t xml:space="preserve"> below. This additional area may be viewed using a combination of direct view, and indirect vision devices of classes IV (wide-angle view), V (close-proximity view), and/or VI (front-view).</w:t>
      </w:r>
    </w:p>
    <w:p w:rsidR="00223F09" w:rsidRPr="007B6E69" w:rsidRDefault="00223F09" w:rsidP="00223F09">
      <w:r w:rsidRPr="007B6E69">
        <w:t>Under UN</w:t>
      </w:r>
      <w:r w:rsidR="00E35A93">
        <w:t> </w:t>
      </w:r>
      <w:r w:rsidRPr="007B6E69">
        <w:t>R46, devices for indirect vision must not project substantially more beyond the vehicle bodywork than is necessary to comply with the field of vision requirements. Further, external mirrors that are less than 2 m above the ground (measured at the mirror lower edge with the vehicle at the maximum technically permissible mass) must not project more than 250</w:t>
      </w:r>
      <w:r w:rsidR="00E35A93">
        <w:t> </w:t>
      </w:r>
      <w:r w:rsidRPr="007B6E69">
        <w:t>mm beyond the overall width of the vehicle (measured without mirrors). All devices for indirect vision, which are fitted less than 2</w:t>
      </w:r>
      <w:r w:rsidR="00E35A93">
        <w:t> </w:t>
      </w:r>
      <w:r w:rsidRPr="007B6E69">
        <w:t>m above the ground, and protrude more than 100</w:t>
      </w:r>
      <w:r w:rsidR="00E35A93">
        <w:t> </w:t>
      </w:r>
      <w:r w:rsidRPr="007B6E69">
        <w:t>mm from the vehicle bodywork, are required to meet pendulum impact test requirements.</w:t>
      </w:r>
    </w:p>
    <w:p w:rsidR="00223F09" w:rsidRPr="007B6E69" w:rsidRDefault="00223F09" w:rsidP="00223F09">
      <w:r w:rsidRPr="007B6E69">
        <w:t>For camera-monitor devices for indirect vision, the UN R46 requirements also include provisions for the image quality (e.g. maximum distortion, minimum frame rate, image formation time, system latency etc.), resolution and magnification, activation and de-activation, and the arrangement of the monitors in the vehicle (relative to the driver).</w:t>
      </w:r>
    </w:p>
    <w:p w:rsidR="00223F09" w:rsidRPr="007B6E69" w:rsidRDefault="00D44DCC" w:rsidP="004425A8">
      <w:pPr>
        <w:pStyle w:val="Caption"/>
        <w:pageBreakBefore/>
      </w:pPr>
      <w:bookmarkStart w:id="144" w:name="_Ref109640404"/>
      <w:bookmarkStart w:id="145" w:name="_Toc135320150"/>
      <w:r w:rsidRPr="007B6E69">
        <w:t xml:space="preserve">Table </w:t>
      </w:r>
      <w:fldSimple w:instr=" SEQ Table \* ARABIC ">
        <w:r w:rsidR="00534814">
          <w:rPr>
            <w:noProof/>
          </w:rPr>
          <w:t>25</w:t>
        </w:r>
      </w:fldSimple>
      <w:bookmarkEnd w:id="144"/>
      <w:r w:rsidRPr="007B6E69">
        <w:t xml:space="preserve">: </w:t>
      </w:r>
      <w:r w:rsidR="00223F09" w:rsidRPr="007B6E69">
        <w:t>Minimum number of devices for indirect vision for goods vehicles over 3.5 tonnes maximum mass</w:t>
      </w:r>
      <w:bookmarkEnd w:id="145"/>
    </w:p>
    <w:tbl>
      <w:tblPr>
        <w:tblStyle w:val="TableGrid"/>
        <w:tblW w:w="0" w:type="auto"/>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Caption w:val="Table 2"/>
        <w:tblDescription w:val="Table showing the minimum number of devices for indirect vision for goods vehicles over 3.5 tonnes maximum mass."/>
      </w:tblPr>
      <w:tblGrid>
        <w:gridCol w:w="3681"/>
        <w:gridCol w:w="6117"/>
      </w:tblGrid>
      <w:tr w:rsidR="00223F09" w:rsidRPr="007B6E69" w:rsidTr="00DD5FDC">
        <w:tc>
          <w:tcPr>
            <w:tcW w:w="3681" w:type="dxa"/>
            <w:shd w:val="clear" w:color="auto" w:fill="0D3064" w:themeFill="accent1" w:themeFillTint="E6"/>
          </w:tcPr>
          <w:p w:rsidR="00223F09" w:rsidRPr="007B6E69" w:rsidRDefault="00223F09" w:rsidP="00237D88">
            <w:pPr>
              <w:rPr>
                <w:b/>
                <w:color w:val="FFFFFF" w:themeColor="background1"/>
              </w:rPr>
            </w:pPr>
            <w:r w:rsidRPr="007B6E69">
              <w:rPr>
                <w:b/>
                <w:color w:val="FFFFFF" w:themeColor="background1"/>
              </w:rPr>
              <w:t>Class of device for indirect vision</w:t>
            </w:r>
          </w:p>
        </w:tc>
        <w:tc>
          <w:tcPr>
            <w:tcW w:w="6117" w:type="dxa"/>
            <w:shd w:val="clear" w:color="auto" w:fill="0D3064" w:themeFill="accent1" w:themeFillTint="E6"/>
          </w:tcPr>
          <w:p w:rsidR="00223F09" w:rsidRPr="007B6E69" w:rsidRDefault="00223F09" w:rsidP="00237D88">
            <w:pPr>
              <w:rPr>
                <w:b/>
                <w:color w:val="FFFFFF" w:themeColor="background1"/>
              </w:rPr>
            </w:pPr>
            <w:r w:rsidRPr="007B6E69">
              <w:rPr>
                <w:b/>
                <w:color w:val="FFFFFF" w:themeColor="background1"/>
              </w:rPr>
              <w:t>Minimum number of compulsory devices for indirect vision</w:t>
            </w:r>
          </w:p>
        </w:tc>
      </w:tr>
      <w:tr w:rsidR="00223F09" w:rsidRPr="007B6E69" w:rsidTr="00237D88">
        <w:tc>
          <w:tcPr>
            <w:tcW w:w="3681" w:type="dxa"/>
          </w:tcPr>
          <w:p w:rsidR="00223F09" w:rsidRPr="007B6E69" w:rsidRDefault="00223F09" w:rsidP="00237D88">
            <w:r w:rsidRPr="007B6E69">
              <w:t>Class I (Rear-view device)</w:t>
            </w:r>
          </w:p>
        </w:tc>
        <w:tc>
          <w:tcPr>
            <w:tcW w:w="6117" w:type="dxa"/>
          </w:tcPr>
          <w:p w:rsidR="00223F09" w:rsidRPr="007B6E69" w:rsidRDefault="00223F09" w:rsidP="00237D88">
            <w:r w:rsidRPr="007B6E69">
              <w:t>Optional (no requirements for the field of view)</w:t>
            </w:r>
          </w:p>
        </w:tc>
      </w:tr>
      <w:tr w:rsidR="00223F09" w:rsidRPr="007B6E69" w:rsidTr="00237D88">
        <w:tc>
          <w:tcPr>
            <w:tcW w:w="3681" w:type="dxa"/>
          </w:tcPr>
          <w:p w:rsidR="00223F09" w:rsidRPr="007B6E69" w:rsidRDefault="00223F09" w:rsidP="00237D88">
            <w:r w:rsidRPr="007B6E69">
              <w:t>Class II (Main rear-view device)</w:t>
            </w:r>
          </w:p>
        </w:tc>
        <w:tc>
          <w:tcPr>
            <w:tcW w:w="6117" w:type="dxa"/>
          </w:tcPr>
          <w:p w:rsidR="00223F09" w:rsidRPr="007B6E69" w:rsidRDefault="00223F09" w:rsidP="00237D88">
            <w:r w:rsidRPr="007B6E69">
              <w:t>Compulsory</w:t>
            </w:r>
          </w:p>
          <w:p w:rsidR="00223F09" w:rsidRPr="007B6E69" w:rsidRDefault="00223F09" w:rsidP="00237D88">
            <w:pPr>
              <w:ind w:left="340"/>
            </w:pPr>
            <w:r w:rsidRPr="007B6E69">
              <w:t>1 on the driver’s side</w:t>
            </w:r>
          </w:p>
          <w:p w:rsidR="00223F09" w:rsidRPr="007B6E69" w:rsidRDefault="00223F09" w:rsidP="00237D88">
            <w:pPr>
              <w:ind w:left="340"/>
            </w:pPr>
            <w:r w:rsidRPr="007B6E69">
              <w:t>1 on the passenger’s side</w:t>
            </w:r>
          </w:p>
        </w:tc>
      </w:tr>
      <w:tr w:rsidR="00223F09" w:rsidRPr="007B6E69" w:rsidTr="00237D88">
        <w:tc>
          <w:tcPr>
            <w:tcW w:w="3681" w:type="dxa"/>
          </w:tcPr>
          <w:p w:rsidR="00223F09" w:rsidRPr="007B6E69" w:rsidRDefault="00223F09" w:rsidP="00237D88">
            <w:r w:rsidRPr="007B6E69">
              <w:t>Class III (Main rear-view device)</w:t>
            </w:r>
          </w:p>
        </w:tc>
        <w:tc>
          <w:tcPr>
            <w:tcW w:w="6117" w:type="dxa"/>
          </w:tcPr>
          <w:p w:rsidR="00223F09" w:rsidRPr="007B6E69" w:rsidRDefault="00223F09" w:rsidP="00237D88">
            <w:r w:rsidRPr="007B6E69">
              <w:t>Not permitted</w:t>
            </w:r>
          </w:p>
        </w:tc>
      </w:tr>
      <w:tr w:rsidR="00223F09" w:rsidRPr="007B6E69" w:rsidTr="00237D88">
        <w:tc>
          <w:tcPr>
            <w:tcW w:w="3681" w:type="dxa"/>
          </w:tcPr>
          <w:p w:rsidR="00223F09" w:rsidRPr="007B6E69" w:rsidRDefault="00223F09" w:rsidP="00237D88">
            <w:r w:rsidRPr="007B6E69">
              <w:t>Class IV (Wide-angle view device)</w:t>
            </w:r>
          </w:p>
        </w:tc>
        <w:tc>
          <w:tcPr>
            <w:tcW w:w="6117" w:type="dxa"/>
          </w:tcPr>
          <w:p w:rsidR="00223F09" w:rsidRPr="007B6E69" w:rsidRDefault="00223F09" w:rsidP="00237D88">
            <w:r w:rsidRPr="007B6E69">
              <w:t>Compulsory</w:t>
            </w:r>
          </w:p>
          <w:p w:rsidR="00223F09" w:rsidRPr="007B6E69" w:rsidRDefault="00223F09" w:rsidP="00237D88">
            <w:pPr>
              <w:ind w:left="340"/>
            </w:pPr>
            <w:r w:rsidRPr="007B6E69">
              <w:t>1 on the driver’s side</w:t>
            </w:r>
          </w:p>
          <w:p w:rsidR="00223F09" w:rsidRPr="007B6E69" w:rsidRDefault="00223F09" w:rsidP="00237D88">
            <w:pPr>
              <w:ind w:left="340"/>
            </w:pPr>
            <w:r w:rsidRPr="007B6E69">
              <w:t>1 on the passenger’s side</w:t>
            </w:r>
          </w:p>
        </w:tc>
      </w:tr>
      <w:tr w:rsidR="00223F09" w:rsidRPr="007B6E69" w:rsidTr="00237D88">
        <w:tc>
          <w:tcPr>
            <w:tcW w:w="3681" w:type="dxa"/>
          </w:tcPr>
          <w:p w:rsidR="00223F09" w:rsidRPr="007B6E69" w:rsidRDefault="00223F09" w:rsidP="00237D88">
            <w:r w:rsidRPr="007B6E69">
              <w:t>Class V (Close-proximity view device)</w:t>
            </w:r>
          </w:p>
        </w:tc>
        <w:tc>
          <w:tcPr>
            <w:tcW w:w="6117" w:type="dxa"/>
          </w:tcPr>
          <w:p w:rsidR="00223F09" w:rsidRPr="007B6E69" w:rsidRDefault="00223F09" w:rsidP="00237D88">
            <w:r w:rsidRPr="007B6E69">
              <w:t>Compulsory</w:t>
            </w:r>
          </w:p>
          <w:p w:rsidR="00223F09" w:rsidRPr="007B6E69" w:rsidRDefault="00223F09" w:rsidP="00237D88">
            <w:pPr>
              <w:ind w:left="340"/>
              <w:rPr>
                <w:sz w:val="18"/>
                <w:szCs w:val="18"/>
              </w:rPr>
            </w:pPr>
            <w:r w:rsidRPr="007B6E69">
              <w:t>1 on the passenger’s side</w:t>
            </w:r>
            <w:r w:rsidRPr="007B6E69">
              <w:rPr>
                <w:vertAlign w:val="superscript"/>
              </w:rPr>
              <w:t>1</w:t>
            </w:r>
          </w:p>
          <w:p w:rsidR="00223F09" w:rsidRPr="007B6E69" w:rsidRDefault="00223F09" w:rsidP="00237D88">
            <w:pPr>
              <w:ind w:left="340"/>
              <w:rPr>
                <w:sz w:val="16"/>
                <w:szCs w:val="16"/>
              </w:rPr>
            </w:pPr>
            <w:r w:rsidRPr="007B6E69">
              <w:rPr>
                <w:sz w:val="16"/>
                <w:szCs w:val="16"/>
                <w:vertAlign w:val="superscript"/>
              </w:rPr>
              <w:t>1</w:t>
            </w:r>
            <w:r w:rsidRPr="007B6E69">
              <w:rPr>
                <w:sz w:val="16"/>
                <w:szCs w:val="16"/>
              </w:rPr>
              <w:t xml:space="preserve"> Unless the required field of vision can be perceived through the combination of Class IV device and a Class VI device.</w:t>
            </w:r>
          </w:p>
          <w:p w:rsidR="00223F09" w:rsidRPr="007B6E69" w:rsidRDefault="00223F09" w:rsidP="00237D88">
            <w:r w:rsidRPr="007B6E69">
              <w:t>Optional on the driver’s side</w:t>
            </w:r>
          </w:p>
          <w:p w:rsidR="00223F09" w:rsidRPr="007B6E69" w:rsidRDefault="00223F09" w:rsidP="00237D88">
            <w:r w:rsidRPr="007B6E69">
              <w:t xml:space="preserve">Mirrors must be at least 2 metres above the ground – a tolerance of 10 cm may be applied for goods vehicles </w:t>
            </w:r>
            <w:r w:rsidRPr="007B6E69">
              <w:rPr>
                <w:rFonts w:cs="Segoe UI"/>
              </w:rPr>
              <w:t>≤</w:t>
            </w:r>
            <w:r w:rsidRPr="007B6E69">
              <w:t xml:space="preserve"> 7.5 tonnes</w:t>
            </w:r>
          </w:p>
        </w:tc>
      </w:tr>
      <w:tr w:rsidR="00223F09" w:rsidRPr="007B6E69" w:rsidTr="00237D88">
        <w:tc>
          <w:tcPr>
            <w:tcW w:w="3681" w:type="dxa"/>
          </w:tcPr>
          <w:p w:rsidR="00223F09" w:rsidRPr="007B6E69" w:rsidRDefault="00223F09" w:rsidP="00237D88">
            <w:r w:rsidRPr="007B6E69">
              <w:t>Class VI (Front-view device)</w:t>
            </w:r>
          </w:p>
        </w:tc>
        <w:tc>
          <w:tcPr>
            <w:tcW w:w="6117" w:type="dxa"/>
          </w:tcPr>
          <w:p w:rsidR="00223F09" w:rsidRPr="007B6E69" w:rsidRDefault="00223F09" w:rsidP="00237D88">
            <w:r w:rsidRPr="007B6E69">
              <w:t>Compulsory for goods vehicles over 7.5 tonnes</w:t>
            </w:r>
          </w:p>
          <w:p w:rsidR="00223F09" w:rsidRPr="007B6E69" w:rsidRDefault="00223F09" w:rsidP="00237D88">
            <w:pPr>
              <w:ind w:left="340"/>
            </w:pPr>
            <w:r w:rsidRPr="007B6E69">
              <w:t>1 front-view device</w:t>
            </w:r>
            <w:r w:rsidRPr="007B6E69">
              <w:rPr>
                <w:vertAlign w:val="superscript"/>
              </w:rPr>
              <w:t>2,3</w:t>
            </w:r>
          </w:p>
          <w:p w:rsidR="00223F09" w:rsidRPr="007B6E69" w:rsidRDefault="00223F09" w:rsidP="00237D88">
            <w:pPr>
              <w:ind w:left="340"/>
              <w:rPr>
                <w:sz w:val="16"/>
                <w:szCs w:val="16"/>
              </w:rPr>
            </w:pPr>
            <w:r w:rsidRPr="007B6E69">
              <w:rPr>
                <w:sz w:val="16"/>
                <w:szCs w:val="16"/>
                <w:vertAlign w:val="superscript"/>
              </w:rPr>
              <w:t>2</w:t>
            </w:r>
            <w:r w:rsidRPr="007B6E69">
              <w:rPr>
                <w:sz w:val="16"/>
                <w:szCs w:val="16"/>
              </w:rPr>
              <w:t xml:space="preserve"> A vision support system may instead be used for a vehicle that cannot fulfil this requirement using a front-view device, in which case the vision support system must be able to detect an object of 50 cm height and with a diameter of 30 cm within the required field of vision for a front-view device.</w:t>
            </w:r>
          </w:p>
          <w:p w:rsidR="00223F09" w:rsidRPr="007B6E69" w:rsidRDefault="00223F09" w:rsidP="00237D88">
            <w:pPr>
              <w:ind w:left="340"/>
            </w:pPr>
            <w:r w:rsidRPr="007B6E69">
              <w:rPr>
                <w:sz w:val="16"/>
                <w:szCs w:val="16"/>
                <w:vertAlign w:val="superscript"/>
              </w:rPr>
              <w:t>3</w:t>
            </w:r>
            <w:r w:rsidRPr="007B6E69">
              <w:rPr>
                <w:sz w:val="16"/>
                <w:szCs w:val="16"/>
              </w:rPr>
              <w:t xml:space="preserve"> Not mandatory if the driver can see, taking into account the obstructions by the A-pillars, a straight line 300 mm in front of the vehicle at a height of 1,200 mm above the road surface and which is situated between a longitudinal vertical plane parallel to the longitudinal vertical median plane going through the outermost side of the vehicle at the driver's side and a longitudinal vertical plane parallel to the longitudinal vertical median plane 900 mm outside the outermost side of the vehicle opposite to the driver's side.</w:t>
            </w:r>
          </w:p>
          <w:p w:rsidR="00223F09" w:rsidRPr="007B6E69" w:rsidRDefault="00223F09" w:rsidP="00237D88">
            <w:r w:rsidRPr="007B6E69">
              <w:t xml:space="preserve">Optional for goods vehicles </w:t>
            </w:r>
            <w:r w:rsidRPr="007B6E69">
              <w:rPr>
                <w:rFonts w:cs="Segoe UI"/>
              </w:rPr>
              <w:t>≤</w:t>
            </w:r>
            <w:r w:rsidRPr="007B6E69">
              <w:t xml:space="preserve"> 7.5 tonnes</w:t>
            </w:r>
          </w:p>
          <w:p w:rsidR="00223F09" w:rsidRPr="007B6E69" w:rsidRDefault="00223F09" w:rsidP="00237D88">
            <w:r w:rsidRPr="007B6E69">
              <w:t>Mirrors must be at least 2 metres above the ground</w:t>
            </w:r>
          </w:p>
        </w:tc>
      </w:tr>
    </w:tbl>
    <w:p w:rsidR="00223F09" w:rsidRPr="007B6E69" w:rsidRDefault="00223F09" w:rsidP="00223F09">
      <w:pPr>
        <w:keepNext/>
        <w:jc w:val="center"/>
      </w:pPr>
      <w:r w:rsidRPr="007B6E69">
        <w:rPr>
          <w:noProof/>
          <w:lang w:eastAsia="en-AU"/>
        </w:rPr>
        <w:drawing>
          <wp:inline distT="0" distB="0" distL="0" distR="0" wp14:anchorId="14E77D1F" wp14:editId="1C12742D">
            <wp:extent cx="5778170" cy="7200000"/>
            <wp:effectExtent l="0" t="0" r="0" b="1270"/>
            <wp:docPr id="27" name="Picture 27" descr="Illustration of the minimum required fields of vision in UN R46 for goods vehicles over 3.5 tonnes maximum mass. "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vices for indirect vision.jpg"/>
                    <pic:cNvPicPr/>
                  </pic:nvPicPr>
                  <pic:blipFill>
                    <a:blip r:embed="rId69">
                      <a:extLst>
                        <a:ext uri="{28A0092B-C50C-407E-A947-70E740481C1C}">
                          <a14:useLocalDpi xmlns:a14="http://schemas.microsoft.com/office/drawing/2010/main" val="0"/>
                        </a:ext>
                      </a:extLst>
                    </a:blip>
                    <a:stretch>
                      <a:fillRect/>
                    </a:stretch>
                  </pic:blipFill>
                  <pic:spPr>
                    <a:xfrm>
                      <a:off x="0" y="0"/>
                      <a:ext cx="5778170" cy="7200000"/>
                    </a:xfrm>
                    <a:prstGeom prst="rect">
                      <a:avLst/>
                    </a:prstGeom>
                  </pic:spPr>
                </pic:pic>
              </a:graphicData>
            </a:graphic>
          </wp:inline>
        </w:drawing>
      </w:r>
    </w:p>
    <w:p w:rsidR="00223F09" w:rsidRPr="007B6E69" w:rsidRDefault="00223F09" w:rsidP="00223F09">
      <w:pPr>
        <w:pStyle w:val="Caption"/>
      </w:pPr>
      <w:bookmarkStart w:id="146" w:name="_Ref57211676"/>
      <w:bookmarkStart w:id="147" w:name="_Toc135321406"/>
      <w:r w:rsidRPr="007B6E69">
        <w:t xml:space="preserve">Figure </w:t>
      </w:r>
      <w:fldSimple w:instr=" SEQ Figure \* ARABIC ">
        <w:r w:rsidR="00534814">
          <w:rPr>
            <w:noProof/>
          </w:rPr>
          <w:t>16</w:t>
        </w:r>
      </w:fldSimple>
      <w:bookmarkEnd w:id="146"/>
      <w:r w:rsidR="00D44DCC" w:rsidRPr="007B6E69">
        <w:rPr>
          <w:noProof/>
        </w:rPr>
        <w:t>:</w:t>
      </w:r>
      <w:r w:rsidRPr="007B6E69">
        <w:t xml:space="preserve"> Minimum required fields of vision for goods vehicles over 3.5 tonnes maximum mass (note: class VI is optional for goods vehicles </w:t>
      </w:r>
      <w:r w:rsidRPr="007B6E69">
        <w:rPr>
          <w:rFonts w:cs="Segoe UI"/>
        </w:rPr>
        <w:t>≤</w:t>
      </w:r>
      <w:r w:rsidRPr="007B6E69">
        <w:t xml:space="preserve"> 7.5 tonnes) (source: adapted (for right-hand-drive) from UN R46)</w:t>
      </w:r>
      <w:bookmarkEnd w:id="147"/>
    </w:p>
    <w:p w:rsidR="00223F09" w:rsidRPr="007B6E69" w:rsidRDefault="00223F09" w:rsidP="00223F09"/>
    <w:p w:rsidR="00223F09" w:rsidRPr="007B6E69" w:rsidRDefault="00223F09" w:rsidP="00223F09">
      <w:pPr>
        <w:keepNext/>
      </w:pPr>
      <w:r w:rsidRPr="007B6E69">
        <w:rPr>
          <w:noProof/>
          <w:lang w:eastAsia="en-AU"/>
        </w:rPr>
        <w:drawing>
          <wp:inline distT="0" distB="0" distL="0" distR="0" wp14:anchorId="173A0537" wp14:editId="27E6CA8D">
            <wp:extent cx="6228080" cy="2571548"/>
            <wp:effectExtent l="0" t="0" r="1270" b="635"/>
            <wp:docPr id="31" name="Picture 31" descr="Illustration of the larger required field of vision required in UN R46 on the passenger’s side. "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rger field of view required on the passenger side.jpg"/>
                    <pic:cNvPicPr/>
                  </pic:nvPicPr>
                  <pic:blipFill>
                    <a:blip r:embed="rId70">
                      <a:extLst>
                        <a:ext uri="{28A0092B-C50C-407E-A947-70E740481C1C}">
                          <a14:useLocalDpi xmlns:a14="http://schemas.microsoft.com/office/drawing/2010/main" val="0"/>
                        </a:ext>
                      </a:extLst>
                    </a:blip>
                    <a:stretch>
                      <a:fillRect/>
                    </a:stretch>
                  </pic:blipFill>
                  <pic:spPr>
                    <a:xfrm>
                      <a:off x="0" y="0"/>
                      <a:ext cx="6228080" cy="2571548"/>
                    </a:xfrm>
                    <a:prstGeom prst="rect">
                      <a:avLst/>
                    </a:prstGeom>
                  </pic:spPr>
                </pic:pic>
              </a:graphicData>
            </a:graphic>
          </wp:inline>
        </w:drawing>
      </w:r>
    </w:p>
    <w:p w:rsidR="00223F09" w:rsidRPr="007B6E69" w:rsidRDefault="00223F09" w:rsidP="00223F09">
      <w:pPr>
        <w:pStyle w:val="Caption"/>
      </w:pPr>
      <w:bookmarkStart w:id="148" w:name="_Ref57212332"/>
      <w:bookmarkStart w:id="149" w:name="_Toc135321407"/>
      <w:r w:rsidRPr="007B6E69">
        <w:t xml:space="preserve">Figure </w:t>
      </w:r>
      <w:fldSimple w:instr=" SEQ Figure \* ARABIC ">
        <w:r w:rsidR="00534814">
          <w:rPr>
            <w:noProof/>
          </w:rPr>
          <w:t>17</w:t>
        </w:r>
      </w:fldSimple>
      <w:bookmarkEnd w:id="148"/>
      <w:r w:rsidR="00D44DCC" w:rsidRPr="007B6E69">
        <w:rPr>
          <w:noProof/>
        </w:rPr>
        <w:t xml:space="preserve">: </w:t>
      </w:r>
      <w:r w:rsidRPr="007B6E69">
        <w:t>Larger required field of vision on the passenger’s side (note: required view may be achieved using a combination of direct view and indirect vision devices of classes IV, V, and/or VI) (source: adapted for right-hand-drive from UN R46)</w:t>
      </w:r>
      <w:bookmarkEnd w:id="149"/>
    </w:p>
    <w:p w:rsidR="00223F09" w:rsidRPr="007B6E69" w:rsidRDefault="00223F09" w:rsidP="00223F09"/>
    <w:p w:rsidR="00223F09" w:rsidRPr="007B6E69" w:rsidRDefault="00223F09" w:rsidP="00223F09">
      <w:pPr>
        <w:sectPr w:rsidR="00223F09" w:rsidRPr="007B6E69" w:rsidSect="00237D88">
          <w:pgSz w:w="11906" w:h="16838" w:code="9"/>
          <w:pgMar w:top="2835" w:right="1049" w:bottom="1701" w:left="1049" w:header="1276" w:footer="709" w:gutter="0"/>
          <w:cols w:space="708"/>
          <w:docGrid w:linePitch="360"/>
        </w:sectPr>
      </w:pPr>
    </w:p>
    <w:p w:rsidR="00223F09" w:rsidRPr="007B6E69" w:rsidRDefault="00197BA7" w:rsidP="00E13D3A">
      <w:pPr>
        <w:pStyle w:val="AppendixHeading1"/>
      </w:pPr>
      <w:bookmarkStart w:id="150" w:name="_Toc67060916"/>
      <w:bookmarkStart w:id="151" w:name="_Toc111576733"/>
      <w:bookmarkStart w:id="152" w:name="_Toc138065728"/>
      <w:bookmarkStart w:id="153" w:name="_Toc54275952"/>
      <w:r w:rsidRPr="007B6E69">
        <w:t xml:space="preserve">Appendix </w:t>
      </w:r>
      <w:r w:rsidR="008B1541">
        <w:t>6</w:t>
      </w:r>
      <w:r w:rsidRPr="007B6E69">
        <w:t xml:space="preserve"> – </w:t>
      </w:r>
      <w:r w:rsidR="00223F09" w:rsidRPr="007B6E69">
        <w:t>Electronic Stability Control</w:t>
      </w:r>
      <w:bookmarkEnd w:id="150"/>
      <w:bookmarkEnd w:id="151"/>
      <w:bookmarkEnd w:id="152"/>
    </w:p>
    <w:p w:rsidR="00223F09" w:rsidRPr="007B6E69" w:rsidRDefault="00223F09" w:rsidP="00223F09">
      <w:r w:rsidRPr="007B6E69">
        <w:t>Electronic Stability Control (ESC) systems for heavy vehicles are designed to reduce the number of crashes due to vehicle (or combination vehicle) understeer (ploughing out), oversteer (spinning out), and/or rollover. ESC systems for heavy vehicles typically consist of an electronic control unit that monitors data received from a steering-wheel-angle sensor, a combined yaw rate and lateral acceleration sensor, Antilock Brake System (ABS) wheel speed sensors, and load sensors, as well as the driver’s control inputs to the steering and braking systems and to the engine, together with the engine output (e.g. torque and speed) and the vehicle speed.</w:t>
      </w:r>
    </w:p>
    <w:p w:rsidR="00223F09" w:rsidRPr="007B6E69" w:rsidRDefault="00223F09" w:rsidP="00223F09">
      <w:r w:rsidRPr="007B6E69">
        <w:t>Common causes of rollover crashes include entering corners at too high a speed, sudden steering manoeuvres to avoid other vehicles or obstacles and shifting of loads such as liquids in tanks. Heavy vehicles are usually much more prone to rollover than light vehicles, because they have a much higher gross mass together with an elevated centre of gravity.</w:t>
      </w:r>
    </w:p>
    <w:p w:rsidR="00223F09" w:rsidRPr="007B6E69" w:rsidRDefault="00223F09" w:rsidP="00223F09">
      <w:r w:rsidRPr="007B6E69">
        <w:t>Understeer or oversteer occur when there is not enough grip/friction between one or more tyres and the road to oppose lateral tyre forces. When the front tyres have utilised all available grip/traction the vehicle will tend to understeer (turn less sharply than the driver intends), and when the rear tyres have utilised all available grip/traction the vehicle will tend to oversteer (turn more sharply than the driver intends).</w:t>
      </w:r>
    </w:p>
    <w:p w:rsidR="00223F09" w:rsidRPr="007B6E69" w:rsidRDefault="00223F09" w:rsidP="00223F09">
      <w:r w:rsidRPr="007B6E69">
        <w:t>ESC systems for heavy vehicles automatically reduce engine torque and apply the vehicle (and any towed trailer) brakes, whenever the system determines based on the vehicle lateral acceleration and wheel speed sensor data that the vehicle is at risk of rolling over. ESC systems for heavy vehicles also automatically reduce engine torque and apply the vehicle (and/or any towed trailer) brakes, when the system determines based on the steering wheel angle and yaw rate sensor data that the vehicle is understeering or oversteering.  Understeer is typically corrected for by selective application of the inside rear brake(s) of the vehicle, while oversteer is typically corrected for by selective application of the outside front brake of the vehicle together with automatic application of any towed trailer brakes.</w:t>
      </w:r>
    </w:p>
    <w:p w:rsidR="00223F09" w:rsidRPr="007B6E69" w:rsidRDefault="00223F09" w:rsidP="00223F09">
      <w:r w:rsidRPr="007B6E69">
        <w:t>The rollover control function within heavy vehicle ESC systems also includes a learning function, to account for the considerable difference in the unladen and fully laden mass of these vehicles as well as significant variations in the load distribution (including on each axle and the load height/centre of gravity). The rollover control function is programmed with two pre-set lateral acceleration threshold (trigger) values. When the level one (lower) threshold is reached (or exceeded) (commonly 0.25g), the system will send a low-pressure test pulse to apply the brakes (ARTSA 2011). From these test pulses, the system determines based on the difference in wheel slip (measured by ABS wheel speed sensors) on each side of the vehicle how close the wheels on the inside of the turn are to leaving the ground. If it determines the wheels on the inside of the turn are close to lifting it will intervene to slow the vehicle/combination. If it determines the vehicle is not in danger of a rollover it will raise the level 1 lateral acceleration threshold a little, and will keep doing this until it determines the lateral acceleration is approaching a value slightly below that at which it must brake the vehicle (or vehicle combination) to avoid a rollover. Whenever the level two (higher) lateral acceleration threshold is reached (or exceeded), the system will intervene to slow the vehicle/combination. If the load condition changes (as indicated by axle load sensors) or the ESC system power is turned off (e.g. at an ignition cycle), the level one threshold is reset and the learning process repeats (ARTSA 2011). Engine torque data may also be used in the estimation of vehicle/combination mass.</w:t>
      </w:r>
    </w:p>
    <w:p w:rsidR="00223F09" w:rsidRPr="007B6E69" w:rsidRDefault="00223F09" w:rsidP="00F04016">
      <w:pPr>
        <w:keepLines/>
      </w:pPr>
      <w:r w:rsidRPr="007B6E69">
        <w:t>The Australian Design Rule 35/0</w:t>
      </w:r>
      <w:r w:rsidR="003B3CEE">
        <w:t>7</w:t>
      </w:r>
      <w:r w:rsidRPr="007B6E69">
        <w:t xml:space="preserve"> – Commercial Vehicle Brake Systems (ADR 35/0</w:t>
      </w:r>
      <w:r w:rsidR="003B3CEE">
        <w:t>7</w:t>
      </w:r>
      <w:r w:rsidRPr="007B6E69">
        <w:t xml:space="preserve">) includes a mandatory requirement for ESC (referred to in the ADR as a Vehicle Stability Function) to be fitted to </w:t>
      </w:r>
      <w:r w:rsidR="003B3CEE" w:rsidRPr="007B6E69">
        <w:t>omnibuses and goods vehicles over 3.5 tonnes GVM</w:t>
      </w:r>
      <w:r w:rsidRPr="007B6E69">
        <w:t>. There are exemptions from mandatory ESC fitment for articulated omnibuses, route service omnibuses, heavy goods vehicles with four or more axles, and vehicles designed for off-road use (as defined in an</w:t>
      </w:r>
      <w:r w:rsidR="003B3CEE">
        <w:t xml:space="preserve"> Appendix to the ADR). ADR 35/07</w:t>
      </w:r>
      <w:r w:rsidRPr="007B6E69">
        <w:t xml:space="preserve"> is applicable </w:t>
      </w:r>
      <w:r w:rsidR="003B3CEE">
        <w:t>(mandatory) from 1 November 2022</w:t>
      </w:r>
      <w:r w:rsidRPr="007B6E69">
        <w:t xml:space="preserve"> for new model omnibuses and goods vehicles over 3.5 tonnes GVM, and 1 </w:t>
      </w:r>
      <w:r w:rsidR="003B3CEE">
        <w:t>February</w:t>
      </w:r>
      <w:r w:rsidRPr="007B6E69">
        <w:t xml:space="preserve"> 202</w:t>
      </w:r>
      <w:r w:rsidR="003B3CEE">
        <w:t>5</w:t>
      </w:r>
      <w:r w:rsidRPr="007B6E69">
        <w:t xml:space="preserve"> for all (new) omnibuses and goods vehicles over 3.5 tonnes GVM (</w:t>
      </w:r>
      <w:r w:rsidR="00315909">
        <w:t>Commonwealth of Australia</w:t>
      </w:r>
      <w:r w:rsidR="00D7633A">
        <w:t>, 2018c</w:t>
      </w:r>
      <w:r w:rsidRPr="007B6E69">
        <w:t>).</w:t>
      </w:r>
    </w:p>
    <w:p w:rsidR="00223F09" w:rsidRPr="007B6E69" w:rsidRDefault="003B3CEE" w:rsidP="00223F09">
      <w:r>
        <w:t>ADR 35/07</w:t>
      </w:r>
      <w:r w:rsidR="00223F09" w:rsidRPr="007B6E69">
        <w:t xml:space="preserve"> includes performance</w:t>
      </w:r>
      <w:r w:rsidR="00C32741">
        <w:t>-</w:t>
      </w:r>
      <w:r w:rsidR="00223F09" w:rsidRPr="007B6E69">
        <w:t>based test requirements for omnibuses and prime movers over 12 tonnes GVM. These vehicles must either be approved to UN R13/11 or meet a detailed series of clockwise and anticlockwise J-turn tests and pass/fail criteria set out in the ADR. The J</w:t>
      </w:r>
      <w:r w:rsidR="00223F09" w:rsidRPr="007B6E69">
        <w:noBreakHyphen/>
        <w:t xml:space="preserve">turn test course consists of a straight entrance lane connected to a curved lane section. The straight section of the lane is 3.7 metres wide, and the curved section of the lane is 3.7 metres wide for prime movers and 4.3 metres wide for buses. </w:t>
      </w:r>
      <w:r w:rsidR="004F675A">
        <w:fldChar w:fldCharType="begin"/>
      </w:r>
      <w:r w:rsidR="004F675A">
        <w:instrText xml:space="preserve"> REF _Ref112147200 \h </w:instrText>
      </w:r>
      <w:r w:rsidR="004F675A">
        <w:fldChar w:fldCharType="separate"/>
      </w:r>
      <w:r w:rsidR="00534814" w:rsidRPr="007B6E69">
        <w:t xml:space="preserve">Figure </w:t>
      </w:r>
      <w:r w:rsidR="00534814">
        <w:rPr>
          <w:noProof/>
        </w:rPr>
        <w:t>18</w:t>
      </w:r>
      <w:r w:rsidR="004F675A">
        <w:fldChar w:fldCharType="end"/>
      </w:r>
      <w:r w:rsidR="004F675A">
        <w:t xml:space="preserve"> </w:t>
      </w:r>
      <w:r w:rsidR="00223F09" w:rsidRPr="007B6E69">
        <w:t>shows an example of a suitable J-turn test course (configured for anticlockwise steering) for a prime mover.</w:t>
      </w:r>
    </w:p>
    <w:p w:rsidR="00223F09" w:rsidRPr="007B6E69" w:rsidRDefault="00223F09" w:rsidP="00223F09">
      <w:pPr>
        <w:jc w:val="center"/>
      </w:pPr>
      <w:r w:rsidRPr="007B6E69">
        <w:rPr>
          <w:noProof/>
          <w:lang w:eastAsia="en-AU"/>
        </w:rPr>
        <w:drawing>
          <wp:inline distT="0" distB="0" distL="0" distR="0" wp14:anchorId="5BF54635" wp14:editId="6B9347ED">
            <wp:extent cx="4140000" cy="3917796"/>
            <wp:effectExtent l="0" t="0" r="0" b="6985"/>
            <wp:docPr id="2720" name="Picture 2720" descr="Example of a suitable J-turn test course (anticlockwise direction shown)."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40000" cy="3917796"/>
                    </a:xfrm>
                    <a:prstGeom prst="rect">
                      <a:avLst/>
                    </a:prstGeom>
                    <a:noFill/>
                    <a:ln>
                      <a:noFill/>
                    </a:ln>
                  </pic:spPr>
                </pic:pic>
              </a:graphicData>
            </a:graphic>
          </wp:inline>
        </w:drawing>
      </w:r>
    </w:p>
    <w:p w:rsidR="00223F09" w:rsidRPr="007B6E69" w:rsidRDefault="00352150" w:rsidP="00352150">
      <w:pPr>
        <w:pStyle w:val="Caption"/>
        <w:jc w:val="center"/>
      </w:pPr>
      <w:bookmarkStart w:id="154" w:name="_Ref112147200"/>
      <w:bookmarkStart w:id="155" w:name="_Toc135321408"/>
      <w:r w:rsidRPr="007B6E69">
        <w:t xml:space="preserve">Figure </w:t>
      </w:r>
      <w:fldSimple w:instr=" SEQ Figure \* ARABIC ">
        <w:r w:rsidR="00534814">
          <w:rPr>
            <w:noProof/>
          </w:rPr>
          <w:t>18</w:t>
        </w:r>
      </w:fldSimple>
      <w:bookmarkEnd w:id="154"/>
      <w:r w:rsidRPr="007B6E69">
        <w:t xml:space="preserve">: </w:t>
      </w:r>
      <w:r w:rsidR="00223F09" w:rsidRPr="007B6E69">
        <w:t>Example of a suitable J-turn test course (in anticlockwise direction) for a prime mover</w:t>
      </w:r>
      <w:bookmarkEnd w:id="155"/>
    </w:p>
    <w:p w:rsidR="00223F09" w:rsidRPr="007B6E69" w:rsidRDefault="003B3CEE" w:rsidP="00F04016">
      <w:pPr>
        <w:keepLines/>
      </w:pPr>
      <w:r>
        <w:t>In each ADR 35/07</w:t>
      </w:r>
      <w:r w:rsidR="00223F09" w:rsidRPr="007B6E69">
        <w:t xml:space="preserve"> J-turn test, the test driver accelerates the vehicle along the entrance lane before crossing the start gate at a designated entrance speed. The driver then attempts to keep all wheels of the vehicle within the test track by steering the vehicle through the curved section of track without braking. The minimum lateral acceleration at which the ESC activates (i.e. intervenes) must be no greater than 0.4 g (which corresponds to an entrance speed of 48 km/h where a 45.7 m (150 feet) radius is used for the curved section of track). The vehicle must meet minimum deceleration requirements as it progresses through the test curve, at the vehicle’s minimum ESC activation speed and at least 1.25 times the minimum ESC activation speed. The ESC system must also automatically reduce the driver-requested engine torque by at least 10</w:t>
      </w:r>
      <w:r w:rsidR="00803A6C">
        <w:t>%</w:t>
      </w:r>
      <w:r w:rsidR="00223F09" w:rsidRPr="007B6E69">
        <w:t xml:space="preserve"> when the vehicle is driven through the J-turn at an entrance speed equal to the vehicle’s minimum ESC activation speed.</w:t>
      </w:r>
    </w:p>
    <w:p w:rsidR="00223F09" w:rsidRPr="007B6E69" w:rsidRDefault="00223F09" w:rsidP="00427A0F">
      <w:pPr>
        <w:keepLines/>
      </w:pPr>
      <w:r w:rsidRPr="007B6E69">
        <w:t>The recognised international standard for heavy vehicle braking is the UN Regulation No. 13 (R13) – Uniform provisions concerning the approval of vehicles of categories M, N and O with regard to braking (UN, 2014a). This regulation covers general braking including compatibility between towing vehicles and trailers, as well as ABS and ESC, and the fitment of standard connectors to provide power to electronic brake systems on trailers.  To meet the latest version of this regulation (UN R13/11), omnibuses, and goods vehicles over 3.5 tonnes (with limited exemptions) must be equipped with an ESC system (also referred to in UN R13 as a Vehicle Stability Function) incorporating both directional control and rollover control. There are exemptions from ESC fitment for omnibuses with provisions for standing passengers, articulated omnibuses, heavy goods vehicles with more than three axles, vehicles designed for off-road use (UN category G vehicles – as defined in the UN Consolidated Resolution on the Construction of Vehicles), and special purpose vehicles.</w:t>
      </w:r>
    </w:p>
    <w:p w:rsidR="00223F09" w:rsidRPr="007B6E69" w:rsidRDefault="00223F09" w:rsidP="00223F09">
      <w:r w:rsidRPr="007B6E69">
        <w:t>Under UN R13/11, the rollover control function within heavy vehicle ESC systems is tested on and off in one of two test types.  The directional control function within ESC systems is tested on and off in one of eight test types.  However, the test procedures and pass/fail criteria are not defined in the regulation.  These are instead determined through agreement between the UN approval authority and the vehicle manufacturer.</w:t>
      </w:r>
    </w:p>
    <w:p w:rsidR="00223F09" w:rsidRPr="007B6E69" w:rsidRDefault="003B3CEE" w:rsidP="00223F09">
      <w:r>
        <w:t>Both ADR 35/07</w:t>
      </w:r>
      <w:r w:rsidR="00223F09" w:rsidRPr="007B6E69">
        <w:t xml:space="preserve"> and UN R13/11 also include functional requirements to help ensure that ESC systems will work effectively for a wider range of instability scenarios than are simulated by the tests alone, as well as requirements for an optical warning signal to indicate ESC interventions to the driver and a warning signal to indicate any failure of this system.</w:t>
      </w:r>
    </w:p>
    <w:p w:rsidR="00223F09" w:rsidRPr="007B6E69" w:rsidRDefault="00223F09" w:rsidP="00223F09"/>
    <w:p w:rsidR="00223F09" w:rsidRPr="007B6E69" w:rsidRDefault="00223F09" w:rsidP="00223F09">
      <w:pPr>
        <w:sectPr w:rsidR="00223F09" w:rsidRPr="007B6E69" w:rsidSect="00237D88">
          <w:pgSz w:w="11906" w:h="16838" w:code="9"/>
          <w:pgMar w:top="2835" w:right="1049" w:bottom="1701" w:left="1049" w:header="1276" w:footer="709" w:gutter="0"/>
          <w:cols w:space="708"/>
          <w:docGrid w:linePitch="360"/>
        </w:sectPr>
      </w:pPr>
    </w:p>
    <w:p w:rsidR="00223F09" w:rsidRPr="007B6E69" w:rsidRDefault="00197BA7" w:rsidP="00E13D3A">
      <w:pPr>
        <w:pStyle w:val="AppendixHeading1"/>
      </w:pPr>
      <w:bookmarkStart w:id="156" w:name="_Toc67060917"/>
      <w:bookmarkStart w:id="157" w:name="_Toc111576734"/>
      <w:bookmarkStart w:id="158" w:name="_Toc138065729"/>
      <w:r w:rsidRPr="007B6E69">
        <w:t xml:space="preserve">Appendix </w:t>
      </w:r>
      <w:r w:rsidR="008B1541">
        <w:t>7</w:t>
      </w:r>
      <w:r w:rsidRPr="007B6E69">
        <w:t xml:space="preserve"> – </w:t>
      </w:r>
      <w:r w:rsidR="00223F09" w:rsidRPr="007B6E69">
        <w:t>Advanced Emergency Braking</w:t>
      </w:r>
      <w:bookmarkEnd w:id="156"/>
      <w:bookmarkEnd w:id="157"/>
      <w:bookmarkEnd w:id="158"/>
    </w:p>
    <w:p w:rsidR="00223F09" w:rsidRPr="007B6E69" w:rsidRDefault="00223F09" w:rsidP="00223F09">
      <w:r w:rsidRPr="007B6E69">
        <w:t>Advanced Emergency Braking (AEB) systems for heavy vehicles are designed to avoid or mitigate the severity of rear end collisions with other vehicles in the same lane. Some systems can also detect and help to avoid collisions with pedestrians and/or bicyclists. AEB systems for heavy vehicles typically consist of an electronic control unit that monitors data received from camera and/or radar sensors at the front of the vehicle.</w:t>
      </w:r>
    </w:p>
    <w:p w:rsidR="00223F09" w:rsidRPr="007B6E69" w:rsidRDefault="00223F09" w:rsidP="00223F09">
      <w:r w:rsidRPr="007B6E69">
        <w:t>An AEB system for a heavy vehicle will first provide the driver with a forward collision warning, when it determines based on the vehicle camera and/or radar sensor data that the vehicle is at risk of a rear end collision with another vehicle in the same lane. If the driver does not react (from around 1.4 seconds of the first warning) to brake the vehicle, the AEB system will then commence an emergency braking phase to avoid or at least mitigate the severity of the impending collision. This is left as late as possible (within 3 seconds of a collision), including to allow the driver to steer (if appropriate) to avoid an impact, and to minimise the risk of the emergency braking phase commencing where not needed (e.g. through a false positive intervention). This means the deceleration can be very rapid and uncomfortable for a driver, especially as the vehicle gets closer to impact, which also serves to discourage drivers from adapting their behaviour to rely on AEB (which is a driver assistance system only) to brake for them. During any phase of action taken by the AEB system (i.e. the warning or emergency braking phases), the driver can at any time through a conscious action (e.g. by a steering action or an accelerator kick-down or operating the direction indicator control), take control and override the system.</w:t>
      </w:r>
    </w:p>
    <w:p w:rsidR="00223F09" w:rsidRPr="007B6E69" w:rsidRDefault="00223F09" w:rsidP="00223F09">
      <w:r w:rsidRPr="007B6E69">
        <w:t>The recognised international standard for AEB for heavy vehicles is the UN Regulation No. 131 (R131) – Uniform provisions concerning the approval of motor vehicles with regard to the Advanced Emergency Braking Systems (AEBS) (UN, 2014b). It is applicable for omnibuses (UN category M</w:t>
      </w:r>
      <w:r w:rsidRPr="007B6E69">
        <w:rPr>
          <w:vertAlign w:val="subscript"/>
        </w:rPr>
        <w:t>2</w:t>
      </w:r>
      <w:r w:rsidRPr="007B6E69">
        <w:t xml:space="preserve"> and M</w:t>
      </w:r>
      <w:r w:rsidRPr="007B6E69">
        <w:rPr>
          <w:vertAlign w:val="subscript"/>
        </w:rPr>
        <w:t>3</w:t>
      </w:r>
      <w:r w:rsidRPr="007B6E69">
        <w:t xml:space="preserve"> vehicles), and goods vehicles with a maximum mass over 3.5 tonnes (UN category N</w:t>
      </w:r>
      <w:r w:rsidRPr="007B6E69">
        <w:rPr>
          <w:vertAlign w:val="subscript"/>
        </w:rPr>
        <w:t>2</w:t>
      </w:r>
      <w:r w:rsidRPr="007B6E69">
        <w:t xml:space="preserve"> and N</w:t>
      </w:r>
      <w:r w:rsidRPr="007B6E69">
        <w:rPr>
          <w:vertAlign w:val="subscript"/>
        </w:rPr>
        <w:t>3</w:t>
      </w:r>
      <w:r w:rsidRPr="007B6E69">
        <w:t xml:space="preserve"> vehicles).</w:t>
      </w:r>
    </w:p>
    <w:p w:rsidR="00223F09" w:rsidRPr="007B6E69" w:rsidRDefault="00223F09" w:rsidP="00223F09">
      <w:pPr>
        <w:rPr>
          <w:highlight w:val="yellow"/>
        </w:rPr>
      </w:pPr>
      <w:r w:rsidRPr="007B6E69">
        <w:t>In the introduction (for information) of UN R131 it is noted that there are sub-groups of vehicles where the benefit is uncertain because they are primarily used in conditions other than highway conditions (e.g. buses with standing passengers, off-road vehicles and construction vehicles), and there are other sub-groups where the installation of AEB would be technically difficult regardless of the benefit (e.g. position of the sensor on off-road vehicles and special purpose vehicles, etc.). This information is provided to assist countries to decide which vehicles (if any) to exempt when incorporating this UN regulation into regional or national law. For example, the EU has exemptions (in EU regional law) from the fitment of AEB for buses with provision for standing passengers, vehicles with more than three axles, vehicles designed for off-road use (UN category G vehicles – as defined in the UN Consolidated Resolution on the Construction of Vehicles) and certain other special purpose vehicles.</w:t>
      </w:r>
    </w:p>
    <w:p w:rsidR="00223F09" w:rsidRPr="007B6E69" w:rsidRDefault="00223F09" w:rsidP="00223F09">
      <w:r w:rsidRPr="007B6E69">
        <w:t>To meet UN R131, an AEB system must be active at vehicle speeds above 15 km/h (unless manually deactivated). If a means (e.g. switch) is provided to manually deactivate the AEB system, the AEB function must be automatically re-instated at the start of each new ignition on (run) cycle, and a constant optical warning must be provided to inform the driver when the AEB system is deactivated.  The performance of the AEB system is assessed in a stationary target test and a moving target test. The target vehicle used for both these tests must be a regular high</w:t>
      </w:r>
      <w:r w:rsidR="00B23B09">
        <w:t>-</w:t>
      </w:r>
      <w:r w:rsidRPr="007B6E69">
        <w:t xml:space="preserve">volume series production passenger car, or a soft target representative of such a vehicle in terms of its identification characteristics. At the start of the functional part of each test the subject vehicle must be travelling at a speed of 80 </w:t>
      </w:r>
      <w:r w:rsidRPr="007B6E69">
        <w:rPr>
          <w:rFonts w:cs="Segoe UI"/>
        </w:rPr>
        <w:t xml:space="preserve">± </w:t>
      </w:r>
      <w:r w:rsidRPr="007B6E69">
        <w:t xml:space="preserve">2 km/h and is at a distance of at least 120 m from the target vehicle. For goods vehicles at least two collision-warning modes must be provided in accordance with </w:t>
      </w:r>
      <w:r w:rsidR="004F675A">
        <w:fldChar w:fldCharType="begin"/>
      </w:r>
      <w:r w:rsidR="004F675A">
        <w:instrText xml:space="preserve"> REF _Ref112147160 \h </w:instrText>
      </w:r>
      <w:r w:rsidR="004F675A">
        <w:fldChar w:fldCharType="separate"/>
      </w:r>
      <w:r w:rsidR="00534814" w:rsidRPr="007B6E69">
        <w:t xml:space="preserve">Table </w:t>
      </w:r>
      <w:r w:rsidR="00534814">
        <w:rPr>
          <w:noProof/>
        </w:rPr>
        <w:t>26</w:t>
      </w:r>
      <w:r w:rsidR="004F675A">
        <w:fldChar w:fldCharType="end"/>
      </w:r>
      <w:r w:rsidRPr="007B6E69">
        <w:t>, before the commencement of the emergency braking phase. Any speed reduction during the warning phase must not exceed either 15 km/h or 30</w:t>
      </w:r>
      <w:r w:rsidR="00803A6C">
        <w:t xml:space="preserve">% </w:t>
      </w:r>
      <w:r w:rsidRPr="007B6E69">
        <w:t>of the total subject vehicle speed reduction, whichever is higher. The emergency braking phase cannot start before the time to collision with the target vehicle is 3.0 seconds or less.</w:t>
      </w:r>
    </w:p>
    <w:p w:rsidR="00223F09" w:rsidRPr="007B6E69" w:rsidRDefault="00D84D3A" w:rsidP="00803A6C">
      <w:pPr>
        <w:pStyle w:val="Caption"/>
        <w:keepNext/>
      </w:pPr>
      <w:bookmarkStart w:id="159" w:name="_Ref112147160"/>
      <w:bookmarkStart w:id="160" w:name="_Toc135320151"/>
      <w:r w:rsidRPr="007B6E69">
        <w:t xml:space="preserve">Table </w:t>
      </w:r>
      <w:fldSimple w:instr=" SEQ Table \* ARABIC ">
        <w:r w:rsidR="00534814">
          <w:rPr>
            <w:noProof/>
          </w:rPr>
          <w:t>26</w:t>
        </w:r>
      </w:fldSimple>
      <w:bookmarkEnd w:id="159"/>
      <w:r w:rsidRPr="007B6E69">
        <w:t xml:space="preserve">: </w:t>
      </w:r>
      <w:r w:rsidR="00223F09" w:rsidRPr="007B6E69">
        <w:t>Summary of UN R131/01 collision warning mode, subject vehicle speed reduction, and moving test target speed requirements for goods vehicles</w:t>
      </w:r>
      <w:bookmarkEnd w:id="160"/>
    </w:p>
    <w:tbl>
      <w:tblPr>
        <w:tblStyle w:val="TableGrid"/>
        <w:tblW w:w="0" w:type="auto"/>
        <w:tblLook w:val="04A0" w:firstRow="1" w:lastRow="0" w:firstColumn="1" w:lastColumn="0" w:noHBand="0" w:noVBand="1"/>
        <w:tblCaption w:val="Table 3"/>
        <w:tblDescription w:val="Table summarising the UN R131/01 collision warning mode, subject vehicle speed reduction, and moving test target speed requirements for goods vehicles."/>
      </w:tblPr>
      <w:tblGrid>
        <w:gridCol w:w="1340"/>
        <w:gridCol w:w="1217"/>
        <w:gridCol w:w="1219"/>
        <w:gridCol w:w="1216"/>
        <w:gridCol w:w="1219"/>
        <w:gridCol w:w="1219"/>
        <w:gridCol w:w="1216"/>
        <w:gridCol w:w="1152"/>
      </w:tblGrid>
      <w:tr w:rsidR="00223F09" w:rsidRPr="007B6E69" w:rsidTr="00F43CC2">
        <w:tc>
          <w:tcPr>
            <w:tcW w:w="1340" w:type="dxa"/>
            <w:vMerge w:val="restart"/>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rsidR="00223F09" w:rsidRPr="007B6E69" w:rsidRDefault="00223F09" w:rsidP="00237D88">
            <w:pPr>
              <w:rPr>
                <w:b/>
                <w:color w:val="FFFFFF" w:themeColor="background1"/>
              </w:rPr>
            </w:pPr>
            <w:r w:rsidRPr="007B6E69">
              <w:rPr>
                <w:b/>
                <w:color w:val="FFFFFF" w:themeColor="background1"/>
              </w:rPr>
              <w:t>Subject vehicle</w:t>
            </w:r>
          </w:p>
        </w:tc>
        <w:tc>
          <w:tcPr>
            <w:tcW w:w="3652" w:type="dxa"/>
            <w:gridSpan w:val="3"/>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rsidR="00223F09" w:rsidRPr="007B6E69" w:rsidRDefault="00223F09" w:rsidP="00237D88">
            <w:pPr>
              <w:rPr>
                <w:b/>
                <w:color w:val="FFFFFF" w:themeColor="background1"/>
              </w:rPr>
            </w:pPr>
            <w:r w:rsidRPr="007B6E69">
              <w:rPr>
                <w:b/>
                <w:color w:val="FFFFFF" w:themeColor="background1"/>
              </w:rPr>
              <w:t>Stationary Target</w:t>
            </w:r>
          </w:p>
        </w:tc>
        <w:tc>
          <w:tcPr>
            <w:tcW w:w="4806" w:type="dxa"/>
            <w:gridSpan w:val="4"/>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rsidR="00223F09" w:rsidRPr="007B6E69" w:rsidRDefault="00223F09" w:rsidP="00237D88">
            <w:pPr>
              <w:rPr>
                <w:b/>
                <w:color w:val="FFFFFF" w:themeColor="background1"/>
              </w:rPr>
            </w:pPr>
            <w:r w:rsidRPr="007B6E69">
              <w:rPr>
                <w:b/>
                <w:color w:val="FFFFFF" w:themeColor="background1"/>
              </w:rPr>
              <w:t>Moving Target</w:t>
            </w:r>
          </w:p>
        </w:tc>
      </w:tr>
      <w:tr w:rsidR="00223F09" w:rsidRPr="007B6E69" w:rsidTr="00F43CC2">
        <w:tc>
          <w:tcPr>
            <w:tcW w:w="1340" w:type="dxa"/>
            <w:vMerge/>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rsidR="00223F09" w:rsidRPr="007B6E69" w:rsidRDefault="00223F09" w:rsidP="00237D88">
            <w:pPr>
              <w:rPr>
                <w:b/>
                <w:color w:val="FFFFFF" w:themeColor="background1"/>
              </w:rPr>
            </w:pPr>
          </w:p>
        </w:tc>
        <w:tc>
          <w:tcPr>
            <w:tcW w:w="2436" w:type="dxa"/>
            <w:gridSpan w:val="2"/>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rsidR="00223F09" w:rsidRPr="007B6E69" w:rsidRDefault="00223F09" w:rsidP="00237D88">
            <w:pPr>
              <w:rPr>
                <w:b/>
                <w:color w:val="FFFFFF" w:themeColor="background1"/>
              </w:rPr>
            </w:pPr>
            <w:r w:rsidRPr="007B6E69">
              <w:rPr>
                <w:b/>
                <w:color w:val="FFFFFF" w:themeColor="background1"/>
              </w:rPr>
              <w:t>Timing of warning modes/means</w:t>
            </w:r>
          </w:p>
        </w:tc>
        <w:tc>
          <w:tcPr>
            <w:tcW w:w="1216" w:type="dxa"/>
            <w:vMerge w:val="restart"/>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rsidR="00223F09" w:rsidRPr="007B6E69" w:rsidRDefault="00223F09" w:rsidP="00237D88">
            <w:pPr>
              <w:rPr>
                <w:b/>
                <w:color w:val="FFFFFF" w:themeColor="background1"/>
              </w:rPr>
            </w:pPr>
            <w:r w:rsidRPr="007B6E69">
              <w:rPr>
                <w:b/>
                <w:color w:val="FFFFFF" w:themeColor="background1"/>
              </w:rPr>
              <w:t>Speed Reduction</w:t>
            </w:r>
          </w:p>
        </w:tc>
        <w:tc>
          <w:tcPr>
            <w:tcW w:w="2438" w:type="dxa"/>
            <w:gridSpan w:val="2"/>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rsidR="00223F09" w:rsidRPr="007B6E69" w:rsidRDefault="00223F09" w:rsidP="00237D88">
            <w:pPr>
              <w:rPr>
                <w:b/>
                <w:color w:val="FFFFFF" w:themeColor="background1"/>
              </w:rPr>
            </w:pPr>
            <w:r w:rsidRPr="007B6E69">
              <w:rPr>
                <w:b/>
                <w:color w:val="FFFFFF" w:themeColor="background1"/>
              </w:rPr>
              <w:t>Timing of warning modes/means</w:t>
            </w:r>
          </w:p>
        </w:tc>
        <w:tc>
          <w:tcPr>
            <w:tcW w:w="1216" w:type="dxa"/>
            <w:vMerge w:val="restart"/>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rsidR="00223F09" w:rsidRPr="007B6E69" w:rsidRDefault="00223F09" w:rsidP="00237D88">
            <w:pPr>
              <w:rPr>
                <w:b/>
                <w:color w:val="FFFFFF" w:themeColor="background1"/>
              </w:rPr>
            </w:pPr>
            <w:r w:rsidRPr="007B6E69">
              <w:rPr>
                <w:b/>
                <w:color w:val="FFFFFF" w:themeColor="background1"/>
              </w:rPr>
              <w:t>Speed Reduction</w:t>
            </w:r>
          </w:p>
        </w:tc>
        <w:tc>
          <w:tcPr>
            <w:tcW w:w="1152" w:type="dxa"/>
            <w:vMerge w:val="restart"/>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rsidR="00223F09" w:rsidRPr="007B6E69" w:rsidRDefault="00223F09" w:rsidP="00237D88">
            <w:pPr>
              <w:rPr>
                <w:b/>
                <w:color w:val="FFFFFF" w:themeColor="background1"/>
              </w:rPr>
            </w:pPr>
            <w:r w:rsidRPr="007B6E69">
              <w:rPr>
                <w:b/>
                <w:color w:val="FFFFFF" w:themeColor="background1"/>
              </w:rPr>
              <w:t>Target Speed</w:t>
            </w:r>
          </w:p>
        </w:tc>
      </w:tr>
      <w:tr w:rsidR="00223F09" w:rsidRPr="007B6E69" w:rsidTr="00F43CC2">
        <w:trPr>
          <w:trHeight w:val="70"/>
        </w:trPr>
        <w:tc>
          <w:tcPr>
            <w:tcW w:w="1340" w:type="dxa"/>
            <w:vMerge/>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rsidR="00223F09" w:rsidRPr="007B6E69" w:rsidRDefault="00223F09" w:rsidP="00237D88"/>
        </w:tc>
        <w:tc>
          <w:tcPr>
            <w:tcW w:w="1217"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rsidR="00223F09" w:rsidRPr="007B6E69" w:rsidRDefault="00223F09" w:rsidP="00237D88">
            <w:pPr>
              <w:rPr>
                <w:b/>
                <w:color w:val="FFFFFF" w:themeColor="background1"/>
              </w:rPr>
            </w:pPr>
            <w:r w:rsidRPr="007B6E69">
              <w:rPr>
                <w:b/>
                <w:color w:val="FFFFFF" w:themeColor="background1"/>
              </w:rPr>
              <w:t>At least 1</w:t>
            </w:r>
          </w:p>
        </w:tc>
        <w:tc>
          <w:tcPr>
            <w:tcW w:w="1219"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rsidR="00223F09" w:rsidRPr="007B6E69" w:rsidRDefault="00223F09" w:rsidP="00237D88">
            <w:pPr>
              <w:rPr>
                <w:b/>
                <w:color w:val="FFFFFF" w:themeColor="background1"/>
              </w:rPr>
            </w:pPr>
            <w:r w:rsidRPr="007B6E69">
              <w:rPr>
                <w:b/>
                <w:color w:val="FFFFFF" w:themeColor="background1"/>
              </w:rPr>
              <w:t>At least 2</w:t>
            </w:r>
          </w:p>
        </w:tc>
        <w:tc>
          <w:tcPr>
            <w:tcW w:w="1216" w:type="dxa"/>
            <w:vMerge/>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00000" w:themeFill="text1"/>
          </w:tcPr>
          <w:p w:rsidR="00223F09" w:rsidRPr="007B6E69" w:rsidRDefault="00223F09" w:rsidP="00237D88">
            <w:pPr>
              <w:rPr>
                <w:b/>
                <w:color w:val="FFFFFF" w:themeColor="background1"/>
              </w:rPr>
            </w:pPr>
          </w:p>
        </w:tc>
        <w:tc>
          <w:tcPr>
            <w:tcW w:w="1219"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rsidR="00223F09" w:rsidRPr="007B6E69" w:rsidRDefault="00223F09" w:rsidP="00237D88">
            <w:pPr>
              <w:rPr>
                <w:b/>
                <w:color w:val="FFFFFF" w:themeColor="background1"/>
              </w:rPr>
            </w:pPr>
            <w:r w:rsidRPr="007B6E69">
              <w:rPr>
                <w:b/>
                <w:color w:val="FFFFFF" w:themeColor="background1"/>
              </w:rPr>
              <w:t>At least 1</w:t>
            </w:r>
          </w:p>
        </w:tc>
        <w:tc>
          <w:tcPr>
            <w:tcW w:w="1219"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shd w:val="clear" w:color="auto" w:fill="0D3064" w:themeFill="accent1" w:themeFillTint="E6"/>
          </w:tcPr>
          <w:p w:rsidR="00223F09" w:rsidRPr="007B6E69" w:rsidRDefault="00223F09" w:rsidP="00237D88">
            <w:pPr>
              <w:rPr>
                <w:b/>
                <w:color w:val="FFFFFF" w:themeColor="background1"/>
              </w:rPr>
            </w:pPr>
            <w:r w:rsidRPr="007B6E69">
              <w:rPr>
                <w:b/>
                <w:color w:val="FFFFFF" w:themeColor="background1"/>
              </w:rPr>
              <w:t>At least 2</w:t>
            </w:r>
          </w:p>
        </w:tc>
        <w:tc>
          <w:tcPr>
            <w:tcW w:w="1216" w:type="dxa"/>
            <w:vMerge/>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rsidR="00223F09" w:rsidRPr="007B6E69" w:rsidRDefault="00223F09" w:rsidP="00237D88"/>
        </w:tc>
        <w:tc>
          <w:tcPr>
            <w:tcW w:w="1152" w:type="dxa"/>
            <w:vMerge/>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rsidR="00223F09" w:rsidRPr="007B6E69" w:rsidRDefault="00223F09" w:rsidP="00237D88"/>
        </w:tc>
      </w:tr>
      <w:tr w:rsidR="00223F09" w:rsidRPr="007B6E69" w:rsidTr="00237D88">
        <w:tc>
          <w:tcPr>
            <w:tcW w:w="1340"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rsidR="00223F09" w:rsidRPr="007B6E69" w:rsidRDefault="00223F09" w:rsidP="00237D88">
            <w:pPr>
              <w:rPr>
                <w:vertAlign w:val="superscript"/>
              </w:rPr>
            </w:pPr>
            <w:r w:rsidRPr="007B6E69">
              <w:t>Goods vehicles &gt; 8 tonnes</w:t>
            </w:r>
            <w:r w:rsidRPr="007B6E69">
              <w:rPr>
                <w:vertAlign w:val="superscript"/>
              </w:rPr>
              <w:t>1</w:t>
            </w:r>
          </w:p>
        </w:tc>
        <w:tc>
          <w:tcPr>
            <w:tcW w:w="1217"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rsidR="00223F09" w:rsidRPr="007B6E69" w:rsidRDefault="00223F09" w:rsidP="00237D88">
            <w:r w:rsidRPr="007B6E69">
              <w:t>At least 1.4 s before the start of emergency braking</w:t>
            </w:r>
          </w:p>
        </w:tc>
        <w:tc>
          <w:tcPr>
            <w:tcW w:w="1219"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rsidR="00223F09" w:rsidRPr="007B6E69" w:rsidRDefault="00223F09" w:rsidP="00237D88">
            <w:r w:rsidRPr="007B6E69">
              <w:t>At least 0.8 s before the start of emergency braking</w:t>
            </w:r>
          </w:p>
        </w:tc>
        <w:tc>
          <w:tcPr>
            <w:tcW w:w="1216"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rsidR="00223F09" w:rsidRPr="007B6E69" w:rsidRDefault="00223F09" w:rsidP="00237D88">
            <w:r w:rsidRPr="007B6E69">
              <w:t>At least 20 km/h</w:t>
            </w:r>
          </w:p>
        </w:tc>
        <w:tc>
          <w:tcPr>
            <w:tcW w:w="1219"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rsidR="00223F09" w:rsidRPr="007B6E69" w:rsidRDefault="00223F09" w:rsidP="00237D88">
            <w:r w:rsidRPr="007B6E69">
              <w:t>At least 1.4 s before the start of emergency braking</w:t>
            </w:r>
          </w:p>
        </w:tc>
        <w:tc>
          <w:tcPr>
            <w:tcW w:w="1219"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rsidR="00223F09" w:rsidRPr="007B6E69" w:rsidRDefault="00223F09" w:rsidP="00237D88">
            <w:r w:rsidRPr="007B6E69">
              <w:t>At least 0.8 s before the start of emergency braking</w:t>
            </w:r>
          </w:p>
        </w:tc>
        <w:tc>
          <w:tcPr>
            <w:tcW w:w="1216"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rsidR="00223F09" w:rsidRPr="007B6E69" w:rsidRDefault="00223F09" w:rsidP="00237D88">
            <w:r w:rsidRPr="007B6E69">
              <w:t>No impact</w:t>
            </w:r>
          </w:p>
        </w:tc>
        <w:tc>
          <w:tcPr>
            <w:tcW w:w="1152"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rsidR="00223F09" w:rsidRPr="007B6E69" w:rsidRDefault="00223F09" w:rsidP="00237D88">
            <w:r w:rsidRPr="007B6E69">
              <w:t xml:space="preserve">12 </w:t>
            </w:r>
            <w:r w:rsidRPr="007B6E69">
              <w:rPr>
                <w:rFonts w:cs="Segoe UI"/>
              </w:rPr>
              <w:t xml:space="preserve">± </w:t>
            </w:r>
            <w:r w:rsidRPr="007B6E69">
              <w:t>2 km/h</w:t>
            </w:r>
          </w:p>
        </w:tc>
      </w:tr>
      <w:tr w:rsidR="00223F09" w:rsidRPr="007B6E69" w:rsidTr="00237D88">
        <w:tc>
          <w:tcPr>
            <w:tcW w:w="1340"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rsidR="00223F09" w:rsidRPr="007B6E69" w:rsidRDefault="00223F09" w:rsidP="00237D88">
            <w:pPr>
              <w:rPr>
                <w:vertAlign w:val="superscript"/>
              </w:rPr>
            </w:pPr>
            <w:r w:rsidRPr="007B6E69">
              <w:t xml:space="preserve">Goods vehicles </w:t>
            </w:r>
            <w:r w:rsidRPr="007B6E69">
              <w:br/>
              <w:t xml:space="preserve">&gt; 3.5 tonnes and </w:t>
            </w:r>
            <w:r w:rsidRPr="007B6E69">
              <w:rPr>
                <w:rFonts w:cs="Segoe UI"/>
              </w:rPr>
              <w:t>≤</w:t>
            </w:r>
            <w:r w:rsidRPr="007B6E69">
              <w:t> 8 tonnes</w:t>
            </w:r>
            <w:r w:rsidRPr="007B6E69">
              <w:rPr>
                <w:vertAlign w:val="superscript"/>
              </w:rPr>
              <w:t>2,3,4</w:t>
            </w:r>
          </w:p>
        </w:tc>
        <w:tc>
          <w:tcPr>
            <w:tcW w:w="1217"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rsidR="00223F09" w:rsidRPr="007B6E69" w:rsidRDefault="00223F09" w:rsidP="00237D88">
            <w:r w:rsidRPr="007B6E69">
              <w:t>At least 0.8 s before the start of emergency braking</w:t>
            </w:r>
          </w:p>
        </w:tc>
        <w:tc>
          <w:tcPr>
            <w:tcW w:w="1219"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rsidR="00223F09" w:rsidRPr="007B6E69" w:rsidRDefault="00223F09" w:rsidP="00237D88">
            <w:r w:rsidRPr="007B6E69">
              <w:t>Before the start of emergency braking</w:t>
            </w:r>
          </w:p>
        </w:tc>
        <w:tc>
          <w:tcPr>
            <w:tcW w:w="1216"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rsidR="00223F09" w:rsidRPr="007B6E69" w:rsidRDefault="00223F09" w:rsidP="00237D88">
            <w:r w:rsidRPr="007B6E69">
              <w:t>At least 10 km/h</w:t>
            </w:r>
          </w:p>
        </w:tc>
        <w:tc>
          <w:tcPr>
            <w:tcW w:w="1219"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rsidR="00223F09" w:rsidRPr="007B6E69" w:rsidRDefault="00223F09" w:rsidP="00237D88">
            <w:r w:rsidRPr="007B6E69">
              <w:t>At least 0.8 s before the start of emergency braking</w:t>
            </w:r>
          </w:p>
        </w:tc>
        <w:tc>
          <w:tcPr>
            <w:tcW w:w="1219"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rsidR="00223F09" w:rsidRPr="007B6E69" w:rsidRDefault="00223F09" w:rsidP="00237D88">
            <w:r w:rsidRPr="007B6E69">
              <w:t>Before the start of emergency braking</w:t>
            </w:r>
          </w:p>
        </w:tc>
        <w:tc>
          <w:tcPr>
            <w:tcW w:w="1216"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rsidR="00223F09" w:rsidRPr="007B6E69" w:rsidRDefault="00223F09" w:rsidP="00237D88">
            <w:r w:rsidRPr="007B6E69">
              <w:t>No impact</w:t>
            </w:r>
          </w:p>
        </w:tc>
        <w:tc>
          <w:tcPr>
            <w:tcW w:w="1152" w:type="dxa"/>
            <w:tc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tcBorders>
          </w:tcPr>
          <w:p w:rsidR="00223F09" w:rsidRPr="007B6E69" w:rsidRDefault="00223F09" w:rsidP="00237D88">
            <w:r w:rsidRPr="007B6E69">
              <w:t xml:space="preserve">67 </w:t>
            </w:r>
            <w:r w:rsidRPr="007B6E69">
              <w:rPr>
                <w:rFonts w:cs="Segoe UI"/>
              </w:rPr>
              <w:t xml:space="preserve">± </w:t>
            </w:r>
            <w:r w:rsidRPr="007B6E69">
              <w:t>2 km/h</w:t>
            </w:r>
          </w:p>
        </w:tc>
      </w:tr>
      <w:tr w:rsidR="00223F09" w:rsidRPr="007B6E69" w:rsidTr="00237D88">
        <w:trPr>
          <w:trHeight w:val="57"/>
        </w:trPr>
        <w:tc>
          <w:tcPr>
            <w:tcW w:w="9798" w:type="dxa"/>
            <w:gridSpan w:val="8"/>
            <w:tcBorders>
              <w:top w:val="single" w:sz="4" w:space="0" w:color="ADADAD" w:themeColor="background2" w:themeShade="BF"/>
              <w:left w:val="nil"/>
              <w:bottom w:val="nil"/>
              <w:right w:val="nil"/>
            </w:tcBorders>
          </w:tcPr>
          <w:p w:rsidR="00223F09" w:rsidRPr="007B6E69" w:rsidRDefault="00223F09" w:rsidP="00237D88">
            <w:pPr>
              <w:spacing w:before="40" w:after="40"/>
              <w:rPr>
                <w:sz w:val="18"/>
                <w:szCs w:val="18"/>
              </w:rPr>
            </w:pPr>
            <w:r w:rsidRPr="007B6E69">
              <w:rPr>
                <w:sz w:val="18"/>
                <w:szCs w:val="18"/>
                <w:vertAlign w:val="superscript"/>
              </w:rPr>
              <w:t>1</w:t>
            </w:r>
            <w:r w:rsidRPr="007B6E69">
              <w:rPr>
                <w:sz w:val="18"/>
                <w:szCs w:val="18"/>
              </w:rPr>
              <w:t xml:space="preserve"> For goods vehicles &gt; 8 tonnes, the acceptable warning modes/means are acoustic and haptic (e.g. vibration of the steering wheel).</w:t>
            </w:r>
          </w:p>
        </w:tc>
      </w:tr>
      <w:tr w:rsidR="00223F09" w:rsidRPr="007B6E69" w:rsidTr="00237D88">
        <w:trPr>
          <w:trHeight w:val="57"/>
        </w:trPr>
        <w:tc>
          <w:tcPr>
            <w:tcW w:w="9798" w:type="dxa"/>
            <w:gridSpan w:val="8"/>
            <w:tcBorders>
              <w:top w:val="nil"/>
              <w:left w:val="nil"/>
              <w:bottom w:val="nil"/>
              <w:right w:val="nil"/>
            </w:tcBorders>
          </w:tcPr>
          <w:p w:rsidR="00223F09" w:rsidRPr="007B6E69" w:rsidRDefault="00223F09" w:rsidP="00237D88">
            <w:pPr>
              <w:spacing w:before="40" w:after="40"/>
              <w:rPr>
                <w:sz w:val="18"/>
                <w:szCs w:val="18"/>
              </w:rPr>
            </w:pPr>
            <w:r w:rsidRPr="007B6E69">
              <w:rPr>
                <w:sz w:val="18"/>
                <w:szCs w:val="18"/>
                <w:vertAlign w:val="superscript"/>
              </w:rPr>
              <w:t>2</w:t>
            </w:r>
            <w:r w:rsidRPr="007B6E69">
              <w:rPr>
                <w:sz w:val="18"/>
                <w:szCs w:val="18"/>
              </w:rPr>
              <w:t xml:space="preserve"> For goods vehicles &gt; 3.5 tonnes and </w:t>
            </w:r>
            <w:r w:rsidRPr="007B6E69">
              <w:rPr>
                <w:rFonts w:cs="Segoe UI"/>
                <w:sz w:val="18"/>
                <w:szCs w:val="18"/>
              </w:rPr>
              <w:t>≤</w:t>
            </w:r>
            <w:r w:rsidRPr="007B6E69">
              <w:rPr>
                <w:sz w:val="18"/>
                <w:szCs w:val="18"/>
              </w:rPr>
              <w:t> 8 tonnes, the acceptable warning modes/means are acoustic, haptic and visual.</w:t>
            </w:r>
          </w:p>
        </w:tc>
      </w:tr>
      <w:tr w:rsidR="00223F09" w:rsidRPr="007B6E69" w:rsidTr="00237D88">
        <w:trPr>
          <w:trHeight w:val="57"/>
        </w:trPr>
        <w:tc>
          <w:tcPr>
            <w:tcW w:w="9798" w:type="dxa"/>
            <w:gridSpan w:val="8"/>
            <w:tcBorders>
              <w:top w:val="nil"/>
              <w:left w:val="nil"/>
              <w:bottom w:val="nil"/>
              <w:right w:val="nil"/>
            </w:tcBorders>
          </w:tcPr>
          <w:p w:rsidR="00223F09" w:rsidRPr="007B6E69" w:rsidRDefault="00223F09" w:rsidP="00237D88">
            <w:pPr>
              <w:spacing w:before="40" w:after="40"/>
              <w:rPr>
                <w:sz w:val="18"/>
                <w:szCs w:val="18"/>
              </w:rPr>
            </w:pPr>
            <w:r w:rsidRPr="007B6E69">
              <w:rPr>
                <w:sz w:val="18"/>
                <w:szCs w:val="18"/>
                <w:vertAlign w:val="superscript"/>
              </w:rPr>
              <w:t>3</w:t>
            </w:r>
            <w:r w:rsidRPr="007B6E69">
              <w:rPr>
                <w:sz w:val="18"/>
                <w:szCs w:val="18"/>
              </w:rPr>
              <w:t xml:space="preserve"> All vehicles with pneumatic brake systems must meet the requirements for goods vehicles &gt; 8 tonnes.</w:t>
            </w:r>
          </w:p>
        </w:tc>
      </w:tr>
      <w:tr w:rsidR="00223F09" w:rsidRPr="007B6E69" w:rsidTr="00237D88">
        <w:trPr>
          <w:trHeight w:val="57"/>
        </w:trPr>
        <w:tc>
          <w:tcPr>
            <w:tcW w:w="9798" w:type="dxa"/>
            <w:gridSpan w:val="8"/>
            <w:tcBorders>
              <w:top w:val="nil"/>
              <w:left w:val="nil"/>
              <w:bottom w:val="nil"/>
              <w:right w:val="nil"/>
            </w:tcBorders>
          </w:tcPr>
          <w:p w:rsidR="00223F09" w:rsidRPr="007B6E69" w:rsidRDefault="00223F09" w:rsidP="00237D88">
            <w:pPr>
              <w:spacing w:before="40" w:after="40"/>
              <w:rPr>
                <w:sz w:val="18"/>
                <w:szCs w:val="18"/>
              </w:rPr>
            </w:pPr>
            <w:r w:rsidRPr="007B6E69">
              <w:rPr>
                <w:sz w:val="18"/>
                <w:szCs w:val="18"/>
                <w:vertAlign w:val="superscript"/>
              </w:rPr>
              <w:t>4</w:t>
            </w:r>
            <w:r w:rsidRPr="007B6E69">
              <w:rPr>
                <w:sz w:val="18"/>
                <w:szCs w:val="18"/>
              </w:rPr>
              <w:t xml:space="preserve"> Goods vehicles &gt; 3.5 tonnes and </w:t>
            </w:r>
            <w:r w:rsidRPr="007B6E69">
              <w:rPr>
                <w:rFonts w:cs="Segoe UI"/>
                <w:sz w:val="18"/>
                <w:szCs w:val="18"/>
              </w:rPr>
              <w:t>≤</w:t>
            </w:r>
            <w:r w:rsidRPr="007B6E69">
              <w:rPr>
                <w:sz w:val="18"/>
                <w:szCs w:val="18"/>
              </w:rPr>
              <w:t> 8 tonnes may be certified to the requirements for goods vehicles &gt; 8 tonnes in which case the requirements of the first row apply.</w:t>
            </w:r>
          </w:p>
        </w:tc>
      </w:tr>
    </w:tbl>
    <w:p w:rsidR="00223F09" w:rsidRPr="007B6E69" w:rsidRDefault="00223F09" w:rsidP="00223F09">
      <w:r w:rsidRPr="007B6E69">
        <w:t>UN R131 also includes failure warning signal, deactivation warning signal, and false reaction tests for the AEB system. In the false reaction test, the subject vehicle is driven for a distance of at least 60 m, at a constant speed of 50 ± 2 km/h to pass centrally between two stationary passenger cars, a distance of 4.5 m apart and facing in the same direction of travel as the subject vehicle. To pass this test, the subject vehicle must not provide any collision warning or initiate any emergency braking phase/response.</w:t>
      </w:r>
    </w:p>
    <w:p w:rsidR="00223F09" w:rsidRPr="007B6E69" w:rsidRDefault="00223F09" w:rsidP="00223F09"/>
    <w:p w:rsidR="00223F09" w:rsidRPr="007B6E69" w:rsidRDefault="00223F09" w:rsidP="00223F09">
      <w:pPr>
        <w:sectPr w:rsidR="00223F09" w:rsidRPr="007B6E69" w:rsidSect="00237D88">
          <w:pgSz w:w="11906" w:h="16838" w:code="9"/>
          <w:pgMar w:top="2835" w:right="1049" w:bottom="1701" w:left="1049" w:header="1276" w:footer="709" w:gutter="0"/>
          <w:cols w:space="708"/>
          <w:docGrid w:linePitch="360"/>
        </w:sectPr>
      </w:pPr>
    </w:p>
    <w:p w:rsidR="00223F09" w:rsidRPr="007B6E69" w:rsidRDefault="00197BA7" w:rsidP="00E13D3A">
      <w:pPr>
        <w:pStyle w:val="AppendixHeading1"/>
      </w:pPr>
      <w:bookmarkStart w:id="161" w:name="_Toc67060918"/>
      <w:bookmarkStart w:id="162" w:name="_Toc111576735"/>
      <w:bookmarkStart w:id="163" w:name="_Toc138065730"/>
      <w:r w:rsidRPr="007B6E69">
        <w:t xml:space="preserve">Appendix </w:t>
      </w:r>
      <w:r w:rsidR="008B1541">
        <w:t>8</w:t>
      </w:r>
      <w:r w:rsidRPr="007B6E69">
        <w:t xml:space="preserve"> – </w:t>
      </w:r>
      <w:r w:rsidR="00223F09" w:rsidRPr="007B6E69">
        <w:t>Lane Departure Warning Systems</w:t>
      </w:r>
      <w:bookmarkEnd w:id="127"/>
      <w:bookmarkEnd w:id="153"/>
      <w:bookmarkEnd w:id="161"/>
      <w:bookmarkEnd w:id="162"/>
      <w:bookmarkEnd w:id="163"/>
    </w:p>
    <w:p w:rsidR="00223F09" w:rsidRPr="007B6E69" w:rsidRDefault="00223F09" w:rsidP="00223F09">
      <w:r w:rsidRPr="007B6E69">
        <w:t xml:space="preserve">Lane Departure Warning Systems (LDWS) are designed to warn a drowsy or otherwise distracted or inattentive driver of an unintentional drift of the vehicle out of its travel lane. LDWS typically use camera and/or radar sensors to constantly monitor lane markings on the road ahead to detect any unintentional drift of the vehicle out of its lane. When an LDWS detects an unintentional lane departure, it will warn the driver using an escalating combination of visual, audible, and/or haptic (e.g. steering wheel vibration) alerts. LDWS will not provide a warning and will automatically deactivate, when the direction indicator is used. LDWS will usually also automatically deactivate when the vehicle is travelling along a road where the sensors cannot detect lane markings. </w:t>
      </w:r>
    </w:p>
    <w:p w:rsidR="00223F09" w:rsidRPr="007B6E69" w:rsidRDefault="00223F09" w:rsidP="00223F09">
      <w:r w:rsidRPr="007B6E69">
        <w:t>The recognised international standard for LDWS for heavy vehicles is UN Regulation No. 130 (R130) – Uniform provisions concerning the approval of motor vehicles with regard to the Lane Departure Warning System (LDWS). It is applicable for omnibuses (UN category M</w:t>
      </w:r>
      <w:r w:rsidRPr="007B6E69">
        <w:rPr>
          <w:vertAlign w:val="subscript"/>
        </w:rPr>
        <w:t>2</w:t>
      </w:r>
      <w:r w:rsidRPr="007B6E69">
        <w:t xml:space="preserve"> and M</w:t>
      </w:r>
      <w:r w:rsidRPr="007B6E69">
        <w:rPr>
          <w:vertAlign w:val="subscript"/>
        </w:rPr>
        <w:t>3</w:t>
      </w:r>
      <w:r w:rsidRPr="007B6E69">
        <w:t xml:space="preserve"> vehicles), and goods vehicles with a maximum mass over 3.5 tonnes (UN category N</w:t>
      </w:r>
      <w:r w:rsidRPr="007B6E69">
        <w:rPr>
          <w:vertAlign w:val="subscript"/>
        </w:rPr>
        <w:t>2</w:t>
      </w:r>
      <w:r w:rsidRPr="007B6E69">
        <w:t xml:space="preserve"> and N</w:t>
      </w:r>
      <w:r w:rsidRPr="007B6E69">
        <w:rPr>
          <w:vertAlign w:val="subscript"/>
        </w:rPr>
        <w:t>3</w:t>
      </w:r>
      <w:r w:rsidRPr="007B6E69">
        <w:t xml:space="preserve"> vehicles).</w:t>
      </w:r>
    </w:p>
    <w:p w:rsidR="00223F09" w:rsidRPr="007B6E69" w:rsidRDefault="00223F09" w:rsidP="00223F09">
      <w:pPr>
        <w:rPr>
          <w:highlight w:val="yellow"/>
        </w:rPr>
      </w:pPr>
      <w:r w:rsidRPr="007B6E69">
        <w:t>In the introduction (for information) of UN R130 it is noted that there are sub-groups of vehicles where the benefit is uncertain because they are primarily used in conditions other than highway conditions (e.g. buses with standing passengers, off-road vehicles and construction vehicles), and there are other sub-groups where the installation of LDWS would be technically difficult regardless of the benefit (e.g. vehicles equipped with  split windshields, asymmetrical cabs, windshield of high thickness, front hood vehicles, vehicles with front mounted equipment, etc.). This information is provided to assist countries to decide which vehicles (if any) to exempt when incorporating this UN regulation into regional or national law. For example, the EU has exemptions (in EU regional law) from the fitment of LDWS for buses with provision for standing passengers, vehicles with more than three axles, vehicles designed for off-road use (UN category G vehicles – as defined in the UN Consolidated Resolution on the Construction of Vehicles) and certain other special purpose vehicles.</w:t>
      </w:r>
    </w:p>
    <w:p w:rsidR="00223F09" w:rsidRPr="007B6E69" w:rsidRDefault="00223F09" w:rsidP="00223F09">
      <w:pPr>
        <w:rPr>
          <w:highlight w:val="yellow"/>
        </w:rPr>
      </w:pPr>
      <w:r w:rsidRPr="007B6E69">
        <w:t xml:space="preserve">To meet UN R130, a LDWS must be active at vehicle speeds above 60 km/h (unless manually deactivated). If a means (e.g. switch) is provided to manually deactivate the LDWS, the LDWS function must be automatically </w:t>
      </w:r>
      <w:r w:rsidRPr="007B6E69">
        <w:br/>
        <w:t xml:space="preserve">re-instated at the start of each new ignition on (run) cycle, and a constant optical warning must be provided to inform the driver when the LDWS is deactivated. The LDWS is required (when active) to warn the driver if the vehicle crosses over a visible lane marking, when there has been no purposeful demand to do so (including for both straight sections, and curved sections having an inner lane marking with a radius </w:t>
      </w:r>
      <w:r w:rsidRPr="007B6E69">
        <w:rPr>
          <w:rFonts w:cs="Segoe UI"/>
        </w:rPr>
        <w:t>≥</w:t>
      </w:r>
      <w:r w:rsidRPr="007B6E69">
        <w:t xml:space="preserve"> 250 m). The performance of the LDWS is assessed in a series of four tests conducted at a speed of 65 </w:t>
      </w:r>
      <w:r w:rsidRPr="007B6E69">
        <w:rPr>
          <w:rFonts w:cs="Segoe UI"/>
        </w:rPr>
        <w:t>±</w:t>
      </w:r>
      <w:r w:rsidRPr="007B6E69">
        <w:t xml:space="preserve"> 3 km/h. Two of these tests are performed by gently drifting the vehicle to the left, so that the vehicle crosses the lane markings at two different rates of departure within the range 0.1 to 0.8 m/s. The other two tests are performed by gently drifting the vehicle to the right, so that the vehicle crosses the lane markings at two different rates of departure within the range 0.1 to 0.8 m/s. In all tests, the required lane departure warnings must be provided before the outside of the tyre on the front wheel closest to the lane markings passes more than 0.3 m beyond the outside edge of the lane markings. UN R130 also includes failure warning signal and deactivation warning signal tests for the LDWS.</w:t>
      </w:r>
    </w:p>
    <w:p w:rsidR="00223F09" w:rsidRPr="007B6E69" w:rsidRDefault="00223F09" w:rsidP="00223F09"/>
    <w:p w:rsidR="00223F09" w:rsidRPr="007B6E69" w:rsidRDefault="00223F09" w:rsidP="00223F09">
      <w:pPr>
        <w:sectPr w:rsidR="00223F09" w:rsidRPr="007B6E69" w:rsidSect="00237D88">
          <w:pgSz w:w="11906" w:h="16838" w:code="9"/>
          <w:pgMar w:top="2835" w:right="1049" w:bottom="1701" w:left="1049" w:header="1276" w:footer="709" w:gutter="0"/>
          <w:cols w:space="708"/>
          <w:docGrid w:linePitch="360"/>
        </w:sectPr>
      </w:pPr>
    </w:p>
    <w:p w:rsidR="00223F09" w:rsidRPr="007B6E69" w:rsidRDefault="00197BA7" w:rsidP="00E13D3A">
      <w:pPr>
        <w:pStyle w:val="AppendixHeading1"/>
      </w:pPr>
      <w:bookmarkStart w:id="164" w:name="_Toc54095113"/>
      <w:bookmarkStart w:id="165" w:name="_Toc54275953"/>
      <w:bookmarkStart w:id="166" w:name="_Toc67060919"/>
      <w:bookmarkStart w:id="167" w:name="_Toc111576736"/>
      <w:bookmarkStart w:id="168" w:name="_Toc138065731"/>
      <w:bookmarkStart w:id="169" w:name="_Toc54095111"/>
      <w:r w:rsidRPr="007B6E69">
        <w:t xml:space="preserve">Appendix </w:t>
      </w:r>
      <w:r w:rsidR="008B1541">
        <w:t>9</w:t>
      </w:r>
      <w:r w:rsidRPr="007B6E69">
        <w:t xml:space="preserve"> – </w:t>
      </w:r>
      <w:r w:rsidR="00223F09" w:rsidRPr="007B6E69">
        <w:t>Blind Spot Information Systems</w:t>
      </w:r>
      <w:bookmarkEnd w:id="164"/>
      <w:bookmarkEnd w:id="165"/>
      <w:bookmarkEnd w:id="166"/>
      <w:bookmarkEnd w:id="167"/>
      <w:bookmarkEnd w:id="168"/>
    </w:p>
    <w:p w:rsidR="00223F09" w:rsidRPr="007B6E69" w:rsidRDefault="00223F09" w:rsidP="00223F09">
      <w:r w:rsidRPr="007B6E69">
        <w:t>Blind Spot Information Systems (BSIS) are designed to inform the driver of a possible collision with another road user (e.g. vehicle, motorcycle, bicycle, or pedestrian) in close-proximity to the vehicle. BSIS typically use radar and/or camera sensors to detect other vehicles, pedestrians, and/or bicyclists in a zone (or zones) a driver is unable to see by direct vision alone. When a BSIS detects a potential collision</w:t>
      </w:r>
      <w:r w:rsidR="00D85F9E">
        <w:t>,</w:t>
      </w:r>
      <w:r w:rsidRPr="007B6E69">
        <w:t xml:space="preserve"> it will warn the driver by means of visual, audible, and/or haptic (e.g. steering wheel vibration) alert(s).</w:t>
      </w:r>
    </w:p>
    <w:p w:rsidR="00223F09" w:rsidRPr="007B6E69" w:rsidRDefault="00223F09" w:rsidP="00223F09">
      <w:r w:rsidRPr="007B6E69">
        <w:t>The recognised international standard for BSIS is UN Regulation No. 151 (R151) - Uniform provisions concerning the approval of motor vehicles with regard to the Blind Spot Information System for the Detection of Bicycles (UN, 2020b). It is applicable for goods vehicles with a maximum mass over 8 tonnes (UN category N</w:t>
      </w:r>
      <w:r w:rsidRPr="007B6E69">
        <w:rPr>
          <w:vertAlign w:val="subscript"/>
        </w:rPr>
        <w:t>2</w:t>
      </w:r>
      <w:r w:rsidRPr="007B6E69">
        <w:t> &gt; 8 tonnes and N</w:t>
      </w:r>
      <w:r w:rsidRPr="007B6E69">
        <w:rPr>
          <w:vertAlign w:val="subscript"/>
        </w:rPr>
        <w:t>3</w:t>
      </w:r>
      <w:r w:rsidRPr="007B6E69">
        <w:t xml:space="preserve"> vehicles). Goods vehicles with a maximum mass between 3.5 and 8 tonnes (UN category N</w:t>
      </w:r>
      <w:r w:rsidRPr="007B6E69">
        <w:rPr>
          <w:vertAlign w:val="subscript"/>
        </w:rPr>
        <w:t>2</w:t>
      </w:r>
      <w:r w:rsidRPr="007B6E69">
        <w:t xml:space="preserve"> vehicles </w:t>
      </w:r>
      <w:r w:rsidRPr="007B6E69">
        <w:rPr>
          <w:rFonts w:cs="Segoe UI"/>
        </w:rPr>
        <w:t>≤</w:t>
      </w:r>
      <w:r w:rsidRPr="007B6E69">
        <w:t xml:space="preserve"> 8 tonnes) and omnibuses (UN category M</w:t>
      </w:r>
      <w:r w:rsidRPr="007B6E69">
        <w:rPr>
          <w:vertAlign w:val="subscript"/>
        </w:rPr>
        <w:t>2</w:t>
      </w:r>
      <w:r w:rsidRPr="007B6E69">
        <w:t xml:space="preserve"> and M</w:t>
      </w:r>
      <w:r w:rsidRPr="007B6E69">
        <w:rPr>
          <w:vertAlign w:val="subscript"/>
        </w:rPr>
        <w:t>3</w:t>
      </w:r>
      <w:r w:rsidRPr="007B6E69">
        <w:t xml:space="preserve"> vehicles) may be approved at the request of the manufacturer. UN R151 only covers blind spot systems to inform the driver of a possible collision with a bicycle on the near side of a vehicle (the left side of a vehicle for left-hand traffic or the right side of a vehicle for right-hand traffic). It does not include requirements for systems to detect other vehicles and/or pedestrians, although manufacturers may use the same sensors (i.e. radars and/or cameras) to detect other road users in addition to bicyclists.</w:t>
      </w:r>
    </w:p>
    <w:p w:rsidR="00223F09" w:rsidRPr="007B6E69" w:rsidRDefault="00223F09" w:rsidP="00223F09">
      <w:r w:rsidRPr="007B6E69">
        <w:t>To meet UN R151 (UN, 2020b), a BSIS for the detection of bicyclists must be active for all forward vehicle speeds from standstill up to 30 km/h, and pass a range of dynamic and static performance tests. This includes a series of dynamic tests with the subject vehicle (i.e. the truck with BSIS fitted) passing a dummy bicyclist on the near side, at various subject vehicle and bicycle speeds, as well as various lateral separation distances between the subject vehicle and the dummy bicyclist. In each of these dynamic tests, the BSIS must provide a signal to inform the driver of the presence of a bicyclist before the subject vehicle crosses a prescribed line. Two different static tests are also conducted with the subject vehicle stationary and the bicyclist moving. In one of the static tests, the dummy bicyclist is moved in a perpendicular direction (from the near side) to pass in front of the stationary subject vehicle. In the other static test, the dummy bicyclist is moved in a parallel direction alongside the stationary subject vehicle (also on the near side). In each of these static tests, the BSIS must provide a signal to inform the driver of the presence of a bicyclist before the dummy bicyclist passes beyond a specified point (on each path of travel respectively). UN R151 also includes requirements for the BSIS to warn the driver by means of an optical (i.e. visual), acoustic, and/or haptic signal when the risk of a collision with a bicyclist increases. This warning signal must differ in mode or activation strategy from the initial information signal to inform the driver of the presence of a bicyclist. The BSIS must also automatically de-activate when it cannot operate properly due to contamination of its sensors (e.g. by mud, snow or ice) or in low light conditions, and must provide the driver with a failure warning whenever the system is in a state (including due to automatic deactivation) in which it will no longer meet the performance requirements of the regulation.</w:t>
      </w:r>
    </w:p>
    <w:p w:rsidR="00223F09" w:rsidRPr="007B6E69" w:rsidRDefault="00223F09" w:rsidP="00223F09"/>
    <w:p w:rsidR="00223F09" w:rsidRPr="007B6E69" w:rsidRDefault="00223F09" w:rsidP="00E13D3A">
      <w:pPr>
        <w:pStyle w:val="Heading2"/>
        <w:rPr>
          <w:lang w:val="en-AU"/>
        </w:rPr>
        <w:sectPr w:rsidR="00223F09" w:rsidRPr="007B6E69" w:rsidSect="00237D88">
          <w:pgSz w:w="11906" w:h="16838" w:code="9"/>
          <w:pgMar w:top="2835" w:right="1049" w:bottom="1701" w:left="1049" w:header="1276" w:footer="709" w:gutter="0"/>
          <w:cols w:space="708"/>
          <w:docGrid w:linePitch="360"/>
        </w:sectPr>
      </w:pPr>
    </w:p>
    <w:p w:rsidR="00223F09" w:rsidRPr="007B6E69" w:rsidRDefault="00197BA7" w:rsidP="00E13D3A">
      <w:pPr>
        <w:pStyle w:val="AppendixHeading1"/>
      </w:pPr>
      <w:bookmarkStart w:id="170" w:name="_Toc54275954"/>
      <w:bookmarkStart w:id="171" w:name="_Toc67060920"/>
      <w:bookmarkStart w:id="172" w:name="_Toc111576737"/>
      <w:bookmarkStart w:id="173" w:name="_Toc138065732"/>
      <w:r w:rsidRPr="007B6E69">
        <w:t xml:space="preserve">Appendix </w:t>
      </w:r>
      <w:r w:rsidR="008B1541">
        <w:t>10</w:t>
      </w:r>
      <w:r w:rsidRPr="007B6E69">
        <w:t xml:space="preserve"> – </w:t>
      </w:r>
      <w:r w:rsidR="00223F09" w:rsidRPr="007B6E69">
        <w:t xml:space="preserve">Side </w:t>
      </w:r>
      <w:bookmarkEnd w:id="169"/>
      <w:bookmarkEnd w:id="170"/>
      <w:r w:rsidR="00223F09" w:rsidRPr="007B6E69">
        <w:t>underrun protection</w:t>
      </w:r>
      <w:bookmarkEnd w:id="171"/>
      <w:bookmarkEnd w:id="172"/>
      <w:bookmarkEnd w:id="173"/>
    </w:p>
    <w:p w:rsidR="00223F09" w:rsidRPr="007B6E69" w:rsidRDefault="00223F09" w:rsidP="00223F09">
      <w:r w:rsidRPr="007B6E69">
        <w:t>Side underrun protection can be provided on heavy freight vehicles through the installation of lateral protection devices (LPDs). These offer protection to pedestrians, cyclists or motorcyclists against the risk of falling under the sides of a goods vehicle or trailer, and being caught under the wheels, in particular when heavy vehicles are turning in urban areas. LPDs are made up of a combination of longitudinal member(s) and link(s) (fixing elements) to the chassis side members or other structural parts of the vehicle.</w:t>
      </w:r>
    </w:p>
    <w:p w:rsidR="00223F09" w:rsidRPr="007B6E69" w:rsidRDefault="00223F09" w:rsidP="00223F09">
      <w:r w:rsidRPr="007B6E69">
        <w:t>The recognised international standard for side underrun protection is the UN Regulation No. 73 (R73) – Uniform provisions concerning the approval of:</w:t>
      </w:r>
    </w:p>
    <w:p w:rsidR="00223F09" w:rsidRPr="007B6E69" w:rsidRDefault="00223F09" w:rsidP="00223F09">
      <w:pPr>
        <w:ind w:firstLine="454"/>
      </w:pPr>
      <w:r w:rsidRPr="007B6E69">
        <w:t>I. Vehicles with regard to their lateral protection devices (LPD);</w:t>
      </w:r>
    </w:p>
    <w:p w:rsidR="00223F09" w:rsidRPr="007B6E69" w:rsidRDefault="00223F09" w:rsidP="00223F09">
      <w:pPr>
        <w:ind w:firstLine="454"/>
      </w:pPr>
      <w:r w:rsidRPr="007B6E69">
        <w:t>II. Lateral protection devices (LPD); and</w:t>
      </w:r>
    </w:p>
    <w:p w:rsidR="00223F09" w:rsidRPr="007B6E69" w:rsidRDefault="00223F09" w:rsidP="00223F09">
      <w:pPr>
        <w:ind w:left="709" w:hanging="255"/>
      </w:pPr>
      <w:r w:rsidRPr="007B6E69">
        <w:t>III. Vehicles with regard to the installation of LPD of an approved type according to part II of this regulation.</w:t>
      </w:r>
    </w:p>
    <w:p w:rsidR="00223F09" w:rsidRPr="007B6E69" w:rsidRDefault="00223F09" w:rsidP="00223F09">
      <w:r w:rsidRPr="007B6E69">
        <w:t>UN R73 applies to goods vehicles and trailers with a maximum mass over 3.5 tonnes (UN category N</w:t>
      </w:r>
      <w:r w:rsidRPr="007B6E69">
        <w:rPr>
          <w:vertAlign w:val="subscript"/>
        </w:rPr>
        <w:t>2</w:t>
      </w:r>
      <w:r w:rsidRPr="007B6E69">
        <w:t>, N</w:t>
      </w:r>
      <w:r w:rsidRPr="007B6E69">
        <w:rPr>
          <w:vertAlign w:val="subscript"/>
        </w:rPr>
        <w:t>3</w:t>
      </w:r>
      <w:r w:rsidRPr="007B6E69">
        <w:t>, O</w:t>
      </w:r>
      <w:r w:rsidRPr="007B6E69">
        <w:rPr>
          <w:vertAlign w:val="subscript"/>
        </w:rPr>
        <w:t>3</w:t>
      </w:r>
      <w:r w:rsidRPr="007B6E69">
        <w:t>, and O</w:t>
      </w:r>
      <w:r w:rsidRPr="007B6E69">
        <w:rPr>
          <w:vertAlign w:val="subscript"/>
        </w:rPr>
        <w:t xml:space="preserve">4 </w:t>
      </w:r>
      <w:r w:rsidRPr="007B6E69">
        <w:t>vehicles). It does not apply to tractors for semi-trailers (i.e. prime movers) and vehicles designed and constructed for special purposes where it is not possible, for practical reasons, to fit LPDs.</w:t>
      </w:r>
    </w:p>
    <w:p w:rsidR="00223F09" w:rsidRPr="007B6E69" w:rsidRDefault="00223F09" w:rsidP="00223F09">
      <w:r w:rsidRPr="007B6E69">
        <w:t>Under UN R73, LPDs may consist of a continuous flat surface, or of one or more horizontal rails/members, or a combination of surfaces and rails. Further, components permanently affixed to the vehicle (e.g. fuel tanks, air tanks, tool boxes, battery boxes etc.) can be used as LPDs, as long as they comply with the design and performance requirements of the regulation. LPDs may also be designed to have several adjustment positions at the side of the vehicle, including for example to include elements that can be moved to provide access to storage space under the vehicle (e.g. for trailer gates, a spare wheel carrier etc.).</w:t>
      </w:r>
    </w:p>
    <w:p w:rsidR="00223F09" w:rsidRPr="007B6E69" w:rsidRDefault="00223F09" w:rsidP="00223F09">
      <w:r w:rsidRPr="007B6E69">
        <w:t>To meet UN R73, LPDs must not increase the overall width of the vehicle, or be any more than 150 mm inboard (at the main part of the outer surface) of the outermost planes between which the maximum vehicle width is measured. Further, the rear end (rearmost 250 mm) of an LPD must not be any more than 30 mm inboard of the outermost edge of the rear tyres (excluding any bulging of the tyres near the ground). Combinations of surfaces and rails must form a practically continuous LPD member from front to rear, with no more than a 25 mm gap permitted between adjacent components. Where horizontal rails are used in LPDs, these must be at least 50 mm high for UN category N</w:t>
      </w:r>
      <w:r w:rsidRPr="007B6E69">
        <w:rPr>
          <w:vertAlign w:val="subscript"/>
        </w:rPr>
        <w:t xml:space="preserve">2 </w:t>
      </w:r>
      <w:r w:rsidRPr="007B6E69">
        <w:t>and O</w:t>
      </w:r>
      <w:r w:rsidRPr="007B6E69">
        <w:rPr>
          <w:vertAlign w:val="subscript"/>
        </w:rPr>
        <w:t>3</w:t>
      </w:r>
      <w:r w:rsidRPr="007B6E69">
        <w:t xml:space="preserve"> vehicles, and at least 100 mm high for UN category N</w:t>
      </w:r>
      <w:r w:rsidRPr="007B6E69">
        <w:rPr>
          <w:vertAlign w:val="subscript"/>
        </w:rPr>
        <w:t>3</w:t>
      </w:r>
      <w:r w:rsidRPr="007B6E69">
        <w:t xml:space="preserve"> and O</w:t>
      </w:r>
      <w:r w:rsidRPr="007B6E69">
        <w:rPr>
          <w:vertAlign w:val="subscript"/>
        </w:rPr>
        <w:t xml:space="preserve">4 </w:t>
      </w:r>
      <w:r w:rsidRPr="007B6E69">
        <w:t>vehicles. The vertical gap between rails must not be any more than 300 mm.</w:t>
      </w:r>
    </w:p>
    <w:p w:rsidR="00223F09" w:rsidRPr="007B6E69" w:rsidRDefault="00776BE7" w:rsidP="00223F09">
      <w:r>
        <w:fldChar w:fldCharType="begin"/>
      </w:r>
      <w:r>
        <w:instrText xml:space="preserve"> REF _Ref132880493 \h </w:instrText>
      </w:r>
      <w:r>
        <w:fldChar w:fldCharType="separate"/>
      </w:r>
      <w:r w:rsidR="00534814" w:rsidRPr="007B6E69">
        <w:t xml:space="preserve">Figure </w:t>
      </w:r>
      <w:r w:rsidR="00534814">
        <w:rPr>
          <w:noProof/>
        </w:rPr>
        <w:t>19</w:t>
      </w:r>
      <w:r>
        <w:fldChar w:fldCharType="end"/>
      </w:r>
      <w:r>
        <w:t xml:space="preserve"> </w:t>
      </w:r>
      <w:r w:rsidR="00223F09" w:rsidRPr="007B6E69">
        <w:t xml:space="preserve">and </w:t>
      </w:r>
      <w:r w:rsidR="00223F09" w:rsidRPr="007B6E69">
        <w:fldChar w:fldCharType="begin"/>
      </w:r>
      <w:r w:rsidR="00223F09" w:rsidRPr="007B6E69">
        <w:instrText xml:space="preserve"> REF _Ref57723820 \h </w:instrText>
      </w:r>
      <w:r w:rsidR="00223F09" w:rsidRPr="007B6E69">
        <w:fldChar w:fldCharType="separate"/>
      </w:r>
      <w:r w:rsidR="00534814" w:rsidRPr="007B6E69">
        <w:t xml:space="preserve">Figure </w:t>
      </w:r>
      <w:r w:rsidR="00534814">
        <w:rPr>
          <w:noProof/>
        </w:rPr>
        <w:t>20</w:t>
      </w:r>
      <w:r w:rsidR="00223F09" w:rsidRPr="007B6E69">
        <w:fldChar w:fldCharType="end"/>
      </w:r>
      <w:r w:rsidR="00223F09" w:rsidRPr="007B6E69">
        <w:t xml:space="preserve"> include example illustrations of the fitment of LPDs for a rigid truck and a semi-trailer respectively, including key UN R73 dimensional/position requirements. For all vehicles, the lower edge of the LPD must not be any more than 550 mm from the ground. The permissible gaps at the front, rear and upper edge of the LPD vary by vehicle category and design/purpose (e.g. truck, semi-trailer, full-trailer etc.). In the case of a vehicle having two steered axles, an LPD is not required between these axles if the longitudinal distance between the centrelines of the axles is no greater than 2.1 m.</w:t>
      </w:r>
    </w:p>
    <w:p w:rsidR="00223F09" w:rsidRPr="007B6E69" w:rsidRDefault="00223F09" w:rsidP="00223F09">
      <w:pPr>
        <w:keepNext/>
      </w:pPr>
      <w:r w:rsidRPr="007B6E69">
        <w:rPr>
          <w:noProof/>
          <w:lang w:eastAsia="en-AU"/>
        </w:rPr>
        <w:drawing>
          <wp:inline distT="0" distB="0" distL="0" distR="0" wp14:anchorId="0C3B45CA" wp14:editId="1C81A6DB">
            <wp:extent cx="5615363" cy="4608000"/>
            <wp:effectExtent l="0" t="0" r="4445" b="2540"/>
            <wp:docPr id="43" name="Picture 43" descr="Illustration (side view and overhead/plan view) of a rigid truck utilising fuel tanks and horizontal rails/members on each side as lateral protection devices for side underrun protection, including key UN R73 dimensional limits."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615363" cy="4608000"/>
                    </a:xfrm>
                    <a:prstGeom prst="rect">
                      <a:avLst/>
                    </a:prstGeom>
                    <a:noFill/>
                  </pic:spPr>
                </pic:pic>
              </a:graphicData>
            </a:graphic>
          </wp:inline>
        </w:drawing>
      </w:r>
    </w:p>
    <w:p w:rsidR="00223F09" w:rsidRPr="007B6E69" w:rsidRDefault="00D84D3A" w:rsidP="00D84D3A">
      <w:pPr>
        <w:pStyle w:val="Caption"/>
      </w:pPr>
      <w:bookmarkStart w:id="174" w:name="_Ref132880493"/>
      <w:bookmarkStart w:id="175" w:name="_Ref132880474"/>
      <w:bookmarkStart w:id="176" w:name="_Toc135321409"/>
      <w:r w:rsidRPr="007B6E69">
        <w:t xml:space="preserve">Figure </w:t>
      </w:r>
      <w:fldSimple w:instr=" SEQ Figure \* ARABIC ">
        <w:r w:rsidR="00534814">
          <w:rPr>
            <w:noProof/>
          </w:rPr>
          <w:t>19</w:t>
        </w:r>
      </w:fldSimple>
      <w:bookmarkEnd w:id="174"/>
      <w:r w:rsidRPr="007B6E69">
        <w:t xml:space="preserve">: </w:t>
      </w:r>
      <w:r w:rsidR="00223F09" w:rsidRPr="007B6E69">
        <w:t>Illustration (side view and overhead/plan view) of a rigid truck utilising fuel tanks and horizontal rails/members on each side as LPDs for side underrun protection, including key UN R73 dimensional limits</w:t>
      </w:r>
      <w:bookmarkEnd w:id="175"/>
      <w:bookmarkEnd w:id="176"/>
    </w:p>
    <w:p w:rsidR="00223F09" w:rsidRPr="007B6E69" w:rsidRDefault="00223F09" w:rsidP="00223F09">
      <w:pPr>
        <w:keepNext/>
      </w:pPr>
      <w:r w:rsidRPr="007B6E69">
        <w:rPr>
          <w:noProof/>
          <w:lang w:eastAsia="en-AU"/>
        </w:rPr>
        <w:drawing>
          <wp:inline distT="0" distB="0" distL="0" distR="0" wp14:anchorId="30762138" wp14:editId="49D7EF36">
            <wp:extent cx="6191994" cy="2113757"/>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6191994" cy="2113757"/>
                    </a:xfrm>
                    <a:prstGeom prst="rect">
                      <a:avLst/>
                    </a:prstGeom>
                    <a:noFill/>
                  </pic:spPr>
                </pic:pic>
              </a:graphicData>
            </a:graphic>
          </wp:inline>
        </w:drawing>
      </w:r>
    </w:p>
    <w:p w:rsidR="00223F09" w:rsidRPr="007B6E69" w:rsidRDefault="00223F09" w:rsidP="00223F09">
      <w:pPr>
        <w:pStyle w:val="Caption"/>
      </w:pPr>
      <w:bookmarkStart w:id="177" w:name="_Ref57723820"/>
      <w:bookmarkStart w:id="178" w:name="_Toc135321410"/>
      <w:r w:rsidRPr="007B6E69">
        <w:t xml:space="preserve">Figure </w:t>
      </w:r>
      <w:fldSimple w:instr=" SEQ Figure \* ARABIC ">
        <w:r w:rsidR="00534814">
          <w:rPr>
            <w:noProof/>
          </w:rPr>
          <w:t>20</w:t>
        </w:r>
      </w:fldSimple>
      <w:bookmarkEnd w:id="177"/>
      <w:r w:rsidR="00F43CC2" w:rsidRPr="007B6E69">
        <w:t xml:space="preserve">: </w:t>
      </w:r>
      <w:r w:rsidRPr="007B6E69">
        <w:t>Illustration (side view only) of a semi-trailer fitted with horizontal rails/members as LPDs for side underrun protection, including key UN R73 dimensional limits</w:t>
      </w:r>
      <w:bookmarkEnd w:id="178"/>
    </w:p>
    <w:p w:rsidR="00223F09" w:rsidRPr="007B6E69" w:rsidRDefault="00223F09" w:rsidP="00223F09">
      <w:r w:rsidRPr="007B6E69">
        <w:t xml:space="preserve">To meet UN R73, LPDs must be capable of withstanding a horizontal static force of 1 kN applied perpendicularly to any part of their external surface by the centre of a ram, the face of which is circular and flat, with a diameter of 220 mm </w:t>
      </w:r>
      <w:r w:rsidRPr="007B6E69">
        <w:rPr>
          <w:rFonts w:cs="Segoe UI"/>
        </w:rPr>
        <w:t>±</w:t>
      </w:r>
      <w:r w:rsidRPr="007B6E69">
        <w:t xml:space="preserve"> 10 mm. The deflection of the LPD under load (measured at the centre of the ram) must not be more than 30 mm over the rearmost 250 mm of the LPD, and not more than 150 mm over the remainder of the LPD. This level of force has been set to ensure LPDs are sufficiently strong to be effective in collisions with vulnerable road users (in particular, pedestrians and bicyclists). LPDs may also provide some protection, for near parallel (i.e. sideswipe) collisions with light vehicles in adjacent lanes (e.g. during a lane departure), but this is not guaranteed. LPDs are not required to have sufficient structural strength to prevent the underrun of a passenger car in a side (i.e. lateral) impact crash.</w:t>
      </w:r>
    </w:p>
    <w:p w:rsidR="00223F09" w:rsidRPr="007B6E69" w:rsidRDefault="00223F09" w:rsidP="00223F09">
      <w:r w:rsidRPr="007B6E69">
        <w:t>UN R73 provides some exemptions/relaxations from the full requirements, for extendible trailers, tank vehicles (designed solely for the purpose of carrying fluids), vehicles fitted with extendible legs (for additional stability during loading/unloading), vehicles fitted with a crane, and in any case where the vehicle is designed/equipped that by their shape and characteristics the component parts together may be regarded as replacing the LPD. For example, extendible trailers need only comply with the full set of requirements when adjusted to the minimum length.</w:t>
      </w:r>
    </w:p>
    <w:p w:rsidR="00223F09" w:rsidRPr="007B6E69" w:rsidRDefault="00223F09" w:rsidP="00223F09"/>
    <w:p w:rsidR="00223F09" w:rsidRPr="007B6E69" w:rsidRDefault="00223F09" w:rsidP="00223F09">
      <w:pPr>
        <w:sectPr w:rsidR="00223F09" w:rsidRPr="007B6E69" w:rsidSect="00237D88">
          <w:pgSz w:w="11906" w:h="16838" w:code="9"/>
          <w:pgMar w:top="2835" w:right="1049" w:bottom="1701" w:left="1049" w:header="1276" w:footer="709" w:gutter="0"/>
          <w:cols w:space="708"/>
          <w:docGrid w:linePitch="360"/>
        </w:sectPr>
      </w:pPr>
    </w:p>
    <w:p w:rsidR="00223F09" w:rsidRPr="007B6E69" w:rsidRDefault="00197BA7" w:rsidP="00E13D3A">
      <w:pPr>
        <w:pStyle w:val="AppendixHeading1"/>
      </w:pPr>
      <w:bookmarkStart w:id="179" w:name="_Toc67060921"/>
      <w:bookmarkStart w:id="180" w:name="_Toc111576738"/>
      <w:bookmarkStart w:id="181" w:name="_Toc138065733"/>
      <w:r w:rsidRPr="007B6E69">
        <w:t xml:space="preserve">Appendix </w:t>
      </w:r>
      <w:r w:rsidR="000D2AED">
        <w:t>1</w:t>
      </w:r>
      <w:r w:rsidR="008B1541">
        <w:t>1</w:t>
      </w:r>
      <w:r w:rsidRPr="007B6E69">
        <w:t xml:space="preserve"> – </w:t>
      </w:r>
      <w:r w:rsidR="00223F09" w:rsidRPr="007B6E69">
        <w:t>Conspicuity markings</w:t>
      </w:r>
      <w:bookmarkEnd w:id="179"/>
      <w:bookmarkEnd w:id="180"/>
      <w:bookmarkEnd w:id="181"/>
    </w:p>
    <w:p w:rsidR="00223F09" w:rsidRPr="007B6E69" w:rsidRDefault="00223F09" w:rsidP="00223F09">
      <w:r w:rsidRPr="007B6E69">
        <w:t>Conspicuity markings can be fitted to heavy freight vehicles to make them easier for drivers of other vehicles to see at night (or in low light conditions), when viewed from the side or rear (or in the case of trailers, additionally from the front). Conspicuity markings include special material to reflect light emanating from the headlamps of another vehicle.</w:t>
      </w:r>
    </w:p>
    <w:p w:rsidR="00223F09" w:rsidRPr="007B6E69" w:rsidRDefault="00223F09" w:rsidP="00223F09">
      <w:r w:rsidRPr="007B6E69">
        <w:t>The UN Regulation No. 48 (R48) – Uniform provisions concerning the approval of vehicles with regard to the installation of lighting and light-signalling devices (UN, 2014c), is the recognised international standard for the fitment of conspicuity markings to road vehicles. The UN Regulation No. 104 (R104) – Uniform provisions concerning the approval of retroreflective markings for vehicles of categories M, N and O (UN, 2010), and the UN Regulation No. 150 (R150) – Uniform provisions concerning the approval of retro-reflective devices and markings for power-driven vehicles and their trailers (UN, 2020a), are the recognised international standards for the retroreflective material used for vehicle conspicuity markings.</w:t>
      </w:r>
    </w:p>
    <w:p w:rsidR="00223F09" w:rsidRPr="007B6E69" w:rsidRDefault="00223F09" w:rsidP="00223F09">
      <w:r w:rsidRPr="007B6E69">
        <w:t>Under UN R48 (UN, 2014c), conspicuity markings are categorised as either contour markings or line markings. Contour markings are used to indicate the horizontal and vertical dimensions (length, width and height) of a vehicle. Line markings are used to indicate the horizontal dimensions (length and width) of a vehicle by a continuous line. Contour markings are further categorised as either full contour markings or partial contour markings. Full contour markings indicate the outline of the vehicle by a continuous line. Partial contour markings indicate the horizontal dimension of the vehicle by a continuous line, and the vertical dimension by marking the upper corners. Conspicuity markings are considered continuous if the distance between adjacent elements is as small as possible and does not exceed 50</w:t>
      </w:r>
      <w:r w:rsidR="00803A6C">
        <w:t xml:space="preserve">% </w:t>
      </w:r>
      <w:r w:rsidRPr="007B6E69">
        <w:t>of the shortest adjacent element length.</w:t>
      </w:r>
    </w:p>
    <w:p w:rsidR="00223F09" w:rsidRPr="007B6E69" w:rsidRDefault="00223F09" w:rsidP="00223F09">
      <w:r w:rsidRPr="007B6E69">
        <w:t xml:space="preserve">To meet UN R48 (UN, 2014c), goods vehicles over 7.5 tonnes maximum mass and trailers over 3.5 tonnes maximum mass, which are more than 2.1 m in overall width, must be fitted with full contour markings to the rear (with the exception of chassis-cabs, incomplete vehicles and tractors for semi-trailers (i.e. prime movers)). Further, goods vehicles over 7.5 tonnes maximum mass and trailers over 3.5 tonnes maximum mass, which are more than 6 m in length (including any drawbar for trailers), must be fitted with either partial or full contour markings to the side (with the exception of chassis-cabs, incomplete vehicles and tractors for semi-trailers (i.e. prime movers)). A line marking may be installed in place of a prescribed contour marking if the shape, structure, design or operational requirements of the vehicle make it impossible to install a contour marking. Line markings may be applied to the front of trailers. Partial or full contour markings must not be fitted at the front of any </w:t>
      </w:r>
      <w:r w:rsidR="00962F16">
        <w:t xml:space="preserve">goods </w:t>
      </w:r>
      <w:r w:rsidRPr="007B6E69">
        <w:t xml:space="preserve">vehicle. Conspicuity markings must be white to the front (applies for optional </w:t>
      </w:r>
      <w:r w:rsidR="004A7783" w:rsidRPr="007B6E69">
        <w:t>front-line</w:t>
      </w:r>
      <w:r w:rsidRPr="007B6E69">
        <w:t xml:space="preserve"> markings on trailers only), white or yellow to the side, and red or yellow to the rear.</w:t>
      </w:r>
    </w:p>
    <w:p w:rsidR="00223F09" w:rsidRPr="007B6E69" w:rsidRDefault="00223F09" w:rsidP="00223F09">
      <w:r w:rsidRPr="007B6E69">
        <w:t>Under UN R48 (UN, 2014c), conspicuity markings must be fitted as close as practicable to horizontal and vertical, compatible with the shape, structure, design and operational requirements of the vehicle; or if this is not possible, the full or partial contour markings (when fitted), shall follow as close as practicable the contour of the outer shape of the vehicle. Further, the conspicuity markings must be spaced as evenly as possible over the horizontal dimensions of the vehicle, such that the total length and/or width of the vehicle can be identified. The conspicuity markings must reach as close as practicable to the front, side and rear edges (in width and length) of the vehicle, including within a prescribed limit of 600 mm of each end of the vehicle. Line and contour marking lower elements must be as low as practicable within the range, 250 mm to 1,500 mm above the ground level (unless approved to be higher (up to 2,500 mm) for practical reasons/limitations). Contour marking upper elements must be as high as practicable, but within 400 mm of the upper extremity of the vehicle.</w:t>
      </w:r>
    </w:p>
    <w:p w:rsidR="00223F09" w:rsidRPr="007B6E69" w:rsidRDefault="00223F09" w:rsidP="00223F09">
      <w:r w:rsidRPr="007B6E69">
        <w:fldChar w:fldCharType="begin"/>
      </w:r>
      <w:r w:rsidRPr="007B6E69">
        <w:instrText xml:space="preserve"> REF _Ref57823197 \h </w:instrText>
      </w:r>
      <w:r w:rsidRPr="007B6E69">
        <w:fldChar w:fldCharType="separate"/>
      </w:r>
      <w:r w:rsidR="00534814" w:rsidRPr="007B6E69">
        <w:t xml:space="preserve">Figure </w:t>
      </w:r>
      <w:r w:rsidR="00534814">
        <w:rPr>
          <w:noProof/>
        </w:rPr>
        <w:t>21</w:t>
      </w:r>
      <w:r w:rsidRPr="007B6E69">
        <w:fldChar w:fldCharType="end"/>
      </w:r>
      <w:r w:rsidRPr="007B6E69">
        <w:t xml:space="preserve"> shows an illustration of partial (yellow) contour markings on the side and full (red) contour markings on the rear of a semi-trailer. The Australian Trucking Association has published a Technical Advisory Procedure for heavy vehicle visibility, which includes further details and practical guidance, including examples/images for the application of conspicuity markings to a range of truck and trailer body configurations, including tankers, rubbish trucks, skip loaders, car carriers, and concrete agitators (ATA, 2016).</w:t>
      </w:r>
    </w:p>
    <w:p w:rsidR="00223F09" w:rsidRPr="007B6E69" w:rsidRDefault="00223F09" w:rsidP="00223F09">
      <w:pPr>
        <w:keepNext/>
      </w:pPr>
      <w:r w:rsidRPr="007B6E69">
        <w:rPr>
          <w:noProof/>
          <w:lang w:eastAsia="en-AU"/>
        </w:rPr>
        <w:drawing>
          <wp:inline distT="0" distB="0" distL="0" distR="0" wp14:anchorId="77FD2FB2" wp14:editId="471BBA2C">
            <wp:extent cx="6192000" cy="1835818"/>
            <wp:effectExtent l="0" t="0" r="0" b="0"/>
            <wp:docPr id="2721" name="Picture 2721" descr="Illustration of partial yellow contour markings on the side and full red contour markings on the rear of a &#10;semi-trailer.&#10;"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spicuity Markings on a Semitrailer.jpg"/>
                    <pic:cNvPicPr/>
                  </pic:nvPicPr>
                  <pic:blipFill>
                    <a:blip r:embed="rId74">
                      <a:extLst>
                        <a:ext uri="{28A0092B-C50C-407E-A947-70E740481C1C}">
                          <a14:useLocalDpi xmlns:a14="http://schemas.microsoft.com/office/drawing/2010/main" val="0"/>
                        </a:ext>
                      </a:extLst>
                    </a:blip>
                    <a:stretch>
                      <a:fillRect/>
                    </a:stretch>
                  </pic:blipFill>
                  <pic:spPr>
                    <a:xfrm>
                      <a:off x="0" y="0"/>
                      <a:ext cx="6192000" cy="1835818"/>
                    </a:xfrm>
                    <a:prstGeom prst="rect">
                      <a:avLst/>
                    </a:prstGeom>
                  </pic:spPr>
                </pic:pic>
              </a:graphicData>
            </a:graphic>
          </wp:inline>
        </w:drawing>
      </w:r>
    </w:p>
    <w:p w:rsidR="00223F09" w:rsidRPr="007B6E69" w:rsidRDefault="00223F09" w:rsidP="00223F09">
      <w:pPr>
        <w:pStyle w:val="Caption"/>
      </w:pPr>
      <w:bookmarkStart w:id="182" w:name="_Ref57823197"/>
      <w:bookmarkStart w:id="183" w:name="_Toc135321411"/>
      <w:r w:rsidRPr="007B6E69">
        <w:t xml:space="preserve">Figure </w:t>
      </w:r>
      <w:fldSimple w:instr=" SEQ Figure \* ARABIC ">
        <w:r w:rsidR="00534814">
          <w:rPr>
            <w:noProof/>
          </w:rPr>
          <w:t>21</w:t>
        </w:r>
      </w:fldSimple>
      <w:bookmarkEnd w:id="182"/>
      <w:r w:rsidR="00F43CC2" w:rsidRPr="007B6E69">
        <w:t xml:space="preserve">: </w:t>
      </w:r>
      <w:r w:rsidRPr="007B6E69">
        <w:t xml:space="preserve">Illustration of partial (yellow) contour markings on the side and full (red) contour markings on the rear of a </w:t>
      </w:r>
      <w:r w:rsidRPr="007B6E69">
        <w:br/>
        <w:t>semi-trailer</w:t>
      </w:r>
      <w:bookmarkEnd w:id="183"/>
    </w:p>
    <w:p w:rsidR="00223F09" w:rsidRPr="007B6E69" w:rsidRDefault="00223F09" w:rsidP="00CB0342"/>
    <w:p w:rsidR="00223F09" w:rsidRPr="007B6E69" w:rsidRDefault="00223F09" w:rsidP="00223F09">
      <w:pPr>
        <w:sectPr w:rsidR="00223F09" w:rsidRPr="007B6E69" w:rsidSect="00DE3EBA">
          <w:pgSz w:w="11906" w:h="16838" w:code="9"/>
          <w:pgMar w:top="1021" w:right="1021" w:bottom="1021" w:left="1021" w:header="1276" w:footer="709" w:gutter="0"/>
          <w:cols w:space="708"/>
          <w:docGrid w:linePitch="360"/>
        </w:sectPr>
      </w:pPr>
    </w:p>
    <w:p w:rsidR="00CB0342" w:rsidRPr="007B6E69" w:rsidRDefault="00CB0342" w:rsidP="00CB0342">
      <w:pPr>
        <w:pStyle w:val="AppendixHeading1"/>
      </w:pPr>
      <w:bookmarkStart w:id="184" w:name="_Toc111576739"/>
      <w:bookmarkStart w:id="185" w:name="_Toc138065734"/>
      <w:r w:rsidRPr="007B6E69">
        <w:t>Appendix 1</w:t>
      </w:r>
      <w:r w:rsidR="008B1541">
        <w:t>2</w:t>
      </w:r>
      <w:r w:rsidRPr="007B6E69">
        <w:t xml:space="preserve"> – Strategic Vehicle Safety and Environment Group</w:t>
      </w:r>
      <w:bookmarkEnd w:id="184"/>
      <w:bookmarkEnd w:id="185"/>
    </w:p>
    <w:p w:rsidR="00223F09" w:rsidRPr="007B6E69" w:rsidRDefault="00CB0342" w:rsidP="00CB0342">
      <w:pPr>
        <w:spacing w:after="240"/>
      </w:pPr>
      <w:r w:rsidRPr="007B6E69">
        <w:t>The prime purpose of the Strategic Vehicle Safety and Environment Group (SVSEG) is to consider how governments, industry and road user organisations will ensure that vehicles sold in Australia are both safe and environmentally friendly. SVSEG is an advisory body of ITSOC, which is primarily responsible for advising the Council on road safety matters of national concern.  SVSEG will coordinate work on national vehicle issues on behalf of ITSOC and government representatives of SVSEG will serve as the Austroads Safety Task Force (ASTF) Safe Vehicles Theme Group (SVTG).</w:t>
      </w:r>
    </w:p>
    <w:p w:rsidR="00CB0342" w:rsidRPr="007B6E69" w:rsidRDefault="00CB0342" w:rsidP="00223F09">
      <w:pPr>
        <w:sectPr w:rsidR="00CB0342" w:rsidRPr="007B6E69" w:rsidSect="00DE3EBA">
          <w:pgSz w:w="11906" w:h="16838" w:code="9"/>
          <w:pgMar w:top="1021" w:right="1021" w:bottom="1021" w:left="1021" w:header="1276" w:footer="709" w:gutter="0"/>
          <w:cols w:space="708"/>
          <w:docGrid w:linePitch="360"/>
        </w:sectPr>
      </w:pPr>
    </w:p>
    <w:tbl>
      <w:tblPr>
        <w:tblW w:w="0" w:type="auto"/>
        <w:tblBorders>
          <w:top w:val="single" w:sz="4" w:space="0" w:color="000000"/>
          <w:bottom w:val="single" w:sz="4" w:space="0" w:color="000000"/>
          <w:insideV w:val="single" w:sz="4" w:space="0" w:color="000000"/>
        </w:tblBorders>
        <w:tblCellMar>
          <w:left w:w="0" w:type="dxa"/>
          <w:right w:w="0" w:type="dxa"/>
        </w:tblCellMar>
        <w:tblLook w:val="04A0" w:firstRow="1" w:lastRow="0" w:firstColumn="1" w:lastColumn="0" w:noHBand="0" w:noVBand="1"/>
      </w:tblPr>
      <w:tblGrid>
        <w:gridCol w:w="9639"/>
      </w:tblGrid>
      <w:tr w:rsidR="00CB0342" w:rsidRPr="007B6E69" w:rsidTr="00710A9C">
        <w:trPr>
          <w:trHeight w:hRule="exact" w:val="454"/>
        </w:trPr>
        <w:tc>
          <w:tcPr>
            <w:tcW w:w="9639" w:type="dxa"/>
            <w:tcBorders>
              <w:top w:val="single" w:sz="12" w:space="0" w:color="000000"/>
              <w:bottom w:val="single" w:sz="12" w:space="0" w:color="auto"/>
            </w:tcBorders>
            <w:shd w:val="clear" w:color="auto" w:fill="0D3064" w:themeFill="accent1" w:themeFillTint="E6"/>
            <w:vAlign w:val="center"/>
          </w:tcPr>
          <w:p w:rsidR="00CB0342" w:rsidRPr="007B6E69" w:rsidRDefault="00CB0342" w:rsidP="00710A9C">
            <w:pPr>
              <w:pStyle w:val="Tableheading1"/>
              <w:jc w:val="left"/>
              <w:rPr>
                <w:rFonts w:asciiTheme="minorHAnsi" w:hAnsiTheme="minorHAnsi" w:cstheme="minorHAnsi"/>
                <w:b/>
                <w:sz w:val="20"/>
                <w:szCs w:val="20"/>
              </w:rPr>
            </w:pPr>
            <w:r w:rsidRPr="007B6E69">
              <w:rPr>
                <w:rFonts w:asciiTheme="minorHAnsi" w:hAnsiTheme="minorHAnsi" w:cstheme="minorHAnsi"/>
                <w:b/>
                <w:sz w:val="20"/>
                <w:szCs w:val="20"/>
              </w:rPr>
              <w:t>Organisation</w:t>
            </w:r>
          </w:p>
        </w:tc>
      </w:tr>
      <w:tr w:rsidR="00CB0342" w:rsidRPr="007B6E69" w:rsidTr="00710A9C">
        <w:tc>
          <w:tcPr>
            <w:tcW w:w="9639" w:type="dxa"/>
            <w:tcBorders>
              <w:top w:val="single" w:sz="12" w:space="0" w:color="auto"/>
            </w:tcBorders>
          </w:tcPr>
          <w:p w:rsidR="00CB0342" w:rsidRPr="007B6E69" w:rsidRDefault="00CB0342" w:rsidP="00710A9C">
            <w:pPr>
              <w:pStyle w:val="Table1"/>
              <w:rPr>
                <w:rFonts w:asciiTheme="minorHAnsi" w:hAnsiTheme="minorHAnsi" w:cstheme="minorHAnsi"/>
                <w:sz w:val="20"/>
                <w:szCs w:val="20"/>
              </w:rPr>
            </w:pP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sz w:val="20"/>
                <w:szCs w:val="20"/>
              </w:rPr>
            </w:pPr>
            <w:r w:rsidRPr="007B6E69">
              <w:rPr>
                <w:rFonts w:asciiTheme="minorHAnsi" w:hAnsiTheme="minorHAnsi" w:cstheme="minorHAnsi"/>
                <w:sz w:val="20"/>
                <w:szCs w:val="20"/>
              </w:rPr>
              <w:t>Government Representatives</w:t>
            </w: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Infrastructure, Transport, Regional Development, Communications and the Arts</w:t>
            </w: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Transport for NSW</w:t>
            </w: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Transport, VIC</w:t>
            </w: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Transport and Main Roads, QLD</w:t>
            </w:r>
          </w:p>
        </w:tc>
      </w:tr>
      <w:tr w:rsidR="00DA60D2" w:rsidRPr="007B6E69" w:rsidTr="00710A9C">
        <w:tc>
          <w:tcPr>
            <w:tcW w:w="9639" w:type="dxa"/>
          </w:tcPr>
          <w:p w:rsidR="00DA60D2" w:rsidRPr="007B6E69" w:rsidRDefault="00DA60D2" w:rsidP="00DA60D2">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Transport, WA</w:t>
            </w:r>
          </w:p>
        </w:tc>
      </w:tr>
      <w:tr w:rsidR="00CB0342" w:rsidRPr="007B6E69" w:rsidTr="00710A9C">
        <w:tc>
          <w:tcPr>
            <w:tcW w:w="9639" w:type="dxa"/>
          </w:tcPr>
          <w:p w:rsidR="00CB0342" w:rsidRPr="007B6E69" w:rsidRDefault="00DA60D2" w:rsidP="00DA60D2">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Road Safety Commission, WA</w:t>
            </w: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for Infrastructure and Transport, SA</w:t>
            </w: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State Growth, TAS</w:t>
            </w:r>
          </w:p>
        </w:tc>
      </w:tr>
      <w:tr w:rsidR="00CB0342" w:rsidRPr="007B6E69" w:rsidTr="00710A9C">
        <w:tc>
          <w:tcPr>
            <w:tcW w:w="9639" w:type="dxa"/>
          </w:tcPr>
          <w:p w:rsidR="00CB0342" w:rsidRPr="007B6E69" w:rsidRDefault="00786546" w:rsidP="00710A9C">
            <w:pPr>
              <w:pStyle w:val="Tablesubheading1"/>
              <w:rPr>
                <w:rFonts w:asciiTheme="minorHAnsi" w:hAnsiTheme="minorHAnsi" w:cstheme="minorHAnsi"/>
                <w:i w:val="0"/>
                <w:sz w:val="20"/>
                <w:szCs w:val="20"/>
              </w:rPr>
            </w:pPr>
            <w:r w:rsidRPr="00786546">
              <w:rPr>
                <w:rFonts w:asciiTheme="minorHAnsi" w:hAnsiTheme="minorHAnsi" w:cstheme="minorHAnsi"/>
                <w:i w:val="0"/>
                <w:sz w:val="20"/>
                <w:szCs w:val="20"/>
              </w:rPr>
              <w:t>Transport Canberra and City Services Directorate</w:t>
            </w:r>
            <w:r w:rsidR="00CB0342" w:rsidRPr="007B6E69">
              <w:rPr>
                <w:rFonts w:asciiTheme="minorHAnsi" w:hAnsiTheme="minorHAnsi" w:cstheme="minorHAnsi"/>
                <w:i w:val="0"/>
                <w:sz w:val="20"/>
                <w:szCs w:val="20"/>
              </w:rPr>
              <w:t>, ACT</w:t>
            </w: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Infrastructure, Planning and Logistics, NT</w:t>
            </w: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New Zealand Transport Agency</w:t>
            </w: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sz w:val="20"/>
                <w:szCs w:val="20"/>
              </w:rPr>
            </w:pP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sz w:val="20"/>
                <w:szCs w:val="20"/>
              </w:rPr>
            </w:pPr>
            <w:r w:rsidRPr="007B6E69">
              <w:rPr>
                <w:rFonts w:asciiTheme="minorHAnsi" w:hAnsiTheme="minorHAnsi" w:cstheme="minorHAnsi"/>
                <w:sz w:val="20"/>
                <w:szCs w:val="20"/>
              </w:rPr>
              <w:t>Inter Governmental Representatives</w:t>
            </w: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National Heavy Vehicle Regulator</w:t>
            </w: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National Transport Commission</w:t>
            </w: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sz w:val="20"/>
                <w:szCs w:val="20"/>
              </w:rPr>
            </w:pP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sz w:val="20"/>
                <w:szCs w:val="20"/>
              </w:rPr>
            </w:pPr>
            <w:r w:rsidRPr="007B6E69">
              <w:rPr>
                <w:rFonts w:asciiTheme="minorHAnsi" w:hAnsiTheme="minorHAnsi" w:cstheme="minorHAnsi"/>
                <w:sz w:val="20"/>
                <w:szCs w:val="20"/>
              </w:rPr>
              <w:t>Manufacturer Representatives</w:t>
            </w:r>
          </w:p>
        </w:tc>
      </w:tr>
      <w:tr w:rsidR="00CB0342" w:rsidRPr="007B6E69" w:rsidTr="00710A9C">
        <w:tc>
          <w:tcPr>
            <w:tcW w:w="9639" w:type="dxa"/>
          </w:tcPr>
          <w:p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Bus Industry Confederation</w:t>
            </w:r>
          </w:p>
        </w:tc>
      </w:tr>
      <w:tr w:rsidR="00CB0342" w:rsidRPr="007B6E69" w:rsidTr="00710A9C">
        <w:tc>
          <w:tcPr>
            <w:tcW w:w="9639" w:type="dxa"/>
          </w:tcPr>
          <w:p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 xml:space="preserve">Commercial Vehicle Industry Association </w:t>
            </w:r>
            <w:r w:rsidRPr="007B6E69">
              <w:rPr>
                <w:rFonts w:asciiTheme="minorHAnsi" w:eastAsia="Times New Roman" w:hAnsiTheme="minorHAnsi" w:cstheme="minorHAnsi"/>
                <w:bCs/>
                <w:color w:val="000000"/>
                <w:sz w:val="20"/>
                <w:szCs w:val="20"/>
                <w:lang w:eastAsia="en-AU"/>
              </w:rPr>
              <w:t>of Australia</w:t>
            </w:r>
          </w:p>
        </w:tc>
      </w:tr>
      <w:tr w:rsidR="00CB0342" w:rsidRPr="007B6E69" w:rsidTr="00710A9C">
        <w:tc>
          <w:tcPr>
            <w:tcW w:w="9639" w:type="dxa"/>
          </w:tcPr>
          <w:p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Federal Chamber of Automotive Industries</w:t>
            </w:r>
          </w:p>
        </w:tc>
      </w:tr>
      <w:tr w:rsidR="00CB0342" w:rsidRPr="007B6E69" w:rsidTr="00710A9C">
        <w:tc>
          <w:tcPr>
            <w:tcW w:w="9639" w:type="dxa"/>
          </w:tcPr>
          <w:p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Heavy Vehicle Industry Association</w:t>
            </w:r>
          </w:p>
        </w:tc>
      </w:tr>
      <w:tr w:rsidR="00CB0342" w:rsidRPr="007B6E69" w:rsidTr="00710A9C">
        <w:tc>
          <w:tcPr>
            <w:tcW w:w="9639" w:type="dxa"/>
          </w:tcPr>
          <w:p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Truck Industry Council</w:t>
            </w:r>
            <w:r w:rsidRPr="007B6E69" w:rsidDel="0091272B">
              <w:rPr>
                <w:rFonts w:asciiTheme="minorHAnsi" w:hAnsiTheme="minorHAnsi" w:cstheme="minorHAnsi"/>
                <w:sz w:val="20"/>
                <w:szCs w:val="20"/>
              </w:rPr>
              <w:t xml:space="preserve"> </w:t>
            </w:r>
          </w:p>
        </w:tc>
      </w:tr>
      <w:tr w:rsidR="00CB0342" w:rsidRPr="007B6E69" w:rsidTr="00710A9C">
        <w:tc>
          <w:tcPr>
            <w:tcW w:w="9639" w:type="dxa"/>
          </w:tcPr>
          <w:p w:rsidR="00CB0342" w:rsidRPr="007B6E69" w:rsidRDefault="00CB0342" w:rsidP="00710A9C">
            <w:pPr>
              <w:pStyle w:val="Table1"/>
              <w:rPr>
                <w:rFonts w:asciiTheme="minorHAnsi" w:hAnsiTheme="minorHAnsi" w:cstheme="minorHAnsi"/>
                <w:sz w:val="20"/>
                <w:szCs w:val="20"/>
              </w:rPr>
            </w:pP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sz w:val="20"/>
                <w:szCs w:val="20"/>
              </w:rPr>
            </w:pPr>
            <w:r w:rsidRPr="007B6E69">
              <w:rPr>
                <w:rFonts w:asciiTheme="minorHAnsi" w:hAnsiTheme="minorHAnsi" w:cstheme="minorHAnsi"/>
                <w:sz w:val="20"/>
                <w:szCs w:val="20"/>
              </w:rPr>
              <w:t>Consumer Representatives</w:t>
            </w:r>
          </w:p>
        </w:tc>
      </w:tr>
      <w:tr w:rsidR="00CB0342" w:rsidRPr="007B6E69" w:rsidTr="00710A9C">
        <w:tc>
          <w:tcPr>
            <w:tcW w:w="9639" w:type="dxa"/>
          </w:tcPr>
          <w:p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Australian Automobile Association</w:t>
            </w:r>
          </w:p>
        </w:tc>
      </w:tr>
      <w:tr w:rsidR="00CB0342" w:rsidRPr="007B6E69" w:rsidTr="00710A9C">
        <w:tc>
          <w:tcPr>
            <w:tcW w:w="9639" w:type="dxa"/>
          </w:tcPr>
          <w:p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Australian Trucking Association</w:t>
            </w:r>
          </w:p>
        </w:tc>
      </w:tr>
      <w:tr w:rsidR="00CB0342" w:rsidRPr="007B6E69" w:rsidTr="00710A9C">
        <w:tc>
          <w:tcPr>
            <w:tcW w:w="9639" w:type="dxa"/>
            <w:tcBorders>
              <w:bottom w:val="single" w:sz="12" w:space="0" w:color="000000"/>
            </w:tcBorders>
          </w:tcPr>
          <w:p w:rsidR="00CB0342" w:rsidRPr="007B6E69" w:rsidRDefault="00CB0342" w:rsidP="00710A9C">
            <w:pPr>
              <w:pStyle w:val="Table1"/>
            </w:pPr>
          </w:p>
        </w:tc>
      </w:tr>
    </w:tbl>
    <w:p w:rsidR="008E226D" w:rsidRPr="007B6E69" w:rsidRDefault="008E226D" w:rsidP="00E13D3A">
      <w:pPr>
        <w:pStyle w:val="AppendixHeading1"/>
        <w:sectPr w:rsidR="008E226D" w:rsidRPr="007B6E69" w:rsidSect="0024270A">
          <w:type w:val="continuous"/>
          <w:pgSz w:w="11906" w:h="16838" w:code="9"/>
          <w:pgMar w:top="1021" w:right="1021" w:bottom="1021" w:left="1021" w:header="510" w:footer="567" w:gutter="0"/>
          <w:cols w:space="708"/>
          <w:docGrid w:linePitch="360"/>
        </w:sectPr>
      </w:pPr>
    </w:p>
    <w:p w:rsidR="008A23AD" w:rsidRPr="007B6E69" w:rsidRDefault="00197BA7" w:rsidP="00E13D3A">
      <w:pPr>
        <w:pStyle w:val="AppendixHeading1"/>
      </w:pPr>
      <w:bookmarkStart w:id="186" w:name="_Toc111576740"/>
      <w:bookmarkStart w:id="187" w:name="_Toc138065735"/>
      <w:r w:rsidRPr="007B6E69">
        <w:t>Appendix 1</w:t>
      </w:r>
      <w:r w:rsidR="008B1541">
        <w:t>3</w:t>
      </w:r>
      <w:r w:rsidRPr="007B6E69">
        <w:t xml:space="preserve"> – </w:t>
      </w:r>
      <w:r w:rsidR="00DA2099" w:rsidRPr="007B6E69">
        <w:t>Technical Liaison Group</w:t>
      </w:r>
      <w:bookmarkEnd w:id="186"/>
      <w:bookmarkEnd w:id="187"/>
    </w:p>
    <w:p w:rsidR="0025314A" w:rsidRPr="007B6E69" w:rsidRDefault="00F20388" w:rsidP="00CB0342">
      <w:pPr>
        <w:spacing w:after="240"/>
      </w:pPr>
      <w:r w:rsidRPr="007B6E69">
        <w:t xml:space="preserve">The Technical Liaison Group (TLG) has two principal roles: to advise the Strategic Vehicle Safety and Environment Group (SVSEG) on detailed technical issues relating to the implementation and development of the </w:t>
      </w:r>
      <w:r w:rsidR="008742A6" w:rsidRPr="007B6E69">
        <w:t>ADR</w:t>
      </w:r>
      <w:r w:rsidRPr="007B6E69">
        <w:t>s for vehicles, and to advise SVSEG on detailed technical issues relating to regulatory and non-regulatory approaches to improving vehicle safety and environmental performance.</w:t>
      </w:r>
    </w:p>
    <w:p w:rsidR="000B61A1" w:rsidRPr="007B6E69" w:rsidRDefault="000B61A1" w:rsidP="000B61A1">
      <w:pPr>
        <w:rPr>
          <w:i/>
          <w:u w:val="single"/>
        </w:rPr>
        <w:sectPr w:rsidR="000B61A1" w:rsidRPr="007B6E69" w:rsidSect="00DE3EBA">
          <w:pgSz w:w="11906" w:h="16838" w:code="9"/>
          <w:pgMar w:top="1021" w:right="1021" w:bottom="1021" w:left="1021" w:header="1276" w:footer="709" w:gutter="0"/>
          <w:cols w:space="708"/>
          <w:docGrid w:linePitch="360"/>
        </w:sectPr>
      </w:pPr>
    </w:p>
    <w:tbl>
      <w:tblPr>
        <w:tblW w:w="0" w:type="auto"/>
        <w:tblBorders>
          <w:top w:val="single" w:sz="4" w:space="0" w:color="000000"/>
          <w:bottom w:val="single" w:sz="4" w:space="0" w:color="000000"/>
          <w:insideV w:val="single" w:sz="4" w:space="0" w:color="000000"/>
        </w:tblBorders>
        <w:tblCellMar>
          <w:left w:w="0" w:type="dxa"/>
          <w:right w:w="0" w:type="dxa"/>
        </w:tblCellMar>
        <w:tblLook w:val="04A0" w:firstRow="1" w:lastRow="0" w:firstColumn="1" w:lastColumn="0" w:noHBand="0" w:noVBand="1"/>
      </w:tblPr>
      <w:tblGrid>
        <w:gridCol w:w="9639"/>
      </w:tblGrid>
      <w:tr w:rsidR="00CB0342" w:rsidRPr="007B6E69" w:rsidTr="00710A9C">
        <w:trPr>
          <w:trHeight w:hRule="exact" w:val="454"/>
        </w:trPr>
        <w:tc>
          <w:tcPr>
            <w:tcW w:w="9639" w:type="dxa"/>
            <w:tcBorders>
              <w:top w:val="single" w:sz="12" w:space="0" w:color="000000"/>
              <w:bottom w:val="single" w:sz="12" w:space="0" w:color="auto"/>
            </w:tcBorders>
            <w:shd w:val="clear" w:color="auto" w:fill="0D3064" w:themeFill="accent1" w:themeFillTint="E6"/>
            <w:vAlign w:val="center"/>
          </w:tcPr>
          <w:p w:rsidR="00CB0342" w:rsidRPr="007B6E69" w:rsidRDefault="00CB0342" w:rsidP="00710A9C">
            <w:pPr>
              <w:pStyle w:val="Tableheading1"/>
              <w:jc w:val="left"/>
              <w:rPr>
                <w:rFonts w:asciiTheme="minorHAnsi" w:hAnsiTheme="minorHAnsi" w:cstheme="minorHAnsi"/>
                <w:b/>
                <w:sz w:val="20"/>
                <w:szCs w:val="20"/>
              </w:rPr>
            </w:pPr>
            <w:r w:rsidRPr="007B6E69">
              <w:rPr>
                <w:rFonts w:asciiTheme="minorHAnsi" w:hAnsiTheme="minorHAnsi" w:cstheme="minorHAnsi"/>
                <w:b/>
                <w:sz w:val="20"/>
                <w:szCs w:val="20"/>
              </w:rPr>
              <w:t>Organisation</w:t>
            </w:r>
          </w:p>
        </w:tc>
      </w:tr>
      <w:tr w:rsidR="00CB0342" w:rsidRPr="007B6E69" w:rsidTr="00710A9C">
        <w:tc>
          <w:tcPr>
            <w:tcW w:w="9639" w:type="dxa"/>
            <w:tcBorders>
              <w:top w:val="single" w:sz="12" w:space="0" w:color="auto"/>
            </w:tcBorders>
          </w:tcPr>
          <w:p w:rsidR="00CB0342" w:rsidRPr="007B6E69" w:rsidRDefault="00CB0342" w:rsidP="00710A9C">
            <w:pPr>
              <w:pStyle w:val="Table1"/>
              <w:rPr>
                <w:rFonts w:asciiTheme="minorHAnsi" w:hAnsiTheme="minorHAnsi" w:cstheme="minorHAnsi"/>
                <w:sz w:val="20"/>
                <w:szCs w:val="20"/>
              </w:rPr>
            </w:pP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sz w:val="20"/>
                <w:szCs w:val="20"/>
              </w:rPr>
            </w:pPr>
            <w:r w:rsidRPr="007B6E69">
              <w:rPr>
                <w:rFonts w:asciiTheme="minorHAnsi" w:hAnsiTheme="minorHAnsi" w:cstheme="minorHAnsi"/>
                <w:sz w:val="20"/>
                <w:szCs w:val="20"/>
              </w:rPr>
              <w:t>Government Representatives</w:t>
            </w: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Infrastructure, Transport, Regional Development, Communications and the Arts</w:t>
            </w: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Transport for NSW</w:t>
            </w: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Transport, VIC</w:t>
            </w: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Transport and Main Roads, QLD</w:t>
            </w:r>
          </w:p>
        </w:tc>
      </w:tr>
      <w:tr w:rsidR="00CB0342" w:rsidRPr="007B6E69" w:rsidTr="00710A9C">
        <w:tc>
          <w:tcPr>
            <w:tcW w:w="9639" w:type="dxa"/>
          </w:tcPr>
          <w:p w:rsidR="00CB0342" w:rsidRPr="007B6E69" w:rsidRDefault="009B2BD0"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Transport, WA</w:t>
            </w: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for Infrastructure and Transport, SA</w:t>
            </w: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State Growth, TAS</w:t>
            </w:r>
          </w:p>
        </w:tc>
      </w:tr>
      <w:tr w:rsidR="00CB0342" w:rsidRPr="007B6E69" w:rsidTr="00710A9C">
        <w:tc>
          <w:tcPr>
            <w:tcW w:w="9639" w:type="dxa"/>
          </w:tcPr>
          <w:p w:rsidR="00CB0342" w:rsidRPr="007B6E69" w:rsidRDefault="00E8422E" w:rsidP="00710A9C">
            <w:pPr>
              <w:pStyle w:val="Tablesubheading1"/>
              <w:rPr>
                <w:rFonts w:asciiTheme="minorHAnsi" w:hAnsiTheme="minorHAnsi" w:cstheme="minorHAnsi"/>
                <w:i w:val="0"/>
                <w:sz w:val="20"/>
                <w:szCs w:val="20"/>
              </w:rPr>
            </w:pPr>
            <w:r w:rsidRPr="00786546">
              <w:rPr>
                <w:rFonts w:asciiTheme="minorHAnsi" w:hAnsiTheme="minorHAnsi" w:cstheme="minorHAnsi"/>
                <w:i w:val="0"/>
                <w:sz w:val="20"/>
                <w:szCs w:val="20"/>
              </w:rPr>
              <w:t>Transport Canberra and City Services Directorate</w:t>
            </w:r>
            <w:r w:rsidRPr="007B6E69">
              <w:rPr>
                <w:rFonts w:asciiTheme="minorHAnsi" w:hAnsiTheme="minorHAnsi" w:cstheme="minorHAnsi"/>
                <w:i w:val="0"/>
                <w:sz w:val="20"/>
                <w:szCs w:val="20"/>
              </w:rPr>
              <w:t>, ACT</w:t>
            </w: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Department of Infrastructure, Planning and Logistics, NT</w:t>
            </w: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New Zealand Transport Agency</w:t>
            </w: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sz w:val="20"/>
                <w:szCs w:val="20"/>
              </w:rPr>
            </w:pP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sz w:val="20"/>
                <w:szCs w:val="20"/>
              </w:rPr>
            </w:pPr>
            <w:r w:rsidRPr="007B6E69">
              <w:rPr>
                <w:rFonts w:asciiTheme="minorHAnsi" w:hAnsiTheme="minorHAnsi" w:cstheme="minorHAnsi"/>
                <w:sz w:val="20"/>
                <w:szCs w:val="20"/>
              </w:rPr>
              <w:t>Inter Governmental Representatives</w:t>
            </w: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National Heavy Vehicle Regulator</w:t>
            </w: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i w:val="0"/>
                <w:sz w:val="20"/>
                <w:szCs w:val="20"/>
              </w:rPr>
            </w:pPr>
            <w:r w:rsidRPr="007B6E69">
              <w:rPr>
                <w:rFonts w:asciiTheme="minorHAnsi" w:hAnsiTheme="minorHAnsi" w:cstheme="minorHAnsi"/>
                <w:i w:val="0"/>
                <w:sz w:val="20"/>
                <w:szCs w:val="20"/>
              </w:rPr>
              <w:t>National Transport Commission</w:t>
            </w: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sz w:val="20"/>
                <w:szCs w:val="20"/>
              </w:rPr>
            </w:pP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sz w:val="20"/>
                <w:szCs w:val="20"/>
              </w:rPr>
            </w:pPr>
            <w:r w:rsidRPr="007B6E69">
              <w:rPr>
                <w:rFonts w:asciiTheme="minorHAnsi" w:hAnsiTheme="minorHAnsi" w:cstheme="minorHAnsi"/>
                <w:sz w:val="20"/>
                <w:szCs w:val="20"/>
              </w:rPr>
              <w:t>Manufacturer Representatives</w:t>
            </w:r>
          </w:p>
        </w:tc>
      </w:tr>
      <w:tr w:rsidR="00CB0342" w:rsidRPr="007B6E69" w:rsidTr="00710A9C">
        <w:tc>
          <w:tcPr>
            <w:tcW w:w="9639" w:type="dxa"/>
          </w:tcPr>
          <w:p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Bus Industry Confederation</w:t>
            </w:r>
          </w:p>
        </w:tc>
      </w:tr>
      <w:tr w:rsidR="00CB0342" w:rsidRPr="007B6E69" w:rsidTr="00710A9C">
        <w:tc>
          <w:tcPr>
            <w:tcW w:w="9639" w:type="dxa"/>
          </w:tcPr>
          <w:p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Caravan Industry Association of Australia Ltd</w:t>
            </w:r>
          </w:p>
        </w:tc>
      </w:tr>
      <w:tr w:rsidR="00CB0342" w:rsidRPr="007B6E69" w:rsidTr="00710A9C">
        <w:tc>
          <w:tcPr>
            <w:tcW w:w="9639" w:type="dxa"/>
          </w:tcPr>
          <w:p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 xml:space="preserve">Commercial Vehicle Industry Association </w:t>
            </w:r>
            <w:r w:rsidRPr="007B6E69">
              <w:rPr>
                <w:rFonts w:asciiTheme="minorHAnsi" w:eastAsia="Times New Roman" w:hAnsiTheme="minorHAnsi" w:cstheme="minorHAnsi"/>
                <w:bCs/>
                <w:color w:val="000000"/>
                <w:sz w:val="20"/>
                <w:szCs w:val="20"/>
                <w:lang w:eastAsia="en-AU"/>
              </w:rPr>
              <w:t>of Australia</w:t>
            </w:r>
          </w:p>
        </w:tc>
      </w:tr>
      <w:tr w:rsidR="00CB0342" w:rsidRPr="007B6E69" w:rsidTr="00710A9C">
        <w:tc>
          <w:tcPr>
            <w:tcW w:w="9639" w:type="dxa"/>
          </w:tcPr>
          <w:p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Federal Chamber of Automotive Industries</w:t>
            </w:r>
          </w:p>
        </w:tc>
      </w:tr>
      <w:tr w:rsidR="00CB0342" w:rsidRPr="007B6E69" w:rsidTr="00710A9C">
        <w:tc>
          <w:tcPr>
            <w:tcW w:w="9639" w:type="dxa"/>
          </w:tcPr>
          <w:p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Heavy Vehicle Industry Association</w:t>
            </w:r>
          </w:p>
        </w:tc>
      </w:tr>
      <w:tr w:rsidR="00CB0342" w:rsidRPr="007B6E69" w:rsidTr="00710A9C">
        <w:tc>
          <w:tcPr>
            <w:tcW w:w="9639" w:type="dxa"/>
          </w:tcPr>
          <w:p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Truck Industry Council</w:t>
            </w:r>
            <w:r w:rsidRPr="007B6E69" w:rsidDel="0091272B">
              <w:rPr>
                <w:rFonts w:asciiTheme="minorHAnsi" w:hAnsiTheme="minorHAnsi" w:cstheme="minorHAnsi"/>
                <w:sz w:val="20"/>
                <w:szCs w:val="20"/>
              </w:rPr>
              <w:t xml:space="preserve"> </w:t>
            </w:r>
          </w:p>
        </w:tc>
      </w:tr>
      <w:tr w:rsidR="00CB0342" w:rsidRPr="007B6E69" w:rsidTr="00710A9C">
        <w:tc>
          <w:tcPr>
            <w:tcW w:w="9639" w:type="dxa"/>
          </w:tcPr>
          <w:p w:rsidR="00CB0342" w:rsidRPr="007B6E69" w:rsidRDefault="00CB0342" w:rsidP="00710A9C">
            <w:pPr>
              <w:pStyle w:val="Table1"/>
              <w:rPr>
                <w:rFonts w:asciiTheme="minorHAnsi" w:hAnsiTheme="minorHAnsi" w:cstheme="minorHAnsi"/>
                <w:sz w:val="20"/>
                <w:szCs w:val="20"/>
              </w:rPr>
            </w:pPr>
          </w:p>
        </w:tc>
      </w:tr>
      <w:tr w:rsidR="00CB0342" w:rsidRPr="007B6E69" w:rsidTr="00710A9C">
        <w:tc>
          <w:tcPr>
            <w:tcW w:w="9639" w:type="dxa"/>
          </w:tcPr>
          <w:p w:rsidR="00CB0342" w:rsidRPr="007B6E69" w:rsidRDefault="00CB0342" w:rsidP="00710A9C">
            <w:pPr>
              <w:pStyle w:val="Tablesubheading1"/>
              <w:rPr>
                <w:rFonts w:asciiTheme="minorHAnsi" w:hAnsiTheme="minorHAnsi" w:cstheme="minorHAnsi"/>
                <w:sz w:val="20"/>
                <w:szCs w:val="20"/>
              </w:rPr>
            </w:pPr>
            <w:r w:rsidRPr="007B6E69">
              <w:rPr>
                <w:rFonts w:asciiTheme="minorHAnsi" w:hAnsiTheme="minorHAnsi" w:cstheme="minorHAnsi"/>
                <w:sz w:val="20"/>
                <w:szCs w:val="20"/>
              </w:rPr>
              <w:t>Consumer Representatives</w:t>
            </w:r>
          </w:p>
        </w:tc>
      </w:tr>
      <w:tr w:rsidR="00CB0342" w:rsidRPr="007B6E69" w:rsidTr="00710A9C">
        <w:tc>
          <w:tcPr>
            <w:tcW w:w="9639" w:type="dxa"/>
          </w:tcPr>
          <w:p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Australian Automobile Association</w:t>
            </w:r>
          </w:p>
        </w:tc>
      </w:tr>
      <w:tr w:rsidR="00CB0342" w:rsidRPr="007B6E69" w:rsidTr="00710A9C">
        <w:tc>
          <w:tcPr>
            <w:tcW w:w="9639" w:type="dxa"/>
          </w:tcPr>
          <w:p w:rsidR="00CB0342" w:rsidRPr="00EF2827" w:rsidRDefault="00CB0342" w:rsidP="00710A9C">
            <w:pPr>
              <w:pStyle w:val="Table1"/>
              <w:rPr>
                <w:rFonts w:asciiTheme="minorHAnsi" w:hAnsiTheme="minorHAnsi" w:cstheme="minorHAnsi"/>
                <w:sz w:val="20"/>
                <w:szCs w:val="20"/>
              </w:rPr>
            </w:pPr>
            <w:r w:rsidRPr="00EF2827">
              <w:rPr>
                <w:rFonts w:asciiTheme="minorHAnsi" w:hAnsiTheme="minorHAnsi" w:cstheme="minorHAnsi"/>
                <w:sz w:val="20"/>
                <w:szCs w:val="20"/>
              </w:rPr>
              <w:t>Australian Automotive Aftermarket Association</w:t>
            </w:r>
          </w:p>
        </w:tc>
      </w:tr>
      <w:tr w:rsidR="00CB0342" w:rsidRPr="007B6E69" w:rsidTr="00710A9C">
        <w:tc>
          <w:tcPr>
            <w:tcW w:w="9639" w:type="dxa"/>
          </w:tcPr>
          <w:p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Australian Trucking Association</w:t>
            </w:r>
          </w:p>
        </w:tc>
      </w:tr>
      <w:tr w:rsidR="00CB0342" w:rsidRPr="007B6E69" w:rsidTr="00710A9C">
        <w:tc>
          <w:tcPr>
            <w:tcW w:w="9639" w:type="dxa"/>
          </w:tcPr>
          <w:p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Registered Automotive Workshop Scheme Association</w:t>
            </w:r>
          </w:p>
        </w:tc>
      </w:tr>
      <w:tr w:rsidR="00CB0342" w:rsidRPr="007B6E69" w:rsidTr="00710A9C">
        <w:tc>
          <w:tcPr>
            <w:tcW w:w="9639" w:type="dxa"/>
          </w:tcPr>
          <w:p w:rsidR="00CB0342" w:rsidRPr="007B6E69" w:rsidRDefault="00CB0342" w:rsidP="00710A9C">
            <w:pPr>
              <w:pStyle w:val="Table1"/>
              <w:rPr>
                <w:rFonts w:asciiTheme="minorHAnsi" w:hAnsiTheme="minorHAnsi" w:cstheme="minorHAnsi"/>
                <w:sz w:val="20"/>
                <w:szCs w:val="20"/>
              </w:rPr>
            </w:pPr>
            <w:r w:rsidRPr="007B6E69">
              <w:rPr>
                <w:rFonts w:asciiTheme="minorHAnsi" w:hAnsiTheme="minorHAnsi" w:cstheme="minorHAnsi"/>
                <w:sz w:val="20"/>
                <w:szCs w:val="20"/>
              </w:rPr>
              <w:t>Australian Imported Motor Vehicle Industry Association</w:t>
            </w:r>
          </w:p>
        </w:tc>
      </w:tr>
      <w:tr w:rsidR="00CB0342" w:rsidRPr="007B6E69" w:rsidTr="00710A9C">
        <w:tc>
          <w:tcPr>
            <w:tcW w:w="9639" w:type="dxa"/>
            <w:tcBorders>
              <w:bottom w:val="single" w:sz="12" w:space="0" w:color="000000"/>
            </w:tcBorders>
          </w:tcPr>
          <w:p w:rsidR="00CB0342" w:rsidRPr="007B6E69" w:rsidRDefault="00CB0342" w:rsidP="00710A9C">
            <w:pPr>
              <w:pStyle w:val="Table1"/>
            </w:pPr>
          </w:p>
        </w:tc>
      </w:tr>
    </w:tbl>
    <w:p w:rsidR="00DA2099" w:rsidRPr="007B6E69" w:rsidRDefault="00DA2099" w:rsidP="008A23AD">
      <w:pPr>
        <w:sectPr w:rsidR="00DA2099" w:rsidRPr="007B6E69" w:rsidSect="000B61A1">
          <w:type w:val="continuous"/>
          <w:pgSz w:w="11906" w:h="16838" w:code="9"/>
          <w:pgMar w:top="1021" w:right="1021" w:bottom="1021" w:left="1021" w:header="510" w:footer="567" w:gutter="0"/>
          <w:cols w:space="708"/>
          <w:docGrid w:linePitch="360"/>
        </w:sectPr>
      </w:pPr>
    </w:p>
    <w:p w:rsidR="00496B81" w:rsidRPr="007B6E69" w:rsidRDefault="00C47D1D" w:rsidP="00E13D3A">
      <w:pPr>
        <w:pStyle w:val="AppendixHeading1"/>
      </w:pPr>
      <w:bookmarkStart w:id="188" w:name="_Toc111576741"/>
      <w:bookmarkStart w:id="189" w:name="_Toc138065736"/>
      <w:r>
        <w:t>Appendix 1</w:t>
      </w:r>
      <w:r w:rsidR="008B1541">
        <w:t>4</w:t>
      </w:r>
      <w:r w:rsidR="00496B81" w:rsidRPr="007B6E69">
        <w:t xml:space="preserve"> – </w:t>
      </w:r>
      <w:r w:rsidR="006D7157" w:rsidRPr="007B6E69">
        <w:t>Public Comment, Safer Freight Vehicles Discussion Paper</w:t>
      </w:r>
      <w:bookmarkEnd w:id="188"/>
      <w:bookmarkEnd w:id="189"/>
    </w:p>
    <w:p w:rsidR="006D7157" w:rsidRPr="007B6E69" w:rsidRDefault="006D7157" w:rsidP="006D7157">
      <w:r w:rsidRPr="007B6E69">
        <w:t xml:space="preserve">A summary of the comments received and the </w:t>
      </w:r>
      <w:r w:rsidR="00B9347B">
        <w:t>department</w:t>
      </w:r>
      <w:r w:rsidRPr="007B6E69">
        <w:t xml:space="preserve"> response are included in the </w:t>
      </w:r>
      <w:r w:rsidRPr="007B6E69">
        <w:fldChar w:fldCharType="begin"/>
      </w:r>
      <w:r w:rsidRPr="007B6E69">
        <w:instrText xml:space="preserve"> REF _Ref35513546 \h </w:instrText>
      </w:r>
      <w:r w:rsidRPr="007B6E69">
        <w:fldChar w:fldCharType="separate"/>
      </w:r>
      <w:r w:rsidR="00534814" w:rsidRPr="007B6E69">
        <w:t xml:space="preserve">Table </w:t>
      </w:r>
      <w:r w:rsidR="00534814">
        <w:rPr>
          <w:noProof/>
        </w:rPr>
        <w:t>27</w:t>
      </w:r>
      <w:r w:rsidRPr="007B6E69">
        <w:fldChar w:fldCharType="end"/>
      </w:r>
      <w:r w:rsidRPr="007B6E69">
        <w:t xml:space="preserve"> below. Comments submitted in confidence have not been tabled for publication but have been considered in </w:t>
      </w:r>
      <w:r w:rsidR="00C03807">
        <w:t xml:space="preserve">refining and </w:t>
      </w:r>
      <w:r w:rsidRPr="007B6E69">
        <w:t>analysing the options.</w:t>
      </w:r>
      <w:r w:rsidR="002570D3">
        <w:t xml:space="preserve"> Comments submitted </w:t>
      </w:r>
      <w:r w:rsidR="00B20687">
        <w:t xml:space="preserve">in regard to ADR requirements for vehicle axle configuration and/or retractable axle transition masses are not considered here, but would be considered as part of any future </w:t>
      </w:r>
      <w:r w:rsidR="00C45600">
        <w:t>IA</w:t>
      </w:r>
      <w:r w:rsidR="00B20687">
        <w:t xml:space="preserve"> to analyse options for reforming those requirements.</w:t>
      </w:r>
    </w:p>
    <w:p w:rsidR="006D7157" w:rsidRPr="007B6E69" w:rsidRDefault="006D7157" w:rsidP="006D7157">
      <w:pPr>
        <w:pStyle w:val="Caption"/>
        <w:keepNext/>
      </w:pPr>
      <w:bookmarkStart w:id="190" w:name="_Ref35513546"/>
      <w:bookmarkStart w:id="191" w:name="_Toc135320152"/>
      <w:r w:rsidRPr="007B6E69">
        <w:t xml:space="preserve">Table </w:t>
      </w:r>
      <w:r w:rsidRPr="007B6E69">
        <w:fldChar w:fldCharType="begin"/>
      </w:r>
      <w:r w:rsidRPr="007B6E69">
        <w:instrText>SEQ Table \* ARABIC</w:instrText>
      </w:r>
      <w:r w:rsidRPr="007B6E69">
        <w:fldChar w:fldCharType="separate"/>
      </w:r>
      <w:r w:rsidR="00534814">
        <w:rPr>
          <w:noProof/>
        </w:rPr>
        <w:t>27</w:t>
      </w:r>
      <w:r w:rsidRPr="007B6E69">
        <w:fldChar w:fldCharType="end"/>
      </w:r>
      <w:bookmarkEnd w:id="190"/>
      <w:r w:rsidRPr="007B6E69">
        <w:t>: Summary of public comments</w:t>
      </w:r>
      <w:bookmarkEnd w:id="191"/>
    </w:p>
    <w:tbl>
      <w:tblPr>
        <w:tblStyle w:val="TableGrid"/>
        <w:tblW w:w="0" w:type="auto"/>
        <w:tblCellMar>
          <w:top w:w="57" w:type="dxa"/>
          <w:bottom w:w="57" w:type="dxa"/>
        </w:tblCellMar>
        <w:tblLook w:val="04A0" w:firstRow="1" w:lastRow="0" w:firstColumn="1" w:lastColumn="0" w:noHBand="0" w:noVBand="1"/>
      </w:tblPr>
      <w:tblGrid>
        <w:gridCol w:w="1696"/>
        <w:gridCol w:w="6379"/>
        <w:gridCol w:w="142"/>
        <w:gridCol w:w="6379"/>
      </w:tblGrid>
      <w:tr w:rsidR="003822C7" w:rsidRPr="007B6E69" w:rsidTr="00CC5A05">
        <w:trPr>
          <w:trHeight w:hRule="exact" w:val="851"/>
        </w:trPr>
        <w:tc>
          <w:tcPr>
            <w:tcW w:w="1696" w:type="dxa"/>
            <w:shd w:val="clear" w:color="auto" w:fill="0D3064" w:themeFill="accent1" w:themeFillTint="E6"/>
          </w:tcPr>
          <w:p w:rsidR="003822C7" w:rsidRPr="007B6E69" w:rsidRDefault="003822C7" w:rsidP="00710A9C">
            <w:pPr>
              <w:spacing w:before="120" w:after="120"/>
              <w:rPr>
                <w:b/>
                <w:color w:val="FFFFFF" w:themeColor="background1"/>
              </w:rPr>
            </w:pPr>
            <w:r w:rsidRPr="007B6E69">
              <w:rPr>
                <w:b/>
                <w:color w:val="FFFFFF" w:themeColor="background1"/>
              </w:rPr>
              <w:t>Correspondent</w:t>
            </w:r>
          </w:p>
        </w:tc>
        <w:tc>
          <w:tcPr>
            <w:tcW w:w="6521" w:type="dxa"/>
            <w:gridSpan w:val="2"/>
            <w:shd w:val="clear" w:color="auto" w:fill="0D3064" w:themeFill="accent1" w:themeFillTint="E6"/>
          </w:tcPr>
          <w:p w:rsidR="003822C7" w:rsidRPr="007B6E69" w:rsidRDefault="003822C7" w:rsidP="00710A9C">
            <w:pPr>
              <w:spacing w:before="120" w:after="120"/>
              <w:rPr>
                <w:b/>
                <w:color w:val="FFFFFF" w:themeColor="background1"/>
              </w:rPr>
            </w:pPr>
            <w:r w:rsidRPr="007B6E69">
              <w:rPr>
                <w:b/>
                <w:color w:val="FFFFFF" w:themeColor="background1"/>
              </w:rPr>
              <w:t>Summary of Comments</w:t>
            </w:r>
          </w:p>
        </w:tc>
        <w:tc>
          <w:tcPr>
            <w:tcW w:w="6379" w:type="dxa"/>
            <w:shd w:val="clear" w:color="auto" w:fill="0D3064" w:themeFill="accent1" w:themeFillTint="E6"/>
          </w:tcPr>
          <w:p w:rsidR="003822C7" w:rsidRPr="00BF44CF" w:rsidRDefault="003822C7" w:rsidP="00BF44CF">
            <w:pPr>
              <w:spacing w:before="120" w:after="120"/>
              <w:ind w:left="284" w:hanging="284"/>
              <w:rPr>
                <w:rFonts w:cstheme="minorHAnsi"/>
                <w:b/>
                <w:color w:val="FFFFFF" w:themeColor="background1"/>
              </w:rPr>
            </w:pPr>
            <w:r w:rsidRPr="00BF44CF">
              <w:rPr>
                <w:rFonts w:cstheme="minorHAnsi"/>
                <w:b/>
                <w:color w:val="FFFFFF" w:themeColor="background1"/>
              </w:rPr>
              <w:t>Department Response</w:t>
            </w:r>
          </w:p>
        </w:tc>
      </w:tr>
      <w:tr w:rsidR="003822C7" w:rsidRPr="007B6E69" w:rsidTr="00CC5A05">
        <w:tc>
          <w:tcPr>
            <w:tcW w:w="1696" w:type="dxa"/>
          </w:tcPr>
          <w:p w:rsidR="003822C7" w:rsidRPr="007B6E69" w:rsidRDefault="003822C7" w:rsidP="00710A9C">
            <w:pPr>
              <w:spacing w:before="120" w:after="120"/>
              <w:rPr>
                <w:rFonts w:cstheme="minorHAnsi"/>
              </w:rPr>
            </w:pPr>
            <w:r w:rsidRPr="007B6E69">
              <w:rPr>
                <w:rFonts w:cstheme="minorHAnsi"/>
              </w:rPr>
              <w:t>Arrival</w:t>
            </w:r>
          </w:p>
        </w:tc>
        <w:tc>
          <w:tcPr>
            <w:tcW w:w="6521" w:type="dxa"/>
            <w:gridSpan w:val="2"/>
          </w:tcPr>
          <w:p w:rsidR="003822C7" w:rsidRDefault="003822C7" w:rsidP="00BF44CF">
            <w:pPr>
              <w:pStyle w:val="ListParagraph"/>
              <w:keepLines/>
              <w:numPr>
                <w:ilvl w:val="6"/>
                <w:numId w:val="1"/>
              </w:numPr>
              <w:tabs>
                <w:tab w:val="left" w:pos="320"/>
              </w:tabs>
              <w:suppressAutoHyphens w:val="0"/>
              <w:ind w:left="284"/>
              <w:rPr>
                <w:rFonts w:cstheme="minorHAnsi"/>
                <w:szCs w:val="20"/>
              </w:rPr>
            </w:pPr>
            <w:r w:rsidRPr="00BF44CF">
              <w:rPr>
                <w:rFonts w:cstheme="minorHAnsi"/>
                <w:szCs w:val="20"/>
              </w:rPr>
              <w:t>Broadly agrees with the direction outlined to more closely harmonise the ADRs with regulations in force in other markets, and to allow technologies that would improve the safety and efficiency of heavy vehicles.</w:t>
            </w:r>
          </w:p>
          <w:p w:rsidR="003822C7" w:rsidRDefault="003822C7" w:rsidP="00BF44CF">
            <w:pPr>
              <w:pStyle w:val="ListParagraph"/>
              <w:keepLines/>
              <w:numPr>
                <w:ilvl w:val="6"/>
                <w:numId w:val="1"/>
              </w:numPr>
              <w:tabs>
                <w:tab w:val="left" w:pos="320"/>
              </w:tabs>
              <w:suppressAutoHyphens w:val="0"/>
              <w:ind w:left="284"/>
              <w:rPr>
                <w:rFonts w:cstheme="minorHAnsi"/>
                <w:szCs w:val="20"/>
              </w:rPr>
            </w:pPr>
            <w:r>
              <w:rPr>
                <w:rFonts w:cstheme="minorHAnsi"/>
                <w:szCs w:val="20"/>
              </w:rPr>
              <w:t>Considers that t</w:t>
            </w:r>
            <w:r w:rsidRPr="00401FA9">
              <w:rPr>
                <w:rFonts w:cstheme="minorHAnsi"/>
                <w:szCs w:val="20"/>
              </w:rPr>
              <w:t>he maximum allowable width should be increased to 2.55</w:t>
            </w:r>
            <w:r>
              <w:rPr>
                <w:rFonts w:cstheme="minorHAnsi"/>
                <w:szCs w:val="20"/>
              </w:rPr>
              <w:t> </w:t>
            </w:r>
            <w:r w:rsidRPr="00401FA9">
              <w:rPr>
                <w:rFonts w:cstheme="minorHAnsi"/>
                <w:szCs w:val="20"/>
              </w:rPr>
              <w:t>m for all vehicle categories and should exclude protruding equipment such as exterior mirrors, cameras and lamps to align with global standards and preclude the need for Australia specific vehicle designs</w:t>
            </w:r>
            <w:r>
              <w:rPr>
                <w:rFonts w:cstheme="minorHAnsi"/>
                <w:szCs w:val="20"/>
              </w:rPr>
              <w:t>.</w:t>
            </w:r>
          </w:p>
          <w:p w:rsidR="003822C7" w:rsidRPr="005B405D" w:rsidRDefault="003822C7" w:rsidP="005B405D">
            <w:pPr>
              <w:pStyle w:val="ListParagraph"/>
              <w:keepLines/>
              <w:numPr>
                <w:ilvl w:val="6"/>
                <w:numId w:val="1"/>
              </w:numPr>
              <w:tabs>
                <w:tab w:val="left" w:pos="320"/>
              </w:tabs>
              <w:suppressAutoHyphens w:val="0"/>
              <w:ind w:left="284"/>
              <w:rPr>
                <w:rFonts w:cstheme="minorHAnsi"/>
                <w:szCs w:val="20"/>
              </w:rPr>
            </w:pPr>
            <w:r w:rsidRPr="005B405D">
              <w:rPr>
                <w:rFonts w:cstheme="minorHAnsi"/>
                <w:szCs w:val="20"/>
              </w:rPr>
              <w:t>Notes for electric vehicles with a battery pack under the floor, additional width allows a greater battery capacity for the same length of vehicle without reducing the size of the structural supports on either side – reducing the width of the vehicle to localise for Australia could require either a reduction in driving range or the amount of structure provided to protect the battery pack.</w:t>
            </w:r>
          </w:p>
        </w:tc>
        <w:tc>
          <w:tcPr>
            <w:tcW w:w="6379" w:type="dxa"/>
          </w:tcPr>
          <w:p w:rsidR="003822C7" w:rsidRDefault="003822C7" w:rsidP="007C097D">
            <w:pPr>
              <w:pStyle w:val="ListParagraph"/>
              <w:keepLines/>
              <w:numPr>
                <w:ilvl w:val="0"/>
                <w:numId w:val="48"/>
              </w:numPr>
              <w:tabs>
                <w:tab w:val="left" w:pos="318"/>
              </w:tabs>
              <w:suppressAutoHyphens w:val="0"/>
              <w:ind w:left="284" w:hanging="284"/>
              <w:rPr>
                <w:rFonts w:cstheme="minorHAnsi"/>
                <w:szCs w:val="20"/>
              </w:rPr>
            </w:pPr>
            <w:r w:rsidRPr="00BF44CF">
              <w:rPr>
                <w:rFonts w:cstheme="minorHAnsi"/>
                <w:szCs w:val="20"/>
              </w:rPr>
              <w:t>Noted.</w:t>
            </w:r>
          </w:p>
          <w:p w:rsidR="003822C7" w:rsidRPr="003964D3" w:rsidRDefault="00560A3B" w:rsidP="00D90213">
            <w:pPr>
              <w:pStyle w:val="ListParagraph"/>
              <w:keepLines/>
              <w:numPr>
                <w:ilvl w:val="0"/>
                <w:numId w:val="48"/>
              </w:numPr>
              <w:tabs>
                <w:tab w:val="left" w:pos="318"/>
              </w:tabs>
              <w:suppressAutoHyphens w:val="0"/>
              <w:ind w:left="284" w:hanging="284"/>
              <w:rPr>
                <w:rFonts w:cstheme="minorHAnsi"/>
                <w:szCs w:val="20"/>
              </w:rPr>
            </w:pPr>
            <w:r w:rsidRPr="00EA6912">
              <w:rPr>
                <w:rFonts w:cstheme="minorHAnsi"/>
                <w:szCs w:val="20"/>
              </w:rPr>
              <w:t>Noted</w:t>
            </w:r>
            <w:r w:rsidR="003822C7" w:rsidRPr="00EA6912">
              <w:rPr>
                <w:rFonts w:cstheme="minorHAnsi"/>
                <w:szCs w:val="20"/>
              </w:rPr>
              <w:t>.</w:t>
            </w:r>
            <w:r w:rsidRPr="00EA6912">
              <w:rPr>
                <w:rFonts w:cstheme="minorHAnsi"/>
                <w:szCs w:val="20"/>
              </w:rPr>
              <w:t xml:space="preserve"> </w:t>
            </w:r>
            <w:r w:rsidR="00EA6912" w:rsidRPr="00EA6912">
              <w:rPr>
                <w:rFonts w:cstheme="minorHAnsi"/>
                <w:szCs w:val="20"/>
              </w:rPr>
              <w:t xml:space="preserve">This is beyond the scope of the current </w:t>
            </w:r>
            <w:r w:rsidR="00C45600">
              <w:rPr>
                <w:rFonts w:cstheme="minorHAnsi"/>
                <w:szCs w:val="20"/>
              </w:rPr>
              <w:t>IA</w:t>
            </w:r>
            <w:r w:rsidR="00EA6912" w:rsidRPr="00EA6912">
              <w:rPr>
                <w:rFonts w:cstheme="minorHAnsi"/>
                <w:szCs w:val="20"/>
              </w:rPr>
              <w:t xml:space="preserve">, which </w:t>
            </w:r>
            <w:r w:rsidR="00D90213">
              <w:rPr>
                <w:rFonts w:cstheme="minorHAnsi"/>
                <w:szCs w:val="20"/>
              </w:rPr>
              <w:t>has been aligned with</w:t>
            </w:r>
            <w:r w:rsidR="00EA6912" w:rsidRPr="00EA6912">
              <w:rPr>
                <w:rFonts w:cstheme="minorHAnsi"/>
                <w:szCs w:val="20"/>
              </w:rPr>
              <w:t xml:space="preserve"> Other Critical Action L of the NRSAP 2018-2020</w:t>
            </w:r>
            <w:r w:rsidR="00D90213">
              <w:rPr>
                <w:rFonts w:cstheme="minorHAnsi"/>
                <w:szCs w:val="20"/>
              </w:rPr>
              <w:t xml:space="preserve">, to investigate </w:t>
            </w:r>
            <w:r w:rsidR="00D90213" w:rsidRPr="00D90213">
              <w:rPr>
                <w:rFonts w:cstheme="minorHAnsi"/>
                <w:szCs w:val="20"/>
              </w:rPr>
              <w:t>the introduction of safer, cleaner heavy freight vehicles by minimising regulatory barriers</w:t>
            </w:r>
            <w:r w:rsidR="00EA6912">
              <w:rPr>
                <w:rFonts w:cstheme="minorHAnsi"/>
                <w:szCs w:val="20"/>
              </w:rPr>
              <w:t>.</w:t>
            </w:r>
            <w:r w:rsidR="00D90213">
              <w:rPr>
                <w:rFonts w:cstheme="minorHAnsi"/>
                <w:szCs w:val="20"/>
              </w:rPr>
              <w:t xml:space="preserve"> Increasing the width limit to 2.55 m (or </w:t>
            </w:r>
            <w:r w:rsidR="00B9347B">
              <w:rPr>
                <w:rFonts w:cstheme="minorHAnsi"/>
                <w:szCs w:val="20"/>
              </w:rPr>
              <w:t>2.60</w:t>
            </w:r>
            <w:r w:rsidR="00D90213">
              <w:rPr>
                <w:rFonts w:cstheme="minorHAnsi"/>
                <w:szCs w:val="20"/>
              </w:rPr>
              <w:t xml:space="preserve"> m) for other vehicle categories, including buses, could be considered as part of a future </w:t>
            </w:r>
            <w:r w:rsidR="00C45600">
              <w:rPr>
                <w:rFonts w:cstheme="minorHAnsi"/>
                <w:szCs w:val="20"/>
              </w:rPr>
              <w:t>IA</w:t>
            </w:r>
            <w:r w:rsidR="00522508">
              <w:rPr>
                <w:rFonts w:cstheme="minorHAnsi"/>
                <w:szCs w:val="20"/>
              </w:rPr>
              <w:t xml:space="preserve"> (subject to ADR development and review priorities)</w:t>
            </w:r>
            <w:r w:rsidR="00CB0D65">
              <w:rPr>
                <w:rFonts w:cstheme="minorHAnsi"/>
                <w:szCs w:val="20"/>
              </w:rPr>
              <w:t>.</w:t>
            </w:r>
          </w:p>
          <w:p w:rsidR="003822C7" w:rsidRPr="00BF44CF" w:rsidRDefault="003822C7" w:rsidP="007C097D">
            <w:pPr>
              <w:pStyle w:val="ListParagraph"/>
              <w:keepLines/>
              <w:numPr>
                <w:ilvl w:val="0"/>
                <w:numId w:val="48"/>
              </w:numPr>
              <w:tabs>
                <w:tab w:val="left" w:pos="318"/>
              </w:tabs>
              <w:suppressAutoHyphens w:val="0"/>
              <w:ind w:left="284" w:hanging="284"/>
              <w:rPr>
                <w:rFonts w:cstheme="minorHAnsi"/>
                <w:szCs w:val="20"/>
              </w:rPr>
            </w:pPr>
            <w:r>
              <w:rPr>
                <w:rFonts w:cstheme="minorHAnsi"/>
                <w:szCs w:val="20"/>
              </w:rPr>
              <w:t>Agreed.</w:t>
            </w:r>
          </w:p>
        </w:tc>
      </w:tr>
      <w:tr w:rsidR="003822C7" w:rsidRPr="007B6E69" w:rsidTr="00CC5A05">
        <w:tc>
          <w:tcPr>
            <w:tcW w:w="1696" w:type="dxa"/>
          </w:tcPr>
          <w:p w:rsidR="003822C7" w:rsidRPr="007B6E69" w:rsidRDefault="003822C7" w:rsidP="00FF6D1F">
            <w:pPr>
              <w:spacing w:before="120" w:after="120"/>
              <w:rPr>
                <w:rFonts w:cstheme="minorHAnsi"/>
              </w:rPr>
            </w:pPr>
            <w:r w:rsidRPr="007B6E69">
              <w:rPr>
                <w:rFonts w:cstheme="minorHAnsi"/>
              </w:rPr>
              <w:t>Australasian College of Road Safety</w:t>
            </w:r>
          </w:p>
        </w:tc>
        <w:tc>
          <w:tcPr>
            <w:tcW w:w="6521" w:type="dxa"/>
            <w:gridSpan w:val="2"/>
          </w:tcPr>
          <w:p w:rsidR="003822C7" w:rsidRDefault="003822C7" w:rsidP="00E248BF">
            <w:pPr>
              <w:pStyle w:val="ListParagraph"/>
              <w:keepLines/>
              <w:numPr>
                <w:ilvl w:val="0"/>
                <w:numId w:val="66"/>
              </w:numPr>
              <w:tabs>
                <w:tab w:val="left" w:pos="320"/>
              </w:tabs>
              <w:suppressAutoHyphens w:val="0"/>
              <w:ind w:left="284" w:hanging="284"/>
              <w:rPr>
                <w:rFonts w:cstheme="minorHAnsi"/>
              </w:rPr>
            </w:pPr>
            <w:r>
              <w:rPr>
                <w:rFonts w:cstheme="minorHAnsi"/>
              </w:rPr>
              <w:t>Provides in-principle support for the proposed changes to heavy vehicle regulation.</w:t>
            </w:r>
          </w:p>
          <w:p w:rsidR="003822C7" w:rsidRDefault="003822C7" w:rsidP="00E248BF">
            <w:pPr>
              <w:pStyle w:val="ListParagraph"/>
              <w:keepLines/>
              <w:numPr>
                <w:ilvl w:val="0"/>
                <w:numId w:val="66"/>
              </w:numPr>
              <w:tabs>
                <w:tab w:val="left" w:pos="320"/>
              </w:tabs>
              <w:suppressAutoHyphens w:val="0"/>
              <w:ind w:left="284" w:hanging="284"/>
              <w:rPr>
                <w:rFonts w:cstheme="minorHAnsi"/>
              </w:rPr>
            </w:pPr>
            <w:r>
              <w:rPr>
                <w:rFonts w:cstheme="minorHAnsi"/>
              </w:rPr>
              <w:t>Supports options including both goods vehicles and trailers to maximise the benefits from side-underrun protection and other safety features.</w:t>
            </w:r>
          </w:p>
          <w:p w:rsidR="003822C7" w:rsidRDefault="003822C7" w:rsidP="00E248BF">
            <w:pPr>
              <w:pStyle w:val="ListParagraph"/>
              <w:keepLines/>
              <w:numPr>
                <w:ilvl w:val="0"/>
                <w:numId w:val="66"/>
              </w:numPr>
              <w:tabs>
                <w:tab w:val="left" w:pos="320"/>
              </w:tabs>
              <w:suppressAutoHyphens w:val="0"/>
              <w:ind w:left="284" w:hanging="284"/>
              <w:rPr>
                <w:rFonts w:cstheme="minorHAnsi"/>
              </w:rPr>
            </w:pPr>
            <w:r>
              <w:rPr>
                <w:rFonts w:cstheme="minorHAnsi"/>
              </w:rPr>
              <w:t>B</w:t>
            </w:r>
            <w:r w:rsidRPr="00973603">
              <w:rPr>
                <w:rFonts w:cstheme="minorHAnsi"/>
              </w:rPr>
              <w:t>elieves safety should be the primary consideration, with cost a secondary consideration</w:t>
            </w:r>
            <w:r>
              <w:rPr>
                <w:rFonts w:cstheme="minorHAnsi"/>
              </w:rPr>
              <w:t>.</w:t>
            </w:r>
          </w:p>
          <w:p w:rsidR="003822C7" w:rsidRDefault="003822C7" w:rsidP="00E248BF">
            <w:pPr>
              <w:pStyle w:val="ListParagraph"/>
              <w:keepLines/>
              <w:numPr>
                <w:ilvl w:val="0"/>
                <w:numId w:val="66"/>
              </w:numPr>
              <w:tabs>
                <w:tab w:val="left" w:pos="320"/>
              </w:tabs>
              <w:suppressAutoHyphens w:val="0"/>
              <w:ind w:left="284" w:hanging="284"/>
              <w:rPr>
                <w:rFonts w:cstheme="minorHAnsi"/>
              </w:rPr>
            </w:pPr>
            <w:r>
              <w:rPr>
                <w:rFonts w:cstheme="minorHAnsi"/>
              </w:rPr>
              <w:t xml:space="preserve">Notes it </w:t>
            </w:r>
            <w:r w:rsidRPr="001743D7">
              <w:rPr>
                <w:rFonts w:cstheme="minorHAnsi"/>
              </w:rPr>
              <w:t>would be helpful for the discussion paper to address options for retrofitting technologies to</w:t>
            </w:r>
            <w:r w:rsidR="00BC2E8B">
              <w:rPr>
                <w:rFonts w:cstheme="minorHAnsi"/>
              </w:rPr>
              <w:t xml:space="preserve"> </w:t>
            </w:r>
            <w:r w:rsidRPr="001743D7">
              <w:rPr>
                <w:rFonts w:cstheme="minorHAnsi"/>
              </w:rPr>
              <w:t>existing vehicles</w:t>
            </w:r>
            <w:r>
              <w:rPr>
                <w:rFonts w:cstheme="minorHAnsi"/>
              </w:rPr>
              <w:t>.</w:t>
            </w:r>
          </w:p>
          <w:p w:rsidR="003822C7" w:rsidRDefault="003822C7" w:rsidP="00E248BF">
            <w:pPr>
              <w:pStyle w:val="ListParagraph"/>
              <w:keepLines/>
              <w:numPr>
                <w:ilvl w:val="0"/>
                <w:numId w:val="66"/>
              </w:numPr>
              <w:tabs>
                <w:tab w:val="left" w:pos="320"/>
              </w:tabs>
              <w:suppressAutoHyphens w:val="0"/>
              <w:ind w:left="284" w:hanging="284"/>
              <w:rPr>
                <w:rFonts w:cstheme="minorHAnsi"/>
              </w:rPr>
            </w:pPr>
            <w:r>
              <w:rPr>
                <w:rFonts w:cstheme="minorHAnsi"/>
              </w:rPr>
              <w:t xml:space="preserve">Recommends the </w:t>
            </w:r>
            <w:r w:rsidR="00B9347B">
              <w:rPr>
                <w:rFonts w:cstheme="minorHAnsi"/>
              </w:rPr>
              <w:t>department</w:t>
            </w:r>
            <w:r>
              <w:rPr>
                <w:rFonts w:cstheme="minorHAnsi"/>
              </w:rPr>
              <w:t xml:space="preserve"> outline a </w:t>
            </w:r>
            <w:r w:rsidRPr="00624A2D">
              <w:rPr>
                <w:rFonts w:cstheme="minorHAnsi"/>
              </w:rPr>
              <w:t>process</w:t>
            </w:r>
            <w:r>
              <w:rPr>
                <w:rFonts w:cstheme="minorHAnsi"/>
              </w:rPr>
              <w:t>, including a timeline,</w:t>
            </w:r>
            <w:r w:rsidRPr="00624A2D">
              <w:rPr>
                <w:rFonts w:cstheme="minorHAnsi"/>
              </w:rPr>
              <w:t xml:space="preserve"> towards achieving the ultimate aim of the highest safety standards available being</w:t>
            </w:r>
            <w:r>
              <w:rPr>
                <w:rFonts w:cstheme="minorHAnsi"/>
              </w:rPr>
              <w:t xml:space="preserve"> </w:t>
            </w:r>
            <w:r w:rsidRPr="00624A2D">
              <w:rPr>
                <w:rFonts w:cstheme="minorHAnsi"/>
              </w:rPr>
              <w:t>mandatory on all heavy vehicles</w:t>
            </w:r>
            <w:r>
              <w:rPr>
                <w:rFonts w:cstheme="minorHAnsi"/>
              </w:rPr>
              <w:t>.</w:t>
            </w:r>
          </w:p>
          <w:p w:rsidR="003822C7" w:rsidRPr="00115143" w:rsidRDefault="003822C7" w:rsidP="00E248BF">
            <w:pPr>
              <w:pStyle w:val="ListParagraph"/>
              <w:keepLines/>
              <w:numPr>
                <w:ilvl w:val="0"/>
                <w:numId w:val="66"/>
              </w:numPr>
              <w:tabs>
                <w:tab w:val="left" w:pos="320"/>
              </w:tabs>
              <w:suppressAutoHyphens w:val="0"/>
              <w:ind w:left="284" w:hanging="284"/>
              <w:rPr>
                <w:rFonts w:cstheme="minorHAnsi"/>
              </w:rPr>
            </w:pPr>
            <w:r>
              <w:rPr>
                <w:rFonts w:cstheme="minorHAnsi"/>
              </w:rPr>
              <w:t>Recommends c</w:t>
            </w:r>
            <w:r w:rsidRPr="006403D4">
              <w:rPr>
                <w:rFonts w:cstheme="minorHAnsi"/>
              </w:rPr>
              <w:t>onsideration be given to evidence around the utility and effectiveness of each proposed</w:t>
            </w:r>
            <w:r w:rsidRPr="006403D4">
              <w:rPr>
                <w:rFonts w:cstheme="minorHAnsi"/>
              </w:rPr>
              <w:cr/>
            </w:r>
            <w:r>
              <w:rPr>
                <w:rFonts w:cstheme="minorHAnsi"/>
              </w:rPr>
              <w:t xml:space="preserve"> </w:t>
            </w:r>
            <w:r w:rsidRPr="006403D4">
              <w:rPr>
                <w:rFonts w:cstheme="minorHAnsi"/>
              </w:rPr>
              <w:t>safety technology, including human interaction, and interactions among the various technologies</w:t>
            </w:r>
            <w:r>
              <w:rPr>
                <w:rFonts w:cstheme="minorHAnsi"/>
              </w:rPr>
              <w:t xml:space="preserve"> – suggests a </w:t>
            </w:r>
            <w:r w:rsidR="00C45600">
              <w:rPr>
                <w:rFonts w:cstheme="minorHAnsi"/>
              </w:rPr>
              <w:t>IA</w:t>
            </w:r>
            <w:r>
              <w:rPr>
                <w:rFonts w:cstheme="minorHAnsi"/>
              </w:rPr>
              <w:t xml:space="preserve"> may help with this.</w:t>
            </w:r>
          </w:p>
        </w:tc>
        <w:tc>
          <w:tcPr>
            <w:tcW w:w="6379" w:type="dxa"/>
          </w:tcPr>
          <w:p w:rsidR="003822C7" w:rsidRDefault="003822C7" w:rsidP="00E248BF">
            <w:pPr>
              <w:pStyle w:val="ListParagraph"/>
              <w:keepLines/>
              <w:numPr>
                <w:ilvl w:val="0"/>
                <w:numId w:val="67"/>
              </w:numPr>
              <w:tabs>
                <w:tab w:val="left" w:pos="318"/>
              </w:tabs>
              <w:suppressAutoHyphens w:val="0"/>
              <w:ind w:left="284" w:hanging="284"/>
              <w:rPr>
                <w:rFonts w:cstheme="minorHAnsi"/>
              </w:rPr>
            </w:pPr>
            <w:r>
              <w:rPr>
                <w:rFonts w:cstheme="minorHAnsi"/>
              </w:rPr>
              <w:t>Noted.</w:t>
            </w:r>
          </w:p>
          <w:p w:rsidR="003822C7" w:rsidRDefault="003822C7" w:rsidP="00E248BF">
            <w:pPr>
              <w:pStyle w:val="ListParagraph"/>
              <w:keepLines/>
              <w:numPr>
                <w:ilvl w:val="0"/>
                <w:numId w:val="67"/>
              </w:numPr>
              <w:tabs>
                <w:tab w:val="left" w:pos="318"/>
              </w:tabs>
              <w:suppressAutoHyphens w:val="0"/>
              <w:ind w:left="284" w:hanging="284"/>
              <w:rPr>
                <w:rFonts w:cstheme="minorHAnsi"/>
              </w:rPr>
            </w:pPr>
            <w:r>
              <w:rPr>
                <w:rFonts w:cstheme="minorHAnsi"/>
              </w:rPr>
              <w:t>Noted.</w:t>
            </w:r>
          </w:p>
          <w:p w:rsidR="003822C7" w:rsidRPr="00D97B92" w:rsidRDefault="003822C7" w:rsidP="00E248BF">
            <w:pPr>
              <w:pStyle w:val="ListParagraph"/>
              <w:keepLines/>
              <w:numPr>
                <w:ilvl w:val="0"/>
                <w:numId w:val="67"/>
              </w:numPr>
              <w:tabs>
                <w:tab w:val="left" w:pos="318"/>
              </w:tabs>
              <w:suppressAutoHyphens w:val="0"/>
              <w:ind w:left="284" w:hanging="284"/>
              <w:rPr>
                <w:rFonts w:cstheme="minorHAnsi"/>
              </w:rPr>
            </w:pPr>
            <w:r w:rsidRPr="00D97B92">
              <w:rPr>
                <w:rFonts w:cstheme="minorHAnsi"/>
              </w:rPr>
              <w:t>Noted.</w:t>
            </w:r>
            <w:r>
              <w:rPr>
                <w:rFonts w:cstheme="minorHAnsi"/>
              </w:rPr>
              <w:t xml:space="preserve"> However, the </w:t>
            </w:r>
            <w:r w:rsidR="00B9347B">
              <w:rPr>
                <w:rFonts w:cstheme="minorHAnsi"/>
              </w:rPr>
              <w:t>d</w:t>
            </w:r>
            <w:r>
              <w:rPr>
                <w:rFonts w:cstheme="minorHAnsi"/>
              </w:rPr>
              <w:t xml:space="preserve">epartment will continue to follow government policy in relation to the assessment of regulatory proposals/options, including as per the Australian Government Guide to Regulatory Impact Analysis </w:t>
            </w:r>
            <w:r w:rsidR="00642905">
              <w:t xml:space="preserve">(Commonwealth of Australia, </w:t>
            </w:r>
            <w:r w:rsidR="00642905" w:rsidRPr="0025667A">
              <w:t>2020</w:t>
            </w:r>
            <w:r w:rsidR="00642905">
              <w:t>)</w:t>
            </w:r>
            <w:r>
              <w:rPr>
                <w:rFonts w:cstheme="minorHAnsi"/>
              </w:rPr>
              <w:t>. This requires policy makers to consider both benefits and costs</w:t>
            </w:r>
            <w:r w:rsidR="009A3817">
              <w:rPr>
                <w:rFonts w:cstheme="minorHAnsi"/>
              </w:rPr>
              <w:t>,</w:t>
            </w:r>
            <w:r>
              <w:rPr>
                <w:rFonts w:cstheme="minorHAnsi"/>
              </w:rPr>
              <w:t xml:space="preserve"> </w:t>
            </w:r>
            <w:r w:rsidRPr="009A3817">
              <w:rPr>
                <w:rFonts w:cstheme="minorHAnsi"/>
              </w:rPr>
              <w:t>and</w:t>
            </w:r>
            <w:r w:rsidR="00642905" w:rsidRPr="009A3817">
              <w:rPr>
                <w:rFonts w:cstheme="minorHAnsi"/>
              </w:rPr>
              <w:t xml:space="preserve"> </w:t>
            </w:r>
            <w:r w:rsidR="009A3817" w:rsidRPr="009A3817">
              <w:rPr>
                <w:rFonts w:cstheme="minorHAnsi"/>
              </w:rPr>
              <w:t>net benefits are the primary consideration in determining the best option</w:t>
            </w:r>
            <w:r w:rsidR="00642905" w:rsidRPr="009A3817">
              <w:rPr>
                <w:rFonts w:cstheme="minorHAnsi"/>
              </w:rPr>
              <w:t>.</w:t>
            </w:r>
          </w:p>
          <w:p w:rsidR="003822C7" w:rsidRPr="00007667" w:rsidRDefault="009A3817" w:rsidP="00E248BF">
            <w:pPr>
              <w:pStyle w:val="ListParagraph"/>
              <w:keepLines/>
              <w:numPr>
                <w:ilvl w:val="0"/>
                <w:numId w:val="67"/>
              </w:numPr>
              <w:tabs>
                <w:tab w:val="left" w:pos="318"/>
              </w:tabs>
              <w:suppressAutoHyphens w:val="0"/>
              <w:ind w:left="284" w:hanging="284"/>
              <w:rPr>
                <w:rFonts w:cstheme="minorHAnsi"/>
              </w:rPr>
            </w:pPr>
            <w:r w:rsidRPr="00007667">
              <w:rPr>
                <w:rFonts w:cstheme="minorHAnsi"/>
              </w:rPr>
              <w:t xml:space="preserve">Noted. However, this is </w:t>
            </w:r>
            <w:r w:rsidR="00007667">
              <w:rPr>
                <w:rFonts w:cstheme="minorHAnsi"/>
              </w:rPr>
              <w:t xml:space="preserve">unlikely to be viable for many of the technologies considered in this </w:t>
            </w:r>
            <w:r w:rsidR="00C45600">
              <w:rPr>
                <w:rFonts w:cstheme="minorHAnsi"/>
              </w:rPr>
              <w:t>IA</w:t>
            </w:r>
            <w:r w:rsidR="00DB5843">
              <w:rPr>
                <w:rFonts w:cstheme="minorHAnsi"/>
              </w:rPr>
              <w:t xml:space="preserve">, including </w:t>
            </w:r>
            <w:r w:rsidR="00007667">
              <w:rPr>
                <w:rFonts w:cstheme="minorHAnsi"/>
              </w:rPr>
              <w:t xml:space="preserve">as it is generally much more expensive to retrofit </w:t>
            </w:r>
            <w:r w:rsidR="00DB5843">
              <w:rPr>
                <w:rFonts w:cstheme="minorHAnsi"/>
              </w:rPr>
              <w:t>safety systems</w:t>
            </w:r>
            <w:r w:rsidR="00007667">
              <w:rPr>
                <w:rFonts w:cstheme="minorHAnsi"/>
              </w:rPr>
              <w:t xml:space="preserve"> to existing vehicles and</w:t>
            </w:r>
            <w:r w:rsidR="00DB5843">
              <w:rPr>
                <w:rFonts w:cstheme="minorHAnsi"/>
              </w:rPr>
              <w:t xml:space="preserve"> there would be diminishing benefits for vehicles approaching the end of service life. Further, this is</w:t>
            </w:r>
            <w:r w:rsidR="00007667">
              <w:rPr>
                <w:rFonts w:cstheme="minorHAnsi"/>
              </w:rPr>
              <w:t xml:space="preserve"> </w:t>
            </w:r>
            <w:r w:rsidRPr="00007667">
              <w:rPr>
                <w:rFonts w:cstheme="minorHAnsi"/>
              </w:rPr>
              <w:t>beyond the scope of the ADRs or the RVSA</w:t>
            </w:r>
            <w:r w:rsidR="003822C7" w:rsidRPr="00007667">
              <w:rPr>
                <w:rFonts w:cstheme="minorHAnsi"/>
              </w:rPr>
              <w:t>.</w:t>
            </w:r>
          </w:p>
          <w:p w:rsidR="003822C7" w:rsidRPr="00007667" w:rsidRDefault="00D631AC" w:rsidP="00E248BF">
            <w:pPr>
              <w:pStyle w:val="ListParagraph"/>
              <w:keepLines/>
              <w:numPr>
                <w:ilvl w:val="0"/>
                <w:numId w:val="67"/>
              </w:numPr>
              <w:tabs>
                <w:tab w:val="left" w:pos="318"/>
              </w:tabs>
              <w:suppressAutoHyphens w:val="0"/>
              <w:ind w:left="284" w:hanging="284"/>
              <w:rPr>
                <w:rFonts w:cstheme="minorHAnsi"/>
              </w:rPr>
            </w:pPr>
            <w:r w:rsidRPr="00007667">
              <w:rPr>
                <w:rFonts w:cstheme="minorHAnsi"/>
              </w:rPr>
              <w:t>Disagree</w:t>
            </w:r>
            <w:r w:rsidR="00007667" w:rsidRPr="00007667">
              <w:rPr>
                <w:rFonts w:cstheme="minorHAnsi"/>
              </w:rPr>
              <w:t>. P</w:t>
            </w:r>
            <w:r w:rsidRPr="00007667">
              <w:rPr>
                <w:rFonts w:cstheme="minorHAnsi"/>
              </w:rPr>
              <w:t xml:space="preserve">olicy makers should consider the net benefits of a range of viable policy options, </w:t>
            </w:r>
            <w:r w:rsidR="00007667" w:rsidRPr="00007667">
              <w:rPr>
                <w:rFonts w:cstheme="minorHAnsi"/>
              </w:rPr>
              <w:t xml:space="preserve">and mandating all </w:t>
            </w:r>
            <w:r w:rsidR="00CB10A8">
              <w:rPr>
                <w:rFonts w:cstheme="minorHAnsi"/>
              </w:rPr>
              <w:t xml:space="preserve">of </w:t>
            </w:r>
            <w:r w:rsidR="00007667" w:rsidRPr="00007667">
              <w:rPr>
                <w:rFonts w:cstheme="minorHAnsi"/>
              </w:rPr>
              <w:t>the highest safety standards available should not be the default option.</w:t>
            </w:r>
          </w:p>
          <w:p w:rsidR="003822C7" w:rsidRPr="009A3817" w:rsidRDefault="009A3817" w:rsidP="00E248BF">
            <w:pPr>
              <w:pStyle w:val="ListParagraph"/>
              <w:keepLines/>
              <w:numPr>
                <w:ilvl w:val="0"/>
                <w:numId w:val="67"/>
              </w:numPr>
              <w:tabs>
                <w:tab w:val="left" w:pos="318"/>
              </w:tabs>
              <w:suppressAutoHyphens w:val="0"/>
              <w:ind w:left="284" w:hanging="284"/>
              <w:rPr>
                <w:rFonts w:cstheme="minorHAnsi"/>
              </w:rPr>
            </w:pPr>
            <w:r w:rsidRPr="009A3817">
              <w:rPr>
                <w:rFonts w:cstheme="minorHAnsi"/>
              </w:rPr>
              <w:t xml:space="preserve">Noted – this is addressed through the completion of the benefit-cost analysis for the </w:t>
            </w:r>
            <w:r w:rsidR="00C45600">
              <w:rPr>
                <w:rFonts w:cstheme="minorHAnsi"/>
              </w:rPr>
              <w:t>IA</w:t>
            </w:r>
            <w:r w:rsidR="003822C7" w:rsidRPr="009A3817">
              <w:rPr>
                <w:rFonts w:cstheme="minorHAnsi"/>
              </w:rPr>
              <w:t>.</w:t>
            </w:r>
          </w:p>
        </w:tc>
      </w:tr>
      <w:tr w:rsidR="003822C7" w:rsidRPr="007B6E69" w:rsidTr="003822C7">
        <w:tc>
          <w:tcPr>
            <w:tcW w:w="1696" w:type="dxa"/>
          </w:tcPr>
          <w:p w:rsidR="003822C7" w:rsidRPr="007B6E69" w:rsidRDefault="003822C7" w:rsidP="00710A9C">
            <w:pPr>
              <w:spacing w:before="120" w:after="120"/>
              <w:rPr>
                <w:rFonts w:cstheme="minorHAnsi"/>
              </w:rPr>
            </w:pPr>
            <w:r w:rsidRPr="007B6E69">
              <w:rPr>
                <w:rFonts w:cstheme="minorHAnsi"/>
              </w:rPr>
              <w:t>Australian Trucking Association (ATA)</w:t>
            </w:r>
          </w:p>
        </w:tc>
        <w:tc>
          <w:tcPr>
            <w:tcW w:w="6521" w:type="dxa"/>
            <w:gridSpan w:val="2"/>
          </w:tcPr>
          <w:p w:rsidR="003822C7" w:rsidRDefault="003822C7" w:rsidP="007C097D">
            <w:pPr>
              <w:pStyle w:val="ListParagraph"/>
              <w:keepLines/>
              <w:numPr>
                <w:ilvl w:val="6"/>
                <w:numId w:val="47"/>
              </w:numPr>
              <w:tabs>
                <w:tab w:val="left" w:pos="320"/>
              </w:tabs>
              <w:suppressAutoHyphens w:val="0"/>
              <w:ind w:left="284"/>
              <w:rPr>
                <w:rFonts w:cstheme="minorHAnsi"/>
                <w:szCs w:val="20"/>
              </w:rPr>
            </w:pPr>
            <w:r>
              <w:rPr>
                <w:rFonts w:cstheme="minorHAnsi"/>
                <w:szCs w:val="20"/>
              </w:rPr>
              <w:t>Recommends th</w:t>
            </w:r>
            <w:r w:rsidRPr="006822B1">
              <w:rPr>
                <w:rFonts w:cstheme="minorHAnsi"/>
                <w:szCs w:val="20"/>
              </w:rPr>
              <w:t xml:space="preserve">e Australian Government increase </w:t>
            </w:r>
            <w:r w:rsidR="00AB5981">
              <w:rPr>
                <w:rFonts w:cstheme="minorHAnsi"/>
                <w:szCs w:val="20"/>
              </w:rPr>
              <w:t xml:space="preserve">the </w:t>
            </w:r>
            <w:r w:rsidRPr="006822B1">
              <w:rPr>
                <w:rFonts w:cstheme="minorHAnsi"/>
                <w:szCs w:val="20"/>
              </w:rPr>
              <w:t xml:space="preserve">truck and trailer width </w:t>
            </w:r>
            <w:r w:rsidR="00AB5981">
              <w:rPr>
                <w:rFonts w:cstheme="minorHAnsi"/>
                <w:szCs w:val="20"/>
              </w:rPr>
              <w:t xml:space="preserve">limit </w:t>
            </w:r>
            <w:r w:rsidRPr="006822B1">
              <w:rPr>
                <w:rFonts w:cstheme="minorHAnsi"/>
                <w:szCs w:val="20"/>
              </w:rPr>
              <w:t xml:space="preserve">to </w:t>
            </w:r>
            <w:r w:rsidR="00B9347B">
              <w:rPr>
                <w:rFonts w:cstheme="minorHAnsi"/>
                <w:szCs w:val="20"/>
              </w:rPr>
              <w:t>2.60</w:t>
            </w:r>
            <w:r>
              <w:rPr>
                <w:rFonts w:cstheme="minorHAnsi"/>
                <w:szCs w:val="20"/>
              </w:rPr>
              <w:t> m</w:t>
            </w:r>
            <w:r w:rsidR="00AB5981">
              <w:rPr>
                <w:rFonts w:cstheme="minorHAnsi"/>
                <w:szCs w:val="20"/>
              </w:rPr>
              <w:t xml:space="preserve">, with an exclusion for </w:t>
            </w:r>
            <w:r w:rsidR="00AB5981" w:rsidRPr="00ED535E">
              <w:rPr>
                <w:rFonts w:cstheme="minorHAnsi"/>
                <w:szCs w:val="20"/>
              </w:rPr>
              <w:t>permanently fixed webbing assembly type devices</w:t>
            </w:r>
            <w:r>
              <w:rPr>
                <w:rFonts w:cstheme="minorHAnsi"/>
                <w:szCs w:val="20"/>
              </w:rPr>
              <w:t xml:space="preserve"> – but if not</w:t>
            </w:r>
            <w:r w:rsidR="00AB5981">
              <w:rPr>
                <w:rFonts w:cstheme="minorHAnsi"/>
                <w:szCs w:val="20"/>
              </w:rPr>
              <w:t>,</w:t>
            </w:r>
            <w:r>
              <w:rPr>
                <w:rFonts w:cstheme="minorHAnsi"/>
                <w:szCs w:val="20"/>
              </w:rPr>
              <w:t xml:space="preserve"> at least a </w:t>
            </w:r>
            <w:r w:rsidR="00B9347B">
              <w:rPr>
                <w:rFonts w:cstheme="minorHAnsi"/>
                <w:szCs w:val="20"/>
              </w:rPr>
              <w:t>2.60</w:t>
            </w:r>
            <w:r>
              <w:rPr>
                <w:rFonts w:cstheme="minorHAnsi"/>
                <w:szCs w:val="20"/>
              </w:rPr>
              <w:t xml:space="preserve"> m hard limit (i.e. </w:t>
            </w:r>
            <w:r w:rsidRPr="00ED535E">
              <w:rPr>
                <w:rFonts w:cstheme="minorHAnsi"/>
                <w:szCs w:val="20"/>
              </w:rPr>
              <w:t>including permanently fixed webbing assembly type devices</w:t>
            </w:r>
            <w:r>
              <w:rPr>
                <w:rFonts w:cstheme="minorHAnsi"/>
                <w:szCs w:val="20"/>
              </w:rPr>
              <w:t>).</w:t>
            </w:r>
          </w:p>
          <w:p w:rsidR="003822C7" w:rsidRPr="00247806" w:rsidRDefault="003822C7" w:rsidP="00247806">
            <w:pPr>
              <w:pStyle w:val="ListParagraph"/>
              <w:keepLines/>
              <w:numPr>
                <w:ilvl w:val="6"/>
                <w:numId w:val="1"/>
              </w:numPr>
              <w:tabs>
                <w:tab w:val="left" w:pos="320"/>
              </w:tabs>
              <w:suppressAutoHyphens w:val="0"/>
              <w:ind w:left="284"/>
              <w:rPr>
                <w:rFonts w:cstheme="minorHAnsi"/>
                <w:szCs w:val="20"/>
              </w:rPr>
            </w:pPr>
            <w:r>
              <w:rPr>
                <w:rFonts w:cstheme="minorHAnsi"/>
                <w:szCs w:val="20"/>
              </w:rPr>
              <w:t>Considers a</w:t>
            </w:r>
            <w:r w:rsidRPr="00247806">
              <w:rPr>
                <w:rFonts w:cstheme="minorHAnsi"/>
                <w:szCs w:val="20"/>
              </w:rPr>
              <w:t>n increase to truck and trailer widths would allow improved safety for people working on</w:t>
            </w:r>
            <w:r>
              <w:rPr>
                <w:rFonts w:cstheme="minorHAnsi"/>
                <w:szCs w:val="20"/>
              </w:rPr>
              <w:t xml:space="preserve"> </w:t>
            </w:r>
            <w:r w:rsidRPr="00247806">
              <w:rPr>
                <w:rFonts w:cstheme="minorHAnsi"/>
                <w:szCs w:val="20"/>
              </w:rPr>
              <w:t>loading and unloading trucks by enabling increased use of fall arrest systems, load restraint and load covering systems</w:t>
            </w:r>
            <w:r>
              <w:rPr>
                <w:rFonts w:cstheme="minorHAnsi"/>
                <w:szCs w:val="20"/>
              </w:rPr>
              <w:t xml:space="preserve"> – </w:t>
            </w:r>
            <w:r w:rsidR="00B9347B">
              <w:rPr>
                <w:rFonts w:cstheme="minorHAnsi"/>
                <w:szCs w:val="20"/>
              </w:rPr>
              <w:t>2.60</w:t>
            </w:r>
            <w:r w:rsidR="003927CF">
              <w:rPr>
                <w:rFonts w:cstheme="minorHAnsi"/>
                <w:szCs w:val="20"/>
              </w:rPr>
              <w:t> m</w:t>
            </w:r>
            <w:r>
              <w:rPr>
                <w:rFonts w:cstheme="minorHAnsi"/>
                <w:szCs w:val="20"/>
              </w:rPr>
              <w:t xml:space="preserve"> would provide the clearest load restraint and workplace health and safety benefits.</w:t>
            </w:r>
          </w:p>
          <w:p w:rsidR="003822C7" w:rsidRDefault="003822C7" w:rsidP="00A304B3">
            <w:pPr>
              <w:pStyle w:val="ListParagraph"/>
              <w:keepLines/>
              <w:numPr>
                <w:ilvl w:val="6"/>
                <w:numId w:val="1"/>
              </w:numPr>
              <w:tabs>
                <w:tab w:val="left" w:pos="320"/>
              </w:tabs>
              <w:suppressAutoHyphens w:val="0"/>
              <w:ind w:left="284"/>
              <w:rPr>
                <w:rFonts w:cstheme="minorHAnsi"/>
                <w:szCs w:val="20"/>
              </w:rPr>
            </w:pPr>
            <w:r>
              <w:rPr>
                <w:rFonts w:cstheme="minorHAnsi"/>
                <w:szCs w:val="20"/>
              </w:rPr>
              <w:t>Notes i</w:t>
            </w:r>
            <w:r w:rsidRPr="00F21E81">
              <w:rPr>
                <w:rFonts w:cstheme="minorHAnsi"/>
                <w:szCs w:val="20"/>
              </w:rPr>
              <w:t>ncreased width has specific benefits for refrigerated trucks and trailers, improving thermal efficiency without a significant loss of payload.</w:t>
            </w:r>
          </w:p>
          <w:p w:rsidR="003822C7" w:rsidRDefault="003822C7" w:rsidP="00A304B3">
            <w:pPr>
              <w:pStyle w:val="ListParagraph"/>
              <w:keepLines/>
              <w:numPr>
                <w:ilvl w:val="6"/>
                <w:numId w:val="1"/>
              </w:numPr>
              <w:tabs>
                <w:tab w:val="left" w:pos="320"/>
              </w:tabs>
              <w:suppressAutoHyphens w:val="0"/>
              <w:ind w:left="284"/>
              <w:rPr>
                <w:rFonts w:cstheme="minorHAnsi"/>
                <w:szCs w:val="20"/>
              </w:rPr>
            </w:pPr>
            <w:r>
              <w:rPr>
                <w:rFonts w:cstheme="minorHAnsi"/>
                <w:szCs w:val="20"/>
              </w:rPr>
              <w:t>Notes that th</w:t>
            </w:r>
            <w:r w:rsidRPr="00247806">
              <w:rPr>
                <w:rFonts w:cstheme="minorHAnsi"/>
                <w:szCs w:val="20"/>
              </w:rPr>
              <w:t>e ability to increase the thickness of refrigerated truck and trailer walls would make it easier to incorporate recessed load restraint into truck and trailer design</w:t>
            </w:r>
            <w:r>
              <w:rPr>
                <w:rFonts w:cstheme="minorHAnsi"/>
                <w:szCs w:val="20"/>
              </w:rPr>
              <w:t xml:space="preserve">, which </w:t>
            </w:r>
            <w:r w:rsidRPr="00247806">
              <w:rPr>
                <w:rFonts w:cstheme="minorHAnsi"/>
                <w:szCs w:val="20"/>
              </w:rPr>
              <w:t>would reduce loading and unloading damage and help ensure that load restraint equipment c</w:t>
            </w:r>
            <w:r>
              <w:rPr>
                <w:rFonts w:cstheme="minorHAnsi"/>
                <w:szCs w:val="20"/>
              </w:rPr>
              <w:t>an</w:t>
            </w:r>
            <w:r w:rsidRPr="00247806">
              <w:rPr>
                <w:rFonts w:cstheme="minorHAnsi"/>
                <w:szCs w:val="20"/>
              </w:rPr>
              <w:t xml:space="preserve"> be used in the safest possible way</w:t>
            </w:r>
            <w:r>
              <w:rPr>
                <w:rFonts w:cstheme="minorHAnsi"/>
                <w:szCs w:val="20"/>
              </w:rPr>
              <w:t>.</w:t>
            </w:r>
          </w:p>
          <w:p w:rsidR="003822C7" w:rsidRDefault="003822C7" w:rsidP="00F04C0E">
            <w:pPr>
              <w:pStyle w:val="ListParagraph"/>
              <w:keepLines/>
              <w:numPr>
                <w:ilvl w:val="6"/>
                <w:numId w:val="1"/>
              </w:numPr>
              <w:tabs>
                <w:tab w:val="left" w:pos="320"/>
              </w:tabs>
              <w:suppressAutoHyphens w:val="0"/>
              <w:ind w:left="284"/>
              <w:rPr>
                <w:rFonts w:cstheme="minorHAnsi"/>
                <w:szCs w:val="20"/>
              </w:rPr>
            </w:pPr>
            <w:r w:rsidRPr="00F21E81">
              <w:rPr>
                <w:rFonts w:cstheme="minorHAnsi"/>
                <w:szCs w:val="20"/>
              </w:rPr>
              <w:t xml:space="preserve">Considers a </w:t>
            </w:r>
            <w:r w:rsidR="00B9347B">
              <w:rPr>
                <w:rFonts w:cstheme="minorHAnsi"/>
                <w:szCs w:val="20"/>
              </w:rPr>
              <w:t>2.60</w:t>
            </w:r>
            <w:r>
              <w:rPr>
                <w:rFonts w:cstheme="minorHAnsi"/>
                <w:szCs w:val="20"/>
              </w:rPr>
              <w:t> </w:t>
            </w:r>
            <w:r w:rsidRPr="00F21E81">
              <w:rPr>
                <w:rFonts w:cstheme="minorHAnsi"/>
                <w:szCs w:val="20"/>
              </w:rPr>
              <w:t xml:space="preserve">m width limit would provide Australian operators with the greatest access </w:t>
            </w:r>
            <w:r>
              <w:rPr>
                <w:rFonts w:cstheme="minorHAnsi"/>
                <w:szCs w:val="20"/>
              </w:rPr>
              <w:t>t</w:t>
            </w:r>
            <w:r w:rsidRPr="00F21E81">
              <w:rPr>
                <w:rFonts w:cstheme="minorHAnsi"/>
                <w:szCs w:val="20"/>
              </w:rPr>
              <w:t>o the latest international technology and zero emission vehicles</w:t>
            </w:r>
            <w:r>
              <w:rPr>
                <w:rFonts w:cstheme="minorHAnsi"/>
                <w:szCs w:val="20"/>
              </w:rPr>
              <w:t xml:space="preserve">, which is essential </w:t>
            </w:r>
            <w:r w:rsidRPr="00F21E81">
              <w:rPr>
                <w:rFonts w:cstheme="minorHAnsi"/>
                <w:szCs w:val="20"/>
              </w:rPr>
              <w:t>to reduce</w:t>
            </w:r>
            <w:r>
              <w:rPr>
                <w:rFonts w:cstheme="minorHAnsi"/>
                <w:szCs w:val="20"/>
              </w:rPr>
              <w:t xml:space="preserve"> </w:t>
            </w:r>
            <w:r w:rsidRPr="00F21E81">
              <w:rPr>
                <w:rFonts w:cstheme="minorHAnsi"/>
                <w:szCs w:val="20"/>
              </w:rPr>
              <w:t>costs and ensure that trucking operators have commercially viable options for reducing</w:t>
            </w:r>
            <w:r>
              <w:rPr>
                <w:rFonts w:cstheme="minorHAnsi"/>
                <w:szCs w:val="20"/>
              </w:rPr>
              <w:t xml:space="preserve"> </w:t>
            </w:r>
            <w:r w:rsidRPr="00F21E81">
              <w:rPr>
                <w:rFonts w:cstheme="minorHAnsi"/>
                <w:szCs w:val="20"/>
              </w:rPr>
              <w:t>transport emissions</w:t>
            </w:r>
            <w:r>
              <w:rPr>
                <w:rFonts w:cstheme="minorHAnsi"/>
                <w:szCs w:val="20"/>
              </w:rPr>
              <w:t>.</w:t>
            </w:r>
          </w:p>
          <w:p w:rsidR="003822C7" w:rsidRPr="00F21E81" w:rsidRDefault="003822C7" w:rsidP="00F04C0E">
            <w:pPr>
              <w:pStyle w:val="ListParagraph"/>
              <w:keepLines/>
              <w:numPr>
                <w:ilvl w:val="6"/>
                <w:numId w:val="1"/>
              </w:numPr>
              <w:tabs>
                <w:tab w:val="left" w:pos="320"/>
              </w:tabs>
              <w:suppressAutoHyphens w:val="0"/>
              <w:ind w:left="284"/>
              <w:rPr>
                <w:rFonts w:cstheme="minorHAnsi"/>
                <w:szCs w:val="20"/>
              </w:rPr>
            </w:pPr>
            <w:r w:rsidRPr="00F21E81">
              <w:rPr>
                <w:rFonts w:cstheme="minorHAnsi"/>
                <w:szCs w:val="20"/>
              </w:rPr>
              <w:t>Notes increased width can improve roll stability.</w:t>
            </w:r>
          </w:p>
          <w:p w:rsidR="003822C7" w:rsidRDefault="003822C7" w:rsidP="00A304B3">
            <w:pPr>
              <w:pStyle w:val="ListParagraph"/>
              <w:keepLines/>
              <w:numPr>
                <w:ilvl w:val="6"/>
                <w:numId w:val="1"/>
              </w:numPr>
              <w:tabs>
                <w:tab w:val="left" w:pos="320"/>
              </w:tabs>
              <w:suppressAutoHyphens w:val="0"/>
              <w:ind w:left="284"/>
              <w:rPr>
                <w:rFonts w:cstheme="minorHAnsi"/>
                <w:szCs w:val="20"/>
              </w:rPr>
            </w:pPr>
            <w:r>
              <w:rPr>
                <w:rFonts w:cstheme="minorHAnsi"/>
                <w:szCs w:val="20"/>
              </w:rPr>
              <w:t>Recommends th</w:t>
            </w:r>
            <w:r w:rsidRPr="006822B1">
              <w:rPr>
                <w:rFonts w:cstheme="minorHAnsi"/>
                <w:szCs w:val="20"/>
              </w:rPr>
              <w:t>e Australian Government</w:t>
            </w:r>
            <w:r>
              <w:rPr>
                <w:rFonts w:cstheme="minorHAnsi"/>
                <w:szCs w:val="20"/>
              </w:rPr>
              <w:t xml:space="preserve"> implement</w:t>
            </w:r>
            <w:r w:rsidRPr="00A304B3">
              <w:rPr>
                <w:rFonts w:cstheme="minorHAnsi"/>
                <w:szCs w:val="20"/>
              </w:rPr>
              <w:t xml:space="preserve"> the safety technologies package for wider</w:t>
            </w:r>
            <w:r>
              <w:rPr>
                <w:rFonts w:cstheme="minorHAnsi"/>
                <w:szCs w:val="20"/>
              </w:rPr>
              <w:t xml:space="preserve"> </w:t>
            </w:r>
            <w:r w:rsidRPr="00A304B3">
              <w:rPr>
                <w:rFonts w:cstheme="minorHAnsi"/>
                <w:szCs w:val="20"/>
              </w:rPr>
              <w:t>trucks and trailers and ensure the proposed ADRs continue to be developed (and subject to regular review) in close consultation with industry and with regard for Australian conditions</w:t>
            </w:r>
            <w:r>
              <w:rPr>
                <w:rFonts w:cstheme="minorHAnsi"/>
                <w:szCs w:val="20"/>
              </w:rPr>
              <w:t>.</w:t>
            </w:r>
          </w:p>
          <w:p w:rsidR="003822C7" w:rsidRDefault="003822C7" w:rsidP="00A304B3">
            <w:pPr>
              <w:pStyle w:val="ListParagraph"/>
              <w:keepLines/>
              <w:numPr>
                <w:ilvl w:val="6"/>
                <w:numId w:val="1"/>
              </w:numPr>
              <w:tabs>
                <w:tab w:val="left" w:pos="320"/>
              </w:tabs>
              <w:suppressAutoHyphens w:val="0"/>
              <w:ind w:left="284"/>
              <w:rPr>
                <w:rFonts w:cstheme="minorHAnsi"/>
                <w:szCs w:val="20"/>
              </w:rPr>
            </w:pPr>
            <w:r>
              <w:rPr>
                <w:rFonts w:cstheme="minorHAnsi"/>
                <w:szCs w:val="20"/>
              </w:rPr>
              <w:t>Supports the proposed ADR amendment package for improving driver vision (exclusion of devices for indirect vision and blind spot information systems from vehicle width and length).</w:t>
            </w:r>
          </w:p>
          <w:p w:rsidR="003822C7" w:rsidRDefault="003822C7" w:rsidP="00A304B3">
            <w:pPr>
              <w:pStyle w:val="ListParagraph"/>
              <w:keepLines/>
              <w:numPr>
                <w:ilvl w:val="6"/>
                <w:numId w:val="1"/>
              </w:numPr>
              <w:tabs>
                <w:tab w:val="left" w:pos="320"/>
              </w:tabs>
              <w:suppressAutoHyphens w:val="0"/>
              <w:ind w:left="284"/>
              <w:rPr>
                <w:rFonts w:cstheme="minorHAnsi"/>
                <w:szCs w:val="20"/>
              </w:rPr>
            </w:pPr>
            <w:r>
              <w:rPr>
                <w:rFonts w:cstheme="minorHAnsi"/>
                <w:szCs w:val="20"/>
              </w:rPr>
              <w:t xml:space="preserve">Recommends the </w:t>
            </w:r>
            <w:r w:rsidRPr="00F96F6A">
              <w:rPr>
                <w:rFonts w:cstheme="minorHAnsi"/>
                <w:szCs w:val="20"/>
              </w:rPr>
              <w:t>Australian Government consider the best mechanism for implementing side</w:t>
            </w:r>
            <w:r>
              <w:rPr>
                <w:rFonts w:cstheme="minorHAnsi"/>
                <w:szCs w:val="20"/>
              </w:rPr>
              <w:t xml:space="preserve"> </w:t>
            </w:r>
            <w:r w:rsidRPr="00F96F6A">
              <w:rPr>
                <w:rFonts w:cstheme="minorHAnsi"/>
                <w:szCs w:val="20"/>
              </w:rPr>
              <w:t>underrun protection for wider vehicles, including consideration of</w:t>
            </w:r>
            <w:r>
              <w:rPr>
                <w:rFonts w:cstheme="minorHAnsi"/>
                <w:szCs w:val="20"/>
              </w:rPr>
              <w:t>;</w:t>
            </w:r>
            <w:r w:rsidRPr="00F96F6A">
              <w:rPr>
                <w:rFonts w:cstheme="minorHAnsi"/>
                <w:szCs w:val="20"/>
              </w:rPr>
              <w:t xml:space="preserve"> exempting regional, remote and off-road transport operations</w:t>
            </w:r>
            <w:r>
              <w:rPr>
                <w:rFonts w:cstheme="minorHAnsi"/>
                <w:szCs w:val="20"/>
              </w:rPr>
              <w:t xml:space="preserve">; and </w:t>
            </w:r>
            <w:r w:rsidRPr="00F96F6A">
              <w:rPr>
                <w:rFonts w:cstheme="minorHAnsi"/>
                <w:szCs w:val="20"/>
              </w:rPr>
              <w:t>implementing the technology through in-service vehicle standards and not as an</w:t>
            </w:r>
            <w:r>
              <w:rPr>
                <w:rFonts w:cstheme="minorHAnsi"/>
                <w:szCs w:val="20"/>
              </w:rPr>
              <w:t xml:space="preserve"> </w:t>
            </w:r>
            <w:r w:rsidRPr="00F96F6A">
              <w:rPr>
                <w:rFonts w:cstheme="minorHAnsi"/>
                <w:szCs w:val="20"/>
              </w:rPr>
              <w:t>ADR.</w:t>
            </w:r>
          </w:p>
          <w:p w:rsidR="003822C7" w:rsidRPr="00A304B3" w:rsidRDefault="003822C7" w:rsidP="00A304B3">
            <w:pPr>
              <w:pStyle w:val="ListParagraph"/>
              <w:keepLines/>
              <w:numPr>
                <w:ilvl w:val="6"/>
                <w:numId w:val="1"/>
              </w:numPr>
              <w:tabs>
                <w:tab w:val="left" w:pos="320"/>
              </w:tabs>
              <w:suppressAutoHyphens w:val="0"/>
              <w:ind w:left="284"/>
              <w:rPr>
                <w:rFonts w:cstheme="minorHAnsi"/>
                <w:szCs w:val="20"/>
              </w:rPr>
            </w:pPr>
            <w:r>
              <w:rPr>
                <w:rFonts w:cstheme="minorHAnsi"/>
                <w:szCs w:val="20"/>
              </w:rPr>
              <w:t>Considers that side underrun is more likely to be damaged in harsher rural and remote operating conditions, so is likely to deliver reduced safety benefits at higher costs in these areas.</w:t>
            </w:r>
          </w:p>
        </w:tc>
        <w:tc>
          <w:tcPr>
            <w:tcW w:w="6379" w:type="dxa"/>
          </w:tcPr>
          <w:p w:rsidR="003822C7" w:rsidRDefault="003822C7" w:rsidP="007C097D">
            <w:pPr>
              <w:pStyle w:val="ListParagraph"/>
              <w:keepLines/>
              <w:numPr>
                <w:ilvl w:val="0"/>
                <w:numId w:val="37"/>
              </w:numPr>
              <w:tabs>
                <w:tab w:val="left" w:pos="318"/>
              </w:tabs>
              <w:suppressAutoHyphens w:val="0"/>
              <w:ind w:left="284" w:hanging="284"/>
              <w:rPr>
                <w:rFonts w:cstheme="minorHAnsi"/>
                <w:szCs w:val="20"/>
              </w:rPr>
            </w:pPr>
            <w:r w:rsidRPr="00F96F6A">
              <w:rPr>
                <w:rFonts w:cstheme="minorHAnsi"/>
                <w:szCs w:val="20"/>
              </w:rPr>
              <w:t>Noted.</w:t>
            </w:r>
          </w:p>
          <w:p w:rsidR="003822C7" w:rsidRDefault="003822C7" w:rsidP="007C097D">
            <w:pPr>
              <w:pStyle w:val="ListParagraph"/>
              <w:keepLines/>
              <w:numPr>
                <w:ilvl w:val="0"/>
                <w:numId w:val="37"/>
              </w:numPr>
              <w:tabs>
                <w:tab w:val="left" w:pos="318"/>
              </w:tabs>
              <w:suppressAutoHyphens w:val="0"/>
              <w:ind w:left="284" w:hanging="284"/>
              <w:rPr>
                <w:rFonts w:cstheme="minorHAnsi"/>
                <w:szCs w:val="20"/>
              </w:rPr>
            </w:pPr>
            <w:r>
              <w:rPr>
                <w:rFonts w:cstheme="minorHAnsi"/>
                <w:szCs w:val="20"/>
              </w:rPr>
              <w:t>Agreed.</w:t>
            </w:r>
          </w:p>
          <w:p w:rsidR="003822C7" w:rsidRDefault="003822C7" w:rsidP="007C097D">
            <w:pPr>
              <w:pStyle w:val="ListParagraph"/>
              <w:keepLines/>
              <w:numPr>
                <w:ilvl w:val="0"/>
                <w:numId w:val="37"/>
              </w:numPr>
              <w:tabs>
                <w:tab w:val="left" w:pos="318"/>
              </w:tabs>
              <w:suppressAutoHyphens w:val="0"/>
              <w:ind w:left="284" w:hanging="284"/>
              <w:rPr>
                <w:rFonts w:cstheme="minorHAnsi"/>
                <w:szCs w:val="20"/>
              </w:rPr>
            </w:pPr>
            <w:r>
              <w:rPr>
                <w:rFonts w:cstheme="minorHAnsi"/>
                <w:szCs w:val="20"/>
              </w:rPr>
              <w:t>Agreed.</w:t>
            </w:r>
          </w:p>
          <w:p w:rsidR="003822C7" w:rsidRDefault="003822C7" w:rsidP="007C097D">
            <w:pPr>
              <w:pStyle w:val="ListParagraph"/>
              <w:keepLines/>
              <w:numPr>
                <w:ilvl w:val="0"/>
                <w:numId w:val="37"/>
              </w:numPr>
              <w:tabs>
                <w:tab w:val="left" w:pos="318"/>
              </w:tabs>
              <w:suppressAutoHyphens w:val="0"/>
              <w:ind w:left="284" w:hanging="284"/>
              <w:rPr>
                <w:rFonts w:cstheme="minorHAnsi"/>
                <w:szCs w:val="20"/>
              </w:rPr>
            </w:pPr>
            <w:r>
              <w:rPr>
                <w:rFonts w:cstheme="minorHAnsi"/>
                <w:szCs w:val="20"/>
              </w:rPr>
              <w:t>Noted.</w:t>
            </w:r>
          </w:p>
          <w:p w:rsidR="003822C7" w:rsidRPr="00B54022" w:rsidRDefault="003822C7" w:rsidP="007C097D">
            <w:pPr>
              <w:pStyle w:val="ListParagraph"/>
              <w:keepLines/>
              <w:numPr>
                <w:ilvl w:val="0"/>
                <w:numId w:val="37"/>
              </w:numPr>
              <w:tabs>
                <w:tab w:val="left" w:pos="318"/>
              </w:tabs>
              <w:suppressAutoHyphens w:val="0"/>
              <w:ind w:left="284" w:hanging="284"/>
              <w:rPr>
                <w:rFonts w:cstheme="minorHAnsi"/>
                <w:szCs w:val="20"/>
              </w:rPr>
            </w:pPr>
            <w:r w:rsidRPr="00B54022">
              <w:rPr>
                <w:rFonts w:cstheme="minorHAnsi"/>
                <w:szCs w:val="20"/>
              </w:rPr>
              <w:t xml:space="preserve">Agree a </w:t>
            </w:r>
            <w:r w:rsidR="00B9347B">
              <w:rPr>
                <w:rFonts w:cstheme="minorHAnsi"/>
                <w:szCs w:val="20"/>
              </w:rPr>
              <w:t>2.60</w:t>
            </w:r>
            <w:r w:rsidRPr="00B54022">
              <w:rPr>
                <w:rFonts w:cstheme="minorHAnsi"/>
                <w:szCs w:val="20"/>
              </w:rPr>
              <w:t xml:space="preserve"> m width limit would provide the greatest access to the latest international technology and zero emissions vehicles. However, a 2.55 m width limit would also </w:t>
            </w:r>
            <w:r w:rsidR="00721032">
              <w:rPr>
                <w:rFonts w:cstheme="minorHAnsi"/>
                <w:szCs w:val="20"/>
              </w:rPr>
              <w:t>substantially</w:t>
            </w:r>
            <w:r w:rsidRPr="00B54022">
              <w:rPr>
                <w:rFonts w:cstheme="minorHAnsi"/>
                <w:szCs w:val="20"/>
              </w:rPr>
              <w:t xml:space="preserve"> </w:t>
            </w:r>
            <w:r w:rsidR="00721032">
              <w:rPr>
                <w:rFonts w:cstheme="minorHAnsi"/>
                <w:szCs w:val="20"/>
              </w:rPr>
              <w:t xml:space="preserve">increase </w:t>
            </w:r>
            <w:r w:rsidRPr="00B54022">
              <w:rPr>
                <w:rFonts w:cstheme="minorHAnsi"/>
                <w:szCs w:val="20"/>
              </w:rPr>
              <w:t>access to zero emissions vehicles</w:t>
            </w:r>
            <w:r w:rsidR="00721032">
              <w:rPr>
                <w:rFonts w:cstheme="minorHAnsi"/>
                <w:szCs w:val="20"/>
              </w:rPr>
              <w:t>,</w:t>
            </w:r>
            <w:r w:rsidRPr="00B54022">
              <w:rPr>
                <w:rFonts w:cstheme="minorHAnsi"/>
                <w:szCs w:val="20"/>
              </w:rPr>
              <w:t xml:space="preserve"> as </w:t>
            </w:r>
            <w:r w:rsidR="00CB0D65">
              <w:rPr>
                <w:rFonts w:cstheme="minorHAnsi"/>
                <w:szCs w:val="20"/>
              </w:rPr>
              <w:t xml:space="preserve">this aligns with the EU </w:t>
            </w:r>
            <w:r w:rsidR="00721032">
              <w:rPr>
                <w:rFonts w:cstheme="minorHAnsi"/>
                <w:szCs w:val="20"/>
              </w:rPr>
              <w:t xml:space="preserve">limit </w:t>
            </w:r>
            <w:r w:rsidR="00CB0D65">
              <w:rPr>
                <w:rFonts w:cstheme="minorHAnsi"/>
                <w:szCs w:val="20"/>
              </w:rPr>
              <w:t xml:space="preserve">and </w:t>
            </w:r>
            <w:r w:rsidRPr="00B54022">
              <w:rPr>
                <w:rFonts w:cstheme="minorHAnsi"/>
                <w:szCs w:val="20"/>
              </w:rPr>
              <w:t xml:space="preserve">not all zero emissions vehicles made for the US market </w:t>
            </w:r>
            <w:r w:rsidR="00721032">
              <w:rPr>
                <w:rFonts w:cstheme="minorHAnsi"/>
                <w:szCs w:val="20"/>
              </w:rPr>
              <w:t>will be</w:t>
            </w:r>
            <w:r w:rsidRPr="00B54022">
              <w:rPr>
                <w:rFonts w:cstheme="minorHAnsi"/>
                <w:szCs w:val="20"/>
              </w:rPr>
              <w:t xml:space="preserve"> </w:t>
            </w:r>
            <w:r w:rsidR="00B9347B">
              <w:rPr>
                <w:rFonts w:cstheme="minorHAnsi"/>
                <w:szCs w:val="20"/>
              </w:rPr>
              <w:t>2.60</w:t>
            </w:r>
            <w:r w:rsidRPr="00B54022">
              <w:rPr>
                <w:rFonts w:cstheme="minorHAnsi"/>
                <w:szCs w:val="20"/>
              </w:rPr>
              <w:t xml:space="preserve"> m wide – </w:t>
            </w:r>
            <w:r w:rsidRPr="00B54022">
              <w:rPr>
                <w:rFonts w:cstheme="minorHAnsi"/>
              </w:rPr>
              <w:t xml:space="preserve">many of these </w:t>
            </w:r>
            <w:r w:rsidR="00CB0D65">
              <w:rPr>
                <w:rFonts w:cstheme="minorHAnsi"/>
              </w:rPr>
              <w:t xml:space="preserve">are </w:t>
            </w:r>
            <w:r w:rsidRPr="00B54022">
              <w:rPr>
                <w:rFonts w:cstheme="minorHAnsi"/>
              </w:rPr>
              <w:t xml:space="preserve">also </w:t>
            </w:r>
            <w:r w:rsidR="00CB0D65">
              <w:rPr>
                <w:rFonts w:cstheme="minorHAnsi"/>
              </w:rPr>
              <w:t xml:space="preserve">likely to be </w:t>
            </w:r>
            <w:r w:rsidRPr="00B54022">
              <w:rPr>
                <w:rFonts w:cstheme="minorHAnsi"/>
              </w:rPr>
              <w:t>around 2.55</w:t>
            </w:r>
            <w:r w:rsidR="00721032">
              <w:rPr>
                <w:rFonts w:cstheme="minorHAnsi"/>
              </w:rPr>
              <w:t> </w:t>
            </w:r>
            <w:r w:rsidRPr="00B54022">
              <w:rPr>
                <w:rFonts w:cstheme="minorHAnsi"/>
              </w:rPr>
              <w:t>m in width.</w:t>
            </w:r>
          </w:p>
          <w:p w:rsidR="003822C7" w:rsidRDefault="003822C7" w:rsidP="007C097D">
            <w:pPr>
              <w:pStyle w:val="ListParagraph"/>
              <w:keepLines/>
              <w:numPr>
                <w:ilvl w:val="0"/>
                <w:numId w:val="37"/>
              </w:numPr>
              <w:tabs>
                <w:tab w:val="left" w:pos="318"/>
              </w:tabs>
              <w:suppressAutoHyphens w:val="0"/>
              <w:ind w:left="284" w:hanging="284"/>
              <w:rPr>
                <w:rFonts w:cstheme="minorHAnsi"/>
                <w:szCs w:val="20"/>
              </w:rPr>
            </w:pPr>
            <w:r>
              <w:rPr>
                <w:rFonts w:cstheme="minorHAnsi"/>
                <w:szCs w:val="20"/>
              </w:rPr>
              <w:t>Agreed.</w:t>
            </w:r>
          </w:p>
          <w:p w:rsidR="003822C7" w:rsidRDefault="003822C7" w:rsidP="007C097D">
            <w:pPr>
              <w:pStyle w:val="ListParagraph"/>
              <w:keepLines/>
              <w:numPr>
                <w:ilvl w:val="0"/>
                <w:numId w:val="37"/>
              </w:numPr>
              <w:tabs>
                <w:tab w:val="left" w:pos="318"/>
              </w:tabs>
              <w:suppressAutoHyphens w:val="0"/>
              <w:ind w:left="284" w:hanging="284"/>
              <w:rPr>
                <w:rFonts w:cstheme="minorHAnsi"/>
                <w:szCs w:val="20"/>
              </w:rPr>
            </w:pPr>
            <w:r>
              <w:rPr>
                <w:rFonts w:cstheme="minorHAnsi"/>
                <w:szCs w:val="20"/>
              </w:rPr>
              <w:t>Noted.</w:t>
            </w:r>
          </w:p>
          <w:p w:rsidR="003822C7" w:rsidRDefault="003822C7" w:rsidP="007C097D">
            <w:pPr>
              <w:pStyle w:val="ListParagraph"/>
              <w:keepLines/>
              <w:numPr>
                <w:ilvl w:val="0"/>
                <w:numId w:val="37"/>
              </w:numPr>
              <w:tabs>
                <w:tab w:val="left" w:pos="318"/>
              </w:tabs>
              <w:suppressAutoHyphens w:val="0"/>
              <w:ind w:left="284" w:hanging="284"/>
              <w:rPr>
                <w:rFonts w:cstheme="minorHAnsi"/>
                <w:szCs w:val="20"/>
              </w:rPr>
            </w:pPr>
            <w:r>
              <w:rPr>
                <w:rFonts w:cstheme="minorHAnsi"/>
                <w:szCs w:val="20"/>
              </w:rPr>
              <w:t>Noted.</w:t>
            </w:r>
          </w:p>
          <w:p w:rsidR="003822C7" w:rsidRPr="00D07167" w:rsidRDefault="00D07167" w:rsidP="00D8676F">
            <w:pPr>
              <w:pStyle w:val="ListParagraph"/>
              <w:keepLines/>
              <w:numPr>
                <w:ilvl w:val="0"/>
                <w:numId w:val="37"/>
              </w:numPr>
              <w:tabs>
                <w:tab w:val="left" w:pos="318"/>
              </w:tabs>
              <w:suppressAutoHyphens w:val="0"/>
              <w:ind w:left="284" w:hanging="284"/>
              <w:rPr>
                <w:rFonts w:cstheme="minorHAnsi"/>
                <w:szCs w:val="20"/>
              </w:rPr>
            </w:pPr>
            <w:r w:rsidRPr="00D07167">
              <w:rPr>
                <w:rFonts w:cstheme="minorHAnsi"/>
                <w:szCs w:val="20"/>
              </w:rPr>
              <w:t xml:space="preserve">Requiring wider freight vehicles to be fitted with a package of safety technologies (including side underrun) is a key part of the agreement with jurisdictions/in-service regulators and other stakeholders to pursue this reform – </w:t>
            </w:r>
            <w:r w:rsidRPr="00D07167">
              <w:rPr>
                <w:rFonts w:cstheme="minorHAnsi"/>
              </w:rPr>
              <w:t>it is important to preserve this agreement.</w:t>
            </w:r>
            <w:r>
              <w:rPr>
                <w:rFonts w:cstheme="minorHAnsi"/>
              </w:rPr>
              <w:t xml:space="preserve"> </w:t>
            </w:r>
            <w:r>
              <w:rPr>
                <w:rFonts w:cstheme="minorHAnsi"/>
                <w:szCs w:val="20"/>
              </w:rPr>
              <w:t xml:space="preserve">The proposed ADR already includes </w:t>
            </w:r>
            <w:r w:rsidR="004E15FF" w:rsidRPr="00D07167">
              <w:rPr>
                <w:rFonts w:cstheme="minorHAnsi"/>
                <w:szCs w:val="20"/>
              </w:rPr>
              <w:t>exemptions and/or relaxations for vehicles with particular design features</w:t>
            </w:r>
            <w:r>
              <w:rPr>
                <w:rFonts w:cstheme="minorHAnsi"/>
                <w:szCs w:val="20"/>
              </w:rPr>
              <w:t xml:space="preserve">, and further </w:t>
            </w:r>
            <w:r w:rsidR="00DE6B99">
              <w:rPr>
                <w:rFonts w:cstheme="minorHAnsi"/>
                <w:szCs w:val="20"/>
              </w:rPr>
              <w:t xml:space="preserve">targeted </w:t>
            </w:r>
            <w:r>
              <w:rPr>
                <w:rFonts w:cstheme="minorHAnsi"/>
                <w:szCs w:val="20"/>
              </w:rPr>
              <w:t>exemptions</w:t>
            </w:r>
            <w:r w:rsidR="004E15FF" w:rsidRPr="00D07167">
              <w:rPr>
                <w:rFonts w:cstheme="minorHAnsi"/>
                <w:szCs w:val="20"/>
              </w:rPr>
              <w:t xml:space="preserve"> could be </w:t>
            </w:r>
            <w:r>
              <w:rPr>
                <w:rFonts w:cstheme="minorHAnsi"/>
                <w:szCs w:val="20"/>
              </w:rPr>
              <w:t>included</w:t>
            </w:r>
            <w:r w:rsidR="004E15FF" w:rsidRPr="00D07167">
              <w:rPr>
                <w:rFonts w:cstheme="minorHAnsi"/>
                <w:szCs w:val="20"/>
              </w:rPr>
              <w:t xml:space="preserve">, </w:t>
            </w:r>
            <w:r w:rsidR="00387E43">
              <w:rPr>
                <w:rFonts w:cstheme="minorHAnsi"/>
                <w:szCs w:val="20"/>
              </w:rPr>
              <w:t xml:space="preserve">if there is evidence </w:t>
            </w:r>
            <w:r w:rsidR="004E15FF" w:rsidRPr="00D07167">
              <w:rPr>
                <w:rFonts w:cstheme="minorHAnsi"/>
                <w:szCs w:val="20"/>
              </w:rPr>
              <w:t xml:space="preserve">to show this would </w:t>
            </w:r>
            <w:r w:rsidR="0013161F">
              <w:rPr>
                <w:rFonts w:cstheme="minorHAnsi"/>
                <w:szCs w:val="20"/>
              </w:rPr>
              <w:t xml:space="preserve">be likely to </w:t>
            </w:r>
            <w:r w:rsidR="004E15FF" w:rsidRPr="00D07167">
              <w:rPr>
                <w:rFonts w:cstheme="minorHAnsi"/>
                <w:szCs w:val="20"/>
              </w:rPr>
              <w:t xml:space="preserve">have no more than a minor regulatory impact, </w:t>
            </w:r>
            <w:r w:rsidR="00071640">
              <w:rPr>
                <w:rFonts w:cstheme="minorHAnsi"/>
                <w:szCs w:val="20"/>
              </w:rPr>
              <w:t xml:space="preserve">or </w:t>
            </w:r>
            <w:r w:rsidR="00071640">
              <w:rPr>
                <w:rFonts w:cstheme="minorHAnsi"/>
              </w:rPr>
              <w:t>that an LPD would be incompatible with the vehicle design use</w:t>
            </w:r>
            <w:r w:rsidR="003822C7" w:rsidRPr="00D07167">
              <w:rPr>
                <w:rFonts w:cstheme="minorHAnsi"/>
                <w:szCs w:val="20"/>
              </w:rPr>
              <w:t>.</w:t>
            </w:r>
            <w:r w:rsidR="00BC4301">
              <w:rPr>
                <w:rFonts w:cstheme="minorHAnsi"/>
                <w:szCs w:val="20"/>
              </w:rPr>
              <w:t xml:space="preserve"> </w:t>
            </w:r>
            <w:r w:rsidR="00BC4301" w:rsidRPr="005C0753">
              <w:rPr>
                <w:rFonts w:cstheme="minorHAnsi"/>
              </w:rPr>
              <w:t>Agree provision needs to be made to allow side underrun to be fitted after first supply to market, including by a third party (e.g. body builder)</w:t>
            </w:r>
            <w:r w:rsidR="00BC4301">
              <w:rPr>
                <w:rFonts w:cstheme="minorHAnsi"/>
              </w:rPr>
              <w:t xml:space="preserve">. The </w:t>
            </w:r>
            <w:r w:rsidR="00B9347B">
              <w:rPr>
                <w:rFonts w:cstheme="minorHAnsi"/>
              </w:rPr>
              <w:t>d</w:t>
            </w:r>
            <w:r w:rsidR="00BC4301">
              <w:rPr>
                <w:rFonts w:cstheme="minorHAnsi"/>
              </w:rPr>
              <w:t>epartment proposes to resolve this issue by including a clause in the proposed ADR to exempt chassis-cab and partially complete vehicles, as well as prime movers from this ADR. To comply with the proposed ADR as completed vehicles in-service, chassis-cab and other partially completed vehicles would then need to be fitted with side underrun as part of the vehicle completion process.</w:t>
            </w:r>
          </w:p>
          <w:p w:rsidR="003822C7" w:rsidRPr="00F96F6A" w:rsidRDefault="003822C7" w:rsidP="007C097D">
            <w:pPr>
              <w:pStyle w:val="ListParagraph"/>
              <w:keepLines/>
              <w:numPr>
                <w:ilvl w:val="0"/>
                <w:numId w:val="37"/>
              </w:numPr>
              <w:tabs>
                <w:tab w:val="left" w:pos="318"/>
              </w:tabs>
              <w:suppressAutoHyphens w:val="0"/>
              <w:ind w:left="284" w:hanging="284"/>
              <w:rPr>
                <w:rFonts w:cstheme="minorHAnsi"/>
                <w:szCs w:val="20"/>
              </w:rPr>
            </w:pPr>
            <w:r>
              <w:rPr>
                <w:rFonts w:cstheme="minorHAnsi"/>
                <w:szCs w:val="20"/>
              </w:rPr>
              <w:t>Agreed.</w:t>
            </w:r>
          </w:p>
        </w:tc>
      </w:tr>
      <w:tr w:rsidR="003822C7" w:rsidRPr="007B6E69" w:rsidTr="003822C7">
        <w:tc>
          <w:tcPr>
            <w:tcW w:w="1696" w:type="dxa"/>
          </w:tcPr>
          <w:p w:rsidR="003822C7" w:rsidRPr="007B6E69" w:rsidRDefault="003822C7" w:rsidP="00710A9C">
            <w:pPr>
              <w:spacing w:before="120" w:after="120"/>
              <w:rPr>
                <w:rFonts w:cstheme="minorHAnsi"/>
              </w:rPr>
            </w:pPr>
            <w:r w:rsidRPr="007B6E69">
              <w:rPr>
                <w:rFonts w:cstheme="minorHAnsi"/>
              </w:rPr>
              <w:t>Australian Tyre Industry Council</w:t>
            </w:r>
          </w:p>
        </w:tc>
        <w:tc>
          <w:tcPr>
            <w:tcW w:w="6521" w:type="dxa"/>
            <w:gridSpan w:val="2"/>
          </w:tcPr>
          <w:p w:rsidR="003822C7" w:rsidRPr="00AF0F0F" w:rsidRDefault="003822C7" w:rsidP="007C097D">
            <w:pPr>
              <w:pStyle w:val="ListParagraph"/>
              <w:keepLines/>
              <w:numPr>
                <w:ilvl w:val="6"/>
                <w:numId w:val="36"/>
              </w:numPr>
              <w:tabs>
                <w:tab w:val="left" w:pos="320"/>
              </w:tabs>
              <w:suppressAutoHyphens w:val="0"/>
              <w:ind w:left="284"/>
              <w:rPr>
                <w:rFonts w:cstheme="minorHAnsi"/>
                <w:szCs w:val="20"/>
              </w:rPr>
            </w:pPr>
            <w:r w:rsidRPr="00AF0F0F">
              <w:rPr>
                <w:rFonts w:cstheme="minorHAnsi"/>
                <w:szCs w:val="20"/>
              </w:rPr>
              <w:t>Supports increasing the maximum width for trucks to 2.55</w:t>
            </w:r>
            <w:r>
              <w:rPr>
                <w:rFonts w:cstheme="minorHAnsi"/>
                <w:szCs w:val="20"/>
              </w:rPr>
              <w:t> </w:t>
            </w:r>
            <w:r w:rsidRPr="00AF0F0F">
              <w:rPr>
                <w:rFonts w:cstheme="minorHAnsi"/>
                <w:szCs w:val="20"/>
              </w:rPr>
              <w:t>m.</w:t>
            </w:r>
          </w:p>
        </w:tc>
        <w:tc>
          <w:tcPr>
            <w:tcW w:w="6379" w:type="dxa"/>
          </w:tcPr>
          <w:p w:rsidR="003822C7" w:rsidRPr="00AF0F0F" w:rsidRDefault="003822C7" w:rsidP="007C097D">
            <w:pPr>
              <w:pStyle w:val="ListParagraph"/>
              <w:keepLines/>
              <w:numPr>
                <w:ilvl w:val="0"/>
                <w:numId w:val="34"/>
              </w:numPr>
              <w:tabs>
                <w:tab w:val="left" w:pos="318"/>
              </w:tabs>
              <w:suppressAutoHyphens w:val="0"/>
              <w:ind w:left="284" w:hanging="284"/>
              <w:rPr>
                <w:rFonts w:cstheme="minorHAnsi"/>
                <w:szCs w:val="20"/>
              </w:rPr>
            </w:pPr>
            <w:r w:rsidRPr="00AF0F0F">
              <w:rPr>
                <w:rFonts w:cstheme="minorHAnsi"/>
                <w:szCs w:val="20"/>
              </w:rPr>
              <w:t>Noted.</w:t>
            </w:r>
          </w:p>
        </w:tc>
      </w:tr>
      <w:tr w:rsidR="003822C7" w:rsidRPr="007B6E69" w:rsidTr="003822C7">
        <w:tc>
          <w:tcPr>
            <w:tcW w:w="1696" w:type="dxa"/>
          </w:tcPr>
          <w:p w:rsidR="003822C7" w:rsidRPr="007B6E69" w:rsidRDefault="003822C7" w:rsidP="00BD3882">
            <w:pPr>
              <w:pageBreakBefore/>
              <w:spacing w:before="120" w:after="120"/>
              <w:rPr>
                <w:rFonts w:cstheme="minorHAnsi"/>
              </w:rPr>
            </w:pPr>
            <w:r w:rsidRPr="007B6E69">
              <w:rPr>
                <w:rFonts w:cstheme="minorHAnsi"/>
              </w:rPr>
              <w:t>Bicycle Network</w:t>
            </w:r>
          </w:p>
        </w:tc>
        <w:tc>
          <w:tcPr>
            <w:tcW w:w="6521" w:type="dxa"/>
            <w:gridSpan w:val="2"/>
          </w:tcPr>
          <w:p w:rsidR="003822C7" w:rsidRDefault="003822C7" w:rsidP="007C097D">
            <w:pPr>
              <w:pStyle w:val="ListParagraph"/>
              <w:numPr>
                <w:ilvl w:val="0"/>
                <w:numId w:val="44"/>
              </w:numPr>
              <w:ind w:left="284" w:hanging="284"/>
              <w:rPr>
                <w:rFonts w:cstheme="minorHAnsi"/>
                <w:szCs w:val="20"/>
              </w:rPr>
            </w:pPr>
            <w:r>
              <w:rPr>
                <w:rFonts w:cstheme="minorHAnsi"/>
                <w:szCs w:val="20"/>
              </w:rPr>
              <w:t xml:space="preserve">Supports </w:t>
            </w:r>
            <w:r w:rsidRPr="00AD679F">
              <w:rPr>
                <w:rFonts w:cstheme="minorHAnsi"/>
                <w:szCs w:val="20"/>
              </w:rPr>
              <w:t>increasing the maximum width for goods vehicles and trailers over 4.5 tonnes to 2.</w:t>
            </w:r>
            <w:r>
              <w:rPr>
                <w:rFonts w:cstheme="minorHAnsi"/>
                <w:szCs w:val="20"/>
              </w:rPr>
              <w:t xml:space="preserve">55 m, </w:t>
            </w:r>
            <w:r w:rsidRPr="002A624E">
              <w:rPr>
                <w:rFonts w:cstheme="minorHAnsi"/>
                <w:szCs w:val="20"/>
              </w:rPr>
              <w:t>to align with the width standards in the European Union, United Kingdom and New Zealand.</w:t>
            </w:r>
          </w:p>
          <w:p w:rsidR="003822C7" w:rsidRDefault="003822C7" w:rsidP="007C097D">
            <w:pPr>
              <w:pStyle w:val="ListParagraph"/>
              <w:numPr>
                <w:ilvl w:val="0"/>
                <w:numId w:val="44"/>
              </w:numPr>
              <w:ind w:left="284" w:hanging="284"/>
              <w:rPr>
                <w:rFonts w:cstheme="minorHAnsi"/>
                <w:szCs w:val="20"/>
              </w:rPr>
            </w:pPr>
            <w:r>
              <w:rPr>
                <w:rFonts w:cstheme="minorHAnsi"/>
                <w:szCs w:val="20"/>
              </w:rPr>
              <w:t>Support for 2.55 m maximum width is provided on the basis that the wider vehicles will be fitted with the proposed safety technologies.</w:t>
            </w:r>
          </w:p>
          <w:p w:rsidR="003822C7" w:rsidRPr="002A624E" w:rsidRDefault="003822C7" w:rsidP="007C097D">
            <w:pPr>
              <w:pStyle w:val="ListParagraph"/>
              <w:numPr>
                <w:ilvl w:val="0"/>
                <w:numId w:val="44"/>
              </w:numPr>
              <w:ind w:left="284" w:hanging="284"/>
              <w:rPr>
                <w:rFonts w:cstheme="minorHAnsi"/>
                <w:szCs w:val="20"/>
              </w:rPr>
            </w:pPr>
            <w:r>
              <w:rPr>
                <w:rFonts w:cstheme="minorHAnsi"/>
                <w:szCs w:val="20"/>
              </w:rPr>
              <w:t xml:space="preserve">Considers the marginal width increase [to 2.55 m] will provide additional space to </w:t>
            </w:r>
            <w:r w:rsidRPr="002A624E">
              <w:rPr>
                <w:rFonts w:cstheme="minorHAnsi"/>
                <w:szCs w:val="20"/>
              </w:rPr>
              <w:t>better fit EU mand</w:t>
            </w:r>
            <w:r>
              <w:rPr>
                <w:rFonts w:cstheme="minorHAnsi"/>
                <w:szCs w:val="20"/>
              </w:rPr>
              <w:t>a</w:t>
            </w:r>
            <w:r w:rsidRPr="002A624E">
              <w:rPr>
                <w:rFonts w:cstheme="minorHAnsi"/>
                <w:szCs w:val="20"/>
              </w:rPr>
              <w:t xml:space="preserve">ted safety technologies, such as those </w:t>
            </w:r>
            <w:r>
              <w:rPr>
                <w:rFonts w:cstheme="minorHAnsi"/>
                <w:szCs w:val="20"/>
              </w:rPr>
              <w:t>proposed</w:t>
            </w:r>
            <w:r w:rsidRPr="002A624E">
              <w:rPr>
                <w:rFonts w:cstheme="minorHAnsi"/>
                <w:szCs w:val="20"/>
              </w:rPr>
              <w:t>, and environmental technologies, such as Euro VI emission control systems</w:t>
            </w:r>
            <w:r>
              <w:rPr>
                <w:rFonts w:cstheme="minorHAnsi"/>
                <w:szCs w:val="20"/>
              </w:rPr>
              <w:t>.</w:t>
            </w:r>
          </w:p>
          <w:p w:rsidR="003822C7" w:rsidRPr="002A624E" w:rsidRDefault="003822C7" w:rsidP="007C097D">
            <w:pPr>
              <w:pStyle w:val="ListParagraph"/>
              <w:numPr>
                <w:ilvl w:val="0"/>
                <w:numId w:val="44"/>
              </w:numPr>
              <w:ind w:left="284" w:hanging="284"/>
              <w:rPr>
                <w:rFonts w:cstheme="minorHAnsi"/>
                <w:szCs w:val="20"/>
              </w:rPr>
            </w:pPr>
            <w:r w:rsidRPr="006134A9">
              <w:rPr>
                <w:rFonts w:cstheme="minorHAnsi"/>
                <w:szCs w:val="20"/>
              </w:rPr>
              <w:t>Supports the exclusions proposed for enhanced devices for indirect vision and monitoring devices to detect other road users from vehicle width and length measurements.</w:t>
            </w:r>
          </w:p>
        </w:tc>
        <w:tc>
          <w:tcPr>
            <w:tcW w:w="6379" w:type="dxa"/>
          </w:tcPr>
          <w:p w:rsidR="003822C7" w:rsidRDefault="003822C7" w:rsidP="007C097D">
            <w:pPr>
              <w:pStyle w:val="ListParagraph"/>
              <w:keepLines/>
              <w:numPr>
                <w:ilvl w:val="0"/>
                <w:numId w:val="45"/>
              </w:numPr>
              <w:tabs>
                <w:tab w:val="left" w:pos="318"/>
              </w:tabs>
              <w:suppressAutoHyphens w:val="0"/>
              <w:ind w:left="284" w:hanging="284"/>
              <w:rPr>
                <w:rFonts w:cstheme="minorHAnsi"/>
                <w:szCs w:val="20"/>
              </w:rPr>
            </w:pPr>
            <w:r w:rsidRPr="005308A4">
              <w:rPr>
                <w:rFonts w:cstheme="minorHAnsi"/>
                <w:szCs w:val="20"/>
              </w:rPr>
              <w:t>Noted.</w:t>
            </w:r>
          </w:p>
          <w:p w:rsidR="003822C7" w:rsidRDefault="003822C7" w:rsidP="007C097D">
            <w:pPr>
              <w:pStyle w:val="ListParagraph"/>
              <w:keepLines/>
              <w:numPr>
                <w:ilvl w:val="0"/>
                <w:numId w:val="45"/>
              </w:numPr>
              <w:tabs>
                <w:tab w:val="left" w:pos="318"/>
              </w:tabs>
              <w:suppressAutoHyphens w:val="0"/>
              <w:ind w:left="284" w:hanging="284"/>
              <w:rPr>
                <w:rFonts w:cstheme="minorHAnsi"/>
                <w:szCs w:val="20"/>
              </w:rPr>
            </w:pPr>
            <w:r>
              <w:rPr>
                <w:rFonts w:cstheme="minorHAnsi"/>
                <w:szCs w:val="20"/>
              </w:rPr>
              <w:t>Noted.</w:t>
            </w:r>
          </w:p>
          <w:p w:rsidR="003822C7" w:rsidRDefault="003822C7" w:rsidP="007C097D">
            <w:pPr>
              <w:pStyle w:val="ListParagraph"/>
              <w:keepLines/>
              <w:numPr>
                <w:ilvl w:val="0"/>
                <w:numId w:val="45"/>
              </w:numPr>
              <w:tabs>
                <w:tab w:val="left" w:pos="318"/>
              </w:tabs>
              <w:suppressAutoHyphens w:val="0"/>
              <w:ind w:left="284" w:hanging="284"/>
              <w:rPr>
                <w:rFonts w:cstheme="minorHAnsi"/>
                <w:szCs w:val="20"/>
              </w:rPr>
            </w:pPr>
            <w:r>
              <w:rPr>
                <w:rFonts w:cstheme="minorHAnsi"/>
                <w:szCs w:val="20"/>
              </w:rPr>
              <w:t>Noted.</w:t>
            </w:r>
          </w:p>
          <w:p w:rsidR="003822C7" w:rsidRPr="005308A4" w:rsidRDefault="003822C7" w:rsidP="007C097D">
            <w:pPr>
              <w:pStyle w:val="ListParagraph"/>
              <w:keepLines/>
              <w:numPr>
                <w:ilvl w:val="0"/>
                <w:numId w:val="45"/>
              </w:numPr>
              <w:tabs>
                <w:tab w:val="left" w:pos="318"/>
              </w:tabs>
              <w:suppressAutoHyphens w:val="0"/>
              <w:ind w:left="284" w:hanging="284"/>
              <w:rPr>
                <w:rFonts w:cstheme="minorHAnsi"/>
                <w:szCs w:val="20"/>
              </w:rPr>
            </w:pPr>
            <w:r>
              <w:rPr>
                <w:rFonts w:cstheme="minorHAnsi"/>
                <w:szCs w:val="20"/>
              </w:rPr>
              <w:t>Noted.</w:t>
            </w:r>
          </w:p>
        </w:tc>
      </w:tr>
      <w:tr w:rsidR="003822C7" w:rsidRPr="007B6E69" w:rsidTr="003822C7">
        <w:tc>
          <w:tcPr>
            <w:tcW w:w="1696" w:type="dxa"/>
          </w:tcPr>
          <w:p w:rsidR="003822C7" w:rsidRPr="007B6E69" w:rsidRDefault="003822C7" w:rsidP="00710A9C">
            <w:pPr>
              <w:spacing w:before="120" w:after="120"/>
              <w:rPr>
                <w:rFonts w:cstheme="minorHAnsi"/>
              </w:rPr>
            </w:pPr>
            <w:r w:rsidRPr="007B6E69">
              <w:rPr>
                <w:rFonts w:cstheme="minorHAnsi"/>
              </w:rPr>
              <w:t>Crane Industry Council of Australia</w:t>
            </w:r>
          </w:p>
        </w:tc>
        <w:tc>
          <w:tcPr>
            <w:tcW w:w="6521" w:type="dxa"/>
            <w:gridSpan w:val="2"/>
          </w:tcPr>
          <w:p w:rsidR="003822C7" w:rsidRDefault="003822C7" w:rsidP="007C097D">
            <w:pPr>
              <w:pStyle w:val="ListParagraph"/>
              <w:keepLines/>
              <w:numPr>
                <w:ilvl w:val="0"/>
                <w:numId w:val="43"/>
              </w:numPr>
              <w:tabs>
                <w:tab w:val="left" w:pos="320"/>
              </w:tabs>
              <w:suppressAutoHyphens w:val="0"/>
              <w:ind w:left="284" w:hanging="284"/>
              <w:rPr>
                <w:rFonts w:cstheme="minorHAnsi"/>
                <w:szCs w:val="20"/>
              </w:rPr>
            </w:pPr>
            <w:r w:rsidRPr="00865CF2">
              <w:rPr>
                <w:rFonts w:cstheme="minorHAnsi"/>
                <w:szCs w:val="20"/>
              </w:rPr>
              <w:t>Strongly supports the adoption of international standards regarding width, as this will provide greater opportunities for purpose-built vehicles, providing industry greater operational efficiency, productivity and flexibility.</w:t>
            </w:r>
          </w:p>
          <w:p w:rsidR="003822C7" w:rsidRDefault="003822C7" w:rsidP="007C097D">
            <w:pPr>
              <w:pStyle w:val="ListParagraph"/>
              <w:keepLines/>
              <w:numPr>
                <w:ilvl w:val="0"/>
                <w:numId w:val="43"/>
              </w:numPr>
              <w:tabs>
                <w:tab w:val="left" w:pos="320"/>
              </w:tabs>
              <w:suppressAutoHyphens w:val="0"/>
              <w:ind w:left="284" w:hanging="284"/>
              <w:rPr>
                <w:rFonts w:cstheme="minorHAnsi"/>
                <w:szCs w:val="20"/>
              </w:rPr>
            </w:pPr>
            <w:r>
              <w:rPr>
                <w:rFonts w:cstheme="minorHAnsi"/>
                <w:szCs w:val="20"/>
              </w:rPr>
              <w:t xml:space="preserve">Notes </w:t>
            </w:r>
            <w:r w:rsidRPr="009C51E5">
              <w:rPr>
                <w:rFonts w:cstheme="minorHAnsi"/>
                <w:szCs w:val="20"/>
              </w:rPr>
              <w:t>with the introduction of Euro</w:t>
            </w:r>
            <w:r>
              <w:rPr>
                <w:rFonts w:cstheme="minorHAnsi"/>
                <w:szCs w:val="20"/>
              </w:rPr>
              <w:t xml:space="preserve"> </w:t>
            </w:r>
            <w:r w:rsidRPr="009C51E5">
              <w:rPr>
                <w:rFonts w:cstheme="minorHAnsi"/>
                <w:szCs w:val="20"/>
              </w:rPr>
              <w:t>V and VI and the limited amount of space on</w:t>
            </w:r>
            <w:r>
              <w:rPr>
                <w:rFonts w:cstheme="minorHAnsi"/>
                <w:szCs w:val="20"/>
              </w:rPr>
              <w:t xml:space="preserve"> t</w:t>
            </w:r>
            <w:r w:rsidRPr="009C51E5">
              <w:rPr>
                <w:rFonts w:cstheme="minorHAnsi"/>
                <w:szCs w:val="20"/>
              </w:rPr>
              <w:t>he vehicles’ side, swing up stabilizer legs on Vehicle Loading Cranes (VLC) ha</w:t>
            </w:r>
            <w:r>
              <w:rPr>
                <w:rFonts w:cstheme="minorHAnsi"/>
                <w:szCs w:val="20"/>
              </w:rPr>
              <w:t>ve</w:t>
            </w:r>
            <w:r w:rsidRPr="009C51E5">
              <w:rPr>
                <w:rFonts w:cstheme="minorHAnsi"/>
                <w:szCs w:val="20"/>
              </w:rPr>
              <w:t xml:space="preserve"> become</w:t>
            </w:r>
            <w:r>
              <w:rPr>
                <w:rFonts w:cstheme="minorHAnsi"/>
                <w:szCs w:val="20"/>
              </w:rPr>
              <w:t xml:space="preserve"> </w:t>
            </w:r>
            <w:r w:rsidRPr="009C51E5">
              <w:rPr>
                <w:rFonts w:cstheme="minorHAnsi"/>
                <w:szCs w:val="20"/>
              </w:rPr>
              <w:t>standard</w:t>
            </w:r>
            <w:r>
              <w:rPr>
                <w:rFonts w:cstheme="minorHAnsi"/>
                <w:szCs w:val="20"/>
              </w:rPr>
              <w:t>, and these designs require a little more space which causes the VLC to exceed 2.5</w:t>
            </w:r>
            <w:r w:rsidR="00B9347B">
              <w:rPr>
                <w:rFonts w:cstheme="minorHAnsi"/>
                <w:szCs w:val="20"/>
              </w:rPr>
              <w:t>0 </w:t>
            </w:r>
            <w:r>
              <w:rPr>
                <w:rFonts w:cstheme="minorHAnsi"/>
                <w:szCs w:val="20"/>
              </w:rPr>
              <w:t>m.</w:t>
            </w:r>
          </w:p>
          <w:p w:rsidR="003822C7" w:rsidRPr="009C51E5" w:rsidRDefault="003822C7" w:rsidP="007C097D">
            <w:pPr>
              <w:pStyle w:val="ListParagraph"/>
              <w:keepLines/>
              <w:numPr>
                <w:ilvl w:val="0"/>
                <w:numId w:val="43"/>
              </w:numPr>
              <w:tabs>
                <w:tab w:val="left" w:pos="320"/>
              </w:tabs>
              <w:suppressAutoHyphens w:val="0"/>
              <w:ind w:left="284" w:hanging="284"/>
              <w:rPr>
                <w:rFonts w:cstheme="minorHAnsi"/>
                <w:szCs w:val="20"/>
              </w:rPr>
            </w:pPr>
            <w:r>
              <w:rPr>
                <w:rFonts w:cstheme="minorHAnsi"/>
                <w:szCs w:val="20"/>
              </w:rPr>
              <w:t>R</w:t>
            </w:r>
            <w:r w:rsidRPr="009C51E5">
              <w:rPr>
                <w:rFonts w:cstheme="minorHAnsi"/>
                <w:szCs w:val="20"/>
              </w:rPr>
              <w:t xml:space="preserve">equests an exemption </w:t>
            </w:r>
            <w:r>
              <w:rPr>
                <w:rFonts w:cstheme="minorHAnsi"/>
                <w:szCs w:val="20"/>
              </w:rPr>
              <w:t xml:space="preserve">to </w:t>
            </w:r>
            <w:r w:rsidRPr="009C51E5">
              <w:rPr>
                <w:rFonts w:cstheme="minorHAnsi"/>
                <w:szCs w:val="20"/>
              </w:rPr>
              <w:t xml:space="preserve">be included in any regulation change </w:t>
            </w:r>
            <w:r>
              <w:rPr>
                <w:rFonts w:cstheme="minorHAnsi"/>
                <w:szCs w:val="20"/>
              </w:rPr>
              <w:t xml:space="preserve">to </w:t>
            </w:r>
            <w:r w:rsidRPr="009C51E5">
              <w:rPr>
                <w:rFonts w:cstheme="minorHAnsi"/>
                <w:szCs w:val="20"/>
              </w:rPr>
              <w:t xml:space="preserve">allow </w:t>
            </w:r>
            <w:r>
              <w:rPr>
                <w:rFonts w:cstheme="minorHAnsi"/>
                <w:szCs w:val="20"/>
              </w:rPr>
              <w:t xml:space="preserve">VLCs </w:t>
            </w:r>
            <w:r w:rsidRPr="009C51E5">
              <w:rPr>
                <w:rFonts w:cstheme="minorHAnsi"/>
                <w:szCs w:val="20"/>
              </w:rPr>
              <w:t>to be up to a width of 2</w:t>
            </w:r>
            <w:r>
              <w:rPr>
                <w:rFonts w:cstheme="minorHAnsi"/>
                <w:szCs w:val="20"/>
              </w:rPr>
              <w:t>.</w:t>
            </w:r>
            <w:r w:rsidRPr="009C51E5">
              <w:rPr>
                <w:rFonts w:cstheme="minorHAnsi"/>
                <w:szCs w:val="20"/>
              </w:rPr>
              <w:t>5</w:t>
            </w:r>
            <w:r>
              <w:rPr>
                <w:rFonts w:cstheme="minorHAnsi"/>
                <w:szCs w:val="20"/>
              </w:rPr>
              <w:t>5 </w:t>
            </w:r>
            <w:r w:rsidRPr="009C51E5">
              <w:rPr>
                <w:rFonts w:cstheme="minorHAnsi"/>
                <w:szCs w:val="20"/>
              </w:rPr>
              <w:t>m</w:t>
            </w:r>
            <w:r>
              <w:rPr>
                <w:rFonts w:cstheme="minorHAnsi"/>
                <w:szCs w:val="20"/>
              </w:rPr>
              <w:t xml:space="preserve"> – </w:t>
            </w:r>
            <w:r w:rsidRPr="009C51E5">
              <w:rPr>
                <w:rFonts w:cstheme="minorHAnsi"/>
                <w:szCs w:val="20"/>
              </w:rPr>
              <w:t>believe this exemption would align with the purpose of the review which is for regulatory change to facilitate the uptake of safer vehicles</w:t>
            </w:r>
            <w:r>
              <w:rPr>
                <w:rFonts w:cstheme="minorHAnsi"/>
                <w:szCs w:val="20"/>
              </w:rPr>
              <w:t>.</w:t>
            </w:r>
          </w:p>
        </w:tc>
        <w:tc>
          <w:tcPr>
            <w:tcW w:w="6379" w:type="dxa"/>
          </w:tcPr>
          <w:p w:rsidR="003822C7" w:rsidRDefault="003822C7" w:rsidP="007C097D">
            <w:pPr>
              <w:pStyle w:val="ListParagraph"/>
              <w:keepLines/>
              <w:numPr>
                <w:ilvl w:val="0"/>
                <w:numId w:val="46"/>
              </w:numPr>
              <w:tabs>
                <w:tab w:val="left" w:pos="318"/>
              </w:tabs>
              <w:suppressAutoHyphens w:val="0"/>
              <w:ind w:left="284" w:hanging="284"/>
              <w:rPr>
                <w:rFonts w:cstheme="minorHAnsi"/>
                <w:szCs w:val="20"/>
              </w:rPr>
            </w:pPr>
            <w:r w:rsidRPr="00883BFB">
              <w:rPr>
                <w:rFonts w:cstheme="minorHAnsi"/>
                <w:szCs w:val="20"/>
              </w:rPr>
              <w:t>Noted.</w:t>
            </w:r>
          </w:p>
          <w:p w:rsidR="003822C7" w:rsidRDefault="003822C7" w:rsidP="007C097D">
            <w:pPr>
              <w:pStyle w:val="ListParagraph"/>
              <w:keepLines/>
              <w:numPr>
                <w:ilvl w:val="0"/>
                <w:numId w:val="46"/>
              </w:numPr>
              <w:tabs>
                <w:tab w:val="left" w:pos="318"/>
              </w:tabs>
              <w:suppressAutoHyphens w:val="0"/>
              <w:ind w:left="284" w:hanging="284"/>
              <w:rPr>
                <w:rFonts w:cstheme="minorHAnsi"/>
                <w:szCs w:val="20"/>
              </w:rPr>
            </w:pPr>
            <w:r>
              <w:rPr>
                <w:rFonts w:cstheme="minorHAnsi"/>
                <w:szCs w:val="20"/>
              </w:rPr>
              <w:t>Noted.</w:t>
            </w:r>
          </w:p>
          <w:p w:rsidR="003822C7" w:rsidRPr="00883BFB" w:rsidRDefault="00762CC1" w:rsidP="007C097D">
            <w:pPr>
              <w:pStyle w:val="ListParagraph"/>
              <w:keepLines/>
              <w:numPr>
                <w:ilvl w:val="0"/>
                <w:numId w:val="46"/>
              </w:numPr>
              <w:tabs>
                <w:tab w:val="left" w:pos="318"/>
              </w:tabs>
              <w:suppressAutoHyphens w:val="0"/>
              <w:ind w:left="284" w:hanging="284"/>
              <w:rPr>
                <w:rFonts w:cstheme="minorHAnsi"/>
                <w:szCs w:val="20"/>
              </w:rPr>
            </w:pPr>
            <w:r w:rsidRPr="00762CC1">
              <w:rPr>
                <w:rFonts w:cstheme="minorHAnsi"/>
                <w:szCs w:val="20"/>
              </w:rPr>
              <w:t xml:space="preserve">Noted. This is beyond the scope of this </w:t>
            </w:r>
            <w:r w:rsidR="00C45600">
              <w:rPr>
                <w:rFonts w:cstheme="minorHAnsi"/>
                <w:szCs w:val="20"/>
              </w:rPr>
              <w:t>IA</w:t>
            </w:r>
            <w:r w:rsidRPr="00762CC1">
              <w:rPr>
                <w:rFonts w:cstheme="minorHAnsi"/>
                <w:szCs w:val="20"/>
              </w:rPr>
              <w:t>, but could be considered as part of the ongoing ADR review process, including in particular, through consultation with the TLG established for this purpose.</w:t>
            </w:r>
          </w:p>
        </w:tc>
      </w:tr>
      <w:tr w:rsidR="003822C7" w:rsidRPr="007B6E69" w:rsidTr="00CC5A05">
        <w:tc>
          <w:tcPr>
            <w:tcW w:w="1696" w:type="dxa"/>
          </w:tcPr>
          <w:p w:rsidR="003822C7" w:rsidRPr="007B6E69" w:rsidRDefault="003822C7" w:rsidP="00757135">
            <w:pPr>
              <w:pageBreakBefore/>
              <w:spacing w:before="120" w:after="120"/>
              <w:rPr>
                <w:rFonts w:cstheme="minorHAnsi"/>
              </w:rPr>
            </w:pPr>
            <w:r w:rsidRPr="007B6E69">
              <w:rPr>
                <w:rFonts w:cstheme="minorHAnsi"/>
              </w:rPr>
              <w:t>Commercial Vehicle Industry Association of Australia (CVIA)</w:t>
            </w:r>
          </w:p>
        </w:tc>
        <w:tc>
          <w:tcPr>
            <w:tcW w:w="6521" w:type="dxa"/>
            <w:gridSpan w:val="2"/>
          </w:tcPr>
          <w:p w:rsidR="003822C7" w:rsidRDefault="003822C7" w:rsidP="007C097D">
            <w:pPr>
              <w:pStyle w:val="ListParagraph"/>
              <w:keepLines/>
              <w:numPr>
                <w:ilvl w:val="6"/>
                <w:numId w:val="35"/>
              </w:numPr>
              <w:tabs>
                <w:tab w:val="left" w:pos="320"/>
              </w:tabs>
              <w:suppressAutoHyphens w:val="0"/>
              <w:ind w:left="284"/>
              <w:rPr>
                <w:rFonts w:cstheme="minorHAnsi"/>
                <w:szCs w:val="20"/>
              </w:rPr>
            </w:pPr>
            <w:r w:rsidRPr="00AD679F">
              <w:rPr>
                <w:rFonts w:cstheme="minorHAnsi"/>
                <w:szCs w:val="20"/>
              </w:rPr>
              <w:t xml:space="preserve">Supports increasing the maximum width for goods vehicles and trailers over 4.5 tonnes to </w:t>
            </w:r>
            <w:r w:rsidR="00B9347B">
              <w:rPr>
                <w:rFonts w:cstheme="minorHAnsi"/>
                <w:szCs w:val="20"/>
              </w:rPr>
              <w:t>2.60</w:t>
            </w:r>
            <w:r>
              <w:rPr>
                <w:rFonts w:cstheme="minorHAnsi"/>
                <w:szCs w:val="20"/>
              </w:rPr>
              <w:t> </w:t>
            </w:r>
            <w:r w:rsidRPr="00AD679F">
              <w:rPr>
                <w:rFonts w:cstheme="minorHAnsi"/>
                <w:szCs w:val="20"/>
              </w:rPr>
              <w:t>m.</w:t>
            </w:r>
          </w:p>
          <w:p w:rsidR="003822C7" w:rsidRDefault="003822C7" w:rsidP="007C097D">
            <w:pPr>
              <w:pStyle w:val="ListParagraph"/>
              <w:keepLines/>
              <w:numPr>
                <w:ilvl w:val="6"/>
                <w:numId w:val="35"/>
              </w:numPr>
              <w:tabs>
                <w:tab w:val="left" w:pos="320"/>
              </w:tabs>
              <w:suppressAutoHyphens w:val="0"/>
              <w:ind w:left="284"/>
              <w:rPr>
                <w:rFonts w:cstheme="minorHAnsi"/>
                <w:szCs w:val="20"/>
              </w:rPr>
            </w:pPr>
            <w:r>
              <w:rPr>
                <w:rFonts w:cstheme="minorHAnsi"/>
                <w:szCs w:val="20"/>
              </w:rPr>
              <w:t>E</w:t>
            </w:r>
            <w:r w:rsidRPr="004D5B88">
              <w:rPr>
                <w:rFonts w:cstheme="minorHAnsi"/>
                <w:szCs w:val="20"/>
              </w:rPr>
              <w:t>xpress</w:t>
            </w:r>
            <w:r>
              <w:rPr>
                <w:rFonts w:cstheme="minorHAnsi"/>
                <w:szCs w:val="20"/>
              </w:rPr>
              <w:t>es</w:t>
            </w:r>
            <w:r w:rsidRPr="004D5B88">
              <w:rPr>
                <w:rFonts w:cstheme="minorHAnsi"/>
                <w:szCs w:val="20"/>
              </w:rPr>
              <w:t xml:space="preserve"> some concerns regarding the proposed new mandatory safety systems required to achieve the additional width for heavy trailers</w:t>
            </w:r>
            <w:r>
              <w:rPr>
                <w:rFonts w:cstheme="minorHAnsi"/>
                <w:szCs w:val="20"/>
              </w:rPr>
              <w:t>, in particular side underrun protection and reversing lamps.</w:t>
            </w:r>
          </w:p>
          <w:p w:rsidR="003822C7" w:rsidRDefault="003822C7" w:rsidP="007C097D">
            <w:pPr>
              <w:pStyle w:val="ListParagraph"/>
              <w:keepLines/>
              <w:numPr>
                <w:ilvl w:val="6"/>
                <w:numId w:val="35"/>
              </w:numPr>
              <w:tabs>
                <w:tab w:val="left" w:pos="320"/>
              </w:tabs>
              <w:suppressAutoHyphens w:val="0"/>
              <w:ind w:left="284"/>
              <w:rPr>
                <w:rFonts w:cstheme="minorHAnsi"/>
                <w:szCs w:val="20"/>
              </w:rPr>
            </w:pPr>
            <w:r>
              <w:rPr>
                <w:rFonts w:cstheme="minorHAnsi"/>
                <w:szCs w:val="20"/>
              </w:rPr>
              <w:t>Notes s</w:t>
            </w:r>
            <w:r w:rsidRPr="00127935">
              <w:rPr>
                <w:rFonts w:cstheme="minorHAnsi"/>
                <w:szCs w:val="20"/>
              </w:rPr>
              <w:t>ide</w:t>
            </w:r>
            <w:r>
              <w:rPr>
                <w:rFonts w:cstheme="minorHAnsi"/>
                <w:szCs w:val="20"/>
              </w:rPr>
              <w:t xml:space="preserve"> </w:t>
            </w:r>
            <w:r w:rsidRPr="00127935">
              <w:rPr>
                <w:rFonts w:cstheme="minorHAnsi"/>
                <w:szCs w:val="20"/>
              </w:rPr>
              <w:t>underrun protection is likely to complicate the design of side tippers, chassis tippers, gas tankers and other heavy vehicle trailers that are predominantly used in regional areas.</w:t>
            </w:r>
          </w:p>
          <w:p w:rsidR="003822C7" w:rsidRDefault="003822C7" w:rsidP="007C097D">
            <w:pPr>
              <w:pStyle w:val="ListParagraph"/>
              <w:keepLines/>
              <w:numPr>
                <w:ilvl w:val="6"/>
                <w:numId w:val="35"/>
              </w:numPr>
              <w:tabs>
                <w:tab w:val="left" w:pos="320"/>
              </w:tabs>
              <w:suppressAutoHyphens w:val="0"/>
              <w:ind w:left="284"/>
              <w:rPr>
                <w:rFonts w:cstheme="minorHAnsi"/>
                <w:szCs w:val="20"/>
              </w:rPr>
            </w:pPr>
            <w:r>
              <w:rPr>
                <w:rFonts w:cstheme="minorHAnsi"/>
                <w:szCs w:val="20"/>
              </w:rPr>
              <w:t>Notes s</w:t>
            </w:r>
            <w:r w:rsidRPr="00127935">
              <w:rPr>
                <w:rFonts w:cstheme="minorHAnsi"/>
                <w:szCs w:val="20"/>
              </w:rPr>
              <w:t>ide underrun protection device</w:t>
            </w:r>
            <w:r>
              <w:rPr>
                <w:rFonts w:cstheme="minorHAnsi"/>
                <w:szCs w:val="20"/>
              </w:rPr>
              <w:t>s</w:t>
            </w:r>
            <w:r w:rsidRPr="00127935">
              <w:rPr>
                <w:rFonts w:cstheme="minorHAnsi"/>
                <w:szCs w:val="20"/>
              </w:rPr>
              <w:t xml:space="preserve"> </w:t>
            </w:r>
            <w:r>
              <w:rPr>
                <w:rFonts w:cstheme="minorHAnsi"/>
                <w:szCs w:val="20"/>
              </w:rPr>
              <w:t xml:space="preserve">are </w:t>
            </w:r>
            <w:r w:rsidRPr="00127935">
              <w:rPr>
                <w:rFonts w:cstheme="minorHAnsi"/>
                <w:szCs w:val="20"/>
              </w:rPr>
              <w:t xml:space="preserve">somewhat weak in design and construction and can be easily damaged when </w:t>
            </w:r>
            <w:r>
              <w:rPr>
                <w:rFonts w:cstheme="minorHAnsi"/>
                <w:szCs w:val="20"/>
              </w:rPr>
              <w:t>vehicles are</w:t>
            </w:r>
            <w:r w:rsidRPr="00127935">
              <w:rPr>
                <w:rFonts w:cstheme="minorHAnsi"/>
                <w:szCs w:val="20"/>
              </w:rPr>
              <w:t xml:space="preserve"> used on unsealed roads – which is commonplace in regional and remote parts of Australia</w:t>
            </w:r>
            <w:r>
              <w:rPr>
                <w:rFonts w:cstheme="minorHAnsi"/>
                <w:szCs w:val="20"/>
              </w:rPr>
              <w:t>.</w:t>
            </w:r>
          </w:p>
          <w:p w:rsidR="003822C7" w:rsidRPr="000C6044" w:rsidRDefault="003822C7" w:rsidP="007C097D">
            <w:pPr>
              <w:pStyle w:val="ListParagraph"/>
              <w:keepLines/>
              <w:numPr>
                <w:ilvl w:val="6"/>
                <w:numId w:val="35"/>
              </w:numPr>
              <w:tabs>
                <w:tab w:val="left" w:pos="320"/>
              </w:tabs>
              <w:suppressAutoHyphens w:val="0"/>
              <w:ind w:left="284"/>
              <w:rPr>
                <w:rFonts w:cstheme="minorHAnsi"/>
                <w:szCs w:val="20"/>
              </w:rPr>
            </w:pPr>
            <w:r>
              <w:rPr>
                <w:rFonts w:cstheme="minorHAnsi"/>
                <w:szCs w:val="20"/>
              </w:rPr>
              <w:t xml:space="preserve">Questions benefits of reversing lamps on trailers, especially trailers used in multi-vehicle </w:t>
            </w:r>
            <w:r w:rsidRPr="000C6044">
              <w:rPr>
                <w:rFonts w:cstheme="minorHAnsi"/>
                <w:szCs w:val="20"/>
              </w:rPr>
              <w:t xml:space="preserve">combinations – requests a </w:t>
            </w:r>
            <w:r w:rsidR="00C45600">
              <w:rPr>
                <w:rFonts w:cstheme="minorHAnsi"/>
                <w:szCs w:val="20"/>
              </w:rPr>
              <w:t>IA</w:t>
            </w:r>
            <w:r w:rsidRPr="000C6044">
              <w:rPr>
                <w:rFonts w:cstheme="minorHAnsi"/>
                <w:szCs w:val="20"/>
              </w:rPr>
              <w:t xml:space="preserve"> to consider pros and cons of regulating reversing lamps on trailers.</w:t>
            </w:r>
          </w:p>
          <w:p w:rsidR="003822C7" w:rsidRPr="00EB2F86" w:rsidRDefault="003822C7" w:rsidP="007C097D">
            <w:pPr>
              <w:pStyle w:val="ListParagraph"/>
              <w:keepLines/>
              <w:numPr>
                <w:ilvl w:val="6"/>
                <w:numId w:val="35"/>
              </w:numPr>
              <w:tabs>
                <w:tab w:val="left" w:pos="320"/>
              </w:tabs>
              <w:suppressAutoHyphens w:val="0"/>
              <w:ind w:left="284"/>
              <w:rPr>
                <w:rFonts w:cstheme="minorHAnsi"/>
                <w:szCs w:val="20"/>
              </w:rPr>
            </w:pPr>
            <w:r>
              <w:rPr>
                <w:rFonts w:cstheme="minorHAnsi"/>
                <w:szCs w:val="20"/>
              </w:rPr>
              <w:t xml:space="preserve">Argues </w:t>
            </w:r>
            <w:r w:rsidRPr="00CE4140">
              <w:rPr>
                <w:rFonts w:cstheme="minorHAnsi"/>
                <w:szCs w:val="20"/>
              </w:rPr>
              <w:t>that industry could also be educated of safe reversing practices, including the operation of hazard lights when reversing – a common</w:t>
            </w:r>
            <w:r w:rsidRPr="00CE4140">
              <w:rPr>
                <w:rFonts w:cstheme="minorHAnsi"/>
                <w:szCs w:val="20"/>
              </w:rPr>
              <w:cr/>
              <w:t>practice already used by many operators</w:t>
            </w:r>
            <w:r>
              <w:rPr>
                <w:rFonts w:cstheme="minorHAnsi"/>
                <w:szCs w:val="20"/>
              </w:rPr>
              <w:t>.</w:t>
            </w:r>
          </w:p>
        </w:tc>
        <w:tc>
          <w:tcPr>
            <w:tcW w:w="6379" w:type="dxa"/>
          </w:tcPr>
          <w:p w:rsidR="003822C7" w:rsidRDefault="003822C7" w:rsidP="007C097D">
            <w:pPr>
              <w:pStyle w:val="ListParagraph"/>
              <w:keepLines/>
              <w:numPr>
                <w:ilvl w:val="0"/>
                <w:numId w:val="39"/>
              </w:numPr>
              <w:tabs>
                <w:tab w:val="left" w:pos="720"/>
              </w:tabs>
              <w:suppressAutoHyphens w:val="0"/>
              <w:ind w:left="284" w:hanging="284"/>
              <w:rPr>
                <w:rFonts w:cstheme="minorHAnsi"/>
                <w:szCs w:val="20"/>
              </w:rPr>
            </w:pPr>
            <w:r w:rsidRPr="00502F43">
              <w:rPr>
                <w:rFonts w:cstheme="minorHAnsi"/>
                <w:szCs w:val="20"/>
              </w:rPr>
              <w:t>Noted.</w:t>
            </w:r>
          </w:p>
          <w:p w:rsidR="003822C7" w:rsidRPr="00710136" w:rsidRDefault="00710136" w:rsidP="007C097D">
            <w:pPr>
              <w:pStyle w:val="ListParagraph"/>
              <w:keepLines/>
              <w:numPr>
                <w:ilvl w:val="0"/>
                <w:numId w:val="39"/>
              </w:numPr>
              <w:tabs>
                <w:tab w:val="left" w:pos="720"/>
              </w:tabs>
              <w:suppressAutoHyphens w:val="0"/>
              <w:ind w:left="284" w:hanging="284"/>
              <w:rPr>
                <w:rFonts w:cstheme="minorHAnsi"/>
                <w:szCs w:val="20"/>
              </w:rPr>
            </w:pPr>
            <w:r w:rsidRPr="00710136">
              <w:rPr>
                <w:rFonts w:cstheme="minorHAnsi"/>
                <w:szCs w:val="20"/>
              </w:rPr>
              <w:t>See 3 and 4 below</w:t>
            </w:r>
            <w:r w:rsidR="003822C7" w:rsidRPr="00710136">
              <w:rPr>
                <w:rFonts w:cstheme="minorHAnsi"/>
                <w:szCs w:val="20"/>
              </w:rPr>
              <w:t>.</w:t>
            </w:r>
          </w:p>
          <w:p w:rsidR="003822C7" w:rsidRPr="007C01D8" w:rsidRDefault="002112A6" w:rsidP="007C097D">
            <w:pPr>
              <w:pStyle w:val="ListParagraph"/>
              <w:keepLines/>
              <w:numPr>
                <w:ilvl w:val="0"/>
                <w:numId w:val="39"/>
              </w:numPr>
              <w:tabs>
                <w:tab w:val="left" w:pos="720"/>
              </w:tabs>
              <w:suppressAutoHyphens w:val="0"/>
              <w:ind w:left="284" w:hanging="284"/>
              <w:rPr>
                <w:rFonts w:cstheme="minorHAnsi"/>
                <w:szCs w:val="20"/>
              </w:rPr>
            </w:pPr>
            <w:r w:rsidRPr="00EE4AC5">
              <w:rPr>
                <w:rFonts w:cstheme="minorHAnsi"/>
                <w:szCs w:val="20"/>
              </w:rPr>
              <w:t xml:space="preserve">Agree that side underrun could complicate the design of some </w:t>
            </w:r>
            <w:r w:rsidR="00EE4AC5" w:rsidRPr="00EE4AC5">
              <w:rPr>
                <w:rFonts w:cstheme="minorHAnsi"/>
                <w:szCs w:val="20"/>
              </w:rPr>
              <w:t>vehicles and trailers</w:t>
            </w:r>
            <w:r w:rsidR="00EE4AC5" w:rsidRPr="00750CD8">
              <w:rPr>
                <w:rFonts w:cstheme="minorHAnsi"/>
                <w:szCs w:val="20"/>
              </w:rPr>
              <w:t xml:space="preserve">. </w:t>
            </w:r>
            <w:r w:rsidR="00750CD8">
              <w:rPr>
                <w:rFonts w:cstheme="minorHAnsi"/>
              </w:rPr>
              <w:t>UN R73 includes some derogations</w:t>
            </w:r>
            <w:r w:rsidR="000F6E4D">
              <w:rPr>
                <w:rFonts w:cstheme="minorHAnsi"/>
              </w:rPr>
              <w:t>,</w:t>
            </w:r>
            <w:r w:rsidR="00750CD8">
              <w:rPr>
                <w:rFonts w:cstheme="minorHAnsi"/>
              </w:rPr>
              <w:t xml:space="preserve"> and the</w:t>
            </w:r>
            <w:r w:rsidR="00750CD8" w:rsidRPr="00C23179">
              <w:rPr>
                <w:rFonts w:cstheme="minorHAnsi"/>
              </w:rPr>
              <w:t xml:space="preserve"> exemptions and alternative procedures section of the proposed ADR will be able to be used to provide greater clarity, including in regard to derogations. These will also be able to </w:t>
            </w:r>
            <w:r w:rsidR="000C5069">
              <w:rPr>
                <w:rFonts w:cstheme="minorHAnsi"/>
              </w:rPr>
              <w:t xml:space="preserve">be </w:t>
            </w:r>
            <w:r w:rsidR="00750CD8" w:rsidRPr="00C23179">
              <w:rPr>
                <w:rFonts w:cstheme="minorHAnsi"/>
              </w:rPr>
              <w:t xml:space="preserve">continuously reviewed </w:t>
            </w:r>
            <w:r w:rsidR="00750CD8">
              <w:rPr>
                <w:rFonts w:cstheme="minorHAnsi"/>
              </w:rPr>
              <w:t xml:space="preserve">in close consultation with industry and with regard for Australian conditions, including through the established ADR consultative forums (e.g. TLG). </w:t>
            </w:r>
            <w:r w:rsidR="003B3572" w:rsidRPr="009133CD">
              <w:rPr>
                <w:rFonts w:cstheme="minorHAnsi"/>
              </w:rPr>
              <w:t xml:space="preserve">Minor amendments could be made to the ADR (after entry into force) </w:t>
            </w:r>
            <w:r w:rsidR="003B3572">
              <w:rPr>
                <w:rFonts w:cstheme="minorHAnsi"/>
              </w:rPr>
              <w:t xml:space="preserve">if necessary </w:t>
            </w:r>
            <w:r w:rsidR="003B3572" w:rsidRPr="009133CD">
              <w:rPr>
                <w:rFonts w:cstheme="minorHAnsi"/>
              </w:rPr>
              <w:t>to further clarify the interpretation and/or application of requirements</w:t>
            </w:r>
            <w:r w:rsidR="003B3572">
              <w:rPr>
                <w:rFonts w:cstheme="minorHAnsi"/>
              </w:rPr>
              <w:t xml:space="preserve">, or to </w:t>
            </w:r>
            <w:r w:rsidR="003B3572" w:rsidRPr="009133CD">
              <w:rPr>
                <w:rFonts w:cstheme="minorHAnsi"/>
              </w:rPr>
              <w:t>provide further targeted exemptions/ derogations, if there is evidence to show this would be likely to have no more than a minor regulatory impact, or that an LPD would be incompatible with the vehicle design use.</w:t>
            </w:r>
          </w:p>
          <w:p w:rsidR="003822C7" w:rsidRPr="009A1792" w:rsidRDefault="0087766C" w:rsidP="007C097D">
            <w:pPr>
              <w:pStyle w:val="ListParagraph"/>
              <w:keepLines/>
              <w:numPr>
                <w:ilvl w:val="0"/>
                <w:numId w:val="39"/>
              </w:numPr>
              <w:tabs>
                <w:tab w:val="left" w:pos="720"/>
              </w:tabs>
              <w:suppressAutoHyphens w:val="0"/>
              <w:ind w:left="284" w:hanging="284"/>
              <w:rPr>
                <w:rFonts w:cstheme="minorHAnsi"/>
                <w:szCs w:val="20"/>
              </w:rPr>
            </w:pPr>
            <w:r w:rsidRPr="009A1792">
              <w:rPr>
                <w:rFonts w:cstheme="minorHAnsi"/>
                <w:szCs w:val="20"/>
              </w:rPr>
              <w:t xml:space="preserve">Agree side underrun </w:t>
            </w:r>
            <w:r w:rsidR="009A1792" w:rsidRPr="009A1792">
              <w:rPr>
                <w:rFonts w:cstheme="minorHAnsi"/>
                <w:szCs w:val="20"/>
              </w:rPr>
              <w:t xml:space="preserve">protection devices can be of a lightweight design and construction and </w:t>
            </w:r>
            <w:r w:rsidR="003B6F6A">
              <w:rPr>
                <w:rFonts w:cstheme="minorHAnsi"/>
                <w:szCs w:val="20"/>
              </w:rPr>
              <w:t xml:space="preserve">these </w:t>
            </w:r>
            <w:r w:rsidR="009A1792" w:rsidRPr="009A1792">
              <w:rPr>
                <w:rFonts w:cstheme="minorHAnsi"/>
                <w:szCs w:val="20"/>
              </w:rPr>
              <w:t xml:space="preserve">could be more easily damaged in some remote and off-road operations. </w:t>
            </w:r>
            <w:r w:rsidR="009A1792">
              <w:rPr>
                <w:rFonts w:cstheme="minorHAnsi"/>
                <w:szCs w:val="20"/>
              </w:rPr>
              <w:t>However, side underrun is only proposed as a mandatory requirement for wider vehicles, and</w:t>
            </w:r>
            <w:r w:rsidR="009A1792" w:rsidRPr="009A1792">
              <w:rPr>
                <w:rFonts w:cstheme="minorHAnsi"/>
                <w:szCs w:val="20"/>
              </w:rPr>
              <w:t xml:space="preserve"> the </w:t>
            </w:r>
            <w:r w:rsidR="00561D83">
              <w:rPr>
                <w:rFonts w:cstheme="minorHAnsi"/>
                <w:szCs w:val="20"/>
              </w:rPr>
              <w:t>inter</w:t>
            </w:r>
            <w:r w:rsidR="006B608A">
              <w:rPr>
                <w:rFonts w:cstheme="minorHAnsi"/>
                <w:szCs w:val="20"/>
              </w:rPr>
              <w:t>n</w:t>
            </w:r>
            <w:r w:rsidR="00561D83">
              <w:rPr>
                <w:rFonts w:cstheme="minorHAnsi"/>
                <w:szCs w:val="20"/>
              </w:rPr>
              <w:t xml:space="preserve">ational </w:t>
            </w:r>
            <w:r w:rsidR="009A1792" w:rsidRPr="009A1792">
              <w:rPr>
                <w:rFonts w:cstheme="minorHAnsi"/>
                <w:szCs w:val="20"/>
              </w:rPr>
              <w:t xml:space="preserve">standard </w:t>
            </w:r>
            <w:r w:rsidR="006B608A">
              <w:rPr>
                <w:rFonts w:cstheme="minorHAnsi"/>
                <w:szCs w:val="20"/>
              </w:rPr>
              <w:t xml:space="preserve">(UN R73) </w:t>
            </w:r>
            <w:r w:rsidR="009A1792" w:rsidRPr="009A1792">
              <w:rPr>
                <w:rFonts w:cstheme="minorHAnsi"/>
                <w:szCs w:val="20"/>
              </w:rPr>
              <w:t>allows for stronger and more sturdy designs to be used.</w:t>
            </w:r>
          </w:p>
          <w:p w:rsidR="003822C7" w:rsidRPr="00710136" w:rsidRDefault="001D3BCF" w:rsidP="007C097D">
            <w:pPr>
              <w:pStyle w:val="ListParagraph"/>
              <w:keepLines/>
              <w:numPr>
                <w:ilvl w:val="0"/>
                <w:numId w:val="39"/>
              </w:numPr>
              <w:tabs>
                <w:tab w:val="left" w:pos="720"/>
              </w:tabs>
              <w:suppressAutoHyphens w:val="0"/>
              <w:ind w:left="284" w:hanging="284"/>
              <w:rPr>
                <w:rFonts w:cstheme="minorHAnsi"/>
                <w:szCs w:val="20"/>
              </w:rPr>
            </w:pPr>
            <w:r>
              <w:rPr>
                <w:rFonts w:cstheme="minorHAnsi"/>
                <w:szCs w:val="20"/>
              </w:rPr>
              <w:t xml:space="preserve">Noted. </w:t>
            </w:r>
            <w:r w:rsidR="00710136" w:rsidRPr="00710136">
              <w:rPr>
                <w:rFonts w:cstheme="minorHAnsi"/>
                <w:szCs w:val="20"/>
              </w:rPr>
              <w:t>Reversing lamps are no longer proposed as a mandatory safety feature for wider trailers</w:t>
            </w:r>
            <w:r w:rsidR="003822C7" w:rsidRPr="00710136">
              <w:rPr>
                <w:rFonts w:cstheme="minorHAnsi"/>
                <w:szCs w:val="20"/>
              </w:rPr>
              <w:t>.</w:t>
            </w:r>
            <w:r w:rsidR="008C458D">
              <w:rPr>
                <w:rFonts w:cstheme="minorHAnsi"/>
                <w:szCs w:val="20"/>
              </w:rPr>
              <w:t xml:space="preserve"> Requirements for these are being considered as part of a broader review of lighting ADRs for all vehicle categories and dimensions.</w:t>
            </w:r>
          </w:p>
          <w:p w:rsidR="003822C7" w:rsidRPr="00502F43" w:rsidRDefault="00710136" w:rsidP="007C097D">
            <w:pPr>
              <w:pStyle w:val="ListParagraph"/>
              <w:keepLines/>
              <w:numPr>
                <w:ilvl w:val="0"/>
                <w:numId w:val="39"/>
              </w:numPr>
              <w:tabs>
                <w:tab w:val="left" w:pos="720"/>
              </w:tabs>
              <w:suppressAutoHyphens w:val="0"/>
              <w:ind w:left="284" w:hanging="284"/>
              <w:rPr>
                <w:rFonts w:cstheme="minorHAnsi"/>
                <w:szCs w:val="20"/>
              </w:rPr>
            </w:pPr>
            <w:r w:rsidRPr="00710136">
              <w:rPr>
                <w:rFonts w:cstheme="minorHAnsi"/>
                <w:szCs w:val="20"/>
              </w:rPr>
              <w:t>Noted.</w:t>
            </w:r>
          </w:p>
        </w:tc>
      </w:tr>
      <w:tr w:rsidR="003822C7" w:rsidRPr="007B6E69" w:rsidTr="00CC5A05">
        <w:tc>
          <w:tcPr>
            <w:tcW w:w="1696" w:type="dxa"/>
          </w:tcPr>
          <w:p w:rsidR="003822C7" w:rsidRPr="007B6E69" w:rsidRDefault="00E227B0" w:rsidP="00E227B0">
            <w:pPr>
              <w:spacing w:before="120" w:after="120"/>
              <w:rPr>
                <w:rFonts w:cstheme="minorHAnsi"/>
              </w:rPr>
            </w:pPr>
            <w:r>
              <w:rPr>
                <w:rFonts w:cstheme="minorHAnsi"/>
              </w:rPr>
              <w:t>D</w:t>
            </w:r>
            <w:r w:rsidR="003822C7" w:rsidRPr="007B6E69">
              <w:rPr>
                <w:rFonts w:cstheme="minorHAnsi"/>
              </w:rPr>
              <w:t>epartment of Transport</w:t>
            </w:r>
            <w:r w:rsidR="003822C7">
              <w:rPr>
                <w:rFonts w:cstheme="minorHAnsi"/>
              </w:rPr>
              <w:t xml:space="preserve"> VIC</w:t>
            </w:r>
          </w:p>
        </w:tc>
        <w:tc>
          <w:tcPr>
            <w:tcW w:w="6521" w:type="dxa"/>
            <w:gridSpan w:val="2"/>
          </w:tcPr>
          <w:p w:rsidR="003822C7" w:rsidRDefault="003822C7" w:rsidP="00E248BF">
            <w:pPr>
              <w:pStyle w:val="ListParagraph"/>
              <w:keepLines/>
              <w:numPr>
                <w:ilvl w:val="6"/>
                <w:numId w:val="57"/>
              </w:numPr>
              <w:tabs>
                <w:tab w:val="left" w:pos="320"/>
              </w:tabs>
              <w:suppressAutoHyphens w:val="0"/>
              <w:ind w:left="284" w:hanging="284"/>
              <w:rPr>
                <w:rFonts w:cstheme="minorHAnsi"/>
                <w:szCs w:val="20"/>
              </w:rPr>
            </w:pPr>
            <w:r w:rsidRPr="002959AA">
              <w:rPr>
                <w:rFonts w:cstheme="minorHAnsi"/>
                <w:szCs w:val="20"/>
              </w:rPr>
              <w:t xml:space="preserve">Supports </w:t>
            </w:r>
            <w:r>
              <w:rPr>
                <w:rFonts w:cstheme="minorHAnsi"/>
                <w:szCs w:val="20"/>
              </w:rPr>
              <w:t xml:space="preserve">increasing the maximum width for heavy vehicles (goods vehicles and trailers over 4.5 tonnes) to 2.55 m, as this </w:t>
            </w:r>
            <w:r w:rsidRPr="005B6BEE">
              <w:rPr>
                <w:rFonts w:cstheme="minorHAnsi"/>
                <w:szCs w:val="20"/>
              </w:rPr>
              <w:t>is supported by research conducted by</w:t>
            </w:r>
            <w:r>
              <w:rPr>
                <w:rFonts w:cstheme="minorHAnsi"/>
                <w:szCs w:val="20"/>
              </w:rPr>
              <w:t xml:space="preserve"> </w:t>
            </w:r>
            <w:r w:rsidRPr="005B6BEE">
              <w:rPr>
                <w:rFonts w:cstheme="minorHAnsi"/>
                <w:szCs w:val="20"/>
              </w:rPr>
              <w:t>Austroads</w:t>
            </w:r>
            <w:r>
              <w:rPr>
                <w:rFonts w:cstheme="minorHAnsi"/>
                <w:szCs w:val="20"/>
              </w:rPr>
              <w:t>, and</w:t>
            </w:r>
            <w:r w:rsidRPr="005B6BEE">
              <w:rPr>
                <w:rFonts w:cstheme="minorHAnsi"/>
                <w:szCs w:val="20"/>
              </w:rPr>
              <w:t xml:space="preserve"> heavy vehicles that are 2.55</w:t>
            </w:r>
            <w:r>
              <w:rPr>
                <w:rFonts w:cstheme="minorHAnsi"/>
                <w:szCs w:val="20"/>
              </w:rPr>
              <w:t> </w:t>
            </w:r>
            <w:r w:rsidRPr="005B6BEE">
              <w:rPr>
                <w:rFonts w:cstheme="minorHAnsi"/>
                <w:szCs w:val="20"/>
              </w:rPr>
              <w:t>m wide, and wider, are</w:t>
            </w:r>
            <w:r>
              <w:rPr>
                <w:rFonts w:cstheme="minorHAnsi"/>
                <w:szCs w:val="20"/>
              </w:rPr>
              <w:t xml:space="preserve"> </w:t>
            </w:r>
            <w:r w:rsidRPr="005B6BEE">
              <w:rPr>
                <w:rFonts w:cstheme="minorHAnsi"/>
                <w:szCs w:val="20"/>
              </w:rPr>
              <w:t xml:space="preserve">successfully operating in Victoria on the </w:t>
            </w:r>
            <w:r>
              <w:rPr>
                <w:rFonts w:cstheme="minorHAnsi"/>
                <w:szCs w:val="20"/>
              </w:rPr>
              <w:t>PBS</w:t>
            </w:r>
            <w:r w:rsidRPr="005B6BEE">
              <w:rPr>
                <w:rFonts w:cstheme="minorHAnsi"/>
                <w:szCs w:val="20"/>
              </w:rPr>
              <w:t xml:space="preserve"> network</w:t>
            </w:r>
            <w:r w:rsidRPr="002959AA">
              <w:rPr>
                <w:rFonts w:cstheme="minorHAnsi"/>
                <w:szCs w:val="20"/>
              </w:rPr>
              <w:t>.</w:t>
            </w:r>
          </w:p>
          <w:p w:rsidR="003822C7" w:rsidRDefault="003822C7" w:rsidP="00E248BF">
            <w:pPr>
              <w:pStyle w:val="ListParagraph"/>
              <w:keepLines/>
              <w:numPr>
                <w:ilvl w:val="0"/>
                <w:numId w:val="57"/>
              </w:numPr>
              <w:tabs>
                <w:tab w:val="left" w:pos="320"/>
              </w:tabs>
              <w:suppressAutoHyphens w:val="0"/>
              <w:ind w:left="284" w:hanging="284"/>
              <w:rPr>
                <w:rFonts w:cstheme="minorHAnsi"/>
              </w:rPr>
            </w:pPr>
            <w:r>
              <w:rPr>
                <w:rFonts w:cstheme="minorHAnsi"/>
              </w:rPr>
              <w:t>N</w:t>
            </w:r>
            <w:r w:rsidRPr="00383BCA">
              <w:rPr>
                <w:rFonts w:cstheme="minorHAnsi"/>
              </w:rPr>
              <w:t>ot opposed to a</w:t>
            </w:r>
            <w:r>
              <w:rPr>
                <w:rFonts w:cstheme="minorHAnsi"/>
              </w:rPr>
              <w:t xml:space="preserve"> </w:t>
            </w:r>
            <w:r w:rsidRPr="00383BCA">
              <w:rPr>
                <w:rFonts w:cstheme="minorHAnsi"/>
              </w:rPr>
              <w:t xml:space="preserve">further </w:t>
            </w:r>
            <w:r>
              <w:rPr>
                <w:rFonts w:cstheme="minorHAnsi"/>
              </w:rPr>
              <w:t xml:space="preserve">maximum width </w:t>
            </w:r>
            <w:r w:rsidRPr="00383BCA">
              <w:rPr>
                <w:rFonts w:cstheme="minorHAnsi"/>
              </w:rPr>
              <w:t xml:space="preserve">increase to </w:t>
            </w:r>
            <w:r w:rsidR="00B9347B">
              <w:rPr>
                <w:rFonts w:cstheme="minorHAnsi"/>
              </w:rPr>
              <w:t>2.60</w:t>
            </w:r>
            <w:r>
              <w:rPr>
                <w:rFonts w:cstheme="minorHAnsi"/>
              </w:rPr>
              <w:t> </w:t>
            </w:r>
            <w:r w:rsidRPr="00383BCA">
              <w:rPr>
                <w:rFonts w:cstheme="minorHAnsi"/>
              </w:rPr>
              <w:t>m for all heavy vehicles</w:t>
            </w:r>
            <w:r>
              <w:rPr>
                <w:rFonts w:cstheme="minorHAnsi"/>
              </w:rPr>
              <w:t xml:space="preserve"> – </w:t>
            </w:r>
            <w:r w:rsidRPr="00383BCA">
              <w:rPr>
                <w:rFonts w:cstheme="minorHAnsi"/>
              </w:rPr>
              <w:t>however the impact of providing general access to vehicles of this width should be studied</w:t>
            </w:r>
            <w:r>
              <w:rPr>
                <w:rFonts w:cstheme="minorHAnsi"/>
              </w:rPr>
              <w:t xml:space="preserve"> to</w:t>
            </w:r>
            <w:r w:rsidRPr="00383BCA">
              <w:rPr>
                <w:rFonts w:cstheme="minorHAnsi"/>
              </w:rPr>
              <w:t xml:space="preserve"> ensure that </w:t>
            </w:r>
            <w:r w:rsidR="00B9347B">
              <w:rPr>
                <w:rFonts w:cstheme="minorHAnsi"/>
              </w:rPr>
              <w:t>2.60</w:t>
            </w:r>
            <w:r>
              <w:rPr>
                <w:rFonts w:cstheme="minorHAnsi"/>
              </w:rPr>
              <w:t> </w:t>
            </w:r>
            <w:r w:rsidRPr="00383BCA">
              <w:rPr>
                <w:rFonts w:cstheme="minorHAnsi"/>
              </w:rPr>
              <w:t>m wide heavy vehicles could safely operate on the road network and share the road with other road users</w:t>
            </w:r>
            <w:r>
              <w:rPr>
                <w:rFonts w:cstheme="minorHAnsi"/>
              </w:rPr>
              <w:t>,</w:t>
            </w:r>
            <w:r w:rsidRPr="00383BCA">
              <w:rPr>
                <w:rFonts w:cstheme="minorHAnsi"/>
              </w:rPr>
              <w:t xml:space="preserve"> including cyclists and motorcyclists.</w:t>
            </w:r>
          </w:p>
          <w:p w:rsidR="003822C7" w:rsidRDefault="003822C7" w:rsidP="00E248BF">
            <w:pPr>
              <w:pStyle w:val="ListParagraph"/>
              <w:keepLines/>
              <w:numPr>
                <w:ilvl w:val="0"/>
                <w:numId w:val="57"/>
              </w:numPr>
              <w:tabs>
                <w:tab w:val="left" w:pos="320"/>
              </w:tabs>
              <w:suppressAutoHyphens w:val="0"/>
              <w:ind w:left="284" w:hanging="284"/>
              <w:rPr>
                <w:rFonts w:cstheme="minorHAnsi"/>
              </w:rPr>
            </w:pPr>
            <w:r>
              <w:rPr>
                <w:rFonts w:cstheme="minorHAnsi"/>
              </w:rPr>
              <w:t>E</w:t>
            </w:r>
            <w:r w:rsidRPr="00383BCA">
              <w:rPr>
                <w:rFonts w:cstheme="minorHAnsi"/>
              </w:rPr>
              <w:t>ncourage</w:t>
            </w:r>
            <w:r>
              <w:rPr>
                <w:rFonts w:cstheme="minorHAnsi"/>
              </w:rPr>
              <w:t>s</w:t>
            </w:r>
            <w:r w:rsidRPr="00383BCA">
              <w:rPr>
                <w:rFonts w:cstheme="minorHAnsi"/>
              </w:rPr>
              <w:t xml:space="preserve"> the Commonwealth to work with the Austroads and the NHVR to research the suitability of </w:t>
            </w:r>
            <w:r w:rsidR="00B9347B">
              <w:rPr>
                <w:rFonts w:cstheme="minorHAnsi"/>
              </w:rPr>
              <w:t>2.60</w:t>
            </w:r>
            <w:r>
              <w:rPr>
                <w:rFonts w:cstheme="minorHAnsi"/>
              </w:rPr>
              <w:t> </w:t>
            </w:r>
            <w:r w:rsidRPr="00383BCA">
              <w:rPr>
                <w:rFonts w:cstheme="minorHAnsi"/>
              </w:rPr>
              <w:t>m wide heavy</w:t>
            </w:r>
            <w:r>
              <w:rPr>
                <w:rFonts w:cstheme="minorHAnsi"/>
              </w:rPr>
              <w:t xml:space="preserve"> </w:t>
            </w:r>
            <w:r w:rsidRPr="00383BCA">
              <w:rPr>
                <w:rFonts w:cstheme="minorHAnsi"/>
              </w:rPr>
              <w:t>vehicles across Australia.</w:t>
            </w:r>
          </w:p>
          <w:p w:rsidR="003822C7" w:rsidRPr="00097074" w:rsidRDefault="003822C7" w:rsidP="00E248BF">
            <w:pPr>
              <w:pStyle w:val="ListParagraph"/>
              <w:keepLines/>
              <w:numPr>
                <w:ilvl w:val="0"/>
                <w:numId w:val="57"/>
              </w:numPr>
              <w:tabs>
                <w:tab w:val="left" w:pos="320"/>
              </w:tabs>
              <w:suppressAutoHyphens w:val="0"/>
              <w:ind w:left="284" w:hanging="284"/>
              <w:rPr>
                <w:rFonts w:cstheme="minorHAnsi"/>
              </w:rPr>
            </w:pPr>
            <w:r w:rsidRPr="00097074">
              <w:rPr>
                <w:rFonts w:cstheme="minorHAnsi"/>
              </w:rPr>
              <w:t>Continues to be disappointed with the delayed introduction to regulations that will improve vehicle safety in Australia</w:t>
            </w:r>
            <w:r>
              <w:rPr>
                <w:rFonts w:cstheme="minorHAnsi"/>
              </w:rPr>
              <w:t xml:space="preserve"> – n</w:t>
            </w:r>
            <w:r w:rsidRPr="00097074">
              <w:rPr>
                <w:rFonts w:cstheme="minorHAnsi"/>
              </w:rPr>
              <w:t>otes many of the proposed safety features have been mandated in other jurisdictions for years, or even decades, yet they are only just being proposed to be optional for most heavy vehicles in Australia.</w:t>
            </w:r>
          </w:p>
          <w:p w:rsidR="003822C7" w:rsidRDefault="003822C7" w:rsidP="00E248BF">
            <w:pPr>
              <w:pStyle w:val="ListParagraph"/>
              <w:keepLines/>
              <w:numPr>
                <w:ilvl w:val="0"/>
                <w:numId w:val="57"/>
              </w:numPr>
              <w:tabs>
                <w:tab w:val="left" w:pos="320"/>
              </w:tabs>
              <w:suppressAutoHyphens w:val="0"/>
              <w:ind w:left="284" w:hanging="284"/>
              <w:rPr>
                <w:rFonts w:cstheme="minorHAnsi"/>
              </w:rPr>
            </w:pPr>
            <w:r>
              <w:rPr>
                <w:rFonts w:cstheme="minorHAnsi"/>
              </w:rPr>
              <w:t>U</w:t>
            </w:r>
            <w:r w:rsidRPr="00DC7772">
              <w:rPr>
                <w:rFonts w:cstheme="minorHAnsi"/>
              </w:rPr>
              <w:t>rge</w:t>
            </w:r>
            <w:r>
              <w:rPr>
                <w:rFonts w:cstheme="minorHAnsi"/>
              </w:rPr>
              <w:t>s</w:t>
            </w:r>
            <w:r w:rsidRPr="00DC7772">
              <w:rPr>
                <w:rFonts w:cstheme="minorHAnsi"/>
              </w:rPr>
              <w:t xml:space="preserve"> the Commonwealth not to lose sight of further opportunities to improve heavy vehicle safety</w:t>
            </w:r>
            <w:r>
              <w:rPr>
                <w:rFonts w:cstheme="minorHAnsi"/>
              </w:rPr>
              <w:t xml:space="preserve">, and to adopt (i.e. mandate) </w:t>
            </w:r>
            <w:r w:rsidRPr="00DC7772">
              <w:rPr>
                <w:rFonts w:cstheme="minorHAnsi"/>
              </w:rPr>
              <w:t>safety standards in similar</w:t>
            </w:r>
            <w:r>
              <w:rPr>
                <w:rFonts w:cstheme="minorHAnsi"/>
              </w:rPr>
              <w:t xml:space="preserve"> </w:t>
            </w:r>
            <w:r w:rsidRPr="00DC7772">
              <w:rPr>
                <w:rFonts w:cstheme="minorHAnsi"/>
              </w:rPr>
              <w:t>timeframes to Europe</w:t>
            </w:r>
            <w:r>
              <w:rPr>
                <w:rFonts w:cstheme="minorHAnsi"/>
              </w:rPr>
              <w:t xml:space="preserve"> </w:t>
            </w:r>
            <w:r w:rsidRPr="00DC7772">
              <w:rPr>
                <w:rFonts w:cstheme="minorHAnsi"/>
              </w:rPr>
              <w:t>in alignment with the agreement of Transport Minister’s at the 11th meeting of the</w:t>
            </w:r>
            <w:r>
              <w:rPr>
                <w:rFonts w:cstheme="minorHAnsi"/>
              </w:rPr>
              <w:t xml:space="preserve"> </w:t>
            </w:r>
            <w:r w:rsidRPr="00DC7772">
              <w:rPr>
                <w:rFonts w:cstheme="minorHAnsi"/>
              </w:rPr>
              <w:t>Transport and Infrastructure Council.</w:t>
            </w:r>
          </w:p>
          <w:p w:rsidR="003822C7" w:rsidRDefault="003822C7" w:rsidP="00E248BF">
            <w:pPr>
              <w:pStyle w:val="ListParagraph"/>
              <w:keepLines/>
              <w:numPr>
                <w:ilvl w:val="0"/>
                <w:numId w:val="57"/>
              </w:numPr>
              <w:tabs>
                <w:tab w:val="left" w:pos="320"/>
              </w:tabs>
              <w:suppressAutoHyphens w:val="0"/>
              <w:ind w:left="284" w:hanging="284"/>
              <w:rPr>
                <w:rFonts w:cstheme="minorHAnsi"/>
              </w:rPr>
            </w:pPr>
            <w:r>
              <w:rPr>
                <w:rFonts w:cstheme="minorHAnsi"/>
              </w:rPr>
              <w:t>Does not support any ADR exemptions for life saving safety features, including ESC, AEB and LDWS for vehicles with more than three axles.</w:t>
            </w:r>
          </w:p>
          <w:p w:rsidR="003822C7" w:rsidRDefault="003822C7" w:rsidP="00E248BF">
            <w:pPr>
              <w:pStyle w:val="ListParagraph"/>
              <w:keepLines/>
              <w:numPr>
                <w:ilvl w:val="0"/>
                <w:numId w:val="57"/>
              </w:numPr>
              <w:tabs>
                <w:tab w:val="left" w:pos="320"/>
              </w:tabs>
              <w:suppressAutoHyphens w:val="0"/>
              <w:ind w:left="284" w:hanging="284"/>
              <w:rPr>
                <w:rFonts w:cstheme="minorHAnsi"/>
              </w:rPr>
            </w:pPr>
            <w:r>
              <w:rPr>
                <w:rFonts w:cstheme="minorHAnsi"/>
              </w:rPr>
              <w:t xml:space="preserve">Understands that the UN exemption for ESC, AEB and LDWS on vehicles with more than three axles was requested by </w:t>
            </w:r>
            <w:r w:rsidRPr="00583A0F">
              <w:rPr>
                <w:rFonts w:cstheme="minorHAnsi"/>
              </w:rPr>
              <w:t>the international representative body for vehicle manufacturers</w:t>
            </w:r>
            <w:r>
              <w:rPr>
                <w:rFonts w:cstheme="minorHAnsi"/>
              </w:rPr>
              <w:t>,</w:t>
            </w:r>
            <w:r w:rsidRPr="00583A0F">
              <w:rPr>
                <w:rFonts w:cstheme="minorHAnsi"/>
              </w:rPr>
              <w:t xml:space="preserve"> due to four axle trucks being primarily used on construction sites and not on</w:t>
            </w:r>
            <w:r>
              <w:rPr>
                <w:rFonts w:cstheme="minorHAnsi"/>
              </w:rPr>
              <w:t xml:space="preserve"> </w:t>
            </w:r>
            <w:r w:rsidRPr="00583A0F">
              <w:rPr>
                <w:rFonts w:cstheme="minorHAnsi"/>
              </w:rPr>
              <w:t>highways</w:t>
            </w:r>
            <w:r>
              <w:rPr>
                <w:rFonts w:cstheme="minorHAnsi"/>
              </w:rPr>
              <w:t xml:space="preserve"> – does not</w:t>
            </w:r>
            <w:r w:rsidRPr="00583A0F">
              <w:rPr>
                <w:rFonts w:cstheme="minorHAnsi"/>
              </w:rPr>
              <w:t xml:space="preserve"> support this exemption</w:t>
            </w:r>
            <w:r>
              <w:rPr>
                <w:rFonts w:cstheme="minorHAnsi"/>
              </w:rPr>
              <w:t>.</w:t>
            </w:r>
          </w:p>
          <w:p w:rsidR="003822C7" w:rsidRPr="006871B1" w:rsidRDefault="003822C7" w:rsidP="00E248BF">
            <w:pPr>
              <w:pStyle w:val="ListParagraph"/>
              <w:keepLines/>
              <w:numPr>
                <w:ilvl w:val="0"/>
                <w:numId w:val="57"/>
              </w:numPr>
              <w:tabs>
                <w:tab w:val="left" w:pos="320"/>
              </w:tabs>
              <w:suppressAutoHyphens w:val="0"/>
              <w:ind w:left="284" w:hanging="284"/>
              <w:rPr>
                <w:rFonts w:cstheme="minorHAnsi"/>
              </w:rPr>
            </w:pPr>
            <w:r w:rsidRPr="006871B1">
              <w:rPr>
                <w:rFonts w:cstheme="minorHAnsi"/>
              </w:rPr>
              <w:t>Encourages the Commonwealth to work with international</w:t>
            </w:r>
            <w:r w:rsidRPr="006871B1">
              <w:rPr>
                <w:rFonts w:cstheme="minorHAnsi"/>
              </w:rPr>
              <w:cr/>
              <w:t xml:space="preserve"> bodies to enable the fitment of these technologies to trucks with more than three axles, and notes that vehicles used on </w:t>
            </w:r>
            <w:r w:rsidRPr="006871B1">
              <w:rPr>
                <w:rFonts w:cstheme="minorHAnsi"/>
              </w:rPr>
              <w:cr/>
              <w:t>construction sites are a key area of focus for safety improvements in Victoria.</w:t>
            </w:r>
          </w:p>
        </w:tc>
        <w:tc>
          <w:tcPr>
            <w:tcW w:w="6379" w:type="dxa"/>
          </w:tcPr>
          <w:p w:rsidR="003822C7" w:rsidRPr="006871B1" w:rsidRDefault="003822C7" w:rsidP="00E248BF">
            <w:pPr>
              <w:pStyle w:val="ListParagraph"/>
              <w:keepLines/>
              <w:numPr>
                <w:ilvl w:val="0"/>
                <w:numId w:val="65"/>
              </w:numPr>
              <w:tabs>
                <w:tab w:val="left" w:pos="720"/>
              </w:tabs>
              <w:suppressAutoHyphens w:val="0"/>
              <w:ind w:left="284" w:hanging="284"/>
              <w:rPr>
                <w:rFonts w:cstheme="minorHAnsi"/>
                <w:szCs w:val="20"/>
              </w:rPr>
            </w:pPr>
            <w:r>
              <w:rPr>
                <w:rFonts w:cstheme="minorHAnsi"/>
              </w:rPr>
              <w:t>Noted.</w:t>
            </w:r>
          </w:p>
          <w:p w:rsidR="003822C7" w:rsidRPr="004F0642" w:rsidRDefault="004F0642" w:rsidP="00E248BF">
            <w:pPr>
              <w:pStyle w:val="ListParagraph"/>
              <w:keepLines/>
              <w:numPr>
                <w:ilvl w:val="0"/>
                <w:numId w:val="65"/>
              </w:numPr>
              <w:tabs>
                <w:tab w:val="left" w:pos="720"/>
              </w:tabs>
              <w:suppressAutoHyphens w:val="0"/>
              <w:ind w:left="284" w:hanging="284"/>
              <w:rPr>
                <w:rFonts w:cstheme="minorHAnsi"/>
                <w:szCs w:val="20"/>
              </w:rPr>
            </w:pPr>
            <w:r w:rsidRPr="004F0642">
              <w:rPr>
                <w:rFonts w:cstheme="minorHAnsi"/>
                <w:szCs w:val="20"/>
              </w:rPr>
              <w:t>Noted</w:t>
            </w:r>
            <w:r w:rsidR="003822C7" w:rsidRPr="004F0642">
              <w:rPr>
                <w:rFonts w:cstheme="minorHAnsi"/>
                <w:szCs w:val="20"/>
              </w:rPr>
              <w:t>.</w:t>
            </w:r>
          </w:p>
          <w:p w:rsidR="003822C7" w:rsidRPr="008062A9" w:rsidRDefault="004F0642" w:rsidP="00E248BF">
            <w:pPr>
              <w:pStyle w:val="ListParagraph"/>
              <w:keepLines/>
              <w:numPr>
                <w:ilvl w:val="0"/>
                <w:numId w:val="65"/>
              </w:numPr>
              <w:tabs>
                <w:tab w:val="left" w:pos="720"/>
              </w:tabs>
              <w:suppressAutoHyphens w:val="0"/>
              <w:ind w:left="284" w:hanging="284"/>
              <w:rPr>
                <w:rFonts w:cstheme="minorHAnsi"/>
                <w:szCs w:val="20"/>
              </w:rPr>
            </w:pPr>
            <w:r w:rsidRPr="008062A9">
              <w:rPr>
                <w:rFonts w:cstheme="minorHAnsi"/>
                <w:szCs w:val="20"/>
              </w:rPr>
              <w:t xml:space="preserve">Noted. </w:t>
            </w:r>
            <w:r w:rsidR="008062A9">
              <w:rPr>
                <w:rFonts w:cstheme="minorHAnsi"/>
                <w:szCs w:val="20"/>
              </w:rPr>
              <w:t>J</w:t>
            </w:r>
            <w:r w:rsidRPr="008062A9">
              <w:rPr>
                <w:rFonts w:cstheme="minorHAnsi"/>
                <w:szCs w:val="20"/>
              </w:rPr>
              <w:t xml:space="preserve">urisdictions should </w:t>
            </w:r>
            <w:r w:rsidR="008062A9">
              <w:rPr>
                <w:rFonts w:cstheme="minorHAnsi"/>
                <w:szCs w:val="20"/>
              </w:rPr>
              <w:t xml:space="preserve">work with Austroads to </w:t>
            </w:r>
            <w:r w:rsidRPr="008062A9">
              <w:rPr>
                <w:rFonts w:cstheme="minorHAnsi"/>
                <w:szCs w:val="20"/>
              </w:rPr>
              <w:t xml:space="preserve">complete this work (also see recommendations in Chapter </w:t>
            </w:r>
            <w:r w:rsidR="008062A9">
              <w:rPr>
                <w:rFonts w:cstheme="minorHAnsi"/>
                <w:szCs w:val="20"/>
              </w:rPr>
              <w:t>7</w:t>
            </w:r>
            <w:r w:rsidRPr="008062A9">
              <w:rPr>
                <w:rFonts w:cstheme="minorHAnsi"/>
                <w:szCs w:val="20"/>
              </w:rPr>
              <w:t xml:space="preserve"> above).</w:t>
            </w:r>
            <w:r w:rsidR="0079009A">
              <w:rPr>
                <w:rFonts w:cstheme="minorHAnsi"/>
                <w:szCs w:val="20"/>
              </w:rPr>
              <w:t xml:space="preserve"> Ideally this </w:t>
            </w:r>
            <w:r w:rsidR="00312DD8">
              <w:rPr>
                <w:rFonts w:cstheme="minorHAnsi"/>
                <w:szCs w:val="20"/>
              </w:rPr>
              <w:t>sh</w:t>
            </w:r>
            <w:r w:rsidR="00144913">
              <w:rPr>
                <w:rFonts w:cstheme="minorHAnsi"/>
                <w:szCs w:val="20"/>
              </w:rPr>
              <w:t>ould</w:t>
            </w:r>
            <w:r w:rsidR="0079009A">
              <w:rPr>
                <w:rFonts w:cstheme="minorHAnsi"/>
                <w:szCs w:val="20"/>
              </w:rPr>
              <w:t xml:space="preserve"> have </w:t>
            </w:r>
            <w:r w:rsidR="00144913">
              <w:rPr>
                <w:rFonts w:cstheme="minorHAnsi"/>
                <w:szCs w:val="20"/>
              </w:rPr>
              <w:t xml:space="preserve">been </w:t>
            </w:r>
            <w:r w:rsidR="0079009A">
              <w:rPr>
                <w:rFonts w:cstheme="minorHAnsi"/>
                <w:szCs w:val="20"/>
              </w:rPr>
              <w:t xml:space="preserve">completed as part of the Austroads review </w:t>
            </w:r>
            <w:r w:rsidR="00144913">
              <w:rPr>
                <w:rFonts w:cstheme="minorHAnsi"/>
                <w:szCs w:val="20"/>
              </w:rPr>
              <w:t>in 2019.</w:t>
            </w:r>
          </w:p>
          <w:p w:rsidR="003822C7" w:rsidRPr="006871B1" w:rsidRDefault="00BC7411" w:rsidP="00E248BF">
            <w:pPr>
              <w:pStyle w:val="ListParagraph"/>
              <w:keepLines/>
              <w:numPr>
                <w:ilvl w:val="0"/>
                <w:numId w:val="65"/>
              </w:numPr>
              <w:tabs>
                <w:tab w:val="left" w:pos="720"/>
              </w:tabs>
              <w:suppressAutoHyphens w:val="0"/>
              <w:ind w:left="284" w:hanging="284"/>
              <w:rPr>
                <w:rFonts w:cstheme="minorHAnsi"/>
                <w:szCs w:val="20"/>
              </w:rPr>
            </w:pPr>
            <w:r w:rsidRPr="002D7DE0">
              <w:rPr>
                <w:rFonts w:cstheme="minorHAnsi"/>
                <w:szCs w:val="20"/>
              </w:rPr>
              <w:t xml:space="preserve">Noted. </w:t>
            </w:r>
            <w:r w:rsidR="008124AA">
              <w:rPr>
                <w:rFonts w:cstheme="minorHAnsi"/>
                <w:szCs w:val="20"/>
              </w:rPr>
              <w:t>However, w</w:t>
            </w:r>
            <w:r w:rsidR="008124AA" w:rsidRPr="008124AA">
              <w:rPr>
                <w:rFonts w:cstheme="minorHAnsi"/>
                <w:szCs w:val="20"/>
              </w:rPr>
              <w:t>ith the proliferation of new vehicle technologies, it is vital that</w:t>
            </w:r>
            <w:r w:rsidR="008124AA">
              <w:rPr>
                <w:rFonts w:cstheme="minorHAnsi"/>
                <w:szCs w:val="20"/>
              </w:rPr>
              <w:t xml:space="preserve"> </w:t>
            </w:r>
            <w:r w:rsidR="005D223F">
              <w:rPr>
                <w:rFonts w:cstheme="minorHAnsi"/>
                <w:szCs w:val="20"/>
              </w:rPr>
              <w:t xml:space="preserve">any </w:t>
            </w:r>
            <w:r w:rsidR="008124AA" w:rsidRPr="008124AA">
              <w:rPr>
                <w:rFonts w:cstheme="minorHAnsi"/>
                <w:szCs w:val="20"/>
              </w:rPr>
              <w:t>mandating</w:t>
            </w:r>
            <w:r w:rsidR="008124AA">
              <w:rPr>
                <w:rFonts w:cstheme="minorHAnsi"/>
                <w:szCs w:val="20"/>
              </w:rPr>
              <w:t xml:space="preserve"> </w:t>
            </w:r>
            <w:r w:rsidR="008124AA" w:rsidRPr="008124AA">
              <w:rPr>
                <w:rFonts w:cstheme="minorHAnsi"/>
                <w:szCs w:val="20"/>
              </w:rPr>
              <w:t>of technologies be based on a sound evidentiary basis. Otherwise</w:t>
            </w:r>
            <w:r w:rsidR="008124AA">
              <w:rPr>
                <w:rFonts w:cstheme="minorHAnsi"/>
                <w:szCs w:val="20"/>
              </w:rPr>
              <w:t xml:space="preserve"> </w:t>
            </w:r>
            <w:r w:rsidR="008124AA" w:rsidRPr="008124AA">
              <w:rPr>
                <w:rFonts w:cstheme="minorHAnsi"/>
                <w:szCs w:val="20"/>
              </w:rPr>
              <w:t xml:space="preserve">vehicle costs could rise for little </w:t>
            </w:r>
            <w:r w:rsidR="008124AA">
              <w:rPr>
                <w:rFonts w:cstheme="minorHAnsi"/>
                <w:szCs w:val="20"/>
              </w:rPr>
              <w:t xml:space="preserve">or no </w:t>
            </w:r>
            <w:r w:rsidR="008124AA" w:rsidRPr="008124AA">
              <w:rPr>
                <w:rFonts w:cstheme="minorHAnsi"/>
                <w:szCs w:val="20"/>
              </w:rPr>
              <w:t>gain in safety (or environmental) performance.</w:t>
            </w:r>
            <w:r w:rsidR="008124AA">
              <w:rPr>
                <w:rFonts w:cstheme="minorHAnsi"/>
                <w:szCs w:val="20"/>
              </w:rPr>
              <w:t xml:space="preserve"> </w:t>
            </w:r>
            <w:r w:rsidR="008B31D3">
              <w:rPr>
                <w:rFonts w:cstheme="minorHAnsi"/>
                <w:szCs w:val="20"/>
              </w:rPr>
              <w:t xml:space="preserve">For new technologies, some time is needed to establish effectiveness and </w:t>
            </w:r>
            <w:r w:rsidR="00E27DE4">
              <w:rPr>
                <w:rFonts w:cstheme="minorHAnsi"/>
                <w:szCs w:val="20"/>
              </w:rPr>
              <w:t>properly consider if there is a</w:t>
            </w:r>
            <w:r w:rsidR="008B31D3">
              <w:rPr>
                <w:rFonts w:cstheme="minorHAnsi"/>
                <w:szCs w:val="20"/>
              </w:rPr>
              <w:t xml:space="preserve"> case for regulation. </w:t>
            </w:r>
            <w:r w:rsidR="00E27DE4">
              <w:rPr>
                <w:rFonts w:cstheme="minorHAnsi"/>
                <w:szCs w:val="20"/>
              </w:rPr>
              <w:t xml:space="preserve">Regulation is not the default policy option. </w:t>
            </w:r>
            <w:r w:rsidR="008124AA">
              <w:rPr>
                <w:rFonts w:cstheme="minorHAnsi"/>
                <w:szCs w:val="20"/>
              </w:rPr>
              <w:t xml:space="preserve">Understand that the reference to delays is </w:t>
            </w:r>
            <w:r w:rsidR="00A75BD3">
              <w:rPr>
                <w:rFonts w:cstheme="minorHAnsi"/>
                <w:szCs w:val="20"/>
              </w:rPr>
              <w:t>for the most part a reference to the EU. However, mandatory implementation dates in the EU</w:t>
            </w:r>
            <w:r w:rsidR="00A75BD3" w:rsidRPr="00A75BD3" w:rsidDel="00A75BD3">
              <w:rPr>
                <w:rFonts w:cstheme="minorHAnsi"/>
                <w:color w:val="auto"/>
                <w:szCs w:val="20"/>
              </w:rPr>
              <w:t xml:space="preserve"> </w:t>
            </w:r>
            <w:r w:rsidR="00A75BD3" w:rsidRPr="00A75BD3">
              <w:rPr>
                <w:rFonts w:cstheme="minorHAnsi"/>
                <w:color w:val="auto"/>
                <w:szCs w:val="20"/>
              </w:rPr>
              <w:t xml:space="preserve">are </w:t>
            </w:r>
            <w:r w:rsidR="00A75BD3">
              <w:rPr>
                <w:rFonts w:cstheme="minorHAnsi"/>
                <w:szCs w:val="20"/>
              </w:rPr>
              <w:t xml:space="preserve">usually </w:t>
            </w:r>
            <w:r w:rsidR="001C31DE">
              <w:rPr>
                <w:rFonts w:cstheme="minorHAnsi"/>
                <w:szCs w:val="20"/>
              </w:rPr>
              <w:t xml:space="preserve">around </w:t>
            </w:r>
            <w:r w:rsidR="00A75BD3">
              <w:rPr>
                <w:rFonts w:cstheme="minorHAnsi"/>
                <w:szCs w:val="20"/>
              </w:rPr>
              <w:t xml:space="preserve">2-4 years </w:t>
            </w:r>
            <w:r w:rsidR="00920E89">
              <w:rPr>
                <w:rFonts w:cstheme="minorHAnsi"/>
                <w:szCs w:val="20"/>
              </w:rPr>
              <w:t xml:space="preserve">(and sometimes </w:t>
            </w:r>
            <w:r w:rsidR="00433E91">
              <w:rPr>
                <w:rFonts w:cstheme="minorHAnsi"/>
                <w:szCs w:val="20"/>
              </w:rPr>
              <w:t xml:space="preserve">longer) </w:t>
            </w:r>
            <w:r w:rsidR="00A75BD3">
              <w:rPr>
                <w:rFonts w:cstheme="minorHAnsi"/>
                <w:szCs w:val="20"/>
              </w:rPr>
              <w:t>after the establishment of new UN vehicle regulations. This allows manufacturers to start designing and testing vehicles to the new UN</w:t>
            </w:r>
            <w:r w:rsidR="007833DB">
              <w:rPr>
                <w:rFonts w:cstheme="minorHAnsi"/>
                <w:szCs w:val="20"/>
              </w:rPr>
              <w:t> </w:t>
            </w:r>
            <w:r w:rsidR="00A75BD3">
              <w:rPr>
                <w:rFonts w:cstheme="minorHAnsi"/>
                <w:szCs w:val="20"/>
              </w:rPr>
              <w:t>Regulations before they become mandatory.</w:t>
            </w:r>
            <w:r w:rsidR="0009690C">
              <w:rPr>
                <w:rFonts w:cstheme="minorHAnsi"/>
                <w:szCs w:val="20"/>
              </w:rPr>
              <w:t xml:space="preserve"> Entry into force of UN vehicle regulations should not be taken as the mandatory date in the EU or any other region or country.</w:t>
            </w:r>
          </w:p>
          <w:p w:rsidR="003822C7" w:rsidRPr="00BC7411" w:rsidRDefault="00BC7411" w:rsidP="00E248BF">
            <w:pPr>
              <w:pStyle w:val="ListParagraph"/>
              <w:keepLines/>
              <w:numPr>
                <w:ilvl w:val="0"/>
                <w:numId w:val="65"/>
              </w:numPr>
              <w:tabs>
                <w:tab w:val="left" w:pos="720"/>
              </w:tabs>
              <w:suppressAutoHyphens w:val="0"/>
              <w:ind w:left="284" w:hanging="284"/>
              <w:rPr>
                <w:rFonts w:cstheme="minorHAnsi"/>
                <w:szCs w:val="20"/>
              </w:rPr>
            </w:pPr>
            <w:r w:rsidRPr="00BC7411">
              <w:rPr>
                <w:rFonts w:cstheme="minorHAnsi"/>
                <w:szCs w:val="20"/>
              </w:rPr>
              <w:t>Noted</w:t>
            </w:r>
            <w:r w:rsidR="003822C7" w:rsidRPr="00BC7411">
              <w:rPr>
                <w:rFonts w:cstheme="minorHAnsi"/>
                <w:szCs w:val="20"/>
              </w:rPr>
              <w:t>.</w:t>
            </w:r>
          </w:p>
          <w:p w:rsidR="003822C7" w:rsidRPr="006871B1" w:rsidRDefault="00BC7411" w:rsidP="00E248BF">
            <w:pPr>
              <w:pStyle w:val="ListParagraph"/>
              <w:keepLines/>
              <w:numPr>
                <w:ilvl w:val="0"/>
                <w:numId w:val="65"/>
              </w:numPr>
              <w:tabs>
                <w:tab w:val="left" w:pos="720"/>
              </w:tabs>
              <w:suppressAutoHyphens w:val="0"/>
              <w:ind w:left="284" w:hanging="284"/>
              <w:rPr>
                <w:rFonts w:cstheme="minorHAnsi"/>
                <w:szCs w:val="20"/>
              </w:rPr>
            </w:pPr>
            <w:r w:rsidRPr="00BC7411">
              <w:rPr>
                <w:rFonts w:cstheme="minorHAnsi"/>
                <w:szCs w:val="20"/>
              </w:rPr>
              <w:t xml:space="preserve">Disagree. </w:t>
            </w:r>
            <w:r>
              <w:rPr>
                <w:rFonts w:cstheme="minorHAnsi"/>
                <w:szCs w:val="20"/>
              </w:rPr>
              <w:t>The benefits of these technologies on trucks with four or more axles are likely to be small in relative terms, and would not justify the implementation of a unique Australian requirement.</w:t>
            </w:r>
          </w:p>
          <w:p w:rsidR="003822C7" w:rsidRPr="006871B1" w:rsidRDefault="0047103E" w:rsidP="00E248BF">
            <w:pPr>
              <w:pStyle w:val="ListParagraph"/>
              <w:keepLines/>
              <w:numPr>
                <w:ilvl w:val="0"/>
                <w:numId w:val="65"/>
              </w:numPr>
              <w:tabs>
                <w:tab w:val="left" w:pos="720"/>
              </w:tabs>
              <w:suppressAutoHyphens w:val="0"/>
              <w:ind w:left="284" w:hanging="284"/>
              <w:rPr>
                <w:rFonts w:cstheme="minorHAnsi"/>
                <w:szCs w:val="20"/>
              </w:rPr>
            </w:pPr>
            <w:r w:rsidRPr="00A3360B">
              <w:rPr>
                <w:rFonts w:cstheme="minorHAnsi"/>
                <w:szCs w:val="20"/>
              </w:rPr>
              <w:t xml:space="preserve">Agree </w:t>
            </w:r>
            <w:r w:rsidR="00BC7411">
              <w:rPr>
                <w:rFonts w:cstheme="minorHAnsi"/>
                <w:szCs w:val="20"/>
              </w:rPr>
              <w:t xml:space="preserve">that </w:t>
            </w:r>
            <w:r w:rsidR="00A3360B" w:rsidRPr="00A3360B">
              <w:rPr>
                <w:rFonts w:cstheme="minorHAnsi"/>
                <w:szCs w:val="20"/>
              </w:rPr>
              <w:t xml:space="preserve">differences in how these vehicles are used have been considered by the UN WP.29 and the </w:t>
            </w:r>
            <w:r w:rsidR="009611B7">
              <w:rPr>
                <w:rFonts w:cstheme="minorHAnsi"/>
                <w:szCs w:val="20"/>
              </w:rPr>
              <w:t>European Commission</w:t>
            </w:r>
            <w:r w:rsidR="00A3360B" w:rsidRPr="00A3360B">
              <w:rPr>
                <w:rFonts w:cstheme="minorHAnsi"/>
                <w:szCs w:val="20"/>
              </w:rPr>
              <w:t xml:space="preserve"> in providing (or recommending) exemptions. </w:t>
            </w:r>
            <w:r w:rsidR="00BC7411" w:rsidRPr="00A3360B">
              <w:rPr>
                <w:rFonts w:cstheme="minorHAnsi"/>
                <w:szCs w:val="20"/>
              </w:rPr>
              <w:t xml:space="preserve">The benefits of </w:t>
            </w:r>
            <w:r w:rsidR="00BC7411">
              <w:rPr>
                <w:rFonts w:cstheme="minorHAnsi"/>
                <w:szCs w:val="20"/>
              </w:rPr>
              <w:t xml:space="preserve">ESC, AEB and LDWS on heavy vehicles are all most likely to accrue through reductions in crashes on roads with speed limits of 80 km/h or more. </w:t>
            </w:r>
            <w:r w:rsidR="00A3360B" w:rsidRPr="00A3360B">
              <w:rPr>
                <w:rFonts w:cstheme="minorHAnsi"/>
                <w:szCs w:val="20"/>
              </w:rPr>
              <w:t xml:space="preserve">A further factor to consider is the lower production volumes of these vehicles, which means </w:t>
            </w:r>
            <w:r w:rsidR="00BC7411">
              <w:rPr>
                <w:rFonts w:cstheme="minorHAnsi"/>
                <w:szCs w:val="20"/>
              </w:rPr>
              <w:t xml:space="preserve">development and test </w:t>
            </w:r>
            <w:r w:rsidR="00A3360B" w:rsidRPr="00A3360B">
              <w:rPr>
                <w:rFonts w:cstheme="minorHAnsi"/>
                <w:szCs w:val="20"/>
              </w:rPr>
              <w:t>costs are then amortised over fewer sales.</w:t>
            </w:r>
          </w:p>
          <w:p w:rsidR="003822C7" w:rsidRPr="00502F43" w:rsidRDefault="00C02978" w:rsidP="00E248BF">
            <w:pPr>
              <w:pStyle w:val="ListParagraph"/>
              <w:keepLines/>
              <w:numPr>
                <w:ilvl w:val="0"/>
                <w:numId w:val="65"/>
              </w:numPr>
              <w:tabs>
                <w:tab w:val="left" w:pos="720"/>
              </w:tabs>
              <w:suppressAutoHyphens w:val="0"/>
              <w:ind w:left="284" w:hanging="284"/>
              <w:rPr>
                <w:rFonts w:cstheme="minorHAnsi"/>
                <w:szCs w:val="20"/>
              </w:rPr>
            </w:pPr>
            <w:r>
              <w:rPr>
                <w:rFonts w:cstheme="minorHAnsi"/>
                <w:szCs w:val="20"/>
              </w:rPr>
              <w:t xml:space="preserve">Agree that </w:t>
            </w:r>
            <w:r w:rsidR="00D76CCB">
              <w:rPr>
                <w:rFonts w:cstheme="minorHAnsi"/>
                <w:szCs w:val="20"/>
              </w:rPr>
              <w:t>the UN World Forum, the EU and other parties should review the ongoing need for exemptions for ESC, AEB and LDWS for trucks with four or more axles</w:t>
            </w:r>
            <w:r w:rsidR="004871C1" w:rsidRPr="004871C1">
              <w:rPr>
                <w:rFonts w:cstheme="minorHAnsi"/>
                <w:szCs w:val="20"/>
              </w:rPr>
              <w:t>.</w:t>
            </w:r>
            <w:r w:rsidR="00D76CCB">
              <w:rPr>
                <w:rFonts w:cstheme="minorHAnsi"/>
                <w:szCs w:val="20"/>
              </w:rPr>
              <w:t xml:space="preserve"> </w:t>
            </w:r>
          </w:p>
        </w:tc>
      </w:tr>
      <w:tr w:rsidR="003822C7" w:rsidRPr="007B6E69" w:rsidTr="003822C7">
        <w:trPr>
          <w:cantSplit/>
        </w:trPr>
        <w:tc>
          <w:tcPr>
            <w:tcW w:w="1696" w:type="dxa"/>
          </w:tcPr>
          <w:p w:rsidR="003822C7" w:rsidRPr="007B6E69" w:rsidRDefault="00792DD6" w:rsidP="007901FB">
            <w:pPr>
              <w:spacing w:before="120" w:after="120"/>
              <w:rPr>
                <w:rFonts w:cstheme="minorHAnsi"/>
              </w:rPr>
            </w:pPr>
            <w:r>
              <w:rPr>
                <w:rFonts w:cstheme="minorHAnsi"/>
              </w:rPr>
              <w:t>D</w:t>
            </w:r>
            <w:r w:rsidR="003822C7" w:rsidRPr="007B6E69">
              <w:rPr>
                <w:rFonts w:cstheme="minorHAnsi"/>
              </w:rPr>
              <w:t>epartment of Transport and Main Roads (TMR) QLD</w:t>
            </w:r>
          </w:p>
        </w:tc>
        <w:tc>
          <w:tcPr>
            <w:tcW w:w="6379" w:type="dxa"/>
          </w:tcPr>
          <w:p w:rsidR="003822C7" w:rsidRDefault="003822C7" w:rsidP="00E248BF">
            <w:pPr>
              <w:pStyle w:val="ListParagraph"/>
              <w:numPr>
                <w:ilvl w:val="0"/>
                <w:numId w:val="63"/>
              </w:numPr>
              <w:tabs>
                <w:tab w:val="left" w:pos="292"/>
              </w:tabs>
              <w:suppressAutoHyphens w:val="0"/>
              <w:ind w:left="284" w:hanging="284"/>
              <w:rPr>
                <w:rFonts w:cstheme="minorHAnsi"/>
              </w:rPr>
            </w:pPr>
            <w:r>
              <w:rPr>
                <w:rFonts w:cstheme="minorHAnsi"/>
              </w:rPr>
              <w:t xml:space="preserve">Supports </w:t>
            </w:r>
            <w:r w:rsidRPr="00E9334A">
              <w:rPr>
                <w:rFonts w:cstheme="minorHAnsi"/>
              </w:rPr>
              <w:t>increasing the maximum width to 2.55</w:t>
            </w:r>
            <w:r>
              <w:rPr>
                <w:rFonts w:cstheme="minorHAnsi"/>
              </w:rPr>
              <w:t> </w:t>
            </w:r>
            <w:r w:rsidRPr="00E9334A">
              <w:rPr>
                <w:rFonts w:cstheme="minorHAnsi"/>
              </w:rPr>
              <w:t>m for goods vehicles over 4.5 tonnes only</w:t>
            </w:r>
            <w:r>
              <w:rPr>
                <w:rFonts w:cstheme="minorHAnsi"/>
              </w:rPr>
              <w:t>, as a preference to 2.55 m for both goods vehicles and trailers</w:t>
            </w:r>
            <w:r w:rsidRPr="00E9334A">
              <w:rPr>
                <w:rFonts w:cstheme="minorHAnsi"/>
              </w:rPr>
              <w:t>.</w:t>
            </w:r>
          </w:p>
          <w:p w:rsidR="003822C7" w:rsidRDefault="003822C7" w:rsidP="00E248BF">
            <w:pPr>
              <w:pStyle w:val="ListParagraph"/>
              <w:keepLines/>
              <w:numPr>
                <w:ilvl w:val="0"/>
                <w:numId w:val="63"/>
              </w:numPr>
              <w:tabs>
                <w:tab w:val="left" w:pos="292"/>
              </w:tabs>
              <w:suppressAutoHyphens w:val="0"/>
              <w:ind w:left="284" w:hanging="284"/>
              <w:rPr>
                <w:rFonts w:cstheme="minorHAnsi"/>
              </w:rPr>
            </w:pPr>
            <w:r>
              <w:rPr>
                <w:rFonts w:cstheme="minorHAnsi"/>
              </w:rPr>
              <w:t xml:space="preserve">Considers the </w:t>
            </w:r>
            <w:r w:rsidRPr="002B6AC7">
              <w:rPr>
                <w:rFonts w:cstheme="minorHAnsi"/>
              </w:rPr>
              <w:t xml:space="preserve">safety enhancements </w:t>
            </w:r>
            <w:r>
              <w:rPr>
                <w:rFonts w:cstheme="minorHAnsi"/>
              </w:rPr>
              <w:t>proposed for</w:t>
            </w:r>
            <w:r w:rsidRPr="002B6AC7">
              <w:rPr>
                <w:rFonts w:cstheme="minorHAnsi"/>
              </w:rPr>
              <w:t xml:space="preserve"> heavy trailers are not substantial enough to warrant reform of trailer maximum width</w:t>
            </w:r>
            <w:r>
              <w:rPr>
                <w:rFonts w:cstheme="minorHAnsi"/>
              </w:rPr>
              <w:t>.</w:t>
            </w:r>
          </w:p>
          <w:p w:rsidR="003822C7" w:rsidRDefault="003822C7" w:rsidP="00E248BF">
            <w:pPr>
              <w:pStyle w:val="ListParagraph"/>
              <w:keepLines/>
              <w:numPr>
                <w:ilvl w:val="0"/>
                <w:numId w:val="63"/>
              </w:numPr>
              <w:tabs>
                <w:tab w:val="left" w:pos="292"/>
              </w:tabs>
              <w:suppressAutoHyphens w:val="0"/>
              <w:ind w:left="284" w:hanging="284"/>
              <w:rPr>
                <w:rFonts w:cstheme="minorHAnsi"/>
              </w:rPr>
            </w:pPr>
            <w:r>
              <w:rPr>
                <w:rFonts w:cstheme="minorHAnsi"/>
              </w:rPr>
              <w:t xml:space="preserve">Does not support increasing the goods vehicle or trailer width limit to </w:t>
            </w:r>
            <w:r w:rsidR="00B9347B">
              <w:rPr>
                <w:rFonts w:cstheme="minorHAnsi"/>
              </w:rPr>
              <w:t>2.60</w:t>
            </w:r>
            <w:r>
              <w:rPr>
                <w:rFonts w:cstheme="minorHAnsi"/>
              </w:rPr>
              <w:t> m at this stage.</w:t>
            </w:r>
          </w:p>
          <w:p w:rsidR="003822C7" w:rsidRPr="00BF4F73" w:rsidRDefault="003822C7" w:rsidP="00E248BF">
            <w:pPr>
              <w:pStyle w:val="ListParagraph"/>
              <w:keepLines/>
              <w:numPr>
                <w:ilvl w:val="0"/>
                <w:numId w:val="63"/>
              </w:numPr>
              <w:tabs>
                <w:tab w:val="left" w:pos="292"/>
              </w:tabs>
              <w:suppressAutoHyphens w:val="0"/>
              <w:ind w:left="284" w:hanging="284"/>
              <w:rPr>
                <w:rFonts w:cstheme="minorHAnsi"/>
              </w:rPr>
            </w:pPr>
            <w:r>
              <w:rPr>
                <w:rFonts w:cstheme="minorHAnsi"/>
              </w:rPr>
              <w:t xml:space="preserve">Notes </w:t>
            </w:r>
            <w:r w:rsidRPr="00A364A1">
              <w:rPr>
                <w:rFonts w:cstheme="minorHAnsi"/>
              </w:rPr>
              <w:t>wider vehicles may not have “as of right” access to all roads in Queensland</w:t>
            </w:r>
            <w:r>
              <w:rPr>
                <w:rFonts w:cstheme="minorHAnsi"/>
              </w:rPr>
              <w:t xml:space="preserve"> – </w:t>
            </w:r>
            <w:r w:rsidRPr="005B115B">
              <w:rPr>
                <w:rFonts w:cstheme="minorHAnsi"/>
              </w:rPr>
              <w:t xml:space="preserve">road managers in Queensland may have mechanisms in place to be able to restrict access to wider vehicles where they may be considered </w:t>
            </w:r>
            <w:r>
              <w:rPr>
                <w:rFonts w:cstheme="minorHAnsi"/>
              </w:rPr>
              <w:t xml:space="preserve">a </w:t>
            </w:r>
            <w:r w:rsidRPr="005B115B">
              <w:rPr>
                <w:rFonts w:cstheme="minorHAnsi"/>
              </w:rPr>
              <w:t xml:space="preserve">risk to </w:t>
            </w:r>
            <w:r>
              <w:rPr>
                <w:rFonts w:cstheme="minorHAnsi"/>
              </w:rPr>
              <w:t xml:space="preserve">the </w:t>
            </w:r>
            <w:r w:rsidRPr="005B115B">
              <w:rPr>
                <w:rFonts w:cstheme="minorHAnsi"/>
              </w:rPr>
              <w:t>public, other vehicles and road infrastructure</w:t>
            </w:r>
            <w:r>
              <w:rPr>
                <w:rFonts w:cstheme="minorHAnsi"/>
              </w:rPr>
              <w:t xml:space="preserve"> – </w:t>
            </w:r>
            <w:r w:rsidRPr="00BF4F73">
              <w:rPr>
                <w:rFonts w:cstheme="minorHAnsi"/>
              </w:rPr>
              <w:t>expect</w:t>
            </w:r>
            <w:r>
              <w:rPr>
                <w:rFonts w:cstheme="minorHAnsi"/>
              </w:rPr>
              <w:t>s</w:t>
            </w:r>
            <w:r w:rsidRPr="00BF4F73">
              <w:rPr>
                <w:rFonts w:cstheme="minorHAnsi"/>
              </w:rPr>
              <w:t xml:space="preserve"> the same to be the case in other jurisdictions.</w:t>
            </w:r>
          </w:p>
          <w:p w:rsidR="003822C7" w:rsidRDefault="003822C7" w:rsidP="00E248BF">
            <w:pPr>
              <w:pStyle w:val="ListParagraph"/>
              <w:keepLines/>
              <w:numPr>
                <w:ilvl w:val="0"/>
                <w:numId w:val="63"/>
              </w:numPr>
              <w:tabs>
                <w:tab w:val="left" w:pos="292"/>
              </w:tabs>
              <w:suppressAutoHyphens w:val="0"/>
              <w:ind w:left="284" w:hanging="284"/>
              <w:rPr>
                <w:rFonts w:cstheme="minorHAnsi"/>
              </w:rPr>
            </w:pPr>
            <w:r>
              <w:rPr>
                <w:rFonts w:cstheme="minorHAnsi"/>
              </w:rPr>
              <w:t xml:space="preserve">Welcomes and supports </w:t>
            </w:r>
            <w:r w:rsidRPr="00AD679F">
              <w:rPr>
                <w:rFonts w:cstheme="minorHAnsi"/>
                <w:szCs w:val="20"/>
              </w:rPr>
              <w:t>the exclusions proposed for enhanced devices for indirect vision and monitoring devices to detect other road users from vehicle width and length measurements.</w:t>
            </w:r>
          </w:p>
          <w:p w:rsidR="003822C7" w:rsidRDefault="003822C7" w:rsidP="00E248BF">
            <w:pPr>
              <w:pStyle w:val="ListParagraph"/>
              <w:keepLines/>
              <w:numPr>
                <w:ilvl w:val="0"/>
                <w:numId w:val="63"/>
              </w:numPr>
              <w:tabs>
                <w:tab w:val="left" w:pos="292"/>
              </w:tabs>
              <w:suppressAutoHyphens w:val="0"/>
              <w:ind w:left="284" w:hanging="284"/>
              <w:rPr>
                <w:rFonts w:cstheme="minorHAnsi"/>
              </w:rPr>
            </w:pPr>
            <w:r>
              <w:rPr>
                <w:rFonts w:cstheme="minorHAnsi"/>
              </w:rPr>
              <w:t>D</w:t>
            </w:r>
            <w:r w:rsidRPr="00E9334A">
              <w:rPr>
                <w:rFonts w:cstheme="minorHAnsi"/>
              </w:rPr>
              <w:t>oes not support exclusion of permanently fixed webbing-assembly-type devices (such as curtain-side devices) from the measurement of the vehicle width</w:t>
            </w:r>
            <w:r>
              <w:rPr>
                <w:rFonts w:cstheme="minorHAnsi"/>
              </w:rPr>
              <w:t xml:space="preserve">, as it </w:t>
            </w:r>
            <w:r w:rsidRPr="00E9334A">
              <w:rPr>
                <w:rFonts w:cstheme="minorHAnsi"/>
              </w:rPr>
              <w:t>is possible for them to be designed to fit in the specified width limit.</w:t>
            </w:r>
          </w:p>
          <w:p w:rsidR="003822C7" w:rsidRDefault="003822C7" w:rsidP="00E248BF">
            <w:pPr>
              <w:pStyle w:val="ListParagraph"/>
              <w:keepLines/>
              <w:numPr>
                <w:ilvl w:val="0"/>
                <w:numId w:val="63"/>
              </w:numPr>
              <w:tabs>
                <w:tab w:val="left" w:pos="292"/>
              </w:tabs>
              <w:suppressAutoHyphens w:val="0"/>
              <w:ind w:left="284" w:hanging="284"/>
              <w:rPr>
                <w:rFonts w:cstheme="minorHAnsi"/>
              </w:rPr>
            </w:pPr>
            <w:r>
              <w:rPr>
                <w:rFonts w:cstheme="minorHAnsi"/>
              </w:rPr>
              <w:t xml:space="preserve">Would prefer </w:t>
            </w:r>
            <w:r w:rsidRPr="004270D7">
              <w:rPr>
                <w:rFonts w:cstheme="minorHAnsi"/>
              </w:rPr>
              <w:t xml:space="preserve">safety features like </w:t>
            </w:r>
            <w:r>
              <w:rPr>
                <w:rFonts w:cstheme="minorHAnsi"/>
              </w:rPr>
              <w:t xml:space="preserve">enhanced </w:t>
            </w:r>
            <w:r w:rsidRPr="004270D7">
              <w:rPr>
                <w:rFonts w:cstheme="minorHAnsi"/>
              </w:rPr>
              <w:t>devices for indirect vision, AEB, ESC, LDWS, and side underrun protection</w:t>
            </w:r>
            <w:r>
              <w:rPr>
                <w:rFonts w:cstheme="minorHAnsi"/>
              </w:rPr>
              <w:t xml:space="preserve"> to be mandated regardless of overall vehicle width – otherwise </w:t>
            </w:r>
            <w:r w:rsidRPr="004270D7">
              <w:rPr>
                <w:rFonts w:cstheme="minorHAnsi"/>
              </w:rPr>
              <w:t xml:space="preserve">some manufacturers may continue to supply vehicles without the enhanced safety features by remaining within the </w:t>
            </w:r>
            <w:r w:rsidR="00B9347B">
              <w:rPr>
                <w:rFonts w:cstheme="minorHAnsi"/>
              </w:rPr>
              <w:t>2.50</w:t>
            </w:r>
            <w:r>
              <w:rPr>
                <w:rFonts w:cstheme="minorHAnsi"/>
              </w:rPr>
              <w:t> m</w:t>
            </w:r>
            <w:r w:rsidRPr="004270D7">
              <w:rPr>
                <w:rFonts w:cstheme="minorHAnsi"/>
              </w:rPr>
              <w:t xml:space="preserve"> width</w:t>
            </w:r>
            <w:r>
              <w:rPr>
                <w:rFonts w:cstheme="minorHAnsi"/>
              </w:rPr>
              <w:t>.</w:t>
            </w:r>
          </w:p>
          <w:p w:rsidR="003822C7" w:rsidRPr="004270D7" w:rsidRDefault="003822C7" w:rsidP="00E248BF">
            <w:pPr>
              <w:pStyle w:val="ListParagraph"/>
              <w:keepLines/>
              <w:numPr>
                <w:ilvl w:val="0"/>
                <w:numId w:val="63"/>
              </w:numPr>
              <w:tabs>
                <w:tab w:val="left" w:pos="292"/>
              </w:tabs>
              <w:suppressAutoHyphens w:val="0"/>
              <w:ind w:left="284" w:hanging="284"/>
              <w:rPr>
                <w:rFonts w:cstheme="minorHAnsi"/>
              </w:rPr>
            </w:pPr>
            <w:r>
              <w:rPr>
                <w:rFonts w:cstheme="minorHAnsi"/>
              </w:rPr>
              <w:t xml:space="preserve">Requests </w:t>
            </w:r>
            <w:r w:rsidRPr="00AF3A98">
              <w:rPr>
                <w:rFonts w:cstheme="minorHAnsi"/>
              </w:rPr>
              <w:t xml:space="preserve">mandating of the UN ECE R 158 “Devices for means of rear visibility or detection” and UN ECE R 159 “Moving Off Information System (MOIS)” </w:t>
            </w:r>
            <w:r>
              <w:rPr>
                <w:rFonts w:cstheme="minorHAnsi"/>
              </w:rPr>
              <w:t xml:space="preserve">to </w:t>
            </w:r>
            <w:r w:rsidRPr="00AF3A98">
              <w:rPr>
                <w:rFonts w:cstheme="minorHAnsi"/>
              </w:rPr>
              <w:t>be considered</w:t>
            </w:r>
            <w:r>
              <w:rPr>
                <w:rFonts w:cstheme="minorHAnsi"/>
              </w:rPr>
              <w:t xml:space="preserve"> as part of the proposed regulatory changes</w:t>
            </w:r>
            <w:r w:rsidRPr="00AF3A98">
              <w:rPr>
                <w:rFonts w:cstheme="minorHAnsi"/>
              </w:rPr>
              <w:t>, keeping in mind the implementation timeframe in EU countries.</w:t>
            </w:r>
          </w:p>
        </w:tc>
        <w:tc>
          <w:tcPr>
            <w:tcW w:w="6521" w:type="dxa"/>
            <w:gridSpan w:val="2"/>
          </w:tcPr>
          <w:p w:rsidR="003822C7" w:rsidRDefault="003822C7" w:rsidP="00E248BF">
            <w:pPr>
              <w:pStyle w:val="ListParagraph"/>
              <w:numPr>
                <w:ilvl w:val="0"/>
                <w:numId w:val="64"/>
              </w:numPr>
              <w:tabs>
                <w:tab w:val="left" w:pos="318"/>
              </w:tabs>
              <w:suppressAutoHyphens w:val="0"/>
              <w:ind w:left="284" w:hanging="284"/>
              <w:rPr>
                <w:rFonts w:cstheme="minorHAnsi"/>
              </w:rPr>
            </w:pPr>
            <w:r>
              <w:rPr>
                <w:rFonts w:cstheme="minorHAnsi"/>
              </w:rPr>
              <w:t>Noted.</w:t>
            </w:r>
          </w:p>
          <w:p w:rsidR="003822C7" w:rsidRPr="0044497C" w:rsidRDefault="003822C7" w:rsidP="00E248BF">
            <w:pPr>
              <w:pStyle w:val="ListParagraph"/>
              <w:keepLines/>
              <w:numPr>
                <w:ilvl w:val="0"/>
                <w:numId w:val="64"/>
              </w:numPr>
              <w:tabs>
                <w:tab w:val="left" w:pos="318"/>
              </w:tabs>
              <w:suppressAutoHyphens w:val="0"/>
              <w:ind w:left="284" w:hanging="284"/>
              <w:rPr>
                <w:rFonts w:cstheme="minorHAnsi"/>
              </w:rPr>
            </w:pPr>
            <w:r w:rsidRPr="0044497C">
              <w:rPr>
                <w:rFonts w:cstheme="minorHAnsi"/>
              </w:rPr>
              <w:t xml:space="preserve">Disagree. There are still important productivity benefits, </w:t>
            </w:r>
            <w:r w:rsidR="003E6AC5">
              <w:rPr>
                <w:rFonts w:cstheme="minorHAnsi"/>
              </w:rPr>
              <w:t xml:space="preserve">including </w:t>
            </w:r>
            <w:r w:rsidRPr="0044497C">
              <w:rPr>
                <w:rFonts w:cstheme="minorHAnsi"/>
              </w:rPr>
              <w:t xml:space="preserve">as increasing the maximum trailer width to either 2.55 m or </w:t>
            </w:r>
            <w:r w:rsidR="00B9347B">
              <w:rPr>
                <w:rFonts w:cstheme="minorHAnsi"/>
              </w:rPr>
              <w:t>2.60</w:t>
            </w:r>
            <w:r w:rsidRPr="0044497C">
              <w:rPr>
                <w:rFonts w:cstheme="minorHAnsi"/>
              </w:rPr>
              <w:t> m will provide more space to fit 1200 mm wide international pallet sizes, and more thickness for insulation for refrigerated vehicles.</w:t>
            </w:r>
          </w:p>
          <w:p w:rsidR="003822C7" w:rsidRDefault="003822C7" w:rsidP="00E248BF">
            <w:pPr>
              <w:pStyle w:val="ListParagraph"/>
              <w:keepLines/>
              <w:numPr>
                <w:ilvl w:val="0"/>
                <w:numId w:val="64"/>
              </w:numPr>
              <w:tabs>
                <w:tab w:val="left" w:pos="318"/>
              </w:tabs>
              <w:suppressAutoHyphens w:val="0"/>
              <w:ind w:left="284" w:hanging="284"/>
              <w:rPr>
                <w:rFonts w:cstheme="minorHAnsi"/>
              </w:rPr>
            </w:pPr>
            <w:r>
              <w:rPr>
                <w:rFonts w:cstheme="minorHAnsi"/>
              </w:rPr>
              <w:t>Noted.</w:t>
            </w:r>
          </w:p>
          <w:p w:rsidR="003822C7" w:rsidRPr="00460106" w:rsidRDefault="003822C7" w:rsidP="00E248BF">
            <w:pPr>
              <w:pStyle w:val="ListParagraph"/>
              <w:keepLines/>
              <w:numPr>
                <w:ilvl w:val="0"/>
                <w:numId w:val="64"/>
              </w:numPr>
              <w:tabs>
                <w:tab w:val="left" w:pos="318"/>
              </w:tabs>
              <w:suppressAutoHyphens w:val="0"/>
              <w:ind w:left="284" w:hanging="284"/>
              <w:rPr>
                <w:rFonts w:cstheme="minorHAnsi"/>
              </w:rPr>
            </w:pPr>
            <w:r>
              <w:rPr>
                <w:rFonts w:cstheme="minorHAnsi"/>
              </w:rPr>
              <w:t>Noted</w:t>
            </w:r>
            <w:r w:rsidRPr="00460106">
              <w:rPr>
                <w:rFonts w:cstheme="minorHAnsi"/>
              </w:rPr>
              <w:t>. This would be no different in principal to how mass and height limits are currently set on specified roads. This is appropriate, provided there is a sound justification for each such restriction.</w:t>
            </w:r>
          </w:p>
          <w:p w:rsidR="003822C7" w:rsidRDefault="003822C7" w:rsidP="00E248BF">
            <w:pPr>
              <w:pStyle w:val="ListParagraph"/>
              <w:keepLines/>
              <w:numPr>
                <w:ilvl w:val="0"/>
                <w:numId w:val="64"/>
              </w:numPr>
              <w:tabs>
                <w:tab w:val="left" w:pos="318"/>
              </w:tabs>
              <w:suppressAutoHyphens w:val="0"/>
              <w:ind w:left="284" w:hanging="284"/>
              <w:rPr>
                <w:rFonts w:cstheme="minorHAnsi"/>
              </w:rPr>
            </w:pPr>
            <w:r>
              <w:rPr>
                <w:rFonts w:cstheme="minorHAnsi"/>
              </w:rPr>
              <w:t>Noted.</w:t>
            </w:r>
          </w:p>
          <w:p w:rsidR="003822C7" w:rsidRPr="00376756" w:rsidRDefault="003822C7" w:rsidP="00E248BF">
            <w:pPr>
              <w:pStyle w:val="ListParagraph"/>
              <w:numPr>
                <w:ilvl w:val="0"/>
                <w:numId w:val="64"/>
              </w:numPr>
              <w:ind w:left="284" w:hanging="284"/>
              <w:rPr>
                <w:rFonts w:cstheme="minorHAnsi"/>
              </w:rPr>
            </w:pPr>
            <w:r w:rsidRPr="00376756">
              <w:rPr>
                <w:rFonts w:cstheme="minorHAnsi"/>
              </w:rPr>
              <w:t xml:space="preserve">Accepted that these devices can be designed into the </w:t>
            </w:r>
            <w:r>
              <w:rPr>
                <w:rFonts w:cstheme="minorHAnsi"/>
              </w:rPr>
              <w:t>vehicle</w:t>
            </w:r>
            <w:r w:rsidRPr="00376756">
              <w:rPr>
                <w:rFonts w:cstheme="minorHAnsi"/>
              </w:rPr>
              <w:t xml:space="preserve">, so no additional width relative to the current limit is required. The recommended option does not allow these devices to be any wider than </w:t>
            </w:r>
            <w:r w:rsidRPr="00762CC1">
              <w:rPr>
                <w:rFonts w:cstheme="minorHAnsi"/>
              </w:rPr>
              <w:t>2.55</w:t>
            </w:r>
            <w:r w:rsidRPr="00376756">
              <w:rPr>
                <w:rFonts w:cstheme="minorHAnsi"/>
              </w:rPr>
              <w:t xml:space="preserve"> m.</w:t>
            </w:r>
          </w:p>
          <w:p w:rsidR="003822C7" w:rsidRPr="00740E6A" w:rsidRDefault="003822C7" w:rsidP="00E248BF">
            <w:pPr>
              <w:pStyle w:val="ListParagraph"/>
              <w:keepLines/>
              <w:numPr>
                <w:ilvl w:val="0"/>
                <w:numId w:val="64"/>
              </w:numPr>
              <w:tabs>
                <w:tab w:val="left" w:pos="318"/>
              </w:tabs>
              <w:suppressAutoHyphens w:val="0"/>
              <w:ind w:left="284" w:hanging="284"/>
              <w:rPr>
                <w:rFonts w:cstheme="minorHAnsi"/>
              </w:rPr>
            </w:pPr>
            <w:r w:rsidRPr="0044497C">
              <w:rPr>
                <w:rFonts w:cstheme="minorHAnsi"/>
              </w:rPr>
              <w:t xml:space="preserve">AEB and ESC </w:t>
            </w:r>
            <w:r w:rsidR="00496A94" w:rsidRPr="0044497C">
              <w:rPr>
                <w:rFonts w:cstheme="minorHAnsi"/>
              </w:rPr>
              <w:t>have since been mandated regardless of width</w:t>
            </w:r>
            <w:r w:rsidR="00496A94">
              <w:rPr>
                <w:rFonts w:cstheme="minorHAnsi"/>
              </w:rPr>
              <w:t xml:space="preserve"> through ADRs 97/00 and 35/07</w:t>
            </w:r>
            <w:r w:rsidR="00496A94" w:rsidRPr="0044497C">
              <w:rPr>
                <w:rFonts w:cstheme="minorHAnsi"/>
              </w:rPr>
              <w:t>.</w:t>
            </w:r>
            <w:r w:rsidR="00496A94">
              <w:rPr>
                <w:rFonts w:cstheme="minorHAnsi"/>
              </w:rPr>
              <w:t xml:space="preserve"> Further, a</w:t>
            </w:r>
            <w:r w:rsidR="00496A94" w:rsidRPr="0044497C">
              <w:rPr>
                <w:rFonts w:cstheme="minorHAnsi"/>
              </w:rPr>
              <w:t xml:space="preserve"> separate </w:t>
            </w:r>
            <w:r w:rsidR="00C45600">
              <w:rPr>
                <w:rFonts w:cstheme="minorHAnsi"/>
              </w:rPr>
              <w:t>IA</w:t>
            </w:r>
            <w:r w:rsidR="00496A94" w:rsidRPr="0044497C">
              <w:rPr>
                <w:rFonts w:cstheme="minorHAnsi"/>
              </w:rPr>
              <w:t xml:space="preserve"> has been prepared to consider the case to mandate LDWS regardless of width. </w:t>
            </w:r>
            <w:r w:rsidR="00C475C0" w:rsidRPr="0044497C">
              <w:rPr>
                <w:rFonts w:cstheme="minorHAnsi"/>
              </w:rPr>
              <w:t xml:space="preserve">These are all still included </w:t>
            </w:r>
            <w:r w:rsidR="00C475C0">
              <w:rPr>
                <w:rFonts w:cstheme="minorHAnsi"/>
              </w:rPr>
              <w:t xml:space="preserve">under each of the options in this </w:t>
            </w:r>
            <w:r w:rsidR="00C45600">
              <w:rPr>
                <w:rFonts w:cstheme="minorHAnsi"/>
              </w:rPr>
              <w:t>IA</w:t>
            </w:r>
            <w:r w:rsidR="00C475C0" w:rsidRPr="0044497C">
              <w:rPr>
                <w:rFonts w:cstheme="minorHAnsi"/>
              </w:rPr>
              <w:t xml:space="preserve"> as a means to </w:t>
            </w:r>
            <w:r w:rsidR="00C475C0">
              <w:rPr>
                <w:rFonts w:cstheme="minorHAnsi"/>
              </w:rPr>
              <w:t>ensure vehicles already in-service will also be required to be fitted with these safety systems, before they can be modified to be wider than 2.50 m</w:t>
            </w:r>
            <w:r w:rsidR="00C475C0" w:rsidRPr="0044497C">
              <w:rPr>
                <w:rFonts w:cstheme="minorHAnsi"/>
              </w:rPr>
              <w:t xml:space="preserve">. </w:t>
            </w:r>
            <w:r w:rsidR="00496A94" w:rsidRPr="0044497C">
              <w:rPr>
                <w:rFonts w:cstheme="minorHAnsi"/>
              </w:rPr>
              <w:t xml:space="preserve">A broader mandate for </w:t>
            </w:r>
            <w:r w:rsidR="00496A94">
              <w:rPr>
                <w:rFonts w:cstheme="minorHAnsi"/>
              </w:rPr>
              <w:t>the other safety systems and features</w:t>
            </w:r>
            <w:r w:rsidR="00496A94" w:rsidRPr="0044497C">
              <w:rPr>
                <w:rFonts w:cstheme="minorHAnsi"/>
              </w:rPr>
              <w:t xml:space="preserve"> could be considered in future, but may not be necessary if there is high take up of safer freight vehicles</w:t>
            </w:r>
            <w:r w:rsidR="00496A94">
              <w:rPr>
                <w:rFonts w:cstheme="minorHAnsi"/>
              </w:rPr>
              <w:t>,</w:t>
            </w:r>
            <w:r w:rsidR="00496A94" w:rsidRPr="0044497C">
              <w:rPr>
                <w:rFonts w:cstheme="minorHAnsi"/>
              </w:rPr>
              <w:t xml:space="preserve"> as a result of this proposal</w:t>
            </w:r>
            <w:r w:rsidRPr="0044497C">
              <w:rPr>
                <w:rFonts w:cstheme="minorHAnsi"/>
              </w:rPr>
              <w:t>.</w:t>
            </w:r>
          </w:p>
          <w:p w:rsidR="003822C7" w:rsidRPr="0044497C" w:rsidRDefault="00093964" w:rsidP="00E248BF">
            <w:pPr>
              <w:pStyle w:val="ListParagraph"/>
              <w:numPr>
                <w:ilvl w:val="0"/>
                <w:numId w:val="64"/>
              </w:numPr>
              <w:tabs>
                <w:tab w:val="left" w:pos="318"/>
              </w:tabs>
              <w:suppressAutoHyphens w:val="0"/>
              <w:ind w:left="284" w:hanging="284"/>
              <w:rPr>
                <w:rFonts w:cstheme="minorHAnsi"/>
              </w:rPr>
            </w:pPr>
            <w:r w:rsidRPr="00093964">
              <w:rPr>
                <w:rFonts w:cstheme="minorHAnsi"/>
              </w:rPr>
              <w:t>Disagree</w:t>
            </w:r>
            <w:r w:rsidRPr="001E41B0">
              <w:rPr>
                <w:rFonts w:cstheme="minorHAnsi"/>
              </w:rPr>
              <w:t xml:space="preserve">. </w:t>
            </w:r>
            <w:r w:rsidR="001E41B0" w:rsidRPr="001E41B0">
              <w:rPr>
                <w:rFonts w:cstheme="minorHAnsi"/>
              </w:rPr>
              <w:t xml:space="preserve">The </w:t>
            </w:r>
            <w:r w:rsidR="00880973">
              <w:rPr>
                <w:rFonts w:cstheme="minorHAnsi"/>
              </w:rPr>
              <w:t xml:space="preserve">road </w:t>
            </w:r>
            <w:r w:rsidR="001E41B0" w:rsidRPr="001E41B0">
              <w:rPr>
                <w:rFonts w:cstheme="minorHAnsi"/>
              </w:rPr>
              <w:t xml:space="preserve">safety problems addressed </w:t>
            </w:r>
            <w:r w:rsidR="001E41B0">
              <w:rPr>
                <w:rFonts w:cstheme="minorHAnsi"/>
              </w:rPr>
              <w:t xml:space="preserve">by UN </w:t>
            </w:r>
            <w:r w:rsidR="009611B7">
              <w:rPr>
                <w:rFonts w:cstheme="minorHAnsi"/>
              </w:rPr>
              <w:t>R</w:t>
            </w:r>
            <w:r w:rsidR="001E41B0">
              <w:rPr>
                <w:rFonts w:cstheme="minorHAnsi"/>
              </w:rPr>
              <w:t xml:space="preserve">158 and UN R159 are </w:t>
            </w:r>
            <w:r w:rsidR="0005600D">
              <w:rPr>
                <w:rFonts w:cstheme="minorHAnsi"/>
              </w:rPr>
              <w:t xml:space="preserve">much </w:t>
            </w:r>
            <w:r w:rsidR="004D31E2">
              <w:rPr>
                <w:rFonts w:cstheme="minorHAnsi"/>
              </w:rPr>
              <w:t xml:space="preserve">less prevalent, and/or </w:t>
            </w:r>
            <w:r w:rsidR="001E41B0">
              <w:rPr>
                <w:rFonts w:cstheme="minorHAnsi"/>
              </w:rPr>
              <w:t>much less likely to be affected by a 50-100 mm increase in vehicle width</w:t>
            </w:r>
            <w:r w:rsidR="004D31E2">
              <w:rPr>
                <w:rFonts w:cstheme="minorHAnsi"/>
              </w:rPr>
              <w:t>,</w:t>
            </w:r>
            <w:r w:rsidR="001E41B0">
              <w:rPr>
                <w:rFonts w:cstheme="minorHAnsi"/>
              </w:rPr>
              <w:t xml:space="preserve"> than those included as part of the proposed </w:t>
            </w:r>
            <w:r w:rsidR="00880973">
              <w:rPr>
                <w:rFonts w:cstheme="minorHAnsi"/>
              </w:rPr>
              <w:t xml:space="preserve">regulatory policy </w:t>
            </w:r>
            <w:r w:rsidR="001E41B0">
              <w:rPr>
                <w:rFonts w:cstheme="minorHAnsi"/>
              </w:rPr>
              <w:t>options</w:t>
            </w:r>
            <w:r w:rsidR="00880973">
              <w:rPr>
                <w:rFonts w:cstheme="minorHAnsi"/>
              </w:rPr>
              <w:t xml:space="preserve"> in this </w:t>
            </w:r>
            <w:r w:rsidR="00C45600">
              <w:rPr>
                <w:rFonts w:cstheme="minorHAnsi"/>
              </w:rPr>
              <w:t>IA</w:t>
            </w:r>
            <w:r w:rsidR="001E41B0">
              <w:rPr>
                <w:rFonts w:cstheme="minorHAnsi"/>
              </w:rPr>
              <w:t xml:space="preserve">. </w:t>
            </w:r>
            <w:r w:rsidR="00880973">
              <w:rPr>
                <w:rFonts w:cstheme="minorHAnsi"/>
              </w:rPr>
              <w:t>Further, t</w:t>
            </w:r>
            <w:r w:rsidR="001E41B0">
              <w:rPr>
                <w:rFonts w:cstheme="minorHAnsi"/>
              </w:rPr>
              <w:t xml:space="preserve">he </w:t>
            </w:r>
            <w:r w:rsidR="00B9347B">
              <w:rPr>
                <w:rFonts w:cstheme="minorHAnsi"/>
              </w:rPr>
              <w:t>d</w:t>
            </w:r>
            <w:r w:rsidR="001E41B0">
              <w:rPr>
                <w:rFonts w:cstheme="minorHAnsi"/>
              </w:rPr>
              <w:t xml:space="preserve">epartment has since prepared a </w:t>
            </w:r>
            <w:r w:rsidR="00880973">
              <w:rPr>
                <w:rFonts w:cstheme="minorHAnsi"/>
              </w:rPr>
              <w:t xml:space="preserve">separate </w:t>
            </w:r>
            <w:r w:rsidR="00C45600">
              <w:rPr>
                <w:rFonts w:cstheme="minorHAnsi"/>
              </w:rPr>
              <w:t>IA</w:t>
            </w:r>
            <w:r w:rsidR="001E41B0">
              <w:rPr>
                <w:rFonts w:cstheme="minorHAnsi"/>
              </w:rPr>
              <w:t xml:space="preserve"> and consulted on a proposal to mandate technical requirements from UN R158 (reversing technologies) for both light and heavy vehicles. The case for mandating the technical requirements of UN</w:t>
            </w:r>
            <w:r w:rsidR="003618B8">
              <w:rPr>
                <w:rFonts w:cstheme="minorHAnsi"/>
              </w:rPr>
              <w:t> </w:t>
            </w:r>
            <w:r w:rsidR="001E41B0">
              <w:rPr>
                <w:rFonts w:cstheme="minorHAnsi"/>
              </w:rPr>
              <w:t xml:space="preserve">R159 could also be considered separately through the </w:t>
            </w:r>
            <w:r w:rsidR="00C45600">
              <w:rPr>
                <w:rFonts w:cstheme="minorHAnsi"/>
              </w:rPr>
              <w:t>IA</w:t>
            </w:r>
            <w:r w:rsidR="001E41B0">
              <w:rPr>
                <w:rFonts w:cstheme="minorHAnsi"/>
              </w:rPr>
              <w:t xml:space="preserve"> process (subject to available resources and other ADR development priorities).</w:t>
            </w:r>
          </w:p>
        </w:tc>
      </w:tr>
      <w:tr w:rsidR="003822C7" w:rsidRPr="007B6E69" w:rsidTr="003822C7">
        <w:trPr>
          <w:cantSplit/>
        </w:trPr>
        <w:tc>
          <w:tcPr>
            <w:tcW w:w="1696" w:type="dxa"/>
          </w:tcPr>
          <w:p w:rsidR="003822C7" w:rsidRPr="007B6E69" w:rsidRDefault="003822C7" w:rsidP="007901FB">
            <w:pPr>
              <w:spacing w:before="120" w:after="120"/>
              <w:rPr>
                <w:rFonts w:cstheme="minorHAnsi"/>
              </w:rPr>
            </w:pPr>
            <w:r w:rsidRPr="007B6E69">
              <w:rPr>
                <w:rFonts w:cstheme="minorHAnsi"/>
              </w:rPr>
              <w:t>Mushroom</w:t>
            </w:r>
            <w:r w:rsidR="009879FE">
              <w:rPr>
                <w:rFonts w:cstheme="minorHAnsi"/>
              </w:rPr>
              <w:t xml:space="preserve"> grower</w:t>
            </w:r>
          </w:p>
        </w:tc>
        <w:tc>
          <w:tcPr>
            <w:tcW w:w="6379" w:type="dxa"/>
          </w:tcPr>
          <w:p w:rsidR="003822C7" w:rsidRDefault="003822C7" w:rsidP="007C097D">
            <w:pPr>
              <w:pStyle w:val="ListParagraph"/>
              <w:keepLines/>
              <w:numPr>
                <w:ilvl w:val="6"/>
                <w:numId w:val="42"/>
              </w:numPr>
              <w:tabs>
                <w:tab w:val="left" w:pos="320"/>
              </w:tabs>
              <w:suppressAutoHyphens w:val="0"/>
              <w:ind w:left="284"/>
              <w:rPr>
                <w:rFonts w:cstheme="minorHAnsi"/>
                <w:szCs w:val="20"/>
              </w:rPr>
            </w:pPr>
            <w:r w:rsidRPr="00AD679F">
              <w:rPr>
                <w:rFonts w:cstheme="minorHAnsi"/>
                <w:szCs w:val="20"/>
              </w:rPr>
              <w:t xml:space="preserve">Supports increasing the maximum width for goods vehicles and trailers over 4.5 tonnes to </w:t>
            </w:r>
            <w:r w:rsidR="00B9347B">
              <w:rPr>
                <w:rFonts w:cstheme="minorHAnsi"/>
                <w:szCs w:val="20"/>
              </w:rPr>
              <w:t>2.60</w:t>
            </w:r>
            <w:r>
              <w:rPr>
                <w:rFonts w:cstheme="minorHAnsi"/>
                <w:szCs w:val="20"/>
              </w:rPr>
              <w:t> </w:t>
            </w:r>
            <w:r w:rsidRPr="00AD679F">
              <w:rPr>
                <w:rFonts w:cstheme="minorHAnsi"/>
                <w:szCs w:val="20"/>
              </w:rPr>
              <w:t>m.</w:t>
            </w:r>
          </w:p>
          <w:p w:rsidR="003822C7" w:rsidRDefault="003822C7" w:rsidP="007C097D">
            <w:pPr>
              <w:pStyle w:val="ListParagraph"/>
              <w:keepLines/>
              <w:numPr>
                <w:ilvl w:val="6"/>
                <w:numId w:val="38"/>
              </w:numPr>
              <w:tabs>
                <w:tab w:val="left" w:pos="320"/>
              </w:tabs>
              <w:suppressAutoHyphens w:val="0"/>
              <w:ind w:left="284"/>
              <w:rPr>
                <w:rFonts w:cstheme="minorHAnsi"/>
                <w:szCs w:val="20"/>
              </w:rPr>
            </w:pPr>
            <w:r>
              <w:rPr>
                <w:rFonts w:cstheme="minorHAnsi"/>
                <w:szCs w:val="20"/>
              </w:rPr>
              <w:t>Notes w</w:t>
            </w:r>
            <w:r w:rsidRPr="00CB0459">
              <w:rPr>
                <w:rFonts w:cstheme="minorHAnsi"/>
                <w:szCs w:val="20"/>
              </w:rPr>
              <w:t xml:space="preserve">ider refrigerated bodies would improve thermal efficiency as extra insulation thickness could be used while maintaining internal width for loading standard pallets </w:t>
            </w:r>
            <w:r>
              <w:rPr>
                <w:rFonts w:cstheme="minorHAnsi"/>
                <w:szCs w:val="20"/>
              </w:rPr>
              <w:t xml:space="preserve">– </w:t>
            </w:r>
            <w:r w:rsidRPr="00904B3B">
              <w:rPr>
                <w:rFonts w:cstheme="minorHAnsi"/>
                <w:szCs w:val="20"/>
              </w:rPr>
              <w:t xml:space="preserve">this would </w:t>
            </w:r>
            <w:r>
              <w:rPr>
                <w:rFonts w:cstheme="minorHAnsi"/>
                <w:szCs w:val="20"/>
              </w:rPr>
              <w:t>reduce</w:t>
            </w:r>
            <w:r w:rsidRPr="00904B3B">
              <w:rPr>
                <w:rFonts w:cstheme="minorHAnsi"/>
                <w:szCs w:val="20"/>
              </w:rPr>
              <w:t xml:space="preserve"> fuel consumption </w:t>
            </w:r>
            <w:r>
              <w:rPr>
                <w:rFonts w:cstheme="minorHAnsi"/>
                <w:szCs w:val="20"/>
              </w:rPr>
              <w:t>and</w:t>
            </w:r>
            <w:r w:rsidRPr="00904B3B">
              <w:rPr>
                <w:rFonts w:cstheme="minorHAnsi"/>
                <w:szCs w:val="20"/>
              </w:rPr>
              <w:t xml:space="preserve"> driver fatigue</w:t>
            </w:r>
            <w:r>
              <w:rPr>
                <w:rFonts w:cstheme="minorHAnsi"/>
                <w:szCs w:val="20"/>
              </w:rPr>
              <w:t>,</w:t>
            </w:r>
            <w:r w:rsidRPr="00904B3B">
              <w:rPr>
                <w:rFonts w:cstheme="minorHAnsi"/>
                <w:szCs w:val="20"/>
              </w:rPr>
              <w:t xml:space="preserve"> as refrigeration units would be able to operate at lower speeds while drivers are sleeping in transit</w:t>
            </w:r>
            <w:r>
              <w:rPr>
                <w:rFonts w:cstheme="minorHAnsi"/>
                <w:szCs w:val="20"/>
              </w:rPr>
              <w:t>.</w:t>
            </w:r>
          </w:p>
          <w:p w:rsidR="003822C7" w:rsidRPr="00AE4E0D" w:rsidRDefault="003822C7" w:rsidP="007C097D">
            <w:pPr>
              <w:pStyle w:val="ListParagraph"/>
              <w:keepLines/>
              <w:numPr>
                <w:ilvl w:val="6"/>
                <w:numId w:val="38"/>
              </w:numPr>
              <w:tabs>
                <w:tab w:val="left" w:pos="320"/>
              </w:tabs>
              <w:suppressAutoHyphens w:val="0"/>
              <w:ind w:left="284"/>
              <w:rPr>
                <w:rFonts w:cstheme="minorHAnsi"/>
                <w:szCs w:val="20"/>
              </w:rPr>
            </w:pPr>
            <w:r>
              <w:rPr>
                <w:rFonts w:cstheme="minorHAnsi"/>
                <w:szCs w:val="20"/>
              </w:rPr>
              <w:t>S</w:t>
            </w:r>
            <w:r w:rsidRPr="00904B3B">
              <w:rPr>
                <w:rFonts w:cstheme="minorHAnsi"/>
                <w:szCs w:val="20"/>
              </w:rPr>
              <w:t>trongly oppose</w:t>
            </w:r>
            <w:r>
              <w:rPr>
                <w:rFonts w:cstheme="minorHAnsi"/>
                <w:szCs w:val="20"/>
              </w:rPr>
              <w:t>s</w:t>
            </w:r>
            <w:r w:rsidRPr="00904B3B">
              <w:rPr>
                <w:rFonts w:cstheme="minorHAnsi"/>
                <w:szCs w:val="20"/>
              </w:rPr>
              <w:t xml:space="preserve"> the width increase being limited to 2.55</w:t>
            </w:r>
            <w:r>
              <w:rPr>
                <w:rFonts w:cstheme="minorHAnsi"/>
                <w:szCs w:val="20"/>
              </w:rPr>
              <w:t> </w:t>
            </w:r>
            <w:r w:rsidRPr="00904B3B">
              <w:rPr>
                <w:rFonts w:cstheme="minorHAnsi"/>
                <w:szCs w:val="20"/>
              </w:rPr>
              <w:t>m with allowances of an extra 50</w:t>
            </w:r>
            <w:r>
              <w:rPr>
                <w:rFonts w:cstheme="minorHAnsi"/>
                <w:szCs w:val="20"/>
              </w:rPr>
              <w:t> </w:t>
            </w:r>
            <w:r w:rsidRPr="00904B3B">
              <w:rPr>
                <w:rFonts w:cstheme="minorHAnsi"/>
                <w:szCs w:val="20"/>
              </w:rPr>
              <w:t>mm being made for webbing assembly type devices used on curtain-side devices</w:t>
            </w:r>
            <w:r>
              <w:rPr>
                <w:rFonts w:cstheme="minorHAnsi"/>
                <w:szCs w:val="20"/>
              </w:rPr>
              <w:t>,</w:t>
            </w:r>
            <w:r w:rsidRPr="00904B3B">
              <w:rPr>
                <w:rFonts w:cstheme="minorHAnsi"/>
                <w:szCs w:val="20"/>
              </w:rPr>
              <w:t xml:space="preserve"> as a simple </w:t>
            </w:r>
            <w:r w:rsidR="00B9347B">
              <w:rPr>
                <w:rFonts w:cstheme="minorHAnsi"/>
                <w:szCs w:val="20"/>
              </w:rPr>
              <w:t>2.60</w:t>
            </w:r>
            <w:r>
              <w:rPr>
                <w:rFonts w:cstheme="minorHAnsi"/>
                <w:szCs w:val="20"/>
              </w:rPr>
              <w:t> </w:t>
            </w:r>
            <w:r w:rsidRPr="00904B3B">
              <w:rPr>
                <w:rFonts w:cstheme="minorHAnsi"/>
                <w:szCs w:val="20"/>
              </w:rPr>
              <w:t>m width</w:t>
            </w:r>
            <w:r w:rsidR="00E227B0">
              <w:rPr>
                <w:rFonts w:cstheme="minorHAnsi"/>
                <w:szCs w:val="20"/>
              </w:rPr>
              <w:t xml:space="preserve"> limit</w:t>
            </w:r>
            <w:r w:rsidRPr="00904B3B">
              <w:rPr>
                <w:rFonts w:cstheme="minorHAnsi"/>
                <w:szCs w:val="20"/>
              </w:rPr>
              <w:t xml:space="preserve"> would encourage trailers with better load restraint provisions and manual handling than early curtain side trailers</w:t>
            </w:r>
            <w:r>
              <w:rPr>
                <w:rFonts w:cstheme="minorHAnsi"/>
                <w:szCs w:val="20"/>
              </w:rPr>
              <w:t xml:space="preserve"> – </w:t>
            </w:r>
            <w:r w:rsidRPr="00AE4E0D">
              <w:rPr>
                <w:rFonts w:cstheme="minorHAnsi"/>
                <w:szCs w:val="20"/>
              </w:rPr>
              <w:t>an example of this would be with trailers that can be specified with side walls that can hinge open to allow side loading as well as bulk loading for bulk items.</w:t>
            </w:r>
          </w:p>
          <w:p w:rsidR="003822C7" w:rsidRPr="00904B3B" w:rsidRDefault="003822C7" w:rsidP="007C097D">
            <w:pPr>
              <w:pStyle w:val="ListParagraph"/>
              <w:keepLines/>
              <w:numPr>
                <w:ilvl w:val="6"/>
                <w:numId w:val="38"/>
              </w:numPr>
              <w:tabs>
                <w:tab w:val="left" w:pos="320"/>
              </w:tabs>
              <w:suppressAutoHyphens w:val="0"/>
              <w:ind w:left="284"/>
              <w:rPr>
                <w:rFonts w:cstheme="minorHAnsi"/>
                <w:szCs w:val="20"/>
              </w:rPr>
            </w:pPr>
            <w:r>
              <w:rPr>
                <w:rFonts w:cstheme="minorHAnsi"/>
                <w:szCs w:val="20"/>
              </w:rPr>
              <w:t xml:space="preserve">Considers a </w:t>
            </w:r>
            <w:r w:rsidR="00B9347B">
              <w:rPr>
                <w:rFonts w:cstheme="minorHAnsi"/>
                <w:szCs w:val="20"/>
              </w:rPr>
              <w:t>2.60</w:t>
            </w:r>
            <w:r>
              <w:rPr>
                <w:rFonts w:cstheme="minorHAnsi"/>
                <w:szCs w:val="20"/>
              </w:rPr>
              <w:t xml:space="preserve"> m width limit would allow trailers </w:t>
            </w:r>
            <w:r w:rsidRPr="00005E2B">
              <w:rPr>
                <w:rFonts w:cstheme="minorHAnsi"/>
                <w:szCs w:val="20"/>
              </w:rPr>
              <w:t xml:space="preserve">with side walls that can hinge open </w:t>
            </w:r>
            <w:r>
              <w:rPr>
                <w:rFonts w:cstheme="minorHAnsi"/>
                <w:szCs w:val="20"/>
              </w:rPr>
              <w:t>to be used to carry fresh substrate to straw growers on outbound trips and straw to mushroom growers on return trips, instead of in two separate trips.</w:t>
            </w:r>
          </w:p>
        </w:tc>
        <w:tc>
          <w:tcPr>
            <w:tcW w:w="6521" w:type="dxa"/>
            <w:gridSpan w:val="2"/>
          </w:tcPr>
          <w:p w:rsidR="003822C7" w:rsidRDefault="003822C7" w:rsidP="007C097D">
            <w:pPr>
              <w:pStyle w:val="ListParagraph"/>
              <w:keepLines/>
              <w:numPr>
                <w:ilvl w:val="0"/>
                <w:numId w:val="33"/>
              </w:numPr>
              <w:tabs>
                <w:tab w:val="left" w:pos="720"/>
              </w:tabs>
              <w:suppressAutoHyphens w:val="0"/>
              <w:ind w:left="284" w:hanging="284"/>
              <w:rPr>
                <w:rFonts w:cstheme="minorHAnsi"/>
                <w:szCs w:val="20"/>
              </w:rPr>
            </w:pPr>
            <w:r w:rsidRPr="007E70B2">
              <w:rPr>
                <w:rFonts w:cstheme="minorHAnsi"/>
                <w:szCs w:val="20"/>
              </w:rPr>
              <w:t>Noted.</w:t>
            </w:r>
          </w:p>
          <w:p w:rsidR="003822C7" w:rsidRDefault="003822C7" w:rsidP="007C097D">
            <w:pPr>
              <w:pStyle w:val="ListParagraph"/>
              <w:keepLines/>
              <w:numPr>
                <w:ilvl w:val="0"/>
                <w:numId w:val="33"/>
              </w:numPr>
              <w:tabs>
                <w:tab w:val="left" w:pos="720"/>
              </w:tabs>
              <w:suppressAutoHyphens w:val="0"/>
              <w:ind w:left="284" w:hanging="284"/>
              <w:rPr>
                <w:rFonts w:cstheme="minorHAnsi"/>
                <w:szCs w:val="20"/>
              </w:rPr>
            </w:pPr>
            <w:r>
              <w:rPr>
                <w:rFonts w:cstheme="minorHAnsi"/>
                <w:szCs w:val="20"/>
              </w:rPr>
              <w:t>Agreed.</w:t>
            </w:r>
          </w:p>
          <w:p w:rsidR="003822C7" w:rsidRPr="00376756" w:rsidRDefault="003822C7" w:rsidP="007C097D">
            <w:pPr>
              <w:pStyle w:val="ListParagraph"/>
              <w:numPr>
                <w:ilvl w:val="0"/>
                <w:numId w:val="33"/>
              </w:numPr>
              <w:ind w:left="284" w:hanging="284"/>
              <w:rPr>
                <w:rFonts w:cstheme="minorHAnsi"/>
              </w:rPr>
            </w:pPr>
            <w:r w:rsidRPr="00376756">
              <w:rPr>
                <w:rFonts w:cstheme="minorHAnsi"/>
              </w:rPr>
              <w:t xml:space="preserve">Accepted that these devices can be designed into the </w:t>
            </w:r>
            <w:r>
              <w:rPr>
                <w:rFonts w:cstheme="minorHAnsi"/>
              </w:rPr>
              <w:t>vehicle</w:t>
            </w:r>
            <w:r w:rsidRPr="00376756">
              <w:rPr>
                <w:rFonts w:cstheme="minorHAnsi"/>
              </w:rPr>
              <w:t xml:space="preserve">, so no additional width relative to the current limit is required. The recommended option does not allow these devices to be any wider than </w:t>
            </w:r>
            <w:r w:rsidR="0094780F">
              <w:rPr>
                <w:rFonts w:cstheme="minorHAnsi"/>
              </w:rPr>
              <w:t xml:space="preserve">the current </w:t>
            </w:r>
            <w:r w:rsidRPr="00677C75">
              <w:rPr>
                <w:rFonts w:cstheme="minorHAnsi"/>
              </w:rPr>
              <w:t>2.55 m</w:t>
            </w:r>
            <w:r w:rsidRPr="00376756">
              <w:rPr>
                <w:rFonts w:cstheme="minorHAnsi"/>
              </w:rPr>
              <w:t>.</w:t>
            </w:r>
          </w:p>
          <w:p w:rsidR="003822C7" w:rsidRPr="00CC7358" w:rsidRDefault="003822C7" w:rsidP="007C097D">
            <w:pPr>
              <w:pStyle w:val="ListParagraph"/>
              <w:keepLines/>
              <w:numPr>
                <w:ilvl w:val="0"/>
                <w:numId w:val="33"/>
              </w:numPr>
              <w:tabs>
                <w:tab w:val="left" w:pos="720"/>
              </w:tabs>
              <w:suppressAutoHyphens w:val="0"/>
              <w:ind w:left="284" w:hanging="284"/>
              <w:rPr>
                <w:rFonts w:cstheme="minorHAnsi"/>
                <w:szCs w:val="20"/>
              </w:rPr>
            </w:pPr>
            <w:r>
              <w:rPr>
                <w:rFonts w:cstheme="minorHAnsi"/>
                <w:szCs w:val="20"/>
              </w:rPr>
              <w:t>Noted.</w:t>
            </w:r>
          </w:p>
        </w:tc>
      </w:tr>
      <w:tr w:rsidR="003822C7" w:rsidRPr="007B6E69" w:rsidTr="003822C7">
        <w:trPr>
          <w:cantSplit/>
        </w:trPr>
        <w:tc>
          <w:tcPr>
            <w:tcW w:w="1696" w:type="dxa"/>
          </w:tcPr>
          <w:p w:rsidR="003822C7" w:rsidRPr="007B6E69" w:rsidRDefault="003822C7" w:rsidP="007901FB">
            <w:pPr>
              <w:spacing w:before="120" w:after="120"/>
              <w:rPr>
                <w:rFonts w:cstheme="minorHAnsi"/>
              </w:rPr>
            </w:pPr>
            <w:r w:rsidRPr="007B6E69">
              <w:rPr>
                <w:rFonts w:cstheme="minorHAnsi"/>
              </w:rPr>
              <w:t>Electric Vehicle Council</w:t>
            </w:r>
          </w:p>
        </w:tc>
        <w:tc>
          <w:tcPr>
            <w:tcW w:w="6379" w:type="dxa"/>
          </w:tcPr>
          <w:p w:rsidR="003822C7" w:rsidRDefault="003822C7" w:rsidP="007C097D">
            <w:pPr>
              <w:pStyle w:val="ListParagraph"/>
              <w:numPr>
                <w:ilvl w:val="0"/>
                <w:numId w:val="49"/>
              </w:numPr>
              <w:ind w:left="284" w:hanging="284"/>
            </w:pPr>
            <w:r w:rsidRPr="005E1DD6">
              <w:t xml:space="preserve">Supports increasing the maximum width for goods vehicles and trailers over 4.5 tonnes to </w:t>
            </w:r>
            <w:r w:rsidR="00B9347B">
              <w:t>2.60</w:t>
            </w:r>
            <w:r>
              <w:t> </w:t>
            </w:r>
            <w:r w:rsidRPr="005E1DD6">
              <w:t>m.</w:t>
            </w:r>
          </w:p>
          <w:p w:rsidR="003822C7" w:rsidRDefault="003822C7" w:rsidP="007C097D">
            <w:pPr>
              <w:pStyle w:val="ListParagraph"/>
              <w:numPr>
                <w:ilvl w:val="0"/>
                <w:numId w:val="49"/>
              </w:numPr>
              <w:ind w:left="284" w:hanging="284"/>
            </w:pPr>
            <w:r>
              <w:t>Notes width and mass restrictions have been highlighted by Electric Vehicle Council members as limiting the ability to import electric freight models to the Australian market.</w:t>
            </w:r>
          </w:p>
          <w:p w:rsidR="003822C7" w:rsidRDefault="003822C7" w:rsidP="007C097D">
            <w:pPr>
              <w:pStyle w:val="ListParagraph"/>
              <w:numPr>
                <w:ilvl w:val="0"/>
                <w:numId w:val="49"/>
              </w:numPr>
              <w:ind w:left="284" w:hanging="284"/>
            </w:pPr>
            <w:r>
              <w:t xml:space="preserve">Agrees with the </w:t>
            </w:r>
            <w:r w:rsidR="00B9347B">
              <w:t>d</w:t>
            </w:r>
            <w:r>
              <w:t>epartment’s assessment that it will be increasingly difficult to re-design trucks for the Australian market because of battery/hydrogen storage systems.</w:t>
            </w:r>
          </w:p>
          <w:p w:rsidR="003822C7" w:rsidRPr="005E1DD6" w:rsidRDefault="003822C7" w:rsidP="007C097D">
            <w:pPr>
              <w:pStyle w:val="ListParagraph"/>
              <w:numPr>
                <w:ilvl w:val="0"/>
                <w:numId w:val="49"/>
              </w:numPr>
              <w:ind w:left="284" w:hanging="284"/>
            </w:pPr>
            <w:r>
              <w:t>Believes equal consideration should be paid to the safety implications of particulate matter and noxious fumes from combustion engines and that the Government should bring forward the implementation date for the Euro VI heavy vehicle emissions standard.</w:t>
            </w:r>
          </w:p>
        </w:tc>
        <w:tc>
          <w:tcPr>
            <w:tcW w:w="6521" w:type="dxa"/>
            <w:gridSpan w:val="2"/>
          </w:tcPr>
          <w:p w:rsidR="003822C7" w:rsidRDefault="003822C7" w:rsidP="007C097D">
            <w:pPr>
              <w:pStyle w:val="ListParagraph"/>
              <w:keepLines/>
              <w:numPr>
                <w:ilvl w:val="0"/>
                <w:numId w:val="50"/>
              </w:numPr>
              <w:tabs>
                <w:tab w:val="left" w:pos="318"/>
              </w:tabs>
              <w:suppressAutoHyphens w:val="0"/>
              <w:ind w:left="284" w:hanging="284"/>
              <w:rPr>
                <w:rFonts w:cstheme="minorHAnsi"/>
              </w:rPr>
            </w:pPr>
            <w:r w:rsidRPr="001D2011">
              <w:rPr>
                <w:rFonts w:cstheme="minorHAnsi"/>
              </w:rPr>
              <w:t>Noted.</w:t>
            </w:r>
          </w:p>
          <w:p w:rsidR="003822C7" w:rsidRDefault="003822C7" w:rsidP="007C097D">
            <w:pPr>
              <w:pStyle w:val="ListParagraph"/>
              <w:keepLines/>
              <w:numPr>
                <w:ilvl w:val="0"/>
                <w:numId w:val="50"/>
              </w:numPr>
              <w:tabs>
                <w:tab w:val="left" w:pos="318"/>
              </w:tabs>
              <w:suppressAutoHyphens w:val="0"/>
              <w:ind w:left="284" w:hanging="284"/>
              <w:rPr>
                <w:rFonts w:cstheme="minorHAnsi"/>
              </w:rPr>
            </w:pPr>
            <w:r>
              <w:rPr>
                <w:rFonts w:cstheme="minorHAnsi"/>
              </w:rPr>
              <w:t>Agree the current 2.5</w:t>
            </w:r>
            <w:r w:rsidR="00B9347B">
              <w:rPr>
                <w:rFonts w:cstheme="minorHAnsi"/>
              </w:rPr>
              <w:t>0 </w:t>
            </w:r>
            <w:r>
              <w:rPr>
                <w:rFonts w:cstheme="minorHAnsi"/>
              </w:rPr>
              <w:t xml:space="preserve">m width limit is the most substantial impediment in the ADRs to the supply of electric freight vehicles. Agree mass restrictions are also an impediment, however these are set under the HVNL and WA and NT law (with exception of retractable axle mass transition limits in the ADRs). Jurisdictions, </w:t>
            </w:r>
            <w:r w:rsidR="00E36C71">
              <w:rPr>
                <w:rFonts w:cstheme="minorHAnsi"/>
              </w:rPr>
              <w:t xml:space="preserve">together with </w:t>
            </w:r>
            <w:r>
              <w:rPr>
                <w:rFonts w:cstheme="minorHAnsi"/>
              </w:rPr>
              <w:t>the NHVR and the NTC need to consider the case for any changes to mass limits.</w:t>
            </w:r>
          </w:p>
          <w:p w:rsidR="00BD4EF9" w:rsidRDefault="003822C7" w:rsidP="00BD4EF9">
            <w:pPr>
              <w:pStyle w:val="ListParagraph"/>
              <w:keepLines/>
              <w:numPr>
                <w:ilvl w:val="0"/>
                <w:numId w:val="50"/>
              </w:numPr>
              <w:tabs>
                <w:tab w:val="left" w:pos="318"/>
              </w:tabs>
              <w:suppressAutoHyphens w:val="0"/>
              <w:ind w:left="284" w:hanging="284"/>
              <w:rPr>
                <w:rFonts w:cstheme="minorHAnsi"/>
              </w:rPr>
            </w:pPr>
            <w:r>
              <w:rPr>
                <w:rFonts w:cstheme="minorHAnsi"/>
              </w:rPr>
              <w:t>Noted.</w:t>
            </w:r>
          </w:p>
          <w:p w:rsidR="003822C7" w:rsidRPr="00541AA5" w:rsidRDefault="003822C7" w:rsidP="00541AA5">
            <w:pPr>
              <w:pStyle w:val="ListParagraph"/>
              <w:keepLines/>
              <w:numPr>
                <w:ilvl w:val="0"/>
                <w:numId w:val="50"/>
              </w:numPr>
              <w:tabs>
                <w:tab w:val="left" w:pos="318"/>
              </w:tabs>
              <w:suppressAutoHyphens w:val="0"/>
              <w:ind w:left="284" w:hanging="284"/>
              <w:rPr>
                <w:rFonts w:cstheme="minorHAnsi"/>
              </w:rPr>
            </w:pPr>
            <w:r w:rsidRPr="00BD4EF9">
              <w:rPr>
                <w:rFonts w:cstheme="minorHAnsi"/>
              </w:rPr>
              <w:t xml:space="preserve">Agreed. </w:t>
            </w:r>
            <w:r w:rsidR="0095775C" w:rsidRPr="00BD4EF9">
              <w:rPr>
                <w:rFonts w:cstheme="minorHAnsi"/>
              </w:rPr>
              <w:t xml:space="preserve">On 13 October 2022, the Minister announced a new ADR 80/04 based on the Euro VI (Stage C) requirements will be phased in for newly approved heavy vehicle models first supplied to Australia from 1 November 2024; and </w:t>
            </w:r>
            <w:r w:rsidR="00E3699B">
              <w:rPr>
                <w:rFonts w:cstheme="minorHAnsi"/>
              </w:rPr>
              <w:t>all heavy vehicles from</w:t>
            </w:r>
            <w:r w:rsidR="0095775C" w:rsidRPr="00BD4EF9">
              <w:rPr>
                <w:rFonts w:cstheme="minorHAnsi"/>
              </w:rPr>
              <w:t xml:space="preserve"> 1</w:t>
            </w:r>
            <w:r w:rsidR="00E3699B">
              <w:rPr>
                <w:rFonts w:cstheme="minorHAnsi"/>
              </w:rPr>
              <w:t> </w:t>
            </w:r>
            <w:r w:rsidR="0095775C" w:rsidRPr="00BD4EF9">
              <w:rPr>
                <w:rFonts w:cstheme="minorHAnsi"/>
              </w:rPr>
              <w:t>November 2025.</w:t>
            </w:r>
            <w:r w:rsidR="00541AA5">
              <w:rPr>
                <w:rFonts w:cstheme="minorHAnsi"/>
              </w:rPr>
              <w:t xml:space="preserve"> </w:t>
            </w:r>
            <w:r w:rsidRPr="00541AA5">
              <w:rPr>
                <w:rFonts w:cstheme="minorHAnsi"/>
              </w:rPr>
              <w:t xml:space="preserve">The implementation of any of the proposed options in this </w:t>
            </w:r>
            <w:r w:rsidR="00C45600">
              <w:rPr>
                <w:rFonts w:cstheme="minorHAnsi"/>
              </w:rPr>
              <w:t>IA</w:t>
            </w:r>
            <w:r w:rsidRPr="00541AA5">
              <w:rPr>
                <w:rFonts w:cstheme="minorHAnsi"/>
              </w:rPr>
              <w:t xml:space="preserve"> will make it easier for manufacturers to supply Euro VI compliant heavy vehicles, so would facilitate greater take up of these vehicles</w:t>
            </w:r>
            <w:r w:rsidR="00DC5B76" w:rsidRPr="00541AA5">
              <w:rPr>
                <w:rFonts w:cstheme="minorHAnsi"/>
              </w:rPr>
              <w:t xml:space="preserve"> (including prior to the mandatory applicability dates)</w:t>
            </w:r>
            <w:r w:rsidRPr="00541AA5">
              <w:rPr>
                <w:rFonts w:cstheme="minorHAnsi"/>
              </w:rPr>
              <w:t>.</w:t>
            </w:r>
          </w:p>
        </w:tc>
      </w:tr>
      <w:tr w:rsidR="003822C7" w:rsidRPr="007B6E69" w:rsidTr="003822C7">
        <w:trPr>
          <w:cantSplit/>
        </w:trPr>
        <w:tc>
          <w:tcPr>
            <w:tcW w:w="1696" w:type="dxa"/>
          </w:tcPr>
          <w:p w:rsidR="003822C7" w:rsidRPr="007B6E69" w:rsidRDefault="003822C7" w:rsidP="007901FB">
            <w:pPr>
              <w:spacing w:before="120" w:after="120"/>
              <w:rPr>
                <w:rFonts w:cstheme="minorHAnsi"/>
              </w:rPr>
            </w:pPr>
            <w:r w:rsidRPr="007B6E69">
              <w:rPr>
                <w:rFonts w:cstheme="minorHAnsi"/>
              </w:rPr>
              <w:t>Gas Energy Australia</w:t>
            </w:r>
          </w:p>
        </w:tc>
        <w:tc>
          <w:tcPr>
            <w:tcW w:w="6379" w:type="dxa"/>
          </w:tcPr>
          <w:p w:rsidR="003822C7" w:rsidRDefault="003822C7" w:rsidP="00E248BF">
            <w:pPr>
              <w:pStyle w:val="ListParagraph"/>
              <w:numPr>
                <w:ilvl w:val="0"/>
                <w:numId w:val="55"/>
              </w:numPr>
              <w:ind w:left="284" w:hanging="284"/>
            </w:pPr>
            <w:r w:rsidRPr="005E1DD6">
              <w:t xml:space="preserve">Supports increasing the maximum width for goods vehicles and trailers over 4.5 tonnes to </w:t>
            </w:r>
            <w:r w:rsidR="00B9347B">
              <w:t>2.60</w:t>
            </w:r>
            <w:r>
              <w:t> </w:t>
            </w:r>
            <w:r w:rsidRPr="005E1DD6">
              <w:t>m.</w:t>
            </w:r>
          </w:p>
          <w:p w:rsidR="003822C7" w:rsidRDefault="003822C7" w:rsidP="00E248BF">
            <w:pPr>
              <w:pStyle w:val="ListParagraph"/>
              <w:numPr>
                <w:ilvl w:val="0"/>
                <w:numId w:val="55"/>
              </w:numPr>
              <w:ind w:left="284" w:hanging="284"/>
            </w:pPr>
            <w:r>
              <w:t>Notes t</w:t>
            </w:r>
            <w:r w:rsidRPr="0048457C">
              <w:t xml:space="preserve">he gaseous fuels industry comes under a number of </w:t>
            </w:r>
            <w:r>
              <w:t>f</w:t>
            </w:r>
            <w:r w:rsidRPr="0048457C">
              <w:t xml:space="preserve">ederal and </w:t>
            </w:r>
            <w:r>
              <w:t>s</w:t>
            </w:r>
            <w:r w:rsidRPr="0048457C">
              <w:t xml:space="preserve">tate or </w:t>
            </w:r>
            <w:r>
              <w:t>t</w:t>
            </w:r>
            <w:r w:rsidRPr="0048457C">
              <w:t>erritory regulations when it puts a heavy vehicle with a dangerous goods tank onto an Australian road.</w:t>
            </w:r>
          </w:p>
          <w:p w:rsidR="003822C7" w:rsidRDefault="003822C7" w:rsidP="00E248BF">
            <w:pPr>
              <w:pStyle w:val="ListParagraph"/>
              <w:numPr>
                <w:ilvl w:val="0"/>
                <w:numId w:val="55"/>
              </w:numPr>
              <w:ind w:left="284" w:hanging="284"/>
            </w:pPr>
            <w:r>
              <w:t>Wants to ensure the multiple technical areas involved in the regulation of side underrun and conspicuity markings on dangerous goods vehicles, including industry and all tiers of government, have a single point of reference to understand and apply the rules</w:t>
            </w:r>
            <w:r w:rsidRPr="00DD6CD5">
              <w:t>.</w:t>
            </w:r>
          </w:p>
          <w:p w:rsidR="003822C7" w:rsidRPr="00DF14D9" w:rsidRDefault="003822C7" w:rsidP="00E248BF">
            <w:pPr>
              <w:pStyle w:val="ListParagraph"/>
              <w:numPr>
                <w:ilvl w:val="0"/>
                <w:numId w:val="55"/>
              </w:numPr>
              <w:ind w:left="284" w:hanging="284"/>
            </w:pPr>
            <w:r>
              <w:t xml:space="preserve">Suggests the </w:t>
            </w:r>
            <w:r w:rsidR="00B9347B">
              <w:t>d</w:t>
            </w:r>
            <w:r>
              <w:t xml:space="preserve">epartment consult on and publish </w:t>
            </w:r>
            <w:r w:rsidRPr="00145811">
              <w:t xml:space="preserve">guidance that provides a single point of reference to understanding and applying the </w:t>
            </w:r>
            <w:r>
              <w:t xml:space="preserve">side underrun and conspicuity </w:t>
            </w:r>
            <w:r w:rsidRPr="00145811">
              <w:t>rules for tank-vehicles.</w:t>
            </w:r>
          </w:p>
        </w:tc>
        <w:tc>
          <w:tcPr>
            <w:tcW w:w="6521" w:type="dxa"/>
            <w:gridSpan w:val="2"/>
          </w:tcPr>
          <w:p w:rsidR="003822C7" w:rsidRDefault="003822C7" w:rsidP="00E248BF">
            <w:pPr>
              <w:pStyle w:val="ListParagraph"/>
              <w:keepLines/>
              <w:numPr>
                <w:ilvl w:val="0"/>
                <w:numId w:val="56"/>
              </w:numPr>
              <w:tabs>
                <w:tab w:val="left" w:pos="318"/>
              </w:tabs>
              <w:suppressAutoHyphens w:val="0"/>
              <w:ind w:left="284" w:hanging="284"/>
              <w:rPr>
                <w:rFonts w:cstheme="minorHAnsi"/>
              </w:rPr>
            </w:pPr>
            <w:r>
              <w:rPr>
                <w:rFonts w:cstheme="minorHAnsi"/>
              </w:rPr>
              <w:t>Noted.</w:t>
            </w:r>
          </w:p>
          <w:p w:rsidR="003822C7" w:rsidRDefault="003822C7" w:rsidP="00E248BF">
            <w:pPr>
              <w:pStyle w:val="ListParagraph"/>
              <w:keepLines/>
              <w:numPr>
                <w:ilvl w:val="0"/>
                <w:numId w:val="56"/>
              </w:numPr>
              <w:tabs>
                <w:tab w:val="left" w:pos="318"/>
              </w:tabs>
              <w:suppressAutoHyphens w:val="0"/>
              <w:ind w:left="284" w:hanging="284"/>
              <w:rPr>
                <w:rFonts w:cstheme="minorHAnsi"/>
              </w:rPr>
            </w:pPr>
            <w:r>
              <w:rPr>
                <w:rFonts w:cstheme="minorHAnsi"/>
              </w:rPr>
              <w:t>Noted.</w:t>
            </w:r>
          </w:p>
          <w:p w:rsidR="003822C7" w:rsidRDefault="003822C7" w:rsidP="00E248BF">
            <w:pPr>
              <w:pStyle w:val="ListParagraph"/>
              <w:keepLines/>
              <w:numPr>
                <w:ilvl w:val="0"/>
                <w:numId w:val="56"/>
              </w:numPr>
              <w:tabs>
                <w:tab w:val="left" w:pos="318"/>
              </w:tabs>
              <w:suppressAutoHyphens w:val="0"/>
              <w:ind w:left="284" w:hanging="284"/>
              <w:rPr>
                <w:rFonts w:cstheme="minorHAnsi"/>
              </w:rPr>
            </w:pPr>
            <w:r>
              <w:rPr>
                <w:rFonts w:cstheme="minorHAnsi"/>
              </w:rPr>
              <w:t>Noted.</w:t>
            </w:r>
          </w:p>
          <w:p w:rsidR="003822C7" w:rsidRPr="00726E40" w:rsidRDefault="00287090" w:rsidP="00E248BF">
            <w:pPr>
              <w:pStyle w:val="ListParagraph"/>
              <w:keepLines/>
              <w:numPr>
                <w:ilvl w:val="0"/>
                <w:numId w:val="56"/>
              </w:numPr>
              <w:tabs>
                <w:tab w:val="left" w:pos="318"/>
              </w:tabs>
              <w:suppressAutoHyphens w:val="0"/>
              <w:ind w:left="284" w:hanging="284"/>
              <w:rPr>
                <w:rFonts w:cstheme="minorHAnsi"/>
              </w:rPr>
            </w:pPr>
            <w:r w:rsidRPr="00287090">
              <w:rPr>
                <w:rFonts w:cstheme="minorHAnsi"/>
              </w:rPr>
              <w:t>Noted</w:t>
            </w:r>
            <w:r w:rsidR="003822C7" w:rsidRPr="00287090">
              <w:rPr>
                <w:rFonts w:cstheme="minorHAnsi"/>
              </w:rPr>
              <w:t>.</w:t>
            </w:r>
            <w:r w:rsidRPr="00287090">
              <w:rPr>
                <w:rFonts w:cstheme="minorHAnsi"/>
              </w:rPr>
              <w:t xml:space="preserve"> </w:t>
            </w:r>
            <w:r>
              <w:rPr>
                <w:rFonts w:cstheme="minorHAnsi"/>
              </w:rPr>
              <w:t>UN R73 includes some derogations,</w:t>
            </w:r>
            <w:r w:rsidRPr="00C23179">
              <w:rPr>
                <w:rFonts w:cstheme="minorHAnsi"/>
              </w:rPr>
              <w:t xml:space="preserve"> and </w:t>
            </w:r>
            <w:r w:rsidR="000271B7">
              <w:rPr>
                <w:rFonts w:cstheme="minorHAnsi"/>
              </w:rPr>
              <w:t xml:space="preserve">the </w:t>
            </w:r>
            <w:r w:rsidR="00A146C1">
              <w:rPr>
                <w:rFonts w:cstheme="minorHAnsi"/>
              </w:rPr>
              <w:t xml:space="preserve">exemptions and </w:t>
            </w:r>
            <w:r w:rsidRPr="00C23179">
              <w:rPr>
                <w:rFonts w:cstheme="minorHAnsi"/>
              </w:rPr>
              <w:t xml:space="preserve">alternative procedures section of the proposed ADR will be able to be used to provide greater clarity, including in regard to derogations. These will also be able to </w:t>
            </w:r>
            <w:r w:rsidR="00115CA7">
              <w:rPr>
                <w:rFonts w:cstheme="minorHAnsi"/>
              </w:rPr>
              <w:t xml:space="preserve">be </w:t>
            </w:r>
            <w:r w:rsidRPr="00C23179">
              <w:rPr>
                <w:rFonts w:cstheme="minorHAnsi"/>
              </w:rPr>
              <w:t>continuously reviewed</w:t>
            </w:r>
            <w:r>
              <w:rPr>
                <w:rFonts w:cstheme="minorHAnsi"/>
              </w:rPr>
              <w:t>, together with the need for more general guidelines,</w:t>
            </w:r>
            <w:r w:rsidRPr="00C23179">
              <w:rPr>
                <w:rFonts w:cstheme="minorHAnsi"/>
              </w:rPr>
              <w:t xml:space="preserve"> </w:t>
            </w:r>
            <w:r>
              <w:rPr>
                <w:rFonts w:cstheme="minorHAnsi"/>
              </w:rPr>
              <w:t>in close consultation with industry and with specific regard for tank vehicles, including through the established ADR consultative forums (e.g. TLG). Minor amendments could also be made to the ADR (after entry into force) to provide further limited derogations or further clarify the interpretation and/or application of requirements, if necessary.</w:t>
            </w:r>
          </w:p>
        </w:tc>
      </w:tr>
      <w:tr w:rsidR="003822C7" w:rsidRPr="007B6E69" w:rsidTr="003822C7">
        <w:tc>
          <w:tcPr>
            <w:tcW w:w="1696" w:type="dxa"/>
          </w:tcPr>
          <w:p w:rsidR="003822C7" w:rsidRPr="007B6E69" w:rsidRDefault="003822C7" w:rsidP="00757135">
            <w:pPr>
              <w:pageBreakBefore/>
              <w:spacing w:before="120" w:after="120"/>
              <w:rPr>
                <w:rFonts w:cstheme="minorHAnsi"/>
              </w:rPr>
            </w:pPr>
            <w:r w:rsidRPr="007B6E69">
              <w:rPr>
                <w:rFonts w:cstheme="minorHAnsi"/>
              </w:rPr>
              <w:t>Heavy Vehicle Industry Association (HVIA)</w:t>
            </w:r>
          </w:p>
        </w:tc>
        <w:tc>
          <w:tcPr>
            <w:tcW w:w="6379" w:type="dxa"/>
          </w:tcPr>
          <w:p w:rsidR="003822C7" w:rsidRPr="004C0165" w:rsidRDefault="003822C7" w:rsidP="007C097D">
            <w:pPr>
              <w:pStyle w:val="ListParagraph"/>
              <w:numPr>
                <w:ilvl w:val="6"/>
                <w:numId w:val="51"/>
              </w:numPr>
              <w:ind w:left="284"/>
              <w:rPr>
                <w:rFonts w:cstheme="minorHAnsi"/>
                <w:szCs w:val="20"/>
              </w:rPr>
            </w:pPr>
            <w:r w:rsidRPr="004C0165">
              <w:rPr>
                <w:rFonts w:cstheme="minorHAnsi"/>
                <w:szCs w:val="20"/>
              </w:rPr>
              <w:t>Supports increasing the maximum width to 2.</w:t>
            </w:r>
            <w:r>
              <w:rPr>
                <w:rFonts w:cstheme="minorHAnsi"/>
                <w:szCs w:val="20"/>
              </w:rPr>
              <w:t>55 </w:t>
            </w:r>
            <w:r w:rsidRPr="004C0165">
              <w:rPr>
                <w:rFonts w:cstheme="minorHAnsi"/>
                <w:szCs w:val="20"/>
              </w:rPr>
              <w:t>m</w:t>
            </w:r>
            <w:r>
              <w:rPr>
                <w:rFonts w:cstheme="minorHAnsi"/>
                <w:szCs w:val="20"/>
              </w:rPr>
              <w:t xml:space="preserve"> </w:t>
            </w:r>
            <w:r w:rsidRPr="004C0165">
              <w:rPr>
                <w:rFonts w:cstheme="minorHAnsi"/>
                <w:szCs w:val="20"/>
              </w:rPr>
              <w:t>for goods vehicles over 4.5 tonnes</w:t>
            </w:r>
            <w:r>
              <w:rPr>
                <w:rFonts w:cstheme="minorHAnsi"/>
                <w:szCs w:val="20"/>
              </w:rPr>
              <w:t xml:space="preserve"> only</w:t>
            </w:r>
            <w:r w:rsidRPr="004C0165">
              <w:rPr>
                <w:rFonts w:cstheme="minorHAnsi"/>
                <w:szCs w:val="20"/>
              </w:rPr>
              <w:t>.</w:t>
            </w:r>
          </w:p>
          <w:p w:rsidR="003822C7" w:rsidRPr="00850327" w:rsidRDefault="003822C7" w:rsidP="007C097D">
            <w:pPr>
              <w:pStyle w:val="ListParagraph"/>
              <w:keepLines/>
              <w:numPr>
                <w:ilvl w:val="6"/>
                <w:numId w:val="51"/>
              </w:numPr>
              <w:tabs>
                <w:tab w:val="left" w:pos="320"/>
              </w:tabs>
              <w:suppressAutoHyphens w:val="0"/>
              <w:ind w:left="284"/>
              <w:rPr>
                <w:rFonts w:cstheme="minorHAnsi"/>
              </w:rPr>
            </w:pPr>
            <w:r w:rsidRPr="00AD679F">
              <w:rPr>
                <w:rFonts w:cstheme="minorHAnsi"/>
                <w:szCs w:val="20"/>
              </w:rPr>
              <w:t>Supports the exclusions proposed for enhanced devices for indirect vision and monitoring devices to detect other road users from vehicle width and length measurements.</w:t>
            </w:r>
          </w:p>
          <w:p w:rsidR="003822C7" w:rsidRDefault="003822C7" w:rsidP="007C097D">
            <w:pPr>
              <w:pStyle w:val="ListParagraph"/>
              <w:keepLines/>
              <w:numPr>
                <w:ilvl w:val="6"/>
                <w:numId w:val="51"/>
              </w:numPr>
              <w:tabs>
                <w:tab w:val="left" w:pos="320"/>
              </w:tabs>
              <w:suppressAutoHyphens w:val="0"/>
              <w:ind w:left="284"/>
              <w:rPr>
                <w:rFonts w:cstheme="minorHAnsi"/>
              </w:rPr>
            </w:pPr>
            <w:r>
              <w:rPr>
                <w:rFonts w:cstheme="minorHAnsi"/>
              </w:rPr>
              <w:t>D</w:t>
            </w:r>
            <w:r w:rsidRPr="007000C9">
              <w:rPr>
                <w:rFonts w:cstheme="minorHAnsi"/>
              </w:rPr>
              <w:t>oes not support increases to trailer widths because the cost of the retooling, transitional costs and potential loss of Australian manufacturing jobs, far exceed any safety or productivity benefits.</w:t>
            </w:r>
          </w:p>
          <w:p w:rsidR="003822C7" w:rsidRDefault="003822C7" w:rsidP="007C097D">
            <w:pPr>
              <w:pStyle w:val="ListParagraph"/>
              <w:keepLines/>
              <w:numPr>
                <w:ilvl w:val="6"/>
                <w:numId w:val="51"/>
              </w:numPr>
              <w:tabs>
                <w:tab w:val="left" w:pos="320"/>
              </w:tabs>
              <w:suppressAutoHyphens w:val="0"/>
              <w:ind w:left="284"/>
              <w:rPr>
                <w:rFonts w:cstheme="minorHAnsi"/>
              </w:rPr>
            </w:pPr>
            <w:r>
              <w:rPr>
                <w:rFonts w:cstheme="minorHAnsi"/>
              </w:rPr>
              <w:t>Considers m</w:t>
            </w:r>
            <w:r w:rsidRPr="006C6CCB">
              <w:rPr>
                <w:rFonts w:cstheme="minorHAnsi"/>
              </w:rPr>
              <w:t>ost heavy combination vehicles are mass constrained, meaning the additional width of the trailers will not provide productivity benefits to outweigh the</w:t>
            </w:r>
            <w:r>
              <w:rPr>
                <w:rFonts w:cstheme="minorHAnsi"/>
              </w:rPr>
              <w:t xml:space="preserve"> implementation costs to [Australian] industry and safety risks to the community.</w:t>
            </w:r>
          </w:p>
          <w:p w:rsidR="003822C7" w:rsidRDefault="003822C7" w:rsidP="007C097D">
            <w:pPr>
              <w:pStyle w:val="ListParagraph"/>
              <w:keepLines/>
              <w:numPr>
                <w:ilvl w:val="6"/>
                <w:numId w:val="51"/>
              </w:numPr>
              <w:tabs>
                <w:tab w:val="left" w:pos="320"/>
              </w:tabs>
              <w:suppressAutoHyphens w:val="0"/>
              <w:ind w:left="284"/>
              <w:rPr>
                <w:rFonts w:cstheme="minorHAnsi"/>
              </w:rPr>
            </w:pPr>
            <w:r>
              <w:rPr>
                <w:rFonts w:cstheme="minorHAnsi"/>
              </w:rPr>
              <w:t>Considers t</w:t>
            </w:r>
            <w:r w:rsidRPr="00F01D76">
              <w:rPr>
                <w:rFonts w:cstheme="minorHAnsi"/>
              </w:rPr>
              <w:t>here are no width related barriers to fitting side under-run protection or conspi</w:t>
            </w:r>
            <w:r>
              <w:rPr>
                <w:rFonts w:cstheme="minorHAnsi"/>
              </w:rPr>
              <w:t>c</w:t>
            </w:r>
            <w:r w:rsidRPr="00F01D76">
              <w:rPr>
                <w:rFonts w:cstheme="minorHAnsi"/>
              </w:rPr>
              <w:t>uity markings to trailers</w:t>
            </w:r>
            <w:r>
              <w:rPr>
                <w:rFonts w:cstheme="minorHAnsi"/>
              </w:rPr>
              <w:t>,</w:t>
            </w:r>
            <w:r w:rsidRPr="00F01D76">
              <w:rPr>
                <w:rFonts w:cstheme="minorHAnsi"/>
              </w:rPr>
              <w:t xml:space="preserve"> so it is unlikely that a change to width would incentivise the uptake o</w:t>
            </w:r>
            <w:r>
              <w:rPr>
                <w:rFonts w:cstheme="minorHAnsi"/>
              </w:rPr>
              <w:t>f these.</w:t>
            </w:r>
          </w:p>
          <w:p w:rsidR="003822C7" w:rsidRDefault="003822C7" w:rsidP="007C097D">
            <w:pPr>
              <w:pStyle w:val="ListParagraph"/>
              <w:keepLines/>
              <w:numPr>
                <w:ilvl w:val="6"/>
                <w:numId w:val="51"/>
              </w:numPr>
              <w:tabs>
                <w:tab w:val="left" w:pos="320"/>
              </w:tabs>
              <w:suppressAutoHyphens w:val="0"/>
              <w:ind w:left="284"/>
              <w:rPr>
                <w:rFonts w:cstheme="minorHAnsi"/>
              </w:rPr>
            </w:pPr>
            <w:r>
              <w:rPr>
                <w:rFonts w:cstheme="minorHAnsi"/>
              </w:rPr>
              <w:t>D</w:t>
            </w:r>
            <w:r w:rsidRPr="008E1A8A">
              <w:rPr>
                <w:rFonts w:cstheme="minorHAnsi"/>
              </w:rPr>
              <w:t xml:space="preserve">oes not believe </w:t>
            </w:r>
            <w:r>
              <w:rPr>
                <w:rFonts w:cstheme="minorHAnsi"/>
              </w:rPr>
              <w:t>an</w:t>
            </w:r>
            <w:r w:rsidRPr="008E1A8A">
              <w:rPr>
                <w:rFonts w:cstheme="minorHAnsi"/>
              </w:rPr>
              <w:t xml:space="preserve"> exemption to allow load restraint devices to go out to </w:t>
            </w:r>
            <w:r w:rsidR="00B9347B">
              <w:rPr>
                <w:rFonts w:cstheme="minorHAnsi"/>
              </w:rPr>
              <w:t>2.60</w:t>
            </w:r>
            <w:r w:rsidRPr="008E1A8A">
              <w:rPr>
                <w:rFonts w:cstheme="minorHAnsi"/>
              </w:rPr>
              <w:t xml:space="preserve"> m can be justified on either safety or productivity grounds</w:t>
            </w:r>
            <w:r>
              <w:rPr>
                <w:rFonts w:cstheme="minorHAnsi"/>
              </w:rPr>
              <w:t>.</w:t>
            </w:r>
          </w:p>
          <w:p w:rsidR="003822C7" w:rsidRDefault="003822C7" w:rsidP="007C097D">
            <w:pPr>
              <w:pStyle w:val="ListParagraph"/>
              <w:keepLines/>
              <w:numPr>
                <w:ilvl w:val="6"/>
                <w:numId w:val="51"/>
              </w:numPr>
              <w:tabs>
                <w:tab w:val="left" w:pos="320"/>
              </w:tabs>
              <w:suppressAutoHyphens w:val="0"/>
              <w:ind w:left="284"/>
              <w:rPr>
                <w:rFonts w:cstheme="minorHAnsi"/>
              </w:rPr>
            </w:pPr>
            <w:r>
              <w:rPr>
                <w:rFonts w:cstheme="minorHAnsi"/>
              </w:rPr>
              <w:t>A</w:t>
            </w:r>
            <w:r w:rsidRPr="00046393">
              <w:rPr>
                <w:rFonts w:cstheme="minorHAnsi"/>
              </w:rPr>
              <w:t xml:space="preserve">ccepts that there may be specific </w:t>
            </w:r>
            <w:r>
              <w:rPr>
                <w:rFonts w:cstheme="minorHAnsi"/>
              </w:rPr>
              <w:t>sectors</w:t>
            </w:r>
            <w:r w:rsidRPr="00046393">
              <w:rPr>
                <w:rFonts w:cstheme="minorHAnsi"/>
              </w:rPr>
              <w:t xml:space="preserve"> where the safety or productivity benefits may justify increased widths on specific categories of routes</w:t>
            </w:r>
            <w:r>
              <w:rPr>
                <w:rFonts w:cstheme="minorHAnsi"/>
              </w:rPr>
              <w:t xml:space="preserve"> – f</w:t>
            </w:r>
            <w:r w:rsidRPr="002B3190">
              <w:rPr>
                <w:rFonts w:cstheme="minorHAnsi"/>
              </w:rPr>
              <w:t>or example, the refrigerated and freezer segment where additional width would allow these vehicles to increase their thermal efficiency and these vehicles do not travel on all routes in the network.</w:t>
            </w:r>
          </w:p>
          <w:p w:rsidR="003822C7" w:rsidRDefault="003822C7" w:rsidP="007C097D">
            <w:pPr>
              <w:pStyle w:val="ListParagraph"/>
              <w:keepLines/>
              <w:numPr>
                <w:ilvl w:val="6"/>
                <w:numId w:val="51"/>
              </w:numPr>
              <w:tabs>
                <w:tab w:val="left" w:pos="320"/>
              </w:tabs>
              <w:suppressAutoHyphens w:val="0"/>
              <w:ind w:left="284"/>
              <w:rPr>
                <w:rFonts w:cstheme="minorHAnsi"/>
              </w:rPr>
            </w:pPr>
            <w:r>
              <w:rPr>
                <w:rFonts w:cstheme="minorHAnsi"/>
              </w:rPr>
              <w:t>B</w:t>
            </w:r>
            <w:r w:rsidRPr="002B3190">
              <w:rPr>
                <w:rFonts w:cstheme="minorHAnsi"/>
              </w:rPr>
              <w:t xml:space="preserve">elieves specific </w:t>
            </w:r>
            <w:r>
              <w:rPr>
                <w:rFonts w:cstheme="minorHAnsi"/>
              </w:rPr>
              <w:t xml:space="preserve">sector </w:t>
            </w:r>
            <w:r w:rsidRPr="002B3190">
              <w:rPr>
                <w:rFonts w:cstheme="minorHAnsi"/>
              </w:rPr>
              <w:t xml:space="preserve">circumstances can be addressed within the Performance </w:t>
            </w:r>
            <w:r>
              <w:rPr>
                <w:rFonts w:cstheme="minorHAnsi"/>
              </w:rPr>
              <w:t>B</w:t>
            </w:r>
            <w:r w:rsidRPr="002B3190">
              <w:rPr>
                <w:rFonts w:cstheme="minorHAnsi"/>
              </w:rPr>
              <w:t xml:space="preserve">ased Standards (PBS) system or that a specific </w:t>
            </w:r>
            <w:r w:rsidR="00C45600">
              <w:rPr>
                <w:rFonts w:cstheme="minorHAnsi"/>
              </w:rPr>
              <w:t>IA</w:t>
            </w:r>
            <w:r w:rsidRPr="002B3190">
              <w:rPr>
                <w:rFonts w:cstheme="minorHAnsi"/>
              </w:rPr>
              <w:t xml:space="preserve"> or Productivity Commission report should evaluate th</w:t>
            </w:r>
            <w:r w:rsidR="00CB47C0">
              <w:rPr>
                <w:rFonts w:cstheme="minorHAnsi"/>
              </w:rPr>
              <w:t>e</w:t>
            </w:r>
            <w:r w:rsidRPr="002B3190">
              <w:rPr>
                <w:rFonts w:cstheme="minorHAnsi"/>
              </w:rPr>
              <w:t xml:space="preserve"> option</w:t>
            </w:r>
            <w:r w:rsidR="00CB47C0">
              <w:rPr>
                <w:rFonts w:cstheme="minorHAnsi"/>
              </w:rPr>
              <w:t xml:space="preserve"> for wider refrigerated trailers only</w:t>
            </w:r>
            <w:r w:rsidRPr="002B3190">
              <w:rPr>
                <w:rFonts w:cstheme="minorHAnsi"/>
              </w:rPr>
              <w:t>.</w:t>
            </w:r>
          </w:p>
          <w:p w:rsidR="003822C7" w:rsidRDefault="003822C7" w:rsidP="007C097D">
            <w:pPr>
              <w:pStyle w:val="ListParagraph"/>
              <w:keepLines/>
              <w:numPr>
                <w:ilvl w:val="6"/>
                <w:numId w:val="51"/>
              </w:numPr>
              <w:tabs>
                <w:tab w:val="left" w:pos="320"/>
              </w:tabs>
              <w:suppressAutoHyphens w:val="0"/>
              <w:ind w:left="284"/>
              <w:rPr>
                <w:rFonts w:cstheme="minorHAnsi"/>
              </w:rPr>
            </w:pPr>
            <w:r>
              <w:rPr>
                <w:rFonts w:cstheme="minorHAnsi"/>
              </w:rPr>
              <w:t>I</w:t>
            </w:r>
            <w:r w:rsidRPr="000D0F4A">
              <w:rPr>
                <w:rFonts w:cstheme="minorHAnsi"/>
              </w:rPr>
              <w:t xml:space="preserve">f the government does decide to change trailer width, </w:t>
            </w:r>
            <w:r>
              <w:rPr>
                <w:rFonts w:cstheme="minorHAnsi"/>
              </w:rPr>
              <w:t xml:space="preserve">requests that </w:t>
            </w:r>
            <w:r w:rsidRPr="000D0F4A">
              <w:rPr>
                <w:rFonts w:cstheme="minorHAnsi"/>
              </w:rPr>
              <w:t xml:space="preserve">manufacturers who would require retooling </w:t>
            </w:r>
            <w:r>
              <w:rPr>
                <w:rFonts w:cstheme="minorHAnsi"/>
              </w:rPr>
              <w:t xml:space="preserve">are </w:t>
            </w:r>
            <w:r w:rsidRPr="000D0F4A">
              <w:rPr>
                <w:rFonts w:cstheme="minorHAnsi"/>
              </w:rPr>
              <w:t xml:space="preserve">compensated </w:t>
            </w:r>
            <w:r>
              <w:rPr>
                <w:rFonts w:cstheme="minorHAnsi"/>
              </w:rPr>
              <w:t>through</w:t>
            </w:r>
            <w:r w:rsidRPr="000D0F4A">
              <w:rPr>
                <w:rFonts w:cstheme="minorHAnsi"/>
              </w:rPr>
              <w:t xml:space="preserve"> a targeted assistance package to defray the costs of the transition.</w:t>
            </w:r>
          </w:p>
          <w:p w:rsidR="003822C7" w:rsidRPr="007B69DB" w:rsidRDefault="003822C7" w:rsidP="007C097D">
            <w:pPr>
              <w:pStyle w:val="ListParagraph"/>
              <w:keepLines/>
              <w:numPr>
                <w:ilvl w:val="6"/>
                <w:numId w:val="51"/>
              </w:numPr>
              <w:tabs>
                <w:tab w:val="left" w:pos="320"/>
              </w:tabs>
              <w:suppressAutoHyphens w:val="0"/>
              <w:ind w:left="284"/>
              <w:rPr>
                <w:rFonts w:cstheme="minorHAnsi"/>
              </w:rPr>
            </w:pPr>
            <w:r>
              <w:rPr>
                <w:rFonts w:cstheme="minorHAnsi"/>
              </w:rPr>
              <w:t xml:space="preserve">Notes </w:t>
            </w:r>
            <w:r w:rsidRPr="00E807D1">
              <w:rPr>
                <w:rFonts w:cstheme="minorHAnsi"/>
              </w:rPr>
              <w:t>Australian businesses have invested heavily in tooling and systems based on existing ADR</w:t>
            </w:r>
            <w:r>
              <w:rPr>
                <w:rFonts w:cstheme="minorHAnsi"/>
              </w:rPr>
              <w:t xml:space="preserve">s – </w:t>
            </w:r>
            <w:r w:rsidRPr="007B69DB">
              <w:rPr>
                <w:rFonts w:cstheme="minorHAnsi"/>
              </w:rPr>
              <w:t>if this was to change, then many of these businesses will lose or have these investments compromised.</w:t>
            </w:r>
          </w:p>
          <w:p w:rsidR="003822C7" w:rsidRDefault="003822C7" w:rsidP="007C097D">
            <w:pPr>
              <w:pStyle w:val="ListParagraph"/>
              <w:keepLines/>
              <w:numPr>
                <w:ilvl w:val="6"/>
                <w:numId w:val="51"/>
              </w:numPr>
              <w:tabs>
                <w:tab w:val="left" w:pos="320"/>
              </w:tabs>
              <w:suppressAutoHyphens w:val="0"/>
              <w:ind w:left="284"/>
              <w:rPr>
                <w:rFonts w:cstheme="minorHAnsi"/>
              </w:rPr>
            </w:pPr>
            <w:r>
              <w:rPr>
                <w:rFonts w:cstheme="minorHAnsi"/>
              </w:rPr>
              <w:t>Seeks</w:t>
            </w:r>
            <w:r w:rsidRPr="005859A5">
              <w:rPr>
                <w:rFonts w:cstheme="minorHAnsi"/>
              </w:rPr>
              <w:t xml:space="preserve"> an undertaking from Government that no Australian manufacturer will be disadvantaged</w:t>
            </w:r>
            <w:r>
              <w:rPr>
                <w:rFonts w:cstheme="minorHAnsi"/>
              </w:rPr>
              <w:t>.</w:t>
            </w:r>
          </w:p>
          <w:p w:rsidR="003822C7" w:rsidRPr="002B3190" w:rsidRDefault="003822C7" w:rsidP="007C097D">
            <w:pPr>
              <w:pStyle w:val="ListParagraph"/>
              <w:keepLines/>
              <w:numPr>
                <w:ilvl w:val="6"/>
                <w:numId w:val="51"/>
              </w:numPr>
              <w:tabs>
                <w:tab w:val="left" w:pos="320"/>
              </w:tabs>
              <w:suppressAutoHyphens w:val="0"/>
              <w:ind w:left="284"/>
              <w:rPr>
                <w:rFonts w:cstheme="minorHAnsi"/>
              </w:rPr>
            </w:pPr>
            <w:r>
              <w:rPr>
                <w:rFonts w:cstheme="minorHAnsi"/>
              </w:rPr>
              <w:t>C</w:t>
            </w:r>
            <w:r w:rsidRPr="005859A5">
              <w:rPr>
                <w:rFonts w:cstheme="minorHAnsi"/>
              </w:rPr>
              <w:t>hallenge</w:t>
            </w:r>
            <w:r>
              <w:rPr>
                <w:rFonts w:cstheme="minorHAnsi"/>
              </w:rPr>
              <w:t>s</w:t>
            </w:r>
            <w:r w:rsidRPr="005859A5">
              <w:rPr>
                <w:rFonts w:cstheme="minorHAnsi"/>
              </w:rPr>
              <w:t xml:space="preserve"> the Government to quantify the reasons (including the safety and productivity benefits) </w:t>
            </w:r>
            <w:r>
              <w:rPr>
                <w:rFonts w:cstheme="minorHAnsi"/>
              </w:rPr>
              <w:t>relied</w:t>
            </w:r>
            <w:r w:rsidRPr="005859A5">
              <w:rPr>
                <w:rFonts w:cstheme="minorHAnsi"/>
              </w:rPr>
              <w:t xml:space="preserve"> on in making </w:t>
            </w:r>
            <w:r w:rsidR="008F252A">
              <w:rPr>
                <w:rFonts w:cstheme="minorHAnsi"/>
              </w:rPr>
              <w:t>any</w:t>
            </w:r>
            <w:r w:rsidRPr="005859A5">
              <w:rPr>
                <w:rFonts w:cstheme="minorHAnsi"/>
              </w:rPr>
              <w:t xml:space="preserve"> decision</w:t>
            </w:r>
            <w:r w:rsidR="008F252A">
              <w:rPr>
                <w:rFonts w:cstheme="minorHAnsi"/>
              </w:rPr>
              <w:t xml:space="preserve"> to increase the trailer width limit</w:t>
            </w:r>
            <w:r w:rsidRPr="005859A5">
              <w:rPr>
                <w:rFonts w:cstheme="minorHAnsi"/>
              </w:rPr>
              <w:t>.</w:t>
            </w:r>
          </w:p>
        </w:tc>
        <w:tc>
          <w:tcPr>
            <w:tcW w:w="6521" w:type="dxa"/>
            <w:gridSpan w:val="2"/>
          </w:tcPr>
          <w:p w:rsidR="003822C7" w:rsidRDefault="003822C7" w:rsidP="007C097D">
            <w:pPr>
              <w:pStyle w:val="ListParagraph"/>
              <w:keepLines/>
              <w:numPr>
                <w:ilvl w:val="0"/>
                <w:numId w:val="52"/>
              </w:numPr>
              <w:tabs>
                <w:tab w:val="left" w:pos="720"/>
              </w:tabs>
              <w:suppressAutoHyphens w:val="0"/>
              <w:ind w:left="284" w:hanging="284"/>
              <w:rPr>
                <w:rFonts w:cstheme="minorHAnsi"/>
              </w:rPr>
            </w:pPr>
            <w:r>
              <w:rPr>
                <w:rFonts w:cstheme="minorHAnsi"/>
              </w:rPr>
              <w:t>Noted.</w:t>
            </w:r>
          </w:p>
          <w:p w:rsidR="00D77C14" w:rsidRDefault="003822C7" w:rsidP="00D77C14">
            <w:pPr>
              <w:pStyle w:val="ListParagraph"/>
              <w:keepLines/>
              <w:numPr>
                <w:ilvl w:val="0"/>
                <w:numId w:val="52"/>
              </w:numPr>
              <w:tabs>
                <w:tab w:val="left" w:pos="720"/>
              </w:tabs>
              <w:suppressAutoHyphens w:val="0"/>
              <w:ind w:left="284" w:hanging="284"/>
              <w:rPr>
                <w:rFonts w:cstheme="minorHAnsi"/>
              </w:rPr>
            </w:pPr>
            <w:r>
              <w:rPr>
                <w:rFonts w:cstheme="minorHAnsi"/>
              </w:rPr>
              <w:t>Noted.</w:t>
            </w:r>
          </w:p>
          <w:p w:rsidR="00D77C14" w:rsidRPr="00D77C14" w:rsidRDefault="00D75BB3" w:rsidP="00D77C14">
            <w:pPr>
              <w:pStyle w:val="ListParagraph"/>
              <w:keepLines/>
              <w:numPr>
                <w:ilvl w:val="0"/>
                <w:numId w:val="52"/>
              </w:numPr>
              <w:tabs>
                <w:tab w:val="left" w:pos="720"/>
              </w:tabs>
              <w:suppressAutoHyphens w:val="0"/>
              <w:ind w:left="284" w:hanging="284"/>
              <w:rPr>
                <w:rFonts w:cstheme="minorHAnsi"/>
              </w:rPr>
            </w:pPr>
            <w:r w:rsidRPr="00D77C14">
              <w:rPr>
                <w:rFonts w:cstheme="minorHAnsi"/>
              </w:rPr>
              <w:t>Noted</w:t>
            </w:r>
            <w:r w:rsidR="003822C7" w:rsidRPr="00D77C14">
              <w:rPr>
                <w:rFonts w:cstheme="minorHAnsi"/>
              </w:rPr>
              <w:t>.</w:t>
            </w:r>
            <w:r w:rsidRPr="00D77C14">
              <w:rPr>
                <w:rFonts w:cstheme="minorHAnsi"/>
              </w:rPr>
              <w:t xml:space="preserve"> </w:t>
            </w:r>
            <w:r w:rsidR="00D77C14" w:rsidRPr="00D77C14">
              <w:rPr>
                <w:rFonts w:cstheme="minorHAnsi"/>
              </w:rPr>
              <w:t>Consider the substantial market share (over 90% for heavy trailers) for domestic trailer manufacturers has been built on much more than just the width limit. Domestic manufacturers are able to build trailers specifically designed for and well suited to withstand Australian conditions, and can also avoid significant costs to ship large trailers to Australia. Have also not been provided with (or otherwise made aware) of any evidence of where the increase in the width limit for trailers to 2.55 m in NZ has resulted in a significant shift in where trailers are sourced from.</w:t>
            </w:r>
          </w:p>
          <w:p w:rsidR="003822C7" w:rsidRPr="00852F3E" w:rsidRDefault="00D75BB3" w:rsidP="007C097D">
            <w:pPr>
              <w:pStyle w:val="ListParagraph"/>
              <w:keepLines/>
              <w:numPr>
                <w:ilvl w:val="0"/>
                <w:numId w:val="52"/>
              </w:numPr>
              <w:tabs>
                <w:tab w:val="left" w:pos="720"/>
              </w:tabs>
              <w:suppressAutoHyphens w:val="0"/>
              <w:ind w:left="284" w:hanging="284"/>
              <w:rPr>
                <w:rFonts w:cstheme="minorHAnsi"/>
              </w:rPr>
            </w:pPr>
            <w:r w:rsidRPr="00B74502">
              <w:rPr>
                <w:rFonts w:cstheme="minorHAnsi"/>
                <w:szCs w:val="20"/>
              </w:rPr>
              <w:t>Agree most heavy combination vehicles are mass constrained</w:t>
            </w:r>
            <w:r w:rsidR="003822C7" w:rsidRPr="00B74502">
              <w:rPr>
                <w:rFonts w:cstheme="minorHAnsi"/>
                <w:szCs w:val="20"/>
              </w:rPr>
              <w:t>.</w:t>
            </w:r>
            <w:r w:rsidR="00B74502">
              <w:rPr>
                <w:rFonts w:cstheme="minorHAnsi"/>
                <w:szCs w:val="20"/>
              </w:rPr>
              <w:t xml:space="preserve"> Consider any safety risks to be minimal and more than offset by the additional proposed safety requirements.</w:t>
            </w:r>
          </w:p>
          <w:p w:rsidR="003822C7" w:rsidRPr="00AD1C9E" w:rsidRDefault="00AD1C9E" w:rsidP="007C097D">
            <w:pPr>
              <w:pStyle w:val="ListParagraph"/>
              <w:keepLines/>
              <w:numPr>
                <w:ilvl w:val="0"/>
                <w:numId w:val="52"/>
              </w:numPr>
              <w:tabs>
                <w:tab w:val="left" w:pos="720"/>
              </w:tabs>
              <w:suppressAutoHyphens w:val="0"/>
              <w:ind w:left="284" w:hanging="284"/>
              <w:rPr>
                <w:rFonts w:cstheme="minorHAnsi"/>
              </w:rPr>
            </w:pPr>
            <w:r w:rsidRPr="00AD1C9E">
              <w:rPr>
                <w:rFonts w:cstheme="minorHAnsi"/>
              </w:rPr>
              <w:t>The benefit-cost analysis by the ARRB includes benefits and costs from a gradual increase in fitment of side underrun and conspicuity markings, as trailer manufacturers gradually transition to producing more wider trailers under Options 3.1a (2.55</w:t>
            </w:r>
            <w:r w:rsidR="001F7AB9">
              <w:rPr>
                <w:rFonts w:cstheme="minorHAnsi"/>
              </w:rPr>
              <w:t> </w:t>
            </w:r>
            <w:r w:rsidRPr="00AD1C9E">
              <w:rPr>
                <w:rFonts w:cstheme="minorHAnsi"/>
              </w:rPr>
              <w:t>m trucks and trailers) and 3.2a (</w:t>
            </w:r>
            <w:r w:rsidR="00B9347B">
              <w:rPr>
                <w:rFonts w:cstheme="minorHAnsi"/>
              </w:rPr>
              <w:t>2.60</w:t>
            </w:r>
            <w:r w:rsidRPr="00AD1C9E">
              <w:rPr>
                <w:rFonts w:cstheme="minorHAnsi"/>
              </w:rPr>
              <w:t> m trucks and trailers)</w:t>
            </w:r>
            <w:r w:rsidR="00E33A23">
              <w:rPr>
                <w:rFonts w:cstheme="minorHAnsi"/>
              </w:rPr>
              <w:t>, where the fitment is mandatory for these wider trailers</w:t>
            </w:r>
            <w:r w:rsidR="00D944FF" w:rsidRPr="00AD1C9E">
              <w:rPr>
                <w:rFonts w:cstheme="minorHAnsi"/>
              </w:rPr>
              <w:t>.</w:t>
            </w:r>
          </w:p>
          <w:p w:rsidR="003822C7" w:rsidRPr="00376756" w:rsidRDefault="003822C7" w:rsidP="007C097D">
            <w:pPr>
              <w:pStyle w:val="ListParagraph"/>
              <w:numPr>
                <w:ilvl w:val="0"/>
                <w:numId w:val="52"/>
              </w:numPr>
              <w:ind w:left="284" w:hanging="284"/>
              <w:rPr>
                <w:rFonts w:cstheme="minorHAnsi"/>
              </w:rPr>
            </w:pPr>
            <w:r w:rsidRPr="00376756">
              <w:rPr>
                <w:rFonts w:cstheme="minorHAnsi"/>
              </w:rPr>
              <w:t xml:space="preserve">Accepted that these devices can be designed into the </w:t>
            </w:r>
            <w:r>
              <w:rPr>
                <w:rFonts w:cstheme="minorHAnsi"/>
              </w:rPr>
              <w:t>vehicle</w:t>
            </w:r>
            <w:r w:rsidRPr="00376756">
              <w:rPr>
                <w:rFonts w:cstheme="minorHAnsi"/>
              </w:rPr>
              <w:t xml:space="preserve">, so no additional width relative to the current limit is required. The recommended option does not allow these devices to be any wider than </w:t>
            </w:r>
            <w:r w:rsidR="00390E82">
              <w:rPr>
                <w:rFonts w:cstheme="minorHAnsi"/>
              </w:rPr>
              <w:t xml:space="preserve">the current </w:t>
            </w:r>
            <w:r w:rsidRPr="00706329">
              <w:rPr>
                <w:rFonts w:cstheme="minorHAnsi"/>
              </w:rPr>
              <w:t>2.55</w:t>
            </w:r>
            <w:r w:rsidR="00706329" w:rsidRPr="00706329">
              <w:rPr>
                <w:rFonts w:cstheme="minorHAnsi"/>
              </w:rPr>
              <w:t> </w:t>
            </w:r>
            <w:r w:rsidRPr="00376756">
              <w:rPr>
                <w:rFonts w:cstheme="minorHAnsi"/>
              </w:rPr>
              <w:t>m.</w:t>
            </w:r>
          </w:p>
          <w:p w:rsidR="003822C7" w:rsidRPr="00852F3E" w:rsidRDefault="003822C7" w:rsidP="007C097D">
            <w:pPr>
              <w:pStyle w:val="ListParagraph"/>
              <w:keepLines/>
              <w:numPr>
                <w:ilvl w:val="0"/>
                <w:numId w:val="52"/>
              </w:numPr>
              <w:tabs>
                <w:tab w:val="left" w:pos="720"/>
              </w:tabs>
              <w:suppressAutoHyphens w:val="0"/>
              <w:ind w:left="284" w:hanging="284"/>
              <w:rPr>
                <w:rFonts w:cstheme="minorHAnsi"/>
              </w:rPr>
            </w:pPr>
            <w:r w:rsidRPr="00852F3E">
              <w:rPr>
                <w:rFonts w:cstheme="minorHAnsi"/>
              </w:rPr>
              <w:t>Agreed.</w:t>
            </w:r>
          </w:p>
          <w:p w:rsidR="003822C7" w:rsidRPr="00D00B81" w:rsidRDefault="00D944FF" w:rsidP="007C097D">
            <w:pPr>
              <w:pStyle w:val="ListParagraph"/>
              <w:keepLines/>
              <w:numPr>
                <w:ilvl w:val="0"/>
                <w:numId w:val="52"/>
              </w:numPr>
              <w:tabs>
                <w:tab w:val="left" w:pos="720"/>
              </w:tabs>
              <w:suppressAutoHyphens w:val="0"/>
              <w:ind w:left="284" w:hanging="284"/>
              <w:rPr>
                <w:rFonts w:cstheme="minorHAnsi"/>
              </w:rPr>
            </w:pPr>
            <w:r>
              <w:rPr>
                <w:rFonts w:cstheme="minorHAnsi"/>
              </w:rPr>
              <w:t>From the benefit cost analysis by the ARRB the department estimated that increasing the width limit from 2.55</w:t>
            </w:r>
            <w:r w:rsidR="006D6A09">
              <w:rPr>
                <w:rFonts w:cstheme="minorHAnsi"/>
              </w:rPr>
              <w:t> </w:t>
            </w:r>
            <w:r>
              <w:rPr>
                <w:rFonts w:cstheme="minorHAnsi"/>
              </w:rPr>
              <w:t xml:space="preserve">m to </w:t>
            </w:r>
            <w:r w:rsidR="00B9347B">
              <w:rPr>
                <w:rFonts w:cstheme="minorHAnsi"/>
              </w:rPr>
              <w:t>2.60</w:t>
            </w:r>
            <w:r w:rsidR="006D6A09">
              <w:rPr>
                <w:rFonts w:cstheme="minorHAnsi"/>
              </w:rPr>
              <w:t> </w:t>
            </w:r>
            <w:r>
              <w:rPr>
                <w:rFonts w:cstheme="minorHAnsi"/>
              </w:rPr>
              <w:t>m for refrigerated vehicles only would increase the net benefit (relative to Option 3.1a) by around $28 m. A similar scale increase in net benefit is likely for increasing the width limit for refrigerated trailers from 2.5</w:t>
            </w:r>
            <w:r w:rsidR="00B9347B">
              <w:rPr>
                <w:rFonts w:cstheme="minorHAnsi"/>
              </w:rPr>
              <w:t>0</w:t>
            </w:r>
            <w:r>
              <w:rPr>
                <w:rFonts w:cstheme="minorHAnsi"/>
              </w:rPr>
              <w:t> m to 2.55 m.</w:t>
            </w:r>
          </w:p>
          <w:p w:rsidR="003822C7" w:rsidRPr="00852F3E" w:rsidRDefault="00754043" w:rsidP="007C097D">
            <w:pPr>
              <w:pStyle w:val="ListParagraph"/>
              <w:keepLines/>
              <w:numPr>
                <w:ilvl w:val="0"/>
                <w:numId w:val="52"/>
              </w:numPr>
              <w:tabs>
                <w:tab w:val="left" w:pos="720"/>
              </w:tabs>
              <w:suppressAutoHyphens w:val="0"/>
              <w:ind w:left="284" w:hanging="284"/>
              <w:rPr>
                <w:rFonts w:cstheme="minorHAnsi"/>
              </w:rPr>
            </w:pPr>
            <w:r>
              <w:rPr>
                <w:rFonts w:cstheme="minorHAnsi"/>
              </w:rPr>
              <w:t>Further consultation is proposed before any decision to increase the trailer width limit.</w:t>
            </w:r>
          </w:p>
          <w:p w:rsidR="003822C7" w:rsidRPr="008F252A" w:rsidRDefault="00754043" w:rsidP="007C097D">
            <w:pPr>
              <w:pStyle w:val="ListParagraph"/>
              <w:keepLines/>
              <w:numPr>
                <w:ilvl w:val="0"/>
                <w:numId w:val="52"/>
              </w:numPr>
              <w:tabs>
                <w:tab w:val="left" w:pos="720"/>
              </w:tabs>
              <w:suppressAutoHyphens w:val="0"/>
              <w:ind w:left="284" w:hanging="284"/>
              <w:rPr>
                <w:rFonts w:cstheme="minorHAnsi"/>
              </w:rPr>
            </w:pPr>
            <w:r>
              <w:rPr>
                <w:rFonts w:cstheme="minorHAnsi"/>
              </w:rPr>
              <w:t>Further consultation is proposed before any decision to increase the trailer width limit.</w:t>
            </w:r>
          </w:p>
          <w:p w:rsidR="00754043" w:rsidRDefault="00754043" w:rsidP="007C097D">
            <w:pPr>
              <w:pStyle w:val="ListParagraph"/>
              <w:keepLines/>
              <w:numPr>
                <w:ilvl w:val="0"/>
                <w:numId w:val="52"/>
              </w:numPr>
              <w:tabs>
                <w:tab w:val="left" w:pos="720"/>
              </w:tabs>
              <w:suppressAutoHyphens w:val="0"/>
              <w:ind w:left="284" w:hanging="284"/>
              <w:rPr>
                <w:rFonts w:cstheme="minorHAnsi"/>
              </w:rPr>
            </w:pPr>
            <w:r>
              <w:rPr>
                <w:rFonts w:cstheme="minorHAnsi"/>
              </w:rPr>
              <w:t>Further consultation is proposed before any decision to increase the trailer width limit.</w:t>
            </w:r>
          </w:p>
          <w:p w:rsidR="008F252A" w:rsidRPr="00B91469" w:rsidRDefault="00754043" w:rsidP="007C097D">
            <w:pPr>
              <w:pStyle w:val="ListParagraph"/>
              <w:keepLines/>
              <w:numPr>
                <w:ilvl w:val="0"/>
                <w:numId w:val="52"/>
              </w:numPr>
              <w:tabs>
                <w:tab w:val="left" w:pos="720"/>
              </w:tabs>
              <w:suppressAutoHyphens w:val="0"/>
              <w:ind w:left="284" w:hanging="284"/>
              <w:rPr>
                <w:rFonts w:cstheme="minorHAnsi"/>
              </w:rPr>
            </w:pPr>
            <w:r>
              <w:rPr>
                <w:rFonts w:cstheme="minorHAnsi"/>
              </w:rPr>
              <w:t xml:space="preserve">This </w:t>
            </w:r>
            <w:r w:rsidR="00C45600">
              <w:rPr>
                <w:rFonts w:cstheme="minorHAnsi"/>
              </w:rPr>
              <w:t>IA</w:t>
            </w:r>
            <w:r>
              <w:rPr>
                <w:rFonts w:cstheme="minorHAnsi"/>
              </w:rPr>
              <w:t xml:space="preserve"> has been developed to quantify the benefits and costs for each option. There are some study limitations which have been acknowledged in regard to productivity gains (including trip reductions) and infrastructure impacts. Further consultation is proposed before any decision to increase the trailer width limit.</w:t>
            </w:r>
          </w:p>
        </w:tc>
      </w:tr>
      <w:tr w:rsidR="003822C7" w:rsidRPr="007B6E69" w:rsidTr="003822C7">
        <w:tc>
          <w:tcPr>
            <w:tcW w:w="1696" w:type="dxa"/>
          </w:tcPr>
          <w:p w:rsidR="003822C7" w:rsidRPr="007B6E69" w:rsidRDefault="003822C7" w:rsidP="007901FB">
            <w:pPr>
              <w:spacing w:before="120" w:after="120"/>
              <w:rPr>
                <w:rFonts w:cstheme="minorHAnsi"/>
              </w:rPr>
            </w:pPr>
            <w:r w:rsidRPr="007B6E69">
              <w:rPr>
                <w:rFonts w:cstheme="minorHAnsi"/>
              </w:rPr>
              <w:t>Man Truck and Bus</w:t>
            </w:r>
          </w:p>
        </w:tc>
        <w:tc>
          <w:tcPr>
            <w:tcW w:w="6379" w:type="dxa"/>
          </w:tcPr>
          <w:p w:rsidR="003822C7" w:rsidRDefault="003822C7" w:rsidP="007C097D">
            <w:pPr>
              <w:pStyle w:val="ListParagraph"/>
              <w:keepLines/>
              <w:numPr>
                <w:ilvl w:val="0"/>
                <w:numId w:val="54"/>
              </w:numPr>
              <w:tabs>
                <w:tab w:val="left" w:pos="292"/>
              </w:tabs>
              <w:suppressAutoHyphens w:val="0"/>
              <w:ind w:left="284" w:hanging="284"/>
              <w:rPr>
                <w:rFonts w:cstheme="minorHAnsi"/>
              </w:rPr>
            </w:pPr>
            <w:r>
              <w:rPr>
                <w:rFonts w:cstheme="minorHAnsi"/>
              </w:rPr>
              <w:t xml:space="preserve">Recommends adopting a 2.55 m width limit for vehicles and trailers in general analog to the EU </w:t>
            </w:r>
            <w:r w:rsidRPr="00C004EF">
              <w:rPr>
                <w:rFonts w:cstheme="minorHAnsi"/>
              </w:rPr>
              <w:t>(</w:t>
            </w:r>
            <w:r>
              <w:rPr>
                <w:rFonts w:cstheme="minorHAnsi"/>
              </w:rPr>
              <w:t xml:space="preserve">notes </w:t>
            </w:r>
            <w:r w:rsidRPr="00C004EF">
              <w:rPr>
                <w:rFonts w:cstheme="minorHAnsi"/>
              </w:rPr>
              <w:t>2.60</w:t>
            </w:r>
            <w:r>
              <w:rPr>
                <w:rFonts w:cstheme="minorHAnsi"/>
              </w:rPr>
              <w:t> </w:t>
            </w:r>
            <w:r w:rsidRPr="00C004EF">
              <w:rPr>
                <w:rFonts w:cstheme="minorHAnsi"/>
              </w:rPr>
              <w:t>m for refrigerated trucks and trailers are a special case)</w:t>
            </w:r>
            <w:r>
              <w:rPr>
                <w:rFonts w:cstheme="minorHAnsi"/>
              </w:rPr>
              <w:t>.</w:t>
            </w:r>
          </w:p>
          <w:p w:rsidR="003822C7" w:rsidRDefault="003822C7" w:rsidP="007C097D">
            <w:pPr>
              <w:pStyle w:val="ListParagraph"/>
              <w:keepLines/>
              <w:numPr>
                <w:ilvl w:val="0"/>
                <w:numId w:val="54"/>
              </w:numPr>
              <w:tabs>
                <w:tab w:val="left" w:pos="292"/>
              </w:tabs>
              <w:suppressAutoHyphens w:val="0"/>
              <w:ind w:left="284" w:hanging="284"/>
              <w:rPr>
                <w:rFonts w:cstheme="minorHAnsi"/>
              </w:rPr>
            </w:pPr>
            <w:r>
              <w:rPr>
                <w:rFonts w:cstheme="minorHAnsi"/>
              </w:rPr>
              <w:t>Recommends decoupling the [additional] proposed safety requirements from vehicle width.</w:t>
            </w:r>
          </w:p>
          <w:p w:rsidR="003822C7" w:rsidRDefault="003822C7" w:rsidP="007C097D">
            <w:pPr>
              <w:pStyle w:val="ListParagraph"/>
              <w:keepLines/>
              <w:numPr>
                <w:ilvl w:val="0"/>
                <w:numId w:val="54"/>
              </w:numPr>
              <w:tabs>
                <w:tab w:val="left" w:pos="292"/>
              </w:tabs>
              <w:suppressAutoHyphens w:val="0"/>
              <w:ind w:left="284" w:hanging="284"/>
              <w:rPr>
                <w:rFonts w:cstheme="minorHAnsi"/>
              </w:rPr>
            </w:pPr>
            <w:r>
              <w:rPr>
                <w:rFonts w:cstheme="minorHAnsi"/>
              </w:rPr>
              <w:t>Argues it will be difficult to install all the [additional] proposed safety systems on tractors for semi-trailers, concrete mixers, crane trucks, road sweepers etc.</w:t>
            </w:r>
          </w:p>
          <w:p w:rsidR="003822C7" w:rsidRDefault="003822C7" w:rsidP="007C097D">
            <w:pPr>
              <w:pStyle w:val="ListParagraph"/>
              <w:keepLines/>
              <w:numPr>
                <w:ilvl w:val="0"/>
                <w:numId w:val="54"/>
              </w:numPr>
              <w:tabs>
                <w:tab w:val="left" w:pos="292"/>
              </w:tabs>
              <w:suppressAutoHyphens w:val="0"/>
              <w:ind w:left="284" w:hanging="284"/>
              <w:rPr>
                <w:rFonts w:cstheme="minorHAnsi"/>
              </w:rPr>
            </w:pPr>
            <w:r>
              <w:rPr>
                <w:rFonts w:cstheme="minorHAnsi"/>
              </w:rPr>
              <w:t>Recommends if the proposal is going to be adopted in its current form that requirements for the additional proposed safety systems be applied based on vehicle purpose.</w:t>
            </w:r>
          </w:p>
          <w:p w:rsidR="003822C7" w:rsidRPr="00C004EF" w:rsidRDefault="003822C7" w:rsidP="007C097D">
            <w:pPr>
              <w:pStyle w:val="ListParagraph"/>
              <w:keepLines/>
              <w:numPr>
                <w:ilvl w:val="0"/>
                <w:numId w:val="54"/>
              </w:numPr>
              <w:tabs>
                <w:tab w:val="left" w:pos="292"/>
              </w:tabs>
              <w:suppressAutoHyphens w:val="0"/>
              <w:ind w:left="284" w:hanging="284"/>
              <w:rPr>
                <w:rFonts w:cstheme="minorHAnsi"/>
              </w:rPr>
            </w:pPr>
            <w:r>
              <w:rPr>
                <w:rFonts w:cstheme="minorHAnsi"/>
              </w:rPr>
              <w:t xml:space="preserve">Welcomes the proposal to exclude </w:t>
            </w:r>
            <w:r w:rsidRPr="00AD679F">
              <w:rPr>
                <w:rFonts w:cstheme="minorHAnsi"/>
                <w:szCs w:val="20"/>
              </w:rPr>
              <w:t>enhanced devices for indirect vision and monitoring devices to detect other road users from vehicle width and length measurements.</w:t>
            </w:r>
          </w:p>
        </w:tc>
        <w:tc>
          <w:tcPr>
            <w:tcW w:w="6521" w:type="dxa"/>
            <w:gridSpan w:val="2"/>
          </w:tcPr>
          <w:p w:rsidR="003822C7" w:rsidRDefault="003822C7" w:rsidP="00E248BF">
            <w:pPr>
              <w:pStyle w:val="ListParagraph"/>
              <w:keepLines/>
              <w:numPr>
                <w:ilvl w:val="6"/>
                <w:numId w:val="57"/>
              </w:numPr>
              <w:tabs>
                <w:tab w:val="left" w:pos="720"/>
              </w:tabs>
              <w:suppressAutoHyphens w:val="0"/>
              <w:ind w:left="284" w:hanging="284"/>
              <w:rPr>
                <w:rFonts w:cstheme="minorHAnsi"/>
              </w:rPr>
            </w:pPr>
            <w:r>
              <w:rPr>
                <w:rFonts w:cstheme="minorHAnsi"/>
              </w:rPr>
              <w:t>Noted.</w:t>
            </w:r>
          </w:p>
          <w:p w:rsidR="003822C7" w:rsidRPr="00014D1D" w:rsidRDefault="00014D1D" w:rsidP="00E248BF">
            <w:pPr>
              <w:pStyle w:val="ListParagraph"/>
              <w:keepLines/>
              <w:numPr>
                <w:ilvl w:val="6"/>
                <w:numId w:val="57"/>
              </w:numPr>
              <w:tabs>
                <w:tab w:val="left" w:pos="720"/>
              </w:tabs>
              <w:suppressAutoHyphens w:val="0"/>
              <w:ind w:left="284" w:hanging="284"/>
              <w:rPr>
                <w:rFonts w:cstheme="minorHAnsi"/>
              </w:rPr>
            </w:pPr>
            <w:r w:rsidRPr="00AD4C1A">
              <w:rPr>
                <w:rFonts w:cstheme="minorHAnsi"/>
              </w:rPr>
              <w:t xml:space="preserve">Requiring wider freight vehicles to be fitted with a package of safety technologies covered by UN Regulations is a key part of the agreement with jurisdictions and other stakeholders to pursue this reform – </w:t>
            </w:r>
            <w:r w:rsidR="00D92DD3">
              <w:rPr>
                <w:rFonts w:cstheme="minorHAnsi"/>
              </w:rPr>
              <w:t xml:space="preserve">it </w:t>
            </w:r>
            <w:r w:rsidRPr="00014D1D">
              <w:rPr>
                <w:rFonts w:cstheme="minorHAnsi"/>
              </w:rPr>
              <w:t>is important to preserve this agreement</w:t>
            </w:r>
            <w:r>
              <w:rPr>
                <w:rFonts w:cstheme="minorHAnsi"/>
              </w:rPr>
              <w:t>.</w:t>
            </w:r>
          </w:p>
          <w:p w:rsidR="003822C7" w:rsidRPr="00014D1D" w:rsidRDefault="00014D1D" w:rsidP="00E248BF">
            <w:pPr>
              <w:pStyle w:val="ListParagraph"/>
              <w:keepLines/>
              <w:numPr>
                <w:ilvl w:val="6"/>
                <w:numId w:val="57"/>
              </w:numPr>
              <w:tabs>
                <w:tab w:val="left" w:pos="720"/>
              </w:tabs>
              <w:suppressAutoHyphens w:val="0"/>
              <w:ind w:left="284" w:hanging="284"/>
              <w:rPr>
                <w:rFonts w:cstheme="minorHAnsi"/>
              </w:rPr>
            </w:pPr>
            <w:r w:rsidRPr="00AD4C1A">
              <w:rPr>
                <w:rFonts w:cstheme="minorHAnsi"/>
              </w:rPr>
              <w:t>Agree some exemptions/</w:t>
            </w:r>
            <w:r w:rsidR="00487FEF">
              <w:rPr>
                <w:rFonts w:cstheme="minorHAnsi"/>
              </w:rPr>
              <w:t>relax</w:t>
            </w:r>
            <w:r w:rsidRPr="00AD4C1A">
              <w:rPr>
                <w:rFonts w:cstheme="minorHAnsi"/>
              </w:rPr>
              <w:t>ations are needed for particular vehicle types and/or variants</w:t>
            </w:r>
            <w:r w:rsidR="003822C7" w:rsidRPr="00AD4C1A">
              <w:rPr>
                <w:rFonts w:cstheme="minorHAnsi"/>
              </w:rPr>
              <w:t>.</w:t>
            </w:r>
            <w:r w:rsidRPr="00AD4C1A">
              <w:rPr>
                <w:rFonts w:cstheme="minorHAnsi"/>
              </w:rPr>
              <w:t xml:space="preserve"> AEB, ESC, and LDWS would not be required for vehicles with four or more axles</w:t>
            </w:r>
            <w:r w:rsidR="00D5686F" w:rsidRPr="00AD4C1A">
              <w:rPr>
                <w:rFonts w:cstheme="minorHAnsi"/>
              </w:rPr>
              <w:t xml:space="preserve"> and vehicles designed for off-road use. </w:t>
            </w:r>
            <w:r w:rsidR="00E608B3" w:rsidRPr="00AD4C1A">
              <w:rPr>
                <w:rFonts w:cstheme="minorHAnsi"/>
              </w:rPr>
              <w:t>LPDs for s</w:t>
            </w:r>
            <w:r w:rsidR="00D5686F" w:rsidRPr="00AD4C1A">
              <w:rPr>
                <w:rFonts w:cstheme="minorHAnsi"/>
              </w:rPr>
              <w:t>ide underrun protection would not be required for tractors for semi-trailers (prime movers)</w:t>
            </w:r>
            <w:r w:rsidR="00E608B3" w:rsidRPr="00AD4C1A">
              <w:rPr>
                <w:rFonts w:cstheme="minorHAnsi"/>
              </w:rPr>
              <w:t xml:space="preserve">, and </w:t>
            </w:r>
            <w:r w:rsidR="00D5686F" w:rsidRPr="00AD4C1A">
              <w:rPr>
                <w:rFonts w:cstheme="minorHAnsi"/>
              </w:rPr>
              <w:t xml:space="preserve">derogations </w:t>
            </w:r>
            <w:r w:rsidR="00CB55F4" w:rsidRPr="00AD4C1A">
              <w:rPr>
                <w:rFonts w:cstheme="minorHAnsi"/>
              </w:rPr>
              <w:t>would apply to allow additional gaps for the movement of cranes and/or extendible support legs</w:t>
            </w:r>
            <w:r w:rsidR="00E608B3" w:rsidRPr="00AD4C1A">
              <w:rPr>
                <w:rFonts w:cstheme="minorHAnsi"/>
              </w:rPr>
              <w:t>, as well as other equipment fitted to special purpose vehicles (e.g. garbage bin loaders).</w:t>
            </w:r>
          </w:p>
          <w:p w:rsidR="003822C7" w:rsidRPr="00BB3331" w:rsidRDefault="00B725D2" w:rsidP="00E248BF">
            <w:pPr>
              <w:pStyle w:val="ListParagraph"/>
              <w:keepLines/>
              <w:numPr>
                <w:ilvl w:val="6"/>
                <w:numId w:val="57"/>
              </w:numPr>
              <w:tabs>
                <w:tab w:val="left" w:pos="720"/>
              </w:tabs>
              <w:suppressAutoHyphens w:val="0"/>
              <w:ind w:left="284" w:hanging="284"/>
              <w:rPr>
                <w:rFonts w:cstheme="minorHAnsi"/>
              </w:rPr>
            </w:pPr>
            <w:r>
              <w:rPr>
                <w:rFonts w:cstheme="minorHAnsi"/>
              </w:rPr>
              <w:t>T</w:t>
            </w:r>
            <w:r w:rsidR="005209CB" w:rsidRPr="005209CB">
              <w:rPr>
                <w:rFonts w:cstheme="minorHAnsi"/>
              </w:rPr>
              <w:t xml:space="preserve">he ADRs do not </w:t>
            </w:r>
            <w:r>
              <w:rPr>
                <w:rFonts w:cstheme="minorHAnsi"/>
              </w:rPr>
              <w:t xml:space="preserve">usually </w:t>
            </w:r>
            <w:r w:rsidR="005209CB" w:rsidRPr="005209CB">
              <w:rPr>
                <w:rFonts w:cstheme="minorHAnsi"/>
              </w:rPr>
              <w:t>set design requirements based on how a vehicle will be used in service</w:t>
            </w:r>
            <w:r>
              <w:rPr>
                <w:rFonts w:cstheme="minorHAnsi"/>
              </w:rPr>
              <w:t>.</w:t>
            </w:r>
            <w:r w:rsidR="005209CB" w:rsidRPr="005209CB">
              <w:rPr>
                <w:rFonts w:cstheme="minorHAnsi"/>
              </w:rPr>
              <w:t xml:space="preserve"> </w:t>
            </w:r>
            <w:r w:rsidR="007F0F5C" w:rsidRPr="00AD4C1A">
              <w:rPr>
                <w:rFonts w:cstheme="minorHAnsi"/>
              </w:rPr>
              <w:t xml:space="preserve">This would only be viable through </w:t>
            </w:r>
            <w:r w:rsidR="00D92DD3" w:rsidRPr="00AD4C1A">
              <w:rPr>
                <w:rFonts w:cstheme="minorHAnsi"/>
              </w:rPr>
              <w:t xml:space="preserve">the inclusion of specific </w:t>
            </w:r>
            <w:r w:rsidR="007F0F5C" w:rsidRPr="00AD4C1A">
              <w:rPr>
                <w:rFonts w:cstheme="minorHAnsi"/>
              </w:rPr>
              <w:t xml:space="preserve">exemptions and/or relaxations for vehicles with </w:t>
            </w:r>
            <w:r w:rsidR="004E15FF" w:rsidRPr="00AD4C1A">
              <w:rPr>
                <w:rFonts w:cstheme="minorHAnsi"/>
              </w:rPr>
              <w:t>particular</w:t>
            </w:r>
            <w:r w:rsidR="00697B2A" w:rsidRPr="00AD4C1A">
              <w:rPr>
                <w:rFonts w:cstheme="minorHAnsi"/>
              </w:rPr>
              <w:t xml:space="preserve"> design features</w:t>
            </w:r>
            <w:r w:rsidR="00D92DD3" w:rsidRPr="00AD4C1A">
              <w:rPr>
                <w:rFonts w:cstheme="minorHAnsi"/>
              </w:rPr>
              <w:t xml:space="preserve"> (e.g. extendible support legs) in the relevant standards</w:t>
            </w:r>
            <w:r w:rsidR="00697B2A" w:rsidRPr="00AD4C1A">
              <w:rPr>
                <w:rFonts w:cstheme="minorHAnsi"/>
              </w:rPr>
              <w:t xml:space="preserve">, and should be </w:t>
            </w:r>
            <w:r w:rsidR="00F32D28" w:rsidRPr="00AD4C1A">
              <w:rPr>
                <w:rFonts w:cstheme="minorHAnsi"/>
              </w:rPr>
              <w:t>limited to</w:t>
            </w:r>
            <w:r w:rsidR="00BB3331" w:rsidRPr="00AD4C1A">
              <w:rPr>
                <w:rFonts w:cstheme="minorHAnsi"/>
              </w:rPr>
              <w:t xml:space="preserve"> </w:t>
            </w:r>
            <w:r w:rsidR="004E15FF" w:rsidRPr="00AD4C1A">
              <w:rPr>
                <w:rFonts w:cstheme="minorHAnsi"/>
              </w:rPr>
              <w:t>targeted cases</w:t>
            </w:r>
            <w:r w:rsidR="00BB3331" w:rsidRPr="00AD4C1A">
              <w:rPr>
                <w:rFonts w:cstheme="minorHAnsi"/>
              </w:rPr>
              <w:t xml:space="preserve"> </w:t>
            </w:r>
            <w:r w:rsidR="00F32D28" w:rsidRPr="00AD4C1A">
              <w:rPr>
                <w:rFonts w:cstheme="minorHAnsi"/>
              </w:rPr>
              <w:t>for which</w:t>
            </w:r>
            <w:r w:rsidR="00697B2A" w:rsidRPr="00AD4C1A">
              <w:rPr>
                <w:rFonts w:cstheme="minorHAnsi"/>
              </w:rPr>
              <w:t xml:space="preserve"> </w:t>
            </w:r>
            <w:r w:rsidR="00BB3331" w:rsidRPr="00AD4C1A">
              <w:rPr>
                <w:rFonts w:cstheme="minorHAnsi"/>
              </w:rPr>
              <w:t xml:space="preserve">such </w:t>
            </w:r>
            <w:r w:rsidR="00F32D28" w:rsidRPr="00AD4C1A">
              <w:rPr>
                <w:rFonts w:cstheme="minorHAnsi"/>
              </w:rPr>
              <w:t xml:space="preserve">exemptions or relaxations </w:t>
            </w:r>
            <w:r w:rsidR="00BB3331" w:rsidRPr="00AD4C1A">
              <w:rPr>
                <w:rFonts w:cstheme="minorHAnsi"/>
              </w:rPr>
              <w:t xml:space="preserve">would </w:t>
            </w:r>
            <w:r w:rsidR="006E289D">
              <w:rPr>
                <w:rFonts w:cstheme="minorHAnsi"/>
              </w:rPr>
              <w:t xml:space="preserve">be likely to </w:t>
            </w:r>
            <w:r w:rsidR="00F32D28" w:rsidRPr="00AD4C1A">
              <w:rPr>
                <w:rFonts w:cstheme="minorHAnsi"/>
              </w:rPr>
              <w:t xml:space="preserve">have no more than a minor </w:t>
            </w:r>
            <w:r w:rsidR="004E15FF" w:rsidRPr="00AD4C1A">
              <w:rPr>
                <w:rFonts w:cstheme="minorHAnsi"/>
              </w:rPr>
              <w:t xml:space="preserve">regulatory </w:t>
            </w:r>
            <w:r w:rsidR="00F32D28" w:rsidRPr="00AD4C1A">
              <w:rPr>
                <w:rFonts w:cstheme="minorHAnsi"/>
              </w:rPr>
              <w:t>impact</w:t>
            </w:r>
            <w:r w:rsidR="005D7016">
              <w:rPr>
                <w:rFonts w:cstheme="minorHAnsi"/>
              </w:rPr>
              <w:t xml:space="preserve">, </w:t>
            </w:r>
            <w:r w:rsidR="00461615">
              <w:rPr>
                <w:rFonts w:cstheme="minorHAnsi"/>
                <w:szCs w:val="20"/>
              </w:rPr>
              <w:t xml:space="preserve">or </w:t>
            </w:r>
            <w:r w:rsidR="00461615">
              <w:rPr>
                <w:rFonts w:cstheme="minorHAnsi"/>
              </w:rPr>
              <w:t>that an LPD would be incompatible with the vehicle design use</w:t>
            </w:r>
            <w:r w:rsidR="005D7016">
              <w:rPr>
                <w:rFonts w:cstheme="minorHAnsi"/>
              </w:rPr>
              <w:t>.</w:t>
            </w:r>
          </w:p>
          <w:p w:rsidR="003822C7" w:rsidRPr="00BB4E5B" w:rsidRDefault="003822C7" w:rsidP="00E248BF">
            <w:pPr>
              <w:pStyle w:val="ListParagraph"/>
              <w:keepLines/>
              <w:numPr>
                <w:ilvl w:val="6"/>
                <w:numId w:val="57"/>
              </w:numPr>
              <w:tabs>
                <w:tab w:val="left" w:pos="720"/>
              </w:tabs>
              <w:suppressAutoHyphens w:val="0"/>
              <w:ind w:left="284" w:hanging="284"/>
              <w:rPr>
                <w:rFonts w:cstheme="minorHAnsi"/>
              </w:rPr>
            </w:pPr>
            <w:r w:rsidRPr="00BB4E5B">
              <w:rPr>
                <w:rFonts w:cstheme="minorHAnsi"/>
              </w:rPr>
              <w:t>Noted.</w:t>
            </w:r>
          </w:p>
        </w:tc>
      </w:tr>
      <w:tr w:rsidR="003822C7" w:rsidRPr="007B6E69" w:rsidTr="003822C7">
        <w:tc>
          <w:tcPr>
            <w:tcW w:w="1696" w:type="dxa"/>
          </w:tcPr>
          <w:p w:rsidR="003822C7" w:rsidRPr="007B6E69" w:rsidRDefault="003822C7" w:rsidP="00637CF5">
            <w:pPr>
              <w:spacing w:before="120" w:after="120"/>
              <w:rPr>
                <w:rFonts w:cstheme="minorHAnsi"/>
              </w:rPr>
            </w:pPr>
            <w:r w:rsidRPr="007B6E69">
              <w:rPr>
                <w:rFonts w:cstheme="minorHAnsi"/>
              </w:rPr>
              <w:t>Maxitrans</w:t>
            </w:r>
          </w:p>
        </w:tc>
        <w:tc>
          <w:tcPr>
            <w:tcW w:w="6379" w:type="dxa"/>
          </w:tcPr>
          <w:p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Recommends that h</w:t>
            </w:r>
            <w:r w:rsidRPr="00D80B35">
              <w:rPr>
                <w:rFonts w:cstheme="minorHAnsi"/>
              </w:rPr>
              <w:t xml:space="preserve">eavy tailers </w:t>
            </w:r>
            <w:r>
              <w:rPr>
                <w:rFonts w:cstheme="minorHAnsi"/>
              </w:rPr>
              <w:t>b</w:t>
            </w:r>
            <w:r w:rsidRPr="00D80B35">
              <w:rPr>
                <w:rFonts w:cstheme="minorHAnsi"/>
              </w:rPr>
              <w:t>e excluded from the proposed width changes.</w:t>
            </w:r>
          </w:p>
          <w:p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 xml:space="preserve">Considers the proposed changes </w:t>
            </w:r>
            <w:r w:rsidRPr="007134DD">
              <w:rPr>
                <w:rFonts w:cstheme="minorHAnsi"/>
              </w:rPr>
              <w:t>to favour foreign producers entering the market, whilst introducing</w:t>
            </w:r>
            <w:r>
              <w:rPr>
                <w:rFonts w:cstheme="minorHAnsi"/>
              </w:rPr>
              <w:t xml:space="preserve"> </w:t>
            </w:r>
            <w:r w:rsidRPr="007134DD">
              <w:rPr>
                <w:rFonts w:cstheme="minorHAnsi"/>
              </w:rPr>
              <w:t>more complexity, cost, and uncertainty for domestic producers.</w:t>
            </w:r>
          </w:p>
          <w:p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Is disappointed</w:t>
            </w:r>
            <w:r w:rsidRPr="00EE76F0">
              <w:rPr>
                <w:rFonts w:cstheme="minorHAnsi"/>
              </w:rPr>
              <w:t xml:space="preserve"> that the discussion paper does not reflect, or even mention, the potential</w:t>
            </w:r>
            <w:r>
              <w:rPr>
                <w:rFonts w:cstheme="minorHAnsi"/>
              </w:rPr>
              <w:t xml:space="preserve"> i</w:t>
            </w:r>
            <w:r w:rsidRPr="00EE76F0">
              <w:rPr>
                <w:rFonts w:cstheme="minorHAnsi"/>
              </w:rPr>
              <w:t>mplications that the proposed changes would introduce to the competitive environment, or the</w:t>
            </w:r>
            <w:r>
              <w:rPr>
                <w:rFonts w:cstheme="minorHAnsi"/>
              </w:rPr>
              <w:t xml:space="preserve"> </w:t>
            </w:r>
            <w:r w:rsidRPr="00EE76F0">
              <w:rPr>
                <w:rFonts w:cstheme="minorHAnsi"/>
              </w:rPr>
              <w:t>adverse impact on the Australian heavy trailer manufacturing industry.</w:t>
            </w:r>
          </w:p>
          <w:p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 xml:space="preserve">Notes </w:t>
            </w:r>
            <w:r w:rsidRPr="00EE76F0">
              <w:rPr>
                <w:rFonts w:cstheme="minorHAnsi"/>
              </w:rPr>
              <w:t>the total annual market of heavy trailers in Australia is less than the annual production of</w:t>
            </w:r>
            <w:r>
              <w:rPr>
                <w:rFonts w:cstheme="minorHAnsi"/>
              </w:rPr>
              <w:t xml:space="preserve"> </w:t>
            </w:r>
            <w:r w:rsidRPr="00EE76F0">
              <w:rPr>
                <w:rFonts w:cstheme="minorHAnsi"/>
              </w:rPr>
              <w:t>some individual companies in Europe, Asia, and North America</w:t>
            </w:r>
            <w:r>
              <w:rPr>
                <w:rFonts w:cstheme="minorHAnsi"/>
              </w:rPr>
              <w:t>.</w:t>
            </w:r>
          </w:p>
          <w:p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R</w:t>
            </w:r>
            <w:r w:rsidRPr="00E1462D">
              <w:rPr>
                <w:rFonts w:cstheme="minorHAnsi"/>
              </w:rPr>
              <w:t>ecognises that increasing “globalisation” is inevitable and strongly believes that</w:t>
            </w:r>
            <w:r>
              <w:rPr>
                <w:rFonts w:cstheme="minorHAnsi"/>
              </w:rPr>
              <w:t xml:space="preserve"> </w:t>
            </w:r>
            <w:r w:rsidRPr="00E1462D">
              <w:rPr>
                <w:rFonts w:cstheme="minorHAnsi"/>
              </w:rPr>
              <w:t>government regulatory changes that open markets should be balanced with industry support to</w:t>
            </w:r>
            <w:r>
              <w:rPr>
                <w:rFonts w:cstheme="minorHAnsi"/>
              </w:rPr>
              <w:t xml:space="preserve"> </w:t>
            </w:r>
            <w:r w:rsidRPr="00E1462D">
              <w:rPr>
                <w:rFonts w:cstheme="minorHAnsi"/>
              </w:rPr>
              <w:t>assist affected industries.</w:t>
            </w:r>
          </w:p>
          <w:p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Believes a</w:t>
            </w:r>
            <w:r w:rsidRPr="00E1462D">
              <w:rPr>
                <w:rFonts w:cstheme="minorHAnsi"/>
              </w:rPr>
              <w:t>ddressing increased international competition will be a significant</w:t>
            </w:r>
            <w:r>
              <w:rPr>
                <w:rFonts w:cstheme="minorHAnsi"/>
              </w:rPr>
              <w:t xml:space="preserve"> </w:t>
            </w:r>
            <w:r w:rsidRPr="00E1462D">
              <w:rPr>
                <w:rFonts w:cstheme="minorHAnsi"/>
              </w:rPr>
              <w:t>challenge to Australian heavy trailer manufacturers</w:t>
            </w:r>
            <w:r>
              <w:rPr>
                <w:rFonts w:cstheme="minorHAnsi"/>
              </w:rPr>
              <w:t xml:space="preserve"> – </w:t>
            </w:r>
            <w:r w:rsidRPr="00A552FE">
              <w:rPr>
                <w:rFonts w:cstheme="minorHAnsi"/>
              </w:rPr>
              <w:t>having to adapt in a short time frame, in the face of foreign suppliers who either have comparatively low labour rates, and/or large home market volumes, has the potential to decimate heavy trailer manufacturing in Australia.</w:t>
            </w:r>
          </w:p>
          <w:p w:rsidR="003822C7" w:rsidRPr="00A552FE"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Argues that changing t</w:t>
            </w:r>
            <w:r w:rsidRPr="00A552FE">
              <w:rPr>
                <w:rFonts w:cstheme="minorHAnsi"/>
              </w:rPr>
              <w:t>he widths of trailers is not a simple design and manufacturing change</w:t>
            </w:r>
            <w:r>
              <w:rPr>
                <w:rFonts w:cstheme="minorHAnsi"/>
              </w:rPr>
              <w:t xml:space="preserve"> – claims t</w:t>
            </w:r>
            <w:r w:rsidRPr="00A552FE">
              <w:rPr>
                <w:rFonts w:cstheme="minorHAnsi"/>
              </w:rPr>
              <w:t>he</w:t>
            </w:r>
            <w:r>
              <w:rPr>
                <w:rFonts w:cstheme="minorHAnsi"/>
              </w:rPr>
              <w:t xml:space="preserve"> </w:t>
            </w:r>
            <w:r w:rsidRPr="00A552FE">
              <w:rPr>
                <w:rFonts w:cstheme="minorHAnsi"/>
              </w:rPr>
              <w:t>implementation costs will run into several million dollars in design changes, modelling, engineering, tooling, jigging, sourcing, and supplier costs.</w:t>
            </w:r>
          </w:p>
          <w:p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 xml:space="preserve">Is concerned about the addition of </w:t>
            </w:r>
            <w:r w:rsidRPr="009579D8">
              <w:rPr>
                <w:rFonts w:cstheme="minorHAnsi"/>
              </w:rPr>
              <w:t>further uncertainty and/or complexity into the regulatory environment</w:t>
            </w:r>
            <w:r>
              <w:rPr>
                <w:rFonts w:cstheme="minorHAnsi"/>
              </w:rPr>
              <w:t xml:space="preserve">, including the possibility of different new and used trailer widths, and that an increase to 2.55 m could be followed in a short period by an increase to </w:t>
            </w:r>
            <w:r w:rsidR="00B9347B">
              <w:rPr>
                <w:rFonts w:cstheme="minorHAnsi"/>
              </w:rPr>
              <w:t>2.60</w:t>
            </w:r>
            <w:r>
              <w:rPr>
                <w:rFonts w:cstheme="minorHAnsi"/>
              </w:rPr>
              <w:t> m.</w:t>
            </w:r>
          </w:p>
          <w:p w:rsidR="003822C7" w:rsidRPr="00C42FA6"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Notes b</w:t>
            </w:r>
            <w:r w:rsidRPr="00C42FA6">
              <w:rPr>
                <w:rFonts w:cstheme="minorHAnsi"/>
              </w:rPr>
              <w:t>usinesses require some certainty to determine investment priorities and deliver outcomes</w:t>
            </w:r>
            <w:r>
              <w:rPr>
                <w:rFonts w:cstheme="minorHAnsi"/>
              </w:rPr>
              <w:t xml:space="preserve"> – </w:t>
            </w:r>
            <w:r w:rsidRPr="00C42FA6">
              <w:rPr>
                <w:rFonts w:cstheme="minorHAnsi"/>
              </w:rPr>
              <w:t>investment horizons extend over many years and need to assume some baseline in the</w:t>
            </w:r>
            <w:r>
              <w:rPr>
                <w:rFonts w:cstheme="minorHAnsi"/>
              </w:rPr>
              <w:t xml:space="preserve"> </w:t>
            </w:r>
            <w:r w:rsidRPr="00C42FA6">
              <w:rPr>
                <w:rFonts w:cstheme="minorHAnsi"/>
              </w:rPr>
              <w:t>environment, including the regulatory framework</w:t>
            </w:r>
            <w:r>
              <w:rPr>
                <w:rFonts w:cstheme="minorHAnsi"/>
              </w:rPr>
              <w:t>.</w:t>
            </w:r>
          </w:p>
          <w:p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 xml:space="preserve">Believes </w:t>
            </w:r>
            <w:r w:rsidRPr="00D80B35">
              <w:rPr>
                <w:rFonts w:cstheme="minorHAnsi"/>
              </w:rPr>
              <w:t>that current PBS processes could be used to implement increased</w:t>
            </w:r>
            <w:r>
              <w:rPr>
                <w:rFonts w:cstheme="minorHAnsi"/>
              </w:rPr>
              <w:t xml:space="preserve"> </w:t>
            </w:r>
            <w:r w:rsidRPr="00D80B35">
              <w:rPr>
                <w:rFonts w:cstheme="minorHAnsi"/>
              </w:rPr>
              <w:t>widths on heavy trailers, including refrigerated trailers</w:t>
            </w:r>
            <w:r>
              <w:rPr>
                <w:rFonts w:cstheme="minorHAnsi"/>
              </w:rPr>
              <w:t xml:space="preserve"> – t</w:t>
            </w:r>
            <w:r w:rsidRPr="00D80B35">
              <w:rPr>
                <w:rFonts w:cstheme="minorHAnsi"/>
              </w:rPr>
              <w:t>his path offers the opportunity to</w:t>
            </w:r>
            <w:r>
              <w:rPr>
                <w:rFonts w:cstheme="minorHAnsi"/>
              </w:rPr>
              <w:t xml:space="preserve"> </w:t>
            </w:r>
            <w:r w:rsidRPr="00D80B35">
              <w:rPr>
                <w:rFonts w:cstheme="minorHAnsi"/>
              </w:rPr>
              <w:t>test assumptions around economic and operational benefit before irreversibly mandating an</w:t>
            </w:r>
            <w:r>
              <w:rPr>
                <w:rFonts w:cstheme="minorHAnsi"/>
              </w:rPr>
              <w:t xml:space="preserve"> </w:t>
            </w:r>
            <w:r w:rsidRPr="00D80B35">
              <w:rPr>
                <w:rFonts w:cstheme="minorHAnsi"/>
              </w:rPr>
              <w:t>outcome.</w:t>
            </w:r>
          </w:p>
          <w:p w:rsidR="003822C7" w:rsidRPr="00EC72D6"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Notes m</w:t>
            </w:r>
            <w:r w:rsidRPr="00582044">
              <w:rPr>
                <w:rFonts w:cstheme="minorHAnsi"/>
              </w:rPr>
              <w:t>any trailer types are mass limited in operation and</w:t>
            </w:r>
            <w:r>
              <w:rPr>
                <w:rFonts w:cstheme="minorHAnsi"/>
              </w:rPr>
              <w:t xml:space="preserve"> </w:t>
            </w:r>
            <w:r w:rsidRPr="00582044">
              <w:rPr>
                <w:rFonts w:cstheme="minorHAnsi"/>
              </w:rPr>
              <w:t>could not effectively utilise any volume increases</w:t>
            </w:r>
            <w:r>
              <w:rPr>
                <w:rFonts w:cstheme="minorHAnsi"/>
              </w:rPr>
              <w:t xml:space="preserve"> – </w:t>
            </w:r>
            <w:r w:rsidRPr="00EC72D6">
              <w:rPr>
                <w:rFonts w:cstheme="minorHAnsi"/>
              </w:rPr>
              <w:t>should there be an economic benefit in volumetric increases, through wider trailers, PBS solutions could already be utilised to deliver these outcomes.</w:t>
            </w:r>
          </w:p>
          <w:p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 xml:space="preserve">Notes </w:t>
            </w:r>
            <w:r w:rsidRPr="004A67E2">
              <w:rPr>
                <w:rFonts w:cstheme="minorHAnsi"/>
              </w:rPr>
              <w:t>Australian</w:t>
            </w:r>
            <w:r>
              <w:rPr>
                <w:rFonts w:cstheme="minorHAnsi"/>
              </w:rPr>
              <w:t xml:space="preserve"> </w:t>
            </w:r>
            <w:r w:rsidRPr="004A67E2">
              <w:rPr>
                <w:rFonts w:cstheme="minorHAnsi"/>
              </w:rPr>
              <w:t>logistics supply chains are built around current heavy trailer dimensioning</w:t>
            </w:r>
            <w:r>
              <w:rPr>
                <w:rFonts w:cstheme="minorHAnsi"/>
              </w:rPr>
              <w:t xml:space="preserve"> – i</w:t>
            </w:r>
            <w:r w:rsidRPr="004A67E2">
              <w:rPr>
                <w:rFonts w:cstheme="minorHAnsi"/>
              </w:rPr>
              <w:t>nterfaces to</w:t>
            </w:r>
            <w:r>
              <w:rPr>
                <w:rFonts w:cstheme="minorHAnsi"/>
              </w:rPr>
              <w:t xml:space="preserve"> </w:t>
            </w:r>
            <w:r w:rsidRPr="004A67E2">
              <w:rPr>
                <w:rFonts w:cstheme="minorHAnsi"/>
              </w:rPr>
              <w:t xml:space="preserve">load/unload facilities, container and pallet sizes, </w:t>
            </w:r>
            <w:r>
              <w:rPr>
                <w:rFonts w:cstheme="minorHAnsi"/>
              </w:rPr>
              <w:t xml:space="preserve">and </w:t>
            </w:r>
            <w:r w:rsidRPr="004A67E2">
              <w:rPr>
                <w:rFonts w:cstheme="minorHAnsi"/>
              </w:rPr>
              <w:t>load balancing and stability all need to be</w:t>
            </w:r>
            <w:r>
              <w:rPr>
                <w:rFonts w:cstheme="minorHAnsi"/>
              </w:rPr>
              <w:t xml:space="preserve"> </w:t>
            </w:r>
            <w:r w:rsidRPr="004A67E2">
              <w:rPr>
                <w:rFonts w:cstheme="minorHAnsi"/>
              </w:rPr>
              <w:t>assessed and adapted to make use of any changes</w:t>
            </w:r>
            <w:r>
              <w:rPr>
                <w:rFonts w:cstheme="minorHAnsi"/>
              </w:rPr>
              <w:t xml:space="preserve">, which </w:t>
            </w:r>
            <w:r w:rsidRPr="004A67E2">
              <w:rPr>
                <w:rFonts w:cstheme="minorHAnsi"/>
              </w:rPr>
              <w:t>w</w:t>
            </w:r>
            <w:r>
              <w:rPr>
                <w:rFonts w:cstheme="minorHAnsi"/>
              </w:rPr>
              <w:t>ould</w:t>
            </w:r>
            <w:r w:rsidRPr="004A67E2">
              <w:rPr>
                <w:rFonts w:cstheme="minorHAnsi"/>
              </w:rPr>
              <w:t xml:space="preserve"> require time and investment</w:t>
            </w:r>
            <w:r>
              <w:rPr>
                <w:rFonts w:cstheme="minorHAnsi"/>
              </w:rPr>
              <w:t>.</w:t>
            </w:r>
          </w:p>
          <w:p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 xml:space="preserve">Considers </w:t>
            </w:r>
            <w:r w:rsidRPr="00D50F83">
              <w:rPr>
                <w:rFonts w:cstheme="minorHAnsi"/>
              </w:rPr>
              <w:t xml:space="preserve">the ADRs do not provide </w:t>
            </w:r>
            <w:r>
              <w:rPr>
                <w:rFonts w:cstheme="minorHAnsi"/>
              </w:rPr>
              <w:t xml:space="preserve">[full] </w:t>
            </w:r>
            <w:r w:rsidRPr="00D50F83">
              <w:rPr>
                <w:rFonts w:cstheme="minorHAnsi"/>
              </w:rPr>
              <w:t>coverage of heavy trailer minimum design,</w:t>
            </w:r>
            <w:r>
              <w:rPr>
                <w:rFonts w:cstheme="minorHAnsi"/>
              </w:rPr>
              <w:t xml:space="preserve"> </w:t>
            </w:r>
            <w:r w:rsidRPr="00D50F83">
              <w:rPr>
                <w:rFonts w:cstheme="minorHAnsi"/>
              </w:rPr>
              <w:t>engineering, or manufacturing standards</w:t>
            </w:r>
            <w:r>
              <w:rPr>
                <w:rFonts w:cstheme="minorHAnsi"/>
              </w:rPr>
              <w:t>,</w:t>
            </w:r>
            <w:r w:rsidRPr="00D50F83">
              <w:rPr>
                <w:rFonts w:cstheme="minorHAnsi"/>
              </w:rPr>
              <w:t xml:space="preserve"> and may not be sufficient to ensure acceptable</w:t>
            </w:r>
            <w:r>
              <w:rPr>
                <w:rFonts w:cstheme="minorHAnsi"/>
              </w:rPr>
              <w:t xml:space="preserve"> </w:t>
            </w:r>
            <w:r w:rsidRPr="00D50F83">
              <w:rPr>
                <w:rFonts w:cstheme="minorHAnsi"/>
              </w:rPr>
              <w:t>foreign product quality and safety.</w:t>
            </w:r>
          </w:p>
          <w:p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 xml:space="preserve">Recommends where </w:t>
            </w:r>
            <w:r w:rsidRPr="00D50F83">
              <w:rPr>
                <w:rFonts w:cstheme="minorHAnsi"/>
              </w:rPr>
              <w:t>ADRs are in place that sufficient resource is applied to audit and ensure</w:t>
            </w:r>
            <w:r>
              <w:rPr>
                <w:rFonts w:cstheme="minorHAnsi"/>
              </w:rPr>
              <w:t xml:space="preserve"> </w:t>
            </w:r>
            <w:r w:rsidRPr="00D50F83">
              <w:rPr>
                <w:rFonts w:cstheme="minorHAnsi"/>
              </w:rPr>
              <w:t>compliance.</w:t>
            </w:r>
          </w:p>
          <w:p w:rsidR="003822C7" w:rsidRPr="00350CF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 xml:space="preserve">Considers the </w:t>
            </w:r>
            <w:r w:rsidRPr="00D74AD5">
              <w:rPr>
                <w:rFonts w:cstheme="minorHAnsi"/>
              </w:rPr>
              <w:t xml:space="preserve">safety benefits of </w:t>
            </w:r>
            <w:r>
              <w:rPr>
                <w:rFonts w:cstheme="minorHAnsi"/>
              </w:rPr>
              <w:t xml:space="preserve">side underrun, conspicuity markings and reversing lamps, </w:t>
            </w:r>
            <w:r w:rsidRPr="00D74AD5">
              <w:rPr>
                <w:rFonts w:cstheme="minorHAnsi"/>
              </w:rPr>
              <w:t>are not dependent on, or</w:t>
            </w:r>
            <w:r>
              <w:rPr>
                <w:rFonts w:cstheme="minorHAnsi"/>
              </w:rPr>
              <w:t xml:space="preserve"> </w:t>
            </w:r>
            <w:r w:rsidRPr="00D74AD5">
              <w:rPr>
                <w:rFonts w:cstheme="minorHAnsi"/>
              </w:rPr>
              <w:t>related to, trailer width</w:t>
            </w:r>
            <w:r>
              <w:rPr>
                <w:rFonts w:cstheme="minorHAnsi"/>
              </w:rPr>
              <w:t xml:space="preserve"> – i</w:t>
            </w:r>
            <w:r w:rsidRPr="00350CF7">
              <w:rPr>
                <w:rFonts w:cstheme="minorHAnsi"/>
              </w:rPr>
              <w:t>f these are deemed necessary, they can and should be implemented on all trailers.</w:t>
            </w:r>
          </w:p>
          <w:p w:rsidR="003822C7"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Notes more c</w:t>
            </w:r>
            <w:r w:rsidRPr="00BC79FE">
              <w:rPr>
                <w:rFonts w:cstheme="minorHAnsi"/>
              </w:rPr>
              <w:t>onsistent regulation and rules across state-based jurisdictions would reduce complexity</w:t>
            </w:r>
            <w:r>
              <w:rPr>
                <w:rFonts w:cstheme="minorHAnsi"/>
              </w:rPr>
              <w:t xml:space="preserve"> </w:t>
            </w:r>
            <w:r w:rsidRPr="00BC79FE">
              <w:rPr>
                <w:rFonts w:cstheme="minorHAnsi"/>
              </w:rPr>
              <w:t>and cost of producing and operating heavy trailers</w:t>
            </w:r>
            <w:r>
              <w:rPr>
                <w:rFonts w:cstheme="minorHAnsi"/>
              </w:rPr>
              <w:t>.</w:t>
            </w:r>
          </w:p>
          <w:p w:rsidR="003822C7" w:rsidRPr="00D80B35" w:rsidRDefault="003822C7" w:rsidP="007C097D">
            <w:pPr>
              <w:pStyle w:val="ListParagraph"/>
              <w:keepLines/>
              <w:numPr>
                <w:ilvl w:val="0"/>
                <w:numId w:val="53"/>
              </w:numPr>
              <w:tabs>
                <w:tab w:val="left" w:pos="292"/>
              </w:tabs>
              <w:suppressAutoHyphens w:val="0"/>
              <w:ind w:left="284" w:hanging="284"/>
              <w:rPr>
                <w:rFonts w:cstheme="minorHAnsi"/>
              </w:rPr>
            </w:pPr>
            <w:r>
              <w:rPr>
                <w:rFonts w:cstheme="minorHAnsi"/>
              </w:rPr>
              <w:t>Believes i</w:t>
            </w:r>
            <w:r w:rsidRPr="00D80B35">
              <w:rPr>
                <w:rFonts w:cstheme="minorHAnsi"/>
              </w:rPr>
              <w:t xml:space="preserve">mproving the consistency, efficiency and effectiveness of </w:t>
            </w:r>
            <w:r>
              <w:rPr>
                <w:rFonts w:cstheme="minorHAnsi"/>
              </w:rPr>
              <w:t>PBS</w:t>
            </w:r>
            <w:r w:rsidRPr="00D80B35">
              <w:rPr>
                <w:rFonts w:cstheme="minorHAnsi"/>
              </w:rPr>
              <w:t xml:space="preserve"> would assist in</w:t>
            </w:r>
            <w:r>
              <w:rPr>
                <w:rFonts w:cstheme="minorHAnsi"/>
              </w:rPr>
              <w:t xml:space="preserve"> </w:t>
            </w:r>
            <w:r w:rsidRPr="00D80B35">
              <w:rPr>
                <w:rFonts w:cstheme="minorHAnsi"/>
              </w:rPr>
              <w:cr/>
              <w:t xml:space="preserve">reducing costs and allow </w:t>
            </w:r>
            <w:r>
              <w:rPr>
                <w:rFonts w:cstheme="minorHAnsi"/>
              </w:rPr>
              <w:t xml:space="preserve">its </w:t>
            </w:r>
            <w:r w:rsidRPr="00D80B35">
              <w:rPr>
                <w:rFonts w:cstheme="minorHAnsi"/>
              </w:rPr>
              <w:t>more widespread use.</w:t>
            </w:r>
          </w:p>
        </w:tc>
        <w:tc>
          <w:tcPr>
            <w:tcW w:w="6521" w:type="dxa"/>
            <w:gridSpan w:val="2"/>
          </w:tcPr>
          <w:p w:rsidR="003822C7" w:rsidRPr="004C1151" w:rsidRDefault="005971DE" w:rsidP="00E248BF">
            <w:pPr>
              <w:pStyle w:val="ListParagraph"/>
              <w:keepLines/>
              <w:numPr>
                <w:ilvl w:val="0"/>
                <w:numId w:val="75"/>
              </w:numPr>
              <w:tabs>
                <w:tab w:val="left" w:pos="720"/>
              </w:tabs>
              <w:suppressAutoHyphens w:val="0"/>
              <w:rPr>
                <w:rFonts w:cstheme="minorHAnsi"/>
              </w:rPr>
            </w:pPr>
            <w:r w:rsidRPr="00EF05FD">
              <w:rPr>
                <w:rFonts w:cstheme="minorHAnsi"/>
                <w:szCs w:val="20"/>
              </w:rPr>
              <w:t>The</w:t>
            </w:r>
            <w:r w:rsidR="00453FBD" w:rsidRPr="00EF05FD">
              <w:rPr>
                <w:rFonts w:cstheme="minorHAnsi"/>
                <w:szCs w:val="20"/>
              </w:rPr>
              <w:t xml:space="preserve"> </w:t>
            </w:r>
            <w:r w:rsidR="00C45600">
              <w:rPr>
                <w:rFonts w:cstheme="minorHAnsi"/>
                <w:szCs w:val="20"/>
              </w:rPr>
              <w:t>IA</w:t>
            </w:r>
            <w:r w:rsidR="00453FBD" w:rsidRPr="00EF05FD">
              <w:rPr>
                <w:rFonts w:cstheme="minorHAnsi"/>
                <w:szCs w:val="20"/>
              </w:rPr>
              <w:t xml:space="preserve"> recommends </w:t>
            </w:r>
            <w:r w:rsidR="00EF05FD" w:rsidRPr="00EF05FD">
              <w:rPr>
                <w:rFonts w:cstheme="minorHAnsi"/>
                <w:szCs w:val="20"/>
              </w:rPr>
              <w:t xml:space="preserve">that the </w:t>
            </w:r>
            <w:r w:rsidR="00EF05FD" w:rsidRPr="00EF05FD">
              <w:t>Australian Government implement Option</w:t>
            </w:r>
            <w:r w:rsidR="00EF05FD">
              <w:t> </w:t>
            </w:r>
            <w:r w:rsidR="00EF05FD" w:rsidRPr="00EF05FD">
              <w:t>3.1b (2.55 m wide goods vehicles only)</w:t>
            </w:r>
            <w:r w:rsidR="00EF05FD">
              <w:t xml:space="preserve"> at this stage. This approach will enable consultation to be undertaken on the benefit-cost analysis and </w:t>
            </w:r>
            <w:r w:rsidR="00C45600">
              <w:t>IA</w:t>
            </w:r>
            <w:r w:rsidR="00EF05FD">
              <w:t>, to ensure impacts are well understood, before any decision is made in regard to the width limit for trailers.</w:t>
            </w:r>
          </w:p>
          <w:p w:rsidR="003822C7" w:rsidRPr="00A83E0F" w:rsidRDefault="006C7CDE" w:rsidP="00E248BF">
            <w:pPr>
              <w:pStyle w:val="ListParagraph"/>
              <w:keepLines/>
              <w:numPr>
                <w:ilvl w:val="0"/>
                <w:numId w:val="75"/>
              </w:numPr>
              <w:tabs>
                <w:tab w:val="left" w:pos="720"/>
              </w:tabs>
              <w:suppressAutoHyphens w:val="0"/>
              <w:rPr>
                <w:rFonts w:cstheme="minorHAnsi"/>
              </w:rPr>
            </w:pPr>
            <w:r w:rsidRPr="00A83E0F">
              <w:rPr>
                <w:rFonts w:cstheme="minorHAnsi"/>
                <w:szCs w:val="20"/>
              </w:rPr>
              <w:t>The pr</w:t>
            </w:r>
            <w:r w:rsidR="00DC0E26" w:rsidRPr="00A83E0F">
              <w:rPr>
                <w:rFonts w:cstheme="minorHAnsi"/>
                <w:szCs w:val="20"/>
              </w:rPr>
              <w:t>oposed changes are not intended to favour either importers or domestic manufacturers</w:t>
            </w:r>
            <w:r w:rsidR="003822C7" w:rsidRPr="00A83E0F">
              <w:rPr>
                <w:rFonts w:cstheme="minorHAnsi"/>
                <w:szCs w:val="20"/>
              </w:rPr>
              <w:t>.</w:t>
            </w:r>
            <w:r w:rsidR="00DC0E26" w:rsidRPr="00A83E0F">
              <w:rPr>
                <w:rFonts w:cstheme="minorHAnsi"/>
                <w:szCs w:val="20"/>
              </w:rPr>
              <w:t xml:space="preserve"> They are intended to </w:t>
            </w:r>
            <w:r w:rsidR="00A83E0F" w:rsidRPr="00A83E0F">
              <w:rPr>
                <w:rFonts w:cstheme="minorHAnsi"/>
                <w:szCs w:val="20"/>
              </w:rPr>
              <w:t xml:space="preserve">achieve the best outcomes for the </w:t>
            </w:r>
            <w:r w:rsidR="00A83E0F">
              <w:rPr>
                <w:rFonts w:cstheme="minorHAnsi"/>
                <w:szCs w:val="20"/>
              </w:rPr>
              <w:t xml:space="preserve">Australian </w:t>
            </w:r>
            <w:r w:rsidR="00A83E0F" w:rsidRPr="00A83E0F">
              <w:rPr>
                <w:rFonts w:cstheme="minorHAnsi"/>
                <w:szCs w:val="20"/>
              </w:rPr>
              <w:t xml:space="preserve">community as a whole, and to </w:t>
            </w:r>
            <w:r w:rsidR="00DC0E26" w:rsidRPr="00A83E0F">
              <w:rPr>
                <w:rFonts w:cstheme="minorHAnsi"/>
                <w:szCs w:val="20"/>
              </w:rPr>
              <w:t>ensure all ADR requirements align with the objects of the RVSA and the purposes for which a Minister may determine national road vehicles standards under the RVSA.</w:t>
            </w:r>
          </w:p>
          <w:p w:rsidR="003822C7" w:rsidRPr="005971DE" w:rsidRDefault="007633AD" w:rsidP="00E248BF">
            <w:pPr>
              <w:pStyle w:val="ListParagraph"/>
              <w:keepLines/>
              <w:numPr>
                <w:ilvl w:val="0"/>
                <w:numId w:val="75"/>
              </w:numPr>
              <w:tabs>
                <w:tab w:val="left" w:pos="720"/>
              </w:tabs>
              <w:suppressAutoHyphens w:val="0"/>
              <w:rPr>
                <w:rFonts w:cstheme="minorHAnsi"/>
              </w:rPr>
            </w:pPr>
            <w:r w:rsidRPr="005971DE">
              <w:rPr>
                <w:rFonts w:cstheme="minorHAnsi"/>
                <w:szCs w:val="20"/>
              </w:rPr>
              <w:t xml:space="preserve">The </w:t>
            </w:r>
            <w:r w:rsidR="002133CD" w:rsidRPr="005971DE">
              <w:rPr>
                <w:rFonts w:cstheme="minorHAnsi"/>
                <w:szCs w:val="20"/>
              </w:rPr>
              <w:t xml:space="preserve">discussion </w:t>
            </w:r>
            <w:r w:rsidRPr="005971DE">
              <w:rPr>
                <w:rFonts w:cstheme="minorHAnsi"/>
                <w:szCs w:val="20"/>
              </w:rPr>
              <w:t xml:space="preserve">paper </w:t>
            </w:r>
            <w:r w:rsidR="002133CD" w:rsidRPr="005971DE">
              <w:rPr>
                <w:rFonts w:cstheme="minorHAnsi"/>
                <w:szCs w:val="20"/>
              </w:rPr>
              <w:t xml:space="preserve">was </w:t>
            </w:r>
            <w:r w:rsidRPr="005971DE">
              <w:rPr>
                <w:rFonts w:cstheme="minorHAnsi"/>
                <w:szCs w:val="20"/>
              </w:rPr>
              <w:t>focus</w:t>
            </w:r>
            <w:r w:rsidR="002133CD" w:rsidRPr="005971DE">
              <w:rPr>
                <w:rFonts w:cstheme="minorHAnsi"/>
                <w:szCs w:val="20"/>
              </w:rPr>
              <w:t>sed</w:t>
            </w:r>
            <w:r w:rsidRPr="005971DE">
              <w:rPr>
                <w:rFonts w:cstheme="minorHAnsi"/>
                <w:szCs w:val="20"/>
              </w:rPr>
              <w:t xml:space="preserve"> on the </w:t>
            </w:r>
            <w:r w:rsidR="002133CD" w:rsidRPr="005971DE">
              <w:rPr>
                <w:rFonts w:cstheme="minorHAnsi"/>
                <w:szCs w:val="20"/>
              </w:rPr>
              <w:t xml:space="preserve">purposes </w:t>
            </w:r>
            <w:r w:rsidR="005971DE" w:rsidRPr="005971DE">
              <w:rPr>
                <w:rFonts w:cstheme="minorHAnsi"/>
                <w:szCs w:val="20"/>
              </w:rPr>
              <w:t xml:space="preserve">for which </w:t>
            </w:r>
            <w:r w:rsidR="002133CD" w:rsidRPr="005971DE">
              <w:rPr>
                <w:rFonts w:cstheme="minorHAnsi"/>
                <w:szCs w:val="20"/>
              </w:rPr>
              <w:t xml:space="preserve">a Minister may determine national road vehicle standards. As per subsection 12(1) of the RVSA, these include to make road vehicles safe to use, control emissions, secure vehicles against theft, and promote </w:t>
            </w:r>
            <w:r w:rsidR="005971DE" w:rsidRPr="005971DE">
              <w:rPr>
                <w:rFonts w:cstheme="minorHAnsi"/>
                <w:szCs w:val="20"/>
              </w:rPr>
              <w:t>the saving of energy</w:t>
            </w:r>
            <w:r w:rsidR="003822C7" w:rsidRPr="005971DE">
              <w:rPr>
                <w:rFonts w:cstheme="minorHAnsi"/>
              </w:rPr>
              <w:t>.</w:t>
            </w:r>
            <w:r w:rsidR="00823DDC">
              <w:rPr>
                <w:rFonts w:cstheme="minorHAnsi"/>
              </w:rPr>
              <w:t xml:space="preserve"> ADRs are not determined to restrict market access or otherwise limit competition.</w:t>
            </w:r>
          </w:p>
          <w:p w:rsidR="003822C7" w:rsidRDefault="003822C7" w:rsidP="00E248BF">
            <w:pPr>
              <w:pStyle w:val="ListParagraph"/>
              <w:keepLines/>
              <w:numPr>
                <w:ilvl w:val="0"/>
                <w:numId w:val="75"/>
              </w:numPr>
              <w:tabs>
                <w:tab w:val="left" w:pos="720"/>
              </w:tabs>
              <w:suppressAutoHyphens w:val="0"/>
              <w:rPr>
                <w:rFonts w:cstheme="minorHAnsi"/>
              </w:rPr>
            </w:pPr>
            <w:r>
              <w:rPr>
                <w:rFonts w:cstheme="minorHAnsi"/>
              </w:rPr>
              <w:t>Agreed.</w:t>
            </w:r>
          </w:p>
          <w:p w:rsidR="003822C7" w:rsidRPr="004C1151" w:rsidRDefault="004124EF" w:rsidP="00E248BF">
            <w:pPr>
              <w:pStyle w:val="ListParagraph"/>
              <w:keepLines/>
              <w:numPr>
                <w:ilvl w:val="0"/>
                <w:numId w:val="75"/>
              </w:numPr>
              <w:tabs>
                <w:tab w:val="left" w:pos="720"/>
              </w:tabs>
              <w:suppressAutoHyphens w:val="0"/>
              <w:rPr>
                <w:rFonts w:cstheme="minorHAnsi"/>
              </w:rPr>
            </w:pPr>
            <w:r>
              <w:rPr>
                <w:rFonts w:cstheme="minorHAnsi"/>
              </w:rPr>
              <w:t>Further consultation is proposed before any decision to increase the trailer width limit.</w:t>
            </w:r>
          </w:p>
          <w:p w:rsidR="003822C7" w:rsidRPr="00A83E0F" w:rsidRDefault="00D77C14" w:rsidP="00E248BF">
            <w:pPr>
              <w:pStyle w:val="ListParagraph"/>
              <w:keepLines/>
              <w:numPr>
                <w:ilvl w:val="0"/>
                <w:numId w:val="75"/>
              </w:numPr>
              <w:tabs>
                <w:tab w:val="left" w:pos="720"/>
              </w:tabs>
              <w:suppressAutoHyphens w:val="0"/>
              <w:rPr>
                <w:rFonts w:cstheme="minorHAnsi"/>
              </w:rPr>
            </w:pPr>
            <w:r w:rsidRPr="00D75BB3">
              <w:rPr>
                <w:rFonts w:cstheme="minorHAnsi"/>
                <w:szCs w:val="20"/>
              </w:rPr>
              <w:t xml:space="preserve">Consider the substantial market share (over 90% for heavy trailers) for domestic trailer manufacturers has been built on much more than just the width limit. Domestic manufacturers are able to build trailers specifically designed for and well suited to withstand Australian conditions, and can </w:t>
            </w:r>
            <w:r>
              <w:rPr>
                <w:rFonts w:cstheme="minorHAnsi"/>
                <w:szCs w:val="20"/>
              </w:rPr>
              <w:t xml:space="preserve">also </w:t>
            </w:r>
            <w:r w:rsidRPr="00D75BB3">
              <w:rPr>
                <w:rFonts w:cstheme="minorHAnsi"/>
                <w:szCs w:val="20"/>
              </w:rPr>
              <w:t xml:space="preserve">avoid </w:t>
            </w:r>
            <w:r>
              <w:rPr>
                <w:rFonts w:cstheme="minorHAnsi"/>
                <w:szCs w:val="20"/>
              </w:rPr>
              <w:t>significant</w:t>
            </w:r>
            <w:r w:rsidRPr="00D75BB3">
              <w:rPr>
                <w:rFonts w:cstheme="minorHAnsi"/>
                <w:szCs w:val="20"/>
              </w:rPr>
              <w:t xml:space="preserve"> costs to ship large trailers to Australia.</w:t>
            </w:r>
            <w:r>
              <w:rPr>
                <w:rFonts w:cstheme="minorHAnsi"/>
                <w:szCs w:val="20"/>
              </w:rPr>
              <w:t xml:space="preserve"> </w:t>
            </w:r>
            <w:r>
              <w:rPr>
                <w:rFonts w:cstheme="minorHAnsi"/>
              </w:rPr>
              <w:t>Have also not been provided with (or otherwise made aware) of any evidence of where the increase in the width limit for trailers to 2.55 m in NZ has resulted in a significant shift in where trailers are sourced from. Nevertheless, further consultation is proposed before any decision to increase the trailer width limit.</w:t>
            </w:r>
          </w:p>
          <w:p w:rsidR="003822C7" w:rsidRPr="00A83E0F" w:rsidRDefault="00A83E0F" w:rsidP="00E248BF">
            <w:pPr>
              <w:pStyle w:val="ListParagraph"/>
              <w:keepLines/>
              <w:numPr>
                <w:ilvl w:val="0"/>
                <w:numId w:val="75"/>
              </w:numPr>
              <w:tabs>
                <w:tab w:val="left" w:pos="720"/>
              </w:tabs>
              <w:suppressAutoHyphens w:val="0"/>
              <w:rPr>
                <w:rFonts w:cstheme="minorHAnsi"/>
              </w:rPr>
            </w:pPr>
            <w:r w:rsidRPr="00A83E0F">
              <w:rPr>
                <w:rFonts w:cstheme="minorHAnsi"/>
                <w:szCs w:val="20"/>
              </w:rPr>
              <w:t>Noted</w:t>
            </w:r>
            <w:r w:rsidR="003822C7" w:rsidRPr="00A83E0F">
              <w:rPr>
                <w:rFonts w:cstheme="minorHAnsi"/>
                <w:szCs w:val="20"/>
              </w:rPr>
              <w:t>.</w:t>
            </w:r>
            <w:r w:rsidR="00E33A23">
              <w:rPr>
                <w:rFonts w:cstheme="minorHAnsi"/>
                <w:szCs w:val="20"/>
              </w:rPr>
              <w:t xml:space="preserve"> </w:t>
            </w:r>
            <w:r w:rsidR="00E33A23" w:rsidRPr="00E33A23">
              <w:rPr>
                <w:rFonts w:cstheme="minorHAnsi"/>
                <w:szCs w:val="20"/>
              </w:rPr>
              <w:t>The benefit</w:t>
            </w:r>
            <w:r w:rsidR="00E33A23">
              <w:rPr>
                <w:rFonts w:cstheme="minorHAnsi"/>
                <w:szCs w:val="20"/>
              </w:rPr>
              <w:t>-cost</w:t>
            </w:r>
            <w:r w:rsidR="00E33A23" w:rsidRPr="00E33A23">
              <w:rPr>
                <w:rFonts w:cstheme="minorHAnsi"/>
                <w:szCs w:val="20"/>
              </w:rPr>
              <w:t xml:space="preserve"> analysis undertaken by the ARRB has included industry investment costs of approx. $27.9M to $34.1M </w:t>
            </w:r>
            <w:r w:rsidR="00E33A23">
              <w:rPr>
                <w:rFonts w:cstheme="minorHAnsi"/>
                <w:szCs w:val="20"/>
              </w:rPr>
              <w:t xml:space="preserve">(net present values) </w:t>
            </w:r>
            <w:r w:rsidR="00E33A23" w:rsidRPr="00E33A23">
              <w:rPr>
                <w:rFonts w:cstheme="minorHAnsi"/>
                <w:szCs w:val="20"/>
              </w:rPr>
              <w:t>associated with Australian manufacturers producing wider trailers.</w:t>
            </w:r>
          </w:p>
          <w:p w:rsidR="004124EF" w:rsidRDefault="004124EF" w:rsidP="00E248BF">
            <w:pPr>
              <w:pStyle w:val="ListParagraph"/>
              <w:keepLines/>
              <w:numPr>
                <w:ilvl w:val="0"/>
                <w:numId w:val="75"/>
              </w:numPr>
              <w:tabs>
                <w:tab w:val="left" w:pos="720"/>
              </w:tabs>
              <w:suppressAutoHyphens w:val="0"/>
              <w:rPr>
                <w:rFonts w:cstheme="minorHAnsi"/>
              </w:rPr>
            </w:pPr>
            <w:r>
              <w:rPr>
                <w:rFonts w:cstheme="minorHAnsi"/>
              </w:rPr>
              <w:t>Further consultation is proposed before any decision to increase the trailer width limit, including to avoid any two</w:t>
            </w:r>
            <w:r w:rsidR="00E26700">
              <w:rPr>
                <w:rFonts w:cstheme="minorHAnsi"/>
              </w:rPr>
              <w:t>-</w:t>
            </w:r>
            <w:r>
              <w:rPr>
                <w:rFonts w:cstheme="minorHAnsi"/>
              </w:rPr>
              <w:t>step process.</w:t>
            </w:r>
          </w:p>
          <w:p w:rsidR="003822C7" w:rsidRDefault="003822C7" w:rsidP="00E248BF">
            <w:pPr>
              <w:pStyle w:val="ListParagraph"/>
              <w:keepLines/>
              <w:numPr>
                <w:ilvl w:val="0"/>
                <w:numId w:val="75"/>
              </w:numPr>
              <w:tabs>
                <w:tab w:val="left" w:pos="720"/>
              </w:tabs>
              <w:suppressAutoHyphens w:val="0"/>
              <w:rPr>
                <w:rFonts w:cstheme="minorHAnsi"/>
              </w:rPr>
            </w:pPr>
            <w:r>
              <w:rPr>
                <w:rFonts w:cstheme="minorHAnsi"/>
              </w:rPr>
              <w:t>Agreed.</w:t>
            </w:r>
          </w:p>
          <w:p w:rsidR="003822C7" w:rsidRPr="00E26700" w:rsidRDefault="00E26700" w:rsidP="00E248BF">
            <w:pPr>
              <w:pStyle w:val="ListParagraph"/>
              <w:keepLines/>
              <w:numPr>
                <w:ilvl w:val="0"/>
                <w:numId w:val="75"/>
              </w:numPr>
              <w:tabs>
                <w:tab w:val="left" w:pos="720"/>
              </w:tabs>
              <w:suppressAutoHyphens w:val="0"/>
              <w:rPr>
                <w:rFonts w:cstheme="minorHAnsi"/>
              </w:rPr>
            </w:pPr>
            <w:r w:rsidRPr="00E26700">
              <w:rPr>
                <w:rFonts w:cstheme="minorHAnsi"/>
                <w:szCs w:val="20"/>
              </w:rPr>
              <w:t xml:space="preserve">PBS </w:t>
            </w:r>
            <w:r>
              <w:rPr>
                <w:rFonts w:cstheme="minorHAnsi"/>
                <w:szCs w:val="20"/>
              </w:rPr>
              <w:t>may</w:t>
            </w:r>
            <w:r w:rsidRPr="00E26700">
              <w:rPr>
                <w:rFonts w:cstheme="minorHAnsi"/>
                <w:szCs w:val="20"/>
              </w:rPr>
              <w:t xml:space="preserve"> be </w:t>
            </w:r>
            <w:r>
              <w:rPr>
                <w:rFonts w:cstheme="minorHAnsi"/>
                <w:szCs w:val="20"/>
              </w:rPr>
              <w:t xml:space="preserve">able to be </w:t>
            </w:r>
            <w:r w:rsidRPr="00E26700">
              <w:rPr>
                <w:rFonts w:cstheme="minorHAnsi"/>
                <w:szCs w:val="20"/>
              </w:rPr>
              <w:t>used for this purpose</w:t>
            </w:r>
            <w:r>
              <w:rPr>
                <w:rFonts w:cstheme="minorHAnsi"/>
                <w:szCs w:val="20"/>
              </w:rPr>
              <w:t>.</w:t>
            </w:r>
            <w:r w:rsidRPr="00E26700">
              <w:rPr>
                <w:rFonts w:cstheme="minorHAnsi"/>
                <w:szCs w:val="20"/>
              </w:rPr>
              <w:t xml:space="preserve"> However, there would likely be increased costs, </w:t>
            </w:r>
            <w:r>
              <w:rPr>
                <w:rFonts w:cstheme="minorHAnsi"/>
                <w:szCs w:val="20"/>
              </w:rPr>
              <w:t>longer approval timeframes</w:t>
            </w:r>
            <w:r w:rsidRPr="00E26700">
              <w:rPr>
                <w:rFonts w:cstheme="minorHAnsi"/>
                <w:szCs w:val="20"/>
              </w:rPr>
              <w:t xml:space="preserve"> and more restrictive operating conditions than would apply under the options </w:t>
            </w:r>
            <w:r>
              <w:rPr>
                <w:rFonts w:cstheme="minorHAnsi"/>
                <w:szCs w:val="20"/>
              </w:rPr>
              <w:t>explored</w:t>
            </w:r>
            <w:r w:rsidRPr="00E26700">
              <w:rPr>
                <w:rFonts w:cstheme="minorHAnsi"/>
                <w:szCs w:val="20"/>
              </w:rPr>
              <w:t xml:space="preserve"> for wider trailers in this </w:t>
            </w:r>
            <w:r w:rsidR="00C45600">
              <w:rPr>
                <w:rFonts w:cstheme="minorHAnsi"/>
                <w:szCs w:val="20"/>
              </w:rPr>
              <w:t>IA</w:t>
            </w:r>
            <w:r w:rsidR="003822C7" w:rsidRPr="00E26700">
              <w:rPr>
                <w:rFonts w:cstheme="minorHAnsi"/>
                <w:szCs w:val="20"/>
              </w:rPr>
              <w:t>.</w:t>
            </w:r>
          </w:p>
          <w:p w:rsidR="003822C7" w:rsidRPr="004C1151" w:rsidRDefault="00E26700" w:rsidP="00E248BF">
            <w:pPr>
              <w:pStyle w:val="ListParagraph"/>
              <w:keepLines/>
              <w:numPr>
                <w:ilvl w:val="0"/>
                <w:numId w:val="75"/>
              </w:numPr>
              <w:tabs>
                <w:tab w:val="left" w:pos="720"/>
              </w:tabs>
              <w:suppressAutoHyphens w:val="0"/>
              <w:rPr>
                <w:rFonts w:cstheme="minorHAnsi"/>
              </w:rPr>
            </w:pPr>
            <w:r w:rsidRPr="00E26700">
              <w:rPr>
                <w:rFonts w:cstheme="minorHAnsi"/>
                <w:szCs w:val="20"/>
              </w:rPr>
              <w:t xml:space="preserve">Agree </w:t>
            </w:r>
            <w:r w:rsidRPr="00E26700">
              <w:rPr>
                <w:rFonts w:cstheme="minorHAnsi"/>
              </w:rPr>
              <w:t>many trailer types are mass limited in operation and could not effectively utilise any volume increases (see 10 above regarding PBS)</w:t>
            </w:r>
            <w:r w:rsidR="003822C7" w:rsidRPr="00E26700">
              <w:rPr>
                <w:rFonts w:cstheme="minorHAnsi"/>
                <w:szCs w:val="20"/>
              </w:rPr>
              <w:t>.</w:t>
            </w:r>
          </w:p>
          <w:p w:rsidR="003822C7" w:rsidRPr="00192553" w:rsidRDefault="003822C7" w:rsidP="00E248BF">
            <w:pPr>
              <w:pStyle w:val="ListParagraph"/>
              <w:keepLines/>
              <w:numPr>
                <w:ilvl w:val="0"/>
                <w:numId w:val="75"/>
              </w:numPr>
              <w:tabs>
                <w:tab w:val="left" w:pos="720"/>
              </w:tabs>
              <w:suppressAutoHyphens w:val="0"/>
              <w:rPr>
                <w:rFonts w:cstheme="minorHAnsi"/>
              </w:rPr>
            </w:pPr>
            <w:r w:rsidRPr="00192553">
              <w:rPr>
                <w:rFonts w:cstheme="minorHAnsi"/>
                <w:szCs w:val="20"/>
              </w:rPr>
              <w:t>Agreed.</w:t>
            </w:r>
          </w:p>
          <w:p w:rsidR="003822C7" w:rsidRPr="002C468F" w:rsidRDefault="00E26700" w:rsidP="00E248BF">
            <w:pPr>
              <w:pStyle w:val="ListParagraph"/>
              <w:keepLines/>
              <w:numPr>
                <w:ilvl w:val="0"/>
                <w:numId w:val="75"/>
              </w:numPr>
              <w:tabs>
                <w:tab w:val="left" w:pos="720"/>
              </w:tabs>
              <w:suppressAutoHyphens w:val="0"/>
              <w:rPr>
                <w:rFonts w:cstheme="minorHAnsi"/>
              </w:rPr>
            </w:pPr>
            <w:r w:rsidRPr="00E26700">
              <w:rPr>
                <w:rFonts w:cstheme="minorHAnsi"/>
                <w:szCs w:val="20"/>
              </w:rPr>
              <w:t>Disagree.</w:t>
            </w:r>
          </w:p>
          <w:p w:rsidR="003822C7" w:rsidRPr="002210EE" w:rsidRDefault="00E26700" w:rsidP="00E248BF">
            <w:pPr>
              <w:pStyle w:val="ListParagraph"/>
              <w:keepLines/>
              <w:numPr>
                <w:ilvl w:val="0"/>
                <w:numId w:val="75"/>
              </w:numPr>
              <w:tabs>
                <w:tab w:val="left" w:pos="720"/>
              </w:tabs>
              <w:suppressAutoHyphens w:val="0"/>
              <w:rPr>
                <w:rFonts w:cstheme="minorHAnsi"/>
                <w:szCs w:val="20"/>
              </w:rPr>
            </w:pPr>
            <w:r w:rsidRPr="002210EE">
              <w:rPr>
                <w:rFonts w:cstheme="minorHAnsi"/>
                <w:szCs w:val="20"/>
              </w:rPr>
              <w:t xml:space="preserve">The department’s Vehicle Safety </w:t>
            </w:r>
            <w:r w:rsidRPr="002210EE">
              <w:rPr>
                <w:rFonts w:cstheme="minorHAnsi"/>
              </w:rPr>
              <w:t>Operations (VSO) branch takes a risk-based approach to the management of compliance with the RVSA, the Rules and the ADRs.</w:t>
            </w:r>
            <w:r w:rsidR="002210EE" w:rsidRPr="002210EE">
              <w:rPr>
                <w:rFonts w:cstheme="minorHAnsi"/>
              </w:rPr>
              <w:t xml:space="preserve"> This risk-based approach helps ensure that compliance activities are focussed on regulated areas and regulated entities that pose the greatest compliance risk, without impeding the regulated industry’s ability to operate. A risk-based approach does not mean eliminating all risks, or taking a ‘no-touch’ approach to lower-risk regulated entities or behaviours.</w:t>
            </w:r>
          </w:p>
          <w:p w:rsidR="003822C7" w:rsidRPr="002C468F" w:rsidRDefault="008A7ABC" w:rsidP="00E248BF">
            <w:pPr>
              <w:pStyle w:val="ListParagraph"/>
              <w:keepLines/>
              <w:numPr>
                <w:ilvl w:val="0"/>
                <w:numId w:val="75"/>
              </w:numPr>
              <w:tabs>
                <w:tab w:val="left" w:pos="720"/>
              </w:tabs>
              <w:suppressAutoHyphens w:val="0"/>
              <w:rPr>
                <w:rFonts w:cstheme="minorHAnsi"/>
              </w:rPr>
            </w:pPr>
            <w:r w:rsidRPr="00D07167">
              <w:rPr>
                <w:rFonts w:cstheme="minorHAnsi"/>
                <w:szCs w:val="20"/>
              </w:rPr>
              <w:t xml:space="preserve">Requiring wider freight vehicles to be fitted with a package of safety technologies (including side underrun) is a key part of the agreement with jurisdictions/in-service regulators and other stakeholders to pursue this reform – </w:t>
            </w:r>
            <w:r w:rsidRPr="00D07167">
              <w:rPr>
                <w:rFonts w:cstheme="minorHAnsi"/>
              </w:rPr>
              <w:t>it is important to preserve this agreement.</w:t>
            </w:r>
          </w:p>
          <w:p w:rsidR="003822C7" w:rsidRDefault="003822C7" w:rsidP="00E248BF">
            <w:pPr>
              <w:pStyle w:val="ListParagraph"/>
              <w:keepLines/>
              <w:numPr>
                <w:ilvl w:val="0"/>
                <w:numId w:val="75"/>
              </w:numPr>
              <w:tabs>
                <w:tab w:val="left" w:pos="720"/>
              </w:tabs>
              <w:suppressAutoHyphens w:val="0"/>
              <w:rPr>
                <w:rFonts w:cstheme="minorHAnsi"/>
              </w:rPr>
            </w:pPr>
            <w:r>
              <w:rPr>
                <w:rFonts w:cstheme="minorHAnsi"/>
              </w:rPr>
              <w:t>Agreed.</w:t>
            </w:r>
          </w:p>
          <w:p w:rsidR="003822C7" w:rsidRPr="004C1151" w:rsidRDefault="003822C7" w:rsidP="00E248BF">
            <w:pPr>
              <w:pStyle w:val="ListParagraph"/>
              <w:keepLines/>
              <w:numPr>
                <w:ilvl w:val="0"/>
                <w:numId w:val="75"/>
              </w:numPr>
              <w:tabs>
                <w:tab w:val="left" w:pos="720"/>
              </w:tabs>
              <w:suppressAutoHyphens w:val="0"/>
              <w:rPr>
                <w:rFonts w:cstheme="minorHAnsi"/>
              </w:rPr>
            </w:pPr>
            <w:r>
              <w:rPr>
                <w:rFonts w:cstheme="minorHAnsi"/>
              </w:rPr>
              <w:t>Agreed.</w:t>
            </w:r>
          </w:p>
        </w:tc>
      </w:tr>
      <w:tr w:rsidR="003822C7" w:rsidRPr="007B6E69" w:rsidTr="003822C7">
        <w:tc>
          <w:tcPr>
            <w:tcW w:w="1696" w:type="dxa"/>
          </w:tcPr>
          <w:p w:rsidR="003822C7" w:rsidRPr="007B6E69" w:rsidRDefault="003822C7" w:rsidP="00362B9F">
            <w:pPr>
              <w:spacing w:before="120" w:after="120"/>
              <w:rPr>
                <w:rFonts w:cstheme="minorHAnsi"/>
              </w:rPr>
            </w:pPr>
            <w:r w:rsidRPr="007B6E69">
              <w:rPr>
                <w:rFonts w:cstheme="minorHAnsi"/>
              </w:rPr>
              <w:t>Michelin Australia</w:t>
            </w:r>
          </w:p>
        </w:tc>
        <w:tc>
          <w:tcPr>
            <w:tcW w:w="6379" w:type="dxa"/>
          </w:tcPr>
          <w:p w:rsidR="003822C7" w:rsidRDefault="003822C7" w:rsidP="007C097D">
            <w:pPr>
              <w:pStyle w:val="ListParagraph"/>
              <w:keepLines/>
              <w:numPr>
                <w:ilvl w:val="6"/>
                <w:numId w:val="40"/>
              </w:numPr>
              <w:tabs>
                <w:tab w:val="left" w:pos="320"/>
              </w:tabs>
              <w:suppressAutoHyphens w:val="0"/>
              <w:ind w:left="284"/>
              <w:rPr>
                <w:rFonts w:cstheme="minorHAnsi"/>
                <w:szCs w:val="20"/>
              </w:rPr>
            </w:pPr>
            <w:r w:rsidRPr="00AD679F">
              <w:rPr>
                <w:rFonts w:cstheme="minorHAnsi"/>
                <w:szCs w:val="20"/>
              </w:rPr>
              <w:t xml:space="preserve">Supports increasing the maximum width for goods vehicles and trailers over 4.5 tonnes to </w:t>
            </w:r>
            <w:r w:rsidR="00B9347B">
              <w:rPr>
                <w:rFonts w:cstheme="minorHAnsi"/>
                <w:szCs w:val="20"/>
              </w:rPr>
              <w:t>2.60</w:t>
            </w:r>
            <w:r>
              <w:rPr>
                <w:rFonts w:cstheme="minorHAnsi"/>
                <w:szCs w:val="20"/>
              </w:rPr>
              <w:t> </w:t>
            </w:r>
            <w:r w:rsidRPr="00AD679F">
              <w:rPr>
                <w:rFonts w:cstheme="minorHAnsi"/>
                <w:szCs w:val="20"/>
              </w:rPr>
              <w:t>m.</w:t>
            </w:r>
          </w:p>
          <w:p w:rsidR="003822C7"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 xml:space="preserve">Does not support a two-step increase in the vehicle width limit – notes that increasing the width limit to 2.55 m may require a secondary increase to </w:t>
            </w:r>
            <w:r w:rsidR="00B9347B">
              <w:rPr>
                <w:rFonts w:cstheme="minorHAnsi"/>
                <w:szCs w:val="20"/>
              </w:rPr>
              <w:t>2.60</w:t>
            </w:r>
            <w:r>
              <w:rPr>
                <w:rFonts w:cstheme="minorHAnsi"/>
                <w:szCs w:val="20"/>
              </w:rPr>
              <w:t> m within a short timeframe.</w:t>
            </w:r>
          </w:p>
          <w:p w:rsidR="003822C7"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Notes that si</w:t>
            </w:r>
            <w:r w:rsidRPr="007C1ADE">
              <w:rPr>
                <w:rFonts w:cstheme="minorHAnsi"/>
                <w:szCs w:val="20"/>
              </w:rPr>
              <w:t>gnificant resources from Michelin and other tyre manufacturers are dedicated to the development of 315/70 R22.5 size</w:t>
            </w:r>
            <w:r>
              <w:rPr>
                <w:rFonts w:cstheme="minorHAnsi"/>
                <w:szCs w:val="20"/>
              </w:rPr>
              <w:t xml:space="preserve"> tyres, which is currently the most innovative and popular tyre size in Europe, but when fitted to Australian specification vehicles, results in a width exceeding the current 2.5</w:t>
            </w:r>
            <w:r w:rsidR="00B9347B">
              <w:rPr>
                <w:rFonts w:cstheme="minorHAnsi"/>
                <w:szCs w:val="20"/>
              </w:rPr>
              <w:t>0 </w:t>
            </w:r>
            <w:r>
              <w:rPr>
                <w:rFonts w:cstheme="minorHAnsi"/>
                <w:szCs w:val="20"/>
              </w:rPr>
              <w:t>m limit.</w:t>
            </w:r>
          </w:p>
          <w:p w:rsidR="003822C7"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Advises that t</w:t>
            </w:r>
            <w:r w:rsidRPr="00BA02B7">
              <w:rPr>
                <w:rFonts w:cstheme="minorHAnsi"/>
                <w:szCs w:val="20"/>
              </w:rPr>
              <w:t xml:space="preserve">he </w:t>
            </w:r>
            <w:r w:rsidRPr="007C1ADE">
              <w:rPr>
                <w:rFonts w:cstheme="minorHAnsi"/>
                <w:szCs w:val="20"/>
              </w:rPr>
              <w:t>315/70 R22.5</w:t>
            </w:r>
            <w:r>
              <w:rPr>
                <w:rFonts w:cstheme="minorHAnsi"/>
                <w:szCs w:val="20"/>
              </w:rPr>
              <w:t xml:space="preserve"> </w:t>
            </w:r>
            <w:r w:rsidRPr="00BA02B7">
              <w:rPr>
                <w:rFonts w:cstheme="minorHAnsi"/>
                <w:szCs w:val="20"/>
              </w:rPr>
              <w:t xml:space="preserve">tyre specification increases the overall width across the tyres by a minimum of 40mm, compared to </w:t>
            </w:r>
            <w:r>
              <w:rPr>
                <w:rFonts w:cstheme="minorHAnsi"/>
                <w:szCs w:val="20"/>
              </w:rPr>
              <w:t xml:space="preserve">[Australian] </w:t>
            </w:r>
            <w:r w:rsidRPr="00BA02B7">
              <w:rPr>
                <w:rFonts w:cstheme="minorHAnsi"/>
                <w:szCs w:val="20"/>
              </w:rPr>
              <w:t>standard 11R22.5 dual fitments.</w:t>
            </w:r>
          </w:p>
          <w:p w:rsidR="003822C7"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 xml:space="preserve">Notes that the benefits of </w:t>
            </w:r>
            <w:r w:rsidRPr="007C1ADE">
              <w:rPr>
                <w:rFonts w:cstheme="minorHAnsi"/>
                <w:szCs w:val="20"/>
              </w:rPr>
              <w:t>315/70 R22.5</w:t>
            </w:r>
            <w:r>
              <w:rPr>
                <w:rFonts w:cstheme="minorHAnsi"/>
                <w:szCs w:val="20"/>
              </w:rPr>
              <w:t xml:space="preserve"> size tyres include reduced fuel consumption and carbon emissions, reduced rubber emissions from increased mileage, reduced waste, and increased stability due to wider track and footprint.</w:t>
            </w:r>
          </w:p>
          <w:p w:rsidR="003822C7"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 xml:space="preserve">Considers </w:t>
            </w:r>
            <w:r w:rsidRPr="005425D7">
              <w:rPr>
                <w:rFonts w:cstheme="minorHAnsi"/>
                <w:szCs w:val="20"/>
              </w:rPr>
              <w:t>an increase to the</w:t>
            </w:r>
            <w:r>
              <w:rPr>
                <w:rFonts w:cstheme="minorHAnsi"/>
                <w:szCs w:val="20"/>
              </w:rPr>
              <w:t xml:space="preserve"> o</w:t>
            </w:r>
            <w:r w:rsidRPr="005425D7">
              <w:rPr>
                <w:rFonts w:cstheme="minorHAnsi"/>
                <w:szCs w:val="20"/>
              </w:rPr>
              <w:t>verall width of both truck</w:t>
            </w:r>
            <w:r>
              <w:rPr>
                <w:rFonts w:cstheme="minorHAnsi"/>
                <w:szCs w:val="20"/>
              </w:rPr>
              <w:t>s</w:t>
            </w:r>
            <w:r w:rsidRPr="005425D7">
              <w:rPr>
                <w:rFonts w:cstheme="minorHAnsi"/>
                <w:szCs w:val="20"/>
              </w:rPr>
              <w:t xml:space="preserve"> and trailer</w:t>
            </w:r>
            <w:r>
              <w:rPr>
                <w:rFonts w:cstheme="minorHAnsi"/>
                <w:szCs w:val="20"/>
              </w:rPr>
              <w:t>s to be</w:t>
            </w:r>
            <w:r w:rsidRPr="005425D7">
              <w:rPr>
                <w:rFonts w:cstheme="minorHAnsi"/>
                <w:szCs w:val="20"/>
              </w:rPr>
              <w:t xml:space="preserve"> essential for the effective adoption of the </w:t>
            </w:r>
            <w:r w:rsidRPr="007C1ADE">
              <w:rPr>
                <w:rFonts w:cstheme="minorHAnsi"/>
                <w:szCs w:val="20"/>
              </w:rPr>
              <w:t>315/70 R22.5</w:t>
            </w:r>
            <w:r>
              <w:rPr>
                <w:rFonts w:cstheme="minorHAnsi"/>
                <w:szCs w:val="20"/>
              </w:rPr>
              <w:t xml:space="preserve"> </w:t>
            </w:r>
            <w:r w:rsidRPr="005425D7">
              <w:rPr>
                <w:rFonts w:cstheme="minorHAnsi"/>
                <w:szCs w:val="20"/>
              </w:rPr>
              <w:t>tyre size</w:t>
            </w:r>
            <w:r>
              <w:rPr>
                <w:rFonts w:cstheme="minorHAnsi"/>
                <w:szCs w:val="20"/>
              </w:rPr>
              <w:t xml:space="preserve"> in Australia, including to allow tyres to be re-treaded a</w:t>
            </w:r>
            <w:r w:rsidRPr="00DE57F0">
              <w:rPr>
                <w:rFonts w:cstheme="minorHAnsi"/>
                <w:szCs w:val="20"/>
              </w:rPr>
              <w:t>nd reused multiple times</w:t>
            </w:r>
            <w:r>
              <w:rPr>
                <w:rFonts w:cstheme="minorHAnsi"/>
                <w:szCs w:val="20"/>
              </w:rPr>
              <w:t>, including</w:t>
            </w:r>
            <w:r w:rsidRPr="00DE57F0">
              <w:rPr>
                <w:rFonts w:cstheme="minorHAnsi"/>
                <w:szCs w:val="20"/>
              </w:rPr>
              <w:t xml:space="preserve"> </w:t>
            </w:r>
            <w:r>
              <w:rPr>
                <w:rFonts w:cstheme="minorHAnsi"/>
                <w:szCs w:val="20"/>
              </w:rPr>
              <w:t xml:space="preserve">on trailer axles, </w:t>
            </w:r>
            <w:r w:rsidRPr="00DE57F0">
              <w:rPr>
                <w:rFonts w:cstheme="minorHAnsi"/>
                <w:szCs w:val="20"/>
              </w:rPr>
              <w:t>to</w:t>
            </w:r>
            <w:r>
              <w:rPr>
                <w:rFonts w:cstheme="minorHAnsi"/>
                <w:szCs w:val="20"/>
              </w:rPr>
              <w:t xml:space="preserve"> </w:t>
            </w:r>
            <w:r w:rsidRPr="00DE57F0">
              <w:rPr>
                <w:rFonts w:cstheme="minorHAnsi"/>
                <w:szCs w:val="20"/>
              </w:rPr>
              <w:t>increase the service life and thus reduc</w:t>
            </w:r>
            <w:r>
              <w:rPr>
                <w:rFonts w:cstheme="minorHAnsi"/>
                <w:szCs w:val="20"/>
              </w:rPr>
              <w:t>e</w:t>
            </w:r>
            <w:r w:rsidRPr="00DE57F0">
              <w:rPr>
                <w:rFonts w:cstheme="minorHAnsi"/>
                <w:szCs w:val="20"/>
              </w:rPr>
              <w:t xml:space="preserve"> the disposal of the tyre casings</w:t>
            </w:r>
            <w:r>
              <w:rPr>
                <w:rFonts w:cstheme="minorHAnsi"/>
                <w:szCs w:val="20"/>
              </w:rPr>
              <w:t>.</w:t>
            </w:r>
          </w:p>
          <w:p w:rsidR="003822C7" w:rsidRPr="00FC2E21"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 xml:space="preserve">Notes off-road mine-based vehicles with </w:t>
            </w:r>
            <w:r w:rsidRPr="007C1ADE">
              <w:rPr>
                <w:rFonts w:cstheme="minorHAnsi"/>
                <w:szCs w:val="20"/>
              </w:rPr>
              <w:t>315/70 R22.5</w:t>
            </w:r>
            <w:r>
              <w:rPr>
                <w:rFonts w:cstheme="minorHAnsi"/>
                <w:szCs w:val="20"/>
              </w:rPr>
              <w:t xml:space="preserve"> size tyres are currently being imported without compliance (i.e. as non-road vehicles), which means they are then required to be transported on trailers between sites, despite in most circumstances only being 5-10 mm over width.</w:t>
            </w:r>
          </w:p>
        </w:tc>
        <w:tc>
          <w:tcPr>
            <w:tcW w:w="6521" w:type="dxa"/>
            <w:gridSpan w:val="2"/>
          </w:tcPr>
          <w:p w:rsidR="003822C7" w:rsidRPr="007E70B2" w:rsidRDefault="003822C7" w:rsidP="007C097D">
            <w:pPr>
              <w:pStyle w:val="ListParagraph"/>
              <w:keepLines/>
              <w:numPr>
                <w:ilvl w:val="0"/>
                <w:numId w:val="41"/>
              </w:numPr>
              <w:tabs>
                <w:tab w:val="left" w:pos="720"/>
              </w:tabs>
              <w:suppressAutoHyphens w:val="0"/>
              <w:ind w:left="284" w:hanging="284"/>
              <w:rPr>
                <w:rFonts w:cstheme="minorHAnsi"/>
                <w:szCs w:val="20"/>
              </w:rPr>
            </w:pPr>
            <w:r w:rsidRPr="007E70B2">
              <w:rPr>
                <w:rFonts w:cstheme="minorHAnsi"/>
                <w:szCs w:val="20"/>
              </w:rPr>
              <w:t>Noted.</w:t>
            </w:r>
          </w:p>
          <w:p w:rsidR="003822C7" w:rsidRDefault="003822C7" w:rsidP="007C097D">
            <w:pPr>
              <w:pStyle w:val="ListParagraph"/>
              <w:keepLines/>
              <w:numPr>
                <w:ilvl w:val="0"/>
                <w:numId w:val="41"/>
              </w:numPr>
              <w:tabs>
                <w:tab w:val="left" w:pos="720"/>
              </w:tabs>
              <w:suppressAutoHyphens w:val="0"/>
              <w:ind w:left="284" w:hanging="284"/>
              <w:rPr>
                <w:rFonts w:cstheme="minorHAnsi"/>
                <w:szCs w:val="20"/>
              </w:rPr>
            </w:pPr>
            <w:r w:rsidRPr="007E70B2">
              <w:rPr>
                <w:rFonts w:cstheme="minorHAnsi"/>
                <w:szCs w:val="20"/>
              </w:rPr>
              <w:t>Noted.</w:t>
            </w:r>
          </w:p>
          <w:p w:rsidR="003822C7" w:rsidRDefault="003822C7" w:rsidP="007C097D">
            <w:pPr>
              <w:pStyle w:val="ListParagraph"/>
              <w:keepLines/>
              <w:numPr>
                <w:ilvl w:val="0"/>
                <w:numId w:val="41"/>
              </w:numPr>
              <w:tabs>
                <w:tab w:val="left" w:pos="720"/>
              </w:tabs>
              <w:suppressAutoHyphens w:val="0"/>
              <w:ind w:left="284" w:hanging="284"/>
              <w:rPr>
                <w:rFonts w:cstheme="minorHAnsi"/>
                <w:szCs w:val="20"/>
              </w:rPr>
            </w:pPr>
            <w:r>
              <w:rPr>
                <w:rFonts w:cstheme="minorHAnsi"/>
                <w:szCs w:val="20"/>
              </w:rPr>
              <w:t>Noted.</w:t>
            </w:r>
          </w:p>
          <w:p w:rsidR="003822C7" w:rsidRDefault="003822C7" w:rsidP="007C097D">
            <w:pPr>
              <w:pStyle w:val="ListParagraph"/>
              <w:keepLines/>
              <w:numPr>
                <w:ilvl w:val="0"/>
                <w:numId w:val="41"/>
              </w:numPr>
              <w:tabs>
                <w:tab w:val="left" w:pos="720"/>
              </w:tabs>
              <w:suppressAutoHyphens w:val="0"/>
              <w:ind w:left="284" w:hanging="284"/>
              <w:rPr>
                <w:rFonts w:cstheme="minorHAnsi"/>
                <w:szCs w:val="20"/>
              </w:rPr>
            </w:pPr>
            <w:r>
              <w:rPr>
                <w:rFonts w:cstheme="minorHAnsi"/>
                <w:szCs w:val="20"/>
              </w:rPr>
              <w:t>Noted.</w:t>
            </w:r>
          </w:p>
          <w:p w:rsidR="003822C7" w:rsidRDefault="003822C7" w:rsidP="007C097D">
            <w:pPr>
              <w:pStyle w:val="ListParagraph"/>
              <w:keepLines/>
              <w:numPr>
                <w:ilvl w:val="0"/>
                <w:numId w:val="41"/>
              </w:numPr>
              <w:tabs>
                <w:tab w:val="left" w:pos="720"/>
              </w:tabs>
              <w:suppressAutoHyphens w:val="0"/>
              <w:ind w:left="284" w:hanging="284"/>
              <w:rPr>
                <w:rFonts w:cstheme="minorHAnsi"/>
                <w:szCs w:val="20"/>
              </w:rPr>
            </w:pPr>
            <w:r>
              <w:rPr>
                <w:rFonts w:cstheme="minorHAnsi"/>
                <w:szCs w:val="20"/>
              </w:rPr>
              <w:t>Noted.</w:t>
            </w:r>
          </w:p>
          <w:p w:rsidR="003822C7" w:rsidRDefault="003822C7" w:rsidP="007C097D">
            <w:pPr>
              <w:pStyle w:val="ListParagraph"/>
              <w:keepLines/>
              <w:numPr>
                <w:ilvl w:val="0"/>
                <w:numId w:val="41"/>
              </w:numPr>
              <w:tabs>
                <w:tab w:val="left" w:pos="720"/>
              </w:tabs>
              <w:suppressAutoHyphens w:val="0"/>
              <w:ind w:left="284" w:hanging="284"/>
              <w:rPr>
                <w:rFonts w:cstheme="minorHAnsi"/>
                <w:szCs w:val="20"/>
              </w:rPr>
            </w:pPr>
            <w:r>
              <w:rPr>
                <w:rFonts w:cstheme="minorHAnsi"/>
                <w:szCs w:val="20"/>
              </w:rPr>
              <w:t>Agreed.</w:t>
            </w:r>
          </w:p>
          <w:p w:rsidR="003822C7" w:rsidRPr="007E70B2" w:rsidRDefault="003822C7" w:rsidP="007C097D">
            <w:pPr>
              <w:pStyle w:val="ListParagraph"/>
              <w:keepLines/>
              <w:numPr>
                <w:ilvl w:val="0"/>
                <w:numId w:val="41"/>
              </w:numPr>
              <w:tabs>
                <w:tab w:val="left" w:pos="720"/>
              </w:tabs>
              <w:suppressAutoHyphens w:val="0"/>
              <w:ind w:left="284" w:hanging="284"/>
              <w:rPr>
                <w:rFonts w:cstheme="minorHAnsi"/>
                <w:szCs w:val="20"/>
              </w:rPr>
            </w:pPr>
            <w:r>
              <w:rPr>
                <w:rFonts w:cstheme="minorHAnsi"/>
                <w:szCs w:val="20"/>
              </w:rPr>
              <w:t>Noted.</w:t>
            </w:r>
          </w:p>
        </w:tc>
      </w:tr>
      <w:tr w:rsidR="003822C7" w:rsidRPr="007B6E69" w:rsidTr="003822C7">
        <w:tc>
          <w:tcPr>
            <w:tcW w:w="1696" w:type="dxa"/>
          </w:tcPr>
          <w:p w:rsidR="003822C7" w:rsidRPr="007B6E69" w:rsidRDefault="003822C7" w:rsidP="007901FB">
            <w:pPr>
              <w:spacing w:before="120" w:after="120"/>
              <w:rPr>
                <w:rFonts w:cstheme="minorHAnsi"/>
              </w:rPr>
            </w:pPr>
            <w:r w:rsidRPr="007B6E69">
              <w:rPr>
                <w:rFonts w:cstheme="minorHAnsi"/>
              </w:rPr>
              <w:t>National Heavy Vehicle Regulator</w:t>
            </w:r>
          </w:p>
        </w:tc>
        <w:tc>
          <w:tcPr>
            <w:tcW w:w="6379" w:type="dxa"/>
          </w:tcPr>
          <w:p w:rsidR="003822C7" w:rsidRPr="00AD679F" w:rsidRDefault="003822C7" w:rsidP="007C097D">
            <w:pPr>
              <w:pStyle w:val="ListParagraph"/>
              <w:keepLines/>
              <w:numPr>
                <w:ilvl w:val="6"/>
                <w:numId w:val="32"/>
              </w:numPr>
              <w:tabs>
                <w:tab w:val="left" w:pos="320"/>
              </w:tabs>
              <w:suppressAutoHyphens w:val="0"/>
              <w:ind w:left="284"/>
              <w:rPr>
                <w:rFonts w:cstheme="minorHAnsi"/>
                <w:szCs w:val="20"/>
              </w:rPr>
            </w:pPr>
            <w:r w:rsidRPr="00AD679F">
              <w:rPr>
                <w:rFonts w:cstheme="minorHAnsi"/>
                <w:szCs w:val="20"/>
              </w:rPr>
              <w:t xml:space="preserve">Supports increasing the maximum width for goods vehicles and trailers over 4.5 tonnes to </w:t>
            </w:r>
            <w:r w:rsidR="00B9347B">
              <w:rPr>
                <w:rFonts w:cstheme="minorHAnsi"/>
                <w:szCs w:val="20"/>
              </w:rPr>
              <w:t>2.60</w:t>
            </w:r>
            <w:r>
              <w:rPr>
                <w:rFonts w:cstheme="minorHAnsi"/>
                <w:szCs w:val="20"/>
              </w:rPr>
              <w:t> </w:t>
            </w:r>
            <w:r w:rsidRPr="00AD679F">
              <w:rPr>
                <w:rFonts w:cstheme="minorHAnsi"/>
                <w:szCs w:val="20"/>
              </w:rPr>
              <w:t>m.</w:t>
            </w:r>
          </w:p>
          <w:p w:rsidR="003822C7" w:rsidRDefault="003822C7" w:rsidP="007901FB">
            <w:pPr>
              <w:pStyle w:val="ListParagraph"/>
              <w:keepLines/>
              <w:numPr>
                <w:ilvl w:val="6"/>
                <w:numId w:val="1"/>
              </w:numPr>
              <w:tabs>
                <w:tab w:val="left" w:pos="320"/>
              </w:tabs>
              <w:suppressAutoHyphens w:val="0"/>
              <w:ind w:left="284"/>
              <w:rPr>
                <w:rFonts w:cstheme="minorHAnsi"/>
                <w:szCs w:val="20"/>
              </w:rPr>
            </w:pPr>
            <w:r w:rsidRPr="00AD679F">
              <w:rPr>
                <w:rFonts w:cstheme="minorHAnsi"/>
                <w:szCs w:val="20"/>
              </w:rPr>
              <w:t>Supports the exclusions proposed for enhanced devices for indirect vision and monitoring devices to detect other road users from vehicle width and length measurements.</w:t>
            </w:r>
          </w:p>
          <w:p w:rsidR="003822C7"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 xml:space="preserve">Recommends any </w:t>
            </w:r>
            <w:r w:rsidR="00B9347B">
              <w:rPr>
                <w:rFonts w:cstheme="minorHAnsi"/>
                <w:szCs w:val="20"/>
              </w:rPr>
              <w:t>2.60</w:t>
            </w:r>
            <w:r>
              <w:rPr>
                <w:rFonts w:cstheme="minorHAnsi"/>
                <w:szCs w:val="20"/>
              </w:rPr>
              <w:t> </w:t>
            </w:r>
            <w:r w:rsidRPr="00F73153">
              <w:rPr>
                <w:rFonts w:cstheme="minorHAnsi"/>
                <w:szCs w:val="20"/>
              </w:rPr>
              <w:t>m width limit be inclusive of permanently fixed webbing-assembly-type devices</w:t>
            </w:r>
            <w:r>
              <w:rPr>
                <w:rFonts w:cstheme="minorHAnsi"/>
                <w:szCs w:val="20"/>
              </w:rPr>
              <w:t>.</w:t>
            </w:r>
          </w:p>
          <w:p w:rsidR="003822C7"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 xml:space="preserve">Recommends a vehicle stability function and antilock brake system in accordance with ADR 38/05 be included as a safety requirement for wider </w:t>
            </w:r>
            <w:r w:rsidRPr="00F73153">
              <w:rPr>
                <w:rFonts w:cstheme="minorHAnsi"/>
                <w:szCs w:val="20"/>
              </w:rPr>
              <w:t>trailers</w:t>
            </w:r>
            <w:r>
              <w:rPr>
                <w:rFonts w:cstheme="minorHAnsi"/>
                <w:szCs w:val="20"/>
              </w:rPr>
              <w:t>.</w:t>
            </w:r>
          </w:p>
          <w:p w:rsidR="003822C7" w:rsidRPr="0035326D"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Recommends that wider vehicles which meet the additional proposed safety requirements are identified on the Register of Approved Vehicles or alternatively fitted with a label (or similar) by vehicle manufacturers – to help ensure compliance of vehicles in-service.</w:t>
            </w:r>
          </w:p>
        </w:tc>
        <w:tc>
          <w:tcPr>
            <w:tcW w:w="6521" w:type="dxa"/>
            <w:gridSpan w:val="2"/>
          </w:tcPr>
          <w:p w:rsidR="003822C7" w:rsidRPr="00AD679F" w:rsidRDefault="003822C7" w:rsidP="007C097D">
            <w:pPr>
              <w:pStyle w:val="ListParagraph"/>
              <w:keepNext/>
              <w:keepLines/>
              <w:numPr>
                <w:ilvl w:val="0"/>
                <w:numId w:val="29"/>
              </w:numPr>
              <w:tabs>
                <w:tab w:val="left" w:pos="720"/>
              </w:tabs>
              <w:suppressAutoHyphens w:val="0"/>
              <w:ind w:left="284" w:hanging="284"/>
              <w:rPr>
                <w:rFonts w:cstheme="minorHAnsi"/>
                <w:szCs w:val="20"/>
              </w:rPr>
            </w:pPr>
            <w:r w:rsidRPr="00AD679F">
              <w:rPr>
                <w:rFonts w:cstheme="minorHAnsi"/>
                <w:szCs w:val="20"/>
              </w:rPr>
              <w:t>Noted.</w:t>
            </w:r>
          </w:p>
          <w:p w:rsidR="003822C7" w:rsidRDefault="003822C7" w:rsidP="007C097D">
            <w:pPr>
              <w:pStyle w:val="ListParagraph"/>
              <w:keepNext/>
              <w:keepLines/>
              <w:numPr>
                <w:ilvl w:val="0"/>
                <w:numId w:val="29"/>
              </w:numPr>
              <w:tabs>
                <w:tab w:val="left" w:pos="720"/>
              </w:tabs>
              <w:suppressAutoHyphens w:val="0"/>
              <w:ind w:left="284" w:hanging="284"/>
              <w:rPr>
                <w:rFonts w:cstheme="minorHAnsi"/>
                <w:szCs w:val="20"/>
              </w:rPr>
            </w:pPr>
            <w:r w:rsidRPr="00AD679F">
              <w:rPr>
                <w:rFonts w:cstheme="minorHAnsi"/>
                <w:szCs w:val="20"/>
              </w:rPr>
              <w:t>Noted.</w:t>
            </w:r>
          </w:p>
          <w:p w:rsidR="003822C7" w:rsidRPr="00BF09DA" w:rsidRDefault="003822C7" w:rsidP="007C097D">
            <w:pPr>
              <w:pStyle w:val="ListParagraph"/>
              <w:keepNext/>
              <w:keepLines/>
              <w:numPr>
                <w:ilvl w:val="0"/>
                <w:numId w:val="29"/>
              </w:numPr>
              <w:tabs>
                <w:tab w:val="left" w:pos="720"/>
              </w:tabs>
              <w:suppressAutoHyphens w:val="0"/>
              <w:ind w:left="284" w:hanging="284"/>
              <w:rPr>
                <w:rFonts w:cstheme="minorHAnsi"/>
                <w:szCs w:val="20"/>
              </w:rPr>
            </w:pPr>
            <w:r w:rsidRPr="00BF09DA">
              <w:rPr>
                <w:rFonts w:cstheme="minorHAnsi"/>
                <w:szCs w:val="20"/>
              </w:rPr>
              <w:t xml:space="preserve">Accepted that these devices can be designed into the </w:t>
            </w:r>
            <w:r>
              <w:rPr>
                <w:rFonts w:cstheme="minorHAnsi"/>
                <w:szCs w:val="20"/>
              </w:rPr>
              <w:t>vehicle</w:t>
            </w:r>
            <w:r w:rsidRPr="00BF09DA">
              <w:rPr>
                <w:rFonts w:cstheme="minorHAnsi"/>
                <w:szCs w:val="20"/>
              </w:rPr>
              <w:t xml:space="preserve">, so no additional width relative to the current limit is required. The recommended option does not allow these devices to be any wider than </w:t>
            </w:r>
            <w:r w:rsidRPr="00202907">
              <w:rPr>
                <w:rFonts w:cstheme="minorHAnsi"/>
                <w:color w:val="auto"/>
                <w:szCs w:val="20"/>
              </w:rPr>
              <w:t>2.55</w:t>
            </w:r>
            <w:r w:rsidRPr="00BF09DA">
              <w:rPr>
                <w:rFonts w:cstheme="minorHAnsi"/>
                <w:color w:val="auto"/>
                <w:szCs w:val="20"/>
              </w:rPr>
              <w:t> m.</w:t>
            </w:r>
          </w:p>
          <w:p w:rsidR="003822C7" w:rsidRDefault="003822C7" w:rsidP="007C097D">
            <w:pPr>
              <w:pStyle w:val="ListParagraph"/>
              <w:keepNext/>
              <w:keepLines/>
              <w:numPr>
                <w:ilvl w:val="0"/>
                <w:numId w:val="29"/>
              </w:numPr>
              <w:tabs>
                <w:tab w:val="left" w:pos="720"/>
              </w:tabs>
              <w:suppressAutoHyphens w:val="0"/>
              <w:ind w:left="284" w:hanging="284"/>
              <w:rPr>
                <w:rFonts w:cstheme="minorHAnsi"/>
                <w:szCs w:val="20"/>
              </w:rPr>
            </w:pPr>
            <w:r>
              <w:rPr>
                <w:rFonts w:cstheme="minorHAnsi"/>
                <w:szCs w:val="20"/>
              </w:rPr>
              <w:t>Agreed</w:t>
            </w:r>
            <w:r w:rsidR="00823DDC">
              <w:rPr>
                <w:rFonts w:cstheme="minorHAnsi"/>
                <w:szCs w:val="20"/>
              </w:rPr>
              <w:t xml:space="preserve"> – ADR 38/05 is included as a mandatory standard under Options </w:t>
            </w:r>
            <w:r w:rsidR="00E33A23">
              <w:rPr>
                <w:rFonts w:cstheme="minorHAnsi"/>
                <w:szCs w:val="20"/>
              </w:rPr>
              <w:t>3</w:t>
            </w:r>
            <w:r w:rsidR="00823DDC">
              <w:rPr>
                <w:rFonts w:cstheme="minorHAnsi"/>
                <w:szCs w:val="20"/>
              </w:rPr>
              <w:t xml:space="preserve">.1a and </w:t>
            </w:r>
            <w:r w:rsidR="00E33A23">
              <w:rPr>
                <w:rFonts w:cstheme="minorHAnsi"/>
                <w:szCs w:val="20"/>
              </w:rPr>
              <w:t>3</w:t>
            </w:r>
            <w:r w:rsidR="00823DDC">
              <w:rPr>
                <w:rFonts w:cstheme="minorHAnsi"/>
                <w:szCs w:val="20"/>
              </w:rPr>
              <w:t xml:space="preserve">.2a in this </w:t>
            </w:r>
            <w:r w:rsidR="00C45600">
              <w:rPr>
                <w:rFonts w:cstheme="minorHAnsi"/>
                <w:szCs w:val="20"/>
              </w:rPr>
              <w:t>IA</w:t>
            </w:r>
            <w:r w:rsidR="00823DDC">
              <w:rPr>
                <w:rFonts w:cstheme="minorHAnsi"/>
                <w:szCs w:val="20"/>
              </w:rPr>
              <w:t>.</w:t>
            </w:r>
          </w:p>
          <w:p w:rsidR="003822C7" w:rsidRPr="00AD679F" w:rsidRDefault="003822C7" w:rsidP="007C097D">
            <w:pPr>
              <w:pStyle w:val="ListParagraph"/>
              <w:keepNext/>
              <w:keepLines/>
              <w:numPr>
                <w:ilvl w:val="0"/>
                <w:numId w:val="29"/>
              </w:numPr>
              <w:tabs>
                <w:tab w:val="left" w:pos="720"/>
              </w:tabs>
              <w:suppressAutoHyphens w:val="0"/>
              <w:ind w:left="284" w:hanging="284"/>
              <w:rPr>
                <w:rFonts w:cstheme="minorHAnsi"/>
                <w:szCs w:val="20"/>
              </w:rPr>
            </w:pPr>
            <w:r>
              <w:rPr>
                <w:rFonts w:cstheme="minorHAnsi"/>
                <w:szCs w:val="20"/>
              </w:rPr>
              <w:t>Agreed.</w:t>
            </w:r>
          </w:p>
        </w:tc>
      </w:tr>
      <w:tr w:rsidR="003822C7" w:rsidRPr="007B6E69" w:rsidTr="003822C7">
        <w:tc>
          <w:tcPr>
            <w:tcW w:w="1696" w:type="dxa"/>
          </w:tcPr>
          <w:p w:rsidR="003822C7" w:rsidRPr="007B6E69" w:rsidRDefault="003822C7" w:rsidP="007901FB">
            <w:pPr>
              <w:spacing w:before="120" w:after="120"/>
              <w:rPr>
                <w:rFonts w:cstheme="minorHAnsi"/>
              </w:rPr>
            </w:pPr>
            <w:r w:rsidRPr="007B6E69">
              <w:rPr>
                <w:rFonts w:cstheme="minorHAnsi"/>
              </w:rPr>
              <w:t>NSW Government – Transport for NSW</w:t>
            </w:r>
          </w:p>
        </w:tc>
        <w:tc>
          <w:tcPr>
            <w:tcW w:w="6379" w:type="dxa"/>
          </w:tcPr>
          <w:p w:rsidR="003822C7" w:rsidRDefault="003822C7" w:rsidP="00E248BF">
            <w:pPr>
              <w:pStyle w:val="ListParagraph"/>
              <w:keepLines/>
              <w:numPr>
                <w:ilvl w:val="0"/>
                <w:numId w:val="62"/>
              </w:numPr>
              <w:tabs>
                <w:tab w:val="left" w:pos="325"/>
                <w:tab w:val="left" w:pos="720"/>
              </w:tabs>
              <w:suppressAutoHyphens w:val="0"/>
              <w:ind w:left="284" w:hanging="284"/>
              <w:rPr>
                <w:rFonts w:cstheme="minorHAnsi"/>
              </w:rPr>
            </w:pPr>
            <w:r>
              <w:rPr>
                <w:rFonts w:cstheme="minorHAnsi"/>
                <w:szCs w:val="20"/>
              </w:rPr>
              <w:t xml:space="preserve">Supports </w:t>
            </w:r>
            <w:r w:rsidRPr="00AD679F">
              <w:rPr>
                <w:rFonts w:cstheme="minorHAnsi"/>
                <w:szCs w:val="20"/>
              </w:rPr>
              <w:t>increasing the maximum width for goods vehicles and trailers over 4.5 tonnes to 2.</w:t>
            </w:r>
            <w:r>
              <w:rPr>
                <w:rFonts w:cstheme="minorHAnsi"/>
                <w:szCs w:val="20"/>
              </w:rPr>
              <w:t>55 m, as t</w:t>
            </w:r>
            <w:r w:rsidRPr="000D3911">
              <w:rPr>
                <w:rFonts w:cstheme="minorHAnsi"/>
                <w:szCs w:val="20"/>
              </w:rPr>
              <w:t>his would present the fastest method to saturate the market with heavy vehicles and trailers with a range of best practice safety features, to ensure</w:t>
            </w:r>
            <w:r>
              <w:rPr>
                <w:rFonts w:cstheme="minorHAnsi"/>
                <w:szCs w:val="20"/>
              </w:rPr>
              <w:t xml:space="preserve"> </w:t>
            </w:r>
            <w:r w:rsidRPr="000D3911">
              <w:rPr>
                <w:rFonts w:cstheme="minorHAnsi"/>
                <w:szCs w:val="20"/>
              </w:rPr>
              <w:t>Australian road users would benefit from these crucial safety features.</w:t>
            </w:r>
          </w:p>
          <w:p w:rsidR="003822C7" w:rsidRDefault="003822C7" w:rsidP="00E248BF">
            <w:pPr>
              <w:pStyle w:val="ListParagraph"/>
              <w:keepLines/>
              <w:numPr>
                <w:ilvl w:val="0"/>
                <w:numId w:val="62"/>
              </w:numPr>
              <w:tabs>
                <w:tab w:val="left" w:pos="325"/>
                <w:tab w:val="left" w:pos="720"/>
              </w:tabs>
              <w:suppressAutoHyphens w:val="0"/>
              <w:ind w:left="284" w:hanging="284"/>
              <w:rPr>
                <w:rFonts w:cstheme="minorHAnsi"/>
              </w:rPr>
            </w:pPr>
            <w:r>
              <w:rPr>
                <w:rFonts w:cstheme="minorHAnsi"/>
              </w:rPr>
              <w:t xml:space="preserve">Notes </w:t>
            </w:r>
            <w:r w:rsidRPr="000D3911">
              <w:rPr>
                <w:rFonts w:cstheme="minorHAnsi"/>
              </w:rPr>
              <w:t>T</w:t>
            </w:r>
            <w:r>
              <w:rPr>
                <w:rFonts w:cstheme="minorHAnsi"/>
              </w:rPr>
              <w:t xml:space="preserve">ransport </w:t>
            </w:r>
            <w:r w:rsidRPr="000D3911">
              <w:rPr>
                <w:rFonts w:cstheme="minorHAnsi"/>
              </w:rPr>
              <w:t>f</w:t>
            </w:r>
            <w:r>
              <w:rPr>
                <w:rFonts w:cstheme="minorHAnsi"/>
              </w:rPr>
              <w:t xml:space="preserve">or </w:t>
            </w:r>
            <w:r w:rsidRPr="000D3911">
              <w:rPr>
                <w:rFonts w:cstheme="minorHAnsi"/>
              </w:rPr>
              <w:t xml:space="preserve">NSW is currently looking at measures to accommodate </w:t>
            </w:r>
            <w:r>
              <w:rPr>
                <w:rFonts w:cstheme="minorHAnsi"/>
              </w:rPr>
              <w:t xml:space="preserve">freight vehicles up to </w:t>
            </w:r>
            <w:r w:rsidR="00B9347B">
              <w:rPr>
                <w:rFonts w:cstheme="minorHAnsi"/>
              </w:rPr>
              <w:t>2.60</w:t>
            </w:r>
            <w:r>
              <w:rPr>
                <w:rFonts w:cstheme="minorHAnsi"/>
              </w:rPr>
              <w:t> m in width</w:t>
            </w:r>
            <w:r w:rsidRPr="000D3911">
              <w:rPr>
                <w:rFonts w:cstheme="minorHAnsi"/>
              </w:rPr>
              <w:t>, however</w:t>
            </w:r>
            <w:r>
              <w:rPr>
                <w:rFonts w:cstheme="minorHAnsi"/>
              </w:rPr>
              <w:t xml:space="preserve"> </w:t>
            </w:r>
            <w:r w:rsidRPr="000D3911">
              <w:rPr>
                <w:rFonts w:cstheme="minorHAnsi"/>
              </w:rPr>
              <w:t>this requires further analysis and consideration of how to manage these vehicles on the road network.</w:t>
            </w:r>
          </w:p>
          <w:p w:rsidR="003822C7" w:rsidRDefault="003822C7" w:rsidP="00E248BF">
            <w:pPr>
              <w:pStyle w:val="ListParagraph"/>
              <w:keepLines/>
              <w:numPr>
                <w:ilvl w:val="0"/>
                <w:numId w:val="62"/>
              </w:numPr>
              <w:tabs>
                <w:tab w:val="left" w:pos="325"/>
                <w:tab w:val="left" w:pos="720"/>
              </w:tabs>
              <w:suppressAutoHyphens w:val="0"/>
              <w:ind w:left="284" w:hanging="284"/>
              <w:rPr>
                <w:rFonts w:cstheme="minorHAnsi"/>
              </w:rPr>
            </w:pPr>
            <w:r>
              <w:rPr>
                <w:rFonts w:cstheme="minorHAnsi"/>
              </w:rPr>
              <w:t>Supports all the mandatory safety standards proposed for safer wider vehicles in the discussion paper.</w:t>
            </w:r>
          </w:p>
          <w:p w:rsidR="003822C7" w:rsidRDefault="003822C7" w:rsidP="00E248BF">
            <w:pPr>
              <w:pStyle w:val="ListParagraph"/>
              <w:keepLines/>
              <w:numPr>
                <w:ilvl w:val="0"/>
                <w:numId w:val="62"/>
              </w:numPr>
              <w:tabs>
                <w:tab w:val="left" w:pos="325"/>
                <w:tab w:val="left" w:pos="720"/>
              </w:tabs>
              <w:suppressAutoHyphens w:val="0"/>
              <w:ind w:left="284" w:hanging="284"/>
              <w:rPr>
                <w:rFonts w:cstheme="minorHAnsi"/>
              </w:rPr>
            </w:pPr>
            <w:r>
              <w:rPr>
                <w:rFonts w:cstheme="minorHAnsi"/>
              </w:rPr>
              <w:t xml:space="preserve">To ensure the safest vehicles are being supplied </w:t>
            </w:r>
            <w:r w:rsidRPr="000D3911">
              <w:rPr>
                <w:rFonts w:cstheme="minorHAnsi"/>
              </w:rPr>
              <w:t>to the market, the NSW Government</w:t>
            </w:r>
            <w:r>
              <w:rPr>
                <w:rFonts w:cstheme="minorHAnsi"/>
              </w:rPr>
              <w:t xml:space="preserve"> also </w:t>
            </w:r>
            <w:r w:rsidRPr="000D3911">
              <w:rPr>
                <w:rFonts w:cstheme="minorHAnsi"/>
              </w:rPr>
              <w:t xml:space="preserve">supports </w:t>
            </w:r>
            <w:r>
              <w:rPr>
                <w:rFonts w:cstheme="minorHAnsi"/>
              </w:rPr>
              <w:t xml:space="preserve">the additional standards proposed for wider vehicles </w:t>
            </w:r>
            <w:r w:rsidRPr="000D3911">
              <w:rPr>
                <w:rFonts w:cstheme="minorHAnsi"/>
              </w:rPr>
              <w:t>being adopted for all heavy vehicles regardless of the width of the vehicle.</w:t>
            </w:r>
          </w:p>
          <w:p w:rsidR="003822C7" w:rsidRDefault="003822C7" w:rsidP="00E248BF">
            <w:pPr>
              <w:pStyle w:val="ListParagraph"/>
              <w:keepLines/>
              <w:numPr>
                <w:ilvl w:val="0"/>
                <w:numId w:val="62"/>
              </w:numPr>
              <w:tabs>
                <w:tab w:val="left" w:pos="325"/>
                <w:tab w:val="left" w:pos="720"/>
              </w:tabs>
              <w:suppressAutoHyphens w:val="0"/>
              <w:ind w:left="284" w:hanging="284"/>
              <w:rPr>
                <w:rFonts w:cstheme="minorHAnsi"/>
              </w:rPr>
            </w:pPr>
            <w:r w:rsidRPr="000D3911">
              <w:rPr>
                <w:rFonts w:cstheme="minorHAnsi"/>
              </w:rPr>
              <w:t>The NSW Government supports further standards for consideration, such as front and</w:t>
            </w:r>
            <w:r>
              <w:rPr>
                <w:rFonts w:cstheme="minorHAnsi"/>
              </w:rPr>
              <w:t xml:space="preserve"> </w:t>
            </w:r>
            <w:r w:rsidRPr="000D3911">
              <w:rPr>
                <w:rFonts w:cstheme="minorHAnsi"/>
              </w:rPr>
              <w:t>rear underrun protection devices that would further improve safety outcomes, and</w:t>
            </w:r>
            <w:r>
              <w:rPr>
                <w:rFonts w:cstheme="minorHAnsi"/>
              </w:rPr>
              <w:t xml:space="preserve"> </w:t>
            </w:r>
            <w:r w:rsidRPr="000D3911">
              <w:rPr>
                <w:rFonts w:cstheme="minorHAnsi"/>
              </w:rPr>
              <w:t>help mitigate risks associated with an increased risk of collisions with the front and</w:t>
            </w:r>
            <w:r>
              <w:rPr>
                <w:rFonts w:cstheme="minorHAnsi"/>
              </w:rPr>
              <w:t xml:space="preserve"> </w:t>
            </w:r>
            <w:r w:rsidRPr="000D3911">
              <w:rPr>
                <w:rFonts w:cstheme="minorHAnsi"/>
              </w:rPr>
              <w:t>rear of the heavy vehicles that is associated with a wider vehicle.</w:t>
            </w:r>
          </w:p>
          <w:p w:rsidR="003822C7" w:rsidRDefault="003822C7" w:rsidP="00E248BF">
            <w:pPr>
              <w:pStyle w:val="ListParagraph"/>
              <w:keepLines/>
              <w:numPr>
                <w:ilvl w:val="0"/>
                <w:numId w:val="62"/>
              </w:numPr>
              <w:tabs>
                <w:tab w:val="left" w:pos="320"/>
              </w:tabs>
              <w:suppressAutoHyphens w:val="0"/>
              <w:ind w:left="284" w:hanging="284"/>
              <w:rPr>
                <w:rFonts w:cstheme="minorHAnsi"/>
                <w:szCs w:val="20"/>
              </w:rPr>
            </w:pPr>
            <w:r w:rsidRPr="00AD679F">
              <w:rPr>
                <w:rFonts w:cstheme="minorHAnsi"/>
                <w:szCs w:val="20"/>
              </w:rPr>
              <w:t>Supports the exclusions proposed for enhanced devices for indirect vision and monitoring devices to detect other road users from vehicle width and length measurements.</w:t>
            </w:r>
          </w:p>
          <w:p w:rsidR="003822C7" w:rsidRPr="0086139F" w:rsidRDefault="003822C7" w:rsidP="00E248BF">
            <w:pPr>
              <w:pStyle w:val="ListParagraph"/>
              <w:keepLines/>
              <w:numPr>
                <w:ilvl w:val="0"/>
                <w:numId w:val="62"/>
              </w:numPr>
              <w:tabs>
                <w:tab w:val="left" w:pos="325"/>
                <w:tab w:val="left" w:pos="720"/>
              </w:tabs>
              <w:suppressAutoHyphens w:val="0"/>
              <w:ind w:left="284" w:hanging="284"/>
              <w:rPr>
                <w:rFonts w:cstheme="minorHAnsi"/>
              </w:rPr>
            </w:pPr>
            <w:r w:rsidRPr="000D3911">
              <w:rPr>
                <w:rFonts w:cstheme="minorHAnsi"/>
              </w:rPr>
              <w:t>All the devices and systems that are proposed to be excluded from vehicle width and length measurements should continue to be subject to the existing ADR requirements for external projections</w:t>
            </w:r>
            <w:r>
              <w:rPr>
                <w:rFonts w:cstheme="minorHAnsi"/>
              </w:rPr>
              <w:t>.</w:t>
            </w:r>
          </w:p>
        </w:tc>
        <w:tc>
          <w:tcPr>
            <w:tcW w:w="6521" w:type="dxa"/>
            <w:gridSpan w:val="2"/>
          </w:tcPr>
          <w:p w:rsidR="003822C7" w:rsidRDefault="003822C7" w:rsidP="00E248BF">
            <w:pPr>
              <w:pStyle w:val="ListParagraph"/>
              <w:keepLines/>
              <w:numPr>
                <w:ilvl w:val="6"/>
                <w:numId w:val="62"/>
              </w:numPr>
              <w:tabs>
                <w:tab w:val="left" w:pos="318"/>
              </w:tabs>
              <w:suppressAutoHyphens w:val="0"/>
              <w:ind w:left="284" w:hanging="284"/>
              <w:rPr>
                <w:rFonts w:cstheme="minorHAnsi"/>
              </w:rPr>
            </w:pPr>
            <w:r>
              <w:rPr>
                <w:rFonts w:cstheme="minorHAnsi"/>
              </w:rPr>
              <w:t>Noted.</w:t>
            </w:r>
          </w:p>
          <w:p w:rsidR="003822C7" w:rsidRDefault="003822C7" w:rsidP="00E248BF">
            <w:pPr>
              <w:pStyle w:val="ListParagraph"/>
              <w:keepLines/>
              <w:numPr>
                <w:ilvl w:val="6"/>
                <w:numId w:val="62"/>
              </w:numPr>
              <w:tabs>
                <w:tab w:val="left" w:pos="318"/>
              </w:tabs>
              <w:suppressAutoHyphens w:val="0"/>
              <w:ind w:left="284" w:hanging="284"/>
              <w:rPr>
                <w:rFonts w:cstheme="minorHAnsi"/>
              </w:rPr>
            </w:pPr>
            <w:r>
              <w:rPr>
                <w:rFonts w:cstheme="minorHAnsi"/>
              </w:rPr>
              <w:t>Noted.</w:t>
            </w:r>
          </w:p>
          <w:p w:rsidR="003822C7" w:rsidRDefault="003822C7" w:rsidP="00E248BF">
            <w:pPr>
              <w:pStyle w:val="ListParagraph"/>
              <w:keepLines/>
              <w:numPr>
                <w:ilvl w:val="6"/>
                <w:numId w:val="62"/>
              </w:numPr>
              <w:tabs>
                <w:tab w:val="left" w:pos="318"/>
              </w:tabs>
              <w:suppressAutoHyphens w:val="0"/>
              <w:ind w:left="284" w:hanging="284"/>
              <w:rPr>
                <w:rFonts w:cstheme="minorHAnsi"/>
              </w:rPr>
            </w:pPr>
            <w:r>
              <w:rPr>
                <w:rFonts w:cstheme="minorHAnsi"/>
              </w:rPr>
              <w:t>Noted.</w:t>
            </w:r>
          </w:p>
          <w:p w:rsidR="003822C7" w:rsidRDefault="00551BED" w:rsidP="00E248BF">
            <w:pPr>
              <w:pStyle w:val="ListParagraph"/>
              <w:keepLines/>
              <w:numPr>
                <w:ilvl w:val="6"/>
                <w:numId w:val="62"/>
              </w:numPr>
              <w:tabs>
                <w:tab w:val="left" w:pos="318"/>
              </w:tabs>
              <w:suppressAutoHyphens w:val="0"/>
              <w:ind w:left="284" w:hanging="284"/>
              <w:rPr>
                <w:rFonts w:cstheme="minorHAnsi"/>
              </w:rPr>
            </w:pPr>
            <w:r w:rsidRPr="0044497C">
              <w:rPr>
                <w:rFonts w:cstheme="minorHAnsi"/>
              </w:rPr>
              <w:t>AEB and ESC have since been mandated regardless of width</w:t>
            </w:r>
            <w:r>
              <w:rPr>
                <w:rFonts w:cstheme="minorHAnsi"/>
              </w:rPr>
              <w:t xml:space="preserve"> through ADRs 97/00 and 35/07</w:t>
            </w:r>
            <w:r w:rsidRPr="0044497C">
              <w:rPr>
                <w:rFonts w:cstheme="minorHAnsi"/>
              </w:rPr>
              <w:t>.</w:t>
            </w:r>
            <w:r>
              <w:rPr>
                <w:rFonts w:cstheme="minorHAnsi"/>
              </w:rPr>
              <w:t xml:space="preserve"> Further, a</w:t>
            </w:r>
            <w:r w:rsidRPr="0044497C">
              <w:rPr>
                <w:rFonts w:cstheme="minorHAnsi"/>
              </w:rPr>
              <w:t xml:space="preserve"> separate </w:t>
            </w:r>
            <w:r w:rsidR="00C45600">
              <w:rPr>
                <w:rFonts w:cstheme="minorHAnsi"/>
              </w:rPr>
              <w:t>IA</w:t>
            </w:r>
            <w:r w:rsidRPr="0044497C">
              <w:rPr>
                <w:rFonts w:cstheme="minorHAnsi"/>
              </w:rPr>
              <w:t xml:space="preserve"> has been prepared to consider the case to mandate LDWS regardless of width. </w:t>
            </w:r>
            <w:r w:rsidR="00C475C0" w:rsidRPr="0044497C">
              <w:rPr>
                <w:rFonts w:cstheme="minorHAnsi"/>
              </w:rPr>
              <w:t xml:space="preserve">These are all still included </w:t>
            </w:r>
            <w:r w:rsidR="00C475C0">
              <w:rPr>
                <w:rFonts w:cstheme="minorHAnsi"/>
              </w:rPr>
              <w:t xml:space="preserve">under each of the options in this </w:t>
            </w:r>
            <w:r w:rsidR="00C45600">
              <w:rPr>
                <w:rFonts w:cstheme="minorHAnsi"/>
              </w:rPr>
              <w:t>IA</w:t>
            </w:r>
            <w:r w:rsidR="00C475C0" w:rsidRPr="0044497C">
              <w:rPr>
                <w:rFonts w:cstheme="minorHAnsi"/>
              </w:rPr>
              <w:t xml:space="preserve"> as a means to </w:t>
            </w:r>
            <w:r w:rsidR="00C475C0">
              <w:rPr>
                <w:rFonts w:cstheme="minorHAnsi"/>
              </w:rPr>
              <w:t>ensure vehicles already in-service will also be required to be fitted with these safety systems, before they can be modified to be wider than 2.50 m</w:t>
            </w:r>
            <w:r w:rsidRPr="0044497C">
              <w:rPr>
                <w:rFonts w:cstheme="minorHAnsi"/>
              </w:rPr>
              <w:t xml:space="preserve">. A broader mandate for </w:t>
            </w:r>
            <w:r w:rsidR="00496A94">
              <w:rPr>
                <w:rFonts w:cstheme="minorHAnsi"/>
              </w:rPr>
              <w:t>the other safety systems and features</w:t>
            </w:r>
            <w:r w:rsidRPr="0044497C">
              <w:rPr>
                <w:rFonts w:cstheme="minorHAnsi"/>
              </w:rPr>
              <w:t xml:space="preserve"> could be considered in future, but may not be necessary if there is high take up of safer freight vehicles</w:t>
            </w:r>
            <w:r w:rsidR="00496A94">
              <w:rPr>
                <w:rFonts w:cstheme="minorHAnsi"/>
              </w:rPr>
              <w:t>,</w:t>
            </w:r>
            <w:r w:rsidRPr="0044497C">
              <w:rPr>
                <w:rFonts w:cstheme="minorHAnsi"/>
              </w:rPr>
              <w:t xml:space="preserve"> as a result of this proposal</w:t>
            </w:r>
            <w:r w:rsidR="003822C7">
              <w:rPr>
                <w:rFonts w:cstheme="minorHAnsi"/>
              </w:rPr>
              <w:t>.</w:t>
            </w:r>
          </w:p>
          <w:p w:rsidR="003822C7" w:rsidRPr="008A20D1" w:rsidRDefault="008A20D1" w:rsidP="00E248BF">
            <w:pPr>
              <w:pStyle w:val="ListParagraph"/>
              <w:keepLines/>
              <w:numPr>
                <w:ilvl w:val="6"/>
                <w:numId w:val="62"/>
              </w:numPr>
              <w:tabs>
                <w:tab w:val="left" w:pos="318"/>
              </w:tabs>
              <w:suppressAutoHyphens w:val="0"/>
              <w:ind w:left="284" w:hanging="284"/>
              <w:rPr>
                <w:rFonts w:cstheme="minorHAnsi"/>
              </w:rPr>
            </w:pPr>
            <w:r w:rsidRPr="008A20D1">
              <w:rPr>
                <w:rFonts w:cstheme="minorHAnsi"/>
              </w:rPr>
              <w:t xml:space="preserve">Disagree. </w:t>
            </w:r>
            <w:r w:rsidR="00714CDD" w:rsidRPr="008A20D1">
              <w:rPr>
                <w:rFonts w:cstheme="minorHAnsi"/>
              </w:rPr>
              <w:t xml:space="preserve">Front underrun protection is already mandatory </w:t>
            </w:r>
            <w:r w:rsidRPr="008A20D1">
              <w:rPr>
                <w:rFonts w:cstheme="minorHAnsi"/>
              </w:rPr>
              <w:t>for ADR category NC vehicles (goods vehicles over 12 tonnes GVM)</w:t>
            </w:r>
            <w:r w:rsidR="003822C7" w:rsidRPr="008A20D1">
              <w:rPr>
                <w:rFonts w:cstheme="minorHAnsi"/>
              </w:rPr>
              <w:t>.</w:t>
            </w:r>
            <w:r w:rsidRPr="008A20D1">
              <w:rPr>
                <w:rFonts w:cstheme="minorHAnsi"/>
              </w:rPr>
              <w:t xml:space="preserve"> Any increase in the width of goods vehicles between 4.5 tonnes and 12 tonnes</w:t>
            </w:r>
            <w:r w:rsidR="00264085">
              <w:rPr>
                <w:rFonts w:cstheme="minorHAnsi"/>
              </w:rPr>
              <w:t>, the large majority of which are made in Japan,</w:t>
            </w:r>
            <w:r w:rsidRPr="008A20D1">
              <w:rPr>
                <w:rFonts w:cstheme="minorHAnsi"/>
              </w:rPr>
              <w:t xml:space="preserve"> would most likely occur higher up on the vehicle body (not the cab or chassis) and so should not increase (or decrease) the risk of front underrun. Rear underrun </w:t>
            </w:r>
            <w:r>
              <w:rPr>
                <w:rFonts w:cstheme="minorHAnsi"/>
              </w:rPr>
              <w:t xml:space="preserve">already </w:t>
            </w:r>
            <w:r w:rsidR="00143BFE">
              <w:rPr>
                <w:rFonts w:cstheme="minorHAnsi"/>
              </w:rPr>
              <w:t>has the least potential benefit</w:t>
            </w:r>
            <w:r w:rsidRPr="008A20D1">
              <w:rPr>
                <w:rFonts w:cstheme="minorHAnsi"/>
              </w:rPr>
              <w:t xml:space="preserve"> of all underrun protection devices and benefits will </w:t>
            </w:r>
            <w:r w:rsidR="00DE1F81">
              <w:rPr>
                <w:rFonts w:cstheme="minorHAnsi"/>
              </w:rPr>
              <w:t xml:space="preserve">only </w:t>
            </w:r>
            <w:r w:rsidRPr="008A20D1">
              <w:rPr>
                <w:rFonts w:cstheme="minorHAnsi"/>
              </w:rPr>
              <w:t xml:space="preserve">diminish further in future as the </w:t>
            </w:r>
            <w:r w:rsidR="003D4751">
              <w:rPr>
                <w:rFonts w:cstheme="minorHAnsi"/>
              </w:rPr>
              <w:t>percentage</w:t>
            </w:r>
            <w:r w:rsidRPr="008A20D1">
              <w:rPr>
                <w:rFonts w:cstheme="minorHAnsi"/>
              </w:rPr>
              <w:t xml:space="preserve"> of light vehicles in the fleet with AEB increases.</w:t>
            </w:r>
          </w:p>
          <w:p w:rsidR="003822C7" w:rsidRDefault="003822C7" w:rsidP="00E248BF">
            <w:pPr>
              <w:pStyle w:val="ListParagraph"/>
              <w:keepLines/>
              <w:numPr>
                <w:ilvl w:val="6"/>
                <w:numId w:val="62"/>
              </w:numPr>
              <w:tabs>
                <w:tab w:val="left" w:pos="318"/>
              </w:tabs>
              <w:suppressAutoHyphens w:val="0"/>
              <w:ind w:left="284" w:hanging="284"/>
              <w:rPr>
                <w:rFonts w:cstheme="minorHAnsi"/>
              </w:rPr>
            </w:pPr>
            <w:r>
              <w:rPr>
                <w:rFonts w:cstheme="minorHAnsi"/>
              </w:rPr>
              <w:t>Noted.</w:t>
            </w:r>
          </w:p>
          <w:p w:rsidR="003822C7" w:rsidRPr="005760AB" w:rsidRDefault="003822C7" w:rsidP="00E248BF">
            <w:pPr>
              <w:pStyle w:val="ListParagraph"/>
              <w:keepLines/>
              <w:numPr>
                <w:ilvl w:val="6"/>
                <w:numId w:val="62"/>
              </w:numPr>
              <w:tabs>
                <w:tab w:val="left" w:pos="318"/>
              </w:tabs>
              <w:suppressAutoHyphens w:val="0"/>
              <w:ind w:left="284" w:hanging="284"/>
              <w:rPr>
                <w:rFonts w:cstheme="minorHAnsi"/>
              </w:rPr>
            </w:pPr>
            <w:r>
              <w:rPr>
                <w:rFonts w:cstheme="minorHAnsi"/>
              </w:rPr>
              <w:t>Noted.</w:t>
            </w:r>
          </w:p>
        </w:tc>
      </w:tr>
      <w:tr w:rsidR="003822C7" w:rsidRPr="007B6E69" w:rsidTr="003822C7">
        <w:tc>
          <w:tcPr>
            <w:tcW w:w="1696" w:type="dxa"/>
          </w:tcPr>
          <w:p w:rsidR="003822C7" w:rsidRPr="007B6E69" w:rsidRDefault="003822C7" w:rsidP="007901FB">
            <w:pPr>
              <w:spacing w:before="120" w:after="120"/>
              <w:rPr>
                <w:rFonts w:cstheme="minorHAnsi"/>
              </w:rPr>
            </w:pPr>
            <w:r w:rsidRPr="007B6E69">
              <w:rPr>
                <w:rFonts w:cstheme="minorHAnsi"/>
              </w:rPr>
              <w:t>Off-road Trucks Australia</w:t>
            </w:r>
          </w:p>
        </w:tc>
        <w:tc>
          <w:tcPr>
            <w:tcW w:w="6379" w:type="dxa"/>
          </w:tcPr>
          <w:p w:rsidR="003822C7" w:rsidRDefault="003822C7" w:rsidP="00E248BF">
            <w:pPr>
              <w:pStyle w:val="ListParagraph"/>
              <w:keepLines/>
              <w:numPr>
                <w:ilvl w:val="0"/>
                <w:numId w:val="60"/>
              </w:numPr>
              <w:tabs>
                <w:tab w:val="left" w:pos="325"/>
                <w:tab w:val="left" w:pos="720"/>
              </w:tabs>
              <w:suppressAutoHyphens w:val="0"/>
              <w:ind w:left="284" w:hanging="284"/>
              <w:rPr>
                <w:rFonts w:cstheme="minorHAnsi"/>
              </w:rPr>
            </w:pPr>
            <w:r>
              <w:rPr>
                <w:rFonts w:cstheme="minorHAnsi"/>
              </w:rPr>
              <w:t>Supports the exclusion of advanced safety devices from the definitions of width and length – is not offering these features in Australia due to the width definition.</w:t>
            </w:r>
          </w:p>
          <w:p w:rsidR="003822C7" w:rsidRDefault="003822C7" w:rsidP="00E248BF">
            <w:pPr>
              <w:pStyle w:val="ListParagraph"/>
              <w:keepLines/>
              <w:numPr>
                <w:ilvl w:val="0"/>
                <w:numId w:val="60"/>
              </w:numPr>
              <w:tabs>
                <w:tab w:val="left" w:pos="325"/>
                <w:tab w:val="left" w:pos="720"/>
              </w:tabs>
              <w:suppressAutoHyphens w:val="0"/>
              <w:ind w:left="284" w:hanging="284"/>
              <w:rPr>
                <w:rFonts w:cstheme="minorHAnsi"/>
              </w:rPr>
            </w:pPr>
            <w:r>
              <w:rPr>
                <w:rFonts w:cstheme="minorHAnsi"/>
              </w:rPr>
              <w:t>Supports the proposed total width protrusion limit of 100mm to harmonise with EU requirements.</w:t>
            </w:r>
          </w:p>
          <w:p w:rsidR="003822C7" w:rsidRDefault="003822C7" w:rsidP="00E248BF">
            <w:pPr>
              <w:pStyle w:val="ListParagraph"/>
              <w:keepLines/>
              <w:numPr>
                <w:ilvl w:val="0"/>
                <w:numId w:val="60"/>
              </w:numPr>
              <w:tabs>
                <w:tab w:val="left" w:pos="325"/>
                <w:tab w:val="left" w:pos="720"/>
              </w:tabs>
              <w:suppressAutoHyphens w:val="0"/>
              <w:ind w:left="284" w:hanging="284"/>
              <w:rPr>
                <w:rFonts w:cstheme="minorHAnsi"/>
              </w:rPr>
            </w:pPr>
            <w:r>
              <w:rPr>
                <w:rFonts w:cstheme="minorHAnsi"/>
              </w:rPr>
              <w:t>Supports the proposed total front protrusion limit of 250mm to harmonise with EU requirements.</w:t>
            </w:r>
          </w:p>
          <w:p w:rsidR="003822C7" w:rsidRDefault="003822C7" w:rsidP="00E248BF">
            <w:pPr>
              <w:pStyle w:val="ListParagraph"/>
              <w:keepLines/>
              <w:numPr>
                <w:ilvl w:val="0"/>
                <w:numId w:val="60"/>
              </w:numPr>
              <w:tabs>
                <w:tab w:val="left" w:pos="325"/>
                <w:tab w:val="left" w:pos="720"/>
              </w:tabs>
              <w:suppressAutoHyphens w:val="0"/>
              <w:ind w:left="284" w:hanging="284"/>
              <w:rPr>
                <w:rFonts w:cstheme="minorHAnsi"/>
              </w:rPr>
            </w:pPr>
            <w:r>
              <w:rPr>
                <w:rFonts w:cstheme="minorHAnsi"/>
              </w:rPr>
              <w:t>Notes all its Tatra vehicles currently meet UN R46/04 for devices for indirect vision.</w:t>
            </w:r>
          </w:p>
          <w:p w:rsidR="003822C7" w:rsidRDefault="003822C7" w:rsidP="00E248BF">
            <w:pPr>
              <w:pStyle w:val="ListParagraph"/>
              <w:keepLines/>
              <w:numPr>
                <w:ilvl w:val="0"/>
                <w:numId w:val="60"/>
              </w:numPr>
              <w:tabs>
                <w:tab w:val="left" w:pos="325"/>
                <w:tab w:val="left" w:pos="720"/>
              </w:tabs>
              <w:suppressAutoHyphens w:val="0"/>
              <w:ind w:left="284" w:hanging="284"/>
              <w:rPr>
                <w:rFonts w:cstheme="minorHAnsi"/>
              </w:rPr>
            </w:pPr>
            <w:r>
              <w:rPr>
                <w:rFonts w:cstheme="minorHAnsi"/>
              </w:rPr>
              <w:t>Would oppose any proposal to mandate ESC, AEB, LDWS, and blind spot information systems on off-road vehicles.</w:t>
            </w:r>
          </w:p>
          <w:p w:rsidR="003822C7" w:rsidRDefault="003822C7" w:rsidP="00E248BF">
            <w:pPr>
              <w:pStyle w:val="ListParagraph"/>
              <w:keepLines/>
              <w:numPr>
                <w:ilvl w:val="0"/>
                <w:numId w:val="60"/>
              </w:numPr>
              <w:tabs>
                <w:tab w:val="left" w:pos="325"/>
                <w:tab w:val="left" w:pos="720"/>
              </w:tabs>
              <w:suppressAutoHyphens w:val="0"/>
              <w:ind w:left="284" w:hanging="284"/>
              <w:rPr>
                <w:rFonts w:cstheme="minorHAnsi"/>
              </w:rPr>
            </w:pPr>
            <w:r>
              <w:rPr>
                <w:rFonts w:cstheme="minorHAnsi"/>
              </w:rPr>
              <w:t>Advises that Tatra vehicles currently have side underrun protection meeting EU regulations, but these are not offered in the Australian market to reduce mass and increase payload, because axle load limits, particularly on front axles, are significantly lower in Australia.</w:t>
            </w:r>
          </w:p>
          <w:p w:rsidR="003822C7" w:rsidRPr="00917D76" w:rsidRDefault="003822C7" w:rsidP="00E248BF">
            <w:pPr>
              <w:pStyle w:val="ListParagraph"/>
              <w:keepLines/>
              <w:numPr>
                <w:ilvl w:val="0"/>
                <w:numId w:val="60"/>
              </w:numPr>
              <w:tabs>
                <w:tab w:val="left" w:pos="325"/>
                <w:tab w:val="left" w:pos="720"/>
              </w:tabs>
              <w:suppressAutoHyphens w:val="0"/>
              <w:ind w:left="284" w:hanging="284"/>
              <w:rPr>
                <w:rFonts w:cstheme="minorHAnsi"/>
              </w:rPr>
            </w:pPr>
            <w:r>
              <w:rPr>
                <w:rFonts w:cstheme="minorHAnsi"/>
              </w:rPr>
              <w:t xml:space="preserve">Would oppose mandatory side underrun protection for </w:t>
            </w:r>
            <w:r>
              <w:rPr>
                <w:rFonts w:cstheme="minorHAnsi"/>
              </w:rPr>
              <w:br/>
              <w:t>off-road vehicles unless there is an increase in axle loads to maintain current payloads.</w:t>
            </w:r>
          </w:p>
        </w:tc>
        <w:tc>
          <w:tcPr>
            <w:tcW w:w="6521" w:type="dxa"/>
            <w:gridSpan w:val="2"/>
          </w:tcPr>
          <w:p w:rsidR="003822C7" w:rsidRDefault="003822C7" w:rsidP="00E248BF">
            <w:pPr>
              <w:pStyle w:val="ListParagraph"/>
              <w:keepLines/>
              <w:numPr>
                <w:ilvl w:val="0"/>
                <w:numId w:val="61"/>
              </w:numPr>
              <w:tabs>
                <w:tab w:val="left" w:pos="318"/>
              </w:tabs>
              <w:suppressAutoHyphens w:val="0"/>
              <w:ind w:left="284" w:hanging="284"/>
              <w:rPr>
                <w:rFonts w:cstheme="minorHAnsi"/>
              </w:rPr>
            </w:pPr>
            <w:r>
              <w:rPr>
                <w:rFonts w:cstheme="minorHAnsi"/>
              </w:rPr>
              <w:t>Noted.</w:t>
            </w:r>
          </w:p>
          <w:p w:rsidR="003822C7" w:rsidRDefault="003822C7" w:rsidP="00E248BF">
            <w:pPr>
              <w:pStyle w:val="ListParagraph"/>
              <w:keepLines/>
              <w:numPr>
                <w:ilvl w:val="0"/>
                <w:numId w:val="61"/>
              </w:numPr>
              <w:tabs>
                <w:tab w:val="left" w:pos="318"/>
              </w:tabs>
              <w:suppressAutoHyphens w:val="0"/>
              <w:ind w:left="284" w:hanging="284"/>
              <w:rPr>
                <w:rFonts w:cstheme="minorHAnsi"/>
              </w:rPr>
            </w:pPr>
            <w:r>
              <w:rPr>
                <w:rFonts w:cstheme="minorHAnsi"/>
              </w:rPr>
              <w:t>Noted.</w:t>
            </w:r>
          </w:p>
          <w:p w:rsidR="003822C7" w:rsidRDefault="003822C7" w:rsidP="00E248BF">
            <w:pPr>
              <w:pStyle w:val="ListParagraph"/>
              <w:keepLines/>
              <w:numPr>
                <w:ilvl w:val="0"/>
                <w:numId w:val="61"/>
              </w:numPr>
              <w:tabs>
                <w:tab w:val="left" w:pos="318"/>
              </w:tabs>
              <w:suppressAutoHyphens w:val="0"/>
              <w:ind w:left="284" w:hanging="284"/>
              <w:rPr>
                <w:rFonts w:cstheme="minorHAnsi"/>
              </w:rPr>
            </w:pPr>
            <w:r>
              <w:rPr>
                <w:rFonts w:cstheme="minorHAnsi"/>
              </w:rPr>
              <w:t>Noted.</w:t>
            </w:r>
          </w:p>
          <w:p w:rsidR="003822C7" w:rsidRDefault="003822C7" w:rsidP="00E248BF">
            <w:pPr>
              <w:pStyle w:val="ListParagraph"/>
              <w:keepLines/>
              <w:numPr>
                <w:ilvl w:val="0"/>
                <w:numId w:val="61"/>
              </w:numPr>
              <w:tabs>
                <w:tab w:val="left" w:pos="318"/>
              </w:tabs>
              <w:suppressAutoHyphens w:val="0"/>
              <w:ind w:left="284" w:hanging="284"/>
              <w:rPr>
                <w:rFonts w:cstheme="minorHAnsi"/>
              </w:rPr>
            </w:pPr>
            <w:r>
              <w:rPr>
                <w:rFonts w:cstheme="minorHAnsi"/>
              </w:rPr>
              <w:t>Noted.</w:t>
            </w:r>
          </w:p>
          <w:p w:rsidR="003822C7" w:rsidRPr="00D33E0D" w:rsidRDefault="00D33E0D" w:rsidP="00E248BF">
            <w:pPr>
              <w:pStyle w:val="ListParagraph"/>
              <w:keepLines/>
              <w:numPr>
                <w:ilvl w:val="0"/>
                <w:numId w:val="61"/>
              </w:numPr>
              <w:tabs>
                <w:tab w:val="left" w:pos="318"/>
              </w:tabs>
              <w:suppressAutoHyphens w:val="0"/>
              <w:ind w:left="284" w:hanging="284"/>
              <w:rPr>
                <w:rFonts w:cstheme="minorHAnsi"/>
              </w:rPr>
            </w:pPr>
            <w:r w:rsidRPr="00D33E0D">
              <w:rPr>
                <w:rFonts w:cstheme="minorHAnsi"/>
                <w:szCs w:val="20"/>
              </w:rPr>
              <w:t>It</w:t>
            </w:r>
            <w:r w:rsidR="00FA1612" w:rsidRPr="00D33E0D">
              <w:rPr>
                <w:rFonts w:cstheme="minorHAnsi"/>
                <w:szCs w:val="20"/>
              </w:rPr>
              <w:t xml:space="preserve"> is not proposed </w:t>
            </w:r>
            <w:r w:rsidRPr="00D33E0D">
              <w:rPr>
                <w:rFonts w:cstheme="minorHAnsi"/>
                <w:szCs w:val="20"/>
              </w:rPr>
              <w:t xml:space="preserve">to mandate ESC, AEB or LDWS </w:t>
            </w:r>
            <w:r w:rsidR="00FA1612" w:rsidRPr="00D33E0D">
              <w:rPr>
                <w:rFonts w:cstheme="minorHAnsi"/>
                <w:szCs w:val="20"/>
              </w:rPr>
              <w:t xml:space="preserve">for </w:t>
            </w:r>
            <w:r w:rsidR="0025613C">
              <w:rPr>
                <w:rFonts w:cstheme="minorHAnsi"/>
                <w:szCs w:val="20"/>
              </w:rPr>
              <w:t xml:space="preserve">road </w:t>
            </w:r>
            <w:r w:rsidR="00FA1612" w:rsidRPr="00D33E0D">
              <w:rPr>
                <w:rFonts w:cstheme="minorHAnsi"/>
                <w:szCs w:val="20"/>
              </w:rPr>
              <w:t xml:space="preserve">vehicles </w:t>
            </w:r>
            <w:r>
              <w:rPr>
                <w:rFonts w:cstheme="minorHAnsi"/>
                <w:szCs w:val="20"/>
              </w:rPr>
              <w:t>‘</w:t>
            </w:r>
            <w:r w:rsidR="00FA1612" w:rsidRPr="00D33E0D">
              <w:rPr>
                <w:rFonts w:cstheme="minorHAnsi"/>
                <w:szCs w:val="20"/>
              </w:rPr>
              <w:t>designed for off-road use</w:t>
            </w:r>
            <w:r>
              <w:rPr>
                <w:rFonts w:cstheme="minorHAnsi"/>
                <w:szCs w:val="20"/>
              </w:rPr>
              <w:t>’</w:t>
            </w:r>
            <w:r w:rsidRPr="00D33E0D">
              <w:rPr>
                <w:rFonts w:cstheme="minorHAnsi"/>
                <w:szCs w:val="20"/>
              </w:rPr>
              <w:t xml:space="preserve"> (as per the definition in ADRs 35/07 and 97/00 of ‘designed for off-road use’)</w:t>
            </w:r>
            <w:r w:rsidR="00D8167F">
              <w:rPr>
                <w:rFonts w:cstheme="minorHAnsi"/>
                <w:szCs w:val="20"/>
              </w:rPr>
              <w:t>, including for vehicles with an overall width exceeding 2.5</w:t>
            </w:r>
            <w:r w:rsidR="00B9347B">
              <w:rPr>
                <w:rFonts w:cstheme="minorHAnsi"/>
                <w:szCs w:val="20"/>
              </w:rPr>
              <w:t>0</w:t>
            </w:r>
            <w:r w:rsidR="000C5E51">
              <w:rPr>
                <w:rFonts w:cstheme="minorHAnsi"/>
                <w:szCs w:val="20"/>
              </w:rPr>
              <w:t> m</w:t>
            </w:r>
            <w:r w:rsidR="003822C7" w:rsidRPr="00D33E0D">
              <w:rPr>
                <w:rFonts w:cstheme="minorHAnsi"/>
                <w:szCs w:val="20"/>
              </w:rPr>
              <w:t>.</w:t>
            </w:r>
          </w:p>
          <w:p w:rsidR="003822C7" w:rsidRPr="00AC65B3" w:rsidRDefault="00FA1612" w:rsidP="00E248BF">
            <w:pPr>
              <w:pStyle w:val="ListParagraph"/>
              <w:keepLines/>
              <w:numPr>
                <w:ilvl w:val="0"/>
                <w:numId w:val="61"/>
              </w:numPr>
              <w:tabs>
                <w:tab w:val="left" w:pos="318"/>
              </w:tabs>
              <w:suppressAutoHyphens w:val="0"/>
              <w:ind w:left="284" w:hanging="284"/>
              <w:rPr>
                <w:rFonts w:cstheme="minorHAnsi"/>
              </w:rPr>
            </w:pPr>
            <w:r w:rsidRPr="00FA1612">
              <w:rPr>
                <w:rFonts w:cstheme="minorHAnsi"/>
                <w:szCs w:val="20"/>
              </w:rPr>
              <w:t>Noted</w:t>
            </w:r>
            <w:r w:rsidR="003822C7" w:rsidRPr="00FA1612">
              <w:rPr>
                <w:rFonts w:cstheme="minorHAnsi"/>
                <w:szCs w:val="20"/>
              </w:rPr>
              <w:t>.</w:t>
            </w:r>
            <w:r>
              <w:rPr>
                <w:rFonts w:cstheme="minorHAnsi"/>
                <w:szCs w:val="20"/>
              </w:rPr>
              <w:t xml:space="preserve"> Axle mass limits are a matter for the NTC, NHVR, and the jurisdictions to consider.</w:t>
            </w:r>
            <w:r w:rsidR="007E2B56">
              <w:rPr>
                <w:rFonts w:cstheme="minorHAnsi"/>
                <w:szCs w:val="20"/>
              </w:rPr>
              <w:t xml:space="preserve"> </w:t>
            </w:r>
            <w:r w:rsidR="00A72FBF">
              <w:rPr>
                <w:rFonts w:cstheme="minorHAnsi"/>
                <w:szCs w:val="20"/>
              </w:rPr>
              <w:t>V</w:t>
            </w:r>
            <w:r w:rsidR="007E2B56">
              <w:rPr>
                <w:rFonts w:cstheme="minorHAnsi"/>
                <w:szCs w:val="20"/>
              </w:rPr>
              <w:t xml:space="preserve">ehicles with side underrun protection </w:t>
            </w:r>
            <w:r w:rsidR="00A72FBF">
              <w:rPr>
                <w:rFonts w:cstheme="minorHAnsi"/>
                <w:szCs w:val="20"/>
              </w:rPr>
              <w:t xml:space="preserve">are viable to operate </w:t>
            </w:r>
            <w:r w:rsidR="007E2B56">
              <w:rPr>
                <w:rFonts w:cstheme="minorHAnsi"/>
                <w:szCs w:val="20"/>
              </w:rPr>
              <w:t>within the existing limits</w:t>
            </w:r>
            <w:r w:rsidR="00A72FBF">
              <w:rPr>
                <w:rFonts w:cstheme="minorHAnsi"/>
                <w:szCs w:val="20"/>
              </w:rPr>
              <w:t>.</w:t>
            </w:r>
          </w:p>
          <w:p w:rsidR="003822C7" w:rsidRPr="00C53999" w:rsidRDefault="00BE5700" w:rsidP="00E248BF">
            <w:pPr>
              <w:pStyle w:val="ListParagraph"/>
              <w:keepLines/>
              <w:numPr>
                <w:ilvl w:val="0"/>
                <w:numId w:val="61"/>
              </w:numPr>
              <w:tabs>
                <w:tab w:val="left" w:pos="318"/>
              </w:tabs>
              <w:suppressAutoHyphens w:val="0"/>
              <w:ind w:left="284" w:hanging="284"/>
              <w:rPr>
                <w:rFonts w:cstheme="minorHAnsi"/>
              </w:rPr>
            </w:pPr>
            <w:r w:rsidRPr="007E2B56">
              <w:rPr>
                <w:rFonts w:cstheme="minorHAnsi"/>
                <w:szCs w:val="20"/>
              </w:rPr>
              <w:t>M</w:t>
            </w:r>
            <w:r w:rsidR="00460770" w:rsidRPr="007E2B56">
              <w:rPr>
                <w:rFonts w:cstheme="minorHAnsi"/>
                <w:szCs w:val="20"/>
              </w:rPr>
              <w:t xml:space="preserve">andatory side underrun protection is only proposed for </w:t>
            </w:r>
            <w:r w:rsidRPr="007E2B56">
              <w:rPr>
                <w:rFonts w:cstheme="minorHAnsi"/>
                <w:szCs w:val="20"/>
              </w:rPr>
              <w:t xml:space="preserve">road </w:t>
            </w:r>
            <w:r w:rsidR="00460770" w:rsidRPr="007E2B56">
              <w:rPr>
                <w:rFonts w:cstheme="minorHAnsi"/>
                <w:szCs w:val="20"/>
              </w:rPr>
              <w:t>vehicles exceeding 2.5</w:t>
            </w:r>
            <w:r w:rsidR="00B9347B">
              <w:rPr>
                <w:rFonts w:cstheme="minorHAnsi"/>
                <w:szCs w:val="20"/>
              </w:rPr>
              <w:t>0</w:t>
            </w:r>
            <w:r w:rsidR="007E2B56">
              <w:rPr>
                <w:rFonts w:cstheme="minorHAnsi"/>
                <w:szCs w:val="20"/>
              </w:rPr>
              <w:t> </w:t>
            </w:r>
            <w:r w:rsidR="00460770" w:rsidRPr="007E2B56">
              <w:rPr>
                <w:rFonts w:cstheme="minorHAnsi"/>
                <w:szCs w:val="20"/>
              </w:rPr>
              <w:t>m in width</w:t>
            </w:r>
            <w:r w:rsidR="00A72FBF">
              <w:rPr>
                <w:rFonts w:cstheme="minorHAnsi"/>
                <w:szCs w:val="20"/>
              </w:rPr>
              <w:t>,</w:t>
            </w:r>
            <w:r w:rsidR="007E2B56">
              <w:rPr>
                <w:rFonts w:cstheme="minorHAnsi"/>
                <w:szCs w:val="20"/>
              </w:rPr>
              <w:t xml:space="preserve"> and </w:t>
            </w:r>
            <w:r w:rsidR="00A72FBF">
              <w:rPr>
                <w:rFonts w:cstheme="minorHAnsi"/>
                <w:szCs w:val="20"/>
              </w:rPr>
              <w:t>will have no more than a minor impact on payloads</w:t>
            </w:r>
            <w:r w:rsidR="00460770" w:rsidRPr="007E2B56">
              <w:rPr>
                <w:rFonts w:cstheme="minorHAnsi"/>
                <w:szCs w:val="20"/>
              </w:rPr>
              <w:t>.</w:t>
            </w:r>
            <w:r w:rsidRPr="007E2B56">
              <w:rPr>
                <w:rFonts w:cstheme="minorHAnsi"/>
                <w:szCs w:val="20"/>
              </w:rPr>
              <w:t xml:space="preserve"> Further, the</w:t>
            </w:r>
            <w:r w:rsidR="007E2B56">
              <w:rPr>
                <w:rFonts w:cstheme="minorHAnsi"/>
                <w:szCs w:val="20"/>
              </w:rPr>
              <w:t xml:space="preserve"> proposed</w:t>
            </w:r>
            <w:r w:rsidR="007D74FF" w:rsidRPr="007E2B56">
              <w:rPr>
                <w:rFonts w:cstheme="minorHAnsi"/>
                <w:szCs w:val="20"/>
              </w:rPr>
              <w:t xml:space="preserve"> </w:t>
            </w:r>
            <w:r w:rsidRPr="007E2B56">
              <w:rPr>
                <w:rFonts w:cstheme="minorHAnsi"/>
                <w:szCs w:val="20"/>
              </w:rPr>
              <w:t xml:space="preserve">requirements </w:t>
            </w:r>
            <w:r w:rsidR="007E2B56">
              <w:rPr>
                <w:rFonts w:cstheme="minorHAnsi"/>
                <w:szCs w:val="20"/>
              </w:rPr>
              <w:t xml:space="preserve">(from UN R73) do not require lateral protection to be fitted </w:t>
            </w:r>
            <w:r w:rsidR="00A72FBF">
              <w:rPr>
                <w:rFonts w:cstheme="minorHAnsi"/>
                <w:szCs w:val="20"/>
              </w:rPr>
              <w:t xml:space="preserve">any </w:t>
            </w:r>
            <w:r w:rsidR="007E2B56">
              <w:rPr>
                <w:rFonts w:cstheme="minorHAnsi"/>
                <w:szCs w:val="20"/>
              </w:rPr>
              <w:t>less than 550 mm above the ground.</w:t>
            </w:r>
          </w:p>
        </w:tc>
      </w:tr>
      <w:tr w:rsidR="003822C7" w:rsidRPr="007B6E69" w:rsidTr="003822C7">
        <w:tc>
          <w:tcPr>
            <w:tcW w:w="1696" w:type="dxa"/>
          </w:tcPr>
          <w:p w:rsidR="003822C7" w:rsidRPr="007B6E69" w:rsidRDefault="003822C7" w:rsidP="00362B9F">
            <w:pPr>
              <w:pageBreakBefore/>
              <w:spacing w:before="120" w:after="120"/>
              <w:rPr>
                <w:rFonts w:cstheme="minorHAnsi"/>
              </w:rPr>
            </w:pPr>
            <w:r w:rsidRPr="007B6E69">
              <w:rPr>
                <w:rFonts w:cstheme="minorHAnsi"/>
              </w:rPr>
              <w:t>PACCAR Australia</w:t>
            </w:r>
          </w:p>
        </w:tc>
        <w:tc>
          <w:tcPr>
            <w:tcW w:w="6379" w:type="dxa"/>
          </w:tcPr>
          <w:p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Supports increasing the width limit to 2.5</w:t>
            </w:r>
            <w:r w:rsidR="00984620">
              <w:rPr>
                <w:rFonts w:cstheme="minorHAnsi"/>
              </w:rPr>
              <w:t>5 m for goods vehicles over 4.5 </w:t>
            </w:r>
            <w:r>
              <w:rPr>
                <w:rFonts w:cstheme="minorHAnsi"/>
              </w:rPr>
              <w:t>tonnes only.</w:t>
            </w:r>
          </w:p>
          <w:p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 xml:space="preserve">Notes the </w:t>
            </w:r>
            <w:r w:rsidRPr="000A19FA">
              <w:rPr>
                <w:rFonts w:cstheme="minorHAnsi"/>
              </w:rPr>
              <w:t>on</w:t>
            </w:r>
            <w:r>
              <w:rPr>
                <w:rFonts w:cstheme="minorHAnsi"/>
              </w:rPr>
              <w:t>-</w:t>
            </w:r>
            <w:r w:rsidRPr="000A19FA">
              <w:rPr>
                <w:rFonts w:cstheme="minorHAnsi"/>
              </w:rPr>
              <w:t>road safety benefits of improved technology appl</w:t>
            </w:r>
            <w:r>
              <w:rPr>
                <w:rFonts w:cstheme="minorHAnsi"/>
              </w:rPr>
              <w:t>y</w:t>
            </w:r>
            <w:r w:rsidRPr="000A19FA">
              <w:rPr>
                <w:rFonts w:cstheme="minorHAnsi"/>
              </w:rPr>
              <w:t xml:space="preserve"> primarily to goods carrying</w:t>
            </w:r>
            <w:r>
              <w:rPr>
                <w:rFonts w:cstheme="minorHAnsi"/>
              </w:rPr>
              <w:t xml:space="preserve"> </w:t>
            </w:r>
            <w:r w:rsidRPr="000A19FA">
              <w:rPr>
                <w:rFonts w:cstheme="minorHAnsi"/>
              </w:rPr>
              <w:t>vehicles, as opposed to trailer</w:t>
            </w:r>
            <w:r>
              <w:rPr>
                <w:rFonts w:cstheme="minorHAnsi"/>
              </w:rPr>
              <w:t>s</w:t>
            </w:r>
            <w:r w:rsidRPr="000A19FA">
              <w:rPr>
                <w:rFonts w:cstheme="minorHAnsi"/>
              </w:rPr>
              <w:t>.</w:t>
            </w:r>
          </w:p>
          <w:p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 xml:space="preserve">Concerned </w:t>
            </w:r>
            <w:r w:rsidRPr="000A19FA">
              <w:rPr>
                <w:rFonts w:cstheme="minorHAnsi"/>
              </w:rPr>
              <w:t>timely decisions on wider and safer vehicles may be</w:t>
            </w:r>
            <w:r>
              <w:rPr>
                <w:rFonts w:cstheme="minorHAnsi"/>
              </w:rPr>
              <w:t xml:space="preserve"> </w:t>
            </w:r>
            <w:r w:rsidRPr="000A19FA">
              <w:rPr>
                <w:rFonts w:cstheme="minorHAnsi"/>
              </w:rPr>
              <w:t>hampered if both truck</w:t>
            </w:r>
            <w:r>
              <w:rPr>
                <w:rFonts w:cstheme="minorHAnsi"/>
              </w:rPr>
              <w:t>s</w:t>
            </w:r>
            <w:r w:rsidRPr="000A19FA">
              <w:rPr>
                <w:rFonts w:cstheme="minorHAnsi"/>
              </w:rPr>
              <w:t xml:space="preserve"> and trailer</w:t>
            </w:r>
            <w:r>
              <w:rPr>
                <w:rFonts w:cstheme="minorHAnsi"/>
              </w:rPr>
              <w:t>s</w:t>
            </w:r>
            <w:r w:rsidRPr="000A19FA">
              <w:rPr>
                <w:rFonts w:cstheme="minorHAnsi"/>
              </w:rPr>
              <w:t xml:space="preserve"> are considered simultaneously</w:t>
            </w:r>
            <w:r>
              <w:rPr>
                <w:rFonts w:cstheme="minorHAnsi"/>
              </w:rPr>
              <w:t>.</w:t>
            </w:r>
          </w:p>
          <w:p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W</w:t>
            </w:r>
            <w:r w:rsidRPr="000A19FA">
              <w:rPr>
                <w:rFonts w:cstheme="minorHAnsi"/>
              </w:rPr>
              <w:t>ould like to see wider and safer vehicles allowed on</w:t>
            </w:r>
            <w:r>
              <w:rPr>
                <w:rFonts w:cstheme="minorHAnsi"/>
              </w:rPr>
              <w:t xml:space="preserve"> the</w:t>
            </w:r>
            <w:r w:rsidRPr="000A19FA">
              <w:rPr>
                <w:rFonts w:cstheme="minorHAnsi"/>
              </w:rPr>
              <w:t xml:space="preserve"> road before 30</w:t>
            </w:r>
            <w:r>
              <w:rPr>
                <w:rFonts w:cstheme="minorHAnsi"/>
              </w:rPr>
              <w:t xml:space="preserve"> June</w:t>
            </w:r>
            <w:r w:rsidRPr="000A19FA">
              <w:rPr>
                <w:rFonts w:cstheme="minorHAnsi"/>
              </w:rPr>
              <w:t xml:space="preserve"> 2022</w:t>
            </w:r>
            <w:r>
              <w:rPr>
                <w:rFonts w:cstheme="minorHAnsi"/>
              </w:rPr>
              <w:t>.</w:t>
            </w:r>
          </w:p>
          <w:p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Considers mandating the requirements of UN R46 will eliminate the ability to fit flat glass to main rear-view mirrors.</w:t>
            </w:r>
          </w:p>
          <w:p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Argues flat glass rear-view mirrors provide a clearer perception of depth.</w:t>
            </w:r>
          </w:p>
          <w:p w:rsidR="003822C7" w:rsidRPr="00BF4002"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Considers mandating the requirements of UN R46 will require significant testing of mirror and structure installation, which will involve significant time and cost for no safety benefit.</w:t>
            </w:r>
          </w:p>
          <w:p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Recommends the proposed new ADR for devices for indirect vision be amended to allow existing main rear-view mirrors without the need for strength or performance testing, and be updated to require wide angle rear-view mirrors, close proximity view mirrors, and front-view mirrors or hood mounted mirrors/devices for viewing across the front of the truck.</w:t>
            </w:r>
          </w:p>
          <w:p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Supports the then proposed new ADR 35/07 mandating ESC on heavy vehicles with less than 4 axles.</w:t>
            </w:r>
          </w:p>
          <w:p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 xml:space="preserve">Supports the introduction UN R131 within the new ADR 97/00 for AEB on heavy vehicles, provided equivalent standards such as Commission </w:t>
            </w:r>
            <w:r w:rsidRPr="003F58E6">
              <w:rPr>
                <w:rFonts w:cstheme="minorHAnsi"/>
              </w:rPr>
              <w:t>Regulation (EU) No 3</w:t>
            </w:r>
            <w:r>
              <w:rPr>
                <w:rFonts w:cstheme="minorHAnsi"/>
              </w:rPr>
              <w:t>47</w:t>
            </w:r>
            <w:r w:rsidRPr="003F58E6">
              <w:rPr>
                <w:rFonts w:cstheme="minorHAnsi"/>
              </w:rPr>
              <w:t>/2012*</w:t>
            </w:r>
            <w:r>
              <w:rPr>
                <w:rFonts w:cstheme="minorHAnsi"/>
              </w:rPr>
              <w:t>2015</w:t>
            </w:r>
            <w:r w:rsidRPr="003F58E6">
              <w:rPr>
                <w:rFonts w:cstheme="minorHAnsi"/>
              </w:rPr>
              <w:t>/</w:t>
            </w:r>
            <w:r>
              <w:rPr>
                <w:rFonts w:cstheme="minorHAnsi"/>
              </w:rPr>
              <w:t>56</w:t>
            </w:r>
            <w:r w:rsidRPr="003F58E6">
              <w:rPr>
                <w:rFonts w:cstheme="minorHAnsi"/>
              </w:rPr>
              <w:t>2</w:t>
            </w:r>
            <w:r>
              <w:rPr>
                <w:rFonts w:cstheme="minorHAnsi"/>
              </w:rPr>
              <w:t xml:space="preserve"> are </w:t>
            </w:r>
            <w:r w:rsidRPr="003F58E6">
              <w:rPr>
                <w:rFonts w:cstheme="minorHAnsi"/>
              </w:rPr>
              <w:t>added as accepted alternative standards</w:t>
            </w:r>
            <w:r>
              <w:rPr>
                <w:rFonts w:cstheme="minorHAnsi"/>
              </w:rPr>
              <w:t>.</w:t>
            </w:r>
          </w:p>
          <w:p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 xml:space="preserve">Supports the introduction of UN R130 within a new ADR for LDWS on heavy vehicles, provided equivalent standards such as Commission </w:t>
            </w:r>
            <w:r w:rsidRPr="003F58E6">
              <w:rPr>
                <w:rFonts w:cstheme="minorHAnsi"/>
              </w:rPr>
              <w:t>Regulation (EU) No 351/2012*351/2012</w:t>
            </w:r>
            <w:r>
              <w:rPr>
                <w:rFonts w:cstheme="minorHAnsi"/>
              </w:rPr>
              <w:t xml:space="preserve"> are </w:t>
            </w:r>
            <w:r w:rsidRPr="003F58E6">
              <w:rPr>
                <w:rFonts w:cstheme="minorHAnsi"/>
              </w:rPr>
              <w:t>added as accepted alternative standards</w:t>
            </w:r>
            <w:r>
              <w:rPr>
                <w:rFonts w:cstheme="minorHAnsi"/>
              </w:rPr>
              <w:t>.</w:t>
            </w:r>
          </w:p>
          <w:p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W</w:t>
            </w:r>
            <w:r w:rsidRPr="002F0F1B">
              <w:rPr>
                <w:rFonts w:cstheme="minorHAnsi"/>
              </w:rPr>
              <w:t xml:space="preserve">ould not like to see implementation of </w:t>
            </w:r>
            <w:r>
              <w:rPr>
                <w:rFonts w:cstheme="minorHAnsi"/>
              </w:rPr>
              <w:t>a new</w:t>
            </w:r>
            <w:r w:rsidRPr="002F0F1B">
              <w:rPr>
                <w:rFonts w:cstheme="minorHAnsi"/>
              </w:rPr>
              <w:t xml:space="preserve"> ADR </w:t>
            </w:r>
            <w:r>
              <w:rPr>
                <w:rFonts w:cstheme="minorHAnsi"/>
              </w:rPr>
              <w:t xml:space="preserve">for blind spot information systems </w:t>
            </w:r>
            <w:r w:rsidRPr="002F0F1B">
              <w:rPr>
                <w:rFonts w:cstheme="minorHAnsi"/>
              </w:rPr>
              <w:t>until at least 24 months post</w:t>
            </w:r>
            <w:r>
              <w:rPr>
                <w:rFonts w:cstheme="minorHAnsi"/>
              </w:rPr>
              <w:t xml:space="preserve"> </w:t>
            </w:r>
            <w:r w:rsidRPr="002F0F1B">
              <w:rPr>
                <w:rFonts w:cstheme="minorHAnsi"/>
              </w:rPr>
              <w:t>implementation in Europe</w:t>
            </w:r>
            <w:r>
              <w:rPr>
                <w:rFonts w:cstheme="minorHAnsi"/>
              </w:rPr>
              <w:t>.</w:t>
            </w:r>
          </w:p>
          <w:p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Does not support the proposed new ADR for side underrun protection as written – considers UN R73 which the proposed ADR adopts to be highly restrictive, beyond its safety improvement intent.</w:t>
            </w:r>
          </w:p>
          <w:p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I</w:t>
            </w:r>
            <w:r w:rsidRPr="00F72D01">
              <w:rPr>
                <w:rFonts w:cstheme="minorHAnsi"/>
              </w:rPr>
              <w:t>s supportive of the Technical Advisory Procedure written by the ATA which</w:t>
            </w:r>
            <w:r>
              <w:rPr>
                <w:rFonts w:cstheme="minorHAnsi"/>
              </w:rPr>
              <w:t xml:space="preserve"> </w:t>
            </w:r>
            <w:r w:rsidRPr="00F72D01">
              <w:rPr>
                <w:rFonts w:cstheme="minorHAnsi"/>
              </w:rPr>
              <w:t>provides for a more flexible interpretation of UN R73, whilst still achieving the safety intent</w:t>
            </w:r>
            <w:r>
              <w:rPr>
                <w:rFonts w:cstheme="minorHAnsi"/>
              </w:rPr>
              <w:t xml:space="preserve"> </w:t>
            </w:r>
            <w:r w:rsidRPr="00F72D01">
              <w:rPr>
                <w:rFonts w:cstheme="minorHAnsi"/>
              </w:rPr>
              <w:t>of this regulation</w:t>
            </w:r>
            <w:r>
              <w:rPr>
                <w:rFonts w:cstheme="minorHAnsi"/>
              </w:rPr>
              <w:t>.</w:t>
            </w:r>
          </w:p>
          <w:p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Understands the proposed new standard for side underrun protection is to apply to rigid body vehicles only.</w:t>
            </w:r>
          </w:p>
          <w:p w:rsidR="003822C7" w:rsidRPr="00FB3BFA"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 xml:space="preserve">Notes many </w:t>
            </w:r>
            <w:r w:rsidRPr="00FB3BFA">
              <w:rPr>
                <w:rFonts w:cstheme="minorHAnsi"/>
              </w:rPr>
              <w:t>trucks</w:t>
            </w:r>
            <w:r>
              <w:rPr>
                <w:rFonts w:cstheme="minorHAnsi"/>
              </w:rPr>
              <w:t xml:space="preserve"> </w:t>
            </w:r>
            <w:r w:rsidRPr="00FB3BFA">
              <w:rPr>
                <w:rFonts w:cstheme="minorHAnsi"/>
              </w:rPr>
              <w:t>operating in Australia have significant body work completed post build, but prior to</w:t>
            </w:r>
            <w:r>
              <w:rPr>
                <w:rFonts w:cstheme="minorHAnsi"/>
              </w:rPr>
              <w:t xml:space="preserve"> </w:t>
            </w:r>
            <w:r w:rsidRPr="00FB3BFA">
              <w:rPr>
                <w:rFonts w:cstheme="minorHAnsi"/>
              </w:rPr>
              <w:t>operation in service</w:t>
            </w:r>
            <w:r>
              <w:rPr>
                <w:rFonts w:cstheme="minorHAnsi"/>
              </w:rPr>
              <w:t xml:space="preserve"> – e</w:t>
            </w:r>
            <w:r w:rsidRPr="00FB3BFA">
              <w:rPr>
                <w:rFonts w:cstheme="minorHAnsi"/>
              </w:rPr>
              <w:t xml:space="preserve">nforcing </w:t>
            </w:r>
            <w:r>
              <w:rPr>
                <w:rFonts w:cstheme="minorHAnsi"/>
              </w:rPr>
              <w:t>side underrun protection</w:t>
            </w:r>
            <w:r w:rsidRPr="00FB3BFA">
              <w:rPr>
                <w:rFonts w:cstheme="minorHAnsi"/>
              </w:rPr>
              <w:t xml:space="preserve"> as part of Type Approval w</w:t>
            </w:r>
            <w:r>
              <w:rPr>
                <w:rFonts w:cstheme="minorHAnsi"/>
              </w:rPr>
              <w:t xml:space="preserve">ould </w:t>
            </w:r>
            <w:r w:rsidRPr="00FB3BFA">
              <w:rPr>
                <w:rFonts w:cstheme="minorHAnsi"/>
              </w:rPr>
              <w:t xml:space="preserve">necessitate </w:t>
            </w:r>
            <w:r>
              <w:rPr>
                <w:rFonts w:cstheme="minorHAnsi"/>
              </w:rPr>
              <w:t xml:space="preserve">the </w:t>
            </w:r>
            <w:r w:rsidRPr="00FB3BFA">
              <w:rPr>
                <w:rFonts w:cstheme="minorHAnsi"/>
              </w:rPr>
              <w:t>installation</w:t>
            </w:r>
            <w:r>
              <w:rPr>
                <w:rFonts w:cstheme="minorHAnsi"/>
              </w:rPr>
              <w:t xml:space="preserve"> </w:t>
            </w:r>
            <w:r w:rsidRPr="00FB3BFA">
              <w:rPr>
                <w:rFonts w:cstheme="minorHAnsi"/>
              </w:rPr>
              <w:t xml:space="preserve">and subsequent removal </w:t>
            </w:r>
            <w:r>
              <w:rPr>
                <w:rFonts w:cstheme="minorHAnsi"/>
              </w:rPr>
              <w:t xml:space="preserve">and disposal of </w:t>
            </w:r>
            <w:r w:rsidRPr="00FB3BFA">
              <w:rPr>
                <w:rFonts w:cstheme="minorHAnsi"/>
              </w:rPr>
              <w:t>compliant components on many vehicles</w:t>
            </w:r>
            <w:r>
              <w:rPr>
                <w:rFonts w:cstheme="minorHAnsi"/>
              </w:rPr>
              <w:t>, which would impose</w:t>
            </w:r>
            <w:r w:rsidRPr="00FB3BFA">
              <w:rPr>
                <w:rFonts w:cstheme="minorHAnsi"/>
              </w:rPr>
              <w:t xml:space="preserve"> significant wasted cost on truck owners.</w:t>
            </w:r>
          </w:p>
          <w:p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Would prefer any regulation for side underrun protection to be</w:t>
            </w:r>
            <w:r w:rsidRPr="00AB5345">
              <w:rPr>
                <w:rFonts w:cstheme="minorHAnsi"/>
              </w:rPr>
              <w:t xml:space="preserve"> applied as an </w:t>
            </w:r>
            <w:r>
              <w:rPr>
                <w:rFonts w:cstheme="minorHAnsi"/>
              </w:rPr>
              <w:t>in-service</w:t>
            </w:r>
            <w:r w:rsidRPr="00AB5345">
              <w:rPr>
                <w:rFonts w:cstheme="minorHAnsi"/>
              </w:rPr>
              <w:t xml:space="preserve"> requirement, as</w:t>
            </w:r>
            <w:r>
              <w:rPr>
                <w:rFonts w:cstheme="minorHAnsi"/>
              </w:rPr>
              <w:t xml:space="preserve"> </w:t>
            </w:r>
            <w:r w:rsidRPr="00AB5345">
              <w:rPr>
                <w:rFonts w:cstheme="minorHAnsi"/>
              </w:rPr>
              <w:t>opposed to an ADR</w:t>
            </w:r>
            <w:r>
              <w:rPr>
                <w:rFonts w:cstheme="minorHAnsi"/>
              </w:rPr>
              <w:t>.</w:t>
            </w:r>
          </w:p>
          <w:p w:rsidR="003822C7" w:rsidRDefault="003822C7" w:rsidP="00E248BF">
            <w:pPr>
              <w:pStyle w:val="ListParagraph"/>
              <w:keepLines/>
              <w:numPr>
                <w:ilvl w:val="0"/>
                <w:numId w:val="68"/>
              </w:numPr>
              <w:tabs>
                <w:tab w:val="left" w:pos="325"/>
                <w:tab w:val="left" w:pos="720"/>
              </w:tabs>
              <w:suppressAutoHyphens w:val="0"/>
              <w:ind w:left="284" w:hanging="284"/>
              <w:rPr>
                <w:rFonts w:cstheme="minorHAnsi"/>
              </w:rPr>
            </w:pPr>
            <w:r w:rsidRPr="00E52A92">
              <w:rPr>
                <w:rFonts w:cstheme="minorHAnsi"/>
              </w:rPr>
              <w:t xml:space="preserve">If an ADR </w:t>
            </w:r>
            <w:r>
              <w:rPr>
                <w:rFonts w:cstheme="minorHAnsi"/>
              </w:rPr>
              <w:t xml:space="preserve">for side underrun protection </w:t>
            </w:r>
            <w:r w:rsidRPr="00E52A92">
              <w:rPr>
                <w:rFonts w:cstheme="minorHAnsi"/>
              </w:rPr>
              <w:t xml:space="preserve">is applied instead of an in-service requirement, </w:t>
            </w:r>
            <w:r>
              <w:rPr>
                <w:rFonts w:cstheme="minorHAnsi"/>
              </w:rPr>
              <w:t>requests that</w:t>
            </w:r>
            <w:r w:rsidRPr="00E52A92">
              <w:rPr>
                <w:rFonts w:cstheme="minorHAnsi"/>
              </w:rPr>
              <w:t xml:space="preserve"> Administrator’s Circular (0-4-11) be modified to include </w:t>
            </w:r>
            <w:r w:rsidR="00597019">
              <w:rPr>
                <w:rFonts w:cstheme="minorHAnsi"/>
              </w:rPr>
              <w:t>side underrun protection</w:t>
            </w:r>
            <w:r w:rsidRPr="00E52A92">
              <w:rPr>
                <w:rFonts w:cstheme="minorHAnsi"/>
              </w:rPr>
              <w:t xml:space="preserve">, </w:t>
            </w:r>
            <w:r>
              <w:rPr>
                <w:rFonts w:cstheme="minorHAnsi"/>
              </w:rPr>
              <w:t xml:space="preserve">to allow </w:t>
            </w:r>
            <w:r w:rsidRPr="00E52A92">
              <w:rPr>
                <w:rFonts w:cstheme="minorHAnsi"/>
              </w:rPr>
              <w:t xml:space="preserve">manufacturers to </w:t>
            </w:r>
            <w:r>
              <w:rPr>
                <w:rFonts w:cstheme="minorHAnsi"/>
              </w:rPr>
              <w:t>supply vehicles to market</w:t>
            </w:r>
            <w:r w:rsidRPr="00E52A92">
              <w:rPr>
                <w:rFonts w:cstheme="minorHAnsi"/>
              </w:rPr>
              <w:t xml:space="preserve"> without </w:t>
            </w:r>
            <w:r>
              <w:rPr>
                <w:rFonts w:cstheme="minorHAnsi"/>
              </w:rPr>
              <w:t xml:space="preserve">side underrun protection </w:t>
            </w:r>
            <w:r w:rsidRPr="00E52A92">
              <w:rPr>
                <w:rFonts w:cstheme="minorHAnsi"/>
              </w:rPr>
              <w:t>components installed.</w:t>
            </w:r>
          </w:p>
          <w:p w:rsidR="003822C7" w:rsidRPr="00F72D01" w:rsidRDefault="003822C7" w:rsidP="00E248BF">
            <w:pPr>
              <w:pStyle w:val="ListParagraph"/>
              <w:keepLines/>
              <w:numPr>
                <w:ilvl w:val="0"/>
                <w:numId w:val="68"/>
              </w:numPr>
              <w:tabs>
                <w:tab w:val="left" w:pos="325"/>
                <w:tab w:val="left" w:pos="720"/>
              </w:tabs>
              <w:suppressAutoHyphens w:val="0"/>
              <w:ind w:left="284" w:hanging="284"/>
              <w:rPr>
                <w:rFonts w:cstheme="minorHAnsi"/>
              </w:rPr>
            </w:pPr>
            <w:r>
              <w:rPr>
                <w:rFonts w:cstheme="minorHAnsi"/>
              </w:rPr>
              <w:t>Recommends the NHVR provide formal allowance for new vehicles to travel post build as part of the manufacture completion process to body builders etc before side underrun components are installed.</w:t>
            </w:r>
          </w:p>
        </w:tc>
        <w:tc>
          <w:tcPr>
            <w:tcW w:w="6521" w:type="dxa"/>
            <w:gridSpan w:val="2"/>
          </w:tcPr>
          <w:p w:rsidR="003822C7" w:rsidRPr="009133CD" w:rsidRDefault="003822C7"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Noted.</w:t>
            </w:r>
          </w:p>
          <w:p w:rsidR="003822C7" w:rsidRPr="009133CD" w:rsidRDefault="003822C7"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Agreed. There are more safety benefits for trucks. Trailer benefits are more productivity based.</w:t>
            </w:r>
          </w:p>
          <w:p w:rsidR="003822C7" w:rsidRPr="009133CD" w:rsidRDefault="003822C7"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Noted.</w:t>
            </w:r>
          </w:p>
          <w:p w:rsidR="00B25928" w:rsidRPr="009133CD" w:rsidRDefault="00B25928"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 xml:space="preserve">Noted. However, more time has been required to complete the </w:t>
            </w:r>
            <w:r w:rsidR="00531858">
              <w:rPr>
                <w:rFonts w:cstheme="minorHAnsi"/>
              </w:rPr>
              <w:t>IA</w:t>
            </w:r>
            <w:r w:rsidRPr="009133CD">
              <w:rPr>
                <w:rFonts w:cstheme="minorHAnsi"/>
              </w:rPr>
              <w:t xml:space="preserve"> (including to consider industry requests for exemptions and variations to the proposed UN regulation based ADRs) and further time will be required to update in-service vehicle laws, following any updates to the ADRs to allow for wider and safer freight vehicles.</w:t>
            </w:r>
          </w:p>
          <w:p w:rsidR="003822C7" w:rsidRPr="009133CD" w:rsidRDefault="00F41877"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 xml:space="preserve">Vehicles </w:t>
            </w:r>
            <w:r w:rsidR="00601A9A" w:rsidRPr="00601A9A">
              <w:rPr>
                <w:rFonts w:cstheme="minorHAnsi"/>
              </w:rPr>
              <w:t>can be designed to meet UN R46 with flat glass fitted to main rear-view mirrors on the driver’s side. Agree it is unlikely to be possible to fit flat glass to main rear-view mirrors on the passenger side. This is because flat main rear-view mirrors typically provide a very limited field of view on the passenger side compared to the minimum required by UN R46. However, there are other solutions, including fitting a flat glass main rear-view mirror (on either side) in combination with a camera-monitor system meeting the full UN R46 field of vision requirements</w:t>
            </w:r>
            <w:r w:rsidR="002A7D4A">
              <w:rPr>
                <w:rFonts w:cstheme="minorHAnsi"/>
              </w:rPr>
              <w:t>.</w:t>
            </w:r>
          </w:p>
          <w:p w:rsidR="003822C7" w:rsidRPr="009133CD" w:rsidRDefault="003822C7"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 xml:space="preserve">Agree that flat glass mirrors provide </w:t>
            </w:r>
            <w:r w:rsidR="00C77288" w:rsidRPr="009133CD">
              <w:rPr>
                <w:rFonts w:cstheme="minorHAnsi"/>
              </w:rPr>
              <w:t>clearer</w:t>
            </w:r>
            <w:r w:rsidRPr="009133CD">
              <w:rPr>
                <w:rFonts w:cstheme="minorHAnsi"/>
              </w:rPr>
              <w:t xml:space="preserve"> depth perception. However, flat glass mirrors provide a narrower field of view (than convex mirrors), and can leave very large blind spots on the passenger side of trucks.</w:t>
            </w:r>
          </w:p>
          <w:p w:rsidR="003822C7" w:rsidRPr="009133CD" w:rsidRDefault="00DC12FF"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Disagree</w:t>
            </w:r>
            <w:r w:rsidR="003822C7" w:rsidRPr="009133CD">
              <w:rPr>
                <w:rFonts w:cstheme="minorHAnsi"/>
              </w:rPr>
              <w:t>.</w:t>
            </w:r>
            <w:r w:rsidR="00264085" w:rsidRPr="009133CD">
              <w:rPr>
                <w:rFonts w:cstheme="minorHAnsi"/>
              </w:rPr>
              <w:t xml:space="preserve"> The performance testing in UN R46 allows for a less design prescriptive (i.e. performance based) approach overall</w:t>
            </w:r>
            <w:r w:rsidR="008A7ABC" w:rsidRPr="009133CD">
              <w:rPr>
                <w:rFonts w:cstheme="minorHAnsi"/>
              </w:rPr>
              <w:t xml:space="preserve"> and underpins the approach taken by the EU in regard to the exclusion of these devices from width and length measurements</w:t>
            </w:r>
            <w:r w:rsidR="00264085" w:rsidRPr="009133CD">
              <w:rPr>
                <w:rFonts w:cstheme="minorHAnsi"/>
              </w:rPr>
              <w:t xml:space="preserve">. This </w:t>
            </w:r>
            <w:r w:rsidR="004E01D6" w:rsidRPr="009133CD">
              <w:rPr>
                <w:rFonts w:cstheme="minorHAnsi"/>
              </w:rPr>
              <w:t xml:space="preserve">testing </w:t>
            </w:r>
            <w:r w:rsidR="00264085" w:rsidRPr="009133CD">
              <w:rPr>
                <w:rFonts w:cstheme="minorHAnsi"/>
              </w:rPr>
              <w:t xml:space="preserve">is </w:t>
            </w:r>
            <w:r w:rsidR="004E01D6" w:rsidRPr="009133CD">
              <w:rPr>
                <w:rFonts w:cstheme="minorHAnsi"/>
              </w:rPr>
              <w:t xml:space="preserve">also </w:t>
            </w:r>
            <w:r w:rsidR="00264085" w:rsidRPr="009133CD">
              <w:rPr>
                <w:rFonts w:cstheme="minorHAnsi"/>
              </w:rPr>
              <w:t xml:space="preserve">minor relative to the benefits for truck manufacturers </w:t>
            </w:r>
            <w:r w:rsidR="00CF57BC">
              <w:rPr>
                <w:rFonts w:cstheme="minorHAnsi"/>
              </w:rPr>
              <w:t>(and pur</w:t>
            </w:r>
            <w:r w:rsidR="0008305E">
              <w:rPr>
                <w:rFonts w:cstheme="minorHAnsi"/>
              </w:rPr>
              <w:t>ch</w:t>
            </w:r>
            <w:r w:rsidR="00CF57BC">
              <w:rPr>
                <w:rFonts w:cstheme="minorHAnsi"/>
              </w:rPr>
              <w:t>as</w:t>
            </w:r>
            <w:r w:rsidR="0008305E">
              <w:rPr>
                <w:rFonts w:cstheme="minorHAnsi"/>
              </w:rPr>
              <w:t>ers/</w:t>
            </w:r>
            <w:r w:rsidR="00CF57BC">
              <w:rPr>
                <w:rFonts w:cstheme="minorHAnsi"/>
              </w:rPr>
              <w:t xml:space="preserve">operators) </w:t>
            </w:r>
            <w:r w:rsidR="00264085" w:rsidRPr="009133CD">
              <w:rPr>
                <w:rFonts w:cstheme="minorHAnsi"/>
              </w:rPr>
              <w:t>of an increased width limit.</w:t>
            </w:r>
          </w:p>
          <w:p w:rsidR="00685EEE" w:rsidRPr="009133CD" w:rsidRDefault="00685EEE"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 xml:space="preserve">Agree that the ADR should be updated to require wide angle rear-view mirrors, close proximity view mirrors, and front-view mirrors or </w:t>
            </w:r>
            <w:r w:rsidRPr="009133CD">
              <w:rPr>
                <w:rFonts w:cstheme="minorHAnsi"/>
              </w:rPr>
              <w:br/>
              <w:t>cross-view mirrors</w:t>
            </w:r>
            <w:r w:rsidR="003822C7" w:rsidRPr="009133CD">
              <w:rPr>
                <w:rFonts w:cstheme="minorHAnsi"/>
              </w:rPr>
              <w:t>.</w:t>
            </w:r>
            <w:r w:rsidRPr="009133CD">
              <w:rPr>
                <w:rFonts w:cstheme="minorHAnsi"/>
              </w:rPr>
              <w:t xml:space="preserve"> Disagree with </w:t>
            </w:r>
            <w:r w:rsidR="00DC42A2" w:rsidRPr="009133CD">
              <w:rPr>
                <w:rFonts w:cstheme="minorHAnsi"/>
              </w:rPr>
              <w:t xml:space="preserve">the </w:t>
            </w:r>
            <w:r w:rsidRPr="009133CD">
              <w:rPr>
                <w:rFonts w:cstheme="minorHAnsi"/>
              </w:rPr>
              <w:t xml:space="preserve">proposal to allow existing main </w:t>
            </w:r>
            <w:r w:rsidR="00DC42A2" w:rsidRPr="009133CD">
              <w:rPr>
                <w:rFonts w:cstheme="minorHAnsi"/>
              </w:rPr>
              <w:br/>
            </w:r>
            <w:r w:rsidRPr="009133CD">
              <w:rPr>
                <w:rFonts w:cstheme="minorHAnsi"/>
              </w:rPr>
              <w:t>rea</w:t>
            </w:r>
            <w:r w:rsidR="00D03373" w:rsidRPr="009133CD">
              <w:rPr>
                <w:rFonts w:cstheme="minorHAnsi"/>
              </w:rPr>
              <w:t>r</w:t>
            </w:r>
            <w:r w:rsidRPr="009133CD">
              <w:rPr>
                <w:rFonts w:cstheme="minorHAnsi"/>
              </w:rPr>
              <w:t>-view mirrors without the need for strength or performance testing</w:t>
            </w:r>
            <w:r w:rsidR="00FD320D" w:rsidRPr="009133CD">
              <w:rPr>
                <w:rFonts w:cstheme="minorHAnsi"/>
              </w:rPr>
              <w:t xml:space="preserve">, including because </w:t>
            </w:r>
            <w:r w:rsidRPr="009133CD">
              <w:rPr>
                <w:rFonts w:cstheme="minorHAnsi"/>
              </w:rPr>
              <w:t>the performance testing</w:t>
            </w:r>
            <w:r w:rsidR="0001778F" w:rsidRPr="009133CD">
              <w:rPr>
                <w:rFonts w:cstheme="minorHAnsi"/>
              </w:rPr>
              <w:t xml:space="preserve"> allows for a less </w:t>
            </w:r>
            <w:r w:rsidR="00FD320D" w:rsidRPr="009133CD">
              <w:rPr>
                <w:rFonts w:cstheme="minorHAnsi"/>
              </w:rPr>
              <w:t xml:space="preserve">design </w:t>
            </w:r>
            <w:r w:rsidR="0001778F" w:rsidRPr="009133CD">
              <w:rPr>
                <w:rFonts w:cstheme="minorHAnsi"/>
              </w:rPr>
              <w:t xml:space="preserve">prescriptive </w:t>
            </w:r>
            <w:r w:rsidR="00A52F74" w:rsidRPr="009133CD">
              <w:rPr>
                <w:rFonts w:cstheme="minorHAnsi"/>
              </w:rPr>
              <w:t xml:space="preserve">(i.e. performance based) </w:t>
            </w:r>
            <w:r w:rsidR="0001778F" w:rsidRPr="009133CD">
              <w:rPr>
                <w:rFonts w:cstheme="minorHAnsi"/>
              </w:rPr>
              <w:t>approach overall</w:t>
            </w:r>
            <w:r w:rsidR="00B909FF">
              <w:rPr>
                <w:rFonts w:cstheme="minorHAnsi"/>
              </w:rPr>
              <w:t xml:space="preserve"> and is linked to exclusions from width and length measurements</w:t>
            </w:r>
            <w:r w:rsidR="00FD320D" w:rsidRPr="009133CD">
              <w:rPr>
                <w:rFonts w:cstheme="minorHAnsi"/>
              </w:rPr>
              <w:t>.</w:t>
            </w:r>
          </w:p>
          <w:p w:rsidR="003822C7" w:rsidRPr="009133CD" w:rsidRDefault="003822C7"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Noted.</w:t>
            </w:r>
          </w:p>
          <w:p w:rsidR="003822C7" w:rsidRPr="009133CD" w:rsidRDefault="00082135"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Noted</w:t>
            </w:r>
            <w:r w:rsidR="003822C7" w:rsidRPr="009133CD">
              <w:rPr>
                <w:rFonts w:cstheme="minorHAnsi"/>
              </w:rPr>
              <w:t>.</w:t>
            </w:r>
            <w:r w:rsidRPr="009133CD">
              <w:rPr>
                <w:rFonts w:cstheme="minorHAnsi"/>
              </w:rPr>
              <w:t xml:space="preserve"> </w:t>
            </w:r>
            <w:r w:rsidR="00201BF9" w:rsidRPr="009133CD">
              <w:rPr>
                <w:rFonts w:cstheme="minorHAnsi"/>
              </w:rPr>
              <w:t xml:space="preserve">However, </w:t>
            </w:r>
            <w:r w:rsidRPr="009133CD">
              <w:rPr>
                <w:rFonts w:cstheme="minorHAnsi"/>
              </w:rPr>
              <w:t>Commission Regulation (EU) No 347/2012*2015/562 has now been repealed.</w:t>
            </w:r>
          </w:p>
          <w:p w:rsidR="003822C7" w:rsidRPr="009133CD" w:rsidRDefault="00201BF9"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Noted. However, Commission Regulation (EU) No 351/2012*351/2012 has now been repealed.</w:t>
            </w:r>
          </w:p>
          <w:p w:rsidR="003822C7" w:rsidRPr="009133CD" w:rsidRDefault="00685EEE"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 xml:space="preserve">Noted. The proposed </w:t>
            </w:r>
            <w:r w:rsidR="00CC4EA2" w:rsidRPr="009133CD">
              <w:rPr>
                <w:rFonts w:cstheme="minorHAnsi"/>
              </w:rPr>
              <w:t xml:space="preserve">ADR applicability </w:t>
            </w:r>
            <w:r w:rsidRPr="009133CD">
              <w:rPr>
                <w:rFonts w:cstheme="minorHAnsi"/>
              </w:rPr>
              <w:t xml:space="preserve">dates are </w:t>
            </w:r>
            <w:r w:rsidR="00DC42A2" w:rsidRPr="009133CD">
              <w:rPr>
                <w:rFonts w:cstheme="minorHAnsi"/>
              </w:rPr>
              <w:t>28</w:t>
            </w:r>
            <w:r w:rsidRPr="009133CD">
              <w:rPr>
                <w:rFonts w:cstheme="minorHAnsi"/>
              </w:rPr>
              <w:t xml:space="preserve"> months post implementation for new models in Europe and </w:t>
            </w:r>
            <w:r w:rsidR="00DC42A2" w:rsidRPr="009133CD">
              <w:rPr>
                <w:rFonts w:cstheme="minorHAnsi"/>
              </w:rPr>
              <w:t>31 months post implementation for all new vehicles</w:t>
            </w:r>
            <w:r w:rsidR="00CC4EA2" w:rsidRPr="009133CD">
              <w:rPr>
                <w:rFonts w:cstheme="minorHAnsi"/>
              </w:rPr>
              <w:t xml:space="preserve"> in Europe</w:t>
            </w:r>
            <w:r w:rsidR="00DC42A2" w:rsidRPr="009133CD">
              <w:rPr>
                <w:rFonts w:cstheme="minorHAnsi"/>
              </w:rPr>
              <w:t>.</w:t>
            </w:r>
          </w:p>
          <w:p w:rsidR="009133CD" w:rsidRPr="009133CD" w:rsidRDefault="00C23179"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 xml:space="preserve">Noted. The exemptions and alternative procedures section of the proposed ADR will be able to be used to provide greater clarity, including in regard to derogations. These will also be able to continuously reviewed in close consultation with industry and with regard for Australian conditions, including through the established ADR consultative forums (e.g. TLG). Minor amendments </w:t>
            </w:r>
            <w:r w:rsidR="0002277E" w:rsidRPr="009133CD">
              <w:rPr>
                <w:rFonts w:cstheme="minorHAnsi"/>
              </w:rPr>
              <w:t xml:space="preserve">could be made to the ADR (after entry into force) </w:t>
            </w:r>
            <w:r w:rsidR="009133CD">
              <w:rPr>
                <w:rFonts w:cstheme="minorHAnsi"/>
              </w:rPr>
              <w:t xml:space="preserve">if necessary </w:t>
            </w:r>
            <w:r w:rsidR="0002277E" w:rsidRPr="009133CD">
              <w:rPr>
                <w:rFonts w:cstheme="minorHAnsi"/>
              </w:rPr>
              <w:t>to</w:t>
            </w:r>
            <w:r w:rsidR="009133CD" w:rsidRPr="009133CD">
              <w:rPr>
                <w:rFonts w:cstheme="minorHAnsi"/>
              </w:rPr>
              <w:t xml:space="preserve"> further clarify the interpretation and/or application of requirements</w:t>
            </w:r>
            <w:r w:rsidR="009133CD">
              <w:rPr>
                <w:rFonts w:cstheme="minorHAnsi"/>
              </w:rPr>
              <w:t xml:space="preserve">, or to </w:t>
            </w:r>
            <w:r w:rsidR="0002277E" w:rsidRPr="009133CD">
              <w:rPr>
                <w:rFonts w:cstheme="minorHAnsi"/>
              </w:rPr>
              <w:t xml:space="preserve">provide further </w:t>
            </w:r>
            <w:r w:rsidR="009133CD" w:rsidRPr="009133CD">
              <w:rPr>
                <w:rFonts w:cstheme="minorHAnsi"/>
              </w:rPr>
              <w:t xml:space="preserve">targeted exemptions/ </w:t>
            </w:r>
            <w:r w:rsidRPr="009133CD">
              <w:rPr>
                <w:rFonts w:cstheme="minorHAnsi"/>
              </w:rPr>
              <w:t>derogations</w:t>
            </w:r>
            <w:r w:rsidR="009133CD" w:rsidRPr="009133CD">
              <w:rPr>
                <w:rFonts w:cstheme="minorHAnsi"/>
              </w:rPr>
              <w:t>, if there is evidence to show this would be likely to have no more than a minor regulatory impact, or that an LPD would be incompatible with the vehicle design use</w:t>
            </w:r>
            <w:r w:rsidR="0002277E" w:rsidRPr="009133CD">
              <w:rPr>
                <w:rFonts w:cstheme="minorHAnsi"/>
              </w:rPr>
              <w:t xml:space="preserve">. </w:t>
            </w:r>
            <w:r w:rsidR="007356DD" w:rsidRPr="009133CD">
              <w:rPr>
                <w:rFonts w:cstheme="minorHAnsi"/>
              </w:rPr>
              <w:t xml:space="preserve">Such </w:t>
            </w:r>
            <w:r w:rsidR="0002277E" w:rsidRPr="009133CD">
              <w:rPr>
                <w:rFonts w:cstheme="minorHAnsi"/>
              </w:rPr>
              <w:t>specifics (i.e. finer details) should not prevent the ADRs from being updated in the near term to allow for safer wider freight vehicles.</w:t>
            </w:r>
          </w:p>
          <w:p w:rsidR="003822C7" w:rsidRPr="009133CD" w:rsidRDefault="003822C7" w:rsidP="00E248BF">
            <w:pPr>
              <w:pStyle w:val="ListParagraph"/>
              <w:keepLines/>
              <w:numPr>
                <w:ilvl w:val="0"/>
                <w:numId w:val="76"/>
              </w:numPr>
              <w:tabs>
                <w:tab w:val="left" w:pos="318"/>
              </w:tabs>
              <w:suppressAutoHyphens w:val="0"/>
              <w:ind w:left="284" w:hanging="284"/>
              <w:rPr>
                <w:rFonts w:cstheme="minorHAnsi"/>
              </w:rPr>
            </w:pPr>
            <w:r w:rsidRPr="009133CD">
              <w:rPr>
                <w:rFonts w:cstheme="minorHAnsi"/>
              </w:rPr>
              <w:t>Noted.</w:t>
            </w:r>
          </w:p>
          <w:p w:rsidR="003822C7" w:rsidRDefault="003822C7" w:rsidP="00E248BF">
            <w:pPr>
              <w:pStyle w:val="ListParagraph"/>
              <w:keepLines/>
              <w:numPr>
                <w:ilvl w:val="0"/>
                <w:numId w:val="76"/>
              </w:numPr>
              <w:tabs>
                <w:tab w:val="left" w:pos="318"/>
              </w:tabs>
              <w:suppressAutoHyphens w:val="0"/>
              <w:ind w:left="284" w:hanging="284"/>
              <w:rPr>
                <w:rFonts w:cstheme="minorHAnsi"/>
              </w:rPr>
            </w:pPr>
            <w:r>
              <w:rPr>
                <w:rFonts w:cstheme="minorHAnsi"/>
              </w:rPr>
              <w:t xml:space="preserve">Correct – </w:t>
            </w:r>
            <w:r w:rsidR="00E47160">
              <w:rPr>
                <w:rFonts w:cstheme="minorHAnsi"/>
              </w:rPr>
              <w:t xml:space="preserve">under each of the proposed options, </w:t>
            </w:r>
            <w:r>
              <w:rPr>
                <w:rFonts w:cstheme="minorHAnsi"/>
              </w:rPr>
              <w:t>rigid trucks would be required to be fitted with side underrun protection, while prime movers would be exempt.</w:t>
            </w:r>
          </w:p>
          <w:p w:rsidR="00DC12FF" w:rsidRPr="00DC12FF" w:rsidRDefault="005C0753" w:rsidP="00E248BF">
            <w:pPr>
              <w:pStyle w:val="ListParagraph"/>
              <w:keepLines/>
              <w:numPr>
                <w:ilvl w:val="0"/>
                <w:numId w:val="76"/>
              </w:numPr>
              <w:tabs>
                <w:tab w:val="left" w:pos="318"/>
              </w:tabs>
              <w:suppressAutoHyphens w:val="0"/>
              <w:ind w:left="284" w:hanging="284"/>
              <w:rPr>
                <w:rFonts w:cstheme="minorHAnsi"/>
              </w:rPr>
            </w:pPr>
            <w:r w:rsidRPr="005C0753">
              <w:rPr>
                <w:rFonts w:cstheme="minorHAnsi"/>
              </w:rPr>
              <w:t>Agree provision needs to be made to allow side underrun to be fitted after first supply to market, including by a third party (e.g. body builder)</w:t>
            </w:r>
            <w:r>
              <w:rPr>
                <w:rFonts w:cstheme="minorHAnsi"/>
              </w:rPr>
              <w:t xml:space="preserve">. The </w:t>
            </w:r>
            <w:r w:rsidR="00B9347B">
              <w:rPr>
                <w:rFonts w:cstheme="minorHAnsi"/>
              </w:rPr>
              <w:t>d</w:t>
            </w:r>
            <w:r>
              <w:rPr>
                <w:rFonts w:cstheme="minorHAnsi"/>
              </w:rPr>
              <w:t>epartment proposes to resolve this issue by including a clause in the proposed ADR to ex</w:t>
            </w:r>
            <w:r w:rsidR="009F2857">
              <w:rPr>
                <w:rFonts w:cstheme="minorHAnsi"/>
              </w:rPr>
              <w:t>empt</w:t>
            </w:r>
            <w:r>
              <w:rPr>
                <w:rFonts w:cstheme="minorHAnsi"/>
              </w:rPr>
              <w:t xml:space="preserve"> chassis</w:t>
            </w:r>
            <w:r w:rsidR="009F2857">
              <w:rPr>
                <w:rFonts w:cstheme="minorHAnsi"/>
              </w:rPr>
              <w:t>-</w:t>
            </w:r>
            <w:r>
              <w:rPr>
                <w:rFonts w:cstheme="minorHAnsi"/>
              </w:rPr>
              <w:t xml:space="preserve">cab and partially complete vehicles, as well as prime movers from </w:t>
            </w:r>
            <w:r w:rsidR="009F2857">
              <w:rPr>
                <w:rFonts w:cstheme="minorHAnsi"/>
              </w:rPr>
              <w:t xml:space="preserve">this ADR. </w:t>
            </w:r>
            <w:r w:rsidR="00597019">
              <w:rPr>
                <w:rFonts w:cstheme="minorHAnsi"/>
              </w:rPr>
              <w:t>To comply with the proposed ADR as completed vehicles in-service, c</w:t>
            </w:r>
            <w:r w:rsidR="009F2857">
              <w:rPr>
                <w:rFonts w:cstheme="minorHAnsi"/>
              </w:rPr>
              <w:t xml:space="preserve">hassis-cab and </w:t>
            </w:r>
            <w:r w:rsidR="00597019">
              <w:rPr>
                <w:rFonts w:cstheme="minorHAnsi"/>
              </w:rPr>
              <w:t xml:space="preserve">other </w:t>
            </w:r>
            <w:r w:rsidR="009F2857">
              <w:rPr>
                <w:rFonts w:cstheme="minorHAnsi"/>
              </w:rPr>
              <w:t>partially completed vehicles would then need to be fitted with side underrun as part of the vehicle completion process</w:t>
            </w:r>
            <w:r w:rsidR="00146DEB">
              <w:rPr>
                <w:rFonts w:cstheme="minorHAnsi"/>
              </w:rPr>
              <w:t>.</w:t>
            </w:r>
          </w:p>
          <w:p w:rsidR="003822C7" w:rsidRPr="0004281A" w:rsidRDefault="00DC12FF" w:rsidP="00E248BF">
            <w:pPr>
              <w:pStyle w:val="ListParagraph"/>
              <w:keepLines/>
              <w:numPr>
                <w:ilvl w:val="0"/>
                <w:numId w:val="76"/>
              </w:numPr>
              <w:tabs>
                <w:tab w:val="left" w:pos="318"/>
              </w:tabs>
              <w:suppressAutoHyphens w:val="0"/>
              <w:ind w:left="284" w:hanging="284"/>
              <w:rPr>
                <w:rFonts w:cstheme="minorHAnsi"/>
              </w:rPr>
            </w:pPr>
            <w:r w:rsidRPr="0004281A">
              <w:rPr>
                <w:rFonts w:cstheme="minorHAnsi"/>
              </w:rPr>
              <w:t xml:space="preserve">Noted. </w:t>
            </w:r>
            <w:r w:rsidR="0004281A">
              <w:rPr>
                <w:rFonts w:cstheme="minorHAnsi"/>
              </w:rPr>
              <w:t>However, a</w:t>
            </w:r>
            <w:r w:rsidR="0004281A" w:rsidRPr="0004281A">
              <w:rPr>
                <w:rFonts w:cstheme="minorHAnsi"/>
              </w:rPr>
              <w:t>n alternative solution has been found to resolve this issue (see above)</w:t>
            </w:r>
            <w:r w:rsidRPr="0004281A">
              <w:rPr>
                <w:rFonts w:cstheme="minorHAnsi"/>
              </w:rPr>
              <w:t>.</w:t>
            </w:r>
          </w:p>
          <w:p w:rsidR="0004281A" w:rsidRPr="0004281A" w:rsidRDefault="0004281A" w:rsidP="00E248BF">
            <w:pPr>
              <w:pStyle w:val="ListParagraph"/>
              <w:keepLines/>
              <w:numPr>
                <w:ilvl w:val="0"/>
                <w:numId w:val="76"/>
              </w:numPr>
              <w:tabs>
                <w:tab w:val="left" w:pos="318"/>
              </w:tabs>
              <w:suppressAutoHyphens w:val="0"/>
              <w:ind w:left="284" w:hanging="284"/>
              <w:rPr>
                <w:rFonts w:cstheme="minorHAnsi"/>
              </w:rPr>
            </w:pPr>
            <w:r w:rsidRPr="0004281A">
              <w:rPr>
                <w:rFonts w:cstheme="minorHAnsi"/>
              </w:rPr>
              <w:t xml:space="preserve">Noted. </w:t>
            </w:r>
            <w:r>
              <w:rPr>
                <w:rFonts w:cstheme="minorHAnsi"/>
              </w:rPr>
              <w:t>However, a</w:t>
            </w:r>
            <w:r w:rsidRPr="0004281A">
              <w:rPr>
                <w:rFonts w:cstheme="minorHAnsi"/>
              </w:rPr>
              <w:t>n alternative solution has been found to resolve this issue (see above).</w:t>
            </w:r>
          </w:p>
          <w:p w:rsidR="003822C7" w:rsidRPr="0015425C" w:rsidRDefault="00DC12FF" w:rsidP="00E248BF">
            <w:pPr>
              <w:pStyle w:val="ListParagraph"/>
              <w:keepLines/>
              <w:numPr>
                <w:ilvl w:val="0"/>
                <w:numId w:val="76"/>
              </w:numPr>
              <w:tabs>
                <w:tab w:val="left" w:pos="318"/>
              </w:tabs>
              <w:suppressAutoHyphens w:val="0"/>
              <w:ind w:left="284" w:hanging="284"/>
              <w:rPr>
                <w:rFonts w:cstheme="minorHAnsi"/>
              </w:rPr>
            </w:pPr>
            <w:r w:rsidRPr="00DC12FF">
              <w:rPr>
                <w:rFonts w:cstheme="minorHAnsi"/>
              </w:rPr>
              <w:t xml:space="preserve">Noted. </w:t>
            </w:r>
            <w:r w:rsidR="009F2857">
              <w:rPr>
                <w:rFonts w:cstheme="minorHAnsi"/>
              </w:rPr>
              <w:t xml:space="preserve">While this is a matter for the NHVR, the approach proposed by the </w:t>
            </w:r>
            <w:r w:rsidR="00B9347B">
              <w:rPr>
                <w:rFonts w:cstheme="minorHAnsi"/>
              </w:rPr>
              <w:t>d</w:t>
            </w:r>
            <w:r w:rsidR="009F2857">
              <w:rPr>
                <w:rFonts w:cstheme="minorHAnsi"/>
              </w:rPr>
              <w:t xml:space="preserve">epartment </w:t>
            </w:r>
            <w:r w:rsidR="00597019">
              <w:rPr>
                <w:rFonts w:cstheme="minorHAnsi"/>
              </w:rPr>
              <w:t>is likely to</w:t>
            </w:r>
            <w:r w:rsidR="009F2857">
              <w:rPr>
                <w:rFonts w:cstheme="minorHAnsi"/>
              </w:rPr>
              <w:t xml:space="preserve"> avoid the need for any special formal allowances</w:t>
            </w:r>
            <w:r w:rsidR="00597019">
              <w:rPr>
                <w:rFonts w:cstheme="minorHAnsi"/>
              </w:rPr>
              <w:t xml:space="preserve"> in regard to side </w:t>
            </w:r>
            <w:r w:rsidR="0004281A">
              <w:rPr>
                <w:rFonts w:cstheme="minorHAnsi"/>
              </w:rPr>
              <w:t>underrun</w:t>
            </w:r>
            <w:r w:rsidR="00597019">
              <w:rPr>
                <w:rFonts w:cstheme="minorHAnsi"/>
              </w:rPr>
              <w:t>, including because s</w:t>
            </w:r>
            <w:r w:rsidR="009F2857">
              <w:rPr>
                <w:rFonts w:cstheme="minorHAnsi"/>
              </w:rPr>
              <w:t>uch vehicles would not need to be fitted with side</w:t>
            </w:r>
            <w:r w:rsidR="0004281A">
              <w:rPr>
                <w:rFonts w:cstheme="minorHAnsi"/>
              </w:rPr>
              <w:t xml:space="preserve"> </w:t>
            </w:r>
            <w:r w:rsidR="009F2857">
              <w:rPr>
                <w:rFonts w:cstheme="minorHAnsi"/>
              </w:rPr>
              <w:t xml:space="preserve">underrun </w:t>
            </w:r>
            <w:r w:rsidR="0004281A">
              <w:rPr>
                <w:rFonts w:cstheme="minorHAnsi"/>
              </w:rPr>
              <w:t>protection while in the chassis-cab stage</w:t>
            </w:r>
            <w:r w:rsidR="003822C7" w:rsidRPr="00DC12FF">
              <w:rPr>
                <w:rFonts w:cstheme="minorHAnsi"/>
              </w:rPr>
              <w:t>.</w:t>
            </w:r>
          </w:p>
        </w:tc>
      </w:tr>
      <w:tr w:rsidR="003822C7" w:rsidRPr="007B6E69" w:rsidTr="003822C7">
        <w:tc>
          <w:tcPr>
            <w:tcW w:w="1696" w:type="dxa"/>
          </w:tcPr>
          <w:p w:rsidR="003822C7" w:rsidRPr="007B6E69" w:rsidRDefault="003822C7" w:rsidP="007901FB">
            <w:pPr>
              <w:spacing w:before="120" w:after="120"/>
              <w:rPr>
                <w:rFonts w:cstheme="minorHAnsi"/>
              </w:rPr>
            </w:pPr>
            <w:r w:rsidRPr="007B6E69">
              <w:rPr>
                <w:rFonts w:cstheme="minorHAnsi"/>
              </w:rPr>
              <w:t>Toll Group</w:t>
            </w:r>
          </w:p>
        </w:tc>
        <w:tc>
          <w:tcPr>
            <w:tcW w:w="6379" w:type="dxa"/>
          </w:tcPr>
          <w:p w:rsidR="003822C7" w:rsidRDefault="003822C7" w:rsidP="007C097D">
            <w:pPr>
              <w:pStyle w:val="ListParagraph"/>
              <w:keepLines/>
              <w:numPr>
                <w:ilvl w:val="6"/>
                <w:numId w:val="30"/>
              </w:numPr>
              <w:tabs>
                <w:tab w:val="left" w:pos="320"/>
              </w:tabs>
              <w:suppressAutoHyphens w:val="0"/>
              <w:ind w:left="284"/>
              <w:rPr>
                <w:rFonts w:cstheme="minorHAnsi"/>
                <w:szCs w:val="20"/>
              </w:rPr>
            </w:pPr>
            <w:r w:rsidRPr="002959AA">
              <w:rPr>
                <w:rFonts w:cstheme="minorHAnsi"/>
                <w:szCs w:val="20"/>
              </w:rPr>
              <w:t xml:space="preserve">Supports </w:t>
            </w:r>
            <w:r>
              <w:rPr>
                <w:rFonts w:cstheme="minorHAnsi"/>
                <w:szCs w:val="20"/>
              </w:rPr>
              <w:t xml:space="preserve">increasing the maximum width for goods vehicles and trailers over 4.5 tonnes to </w:t>
            </w:r>
            <w:r w:rsidR="00B9347B">
              <w:rPr>
                <w:rFonts w:cstheme="minorHAnsi"/>
                <w:szCs w:val="20"/>
              </w:rPr>
              <w:t>2.60</w:t>
            </w:r>
            <w:r>
              <w:rPr>
                <w:rFonts w:cstheme="minorHAnsi"/>
                <w:szCs w:val="20"/>
              </w:rPr>
              <w:t> m</w:t>
            </w:r>
            <w:r w:rsidRPr="002959AA">
              <w:rPr>
                <w:rFonts w:cstheme="minorHAnsi"/>
                <w:szCs w:val="20"/>
              </w:rPr>
              <w:t>.</w:t>
            </w:r>
          </w:p>
          <w:p w:rsidR="003822C7" w:rsidRPr="002959AA"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Supports the exclusions proposed for enhanced devices for indirect vision and monitoring devices to detect other road users from vehicle width and length measurements.</w:t>
            </w:r>
          </w:p>
        </w:tc>
        <w:tc>
          <w:tcPr>
            <w:tcW w:w="6521" w:type="dxa"/>
            <w:gridSpan w:val="2"/>
          </w:tcPr>
          <w:p w:rsidR="003822C7" w:rsidRDefault="003822C7" w:rsidP="007C097D">
            <w:pPr>
              <w:pStyle w:val="ListParagraph"/>
              <w:keepNext/>
              <w:keepLines/>
              <w:numPr>
                <w:ilvl w:val="0"/>
                <w:numId w:val="31"/>
              </w:numPr>
              <w:tabs>
                <w:tab w:val="left" w:pos="720"/>
              </w:tabs>
              <w:suppressAutoHyphens w:val="0"/>
              <w:ind w:left="284" w:hanging="284"/>
              <w:rPr>
                <w:rFonts w:cstheme="minorHAnsi"/>
                <w:szCs w:val="20"/>
              </w:rPr>
            </w:pPr>
            <w:r w:rsidRPr="0010181D">
              <w:rPr>
                <w:rFonts w:cstheme="minorHAnsi"/>
                <w:szCs w:val="20"/>
              </w:rPr>
              <w:t>Noted.</w:t>
            </w:r>
          </w:p>
          <w:p w:rsidR="003822C7" w:rsidRPr="0010181D" w:rsidRDefault="003822C7" w:rsidP="007C097D">
            <w:pPr>
              <w:pStyle w:val="ListParagraph"/>
              <w:keepNext/>
              <w:keepLines/>
              <w:numPr>
                <w:ilvl w:val="0"/>
                <w:numId w:val="31"/>
              </w:numPr>
              <w:tabs>
                <w:tab w:val="left" w:pos="720"/>
              </w:tabs>
              <w:suppressAutoHyphens w:val="0"/>
              <w:ind w:left="284" w:hanging="284"/>
              <w:rPr>
                <w:rFonts w:cstheme="minorHAnsi"/>
                <w:szCs w:val="20"/>
              </w:rPr>
            </w:pPr>
            <w:r>
              <w:rPr>
                <w:rFonts w:cstheme="minorHAnsi"/>
                <w:szCs w:val="20"/>
              </w:rPr>
              <w:t>Noted.</w:t>
            </w:r>
          </w:p>
        </w:tc>
      </w:tr>
      <w:tr w:rsidR="003822C7" w:rsidRPr="007B6E69" w:rsidTr="003822C7">
        <w:tc>
          <w:tcPr>
            <w:tcW w:w="1696" w:type="dxa"/>
          </w:tcPr>
          <w:p w:rsidR="003822C7" w:rsidRPr="007B6E69" w:rsidRDefault="003822C7" w:rsidP="00A03989">
            <w:pPr>
              <w:spacing w:before="120" w:after="120"/>
              <w:rPr>
                <w:rFonts w:cstheme="minorHAnsi"/>
                <w:highlight w:val="yellow"/>
              </w:rPr>
            </w:pPr>
            <w:r w:rsidRPr="007B6E69">
              <w:rPr>
                <w:rFonts w:cstheme="minorHAnsi"/>
              </w:rPr>
              <w:t>Truck Industry Council (TIC)</w:t>
            </w:r>
          </w:p>
        </w:tc>
        <w:tc>
          <w:tcPr>
            <w:tcW w:w="6379" w:type="dxa"/>
          </w:tcPr>
          <w:p w:rsidR="003822C7" w:rsidRPr="009F64D1" w:rsidRDefault="003822C7" w:rsidP="00E248BF">
            <w:pPr>
              <w:pStyle w:val="ListParagraph"/>
              <w:keepLines/>
              <w:numPr>
                <w:ilvl w:val="0"/>
                <w:numId w:val="69"/>
              </w:numPr>
              <w:tabs>
                <w:tab w:val="left" w:pos="320"/>
              </w:tabs>
              <w:suppressAutoHyphens w:val="0"/>
              <w:ind w:left="284" w:hanging="284"/>
              <w:rPr>
                <w:rFonts w:cstheme="minorHAnsi"/>
              </w:rPr>
            </w:pPr>
            <w:r w:rsidRPr="00AD679F">
              <w:rPr>
                <w:rFonts w:cstheme="minorHAnsi"/>
                <w:szCs w:val="20"/>
              </w:rPr>
              <w:t xml:space="preserve">Supports increasing the maximum width for goods vehicles and trailers over 4.5 tonnes to </w:t>
            </w:r>
            <w:r w:rsidR="00B9347B">
              <w:rPr>
                <w:rFonts w:cstheme="minorHAnsi"/>
                <w:szCs w:val="20"/>
              </w:rPr>
              <w:t>2.60</w:t>
            </w:r>
            <w:r>
              <w:rPr>
                <w:rFonts w:cstheme="minorHAnsi"/>
                <w:szCs w:val="20"/>
              </w:rPr>
              <w:t> </w:t>
            </w:r>
            <w:r w:rsidRPr="00AD679F">
              <w:rPr>
                <w:rFonts w:cstheme="minorHAnsi"/>
                <w:szCs w:val="20"/>
              </w:rPr>
              <w:t>m.</w:t>
            </w:r>
          </w:p>
          <w:p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 xml:space="preserve">Notes </w:t>
            </w:r>
            <w:r w:rsidRPr="00911E08">
              <w:rPr>
                <w:rFonts w:cstheme="minorHAnsi"/>
              </w:rPr>
              <w:t>with global markets actively pursuing a net zero emissions future in the</w:t>
            </w:r>
            <w:r>
              <w:rPr>
                <w:rFonts w:cstheme="minorHAnsi"/>
              </w:rPr>
              <w:t xml:space="preserve"> </w:t>
            </w:r>
            <w:r w:rsidRPr="00911E08">
              <w:rPr>
                <w:rFonts w:cstheme="minorHAnsi"/>
              </w:rPr>
              <w:t xml:space="preserve">transport (and other) sectors, </w:t>
            </w:r>
            <w:r>
              <w:rPr>
                <w:rFonts w:cstheme="minorHAnsi"/>
              </w:rPr>
              <w:t xml:space="preserve">that </w:t>
            </w:r>
            <w:r w:rsidRPr="00911E08">
              <w:rPr>
                <w:rFonts w:cstheme="minorHAnsi"/>
              </w:rPr>
              <w:t xml:space="preserve">truck manufacturers are increasingly developing zero emission heavy trucks for global markets such as </w:t>
            </w:r>
            <w:r>
              <w:rPr>
                <w:rFonts w:cstheme="minorHAnsi"/>
              </w:rPr>
              <w:t xml:space="preserve">the </w:t>
            </w:r>
            <w:r w:rsidRPr="00911E08">
              <w:rPr>
                <w:rFonts w:cstheme="minorHAnsi"/>
              </w:rPr>
              <w:t>European, North American and Japan</w:t>
            </w:r>
            <w:r>
              <w:rPr>
                <w:rFonts w:cstheme="minorHAnsi"/>
              </w:rPr>
              <w:t>ese</w:t>
            </w:r>
            <w:r w:rsidRPr="00911E08">
              <w:rPr>
                <w:rFonts w:cstheme="minorHAnsi"/>
              </w:rPr>
              <w:t>.</w:t>
            </w:r>
          </w:p>
          <w:p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Further notes t</w:t>
            </w:r>
            <w:r w:rsidRPr="00C10E06">
              <w:rPr>
                <w:rFonts w:cstheme="minorHAnsi"/>
              </w:rPr>
              <w:t xml:space="preserve">he majority of </w:t>
            </w:r>
            <w:r>
              <w:rPr>
                <w:rFonts w:cstheme="minorHAnsi"/>
              </w:rPr>
              <w:t>ultra-low and zero emission</w:t>
            </w:r>
            <w:r w:rsidRPr="00C10E06">
              <w:rPr>
                <w:rFonts w:cstheme="minorHAnsi"/>
              </w:rPr>
              <w:t xml:space="preserve"> trucks are being developed at 2.55</w:t>
            </w:r>
            <w:r>
              <w:rPr>
                <w:rFonts w:cstheme="minorHAnsi"/>
              </w:rPr>
              <w:t> </w:t>
            </w:r>
            <w:r w:rsidRPr="00C10E06">
              <w:rPr>
                <w:rFonts w:cstheme="minorHAnsi"/>
              </w:rPr>
              <w:t xml:space="preserve">m and </w:t>
            </w:r>
            <w:r w:rsidR="00B9347B">
              <w:rPr>
                <w:rFonts w:cstheme="minorHAnsi"/>
              </w:rPr>
              <w:t>2.60</w:t>
            </w:r>
            <w:r>
              <w:rPr>
                <w:rFonts w:cstheme="minorHAnsi"/>
              </w:rPr>
              <w:t> </w:t>
            </w:r>
            <w:r w:rsidRPr="00C10E06">
              <w:rPr>
                <w:rFonts w:cstheme="minorHAnsi"/>
              </w:rPr>
              <w:t>m maximum vehicle width</w:t>
            </w:r>
            <w:r>
              <w:rPr>
                <w:rFonts w:cstheme="minorHAnsi"/>
              </w:rPr>
              <w:t>, and i</w:t>
            </w:r>
            <w:r w:rsidRPr="00C10E06">
              <w:rPr>
                <w:rFonts w:cstheme="minorHAnsi"/>
              </w:rPr>
              <w:t xml:space="preserve">ncreasing Australia’s maximum truck width to </w:t>
            </w:r>
            <w:r w:rsidR="00B9347B">
              <w:rPr>
                <w:rFonts w:cstheme="minorHAnsi"/>
              </w:rPr>
              <w:t>2.60</w:t>
            </w:r>
            <w:r>
              <w:rPr>
                <w:rFonts w:cstheme="minorHAnsi"/>
              </w:rPr>
              <w:t> </w:t>
            </w:r>
            <w:r w:rsidRPr="00C10E06">
              <w:rPr>
                <w:rFonts w:cstheme="minorHAnsi"/>
              </w:rPr>
              <w:t>m would allow these models to be introduced into the Australian market.</w:t>
            </w:r>
          </w:p>
          <w:p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 xml:space="preserve">Considers increased width will improve roll stability by 4% at </w:t>
            </w:r>
            <w:r w:rsidR="00B9347B">
              <w:rPr>
                <w:rFonts w:cstheme="minorHAnsi"/>
              </w:rPr>
              <w:t>2.60</w:t>
            </w:r>
            <w:r>
              <w:rPr>
                <w:rFonts w:cstheme="minorHAnsi"/>
              </w:rPr>
              <w:t> m and 2% at 2.55 m.</w:t>
            </w:r>
          </w:p>
          <w:p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 xml:space="preserve">Notes increased width would allow the wall insulation thickness on refrigerated trucks and trailers to be increased to 90 mm for a </w:t>
            </w:r>
            <w:r w:rsidR="00B9347B">
              <w:rPr>
                <w:rFonts w:cstheme="minorHAnsi"/>
              </w:rPr>
              <w:t>2.60</w:t>
            </w:r>
            <w:r>
              <w:rPr>
                <w:rFonts w:cstheme="minorHAnsi"/>
              </w:rPr>
              <w:t> m limit and 65 mm for a 2.55 m limit.</w:t>
            </w:r>
          </w:p>
          <w:p w:rsidR="003822C7" w:rsidRPr="00C10E06"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Notes increased insulation thickness would provide refrigerated trucks and trailers with a greater than 25% reduction in fuel consumption and CO</w:t>
            </w:r>
            <w:r w:rsidRPr="00A1656F">
              <w:rPr>
                <w:rFonts w:cstheme="minorHAnsi"/>
                <w:vertAlign w:val="subscript"/>
              </w:rPr>
              <w:t>2</w:t>
            </w:r>
            <w:r>
              <w:rPr>
                <w:rFonts w:cstheme="minorHAnsi"/>
              </w:rPr>
              <w:t xml:space="preserve"> emissions for a </w:t>
            </w:r>
            <w:r w:rsidR="00B9347B">
              <w:rPr>
                <w:rFonts w:cstheme="minorHAnsi"/>
              </w:rPr>
              <w:t>2.60</w:t>
            </w:r>
            <w:r>
              <w:rPr>
                <w:rFonts w:cstheme="minorHAnsi"/>
              </w:rPr>
              <w:t> m limit, and a greater than 15% reduction for a 2.55 m limit.</w:t>
            </w:r>
          </w:p>
          <w:p w:rsidR="003822C7" w:rsidRPr="008B76A8"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D</w:t>
            </w:r>
            <w:r w:rsidRPr="005863E7">
              <w:rPr>
                <w:rFonts w:cstheme="minorHAnsi"/>
              </w:rPr>
              <w:t>oes not support any proposal that would allow a trailer that has a maximum width of greater than 2.5</w:t>
            </w:r>
            <w:r w:rsidR="00B9347B">
              <w:rPr>
                <w:rFonts w:cstheme="minorHAnsi"/>
              </w:rPr>
              <w:t>0</w:t>
            </w:r>
            <w:r>
              <w:rPr>
                <w:rFonts w:cstheme="minorHAnsi"/>
              </w:rPr>
              <w:t> </w:t>
            </w:r>
            <w:r w:rsidRPr="005863E7">
              <w:rPr>
                <w:rFonts w:cstheme="minorHAnsi"/>
              </w:rPr>
              <w:t>m being towed by a truck</w:t>
            </w:r>
            <w:r>
              <w:rPr>
                <w:rFonts w:cstheme="minorHAnsi"/>
              </w:rPr>
              <w:t xml:space="preserve"> </w:t>
            </w:r>
            <w:r w:rsidRPr="005863E7">
              <w:rPr>
                <w:rFonts w:cstheme="minorHAnsi"/>
              </w:rPr>
              <w:t xml:space="preserve">that does not comply to the suite of safety features </w:t>
            </w:r>
            <w:r>
              <w:rPr>
                <w:rFonts w:cstheme="minorHAnsi"/>
              </w:rPr>
              <w:t>supported</w:t>
            </w:r>
            <w:r w:rsidRPr="005863E7">
              <w:rPr>
                <w:rFonts w:cstheme="minorHAnsi"/>
              </w:rPr>
              <w:t xml:space="preserve"> </w:t>
            </w:r>
            <w:r>
              <w:rPr>
                <w:rFonts w:cstheme="minorHAnsi"/>
              </w:rPr>
              <w:t>in its</w:t>
            </w:r>
            <w:r w:rsidRPr="005863E7">
              <w:rPr>
                <w:rFonts w:cstheme="minorHAnsi"/>
              </w:rPr>
              <w:t xml:space="preserve"> submission</w:t>
            </w:r>
            <w:r>
              <w:rPr>
                <w:rFonts w:cstheme="minorHAnsi"/>
              </w:rPr>
              <w:t xml:space="preserve"> – the basis for this is to</w:t>
            </w:r>
            <w:r w:rsidRPr="00C10E06">
              <w:rPr>
                <w:rFonts w:cstheme="minorHAnsi"/>
              </w:rPr>
              <w:t xml:space="preserve"> ensure the expedient take-up of these advanced safety systems on trucks and to ensure the best possible safety outcomes for new truck/trailer combinations</w:t>
            </w:r>
            <w:r w:rsidRPr="008B76A8">
              <w:rPr>
                <w:rFonts w:cstheme="minorHAnsi"/>
              </w:rPr>
              <w:t>.</w:t>
            </w:r>
          </w:p>
          <w:p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R</w:t>
            </w:r>
            <w:r w:rsidRPr="005E5C9B">
              <w:rPr>
                <w:rFonts w:cstheme="minorHAnsi"/>
              </w:rPr>
              <w:t xml:space="preserve">ecommends that the </w:t>
            </w:r>
            <w:r w:rsidR="00B9347B">
              <w:rPr>
                <w:rFonts w:cstheme="minorHAnsi"/>
              </w:rPr>
              <w:t>d</w:t>
            </w:r>
            <w:r w:rsidRPr="005E5C9B">
              <w:rPr>
                <w:rFonts w:cstheme="minorHAnsi"/>
              </w:rPr>
              <w:t>epartment develop an additional field in the R</w:t>
            </w:r>
            <w:r>
              <w:rPr>
                <w:rFonts w:cstheme="minorHAnsi"/>
              </w:rPr>
              <w:t xml:space="preserve">egister of Approved Vehicles </w:t>
            </w:r>
            <w:r w:rsidRPr="005E5C9B">
              <w:rPr>
                <w:rFonts w:cstheme="minorHAnsi"/>
              </w:rPr>
              <w:t xml:space="preserve">that will allow a </w:t>
            </w:r>
            <w:r>
              <w:rPr>
                <w:rFonts w:cstheme="minorHAnsi"/>
              </w:rPr>
              <w:t>t</w:t>
            </w:r>
            <w:r w:rsidRPr="005E5C9B">
              <w:rPr>
                <w:rFonts w:cstheme="minorHAnsi"/>
              </w:rPr>
              <w:t xml:space="preserve">ype </w:t>
            </w:r>
            <w:r>
              <w:rPr>
                <w:rFonts w:cstheme="minorHAnsi"/>
              </w:rPr>
              <w:t>a</w:t>
            </w:r>
            <w:r w:rsidRPr="005E5C9B">
              <w:rPr>
                <w:rFonts w:cstheme="minorHAnsi"/>
              </w:rPr>
              <w:t>pproval holder to upload the compliance status of each new vehicle, in respect of voluntary ADRs and new ADRs prior to the mandated implementation timing</w:t>
            </w:r>
            <w:r>
              <w:rPr>
                <w:rFonts w:cstheme="minorHAnsi"/>
              </w:rPr>
              <w:t>.</w:t>
            </w:r>
          </w:p>
          <w:p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Considers the di</w:t>
            </w:r>
            <w:r w:rsidRPr="00644D6E">
              <w:rPr>
                <w:rFonts w:cstheme="minorHAnsi"/>
              </w:rPr>
              <w:t xml:space="preserve">scussion </w:t>
            </w:r>
            <w:r>
              <w:rPr>
                <w:rFonts w:cstheme="minorHAnsi"/>
              </w:rPr>
              <w:t>p</w:t>
            </w:r>
            <w:r w:rsidRPr="00644D6E">
              <w:rPr>
                <w:rFonts w:cstheme="minorHAnsi"/>
              </w:rPr>
              <w:t>aper clearly outlines that the maximum heavy vehicle safety benefits, for all road</w:t>
            </w:r>
            <w:r>
              <w:rPr>
                <w:rFonts w:cstheme="minorHAnsi"/>
              </w:rPr>
              <w:t xml:space="preserve"> </w:t>
            </w:r>
            <w:r w:rsidRPr="00644D6E">
              <w:rPr>
                <w:rFonts w:cstheme="minorHAnsi"/>
              </w:rPr>
              <w:t>users, will be achieved from the uptake of the proposed truck based advanced safety systems</w:t>
            </w:r>
            <w:r>
              <w:rPr>
                <w:rFonts w:cstheme="minorHAnsi"/>
              </w:rPr>
              <w:t xml:space="preserve"> – as </w:t>
            </w:r>
            <w:r w:rsidRPr="0081546B">
              <w:rPr>
                <w:rFonts w:cstheme="minorHAnsi"/>
              </w:rPr>
              <w:t>such, the introduction of increased vehicle width for trucks, to at least 2.55</w:t>
            </w:r>
            <w:r>
              <w:rPr>
                <w:rFonts w:cstheme="minorHAnsi"/>
              </w:rPr>
              <w:t> </w:t>
            </w:r>
            <w:r w:rsidRPr="0081546B">
              <w:rPr>
                <w:rFonts w:cstheme="minorHAnsi"/>
              </w:rPr>
              <w:t xml:space="preserve">m, </w:t>
            </w:r>
            <w:r>
              <w:rPr>
                <w:rFonts w:cstheme="minorHAnsi"/>
              </w:rPr>
              <w:t xml:space="preserve">and </w:t>
            </w:r>
            <w:r w:rsidRPr="0081546B">
              <w:rPr>
                <w:rFonts w:cstheme="minorHAnsi"/>
              </w:rPr>
              <w:t xml:space="preserve">preferably </w:t>
            </w:r>
            <w:r w:rsidR="00B9347B">
              <w:rPr>
                <w:rFonts w:cstheme="minorHAnsi"/>
              </w:rPr>
              <w:t>2.60</w:t>
            </w:r>
            <w:r>
              <w:rPr>
                <w:rFonts w:cstheme="minorHAnsi"/>
              </w:rPr>
              <w:t> </w:t>
            </w:r>
            <w:r w:rsidRPr="0081546B">
              <w:rPr>
                <w:rFonts w:cstheme="minorHAnsi"/>
              </w:rPr>
              <w:t>m</w:t>
            </w:r>
            <w:r>
              <w:rPr>
                <w:rFonts w:cstheme="minorHAnsi"/>
              </w:rPr>
              <w:t xml:space="preserve"> </w:t>
            </w:r>
            <w:r w:rsidRPr="0081546B">
              <w:rPr>
                <w:rFonts w:cstheme="minorHAnsi"/>
              </w:rPr>
              <w:t>(including load restraint and curtain-side devices), fitted with advanced safety features, should be an immediate priority for Australian governments.</w:t>
            </w:r>
          </w:p>
          <w:p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 xml:space="preserve">Recommends </w:t>
            </w:r>
            <w:r w:rsidRPr="0081546B">
              <w:rPr>
                <w:rFonts w:cstheme="minorHAnsi"/>
              </w:rPr>
              <w:t>that the Federal, State and</w:t>
            </w:r>
            <w:r>
              <w:rPr>
                <w:rFonts w:cstheme="minorHAnsi"/>
              </w:rPr>
              <w:t xml:space="preserve"> </w:t>
            </w:r>
            <w:r w:rsidRPr="0081546B">
              <w:rPr>
                <w:rFonts w:cstheme="minorHAnsi"/>
              </w:rPr>
              <w:t xml:space="preserve">Territory governments, move to increase </w:t>
            </w:r>
            <w:r>
              <w:rPr>
                <w:rFonts w:cstheme="minorHAnsi"/>
              </w:rPr>
              <w:t xml:space="preserve">maximum </w:t>
            </w:r>
            <w:r w:rsidRPr="0081546B">
              <w:rPr>
                <w:rFonts w:cstheme="minorHAnsi"/>
              </w:rPr>
              <w:t xml:space="preserve">vehicle width </w:t>
            </w:r>
            <w:r>
              <w:rPr>
                <w:rFonts w:cstheme="minorHAnsi"/>
              </w:rPr>
              <w:t>to</w:t>
            </w:r>
            <w:r w:rsidRPr="0081546B">
              <w:rPr>
                <w:rFonts w:cstheme="minorHAnsi"/>
              </w:rPr>
              <w:t xml:space="preserve"> at least 2.55</w:t>
            </w:r>
            <w:r>
              <w:rPr>
                <w:rFonts w:cstheme="minorHAnsi"/>
              </w:rPr>
              <w:t> </w:t>
            </w:r>
            <w:r w:rsidRPr="0081546B">
              <w:rPr>
                <w:rFonts w:cstheme="minorHAnsi"/>
              </w:rPr>
              <w:t xml:space="preserve">m, </w:t>
            </w:r>
            <w:r>
              <w:rPr>
                <w:rFonts w:cstheme="minorHAnsi"/>
              </w:rPr>
              <w:t xml:space="preserve">and </w:t>
            </w:r>
            <w:r w:rsidRPr="0081546B">
              <w:rPr>
                <w:rFonts w:cstheme="minorHAnsi"/>
              </w:rPr>
              <w:t xml:space="preserve">preferably </w:t>
            </w:r>
            <w:r w:rsidR="00B9347B">
              <w:rPr>
                <w:rFonts w:cstheme="minorHAnsi"/>
              </w:rPr>
              <w:t>2.60</w:t>
            </w:r>
            <w:r>
              <w:rPr>
                <w:rFonts w:cstheme="minorHAnsi"/>
              </w:rPr>
              <w:t> </w:t>
            </w:r>
            <w:r w:rsidRPr="0081546B">
              <w:rPr>
                <w:rFonts w:cstheme="minorHAnsi"/>
              </w:rPr>
              <w:t>m, for trucks fitted with the mandatory and voluntary advanced safety features,</w:t>
            </w:r>
            <w:r>
              <w:rPr>
                <w:rFonts w:cstheme="minorHAnsi"/>
              </w:rPr>
              <w:t xml:space="preserve"> supported in its submission, by 1 January 2022.</w:t>
            </w:r>
          </w:p>
          <w:p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Supports mandating a reversing lamp circuit for both truck and trailer electrical connections, and mandating reversing lamps for heavy trailers.</w:t>
            </w:r>
          </w:p>
          <w:p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 xml:space="preserve">Supports mandatory requirements for side underrun protection and conspicuity markings on heavy trailers, while also noting that the </w:t>
            </w:r>
            <w:r w:rsidR="00B9347B">
              <w:rPr>
                <w:rFonts w:cstheme="minorHAnsi"/>
              </w:rPr>
              <w:t>d</w:t>
            </w:r>
            <w:r>
              <w:rPr>
                <w:rFonts w:cstheme="minorHAnsi"/>
              </w:rPr>
              <w:t>epartment should ensure the proposed ADR requirements continue to be developed (and subject to regular review) in close consultation with industry and with regard for Australian conditions.</w:t>
            </w:r>
          </w:p>
          <w:p w:rsidR="003822C7" w:rsidRPr="004709E0"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szCs w:val="20"/>
              </w:rPr>
              <w:t>Supports the exclusions proposed for enhanced devices for indirect vision and monitoring devices to detect other road users from vehicle width and length measurements.</w:t>
            </w:r>
          </w:p>
          <w:p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Supports improving the requirements for driver vision/visibility in heavy vehicles, but does not support sole adoption of UN R46, or the adoption of UN R46 as proposed in the draft new ADR 14/03 for devices for indirect vision.</w:t>
            </w:r>
          </w:p>
          <w:p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 xml:space="preserve">Supports </w:t>
            </w:r>
            <w:r w:rsidRPr="00C25775">
              <w:rPr>
                <w:rFonts w:cstheme="minorHAnsi"/>
              </w:rPr>
              <w:t xml:space="preserve">the </w:t>
            </w:r>
            <w:r w:rsidR="00B9347B">
              <w:rPr>
                <w:rFonts w:cstheme="minorHAnsi"/>
              </w:rPr>
              <w:t>d</w:t>
            </w:r>
            <w:r>
              <w:rPr>
                <w:rFonts w:cstheme="minorHAnsi"/>
              </w:rPr>
              <w:t xml:space="preserve">epartment’s </w:t>
            </w:r>
            <w:r w:rsidRPr="00C25775">
              <w:rPr>
                <w:rFonts w:cstheme="minorHAnsi"/>
              </w:rPr>
              <w:t>proposed clauses to allow the USA</w:t>
            </w:r>
            <w:r>
              <w:rPr>
                <w:rFonts w:cstheme="minorHAnsi"/>
              </w:rPr>
              <w:t xml:space="preserve"> style</w:t>
            </w:r>
            <w:r w:rsidRPr="00C25775">
              <w:rPr>
                <w:rFonts w:cstheme="minorHAnsi"/>
              </w:rPr>
              <w:t xml:space="preserve"> “cross-over” mirror for bonneted trucks, as an alternative</w:t>
            </w:r>
            <w:r>
              <w:rPr>
                <w:rFonts w:cstheme="minorHAnsi"/>
              </w:rPr>
              <w:t xml:space="preserve"> </w:t>
            </w:r>
            <w:r w:rsidRPr="00C25775">
              <w:rPr>
                <w:rFonts w:cstheme="minorHAnsi"/>
              </w:rPr>
              <w:t xml:space="preserve">to the UN </w:t>
            </w:r>
            <w:r>
              <w:rPr>
                <w:rFonts w:cstheme="minorHAnsi"/>
              </w:rPr>
              <w:t>front-view (</w:t>
            </w:r>
            <w:r w:rsidRPr="00C25775">
              <w:rPr>
                <w:rFonts w:cstheme="minorHAnsi"/>
              </w:rPr>
              <w:t>Class VI</w:t>
            </w:r>
            <w:r>
              <w:rPr>
                <w:rFonts w:cstheme="minorHAnsi"/>
              </w:rPr>
              <w:t>)</w:t>
            </w:r>
            <w:r w:rsidRPr="00C25775">
              <w:rPr>
                <w:rFonts w:cstheme="minorHAnsi"/>
              </w:rPr>
              <w:t xml:space="preserve"> mirror</w:t>
            </w:r>
            <w:r>
              <w:rPr>
                <w:rFonts w:cstheme="minorHAnsi"/>
              </w:rPr>
              <w:t>.</w:t>
            </w:r>
          </w:p>
          <w:p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Considers UN R46 d</w:t>
            </w:r>
            <w:r w:rsidRPr="000131CF">
              <w:rPr>
                <w:rFonts w:cstheme="minorHAnsi"/>
              </w:rPr>
              <w:t>oes not allow for alternative mirror types and standards that effectively perform the</w:t>
            </w:r>
            <w:r>
              <w:rPr>
                <w:rFonts w:cstheme="minorHAnsi"/>
              </w:rPr>
              <w:t xml:space="preserve"> </w:t>
            </w:r>
            <w:r w:rsidRPr="000131CF">
              <w:rPr>
                <w:rFonts w:cstheme="minorHAnsi"/>
              </w:rPr>
              <w:t>same function (provide an equivalent level of driver visibility) as the mirror types specified in R46,</w:t>
            </w:r>
            <w:r>
              <w:rPr>
                <w:rFonts w:cstheme="minorHAnsi"/>
              </w:rPr>
              <w:t xml:space="preserve"> </w:t>
            </w:r>
            <w:r w:rsidRPr="000131CF">
              <w:rPr>
                <w:rFonts w:cstheme="minorHAnsi"/>
              </w:rPr>
              <w:t>particularly for conventional (bonneted) cab vehicles sold in the Australian market.</w:t>
            </w:r>
          </w:p>
          <w:p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 xml:space="preserve">Further, considers </w:t>
            </w:r>
            <w:r w:rsidRPr="000131CF">
              <w:rPr>
                <w:rFonts w:cstheme="minorHAnsi"/>
              </w:rPr>
              <w:t>fla</w:t>
            </w:r>
            <w:r>
              <w:rPr>
                <w:rFonts w:cstheme="minorHAnsi"/>
              </w:rPr>
              <w:t>t</w:t>
            </w:r>
            <w:r w:rsidRPr="000131CF">
              <w:rPr>
                <w:rFonts w:cstheme="minorHAnsi"/>
              </w:rPr>
              <w:t xml:space="preserve"> main rear</w:t>
            </w:r>
            <w:r>
              <w:rPr>
                <w:rFonts w:cstheme="minorHAnsi"/>
              </w:rPr>
              <w:t>-</w:t>
            </w:r>
            <w:r w:rsidRPr="000131CF">
              <w:rPr>
                <w:rFonts w:cstheme="minorHAnsi"/>
              </w:rPr>
              <w:t>view mirrors (LH and RH sides) are an essential</w:t>
            </w:r>
            <w:r>
              <w:rPr>
                <w:rFonts w:cstheme="minorHAnsi"/>
              </w:rPr>
              <w:t xml:space="preserve"> </w:t>
            </w:r>
            <w:r w:rsidRPr="000131CF">
              <w:rPr>
                <w:rFonts w:cstheme="minorHAnsi"/>
              </w:rPr>
              <w:t>requirement for many of Australia’s long heavy vehicle combinations, because European</w:t>
            </w:r>
            <w:r>
              <w:rPr>
                <w:rFonts w:cstheme="minorHAnsi"/>
              </w:rPr>
              <w:t xml:space="preserve"> </w:t>
            </w:r>
            <w:r w:rsidRPr="000131CF">
              <w:rPr>
                <w:rFonts w:cstheme="minorHAnsi"/>
              </w:rPr>
              <w:t>specified convex main rear</w:t>
            </w:r>
            <w:r>
              <w:rPr>
                <w:rFonts w:cstheme="minorHAnsi"/>
              </w:rPr>
              <w:t>-</w:t>
            </w:r>
            <w:r w:rsidRPr="000131CF">
              <w:rPr>
                <w:rFonts w:cstheme="minorHAnsi"/>
              </w:rPr>
              <w:t>view mirrors cannot provide a safe depth of view</w:t>
            </w:r>
            <w:r>
              <w:rPr>
                <w:rFonts w:cstheme="minorHAnsi"/>
              </w:rPr>
              <w:t xml:space="preserve"> </w:t>
            </w:r>
            <w:r w:rsidRPr="000131CF">
              <w:rPr>
                <w:rFonts w:cstheme="minorHAnsi"/>
              </w:rPr>
              <w:t>for a driver.</w:t>
            </w:r>
          </w:p>
          <w:p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Acknowledges that the minimum performance requirements specified in Appendix C of the current ADR 14/02 (devices for indirect vision) may no longer be suitable and should be reviewed.</w:t>
            </w:r>
          </w:p>
          <w:p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Recommends main-rear view mirrors (LH and RH sides) with flat glass be allowed as an alternative to UN R46 main rear-view (UN Class II and Class III) mirrors with convex glass.</w:t>
            </w:r>
          </w:p>
          <w:p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Believes the minimum area specified in Appendix C of ADR 14/02 for rear-view mirrors is too small and that a minimum width should be specified for main rear-view mirrors.</w:t>
            </w:r>
          </w:p>
          <w:p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Recommends LH and RH side wide angle rear-view mirrors (UN Class IV or equivalent) and passenger side close-proximity view mirrors (UN Class V or equivalent) be mandated for all trucks above 7.5 tonnes GVM.</w:t>
            </w:r>
          </w:p>
          <w:p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Recommends front-view mirrors (UN Class VI or equivalent) be mandated for all cab-over trucks above 7.5 tonnes GVM, and USA style front mounted “cross-over” mirrors be mandated for conventional (bonneted) trucks over 7.5 tonnes GVM</w:t>
            </w:r>
          </w:p>
          <w:p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 xml:space="preserve">Recommends the 230 mm maximum projection width (for rear-view mirrors) be deleted (as there is no requirement for this </w:t>
            </w:r>
            <w:r w:rsidR="00206837">
              <w:rPr>
                <w:rFonts w:cstheme="minorHAnsi"/>
              </w:rPr>
              <w:t xml:space="preserve">in </w:t>
            </w:r>
            <w:r>
              <w:rPr>
                <w:rFonts w:cstheme="minorHAnsi"/>
              </w:rPr>
              <w:t>UN R46).</w:t>
            </w:r>
          </w:p>
          <w:p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Recommends the UN R46 impact test be offered (in a new Appendix C or similar) as an alternative to the 150 mm collapsed width requirement (in Appendix C of ADR 14/02).</w:t>
            </w:r>
          </w:p>
          <w:p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Supports the future adoption of a blind spot information systems regulation, but does not support the adoption of the current UN R151 (blind spot information systems for the detection of bicyclists) proposed in the draft ADR.</w:t>
            </w:r>
          </w:p>
          <w:p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Considers the UN R151 test procedure and approval process is very complex and cannot, at this point in time be undertaken in Australia, nor North America.</w:t>
            </w:r>
          </w:p>
          <w:p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Further, considers the UN R151 test procedure is very Euro</w:t>
            </w:r>
            <w:r w:rsidR="00D054DF">
              <w:rPr>
                <w:rFonts w:cstheme="minorHAnsi"/>
              </w:rPr>
              <w:t>-</w:t>
            </w:r>
            <w:r>
              <w:rPr>
                <w:rFonts w:cstheme="minorHAnsi"/>
              </w:rPr>
              <w:t>centric, was developed for cab-over style trucks only, and as written cannot be applied to conventional (bonneted) trucks.</w:t>
            </w:r>
          </w:p>
          <w:p w:rsidR="003822C7"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Recommends</w:t>
            </w:r>
            <w:r w:rsidRPr="00F94B17">
              <w:rPr>
                <w:rFonts w:cstheme="minorHAnsi"/>
              </w:rPr>
              <w:t xml:space="preserve"> that the </w:t>
            </w:r>
            <w:r>
              <w:rPr>
                <w:rFonts w:cstheme="minorHAnsi"/>
              </w:rPr>
              <w:t>proposed ADR for</w:t>
            </w:r>
            <w:r w:rsidRPr="00F94B17">
              <w:rPr>
                <w:rFonts w:cstheme="minorHAnsi"/>
              </w:rPr>
              <w:t xml:space="preserve"> blind spot information systems be</w:t>
            </w:r>
            <w:r>
              <w:rPr>
                <w:rFonts w:cstheme="minorHAnsi"/>
              </w:rPr>
              <w:t xml:space="preserve"> </w:t>
            </w:r>
            <w:r w:rsidRPr="00F94B17">
              <w:rPr>
                <w:rFonts w:cstheme="minorHAnsi"/>
              </w:rPr>
              <w:t xml:space="preserve">removed from the </w:t>
            </w:r>
            <w:r w:rsidR="00B9347B">
              <w:rPr>
                <w:rFonts w:cstheme="minorHAnsi"/>
              </w:rPr>
              <w:t>d</w:t>
            </w:r>
            <w:r w:rsidRPr="00F94B17">
              <w:rPr>
                <w:rFonts w:cstheme="minorHAnsi"/>
              </w:rPr>
              <w:t xml:space="preserve">epartment’s </w:t>
            </w:r>
            <w:r>
              <w:rPr>
                <w:rFonts w:cstheme="minorHAnsi"/>
              </w:rPr>
              <w:t xml:space="preserve">proposal for safer wider freight vehicles </w:t>
            </w:r>
            <w:r w:rsidRPr="00F94B17">
              <w:rPr>
                <w:rFonts w:cstheme="minorHAnsi"/>
              </w:rPr>
              <w:t xml:space="preserve">and that the </w:t>
            </w:r>
            <w:r w:rsidR="00B9347B">
              <w:rPr>
                <w:rFonts w:cstheme="minorHAnsi"/>
              </w:rPr>
              <w:t>d</w:t>
            </w:r>
            <w:r w:rsidRPr="00F94B17">
              <w:rPr>
                <w:rFonts w:cstheme="minorHAnsi"/>
              </w:rPr>
              <w:t>epartment form a</w:t>
            </w:r>
            <w:r>
              <w:rPr>
                <w:rFonts w:cstheme="minorHAnsi"/>
              </w:rPr>
              <w:t xml:space="preserve"> </w:t>
            </w:r>
            <w:r w:rsidRPr="00F94B17">
              <w:rPr>
                <w:rFonts w:cstheme="minorHAnsi"/>
              </w:rPr>
              <w:t xml:space="preserve">separate working group, with industry, to review </w:t>
            </w:r>
            <w:r>
              <w:rPr>
                <w:rFonts w:cstheme="minorHAnsi"/>
              </w:rPr>
              <w:t xml:space="preserve">UN </w:t>
            </w:r>
            <w:r w:rsidRPr="00F94B17">
              <w:rPr>
                <w:rFonts w:cstheme="minorHAnsi"/>
              </w:rPr>
              <w:t>R151 with a view to developing a blind spot</w:t>
            </w:r>
            <w:r>
              <w:rPr>
                <w:rFonts w:cstheme="minorHAnsi"/>
              </w:rPr>
              <w:t xml:space="preserve"> </w:t>
            </w:r>
            <w:r w:rsidRPr="00F94B17">
              <w:rPr>
                <w:rFonts w:cstheme="minorHAnsi"/>
              </w:rPr>
              <w:t>information systems regulation that is suitable for Australian implementation, including testing and</w:t>
            </w:r>
            <w:r>
              <w:rPr>
                <w:rFonts w:cstheme="minorHAnsi"/>
              </w:rPr>
              <w:t xml:space="preserve"> </w:t>
            </w:r>
            <w:r w:rsidRPr="00F94B17">
              <w:rPr>
                <w:rFonts w:cstheme="minorHAnsi"/>
              </w:rPr>
              <w:t>certification procedures.</w:t>
            </w:r>
          </w:p>
          <w:p w:rsidR="003822C7" w:rsidRPr="00CF5551" w:rsidRDefault="003822C7" w:rsidP="00E248BF">
            <w:pPr>
              <w:pStyle w:val="ListParagraph"/>
              <w:keepLines/>
              <w:numPr>
                <w:ilvl w:val="0"/>
                <w:numId w:val="69"/>
              </w:numPr>
              <w:tabs>
                <w:tab w:val="left" w:pos="320"/>
              </w:tabs>
              <w:suppressAutoHyphens w:val="0"/>
              <w:ind w:left="284" w:hanging="284"/>
              <w:rPr>
                <w:rFonts w:cstheme="minorHAnsi"/>
              </w:rPr>
            </w:pPr>
            <w:r>
              <w:rPr>
                <w:rFonts w:cstheme="minorHAnsi"/>
              </w:rPr>
              <w:t xml:space="preserve">Recommends that the review process for a blind spot information regulation </w:t>
            </w:r>
            <w:r w:rsidRPr="00CF5551">
              <w:rPr>
                <w:rFonts w:cstheme="minorHAnsi"/>
              </w:rPr>
              <w:t>include a realistic assessment of the introduction</w:t>
            </w:r>
            <w:r>
              <w:rPr>
                <w:rFonts w:cstheme="minorHAnsi"/>
              </w:rPr>
              <w:t xml:space="preserve"> </w:t>
            </w:r>
            <w:r w:rsidRPr="00CF5551">
              <w:rPr>
                <w:rFonts w:cstheme="minorHAnsi"/>
              </w:rPr>
              <w:t>timing in Australia, recognising the unique mix of truck manufacturers and truck</w:t>
            </w:r>
            <w:r>
              <w:rPr>
                <w:rFonts w:cstheme="minorHAnsi"/>
              </w:rPr>
              <w:t xml:space="preserve"> </w:t>
            </w:r>
            <w:r w:rsidRPr="00CF5551">
              <w:rPr>
                <w:rFonts w:cstheme="minorHAnsi"/>
              </w:rPr>
              <w:t>brands supplying new heavy vehicles in the Australian market.</w:t>
            </w:r>
          </w:p>
        </w:tc>
        <w:tc>
          <w:tcPr>
            <w:tcW w:w="6521" w:type="dxa"/>
            <w:gridSpan w:val="2"/>
          </w:tcPr>
          <w:p w:rsidR="003822C7" w:rsidRDefault="003822C7" w:rsidP="00E248BF">
            <w:pPr>
              <w:pStyle w:val="ListParagraph"/>
              <w:keepLines/>
              <w:numPr>
                <w:ilvl w:val="0"/>
                <w:numId w:val="70"/>
              </w:numPr>
              <w:tabs>
                <w:tab w:val="left" w:pos="720"/>
              </w:tabs>
              <w:suppressAutoHyphens w:val="0"/>
              <w:ind w:left="284" w:hanging="284"/>
              <w:rPr>
                <w:rFonts w:cstheme="minorHAnsi"/>
              </w:rPr>
            </w:pPr>
            <w:r>
              <w:rPr>
                <w:rFonts w:cstheme="minorHAnsi"/>
              </w:rPr>
              <w:t>Noted.</w:t>
            </w:r>
          </w:p>
          <w:p w:rsidR="003822C7" w:rsidRDefault="003822C7" w:rsidP="00E248BF">
            <w:pPr>
              <w:pStyle w:val="ListParagraph"/>
              <w:keepLines/>
              <w:numPr>
                <w:ilvl w:val="0"/>
                <w:numId w:val="70"/>
              </w:numPr>
              <w:tabs>
                <w:tab w:val="left" w:pos="720"/>
              </w:tabs>
              <w:suppressAutoHyphens w:val="0"/>
              <w:ind w:left="284" w:hanging="284"/>
              <w:rPr>
                <w:rFonts w:cstheme="minorHAnsi"/>
              </w:rPr>
            </w:pPr>
            <w:r>
              <w:rPr>
                <w:rFonts w:cstheme="minorHAnsi"/>
              </w:rPr>
              <w:t>Agreed.</w:t>
            </w:r>
          </w:p>
          <w:p w:rsidR="003822C7" w:rsidRPr="006F1595" w:rsidRDefault="003822C7" w:rsidP="00E248BF">
            <w:pPr>
              <w:pStyle w:val="ListParagraph"/>
              <w:keepLines/>
              <w:numPr>
                <w:ilvl w:val="0"/>
                <w:numId w:val="70"/>
              </w:numPr>
              <w:tabs>
                <w:tab w:val="left" w:pos="720"/>
              </w:tabs>
              <w:suppressAutoHyphens w:val="0"/>
              <w:ind w:left="284" w:hanging="284"/>
              <w:rPr>
                <w:rFonts w:cstheme="minorHAnsi"/>
              </w:rPr>
            </w:pPr>
            <w:r w:rsidRPr="006F1595">
              <w:rPr>
                <w:rFonts w:cstheme="minorHAnsi"/>
              </w:rPr>
              <w:t xml:space="preserve">Agree in-principle. However, it is not clear </w:t>
            </w:r>
            <w:r>
              <w:rPr>
                <w:rFonts w:cstheme="minorHAnsi"/>
              </w:rPr>
              <w:t xml:space="preserve">or substantiated </w:t>
            </w:r>
            <w:r w:rsidRPr="006F1595">
              <w:rPr>
                <w:rFonts w:cstheme="minorHAnsi"/>
              </w:rPr>
              <w:t xml:space="preserve">that low and zero emission trucks developed for right hand drive markets such as Australia will require more than a 2.55 m width limit. In this respect, all markets with a </w:t>
            </w:r>
            <w:r w:rsidR="00B9347B">
              <w:rPr>
                <w:rFonts w:cstheme="minorHAnsi"/>
              </w:rPr>
              <w:t>2.60</w:t>
            </w:r>
            <w:r w:rsidRPr="006F1595">
              <w:t> m width limit are left-hand drive markets.</w:t>
            </w:r>
          </w:p>
          <w:p w:rsidR="003822C7" w:rsidRPr="0043173E" w:rsidRDefault="003822C7" w:rsidP="00E248BF">
            <w:pPr>
              <w:pStyle w:val="ListParagraph"/>
              <w:keepLines/>
              <w:numPr>
                <w:ilvl w:val="0"/>
                <w:numId w:val="70"/>
              </w:numPr>
              <w:tabs>
                <w:tab w:val="left" w:pos="720"/>
              </w:tabs>
              <w:suppressAutoHyphens w:val="0"/>
              <w:ind w:left="284" w:hanging="284"/>
              <w:rPr>
                <w:rFonts w:cstheme="minorHAnsi"/>
              </w:rPr>
            </w:pPr>
            <w:r w:rsidRPr="0043173E">
              <w:rPr>
                <w:rFonts w:cstheme="minorHAnsi"/>
              </w:rPr>
              <w:t>Agree roll stability could be improved by up to these amounts, however, the actual improvement will be vehicle design specific and small compared to the benefits of ESC for trucks and RSC for trailers.</w:t>
            </w:r>
          </w:p>
          <w:p w:rsidR="003822C7" w:rsidRDefault="003822C7" w:rsidP="00E248BF">
            <w:pPr>
              <w:pStyle w:val="ListParagraph"/>
              <w:keepLines/>
              <w:numPr>
                <w:ilvl w:val="0"/>
                <w:numId w:val="70"/>
              </w:numPr>
              <w:tabs>
                <w:tab w:val="left" w:pos="720"/>
              </w:tabs>
              <w:suppressAutoHyphens w:val="0"/>
              <w:ind w:left="284" w:hanging="284"/>
              <w:rPr>
                <w:rFonts w:cstheme="minorHAnsi"/>
              </w:rPr>
            </w:pPr>
            <w:r>
              <w:rPr>
                <w:rFonts w:cstheme="minorHAnsi"/>
              </w:rPr>
              <w:t>Agreed.</w:t>
            </w:r>
          </w:p>
          <w:p w:rsidR="003822C7" w:rsidRPr="009D6548" w:rsidRDefault="003822C7" w:rsidP="00E248BF">
            <w:pPr>
              <w:pStyle w:val="ListParagraph"/>
              <w:keepLines/>
              <w:numPr>
                <w:ilvl w:val="0"/>
                <w:numId w:val="70"/>
              </w:numPr>
              <w:tabs>
                <w:tab w:val="left" w:pos="720"/>
              </w:tabs>
              <w:suppressAutoHyphens w:val="0"/>
              <w:ind w:left="284" w:hanging="284"/>
              <w:rPr>
                <w:rFonts w:cstheme="minorHAnsi"/>
              </w:rPr>
            </w:pPr>
            <w:r w:rsidRPr="009D6548">
              <w:rPr>
                <w:rFonts w:cstheme="minorHAnsi"/>
              </w:rPr>
              <w:t>Agreed</w:t>
            </w:r>
            <w:r w:rsidR="0072298C">
              <w:rPr>
                <w:rFonts w:cstheme="minorHAnsi"/>
              </w:rPr>
              <w:t xml:space="preserve"> for the refrigeration units, not the truck and trailer combinations as a whole.</w:t>
            </w:r>
          </w:p>
          <w:p w:rsidR="003822C7" w:rsidRPr="00A40419" w:rsidRDefault="00C90133" w:rsidP="00E248BF">
            <w:pPr>
              <w:pStyle w:val="ListParagraph"/>
              <w:keepLines/>
              <w:numPr>
                <w:ilvl w:val="0"/>
                <w:numId w:val="70"/>
              </w:numPr>
              <w:tabs>
                <w:tab w:val="left" w:pos="720"/>
              </w:tabs>
              <w:suppressAutoHyphens w:val="0"/>
              <w:ind w:left="284" w:hanging="284"/>
              <w:rPr>
                <w:rFonts w:cstheme="minorHAnsi"/>
              </w:rPr>
            </w:pPr>
            <w:r w:rsidRPr="00A40419">
              <w:rPr>
                <w:rFonts w:cstheme="minorHAnsi"/>
              </w:rPr>
              <w:t>This is beyond the scope of the ADRs under the RVSA</w:t>
            </w:r>
            <w:r w:rsidR="00A40419" w:rsidRPr="00A40419">
              <w:rPr>
                <w:rFonts w:cstheme="minorHAnsi"/>
              </w:rPr>
              <w:t xml:space="preserve"> and therefore not proposed as part of the options in this </w:t>
            </w:r>
            <w:r w:rsidR="00C45600">
              <w:rPr>
                <w:rFonts w:cstheme="minorHAnsi"/>
              </w:rPr>
              <w:t>IA</w:t>
            </w:r>
            <w:r w:rsidRPr="00A40419">
              <w:rPr>
                <w:rFonts w:cstheme="minorHAnsi"/>
              </w:rPr>
              <w:t xml:space="preserve">. The ADRs cover individual vehicles, not combinations of truck and trailer. This is a matter for </w:t>
            </w:r>
            <w:r w:rsidR="00A40419" w:rsidRPr="00A40419">
              <w:rPr>
                <w:rFonts w:cstheme="minorHAnsi"/>
              </w:rPr>
              <w:br/>
            </w:r>
            <w:r w:rsidRPr="00A40419">
              <w:rPr>
                <w:rFonts w:cstheme="minorHAnsi"/>
              </w:rPr>
              <w:t xml:space="preserve">in-service regulators. The department notes this approach would likely be very complex for both regulators and industry to manage. Since the original discussion paper, the department has added ADR 38/05 (including ABS and RSC) as a proposed requirement for the options with wider trailers, to prevent older trailers </w:t>
            </w:r>
            <w:r w:rsidR="00A40419" w:rsidRPr="00A40419">
              <w:rPr>
                <w:rFonts w:cstheme="minorHAnsi"/>
              </w:rPr>
              <w:t xml:space="preserve">without these technologies </w:t>
            </w:r>
            <w:r w:rsidRPr="00A40419">
              <w:rPr>
                <w:rFonts w:cstheme="minorHAnsi"/>
              </w:rPr>
              <w:t xml:space="preserve">from being </w:t>
            </w:r>
            <w:r w:rsidR="00A40419" w:rsidRPr="00A40419">
              <w:rPr>
                <w:rFonts w:cstheme="minorHAnsi"/>
              </w:rPr>
              <w:t>modified to include</w:t>
            </w:r>
            <w:r w:rsidRPr="00A40419">
              <w:rPr>
                <w:rFonts w:cstheme="minorHAnsi"/>
              </w:rPr>
              <w:t xml:space="preserve"> wider bo</w:t>
            </w:r>
            <w:r w:rsidR="00A40419" w:rsidRPr="00A40419">
              <w:rPr>
                <w:rFonts w:cstheme="minorHAnsi"/>
              </w:rPr>
              <w:t>dywork and possibly then also being towed by trucks without the additional safety features that would be required for wider trucks.</w:t>
            </w:r>
          </w:p>
          <w:p w:rsidR="003822C7" w:rsidRPr="00A40419" w:rsidRDefault="006F7759" w:rsidP="00E248BF">
            <w:pPr>
              <w:pStyle w:val="ListParagraph"/>
              <w:keepLines/>
              <w:numPr>
                <w:ilvl w:val="0"/>
                <w:numId w:val="70"/>
              </w:numPr>
              <w:tabs>
                <w:tab w:val="left" w:pos="720"/>
              </w:tabs>
              <w:suppressAutoHyphens w:val="0"/>
              <w:ind w:left="284" w:hanging="284"/>
              <w:rPr>
                <w:rFonts w:cstheme="minorHAnsi"/>
              </w:rPr>
            </w:pPr>
            <w:r w:rsidRPr="00A40419">
              <w:rPr>
                <w:rFonts w:cstheme="minorHAnsi"/>
              </w:rPr>
              <w:t xml:space="preserve">The </w:t>
            </w:r>
            <w:r w:rsidR="00A40419" w:rsidRPr="00A40419">
              <w:rPr>
                <w:rFonts w:cstheme="minorHAnsi"/>
              </w:rPr>
              <w:t>d</w:t>
            </w:r>
            <w:r w:rsidRPr="00A40419">
              <w:rPr>
                <w:rFonts w:cstheme="minorHAnsi"/>
              </w:rPr>
              <w:t xml:space="preserve">epartment intends to use an additional field in the RAV to capture </w:t>
            </w:r>
            <w:r w:rsidR="00A40419" w:rsidRPr="00A40419">
              <w:rPr>
                <w:rFonts w:cstheme="minorHAnsi"/>
              </w:rPr>
              <w:t>if a vehicle meets the additional required safety ADRs for vehicles exceeding 2.5</w:t>
            </w:r>
            <w:r w:rsidR="00B9347B">
              <w:rPr>
                <w:rFonts w:cstheme="minorHAnsi"/>
              </w:rPr>
              <w:t>0 </w:t>
            </w:r>
            <w:r w:rsidR="00A40419" w:rsidRPr="00A40419">
              <w:rPr>
                <w:rFonts w:cstheme="minorHAnsi"/>
              </w:rPr>
              <w:t>m in width, if the vehicle was supplied as a chassis-cab, prime mover or complete vehicle, and the maximum width for which the vehicle has been certified to meet all applicable ADRs.</w:t>
            </w:r>
          </w:p>
          <w:p w:rsidR="003822C7" w:rsidRDefault="003822C7" w:rsidP="00E248BF">
            <w:pPr>
              <w:pStyle w:val="ListParagraph"/>
              <w:keepLines/>
              <w:numPr>
                <w:ilvl w:val="0"/>
                <w:numId w:val="70"/>
              </w:numPr>
              <w:tabs>
                <w:tab w:val="left" w:pos="720"/>
              </w:tabs>
              <w:suppressAutoHyphens w:val="0"/>
              <w:ind w:left="284" w:hanging="284"/>
              <w:rPr>
                <w:rFonts w:cstheme="minorHAnsi"/>
              </w:rPr>
            </w:pPr>
            <w:r>
              <w:rPr>
                <w:rFonts w:cstheme="minorHAnsi"/>
              </w:rPr>
              <w:t>Noted.</w:t>
            </w:r>
          </w:p>
          <w:p w:rsidR="003822C7" w:rsidRPr="002909BE" w:rsidRDefault="000548A0" w:rsidP="00E248BF">
            <w:pPr>
              <w:pStyle w:val="ListParagraph"/>
              <w:keepLines/>
              <w:numPr>
                <w:ilvl w:val="0"/>
                <w:numId w:val="70"/>
              </w:numPr>
              <w:tabs>
                <w:tab w:val="left" w:pos="720"/>
              </w:tabs>
              <w:suppressAutoHyphens w:val="0"/>
              <w:ind w:left="284" w:hanging="284"/>
              <w:rPr>
                <w:rFonts w:cstheme="minorHAnsi"/>
              </w:rPr>
            </w:pPr>
            <w:r w:rsidRPr="000548A0">
              <w:rPr>
                <w:rFonts w:cstheme="minorHAnsi"/>
              </w:rPr>
              <w:t>Noted</w:t>
            </w:r>
            <w:r w:rsidR="003822C7" w:rsidRPr="000548A0">
              <w:rPr>
                <w:rFonts w:cstheme="minorHAnsi"/>
              </w:rPr>
              <w:t>.</w:t>
            </w:r>
            <w:r w:rsidRPr="000548A0">
              <w:rPr>
                <w:rFonts w:cstheme="minorHAnsi"/>
              </w:rPr>
              <w:t xml:space="preserve"> </w:t>
            </w:r>
            <w:r w:rsidRPr="000420A0">
              <w:rPr>
                <w:rFonts w:cstheme="minorHAnsi"/>
              </w:rPr>
              <w:t>However</w:t>
            </w:r>
            <w:r>
              <w:rPr>
                <w:rFonts w:cstheme="minorHAnsi"/>
              </w:rPr>
              <w:t xml:space="preserve">, more time has been required to complete the </w:t>
            </w:r>
            <w:r w:rsidR="00531858">
              <w:rPr>
                <w:rFonts w:cstheme="minorHAnsi"/>
              </w:rPr>
              <w:t>IA</w:t>
            </w:r>
            <w:r>
              <w:rPr>
                <w:rFonts w:cstheme="minorHAnsi"/>
              </w:rPr>
              <w:t xml:space="preserve"> (including to consider industry requests for exemptions and variations to the proposed UN regulation</w:t>
            </w:r>
            <w:r w:rsidR="00F85409">
              <w:rPr>
                <w:rFonts w:cstheme="minorHAnsi"/>
              </w:rPr>
              <w:t xml:space="preserve"> based ADRs</w:t>
            </w:r>
            <w:r>
              <w:rPr>
                <w:rFonts w:cstheme="minorHAnsi"/>
              </w:rPr>
              <w:t>) and further time will be required to update in-service vehicle laws, following any updates to the ADRs to allow for wider and safer freight vehicles.</w:t>
            </w:r>
          </w:p>
          <w:p w:rsidR="003822C7" w:rsidRPr="002909BE" w:rsidRDefault="008C458D" w:rsidP="00E248BF">
            <w:pPr>
              <w:pStyle w:val="ListParagraph"/>
              <w:keepLines/>
              <w:numPr>
                <w:ilvl w:val="0"/>
                <w:numId w:val="70"/>
              </w:numPr>
              <w:tabs>
                <w:tab w:val="left" w:pos="720"/>
              </w:tabs>
              <w:suppressAutoHyphens w:val="0"/>
              <w:ind w:left="284" w:hanging="284"/>
              <w:rPr>
                <w:rFonts w:cstheme="minorHAnsi"/>
              </w:rPr>
            </w:pPr>
            <w:r w:rsidRPr="008C458D">
              <w:rPr>
                <w:rFonts w:cstheme="minorHAnsi"/>
              </w:rPr>
              <w:t>Noted</w:t>
            </w:r>
            <w:r w:rsidR="003822C7" w:rsidRPr="008C458D">
              <w:rPr>
                <w:rFonts w:cstheme="minorHAnsi"/>
              </w:rPr>
              <w:t>.</w:t>
            </w:r>
            <w:r w:rsidRPr="008C458D">
              <w:rPr>
                <w:rFonts w:cstheme="minorHAnsi"/>
              </w:rPr>
              <w:t xml:space="preserve"> Reversing lamps are no longer proposed as a mandatory safety feature for wider trailers. Requirements for these are being considered as part of a broader review of lighting ADRs for all vehicle categories and dimensions</w:t>
            </w:r>
            <w:r>
              <w:rPr>
                <w:rFonts w:cstheme="minorHAnsi"/>
              </w:rPr>
              <w:t>.</w:t>
            </w:r>
          </w:p>
          <w:p w:rsidR="003822C7" w:rsidRPr="008C458D" w:rsidRDefault="008C458D" w:rsidP="00E248BF">
            <w:pPr>
              <w:pStyle w:val="ListParagraph"/>
              <w:keepLines/>
              <w:numPr>
                <w:ilvl w:val="0"/>
                <w:numId w:val="70"/>
              </w:numPr>
              <w:tabs>
                <w:tab w:val="left" w:pos="720"/>
              </w:tabs>
              <w:suppressAutoHyphens w:val="0"/>
              <w:ind w:left="284" w:hanging="284"/>
              <w:rPr>
                <w:rFonts w:cstheme="minorHAnsi"/>
              </w:rPr>
            </w:pPr>
            <w:r w:rsidRPr="008C458D">
              <w:rPr>
                <w:rFonts w:cstheme="minorHAnsi"/>
              </w:rPr>
              <w:t>Noted</w:t>
            </w:r>
            <w:r w:rsidR="003822C7" w:rsidRPr="008C458D">
              <w:rPr>
                <w:rFonts w:cstheme="minorHAnsi"/>
              </w:rPr>
              <w:t>.</w:t>
            </w:r>
          </w:p>
          <w:p w:rsidR="003822C7" w:rsidRDefault="003822C7" w:rsidP="00E248BF">
            <w:pPr>
              <w:pStyle w:val="ListParagraph"/>
              <w:keepLines/>
              <w:numPr>
                <w:ilvl w:val="0"/>
                <w:numId w:val="70"/>
              </w:numPr>
              <w:tabs>
                <w:tab w:val="left" w:pos="720"/>
              </w:tabs>
              <w:suppressAutoHyphens w:val="0"/>
              <w:ind w:left="284" w:hanging="284"/>
              <w:rPr>
                <w:rFonts w:cstheme="minorHAnsi"/>
              </w:rPr>
            </w:pPr>
            <w:r>
              <w:rPr>
                <w:rFonts w:cstheme="minorHAnsi"/>
              </w:rPr>
              <w:t>Noted.</w:t>
            </w:r>
          </w:p>
          <w:p w:rsidR="003822C7" w:rsidRPr="00431AE9" w:rsidRDefault="00431AE9" w:rsidP="00E248BF">
            <w:pPr>
              <w:pStyle w:val="ListParagraph"/>
              <w:keepLines/>
              <w:numPr>
                <w:ilvl w:val="0"/>
                <w:numId w:val="70"/>
              </w:numPr>
              <w:tabs>
                <w:tab w:val="left" w:pos="720"/>
              </w:tabs>
              <w:suppressAutoHyphens w:val="0"/>
              <w:ind w:left="284" w:hanging="284"/>
              <w:rPr>
                <w:rFonts w:cstheme="minorHAnsi"/>
              </w:rPr>
            </w:pPr>
            <w:r w:rsidRPr="00431AE9">
              <w:rPr>
                <w:rFonts w:cstheme="minorHAnsi"/>
              </w:rPr>
              <w:t>See responses to comments 15 to 24 below.</w:t>
            </w:r>
          </w:p>
          <w:p w:rsidR="003822C7" w:rsidRDefault="003822C7" w:rsidP="00E248BF">
            <w:pPr>
              <w:pStyle w:val="ListParagraph"/>
              <w:keepLines/>
              <w:numPr>
                <w:ilvl w:val="0"/>
                <w:numId w:val="70"/>
              </w:numPr>
              <w:tabs>
                <w:tab w:val="left" w:pos="720"/>
              </w:tabs>
              <w:suppressAutoHyphens w:val="0"/>
              <w:ind w:left="284" w:hanging="284"/>
              <w:rPr>
                <w:rFonts w:cstheme="minorHAnsi"/>
              </w:rPr>
            </w:pPr>
            <w:r>
              <w:rPr>
                <w:rFonts w:cstheme="minorHAnsi"/>
              </w:rPr>
              <w:t>Noted.</w:t>
            </w:r>
          </w:p>
          <w:p w:rsidR="003822C7" w:rsidRPr="001243B4" w:rsidRDefault="008C458D" w:rsidP="00E248BF">
            <w:pPr>
              <w:pStyle w:val="ListParagraph"/>
              <w:keepLines/>
              <w:numPr>
                <w:ilvl w:val="0"/>
                <w:numId w:val="70"/>
              </w:numPr>
              <w:tabs>
                <w:tab w:val="left" w:pos="720"/>
              </w:tabs>
              <w:suppressAutoHyphens w:val="0"/>
              <w:ind w:left="284" w:hanging="284"/>
              <w:rPr>
                <w:rFonts w:cstheme="minorHAnsi"/>
              </w:rPr>
            </w:pPr>
            <w:r w:rsidRPr="001243B4">
              <w:rPr>
                <w:rFonts w:cstheme="minorHAnsi"/>
              </w:rPr>
              <w:t>Agree</w:t>
            </w:r>
            <w:r w:rsidR="001243B4">
              <w:rPr>
                <w:rFonts w:cstheme="minorHAnsi"/>
              </w:rPr>
              <w:t>d</w:t>
            </w:r>
            <w:r w:rsidR="003822C7" w:rsidRPr="001243B4">
              <w:rPr>
                <w:rFonts w:cstheme="minorHAnsi"/>
              </w:rPr>
              <w:t>.</w:t>
            </w:r>
            <w:r w:rsidR="001243B4" w:rsidRPr="001243B4">
              <w:rPr>
                <w:rFonts w:cstheme="minorHAnsi"/>
              </w:rPr>
              <w:t xml:space="preserve"> Alternative clauses have been developed to allow for mirrors (e.g. cross</w:t>
            </w:r>
            <w:r w:rsidR="00CC6133">
              <w:rPr>
                <w:rFonts w:cstheme="minorHAnsi"/>
              </w:rPr>
              <w:t xml:space="preserve">over </w:t>
            </w:r>
            <w:r w:rsidR="001243B4" w:rsidRPr="001243B4">
              <w:rPr>
                <w:rFonts w:cstheme="minorHAnsi"/>
              </w:rPr>
              <w:t xml:space="preserve">or </w:t>
            </w:r>
            <w:r w:rsidR="000F1B96">
              <w:rPr>
                <w:rFonts w:cstheme="minorHAnsi"/>
              </w:rPr>
              <w:t>cross-view</w:t>
            </w:r>
            <w:r w:rsidR="001243B4" w:rsidRPr="001243B4">
              <w:rPr>
                <w:rFonts w:cstheme="minorHAnsi"/>
              </w:rPr>
              <w:t xml:space="preserve"> mirrors) used to achieve a comparable field of view for bonneted trucks. These would be an alternative for bonneted trucks, and should provide similar benefits for similar fitment costs.</w:t>
            </w:r>
          </w:p>
          <w:p w:rsidR="003822C7" w:rsidRPr="007C577C" w:rsidRDefault="003822C7" w:rsidP="00E248BF">
            <w:pPr>
              <w:pStyle w:val="ListParagraph"/>
              <w:keepLines/>
              <w:numPr>
                <w:ilvl w:val="0"/>
                <w:numId w:val="70"/>
              </w:numPr>
              <w:tabs>
                <w:tab w:val="left" w:pos="318"/>
              </w:tabs>
              <w:suppressAutoHyphens w:val="0"/>
              <w:ind w:left="284" w:hanging="284"/>
              <w:rPr>
                <w:rFonts w:cstheme="minorHAnsi"/>
              </w:rPr>
            </w:pPr>
            <w:r>
              <w:rPr>
                <w:rFonts w:cstheme="minorHAnsi"/>
              </w:rPr>
              <w:t xml:space="preserve">Agree </w:t>
            </w:r>
            <w:r w:rsidR="00B575AE" w:rsidRPr="00B575AE">
              <w:rPr>
                <w:rFonts w:cstheme="minorHAnsi"/>
              </w:rPr>
              <w:t>that flat glass mirrors provide better depth perception. However, flat glass mirrors provide a narrower field of view (than convex mirrors), and where fitted on the passenger’s side can leave a very large blind spot in comparison to the minimum field of view required by UN R46</w:t>
            </w:r>
            <w:r w:rsidR="00C32008">
              <w:rPr>
                <w:rFonts w:cstheme="minorHAnsi"/>
              </w:rPr>
              <w:t>.</w:t>
            </w:r>
          </w:p>
          <w:p w:rsidR="003822C7" w:rsidRDefault="003822C7" w:rsidP="00E248BF">
            <w:pPr>
              <w:pStyle w:val="ListParagraph"/>
              <w:keepLines/>
              <w:numPr>
                <w:ilvl w:val="0"/>
                <w:numId w:val="70"/>
              </w:numPr>
              <w:tabs>
                <w:tab w:val="left" w:pos="720"/>
              </w:tabs>
              <w:suppressAutoHyphens w:val="0"/>
              <w:ind w:left="284" w:hanging="284"/>
              <w:rPr>
                <w:rFonts w:cstheme="minorHAnsi"/>
              </w:rPr>
            </w:pPr>
            <w:r>
              <w:rPr>
                <w:rFonts w:cstheme="minorHAnsi"/>
              </w:rPr>
              <w:t>Agreed.</w:t>
            </w:r>
          </w:p>
          <w:p w:rsidR="003822C7" w:rsidRPr="002909BE" w:rsidRDefault="00DD31F3" w:rsidP="00E248BF">
            <w:pPr>
              <w:pStyle w:val="ListParagraph"/>
              <w:keepLines/>
              <w:numPr>
                <w:ilvl w:val="0"/>
                <w:numId w:val="70"/>
              </w:numPr>
              <w:tabs>
                <w:tab w:val="left" w:pos="720"/>
              </w:tabs>
              <w:suppressAutoHyphens w:val="0"/>
              <w:ind w:left="284" w:hanging="284"/>
              <w:rPr>
                <w:rFonts w:cstheme="minorHAnsi"/>
              </w:rPr>
            </w:pPr>
            <w:r w:rsidRPr="00DD31F3">
              <w:rPr>
                <w:rFonts w:cstheme="minorHAnsi"/>
              </w:rPr>
              <w:t>Agree flat glass mirrors have some benefits, including for depth perception, especially on longer combinations. However, there are alternative solutions to achieve a better field of view without reducing depth of view, including fitting a flat glass main rear-view mirror (</w:t>
            </w:r>
            <w:r>
              <w:rPr>
                <w:rFonts w:cstheme="minorHAnsi"/>
              </w:rPr>
              <w:t>especially on the passenger’s side</w:t>
            </w:r>
            <w:r w:rsidRPr="00DD31F3">
              <w:rPr>
                <w:rFonts w:cstheme="minorHAnsi"/>
              </w:rPr>
              <w:t xml:space="preserve">) in combination with a </w:t>
            </w:r>
            <w:r>
              <w:rPr>
                <w:rFonts w:cstheme="minorHAnsi"/>
              </w:rPr>
              <w:br/>
            </w:r>
            <w:r w:rsidRPr="00DD31F3">
              <w:rPr>
                <w:rFonts w:cstheme="minorHAnsi"/>
              </w:rPr>
              <w:t>camera-monitor system meeting the full UN R46 field of view requirements.</w:t>
            </w:r>
          </w:p>
          <w:p w:rsidR="003822C7" w:rsidRDefault="003822C7" w:rsidP="00E248BF">
            <w:pPr>
              <w:pStyle w:val="ListParagraph"/>
              <w:keepLines/>
              <w:numPr>
                <w:ilvl w:val="0"/>
                <w:numId w:val="70"/>
              </w:numPr>
              <w:tabs>
                <w:tab w:val="left" w:pos="720"/>
              </w:tabs>
              <w:suppressAutoHyphens w:val="0"/>
              <w:ind w:left="284" w:hanging="284"/>
              <w:rPr>
                <w:rFonts w:cstheme="minorHAnsi"/>
              </w:rPr>
            </w:pPr>
            <w:r>
              <w:rPr>
                <w:rFonts w:cstheme="minorHAnsi"/>
              </w:rPr>
              <w:t>Agreed.</w:t>
            </w:r>
          </w:p>
          <w:p w:rsidR="003822C7" w:rsidRPr="001243B4" w:rsidRDefault="001243B4" w:rsidP="00E248BF">
            <w:pPr>
              <w:pStyle w:val="ListParagraph"/>
              <w:keepLines/>
              <w:numPr>
                <w:ilvl w:val="0"/>
                <w:numId w:val="70"/>
              </w:numPr>
              <w:tabs>
                <w:tab w:val="left" w:pos="720"/>
              </w:tabs>
              <w:suppressAutoHyphens w:val="0"/>
              <w:ind w:left="284" w:hanging="284"/>
              <w:rPr>
                <w:rFonts w:cstheme="minorHAnsi"/>
              </w:rPr>
            </w:pPr>
            <w:r w:rsidRPr="001243B4">
              <w:rPr>
                <w:rFonts w:cstheme="minorHAnsi"/>
              </w:rPr>
              <w:t>Agreed.</w:t>
            </w:r>
          </w:p>
          <w:p w:rsidR="003822C7" w:rsidRPr="001243B4" w:rsidRDefault="001243B4" w:rsidP="00E248BF">
            <w:pPr>
              <w:pStyle w:val="ListParagraph"/>
              <w:keepLines/>
              <w:numPr>
                <w:ilvl w:val="0"/>
                <w:numId w:val="70"/>
              </w:numPr>
              <w:tabs>
                <w:tab w:val="left" w:pos="720"/>
              </w:tabs>
              <w:suppressAutoHyphens w:val="0"/>
              <w:ind w:left="284" w:hanging="284"/>
              <w:rPr>
                <w:rFonts w:cstheme="minorHAnsi"/>
              </w:rPr>
            </w:pPr>
            <w:r w:rsidRPr="001243B4">
              <w:rPr>
                <w:rFonts w:cstheme="minorHAnsi"/>
              </w:rPr>
              <w:t>Agreed.</w:t>
            </w:r>
          </w:p>
          <w:p w:rsidR="003822C7" w:rsidRPr="00B6527E" w:rsidRDefault="001243B4" w:rsidP="00E248BF">
            <w:pPr>
              <w:pStyle w:val="ListParagraph"/>
              <w:keepLines/>
              <w:numPr>
                <w:ilvl w:val="0"/>
                <w:numId w:val="70"/>
              </w:numPr>
              <w:tabs>
                <w:tab w:val="left" w:pos="720"/>
              </w:tabs>
              <w:suppressAutoHyphens w:val="0"/>
              <w:ind w:left="284" w:hanging="284"/>
              <w:rPr>
                <w:rFonts w:cstheme="minorHAnsi"/>
              </w:rPr>
            </w:pPr>
            <w:r w:rsidRPr="00B6527E">
              <w:rPr>
                <w:rFonts w:cstheme="minorHAnsi"/>
              </w:rPr>
              <w:t xml:space="preserve">Agree, but only where the impact test requirements in UN R46 are also applied to mirrors </w:t>
            </w:r>
            <w:r w:rsidR="00B6527E" w:rsidRPr="00B6527E">
              <w:rPr>
                <w:rFonts w:cstheme="minorHAnsi"/>
              </w:rPr>
              <w:t>with any part less than 2 m above the ground (i.e. as per UN R46).</w:t>
            </w:r>
            <w:r w:rsidR="005E24C3">
              <w:rPr>
                <w:rFonts w:cstheme="minorHAnsi"/>
              </w:rPr>
              <w:t xml:space="preserve"> Further, </w:t>
            </w:r>
            <w:r w:rsidR="008E3309">
              <w:rPr>
                <w:rFonts w:cstheme="minorHAnsi"/>
              </w:rPr>
              <w:t>w</w:t>
            </w:r>
            <w:r w:rsidR="005E24C3" w:rsidRPr="005E24C3">
              <w:rPr>
                <w:rFonts w:cstheme="minorHAnsi"/>
              </w:rPr>
              <w:t xml:space="preserve">here the lower edge of a mirror is less than 2 m above the ground at GVM, </w:t>
            </w:r>
            <w:r w:rsidR="008E3309">
              <w:rPr>
                <w:rFonts w:cstheme="minorHAnsi"/>
              </w:rPr>
              <w:t>the mirror should not be allowed to project</w:t>
            </w:r>
            <w:r w:rsidR="005E24C3" w:rsidRPr="005E24C3">
              <w:rPr>
                <w:rFonts w:cstheme="minorHAnsi"/>
              </w:rPr>
              <w:t xml:space="preserve"> more than 250 mm beyond the overall width of the vehicle measured without mirrors</w:t>
            </w:r>
            <w:r w:rsidR="008E3309">
              <w:rPr>
                <w:rFonts w:cstheme="minorHAnsi"/>
              </w:rPr>
              <w:t xml:space="preserve"> (as per UN R46</w:t>
            </w:r>
            <w:r w:rsidR="006C7E58">
              <w:rPr>
                <w:rFonts w:cstheme="minorHAnsi"/>
              </w:rPr>
              <w:t>)</w:t>
            </w:r>
            <w:r w:rsidR="005E24C3" w:rsidRPr="005E24C3">
              <w:rPr>
                <w:rFonts w:cstheme="minorHAnsi"/>
              </w:rPr>
              <w:t>.</w:t>
            </w:r>
          </w:p>
          <w:p w:rsidR="003822C7" w:rsidRPr="00B6527E" w:rsidRDefault="00B6527E" w:rsidP="00E248BF">
            <w:pPr>
              <w:pStyle w:val="ListParagraph"/>
              <w:keepLines/>
              <w:numPr>
                <w:ilvl w:val="0"/>
                <w:numId w:val="70"/>
              </w:numPr>
              <w:tabs>
                <w:tab w:val="left" w:pos="720"/>
              </w:tabs>
              <w:suppressAutoHyphens w:val="0"/>
              <w:ind w:left="284" w:hanging="284"/>
              <w:rPr>
                <w:rFonts w:cstheme="minorHAnsi"/>
              </w:rPr>
            </w:pPr>
            <w:r w:rsidRPr="00B6527E">
              <w:rPr>
                <w:rFonts w:cstheme="minorHAnsi"/>
              </w:rPr>
              <w:t>Agree in part</w:t>
            </w:r>
            <w:r w:rsidR="003822C7" w:rsidRPr="00B6527E">
              <w:rPr>
                <w:rFonts w:cstheme="minorHAnsi"/>
              </w:rPr>
              <w:t>.</w:t>
            </w:r>
            <w:r>
              <w:rPr>
                <w:rFonts w:cstheme="minorHAnsi"/>
              </w:rPr>
              <w:t xml:space="preserve"> Under each regulatory option, rear-view mirrors on wider vehicles will need to meet the UN R46 impact test requirements (which apply to mirrors with any part less than 2 m above the ground). T</w:t>
            </w:r>
            <w:r w:rsidRPr="00B6527E">
              <w:rPr>
                <w:rFonts w:cstheme="minorHAnsi"/>
              </w:rPr>
              <w:t xml:space="preserve">he </w:t>
            </w:r>
            <w:r>
              <w:rPr>
                <w:rFonts w:cstheme="minorHAnsi"/>
              </w:rPr>
              <w:t xml:space="preserve">Australian specific </w:t>
            </w:r>
            <w:r w:rsidRPr="00B6527E">
              <w:rPr>
                <w:rFonts w:cstheme="minorHAnsi"/>
              </w:rPr>
              <w:t>150</w:t>
            </w:r>
            <w:r>
              <w:rPr>
                <w:rFonts w:cstheme="minorHAnsi"/>
              </w:rPr>
              <w:t> </w:t>
            </w:r>
            <w:r w:rsidRPr="00B6527E">
              <w:rPr>
                <w:rFonts w:cstheme="minorHAnsi"/>
              </w:rPr>
              <w:t>mm collapsible width requirement</w:t>
            </w:r>
            <w:r>
              <w:rPr>
                <w:rFonts w:cstheme="minorHAnsi"/>
              </w:rPr>
              <w:t xml:space="preserve"> (from Appendix C of ADR 14/02) would no longer be an option for such vehicles on safer wider trucks.</w:t>
            </w:r>
          </w:p>
          <w:p w:rsidR="003822C7" w:rsidRPr="002F07C7" w:rsidRDefault="00B6527E" w:rsidP="00E248BF">
            <w:pPr>
              <w:pStyle w:val="ListParagraph"/>
              <w:keepLines/>
              <w:numPr>
                <w:ilvl w:val="0"/>
                <w:numId w:val="70"/>
              </w:numPr>
              <w:tabs>
                <w:tab w:val="left" w:pos="720"/>
              </w:tabs>
              <w:suppressAutoHyphens w:val="0"/>
              <w:ind w:left="284" w:hanging="284"/>
              <w:rPr>
                <w:rFonts w:cstheme="minorHAnsi"/>
              </w:rPr>
            </w:pPr>
            <w:r w:rsidRPr="002F07C7">
              <w:rPr>
                <w:rFonts w:cstheme="minorHAnsi"/>
              </w:rPr>
              <w:t xml:space="preserve">Agree some exemptions and/or alternative procedures </w:t>
            </w:r>
            <w:r w:rsidR="00280224">
              <w:rPr>
                <w:rFonts w:cstheme="minorHAnsi"/>
              </w:rPr>
              <w:t xml:space="preserve">may </w:t>
            </w:r>
            <w:r w:rsidRPr="002F07C7">
              <w:rPr>
                <w:rFonts w:cstheme="minorHAnsi"/>
              </w:rPr>
              <w:t xml:space="preserve">be needed to </w:t>
            </w:r>
            <w:r w:rsidR="00D801E8">
              <w:rPr>
                <w:rFonts w:cstheme="minorHAnsi"/>
              </w:rPr>
              <w:t>clarify and</w:t>
            </w:r>
            <w:r w:rsidR="00C4388D">
              <w:rPr>
                <w:rFonts w:cstheme="minorHAnsi"/>
              </w:rPr>
              <w:t xml:space="preserve"> </w:t>
            </w:r>
            <w:r w:rsidRPr="002F07C7">
              <w:rPr>
                <w:rFonts w:cstheme="minorHAnsi"/>
              </w:rPr>
              <w:t xml:space="preserve">implement </w:t>
            </w:r>
            <w:r w:rsidR="00E828EE">
              <w:rPr>
                <w:rFonts w:cstheme="minorHAnsi"/>
              </w:rPr>
              <w:t>the technical requirements of</w:t>
            </w:r>
            <w:r w:rsidRPr="002F07C7">
              <w:rPr>
                <w:rFonts w:cstheme="minorHAnsi"/>
              </w:rPr>
              <w:t xml:space="preserve"> UN </w:t>
            </w:r>
            <w:r w:rsidR="00E828EE">
              <w:rPr>
                <w:rFonts w:cstheme="minorHAnsi"/>
              </w:rPr>
              <w:t>R151</w:t>
            </w:r>
            <w:r w:rsidRPr="002F07C7">
              <w:rPr>
                <w:rFonts w:cstheme="minorHAnsi"/>
              </w:rPr>
              <w:t xml:space="preserve"> </w:t>
            </w:r>
            <w:r w:rsidR="00E828EE">
              <w:rPr>
                <w:rFonts w:cstheme="minorHAnsi"/>
              </w:rPr>
              <w:t>through</w:t>
            </w:r>
            <w:r w:rsidRPr="002F07C7">
              <w:rPr>
                <w:rFonts w:cstheme="minorHAnsi"/>
              </w:rPr>
              <w:t xml:space="preserve"> an ADR in Australia</w:t>
            </w:r>
            <w:r w:rsidR="003822C7" w:rsidRPr="002F07C7">
              <w:rPr>
                <w:rFonts w:cstheme="minorHAnsi"/>
              </w:rPr>
              <w:t>.</w:t>
            </w:r>
          </w:p>
          <w:p w:rsidR="003822C7" w:rsidRPr="00726783" w:rsidRDefault="00726783" w:rsidP="00E248BF">
            <w:pPr>
              <w:pStyle w:val="ListParagraph"/>
              <w:keepLines/>
              <w:numPr>
                <w:ilvl w:val="0"/>
                <w:numId w:val="70"/>
              </w:numPr>
              <w:tabs>
                <w:tab w:val="left" w:pos="720"/>
              </w:tabs>
              <w:suppressAutoHyphens w:val="0"/>
              <w:ind w:left="284" w:hanging="284"/>
              <w:rPr>
                <w:rFonts w:cstheme="minorHAnsi"/>
              </w:rPr>
            </w:pPr>
            <w:r w:rsidRPr="00726783">
              <w:rPr>
                <w:rFonts w:cstheme="minorHAnsi"/>
              </w:rPr>
              <w:t>Noted.</w:t>
            </w:r>
            <w:r w:rsidR="00252AD5">
              <w:rPr>
                <w:rFonts w:cstheme="minorHAnsi"/>
              </w:rPr>
              <w:t xml:space="preserve"> It is usual practice for the exemptions and alternative procedures section of an ADR to be used to address concerns such as this. This approach will be able to be taken in this case to clarify requirements and procedures.</w:t>
            </w:r>
          </w:p>
          <w:p w:rsidR="003822C7" w:rsidRPr="00252AD5" w:rsidRDefault="00252AD5" w:rsidP="00E248BF">
            <w:pPr>
              <w:pStyle w:val="ListParagraph"/>
              <w:keepLines/>
              <w:numPr>
                <w:ilvl w:val="0"/>
                <w:numId w:val="70"/>
              </w:numPr>
              <w:tabs>
                <w:tab w:val="left" w:pos="720"/>
              </w:tabs>
              <w:suppressAutoHyphens w:val="0"/>
              <w:ind w:left="284" w:hanging="284"/>
              <w:rPr>
                <w:rFonts w:cstheme="minorHAnsi"/>
              </w:rPr>
            </w:pPr>
            <w:r w:rsidRPr="00252AD5">
              <w:rPr>
                <w:rFonts w:cstheme="minorHAnsi"/>
              </w:rPr>
              <w:t xml:space="preserve">Do not </w:t>
            </w:r>
            <w:r w:rsidR="00E828EE">
              <w:rPr>
                <w:rFonts w:cstheme="minorHAnsi"/>
              </w:rPr>
              <w:t>agree that</w:t>
            </w:r>
            <w:r w:rsidRPr="00252AD5">
              <w:rPr>
                <w:rFonts w:cstheme="minorHAnsi"/>
              </w:rPr>
              <w:t xml:space="preserve"> </w:t>
            </w:r>
            <w:r>
              <w:rPr>
                <w:rFonts w:cstheme="minorHAnsi"/>
              </w:rPr>
              <w:t xml:space="preserve">the technical requirements </w:t>
            </w:r>
            <w:r w:rsidR="00E828EE">
              <w:rPr>
                <w:rFonts w:cstheme="minorHAnsi"/>
              </w:rPr>
              <w:t>cannot</w:t>
            </w:r>
            <w:r>
              <w:rPr>
                <w:rFonts w:cstheme="minorHAnsi"/>
              </w:rPr>
              <w:t xml:space="preserve"> be applied to bonneted trucks, especially given the option to use the exemptions and alternative procedures section of an ADR to clarify requirements and procedures.</w:t>
            </w:r>
            <w:r w:rsidR="00431AE9">
              <w:rPr>
                <w:rFonts w:cstheme="minorHAnsi"/>
              </w:rPr>
              <w:t xml:space="preserve"> Unlike </w:t>
            </w:r>
            <w:r w:rsidR="00C54F57">
              <w:rPr>
                <w:rFonts w:cstheme="minorHAnsi"/>
              </w:rPr>
              <w:t xml:space="preserve">some UN classes of </w:t>
            </w:r>
            <w:r w:rsidR="00431AE9">
              <w:rPr>
                <w:rFonts w:cstheme="minorHAnsi"/>
              </w:rPr>
              <w:t>devices for indirect vision, the feasibility of meeting the requirements should not be affected by the position of the driver (or the steering wheel) relative to the front of the vehicle.</w:t>
            </w:r>
          </w:p>
          <w:p w:rsidR="001E3B0F" w:rsidRDefault="00431AE9" w:rsidP="00E248BF">
            <w:pPr>
              <w:pStyle w:val="ListParagraph"/>
              <w:keepLines/>
              <w:numPr>
                <w:ilvl w:val="0"/>
                <w:numId w:val="70"/>
              </w:numPr>
              <w:tabs>
                <w:tab w:val="left" w:pos="720"/>
              </w:tabs>
              <w:suppressAutoHyphens w:val="0"/>
              <w:ind w:left="284" w:hanging="284"/>
              <w:rPr>
                <w:rFonts w:cstheme="minorHAnsi"/>
              </w:rPr>
            </w:pPr>
            <w:r w:rsidRPr="00431AE9">
              <w:rPr>
                <w:rFonts w:cstheme="minorHAnsi"/>
              </w:rPr>
              <w:t xml:space="preserve">Disagree. </w:t>
            </w:r>
            <w:r w:rsidRPr="00D07167">
              <w:rPr>
                <w:rFonts w:cstheme="minorHAnsi"/>
                <w:szCs w:val="20"/>
              </w:rPr>
              <w:t xml:space="preserve">Requiring wider freight vehicles to be fitted with a package of safety technologies (including </w:t>
            </w:r>
            <w:r>
              <w:rPr>
                <w:rFonts w:cstheme="minorHAnsi"/>
                <w:szCs w:val="20"/>
              </w:rPr>
              <w:t>blind spot information systems</w:t>
            </w:r>
            <w:r w:rsidRPr="00D07167">
              <w:rPr>
                <w:rFonts w:cstheme="minorHAnsi"/>
                <w:szCs w:val="20"/>
              </w:rPr>
              <w:t xml:space="preserve">) is a key part of the agreement with jurisdictions/in-service regulators and other stakeholders to pursue this reform – </w:t>
            </w:r>
            <w:r w:rsidRPr="00D07167">
              <w:rPr>
                <w:rFonts w:cstheme="minorHAnsi"/>
              </w:rPr>
              <w:t>it is important to preserve this agreement.</w:t>
            </w:r>
            <w:r>
              <w:rPr>
                <w:rFonts w:cstheme="minorHAnsi"/>
              </w:rPr>
              <w:t xml:space="preserve"> The exemptions and alternative procedures section of the ADR will be able to be used to clarify testing and certification procedures for implementation in Australia.</w:t>
            </w:r>
          </w:p>
          <w:p w:rsidR="001E3B0F" w:rsidRPr="002909BE" w:rsidRDefault="00252AD5" w:rsidP="00E248BF">
            <w:pPr>
              <w:pStyle w:val="ListParagraph"/>
              <w:keepLines/>
              <w:numPr>
                <w:ilvl w:val="0"/>
                <w:numId w:val="70"/>
              </w:numPr>
              <w:tabs>
                <w:tab w:val="left" w:pos="318"/>
              </w:tabs>
              <w:suppressAutoHyphens w:val="0"/>
              <w:ind w:left="284" w:hanging="284"/>
              <w:rPr>
                <w:rFonts w:cstheme="minorHAnsi"/>
              </w:rPr>
            </w:pPr>
            <w:r w:rsidRPr="00252AD5">
              <w:rPr>
                <w:rFonts w:cstheme="minorHAnsi"/>
              </w:rPr>
              <w:t xml:space="preserve">Noted. </w:t>
            </w:r>
            <w:r w:rsidRPr="009133CD">
              <w:rPr>
                <w:rFonts w:cstheme="minorHAnsi"/>
              </w:rPr>
              <w:t xml:space="preserve">The proposed ADR applicability dates are </w:t>
            </w:r>
            <w:r>
              <w:rPr>
                <w:rFonts w:cstheme="minorHAnsi"/>
              </w:rPr>
              <w:t xml:space="preserve">now </w:t>
            </w:r>
            <w:r w:rsidRPr="009133CD">
              <w:rPr>
                <w:rFonts w:cstheme="minorHAnsi"/>
              </w:rPr>
              <w:t>28 months post implementation for new models in Europe and 31 months post implementation for all new vehicles in Europe.</w:t>
            </w:r>
          </w:p>
        </w:tc>
      </w:tr>
      <w:tr w:rsidR="003822C7" w:rsidRPr="007B6E69" w:rsidTr="003822C7">
        <w:tc>
          <w:tcPr>
            <w:tcW w:w="1696" w:type="dxa"/>
          </w:tcPr>
          <w:p w:rsidR="003822C7" w:rsidRPr="007B6E69" w:rsidRDefault="003822C7" w:rsidP="00E6330B">
            <w:pPr>
              <w:spacing w:before="120" w:after="120"/>
              <w:rPr>
                <w:rFonts w:cstheme="minorHAnsi"/>
              </w:rPr>
            </w:pPr>
            <w:r w:rsidRPr="007B6E69">
              <w:rPr>
                <w:rFonts w:cstheme="minorHAnsi"/>
              </w:rPr>
              <w:t>Volgren Australia</w:t>
            </w:r>
          </w:p>
        </w:tc>
        <w:tc>
          <w:tcPr>
            <w:tcW w:w="6379" w:type="dxa"/>
          </w:tcPr>
          <w:p w:rsidR="003822C7" w:rsidRDefault="003822C7" w:rsidP="00E248BF">
            <w:pPr>
              <w:pStyle w:val="ListParagraph"/>
              <w:keepLines/>
              <w:numPr>
                <w:ilvl w:val="0"/>
                <w:numId w:val="58"/>
              </w:numPr>
              <w:tabs>
                <w:tab w:val="left" w:pos="320"/>
              </w:tabs>
              <w:suppressAutoHyphens w:val="0"/>
              <w:ind w:left="284" w:hanging="284"/>
              <w:rPr>
                <w:rFonts w:cstheme="minorHAnsi"/>
              </w:rPr>
            </w:pPr>
            <w:r>
              <w:rPr>
                <w:rFonts w:cstheme="minorHAnsi"/>
              </w:rPr>
              <w:t>I</w:t>
            </w:r>
            <w:r w:rsidRPr="00DB3A55">
              <w:rPr>
                <w:rFonts w:cstheme="minorHAnsi"/>
              </w:rPr>
              <w:t>n general</w:t>
            </w:r>
            <w:r>
              <w:rPr>
                <w:rFonts w:cstheme="minorHAnsi"/>
              </w:rPr>
              <w:t>,</w:t>
            </w:r>
            <w:r w:rsidRPr="00DB3A55">
              <w:rPr>
                <w:rFonts w:cstheme="minorHAnsi"/>
              </w:rPr>
              <w:t xml:space="preserve"> support</w:t>
            </w:r>
            <w:r>
              <w:rPr>
                <w:rFonts w:cstheme="minorHAnsi"/>
              </w:rPr>
              <w:t>s</w:t>
            </w:r>
            <w:r w:rsidRPr="00DB3A55">
              <w:rPr>
                <w:rFonts w:cstheme="minorHAnsi"/>
              </w:rPr>
              <w:t xml:space="preserve"> all ADRs being reviewed and updated to reflect updates in technology</w:t>
            </w:r>
            <w:r>
              <w:rPr>
                <w:rFonts w:cstheme="minorHAnsi"/>
              </w:rPr>
              <w:t>.</w:t>
            </w:r>
          </w:p>
          <w:p w:rsidR="003822C7" w:rsidRDefault="003822C7" w:rsidP="00E248BF">
            <w:pPr>
              <w:pStyle w:val="ListParagraph"/>
              <w:keepLines/>
              <w:numPr>
                <w:ilvl w:val="0"/>
                <w:numId w:val="58"/>
              </w:numPr>
              <w:tabs>
                <w:tab w:val="left" w:pos="320"/>
              </w:tabs>
              <w:suppressAutoHyphens w:val="0"/>
              <w:ind w:left="284" w:hanging="284"/>
              <w:rPr>
                <w:rFonts w:cstheme="minorHAnsi"/>
              </w:rPr>
            </w:pPr>
            <w:r>
              <w:rPr>
                <w:rFonts w:cstheme="minorHAnsi"/>
              </w:rPr>
              <w:t xml:space="preserve">Supports </w:t>
            </w:r>
            <w:r w:rsidRPr="00B673B1">
              <w:rPr>
                <w:rFonts w:cstheme="minorHAnsi"/>
              </w:rPr>
              <w:t>fitment of additional systems that improve the safety of vehicles</w:t>
            </w:r>
            <w:r>
              <w:rPr>
                <w:rFonts w:cstheme="minorHAnsi"/>
              </w:rPr>
              <w:t>, including in-principle support for the proposed new ADRs for devices for indirect vision, lane departure warning systems, and blind spot information systems.</w:t>
            </w:r>
          </w:p>
          <w:p w:rsidR="003822C7" w:rsidRDefault="003822C7" w:rsidP="00E248BF">
            <w:pPr>
              <w:pStyle w:val="ListParagraph"/>
              <w:keepLines/>
              <w:numPr>
                <w:ilvl w:val="0"/>
                <w:numId w:val="58"/>
              </w:numPr>
              <w:tabs>
                <w:tab w:val="left" w:pos="320"/>
              </w:tabs>
              <w:suppressAutoHyphens w:val="0"/>
              <w:ind w:left="284" w:hanging="284"/>
              <w:rPr>
                <w:rFonts w:cstheme="minorHAnsi"/>
              </w:rPr>
            </w:pPr>
            <w:r>
              <w:rPr>
                <w:rFonts w:cstheme="minorHAnsi"/>
              </w:rPr>
              <w:t xml:space="preserve">Assumes there will be no change to the width limit for heavy buses, given the proposed changes to the ADRs </w:t>
            </w:r>
            <w:r w:rsidRPr="00401839">
              <w:rPr>
                <w:rFonts w:cstheme="minorHAnsi"/>
              </w:rPr>
              <w:t xml:space="preserve">in the </w:t>
            </w:r>
            <w:r>
              <w:rPr>
                <w:rFonts w:cstheme="minorHAnsi"/>
              </w:rPr>
              <w:t>discussion paper</w:t>
            </w:r>
            <w:r w:rsidRPr="00401839">
              <w:rPr>
                <w:rFonts w:cstheme="minorHAnsi"/>
              </w:rPr>
              <w:t xml:space="preserve"> do not reference </w:t>
            </w:r>
            <w:r>
              <w:rPr>
                <w:rFonts w:cstheme="minorHAnsi"/>
              </w:rPr>
              <w:t>category</w:t>
            </w:r>
            <w:r w:rsidRPr="00401839">
              <w:rPr>
                <w:rFonts w:cstheme="minorHAnsi"/>
              </w:rPr>
              <w:t xml:space="preserve"> ME vehicles</w:t>
            </w:r>
            <w:r>
              <w:rPr>
                <w:rFonts w:cstheme="minorHAnsi"/>
              </w:rPr>
              <w:t>.</w:t>
            </w:r>
          </w:p>
          <w:p w:rsidR="003822C7" w:rsidRDefault="003822C7" w:rsidP="00E248BF">
            <w:pPr>
              <w:pStyle w:val="ListParagraph"/>
              <w:keepLines/>
              <w:numPr>
                <w:ilvl w:val="0"/>
                <w:numId w:val="58"/>
              </w:numPr>
              <w:tabs>
                <w:tab w:val="left" w:pos="320"/>
              </w:tabs>
              <w:suppressAutoHyphens w:val="0"/>
              <w:ind w:left="284" w:hanging="284"/>
              <w:rPr>
                <w:rFonts w:cstheme="minorHAnsi"/>
              </w:rPr>
            </w:pPr>
            <w:r>
              <w:rPr>
                <w:rFonts w:cstheme="minorHAnsi"/>
              </w:rPr>
              <w:t>If increases in the width limit for heavy buses were to be implemented, does not see the inclusion of additional safety features to 2.55 m buses could be safer than those systems applied to 2.5</w:t>
            </w:r>
            <w:r w:rsidR="00B9347B">
              <w:rPr>
                <w:rFonts w:cstheme="minorHAnsi"/>
              </w:rPr>
              <w:t>0</w:t>
            </w:r>
            <w:r>
              <w:rPr>
                <w:rFonts w:cstheme="minorHAnsi"/>
              </w:rPr>
              <w:t> m buses.</w:t>
            </w:r>
          </w:p>
          <w:p w:rsidR="003822C7" w:rsidRPr="00A703DC" w:rsidRDefault="003822C7" w:rsidP="00E248BF">
            <w:pPr>
              <w:pStyle w:val="ListParagraph"/>
              <w:keepLines/>
              <w:numPr>
                <w:ilvl w:val="0"/>
                <w:numId w:val="58"/>
              </w:numPr>
              <w:tabs>
                <w:tab w:val="left" w:pos="320"/>
              </w:tabs>
              <w:suppressAutoHyphens w:val="0"/>
              <w:ind w:left="284" w:hanging="284"/>
              <w:rPr>
                <w:rFonts w:cstheme="minorHAnsi"/>
              </w:rPr>
            </w:pPr>
            <w:r>
              <w:rPr>
                <w:rFonts w:cstheme="minorHAnsi"/>
              </w:rPr>
              <w:t>Notes a direct comparison with Europe of width alone would be flawed as they limit overall bus length to 12.0 m rather than the ADR limit of 12.5 m (when referring to rigid omnibuses), which achieves an equivalent swept path, but is not desirable because it can reduce occupant capacity and would require large changes for Australian bus manufacturers.</w:t>
            </w:r>
          </w:p>
        </w:tc>
        <w:tc>
          <w:tcPr>
            <w:tcW w:w="6521" w:type="dxa"/>
            <w:gridSpan w:val="2"/>
          </w:tcPr>
          <w:p w:rsidR="003822C7" w:rsidRDefault="003822C7" w:rsidP="00E248BF">
            <w:pPr>
              <w:pStyle w:val="ListParagraph"/>
              <w:keepLines/>
              <w:numPr>
                <w:ilvl w:val="0"/>
                <w:numId w:val="59"/>
              </w:numPr>
              <w:tabs>
                <w:tab w:val="left" w:pos="720"/>
              </w:tabs>
              <w:suppressAutoHyphens w:val="0"/>
              <w:ind w:left="284" w:hanging="284"/>
              <w:rPr>
                <w:rFonts w:cstheme="minorHAnsi"/>
              </w:rPr>
            </w:pPr>
            <w:r>
              <w:rPr>
                <w:rFonts w:cstheme="minorHAnsi"/>
              </w:rPr>
              <w:t>Noted.</w:t>
            </w:r>
          </w:p>
          <w:p w:rsidR="003822C7" w:rsidRDefault="003822C7" w:rsidP="00E248BF">
            <w:pPr>
              <w:pStyle w:val="ListParagraph"/>
              <w:keepLines/>
              <w:numPr>
                <w:ilvl w:val="0"/>
                <w:numId w:val="59"/>
              </w:numPr>
              <w:tabs>
                <w:tab w:val="left" w:pos="720"/>
              </w:tabs>
              <w:suppressAutoHyphens w:val="0"/>
              <w:ind w:left="284" w:hanging="284"/>
              <w:rPr>
                <w:rFonts w:cstheme="minorHAnsi"/>
              </w:rPr>
            </w:pPr>
            <w:r>
              <w:rPr>
                <w:rFonts w:cstheme="minorHAnsi"/>
              </w:rPr>
              <w:t>Noted.</w:t>
            </w:r>
          </w:p>
          <w:p w:rsidR="003822C7" w:rsidRDefault="003822C7" w:rsidP="00E248BF">
            <w:pPr>
              <w:pStyle w:val="ListParagraph"/>
              <w:keepLines/>
              <w:numPr>
                <w:ilvl w:val="0"/>
                <w:numId w:val="59"/>
              </w:numPr>
              <w:tabs>
                <w:tab w:val="left" w:pos="720"/>
              </w:tabs>
              <w:suppressAutoHyphens w:val="0"/>
              <w:ind w:left="284" w:hanging="284"/>
              <w:rPr>
                <w:rFonts w:cstheme="minorHAnsi"/>
              </w:rPr>
            </w:pPr>
            <w:r>
              <w:rPr>
                <w:rFonts w:cstheme="minorHAnsi"/>
              </w:rPr>
              <w:t>Correct. Th</w:t>
            </w:r>
            <w:r w:rsidR="00837BBB">
              <w:rPr>
                <w:rFonts w:cstheme="minorHAnsi"/>
              </w:rPr>
              <w:t xml:space="preserve">e </w:t>
            </w:r>
            <w:r w:rsidR="00E9051B">
              <w:rPr>
                <w:rFonts w:cstheme="minorHAnsi"/>
              </w:rPr>
              <w:t xml:space="preserve">earlier </w:t>
            </w:r>
            <w:r w:rsidR="00837BBB">
              <w:rPr>
                <w:rFonts w:cstheme="minorHAnsi"/>
              </w:rPr>
              <w:t xml:space="preserve">discussion paper and this </w:t>
            </w:r>
            <w:r w:rsidR="00C45600">
              <w:rPr>
                <w:rFonts w:cstheme="minorHAnsi"/>
              </w:rPr>
              <w:t>IA</w:t>
            </w:r>
            <w:r>
              <w:rPr>
                <w:rFonts w:cstheme="minorHAnsi"/>
              </w:rPr>
              <w:t xml:space="preserve"> do not consider changes to the width limit for buses.</w:t>
            </w:r>
          </w:p>
          <w:p w:rsidR="003822C7" w:rsidRPr="002E67AF" w:rsidRDefault="003822C7" w:rsidP="00E248BF">
            <w:pPr>
              <w:pStyle w:val="ListParagraph"/>
              <w:keepLines/>
              <w:numPr>
                <w:ilvl w:val="0"/>
                <w:numId w:val="59"/>
              </w:numPr>
              <w:tabs>
                <w:tab w:val="left" w:pos="720"/>
              </w:tabs>
              <w:suppressAutoHyphens w:val="0"/>
              <w:ind w:left="284" w:hanging="284"/>
              <w:rPr>
                <w:rFonts w:cstheme="minorHAnsi"/>
              </w:rPr>
            </w:pPr>
            <w:r w:rsidRPr="002E67AF">
              <w:rPr>
                <w:rFonts w:cstheme="minorHAnsi"/>
                <w:szCs w:val="20"/>
              </w:rPr>
              <w:t>Agreed.</w:t>
            </w:r>
          </w:p>
          <w:p w:rsidR="003822C7" w:rsidRPr="005E4846" w:rsidRDefault="003822C7" w:rsidP="00E248BF">
            <w:pPr>
              <w:pStyle w:val="ListParagraph"/>
              <w:keepLines/>
              <w:numPr>
                <w:ilvl w:val="0"/>
                <w:numId w:val="59"/>
              </w:numPr>
              <w:tabs>
                <w:tab w:val="left" w:pos="720"/>
              </w:tabs>
              <w:suppressAutoHyphens w:val="0"/>
              <w:ind w:left="284" w:hanging="284"/>
              <w:rPr>
                <w:rFonts w:cstheme="minorHAnsi"/>
              </w:rPr>
            </w:pPr>
            <w:r w:rsidRPr="00CC7C92">
              <w:rPr>
                <w:rFonts w:cstheme="minorHAnsi"/>
                <w:szCs w:val="20"/>
              </w:rPr>
              <w:t>Noted.</w:t>
            </w:r>
          </w:p>
        </w:tc>
      </w:tr>
      <w:tr w:rsidR="003822C7" w:rsidRPr="00CE5E0A" w:rsidTr="003822C7">
        <w:tc>
          <w:tcPr>
            <w:tcW w:w="1696" w:type="dxa"/>
          </w:tcPr>
          <w:p w:rsidR="003822C7" w:rsidRPr="007B6E69" w:rsidRDefault="003822C7" w:rsidP="00E6330B">
            <w:pPr>
              <w:spacing w:before="120" w:after="120"/>
              <w:rPr>
                <w:rFonts w:cstheme="minorHAnsi"/>
              </w:rPr>
            </w:pPr>
            <w:r w:rsidRPr="007B6E69">
              <w:rPr>
                <w:rFonts w:cstheme="minorHAnsi"/>
              </w:rPr>
              <w:t>Woolworths Group</w:t>
            </w:r>
          </w:p>
        </w:tc>
        <w:tc>
          <w:tcPr>
            <w:tcW w:w="6379" w:type="dxa"/>
          </w:tcPr>
          <w:p w:rsidR="003822C7" w:rsidRDefault="003822C7" w:rsidP="007C097D">
            <w:pPr>
              <w:pStyle w:val="ListParagraph"/>
              <w:keepLines/>
              <w:numPr>
                <w:ilvl w:val="6"/>
                <w:numId w:val="28"/>
              </w:numPr>
              <w:tabs>
                <w:tab w:val="left" w:pos="320"/>
              </w:tabs>
              <w:suppressAutoHyphens w:val="0"/>
              <w:ind w:left="284"/>
              <w:rPr>
                <w:rFonts w:cstheme="minorHAnsi"/>
                <w:szCs w:val="20"/>
              </w:rPr>
            </w:pPr>
            <w:r w:rsidRPr="00CE5E0A">
              <w:rPr>
                <w:rFonts w:cstheme="minorHAnsi"/>
                <w:szCs w:val="20"/>
              </w:rPr>
              <w:t>Supports changes to maximum vehicle width from 2.5</w:t>
            </w:r>
            <w:r w:rsidR="00B9347B">
              <w:rPr>
                <w:rFonts w:cstheme="minorHAnsi"/>
                <w:szCs w:val="20"/>
              </w:rPr>
              <w:t>0</w:t>
            </w:r>
            <w:r>
              <w:rPr>
                <w:rFonts w:cstheme="minorHAnsi"/>
                <w:szCs w:val="20"/>
              </w:rPr>
              <w:t> </w:t>
            </w:r>
            <w:r w:rsidRPr="00CE5E0A">
              <w:rPr>
                <w:rFonts w:cstheme="minorHAnsi"/>
                <w:szCs w:val="20"/>
              </w:rPr>
              <w:t>m to 2.55</w:t>
            </w:r>
            <w:r>
              <w:rPr>
                <w:rFonts w:cstheme="minorHAnsi"/>
                <w:szCs w:val="20"/>
              </w:rPr>
              <w:t> </w:t>
            </w:r>
            <w:r w:rsidRPr="00CE5E0A">
              <w:rPr>
                <w:rFonts w:cstheme="minorHAnsi"/>
                <w:szCs w:val="20"/>
              </w:rPr>
              <w:t xml:space="preserve">m or </w:t>
            </w:r>
            <w:r w:rsidR="00B9347B">
              <w:rPr>
                <w:rFonts w:cstheme="minorHAnsi"/>
                <w:szCs w:val="20"/>
              </w:rPr>
              <w:t>2.60</w:t>
            </w:r>
            <w:r>
              <w:rPr>
                <w:rFonts w:cstheme="minorHAnsi"/>
                <w:szCs w:val="20"/>
              </w:rPr>
              <w:t> </w:t>
            </w:r>
            <w:r w:rsidRPr="00CE5E0A">
              <w:rPr>
                <w:rFonts w:cstheme="minorHAnsi"/>
                <w:szCs w:val="20"/>
              </w:rPr>
              <w:t>m, on the basis that this can be expected to have a positive impact on affordability and availability of new prime movers and more generally encourage adoption of safer vehicles.</w:t>
            </w:r>
          </w:p>
          <w:p w:rsidR="003822C7" w:rsidRPr="00F20572"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Notes increased width</w:t>
            </w:r>
            <w:r w:rsidRPr="001B78EF">
              <w:rPr>
                <w:rFonts w:cstheme="minorHAnsi"/>
                <w:szCs w:val="20"/>
              </w:rPr>
              <w:t xml:space="preserve"> will enable increased wall thickness, in turn</w:t>
            </w:r>
            <w:r>
              <w:rPr>
                <w:rFonts w:cstheme="minorHAnsi"/>
                <w:szCs w:val="20"/>
              </w:rPr>
              <w:t xml:space="preserve"> </w:t>
            </w:r>
            <w:r w:rsidRPr="001B78EF">
              <w:rPr>
                <w:rFonts w:cstheme="minorHAnsi"/>
                <w:szCs w:val="20"/>
              </w:rPr>
              <w:t>improving insulation and refrigeration performance on temperature</w:t>
            </w:r>
            <w:r>
              <w:rPr>
                <w:rFonts w:cstheme="minorHAnsi"/>
                <w:szCs w:val="20"/>
              </w:rPr>
              <w:t>-</w:t>
            </w:r>
            <w:r w:rsidRPr="001B78EF">
              <w:rPr>
                <w:rFonts w:cstheme="minorHAnsi"/>
                <w:szCs w:val="20"/>
              </w:rPr>
              <w:t>controlled trailers</w:t>
            </w:r>
            <w:r>
              <w:rPr>
                <w:rFonts w:cstheme="minorHAnsi"/>
                <w:szCs w:val="20"/>
              </w:rPr>
              <w:t xml:space="preserve"> – </w:t>
            </w:r>
            <w:r w:rsidRPr="00F20572">
              <w:rPr>
                <w:rFonts w:cstheme="minorHAnsi"/>
                <w:szCs w:val="20"/>
              </w:rPr>
              <w:t>this will benefit maintenance of the cold chain, and reduce fuel consumption to maintain temperatures, enabling a sustainability benefit.</w:t>
            </w:r>
          </w:p>
          <w:p w:rsidR="003822C7"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Notes increased width</w:t>
            </w:r>
            <w:r w:rsidRPr="001B78EF">
              <w:rPr>
                <w:rFonts w:cstheme="minorHAnsi"/>
                <w:szCs w:val="20"/>
              </w:rPr>
              <w:t xml:space="preserve"> also means greater freedom of design to</w:t>
            </w:r>
            <w:r>
              <w:rPr>
                <w:rFonts w:cstheme="minorHAnsi"/>
                <w:szCs w:val="20"/>
              </w:rPr>
              <w:t xml:space="preserve"> </w:t>
            </w:r>
            <w:r w:rsidRPr="001B78EF">
              <w:rPr>
                <w:rFonts w:cstheme="minorHAnsi"/>
                <w:szCs w:val="20"/>
              </w:rPr>
              <w:t>enhance safety and stability along with greater options for load restraint and ease of loading</w:t>
            </w:r>
            <w:r>
              <w:rPr>
                <w:rFonts w:cstheme="minorHAnsi"/>
                <w:szCs w:val="20"/>
              </w:rPr>
              <w:t>.</w:t>
            </w:r>
          </w:p>
          <w:p w:rsidR="003822C7"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 xml:space="preserve">Notes a </w:t>
            </w:r>
            <w:r w:rsidRPr="00F20572">
              <w:rPr>
                <w:rFonts w:cstheme="minorHAnsi"/>
                <w:szCs w:val="20"/>
              </w:rPr>
              <w:t xml:space="preserve">move to a </w:t>
            </w:r>
            <w:r w:rsidR="00B9347B">
              <w:rPr>
                <w:rFonts w:cstheme="minorHAnsi"/>
                <w:szCs w:val="20"/>
              </w:rPr>
              <w:t>2.60</w:t>
            </w:r>
            <w:r>
              <w:rPr>
                <w:rFonts w:cstheme="minorHAnsi"/>
                <w:szCs w:val="20"/>
              </w:rPr>
              <w:t> </w:t>
            </w:r>
            <w:r w:rsidRPr="00F20572">
              <w:rPr>
                <w:rFonts w:cstheme="minorHAnsi"/>
                <w:szCs w:val="20"/>
              </w:rPr>
              <w:t>m overall width</w:t>
            </w:r>
            <w:r>
              <w:rPr>
                <w:rFonts w:cstheme="minorHAnsi"/>
                <w:szCs w:val="20"/>
              </w:rPr>
              <w:t xml:space="preserve"> </w:t>
            </w:r>
            <w:r w:rsidRPr="00F20572">
              <w:rPr>
                <w:rFonts w:cstheme="minorHAnsi"/>
                <w:szCs w:val="20"/>
              </w:rPr>
              <w:t>would also enable compatibility with international pallet dimensions</w:t>
            </w:r>
            <w:r>
              <w:rPr>
                <w:rFonts w:cstheme="minorHAnsi"/>
                <w:szCs w:val="20"/>
              </w:rPr>
              <w:t xml:space="preserve">, which would open </w:t>
            </w:r>
            <w:r w:rsidRPr="00C7003B">
              <w:rPr>
                <w:rFonts w:cstheme="minorHAnsi"/>
                <w:szCs w:val="20"/>
              </w:rPr>
              <w:t>up opportunities to harmonise supply chains internationally, delivering further</w:t>
            </w:r>
            <w:r>
              <w:rPr>
                <w:rFonts w:cstheme="minorHAnsi"/>
                <w:szCs w:val="20"/>
              </w:rPr>
              <w:t xml:space="preserve"> </w:t>
            </w:r>
            <w:r w:rsidRPr="00C7003B">
              <w:rPr>
                <w:rFonts w:cstheme="minorHAnsi"/>
                <w:szCs w:val="20"/>
              </w:rPr>
              <w:t>productivity benefits</w:t>
            </w:r>
            <w:r>
              <w:rPr>
                <w:rFonts w:cstheme="minorHAnsi"/>
                <w:szCs w:val="20"/>
              </w:rPr>
              <w:t>.</w:t>
            </w:r>
          </w:p>
          <w:p w:rsidR="003822C7" w:rsidRPr="00F20572" w:rsidRDefault="003822C7" w:rsidP="007901FB">
            <w:pPr>
              <w:pStyle w:val="ListParagraph"/>
              <w:keepLines/>
              <w:numPr>
                <w:ilvl w:val="6"/>
                <w:numId w:val="1"/>
              </w:numPr>
              <w:tabs>
                <w:tab w:val="left" w:pos="320"/>
              </w:tabs>
              <w:suppressAutoHyphens w:val="0"/>
              <w:ind w:left="284"/>
              <w:rPr>
                <w:rFonts w:cstheme="minorHAnsi"/>
                <w:szCs w:val="20"/>
              </w:rPr>
            </w:pPr>
            <w:r>
              <w:rPr>
                <w:rFonts w:cstheme="minorHAnsi"/>
                <w:szCs w:val="20"/>
              </w:rPr>
              <w:t xml:space="preserve">Prefers </w:t>
            </w:r>
            <w:r w:rsidR="00164159">
              <w:rPr>
                <w:rFonts w:cstheme="minorHAnsi"/>
                <w:szCs w:val="20"/>
              </w:rPr>
              <w:t xml:space="preserve">a </w:t>
            </w:r>
            <w:r w:rsidR="00B9347B">
              <w:rPr>
                <w:rFonts w:cstheme="minorHAnsi"/>
                <w:szCs w:val="20"/>
              </w:rPr>
              <w:t>2.60</w:t>
            </w:r>
            <w:r w:rsidR="00164159">
              <w:rPr>
                <w:rFonts w:cstheme="minorHAnsi"/>
                <w:szCs w:val="20"/>
              </w:rPr>
              <w:t> m width limit for both trucks and trailers</w:t>
            </w:r>
            <w:r>
              <w:rPr>
                <w:rFonts w:cstheme="minorHAnsi"/>
                <w:szCs w:val="20"/>
              </w:rPr>
              <w:t xml:space="preserve">, but is also supportive of </w:t>
            </w:r>
            <w:r w:rsidR="00164159">
              <w:rPr>
                <w:rFonts w:cstheme="minorHAnsi"/>
                <w:szCs w:val="20"/>
              </w:rPr>
              <w:t>a 2.55 m width limit for both trucks and trailers</w:t>
            </w:r>
            <w:r>
              <w:rPr>
                <w:rFonts w:cstheme="minorHAnsi"/>
                <w:szCs w:val="20"/>
              </w:rPr>
              <w:t>.</w:t>
            </w:r>
          </w:p>
        </w:tc>
        <w:tc>
          <w:tcPr>
            <w:tcW w:w="6521" w:type="dxa"/>
            <w:gridSpan w:val="2"/>
          </w:tcPr>
          <w:p w:rsidR="003822C7" w:rsidRPr="00CE5E0A" w:rsidRDefault="003822C7" w:rsidP="007C097D">
            <w:pPr>
              <w:pStyle w:val="ListParagraph"/>
              <w:keepLines/>
              <w:numPr>
                <w:ilvl w:val="6"/>
                <w:numId w:val="27"/>
              </w:numPr>
              <w:tabs>
                <w:tab w:val="left" w:pos="320"/>
              </w:tabs>
              <w:suppressAutoHyphens w:val="0"/>
              <w:ind w:left="284"/>
              <w:rPr>
                <w:rFonts w:cstheme="minorHAnsi"/>
                <w:szCs w:val="20"/>
              </w:rPr>
            </w:pPr>
            <w:r>
              <w:rPr>
                <w:rFonts w:cstheme="minorHAnsi"/>
                <w:szCs w:val="20"/>
              </w:rPr>
              <w:t>Noted</w:t>
            </w:r>
            <w:r w:rsidRPr="00CE5E0A">
              <w:rPr>
                <w:rFonts w:cstheme="minorHAnsi"/>
                <w:szCs w:val="20"/>
              </w:rPr>
              <w:t>.</w:t>
            </w:r>
          </w:p>
          <w:p w:rsidR="003822C7" w:rsidRDefault="003822C7" w:rsidP="007901FB">
            <w:pPr>
              <w:keepLines/>
              <w:numPr>
                <w:ilvl w:val="6"/>
                <w:numId w:val="1"/>
              </w:numPr>
              <w:tabs>
                <w:tab w:val="left" w:pos="720"/>
              </w:tabs>
              <w:suppressAutoHyphens w:val="0"/>
              <w:spacing w:before="120" w:after="120" w:line="264" w:lineRule="auto"/>
              <w:ind w:left="284"/>
              <w:rPr>
                <w:rFonts w:cstheme="minorHAnsi"/>
                <w:color w:val="000000"/>
                <w:kern w:val="0"/>
              </w:rPr>
            </w:pPr>
            <w:r>
              <w:rPr>
                <w:rFonts w:cstheme="minorHAnsi"/>
                <w:color w:val="000000"/>
                <w:kern w:val="0"/>
              </w:rPr>
              <w:t>Agreed.</w:t>
            </w:r>
          </w:p>
          <w:p w:rsidR="003822C7" w:rsidRDefault="003822C7" w:rsidP="007901FB">
            <w:pPr>
              <w:keepLines/>
              <w:numPr>
                <w:ilvl w:val="6"/>
                <w:numId w:val="1"/>
              </w:numPr>
              <w:tabs>
                <w:tab w:val="left" w:pos="720"/>
              </w:tabs>
              <w:suppressAutoHyphens w:val="0"/>
              <w:spacing w:before="120" w:after="120" w:line="264" w:lineRule="auto"/>
              <w:ind w:left="284"/>
              <w:rPr>
                <w:rFonts w:cstheme="minorHAnsi"/>
                <w:color w:val="000000"/>
                <w:kern w:val="0"/>
              </w:rPr>
            </w:pPr>
            <w:r>
              <w:rPr>
                <w:rFonts w:cstheme="minorHAnsi"/>
                <w:color w:val="000000"/>
                <w:kern w:val="0"/>
              </w:rPr>
              <w:t>Agreed.</w:t>
            </w:r>
          </w:p>
          <w:p w:rsidR="003822C7" w:rsidRPr="00DE1EA6" w:rsidRDefault="003822C7" w:rsidP="007901FB">
            <w:pPr>
              <w:keepLines/>
              <w:numPr>
                <w:ilvl w:val="6"/>
                <w:numId w:val="1"/>
              </w:numPr>
              <w:tabs>
                <w:tab w:val="left" w:pos="720"/>
              </w:tabs>
              <w:suppressAutoHyphens w:val="0"/>
              <w:spacing w:before="120" w:after="120" w:line="264" w:lineRule="auto"/>
              <w:ind w:left="284"/>
              <w:rPr>
                <w:rFonts w:cstheme="minorHAnsi"/>
                <w:color w:val="000000"/>
                <w:kern w:val="0"/>
              </w:rPr>
            </w:pPr>
            <w:r w:rsidRPr="00DE1EA6">
              <w:rPr>
                <w:rFonts w:cstheme="minorHAnsi"/>
                <w:color w:val="000000"/>
                <w:kern w:val="0"/>
              </w:rPr>
              <w:t xml:space="preserve">A move to at least a 2.55 m overall width </w:t>
            </w:r>
            <w:r>
              <w:rPr>
                <w:rFonts w:cstheme="minorHAnsi"/>
                <w:color w:val="000000"/>
                <w:kern w:val="0"/>
              </w:rPr>
              <w:t xml:space="preserve">limit </w:t>
            </w:r>
            <w:r w:rsidRPr="00DE1EA6">
              <w:rPr>
                <w:rFonts w:cstheme="minorHAnsi"/>
                <w:color w:val="000000"/>
                <w:kern w:val="0"/>
              </w:rPr>
              <w:t xml:space="preserve">would provide this benefit, except for refrigerated freight which </w:t>
            </w:r>
            <w:r w:rsidR="006B2325">
              <w:rPr>
                <w:rFonts w:cstheme="minorHAnsi"/>
                <w:color w:val="000000"/>
                <w:kern w:val="0"/>
              </w:rPr>
              <w:t>may</w:t>
            </w:r>
            <w:r w:rsidRPr="00DE1EA6">
              <w:rPr>
                <w:rFonts w:cstheme="minorHAnsi"/>
                <w:color w:val="000000"/>
                <w:kern w:val="0"/>
              </w:rPr>
              <w:t xml:space="preserve"> require </w:t>
            </w:r>
            <w:r w:rsidR="00B9347B">
              <w:rPr>
                <w:rFonts w:cstheme="minorHAnsi"/>
                <w:color w:val="000000"/>
                <w:kern w:val="0"/>
              </w:rPr>
              <w:t>2.60</w:t>
            </w:r>
            <w:r w:rsidRPr="00DE1EA6">
              <w:rPr>
                <w:rFonts w:cstheme="minorHAnsi"/>
                <w:color w:val="000000"/>
                <w:kern w:val="0"/>
              </w:rPr>
              <w:t xml:space="preserve"> m, as 1200 mm wide (international) pallets are used in Europe, where </w:t>
            </w:r>
            <w:r>
              <w:rPr>
                <w:rFonts w:cstheme="minorHAnsi"/>
                <w:color w:val="000000"/>
                <w:kern w:val="0"/>
              </w:rPr>
              <w:t xml:space="preserve">the </w:t>
            </w:r>
            <w:r w:rsidRPr="00DE1EA6">
              <w:rPr>
                <w:rFonts w:cstheme="minorHAnsi"/>
                <w:color w:val="000000"/>
                <w:kern w:val="0"/>
              </w:rPr>
              <w:t xml:space="preserve">width limit is </w:t>
            </w:r>
            <w:r w:rsidR="00B9347B">
              <w:rPr>
                <w:rFonts w:cstheme="minorHAnsi"/>
                <w:color w:val="000000"/>
                <w:kern w:val="0"/>
              </w:rPr>
              <w:t>2.60</w:t>
            </w:r>
            <w:r w:rsidRPr="00DE1EA6">
              <w:rPr>
                <w:rFonts w:cstheme="minorHAnsi"/>
                <w:color w:val="000000"/>
                <w:kern w:val="0"/>
              </w:rPr>
              <w:t> m for freight vehicles with refrigerated bodywork and 2.55 m for all other vehicles.</w:t>
            </w:r>
          </w:p>
          <w:p w:rsidR="003822C7" w:rsidRPr="00CE5E0A" w:rsidRDefault="003822C7" w:rsidP="007901FB">
            <w:pPr>
              <w:keepLines/>
              <w:numPr>
                <w:ilvl w:val="6"/>
                <w:numId w:val="1"/>
              </w:numPr>
              <w:tabs>
                <w:tab w:val="left" w:pos="720"/>
              </w:tabs>
              <w:suppressAutoHyphens w:val="0"/>
              <w:spacing w:before="120" w:after="120" w:line="264" w:lineRule="auto"/>
              <w:ind w:left="284"/>
              <w:rPr>
                <w:rFonts w:cstheme="minorHAnsi"/>
                <w:color w:val="000000"/>
                <w:kern w:val="0"/>
              </w:rPr>
            </w:pPr>
            <w:r>
              <w:rPr>
                <w:rFonts w:cstheme="minorHAnsi"/>
                <w:color w:val="000000"/>
                <w:kern w:val="0"/>
              </w:rPr>
              <w:t>Noted.</w:t>
            </w:r>
          </w:p>
        </w:tc>
      </w:tr>
    </w:tbl>
    <w:p w:rsidR="00EE106A" w:rsidRPr="00A03989" w:rsidRDefault="00EE106A" w:rsidP="00A03989">
      <w:pPr>
        <w:sectPr w:rsidR="00EE106A" w:rsidRPr="00A03989" w:rsidSect="00E227B0">
          <w:headerReference w:type="default" r:id="rId75"/>
          <w:footerReference w:type="default" r:id="rId76"/>
          <w:pgSz w:w="16838" w:h="11906" w:orient="landscape" w:code="9"/>
          <w:pgMar w:top="1021" w:right="1021" w:bottom="1021" w:left="1021" w:header="510" w:footer="567" w:gutter="0"/>
          <w:cols w:space="708"/>
          <w:docGrid w:linePitch="360"/>
        </w:sectPr>
      </w:pPr>
    </w:p>
    <w:tbl>
      <w:tblPr>
        <w:tblpPr w:vertAnchor="page" w:horzAnchor="page" w:tblpX="1078" w:tblpY="11029"/>
        <w:tblW w:w="0" w:type="auto"/>
        <w:tblLayout w:type="fixed"/>
        <w:tblCellMar>
          <w:left w:w="0" w:type="dxa"/>
          <w:right w:w="0" w:type="dxa"/>
        </w:tblCellMar>
        <w:tblLook w:val="04A0" w:firstRow="1" w:lastRow="0" w:firstColumn="1" w:lastColumn="0" w:noHBand="0" w:noVBand="1"/>
      </w:tblPr>
      <w:tblGrid>
        <w:gridCol w:w="2438"/>
      </w:tblGrid>
      <w:tr w:rsidR="00452B58" w:rsidRPr="00452B58" w:rsidTr="00452B58">
        <w:trPr>
          <w:cantSplit/>
          <w:trHeight w:hRule="exact" w:val="567"/>
        </w:trPr>
        <w:tc>
          <w:tcPr>
            <w:tcW w:w="2438" w:type="dxa"/>
          </w:tcPr>
          <w:p w:rsidR="00452B58" w:rsidRPr="00452B58" w:rsidRDefault="00452B58" w:rsidP="00452B58">
            <w:pPr>
              <w:suppressAutoHyphens w:val="0"/>
              <w:spacing w:before="0" w:after="0" w:line="288" w:lineRule="auto"/>
              <w:jc w:val="right"/>
              <w:rPr>
                <w:rFonts w:ascii="Arial" w:eastAsia="Calibri" w:hAnsi="Arial" w:cs="Times New Roman"/>
                <w:color w:val="auto"/>
                <w:kern w:val="0"/>
                <w:sz w:val="24"/>
                <w:szCs w:val="18"/>
              </w:rPr>
            </w:pPr>
            <w:bookmarkStart w:id="192" w:name="_Hlk137050370"/>
            <w:r w:rsidRPr="00452B58">
              <w:rPr>
                <w:rFonts w:ascii="Arial" w:eastAsia="Calibri" w:hAnsi="Arial" w:cs="Times New Roman"/>
                <w:color w:val="auto"/>
                <w:kern w:val="0"/>
                <w:sz w:val="24"/>
                <w:szCs w:val="18"/>
              </w:rPr>
              <w:t>October 2022</w:t>
            </w:r>
          </w:p>
        </w:tc>
      </w:tr>
      <w:tr w:rsidR="00452B58" w:rsidRPr="00452B58" w:rsidTr="00452B58">
        <w:trPr>
          <w:cantSplit/>
          <w:trHeight w:hRule="exact" w:val="567"/>
        </w:trPr>
        <w:tc>
          <w:tcPr>
            <w:tcW w:w="2438" w:type="dxa"/>
          </w:tcPr>
          <w:p w:rsidR="00452B58" w:rsidRPr="00452B58" w:rsidRDefault="00452B58" w:rsidP="00452B58">
            <w:pPr>
              <w:suppressAutoHyphens w:val="0"/>
              <w:spacing w:before="0" w:after="0" w:line="288" w:lineRule="auto"/>
              <w:jc w:val="right"/>
              <w:rPr>
                <w:rFonts w:ascii="Arial" w:eastAsia="Calibri" w:hAnsi="Arial" w:cs="Times New Roman"/>
                <w:color w:val="auto"/>
                <w:kern w:val="0"/>
                <w:sz w:val="24"/>
                <w:szCs w:val="18"/>
              </w:rPr>
            </w:pPr>
            <w:r w:rsidRPr="00452B58">
              <w:rPr>
                <w:rFonts w:ascii="Arial" w:eastAsia="Calibri" w:hAnsi="Arial" w:cs="Times New Roman"/>
                <w:color w:val="auto"/>
                <w:kern w:val="0"/>
                <w:sz w:val="24"/>
                <w:szCs w:val="18"/>
              </w:rPr>
              <w:t>Final Report</w:t>
            </w:r>
          </w:p>
        </w:tc>
      </w:tr>
    </w:tbl>
    <w:tbl>
      <w:tblPr>
        <w:tblpPr w:vertAnchor="page" w:horzAnchor="page" w:tblpX="4743" w:tblpY="4539"/>
        <w:tblW w:w="0" w:type="auto"/>
        <w:tblLayout w:type="fixed"/>
        <w:tblCellMar>
          <w:left w:w="0" w:type="dxa"/>
          <w:right w:w="0" w:type="dxa"/>
        </w:tblCellMar>
        <w:tblLook w:val="04A0" w:firstRow="1" w:lastRow="0" w:firstColumn="1" w:lastColumn="0" w:noHBand="0" w:noVBand="1"/>
      </w:tblPr>
      <w:tblGrid>
        <w:gridCol w:w="1843"/>
        <w:gridCol w:w="3260"/>
      </w:tblGrid>
      <w:tr w:rsidR="00452B58" w:rsidRPr="00452B58" w:rsidTr="00452B58">
        <w:trPr>
          <w:cantSplit/>
          <w:trHeight w:val="2907"/>
        </w:trPr>
        <w:tc>
          <w:tcPr>
            <w:tcW w:w="5103" w:type="dxa"/>
            <w:gridSpan w:val="2"/>
            <w:vAlign w:val="bottom"/>
          </w:tcPr>
          <w:p w:rsidR="00452B58" w:rsidRPr="00452B58" w:rsidRDefault="00452B58" w:rsidP="00452B58">
            <w:pPr>
              <w:suppressAutoHyphens w:val="0"/>
              <w:spacing w:before="0" w:after="120" w:line="288" w:lineRule="auto"/>
              <w:rPr>
                <w:rFonts w:ascii="Arial" w:eastAsia="Calibri" w:hAnsi="Arial" w:cs="Times New Roman"/>
                <w:b/>
                <w:color w:val="auto"/>
                <w:kern w:val="0"/>
                <w:sz w:val="36"/>
                <w:szCs w:val="22"/>
              </w:rPr>
            </w:pPr>
            <w:r w:rsidRPr="00452B58">
              <w:rPr>
                <w:rFonts w:ascii="Arial" w:eastAsia="Calibri" w:hAnsi="Arial" w:cs="Times New Roman"/>
                <w:b/>
                <w:color w:val="auto"/>
                <w:kern w:val="0"/>
                <w:sz w:val="36"/>
                <w:szCs w:val="22"/>
              </w:rPr>
              <w:t>Safer Freight Vehicles:</w:t>
            </w:r>
          </w:p>
          <w:p w:rsidR="00452B58" w:rsidRPr="00452B58" w:rsidRDefault="00452B58" w:rsidP="00452B58">
            <w:pPr>
              <w:suppressAutoHyphens w:val="0"/>
              <w:spacing w:before="0" w:after="120" w:line="288" w:lineRule="auto"/>
              <w:rPr>
                <w:rFonts w:ascii="Arial" w:eastAsia="Calibri" w:hAnsi="Arial" w:cs="Times New Roman"/>
                <w:b/>
                <w:color w:val="auto"/>
                <w:kern w:val="0"/>
                <w:sz w:val="44"/>
                <w:szCs w:val="44"/>
              </w:rPr>
            </w:pPr>
            <w:r w:rsidRPr="00452B58">
              <w:rPr>
                <w:rFonts w:ascii="Arial" w:eastAsia="Calibri" w:hAnsi="Arial" w:cs="Times New Roman"/>
                <w:b/>
                <w:color w:val="auto"/>
                <w:kern w:val="0"/>
                <w:sz w:val="44"/>
                <w:szCs w:val="44"/>
              </w:rPr>
              <w:t>Benefit-Cost Analysis of Vehicle Widening Options</w:t>
            </w:r>
          </w:p>
        </w:tc>
      </w:tr>
      <w:tr w:rsidR="00452B58" w:rsidRPr="00452B58" w:rsidTr="00452B58">
        <w:trPr>
          <w:cantSplit/>
          <w:trHeight w:hRule="exact" w:val="646"/>
        </w:trPr>
        <w:tc>
          <w:tcPr>
            <w:tcW w:w="1843" w:type="dxa"/>
            <w:vAlign w:val="bottom"/>
          </w:tcPr>
          <w:p w:rsidR="00452B58" w:rsidRPr="00452B58" w:rsidRDefault="00452B58" w:rsidP="00452B58">
            <w:pPr>
              <w:suppressAutoHyphens w:val="0"/>
              <w:spacing w:before="240" w:after="0" w:line="288" w:lineRule="auto"/>
              <w:rPr>
                <w:rFonts w:ascii="Arial" w:eastAsia="Calibri" w:hAnsi="Arial" w:cs="Times New Roman"/>
                <w:color w:val="auto"/>
                <w:kern w:val="0"/>
                <w:szCs w:val="22"/>
              </w:rPr>
            </w:pPr>
            <w:r w:rsidRPr="00452B58">
              <w:rPr>
                <w:rFonts w:ascii="Arial" w:eastAsia="Calibri" w:hAnsi="Arial" w:cs="Times New Roman"/>
                <w:color w:val="auto"/>
                <w:kern w:val="0"/>
                <w:szCs w:val="22"/>
              </w:rPr>
              <w:t>ARRB Project No.:</w:t>
            </w:r>
          </w:p>
        </w:tc>
        <w:tc>
          <w:tcPr>
            <w:tcW w:w="3260" w:type="dxa"/>
            <w:vAlign w:val="bottom"/>
          </w:tcPr>
          <w:p w:rsidR="00452B58" w:rsidRPr="00452B58" w:rsidRDefault="00452B58" w:rsidP="00452B58">
            <w:pPr>
              <w:suppressAutoHyphens w:val="0"/>
              <w:spacing w:before="0" w:after="0" w:line="288" w:lineRule="auto"/>
              <w:rPr>
                <w:rFonts w:ascii="Arial" w:eastAsia="Calibri" w:hAnsi="Arial" w:cs="Times New Roman"/>
                <w:color w:val="auto"/>
                <w:kern w:val="0"/>
                <w:szCs w:val="22"/>
              </w:rPr>
            </w:pPr>
            <w:r w:rsidRPr="00452B58">
              <w:rPr>
                <w:rFonts w:ascii="Arial" w:eastAsia="Calibri" w:hAnsi="Arial" w:cs="Times New Roman"/>
                <w:color w:val="auto"/>
                <w:kern w:val="0"/>
                <w:szCs w:val="22"/>
              </w:rPr>
              <w:t>00656</w:t>
            </w:r>
          </w:p>
        </w:tc>
      </w:tr>
      <w:tr w:rsidR="00452B58" w:rsidRPr="00452B58" w:rsidTr="00452B58">
        <w:trPr>
          <w:cantSplit/>
          <w:trHeight w:val="598"/>
        </w:trPr>
        <w:tc>
          <w:tcPr>
            <w:tcW w:w="1843" w:type="dxa"/>
          </w:tcPr>
          <w:p w:rsidR="00452B58" w:rsidRPr="00452B58" w:rsidRDefault="00452B58" w:rsidP="00452B58">
            <w:pPr>
              <w:suppressAutoHyphens w:val="0"/>
              <w:spacing w:before="240" w:after="0" w:line="288" w:lineRule="auto"/>
              <w:rPr>
                <w:rFonts w:ascii="Arial" w:eastAsia="Calibri" w:hAnsi="Arial" w:cs="Times New Roman"/>
                <w:color w:val="auto"/>
                <w:kern w:val="0"/>
                <w:szCs w:val="22"/>
              </w:rPr>
            </w:pPr>
            <w:r w:rsidRPr="00452B58">
              <w:rPr>
                <w:rFonts w:ascii="Arial" w:eastAsia="Calibri" w:hAnsi="Arial" w:cs="Times New Roman"/>
                <w:color w:val="auto"/>
                <w:kern w:val="0"/>
                <w:szCs w:val="22"/>
              </w:rPr>
              <w:t xml:space="preserve">Authors: </w:t>
            </w:r>
          </w:p>
        </w:tc>
        <w:tc>
          <w:tcPr>
            <w:tcW w:w="3260" w:type="dxa"/>
          </w:tcPr>
          <w:p w:rsidR="00452B58" w:rsidRPr="00452B58" w:rsidRDefault="00452B58" w:rsidP="00452B58">
            <w:pPr>
              <w:suppressAutoHyphens w:val="0"/>
              <w:spacing w:before="240" w:after="0" w:line="288" w:lineRule="auto"/>
              <w:rPr>
                <w:rFonts w:ascii="Arial" w:eastAsia="Calibri" w:hAnsi="Arial" w:cs="Times New Roman"/>
                <w:color w:val="auto"/>
                <w:kern w:val="0"/>
                <w:szCs w:val="22"/>
              </w:rPr>
            </w:pPr>
            <w:r w:rsidRPr="00452B58">
              <w:rPr>
                <w:rFonts w:ascii="Arial" w:eastAsia="Calibri" w:hAnsi="Arial" w:cs="Times New Roman"/>
                <w:color w:val="auto"/>
                <w:kern w:val="0"/>
                <w:szCs w:val="22"/>
              </w:rPr>
              <w:t>Simon Xue and Ulysses Ai</w:t>
            </w:r>
          </w:p>
        </w:tc>
      </w:tr>
      <w:tr w:rsidR="00452B58" w:rsidRPr="00452B58" w:rsidTr="00452B58">
        <w:trPr>
          <w:cantSplit/>
          <w:trHeight w:val="1214"/>
        </w:trPr>
        <w:tc>
          <w:tcPr>
            <w:tcW w:w="1843" w:type="dxa"/>
          </w:tcPr>
          <w:p w:rsidR="00452B58" w:rsidRPr="00452B58" w:rsidRDefault="00452B58" w:rsidP="00452B58">
            <w:pPr>
              <w:suppressAutoHyphens w:val="0"/>
              <w:spacing w:before="240" w:after="0" w:line="288" w:lineRule="auto"/>
              <w:rPr>
                <w:rFonts w:ascii="Arial" w:eastAsia="Calibri" w:hAnsi="Arial" w:cs="Times New Roman"/>
                <w:color w:val="auto"/>
                <w:kern w:val="0"/>
                <w:szCs w:val="22"/>
              </w:rPr>
            </w:pPr>
            <w:r w:rsidRPr="00452B58">
              <w:rPr>
                <w:rFonts w:ascii="Arial" w:eastAsia="Calibri" w:hAnsi="Arial" w:cs="Times New Roman"/>
                <w:color w:val="auto"/>
                <w:kern w:val="0"/>
                <w:szCs w:val="22"/>
              </w:rPr>
              <w:t xml:space="preserve">Prepared for: </w:t>
            </w:r>
          </w:p>
        </w:tc>
        <w:tc>
          <w:tcPr>
            <w:tcW w:w="3260" w:type="dxa"/>
          </w:tcPr>
          <w:p w:rsidR="00452B58" w:rsidRPr="00452B58" w:rsidRDefault="00452B58" w:rsidP="00452B58">
            <w:pPr>
              <w:suppressAutoHyphens w:val="0"/>
              <w:spacing w:before="240" w:after="0" w:line="288" w:lineRule="auto"/>
              <w:rPr>
                <w:rFonts w:ascii="Arial" w:eastAsia="Calibri" w:hAnsi="Arial" w:cs="Times New Roman"/>
                <w:color w:val="auto"/>
                <w:kern w:val="0"/>
                <w:szCs w:val="22"/>
              </w:rPr>
            </w:pPr>
            <w:r w:rsidRPr="00452B58">
              <w:rPr>
                <w:rFonts w:ascii="Arial" w:eastAsia="Calibri" w:hAnsi="Arial" w:cs="Times New Roman"/>
                <w:color w:val="auto"/>
                <w:kern w:val="0"/>
                <w:szCs w:val="22"/>
              </w:rPr>
              <w:t>Department of Infrastructure, Transport, Regional Development, Communications and the Arts</w:t>
            </w:r>
          </w:p>
        </w:tc>
      </w:tr>
    </w:tbl>
    <w:p w:rsidR="00452B58" w:rsidRPr="00452B58" w:rsidRDefault="006F4297" w:rsidP="00E248BF">
      <w:pPr>
        <w:numPr>
          <w:ilvl w:val="0"/>
          <w:numId w:val="77"/>
        </w:numPr>
        <w:suppressAutoHyphens w:val="0"/>
        <w:spacing w:before="0" w:after="0" w:line="288" w:lineRule="auto"/>
        <w:ind w:left="0" w:firstLine="0"/>
        <w:rPr>
          <w:rFonts w:ascii="Arial" w:eastAsia="Calibri" w:hAnsi="Arial" w:cs="Times New Roman"/>
          <w:color w:val="auto"/>
          <w:kern w:val="0"/>
          <w:sz w:val="2"/>
          <w:szCs w:val="22"/>
        </w:rPr>
      </w:pPr>
      <w:r>
        <w:rPr>
          <w:rFonts w:ascii="Arial" w:eastAsia="Times New Roman" w:hAnsi="Arial" w:cs="Times New Roman"/>
          <w:noProof/>
          <w:color w:val="1C1C1C"/>
          <w:kern w:val="0"/>
          <w:sz w:val="2"/>
          <w:szCs w:val="22"/>
          <w:lang w:eastAsia="en-AU"/>
        </w:rPr>
        <mc:AlternateContent>
          <mc:Choice Requires="wps">
            <w:drawing>
              <wp:anchor distT="0" distB="0" distL="114300" distR="114300" simplePos="0" relativeHeight="251665408" behindDoc="0" locked="0" layoutInCell="1" allowOverlap="1" wp14:anchorId="617A0AB3" wp14:editId="12B2696E">
                <wp:simplePos x="0" y="0"/>
                <wp:positionH relativeFrom="column">
                  <wp:posOffset>5236210</wp:posOffset>
                </wp:positionH>
                <wp:positionV relativeFrom="paragraph">
                  <wp:posOffset>-624840</wp:posOffset>
                </wp:positionV>
                <wp:extent cx="1250950" cy="6032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1250950" cy="603250"/>
                        </a:xfrm>
                        <a:prstGeom prst="rect">
                          <a:avLst/>
                        </a:prstGeom>
                        <a:noFill/>
                        <a:ln w="6350">
                          <a:noFill/>
                        </a:ln>
                      </wps:spPr>
                      <wps:txbx>
                        <w:txbxContent>
                          <w:p w:rsidR="006F4297" w:rsidRPr="006F4297" w:rsidRDefault="006F4297">
                            <w:pPr>
                              <w:rPr>
                                <w:b/>
                                <w:color w:val="FFFFFF" w:themeColor="background1"/>
                                <w:sz w:val="48"/>
                                <w:szCs w:val="48"/>
                                <w:lang w:val="en-US"/>
                              </w:rPr>
                            </w:pPr>
                            <w:r w:rsidRPr="006F4297">
                              <w:rPr>
                                <w:b/>
                                <w:color w:val="FFFFFF" w:themeColor="background1"/>
                                <w:sz w:val="48"/>
                                <w:szCs w:val="48"/>
                                <w:lang w:val="en-US"/>
                              </w:rPr>
                              <w:t>ANNEX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A0AB3" id="Text Box 23" o:spid="_x0000_s1027" type="#_x0000_t202" style="position:absolute;left:0;text-align:left;margin-left:412.3pt;margin-top:-49.2pt;width:98.5pt;height: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" filled="f" stroked="f" strokeweight=".5pt">
                <v:textbox>
                  <w:txbxContent>
                    <w:p w:rsidR="006F4297" w:rsidRPr="006F4297" w:rsidRDefault="006F4297">
                      <w:pPr>
                        <w:rPr>
                          <w:b/>
                          <w:color w:val="FFFFFF" w:themeColor="background1"/>
                          <w:sz w:val="48"/>
                          <w:szCs w:val="48"/>
                          <w:lang w:val="en-US"/>
                        </w:rPr>
                      </w:pPr>
                      <w:r w:rsidRPr="006F4297">
                        <w:rPr>
                          <w:b/>
                          <w:color w:val="FFFFFF" w:themeColor="background1"/>
                          <w:sz w:val="48"/>
                          <w:szCs w:val="48"/>
                          <w:lang w:val="en-US"/>
                        </w:rPr>
                        <w:t>ANNEX</w:t>
                      </w:r>
                    </w:p>
                  </w:txbxContent>
                </v:textbox>
              </v:shape>
            </w:pict>
          </mc:Fallback>
        </mc:AlternateContent>
      </w:r>
      <w:r w:rsidR="00452B58" w:rsidRPr="00452B58">
        <w:rPr>
          <w:rFonts w:ascii="Arial" w:eastAsia="Times New Roman" w:hAnsi="Arial" w:cs="Times New Roman"/>
          <w:noProof/>
          <w:color w:val="1C1C1C"/>
          <w:kern w:val="0"/>
          <w:sz w:val="2"/>
          <w:szCs w:val="22"/>
          <w:lang w:eastAsia="en-AU"/>
        </w:rPr>
        <mc:AlternateContent>
          <mc:Choice Requires="wpg">
            <w:drawing>
              <wp:anchor distT="0" distB="0" distL="114300" distR="114300" simplePos="0" relativeHeight="251664384" behindDoc="1" locked="1" layoutInCell="1" allowOverlap="1" wp14:anchorId="3B863216" wp14:editId="263C433F">
                <wp:simplePos x="0" y="0"/>
                <wp:positionH relativeFrom="margin">
                  <wp:align>center</wp:align>
                </wp:positionH>
                <wp:positionV relativeFrom="margin">
                  <wp:align>center</wp:align>
                </wp:positionV>
                <wp:extent cx="6659880" cy="6584315"/>
                <wp:effectExtent l="0" t="0" r="7620" b="6985"/>
                <wp:wrapNone/>
                <wp:docPr id="2749" name="TearDro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59880" cy="6584315"/>
                          <a:chOff x="0" y="0"/>
                          <a:chExt cx="6609815" cy="6534899"/>
                        </a:xfrm>
                      </wpg:grpSpPr>
                      <wps:wsp>
                        <wps:cNvPr id="2751" name="Coloured">
                          <a:extLst>
                            <a:ext uri="{C183D7F6-B498-43B3-948B-1728B52AA6E4}">
                              <adec:decorative xmlns:adec="http://schemas.microsoft.com/office/drawing/2017/decorative" val="1"/>
                            </a:ext>
                          </a:extLst>
                        </wps:cNvPr>
                        <wps:cNvSpPr/>
                        <wps:spPr>
                          <a:xfrm>
                            <a:off x="0" y="4695825"/>
                            <a:ext cx="1896302" cy="1839074"/>
                          </a:xfrm>
                          <a:prstGeom prst="teardrop">
                            <a:avLst/>
                          </a:prstGeom>
                          <a:solidFill>
                            <a:srgbClr val="00A1DE">
                              <a:alpha val="80000"/>
                            </a:srgbClr>
                          </a:solidFill>
                          <a:ln w="9525" cap="flat" cmpd="sng" algn="ctr">
                            <a:noFill/>
                            <a:prstDash val="solid"/>
                          </a:ln>
                          <a:effectLst/>
                        </wps:spPr>
                        <wps:txbx>
                          <w:txbxContent>
                            <w:p w:rsidR="00D902A9" w:rsidRPr="00EC05FD" w:rsidRDefault="00D902A9" w:rsidP="00452B58"/>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2750" name="White">
                          <a:extLst>
                            <a:ext uri="{C183D7F6-B498-43B3-948B-1728B52AA6E4}">
                              <adec:decorative xmlns:adec="http://schemas.microsoft.com/office/drawing/2017/decorative" val="1"/>
                            </a:ext>
                          </a:extLst>
                        </wps:cNvPr>
                        <wps:cNvSpPr/>
                        <wps:spPr>
                          <a:xfrm rot="10800000">
                            <a:off x="1914525" y="0"/>
                            <a:ext cx="4695290" cy="4695290"/>
                          </a:xfrm>
                          <a:prstGeom prst="teardrop">
                            <a:avLst/>
                          </a:prstGeom>
                          <a:solidFill>
                            <a:sysClr val="window" lastClr="FFFFFF">
                              <a:alpha val="80000"/>
                            </a:sysClr>
                          </a:solidFill>
                          <a:ln w="6350" cap="flat" cmpd="sng" algn="ctr">
                            <a:noFill/>
                            <a:prstDash val="solid"/>
                            <a:miter lim="800000"/>
                          </a:ln>
                          <a:effectLst/>
                        </wps:spPr>
                        <wps:txbx>
                          <w:txbxContent>
                            <w:p w:rsidR="00D902A9" w:rsidRPr="001168CF" w:rsidRDefault="00D902A9" w:rsidP="00452B58"/>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863216" id="TearDrop" o:spid="_x0000_s1028" style="position:absolute;left:0;text-align:left;margin-left:0;margin-top:0;width:524.4pt;height:518.45pt;z-index:-251652096;mso-position-horizontal:center;mso-position-horizontal-relative:margin;mso-position-vertical:center;mso-position-vertical-relative:margin;mso-width-relative:margin;mso-height-relative:margin" coordsize="66098,65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">
                <o:lock v:ext="edit" aspectratio="t"/>
                <v:shape id="Coloured" o:spid="_x0000_s1029" style="position:absolute;top:46958;width:18963;height:18390;visibility:visible;mso-wrap-style:square;v-text-anchor:top" coordsize="1896302,18390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" adj="-11796480,,5400" path="m,919537c,411691,424502,,948151,r948151,l1896302,919537v,507846,-424502,919537,-948151,919537c424502,1839074,,1427383,,919537xe" fillcolor="#00a1de" stroked="f">
                  <v:fill opacity="52428f"/>
                  <v:stroke joinstyle="miter"/>
                  <v:formulas/>
                  <v:path arrowok="t" o:connecttype="custom" o:connectlocs="0,919537;948151,0;1896302,0;1896302,919537;948151,1839074;0,919537" o:connectangles="0,0,0,0,0,0" textboxrect="0,0,1896302,1839074"/>
                  <v:textbox inset="0,0,0,0">
                    <w:txbxContent>
                      <w:p w:rsidR="00D902A9" w:rsidRPr="00EC05FD" w:rsidRDefault="00D902A9" w:rsidP="00452B58"/>
                    </w:txbxContent>
                  </v:textbox>
                </v:shape>
                <v:shape id="White" o:spid="_x0000_s1030" style="position:absolute;left:19145;width:46953;height:46952;rotation:180;visibility:visible;mso-wrap-style:square;v-text-anchor:middle" coordsize="4695290,4695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" adj="-11796480,,5400" path="m,2347645c,1051076,1051076,,2347645,l4695290,r,2347645c4695290,3644214,3644214,4695290,2347645,4695290,1051076,4695290,,3644214,,2347645xe" fillcolor="window" stroked="f" strokeweight=".5pt">
                  <v:fill opacity="52428f"/>
                  <v:stroke joinstyle="miter"/>
                  <v:formulas/>
                  <v:path arrowok="t" o:connecttype="custom" o:connectlocs="0,2347645;2347645,0;4695290,0;4695290,2347645;2347645,4695290;0,2347645" o:connectangles="0,0,0,0,0,0" textboxrect="0,0,4695290,4695290"/>
                  <v:textbox inset="0,0,0,0">
                    <w:txbxContent>
                      <w:p w:rsidR="00D902A9" w:rsidRPr="001168CF" w:rsidRDefault="00D902A9" w:rsidP="00452B58"/>
                    </w:txbxContent>
                  </v:textbox>
                </v:shape>
                <w10:wrap anchorx="margin" anchory="margin"/>
                <w10:anchorlock/>
              </v:group>
            </w:pict>
          </mc:Fallback>
        </mc:AlternateContent>
      </w:r>
      <w:r w:rsidR="00452B58" w:rsidRPr="00452B58">
        <w:rPr>
          <w:rFonts w:ascii="Arial" w:eastAsia="Calibri" w:hAnsi="Arial" w:cs="Times New Roman"/>
          <w:noProof/>
          <w:color w:val="auto"/>
          <w:kern w:val="0"/>
          <w:sz w:val="2"/>
          <w:szCs w:val="22"/>
        </w:rPr>
        <w:drawing>
          <wp:anchor distT="0" distB="0" distL="114300" distR="114300" simplePos="0" relativeHeight="251661312" behindDoc="1" locked="0" layoutInCell="1" allowOverlap="1" wp14:anchorId="70EC85C6" wp14:editId="3CD4FE7B">
            <wp:simplePos x="0" y="0"/>
            <wp:positionH relativeFrom="margin">
              <wp:align>center</wp:align>
            </wp:positionH>
            <wp:positionV relativeFrom="page">
              <wp:align>top</wp:align>
            </wp:positionV>
            <wp:extent cx="8002800" cy="10998000"/>
            <wp:effectExtent l="0" t="0" r="0" b="0"/>
            <wp:wrapNone/>
            <wp:docPr id="2762" name="Picture 27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8002800" cy="10998000"/>
                    </a:xfrm>
                    <a:prstGeom prst="rect">
                      <a:avLst/>
                    </a:prstGeom>
                  </pic:spPr>
                </pic:pic>
              </a:graphicData>
            </a:graphic>
            <wp14:sizeRelH relativeFrom="page">
              <wp14:pctWidth>0</wp14:pctWidth>
            </wp14:sizeRelH>
            <wp14:sizeRelV relativeFrom="page">
              <wp14:pctHeight>0</wp14:pctHeight>
            </wp14:sizeRelV>
          </wp:anchor>
        </w:drawing>
      </w:r>
    </w:p>
    <w:p w:rsidR="00452B58" w:rsidRPr="00452B58" w:rsidRDefault="00452B58" w:rsidP="00D902A9">
      <w:pPr>
        <w:tabs>
          <w:tab w:val="left" w:pos="1840"/>
        </w:tabs>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noProof/>
          <w:color w:val="auto"/>
          <w:kern w:val="0"/>
          <w:sz w:val="22"/>
          <w:szCs w:val="22"/>
        </w:rPr>
        <w:drawing>
          <wp:anchor distT="0" distB="0" distL="114300" distR="114300" simplePos="0" relativeHeight="251663360" behindDoc="0" locked="0" layoutInCell="1" allowOverlap="1" wp14:anchorId="523390C5" wp14:editId="1F45B879">
            <wp:simplePos x="0" y="0"/>
            <wp:positionH relativeFrom="column">
              <wp:posOffset>-78822</wp:posOffset>
            </wp:positionH>
            <wp:positionV relativeFrom="paragraph">
              <wp:posOffset>5971</wp:posOffset>
            </wp:positionV>
            <wp:extent cx="3395980" cy="638175"/>
            <wp:effectExtent l="0" t="0" r="0" b="9525"/>
            <wp:wrapThrough wrapText="bothSides">
              <wp:wrapPolygon edited="0">
                <wp:start x="6301" y="0"/>
                <wp:lineTo x="0" y="4513"/>
                <wp:lineTo x="0" y="19343"/>
                <wp:lineTo x="1091" y="21278"/>
                <wp:lineTo x="8724" y="21278"/>
                <wp:lineTo x="16963" y="20633"/>
                <wp:lineTo x="21447" y="16764"/>
                <wp:lineTo x="21447" y="7737"/>
                <wp:lineTo x="17327" y="4513"/>
                <wp:lineTo x="7391" y="0"/>
                <wp:lineTo x="6301" y="0"/>
              </wp:wrapPolygon>
            </wp:wrapThrough>
            <wp:docPr id="2761" name="Picture 2761" descr="Logo for the Australian Road Research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339598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02A9">
        <w:rPr>
          <w:rFonts w:ascii="Calibri" w:eastAsia="Calibri" w:hAnsi="Calibri" w:cs="Calibri"/>
          <w:color w:val="auto"/>
          <w:kern w:val="0"/>
          <w:sz w:val="22"/>
          <w:szCs w:val="22"/>
        </w:rPr>
        <w:tab/>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sectPr w:rsidR="00452B58" w:rsidRPr="00452B58" w:rsidSect="00452B58">
          <w:headerReference w:type="default" r:id="rId79"/>
          <w:pgSz w:w="11906" w:h="16838" w:code="9"/>
          <w:pgMar w:top="1134" w:right="1134" w:bottom="1134" w:left="1134" w:header="680" w:footer="284" w:gutter="0"/>
          <w:cols w:space="708"/>
          <w:docGrid w:linePitch="360"/>
        </w:sectPr>
      </w:pPr>
    </w:p>
    <w:p w:rsidR="00452B58" w:rsidRPr="00452B58" w:rsidRDefault="00452B58" w:rsidP="00F2517A">
      <w:pPr>
        <w:pStyle w:val="ARRBBaseHeadingnonTOC"/>
      </w:pPr>
      <w:bookmarkStart w:id="193" w:name="_Hlk137731813"/>
      <w:r w:rsidRPr="00452B58">
        <w:t>Version Control</w:t>
      </w:r>
    </w:p>
    <w:tbl>
      <w:tblPr>
        <w:tblStyle w:val="ARRBTableStyle"/>
        <w:tblW w:w="9638" w:type="dxa"/>
        <w:tblLayout w:type="fixed"/>
        <w:tblLook w:val="04A0" w:firstRow="1" w:lastRow="0" w:firstColumn="1" w:lastColumn="0" w:noHBand="0" w:noVBand="1"/>
      </w:tblPr>
      <w:tblGrid>
        <w:gridCol w:w="1560"/>
        <w:gridCol w:w="1554"/>
        <w:gridCol w:w="2415"/>
        <w:gridCol w:w="4109"/>
      </w:tblGrid>
      <w:tr w:rsidR="00452B58" w:rsidRPr="00452B58" w:rsidTr="00452B58">
        <w:trPr>
          <w:cnfStyle w:val="100000000000" w:firstRow="1" w:lastRow="0" w:firstColumn="0" w:lastColumn="0" w:oddVBand="0" w:evenVBand="0" w:oddHBand="0" w:evenHBand="0" w:firstRowFirstColumn="0" w:firstRowLastColumn="0" w:lastRowFirstColumn="0" w:lastRowLastColumn="0"/>
        </w:trPr>
        <w:tc>
          <w:tcPr>
            <w:tcW w:w="1560" w:type="dxa"/>
          </w:tcPr>
          <w:p w:rsidR="00452B58" w:rsidRPr="00452B58" w:rsidRDefault="00452B58" w:rsidP="00452B58">
            <w:pPr>
              <w:keepNext/>
              <w:suppressAutoHyphens w:val="0"/>
              <w:spacing w:before="40" w:after="40"/>
              <w:rPr>
                <w:rFonts w:eastAsia="Calibri"/>
                <w:kern w:val="0"/>
                <w:szCs w:val="22"/>
              </w:rPr>
            </w:pPr>
            <w:bookmarkStart w:id="194" w:name="_Hlk137718816"/>
            <w:r w:rsidRPr="00452B58">
              <w:rPr>
                <w:rFonts w:eastAsia="Calibri"/>
                <w:kern w:val="0"/>
                <w:szCs w:val="22"/>
              </w:rPr>
              <w:t>Report version no.</w:t>
            </w:r>
          </w:p>
        </w:tc>
        <w:tc>
          <w:tcPr>
            <w:tcW w:w="1554" w:type="dxa"/>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Date</w:t>
            </w:r>
          </w:p>
        </w:tc>
        <w:tc>
          <w:tcPr>
            <w:tcW w:w="2415" w:type="dxa"/>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Released to client by</w:t>
            </w:r>
          </w:p>
        </w:tc>
        <w:tc>
          <w:tcPr>
            <w:tcW w:w="4109" w:type="dxa"/>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Nature of revision</w:t>
            </w:r>
          </w:p>
        </w:tc>
      </w:tr>
      <w:tr w:rsidR="00452B58" w:rsidRPr="00452B58" w:rsidTr="00452B58">
        <w:tc>
          <w:tcPr>
            <w:tcW w:w="1560"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1554"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21 June 2022</w:t>
            </w:r>
          </w:p>
        </w:tc>
        <w:tc>
          <w:tcPr>
            <w:tcW w:w="2415"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Draft Report for Review</w:t>
            </w:r>
          </w:p>
        </w:tc>
      </w:tr>
      <w:tr w:rsidR="00452B58" w:rsidRPr="00452B58" w:rsidTr="00452B58">
        <w:tc>
          <w:tcPr>
            <w:tcW w:w="1560"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1554"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27 June 2022</w:t>
            </w:r>
          </w:p>
        </w:tc>
        <w:tc>
          <w:tcPr>
            <w:tcW w:w="2415"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Draft report with comments addressed</w:t>
            </w:r>
          </w:p>
        </w:tc>
      </w:tr>
      <w:tr w:rsidR="00452B58" w:rsidRPr="00452B58" w:rsidTr="00452B58">
        <w:tc>
          <w:tcPr>
            <w:tcW w:w="1560"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1554"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28 June 2022</w:t>
            </w:r>
          </w:p>
        </w:tc>
        <w:tc>
          <w:tcPr>
            <w:tcW w:w="2415"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Draft reformatted</w:t>
            </w:r>
          </w:p>
        </w:tc>
      </w:tr>
      <w:tr w:rsidR="00452B58" w:rsidRPr="00452B58" w:rsidTr="00452B58">
        <w:tc>
          <w:tcPr>
            <w:tcW w:w="1560"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1554"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30 June 2022</w:t>
            </w:r>
          </w:p>
        </w:tc>
        <w:tc>
          <w:tcPr>
            <w:tcW w:w="2415"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Provisional Final Report</w:t>
            </w:r>
          </w:p>
        </w:tc>
      </w:tr>
      <w:tr w:rsidR="00452B58" w:rsidRPr="00452B58" w:rsidTr="00452B58">
        <w:tc>
          <w:tcPr>
            <w:tcW w:w="1560"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5</w:t>
            </w:r>
          </w:p>
        </w:tc>
        <w:tc>
          <w:tcPr>
            <w:tcW w:w="1554"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11 July 2022</w:t>
            </w:r>
          </w:p>
        </w:tc>
        <w:tc>
          <w:tcPr>
            <w:tcW w:w="2415"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Revised Report 1</w:t>
            </w:r>
          </w:p>
        </w:tc>
      </w:tr>
      <w:tr w:rsidR="00452B58" w:rsidRPr="00452B58" w:rsidTr="00452B58">
        <w:tc>
          <w:tcPr>
            <w:tcW w:w="1560"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6</w:t>
            </w:r>
          </w:p>
        </w:tc>
        <w:tc>
          <w:tcPr>
            <w:tcW w:w="1554"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 July 2022</w:t>
            </w:r>
          </w:p>
        </w:tc>
        <w:tc>
          <w:tcPr>
            <w:tcW w:w="2415"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Revised Report 2</w:t>
            </w:r>
          </w:p>
        </w:tc>
      </w:tr>
      <w:tr w:rsidR="00452B58" w:rsidRPr="00452B58" w:rsidTr="00452B58">
        <w:tc>
          <w:tcPr>
            <w:tcW w:w="1560"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7</w:t>
            </w:r>
          </w:p>
        </w:tc>
        <w:tc>
          <w:tcPr>
            <w:tcW w:w="1554"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8 August 2022</w:t>
            </w:r>
          </w:p>
        </w:tc>
        <w:tc>
          <w:tcPr>
            <w:tcW w:w="2415"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Revised Report 3</w:t>
            </w:r>
          </w:p>
        </w:tc>
      </w:tr>
      <w:tr w:rsidR="00452B58" w:rsidRPr="00452B58" w:rsidTr="00452B58">
        <w:tc>
          <w:tcPr>
            <w:tcW w:w="1560"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w:t>
            </w:r>
          </w:p>
        </w:tc>
        <w:tc>
          <w:tcPr>
            <w:tcW w:w="1554"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12 August 2022</w:t>
            </w:r>
          </w:p>
        </w:tc>
        <w:tc>
          <w:tcPr>
            <w:tcW w:w="2415"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Revised Report 4 - Content Restructure</w:t>
            </w:r>
          </w:p>
        </w:tc>
      </w:tr>
      <w:tr w:rsidR="00452B58" w:rsidRPr="00452B58" w:rsidTr="00452B58">
        <w:tc>
          <w:tcPr>
            <w:tcW w:w="1560"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w:t>
            </w:r>
          </w:p>
        </w:tc>
        <w:tc>
          <w:tcPr>
            <w:tcW w:w="1554"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19 August 2022</w:t>
            </w:r>
          </w:p>
        </w:tc>
        <w:tc>
          <w:tcPr>
            <w:tcW w:w="2415"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Revised Report 5</w:t>
            </w:r>
          </w:p>
        </w:tc>
      </w:tr>
      <w:tr w:rsidR="00452B58" w:rsidRPr="00452B58" w:rsidTr="00452B58">
        <w:tc>
          <w:tcPr>
            <w:tcW w:w="1560"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10</w:t>
            </w:r>
          </w:p>
        </w:tc>
        <w:tc>
          <w:tcPr>
            <w:tcW w:w="1554"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5 September 2022</w:t>
            </w:r>
          </w:p>
        </w:tc>
        <w:tc>
          <w:tcPr>
            <w:tcW w:w="2415"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Final Report</w:t>
            </w:r>
          </w:p>
        </w:tc>
      </w:tr>
      <w:tr w:rsidR="00452B58" w:rsidRPr="00452B58" w:rsidTr="00452B58">
        <w:tc>
          <w:tcPr>
            <w:tcW w:w="1560"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11</w:t>
            </w:r>
          </w:p>
        </w:tc>
        <w:tc>
          <w:tcPr>
            <w:tcW w:w="1554"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27 September 2022</w:t>
            </w:r>
          </w:p>
        </w:tc>
        <w:tc>
          <w:tcPr>
            <w:tcW w:w="2415"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Final Report with Dept. Analysis</w:t>
            </w:r>
          </w:p>
        </w:tc>
      </w:tr>
      <w:tr w:rsidR="00452B58" w:rsidRPr="00452B58" w:rsidTr="00452B58">
        <w:tc>
          <w:tcPr>
            <w:tcW w:w="1560"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12</w:t>
            </w:r>
          </w:p>
        </w:tc>
        <w:tc>
          <w:tcPr>
            <w:tcW w:w="1554"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 October 2022</w:t>
            </w:r>
          </w:p>
        </w:tc>
        <w:tc>
          <w:tcPr>
            <w:tcW w:w="2415"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Ulysses Ai</w:t>
            </w:r>
          </w:p>
        </w:tc>
        <w:tc>
          <w:tcPr>
            <w:tcW w:w="4109"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Final Report with further adjustments</w:t>
            </w:r>
          </w:p>
        </w:tc>
      </w:tr>
      <w:bookmarkEnd w:id="194"/>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120" w:after="60" w:line="288" w:lineRule="auto"/>
        <w:rPr>
          <w:rFonts w:ascii="Calibri" w:eastAsia="Calibri" w:hAnsi="Calibri" w:cs="Calibri"/>
          <w:color w:val="auto"/>
          <w:kern w:val="0"/>
          <w:sz w:val="22"/>
          <w:szCs w:val="22"/>
        </w:rPr>
      </w:pPr>
      <w:r w:rsidRPr="00452B58">
        <w:rPr>
          <w:rFonts w:ascii="Calibri" w:eastAsia="Calibri" w:hAnsi="Calibri" w:cs="Times New Roman"/>
          <w:color w:val="auto"/>
          <w:kern w:val="0"/>
          <w:sz w:val="22"/>
          <w:szCs w:val="22"/>
        </w:rPr>
        <w:br w:type="page"/>
      </w:r>
    </w:p>
    <w:p w:rsidR="00452B58" w:rsidRPr="00452B58" w:rsidRDefault="00452B58" w:rsidP="00F2517A">
      <w:pPr>
        <w:pStyle w:val="ARRBBaseHeadingnonTOC"/>
      </w:pPr>
      <w:r w:rsidRPr="00452B58">
        <w:t>Summary</w:t>
      </w:r>
    </w:p>
    <w:tbl>
      <w:tblPr>
        <w:tblStyle w:val="TableGrid120"/>
        <w:tblpPr w:topFromText="284" w:tblpYSpec="bottom"/>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0" w:type="dxa"/>
          <w:right w:w="0" w:type="dxa"/>
        </w:tblCellMar>
        <w:tblLook w:val="04A0" w:firstRow="1" w:lastRow="0" w:firstColumn="1" w:lastColumn="0" w:noHBand="0" w:noVBand="1"/>
      </w:tblPr>
      <w:tblGrid>
        <w:gridCol w:w="9638"/>
      </w:tblGrid>
      <w:tr w:rsidR="00452B58" w:rsidRPr="00452B58" w:rsidTr="00452B58">
        <w:tc>
          <w:tcPr>
            <w:tcW w:w="5000" w:type="pct"/>
            <w:vAlign w:val="bottom"/>
          </w:tcPr>
          <w:p w:rsidR="00452B58" w:rsidRPr="00452B58" w:rsidRDefault="00452B58" w:rsidP="00452B58">
            <w:pPr>
              <w:keepNext/>
              <w:suppressAutoHyphens w:val="0"/>
              <w:spacing w:before="0" w:after="120"/>
              <w:outlineLvl w:val="0"/>
              <w:rPr>
                <w:rFonts w:ascii="Arial Bold" w:eastAsia="Calibri" w:hAnsi="Arial Bold" w:cs="Times New Roman"/>
                <w:color w:val="00A1DE"/>
                <w:kern w:val="0"/>
                <w:sz w:val="28"/>
                <w:szCs w:val="22"/>
              </w:rPr>
            </w:pPr>
            <w:r w:rsidRPr="00452B58">
              <w:rPr>
                <w:rFonts w:ascii="Arial Bold" w:eastAsia="Calibri" w:hAnsi="Arial Bold" w:cs="Times New Roman"/>
                <w:color w:val="00A1DE"/>
                <w:kern w:val="0"/>
                <w:sz w:val="28"/>
                <w:szCs w:val="22"/>
              </w:rPr>
              <w:t>Acknowledgements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ARRB would like to acknowledge the Truck Industry Council (TIC), the Australian Trucking Association (ATA), Heavy Vehicle Industry Australia (HVIA), and 3M for their assistance in providing data for this analysis.</w:t>
            </w:r>
          </w:p>
        </w:tc>
      </w:tr>
      <w:tr w:rsidR="00452B58" w:rsidRPr="00452B58" w:rsidTr="00452B58">
        <w:tc>
          <w:tcPr>
            <w:tcW w:w="5000" w:type="pct"/>
            <w:vAlign w:val="bottom"/>
          </w:tcPr>
          <w:p w:rsidR="00452B58" w:rsidRPr="00452B58" w:rsidRDefault="00452B58" w:rsidP="00452B58">
            <w:pPr>
              <w:suppressAutoHyphens w:val="0"/>
              <w:spacing w:before="0"/>
              <w:jc w:val="center"/>
              <w:rPr>
                <w:rFonts w:ascii="Arial" w:eastAsia="Calibri" w:hAnsi="Arial" w:cs="Times New Roman"/>
                <w:color w:val="8B8D8E"/>
                <w:kern w:val="0"/>
                <w:sz w:val="14"/>
                <w:szCs w:val="22"/>
              </w:rPr>
            </w:pPr>
            <w:r w:rsidRPr="00452B58">
              <w:rPr>
                <w:rFonts w:ascii="Arial" w:eastAsia="Calibri" w:hAnsi="Arial" w:cs="Times New Roman"/>
                <w:color w:val="8B8D8E"/>
                <w:kern w:val="0"/>
                <w:sz w:val="14"/>
                <w:szCs w:val="22"/>
              </w:rPr>
              <w:t>Although the report is believed to be correct at the time of publication, the Australian Road Research Board, to the extent lawful, excludes all liability for loss (whether arising under contract, tort, statute or otherwise) arising from the contents of the report or from its use.  Where such liability cannot be excluded, it is reduced to the full extent lawful.  Without limiting the foregoing, people should apply their own skill and judgement when using the information contained in the report.</w:t>
            </w:r>
          </w:p>
          <w:p w:rsidR="00452B58" w:rsidRPr="00452B58" w:rsidRDefault="00452B58" w:rsidP="00452B58">
            <w:pPr>
              <w:suppressAutoHyphens w:val="0"/>
              <w:spacing w:before="0"/>
              <w:jc w:val="center"/>
              <w:rPr>
                <w:rFonts w:ascii="Arial" w:eastAsia="Calibri" w:hAnsi="Arial" w:cs="Times New Roman"/>
                <w:color w:val="8B8D8E"/>
                <w:kern w:val="0"/>
                <w:sz w:val="14"/>
                <w:szCs w:val="22"/>
              </w:rPr>
            </w:pPr>
          </w:p>
        </w:tc>
      </w:tr>
      <w:tr w:rsidR="00452B58" w:rsidRPr="00452B58" w:rsidTr="00452B58">
        <w:tc>
          <w:tcPr>
            <w:tcW w:w="5000" w:type="pct"/>
            <w:vAlign w:val="bottom"/>
          </w:tcPr>
          <w:p w:rsidR="00452B58" w:rsidRPr="00452B58" w:rsidRDefault="00452B58" w:rsidP="00452B58">
            <w:pPr>
              <w:suppressAutoHyphens w:val="0"/>
              <w:spacing w:before="0" w:after="120"/>
              <w:jc w:val="center"/>
              <w:rPr>
                <w:rFonts w:ascii="Arial" w:eastAsia="Calibri" w:hAnsi="Arial" w:cs="Times New Roman"/>
                <w:color w:val="00A1DE"/>
                <w:kern w:val="0"/>
                <w:sz w:val="14"/>
                <w:szCs w:val="22"/>
              </w:rPr>
            </w:pPr>
            <w:r w:rsidRPr="00452B58">
              <w:rPr>
                <w:rFonts w:ascii="Arial" w:eastAsia="Calibri" w:hAnsi="Arial" w:cs="Times New Roman"/>
                <w:color w:val="00A1DE"/>
                <w:kern w:val="0"/>
                <w:sz w:val="14"/>
                <w:szCs w:val="22"/>
              </w:rPr>
              <w:t>ARRB – YOUR NATIONAL TRANSPORT RESEARCH ORGANISATION</w:t>
            </w:r>
          </w:p>
          <w:p w:rsidR="00452B58" w:rsidRPr="00452B58" w:rsidRDefault="00452B58" w:rsidP="00452B58">
            <w:pPr>
              <w:suppressAutoHyphens w:val="0"/>
              <w:spacing w:before="0"/>
              <w:jc w:val="center"/>
              <w:rPr>
                <w:rFonts w:ascii="Arial" w:eastAsia="Calibri" w:hAnsi="Arial" w:cs="Times New Roman"/>
                <w:color w:val="8B8D8E"/>
                <w:kern w:val="0"/>
                <w:sz w:val="14"/>
                <w:szCs w:val="22"/>
              </w:rPr>
            </w:pPr>
            <w:r w:rsidRPr="00452B58">
              <w:rPr>
                <w:rFonts w:ascii="Arial" w:eastAsia="Calibri" w:hAnsi="Arial" w:cs="Times New Roman"/>
                <w:color w:val="8B8D8E"/>
                <w:kern w:val="0"/>
                <w:sz w:val="14"/>
                <w:szCs w:val="22"/>
              </w:rPr>
              <w:t>ABN 68 004 620 651</w:t>
            </w:r>
          </w:p>
          <w:p w:rsidR="00452B58" w:rsidRPr="00452B58" w:rsidRDefault="00452B58" w:rsidP="00452B58">
            <w:pPr>
              <w:suppressAutoHyphens w:val="0"/>
              <w:spacing w:before="0"/>
              <w:jc w:val="center"/>
              <w:rPr>
                <w:rFonts w:ascii="Arial" w:eastAsia="Calibri" w:hAnsi="Arial" w:cs="Times New Roman"/>
                <w:color w:val="8B8D8E"/>
                <w:kern w:val="0"/>
                <w:sz w:val="14"/>
                <w:szCs w:val="22"/>
              </w:rPr>
            </w:pPr>
            <w:r w:rsidRPr="00452B58">
              <w:rPr>
                <w:rFonts w:ascii="Arial" w:eastAsia="Calibri" w:hAnsi="Arial" w:cs="Times New Roman"/>
                <w:color w:val="8B8D8E"/>
                <w:kern w:val="0"/>
                <w:sz w:val="14"/>
                <w:szCs w:val="22"/>
              </w:rPr>
              <w:t>National Transport Research Centre and Head Office: 80a Turner St, Port Melbourne, 3207 VIC, Australia</w:t>
            </w:r>
          </w:p>
          <w:p w:rsidR="00452B58" w:rsidRPr="00452B58" w:rsidRDefault="00452B58" w:rsidP="00452B58">
            <w:pPr>
              <w:suppressAutoHyphens w:val="0"/>
              <w:spacing w:before="0"/>
              <w:jc w:val="center"/>
              <w:rPr>
                <w:rFonts w:ascii="Arial" w:eastAsia="Calibri" w:hAnsi="Arial" w:cs="Times New Roman"/>
                <w:color w:val="8B8D8E"/>
                <w:kern w:val="0"/>
                <w:sz w:val="14"/>
                <w:szCs w:val="22"/>
              </w:rPr>
            </w:pPr>
            <w:r w:rsidRPr="00452B58">
              <w:rPr>
                <w:rFonts w:ascii="Arial" w:eastAsia="Calibri" w:hAnsi="Arial" w:cs="Times New Roman"/>
                <w:color w:val="8B8D8E"/>
                <w:kern w:val="0"/>
                <w:sz w:val="14"/>
                <w:szCs w:val="22"/>
              </w:rPr>
              <w:t>With offices in Brisbane, Sydney, Adelaide, Perth.</w:t>
            </w:r>
          </w:p>
          <w:p w:rsidR="00452B58" w:rsidRPr="00452B58" w:rsidRDefault="00452B58" w:rsidP="00452B58">
            <w:pPr>
              <w:suppressAutoHyphens w:val="0"/>
              <w:spacing w:before="0"/>
              <w:jc w:val="center"/>
              <w:rPr>
                <w:rFonts w:ascii="Arial" w:eastAsia="Calibri" w:hAnsi="Arial" w:cs="Times New Roman"/>
                <w:color w:val="8B8D8E"/>
                <w:kern w:val="0"/>
                <w:sz w:val="14"/>
                <w:szCs w:val="22"/>
              </w:rPr>
            </w:pPr>
            <w:r w:rsidRPr="00452B58">
              <w:rPr>
                <w:rFonts w:ascii="Arial" w:eastAsia="Calibri" w:hAnsi="Arial" w:cs="Times New Roman"/>
                <w:color w:val="8B8D8E"/>
                <w:kern w:val="0"/>
                <w:sz w:val="14"/>
                <w:szCs w:val="22"/>
              </w:rPr>
              <w:t>arrb.com.au</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project undertook an analysis of the costs and benefits of four proposed options for amendments to Australian Design Rules (ADR) allowing for wider freight vehicles (&gt; 2.50 m) accompanied by the mandating of safety feature technologies for these wider models.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Principles adopted in this assessment follow the guidance provided in the following documents:</w:t>
      </w:r>
    </w:p>
    <w:p w:rsidR="00452B58" w:rsidRPr="00452B58" w:rsidRDefault="00452B58" w:rsidP="00452B58">
      <w:pPr>
        <w:pStyle w:val="ARRBBulletLevel1"/>
      </w:pPr>
      <w:r w:rsidRPr="00452B58">
        <w:rPr>
          <w:i/>
          <w:iCs/>
        </w:rPr>
        <w:t>O7 Cost Benefit Analysis of Transport Regulatory Initiatives</w:t>
      </w:r>
      <w:r w:rsidRPr="00452B58">
        <w:t xml:space="preserve"> – a guideline for economic evaluations of regulatory changes in the transport sector issued by the Australian Transport Assessment and Planning (ATAP) in October 2020. </w:t>
      </w:r>
    </w:p>
    <w:p w:rsidR="00452B58" w:rsidRPr="00452B58" w:rsidRDefault="00452B58" w:rsidP="00452B58">
      <w:pPr>
        <w:pStyle w:val="ARRBBulletLevel1"/>
      </w:pPr>
      <w:r w:rsidRPr="00452B58">
        <w:t>OBPR Guidelines (2020) in relation to broader principles of undertaking BCAs for the purposes of supporting Regulatory Impact Statements (RIS).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BCA is based on the incremental changes in costs and benefits caused by the proposed ADR changes, which are described in two regulatory packages: </w:t>
      </w:r>
    </w:p>
    <w:p w:rsidR="00452B58" w:rsidRPr="00452B58" w:rsidRDefault="00452B58" w:rsidP="00452B58">
      <w:pPr>
        <w:pStyle w:val="ARRBBulletLevel1"/>
      </w:pPr>
      <w:r w:rsidRPr="00452B58">
        <w:rPr>
          <w:b/>
        </w:rPr>
        <w:t>Regulatory Package 2</w:t>
      </w:r>
      <w:r w:rsidRPr="00452B58">
        <w:t xml:space="preserve"> (Safer Freight Vehicles Amendment No 2, 2021) includes both new definitions and amendments to existing definitions related to determining vehicle dimensions when particular safety features that protrude from the body of the vehicle are installed. The effect of this regulatory package relevant to this analysis is to exclude these devices from the measurement of the vehicle width. </w:t>
      </w:r>
    </w:p>
    <w:p w:rsidR="00452B58" w:rsidRPr="00452B58" w:rsidRDefault="00452B58" w:rsidP="00452B58">
      <w:pPr>
        <w:pStyle w:val="ARRBBulletLevel1"/>
      </w:pPr>
      <w:r w:rsidRPr="00452B58">
        <w:rPr>
          <w:b/>
        </w:rPr>
        <w:t>Regulatory Package 3</w:t>
      </w:r>
      <w:r w:rsidRPr="00452B58">
        <w:t xml:space="preserve"> (Safer Freight Vehicles Amendment No. 3 2021) includes amendments to relax the current 2.50 m width requirement to 2.55 or 2.60 m for both heavy vehicles (&gt; 4.5 tonnes tare weight) and heavy trailers (&gt; 4.5 tonnes tare weight). </w:t>
      </w:r>
    </w:p>
    <w:p w:rsidR="00452B58" w:rsidRPr="00452B58" w:rsidRDefault="00452B58" w:rsidP="00452B58">
      <w:pPr>
        <w:pStyle w:val="ARRBBulletLevel1"/>
      </w:pPr>
      <w:r w:rsidRPr="00452B58">
        <w:t>The effect of both proposed regulatory packages is to allow heavy vehicles and trailers to increase from 2.50 m to 2.55 or 2.6 m if they are fitted with a set of mandatory safety features.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options for the amendments are:</w:t>
      </w:r>
    </w:p>
    <w:p w:rsidR="00452B58" w:rsidRPr="00452B58" w:rsidRDefault="00452B58" w:rsidP="00452B58">
      <w:pPr>
        <w:pStyle w:val="ARRBBulletLevel1"/>
      </w:pPr>
      <w:r w:rsidRPr="00452B58">
        <w:rPr>
          <w:b/>
          <w:bCs/>
          <w:color w:val="00A1DE"/>
        </w:rPr>
        <w:t>Option 1</w:t>
      </w:r>
      <w:r w:rsidRPr="00452B58">
        <w:rPr>
          <w:color w:val="00A1DE"/>
        </w:rPr>
        <w:tab/>
      </w:r>
      <w:r w:rsidRPr="00452B58">
        <w:t>Width limit of 2.55 m for goods vehicles and trailers over 4.5 tonnes</w:t>
      </w:r>
    </w:p>
    <w:p w:rsidR="00452B58" w:rsidRPr="00452B58" w:rsidRDefault="00452B58" w:rsidP="00452B58">
      <w:pPr>
        <w:pStyle w:val="ARRBBulletLevel1"/>
      </w:pPr>
      <w:r w:rsidRPr="00452B58">
        <w:rPr>
          <w:b/>
          <w:bCs/>
          <w:color w:val="00A1DE"/>
        </w:rPr>
        <w:t>Option 2</w:t>
      </w:r>
      <w:r w:rsidRPr="00452B58">
        <w:rPr>
          <w:color w:val="00A1DE"/>
        </w:rPr>
        <w:tab/>
      </w:r>
      <w:r w:rsidRPr="00452B58">
        <w:t>Width limit of 2.55 m for goods vehicles over 4.5 tonnes only</w:t>
      </w:r>
    </w:p>
    <w:p w:rsidR="00452B58" w:rsidRPr="00452B58" w:rsidRDefault="00452B58" w:rsidP="00452B58">
      <w:pPr>
        <w:pStyle w:val="ARRBBulletLevel1"/>
      </w:pPr>
      <w:r w:rsidRPr="00452B58">
        <w:rPr>
          <w:b/>
          <w:bCs/>
          <w:color w:val="00A1DE"/>
        </w:rPr>
        <w:t>Option 3</w:t>
      </w:r>
      <w:r w:rsidRPr="00452B58">
        <w:rPr>
          <w:color w:val="00A1DE"/>
        </w:rPr>
        <w:tab/>
      </w:r>
      <w:r w:rsidRPr="00452B58">
        <w:t>Width limit of 2.60 m for goods vehicles and trailers over 4.5 tonnes</w:t>
      </w:r>
    </w:p>
    <w:p w:rsidR="00452B58" w:rsidRPr="00452B58" w:rsidRDefault="00452B58" w:rsidP="00452B58">
      <w:pPr>
        <w:pStyle w:val="ARRBBulletLevel1"/>
      </w:pPr>
      <w:r w:rsidRPr="00452B58">
        <w:rPr>
          <w:b/>
          <w:bCs/>
          <w:color w:val="00A1DE"/>
        </w:rPr>
        <w:t>Option 4</w:t>
      </w:r>
      <w:r w:rsidRPr="00452B58">
        <w:rPr>
          <w:color w:val="00A1DE"/>
        </w:rPr>
        <w:tab/>
      </w:r>
      <w:r w:rsidRPr="00452B58">
        <w:t>Width limit of 2.60 m for goods vehicles over 4.5 tonnes only.</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These four BCA analyses are to include seven mandated safety features:</w:t>
      </w:r>
    </w:p>
    <w:p w:rsidR="00452B58" w:rsidRPr="00452B58" w:rsidRDefault="00452B58" w:rsidP="00452B58">
      <w:pPr>
        <w:pStyle w:val="ARRBBulletLevel1"/>
      </w:pPr>
      <w:r w:rsidRPr="00452B58">
        <w:rPr>
          <w:b/>
          <w:bCs/>
          <w:color w:val="00A1DE"/>
        </w:rPr>
        <w:t>Devices for indirect vision</w:t>
      </w:r>
      <w:r w:rsidRPr="00452B58">
        <w:rPr>
          <w:color w:val="00A1DE"/>
        </w:rPr>
        <w:t xml:space="preserve"> – </w:t>
      </w:r>
      <w:r w:rsidRPr="00452B58">
        <w:t>Mirrors and/or camera systems designed to increase a driver’s field of view.</w:t>
      </w:r>
    </w:p>
    <w:p w:rsidR="00452B58" w:rsidRPr="00452B58" w:rsidRDefault="00452B58" w:rsidP="00452B58">
      <w:pPr>
        <w:pStyle w:val="ARRBBulletLevel1"/>
      </w:pPr>
      <w:r w:rsidRPr="00452B58">
        <w:rPr>
          <w:b/>
          <w:bCs/>
          <w:color w:val="00A1DE"/>
        </w:rPr>
        <w:t>Commercial vehicle brake systems</w:t>
      </w:r>
      <w:r w:rsidRPr="00452B58">
        <w:rPr>
          <w:color w:val="00A1DE"/>
        </w:rPr>
        <w:t xml:space="preserve"> – </w:t>
      </w:r>
      <w:r w:rsidRPr="00452B58">
        <w:t xml:space="preserve">Automated systems to detect unsafe turning performance and apply braking. </w:t>
      </w:r>
    </w:p>
    <w:p w:rsidR="00452B58" w:rsidRPr="00452B58" w:rsidRDefault="00452B58" w:rsidP="00452B58">
      <w:pPr>
        <w:pStyle w:val="ARRBBulletLevel1"/>
      </w:pPr>
      <w:r w:rsidRPr="00452B58">
        <w:rPr>
          <w:b/>
          <w:bCs/>
          <w:color w:val="00A1DE"/>
        </w:rPr>
        <w:t>Advanced emergency braking systems</w:t>
      </w:r>
      <w:r w:rsidRPr="00452B58">
        <w:rPr>
          <w:color w:val="00A1DE"/>
        </w:rPr>
        <w:t xml:space="preserve"> – </w:t>
      </w:r>
      <w:r w:rsidRPr="00452B58">
        <w:t>Automated systems to apply braking when risk of a forward collision is detected.</w:t>
      </w:r>
    </w:p>
    <w:p w:rsidR="00452B58" w:rsidRPr="00452B58" w:rsidRDefault="00452B58" w:rsidP="00452B58">
      <w:pPr>
        <w:pStyle w:val="ARRBBulletLevel1"/>
      </w:pPr>
      <w:r w:rsidRPr="00452B58">
        <w:rPr>
          <w:b/>
          <w:bCs/>
          <w:color w:val="00A1DE"/>
        </w:rPr>
        <w:t>Lane departure warning systems</w:t>
      </w:r>
      <w:r w:rsidRPr="00452B58">
        <w:rPr>
          <w:color w:val="00A1DE"/>
        </w:rPr>
        <w:t xml:space="preserve"> – </w:t>
      </w:r>
      <w:r w:rsidRPr="00452B58">
        <w:t>Alert systems to inform a driver when the vehicle is drifting out of the marked lane.</w:t>
      </w:r>
    </w:p>
    <w:p w:rsidR="00452B58" w:rsidRPr="00452B58" w:rsidRDefault="00452B58" w:rsidP="00452B58">
      <w:pPr>
        <w:pStyle w:val="ARRBBulletLevel1"/>
      </w:pPr>
      <w:r w:rsidRPr="00452B58">
        <w:rPr>
          <w:b/>
          <w:bCs/>
          <w:color w:val="00A1DE"/>
        </w:rPr>
        <w:t>Blind spot information systems</w:t>
      </w:r>
      <w:r w:rsidRPr="00452B58">
        <w:rPr>
          <w:color w:val="00A1DE"/>
        </w:rPr>
        <w:t xml:space="preserve"> – </w:t>
      </w:r>
      <w:r w:rsidRPr="00452B58">
        <w:t>Detection and alert systems for areas outside of the driver’s field on view.</w:t>
      </w:r>
    </w:p>
    <w:p w:rsidR="00452B58" w:rsidRPr="00452B58" w:rsidRDefault="00452B58" w:rsidP="00452B58">
      <w:pPr>
        <w:pStyle w:val="ARRBBulletLevel1"/>
      </w:pPr>
      <w:r w:rsidRPr="00452B58">
        <w:rPr>
          <w:b/>
          <w:bCs/>
          <w:color w:val="00A1DE"/>
        </w:rPr>
        <w:t>Side underrun protection</w:t>
      </w:r>
      <w:r w:rsidRPr="00452B58">
        <w:rPr>
          <w:color w:val="00A1DE"/>
        </w:rPr>
        <w:t xml:space="preserve"> – </w:t>
      </w:r>
      <w:r w:rsidRPr="00452B58">
        <w:t>Physical barriers to prevent motorcyclists/cyclists/pedestrians falling under the vehicle or trailer.</w:t>
      </w:r>
    </w:p>
    <w:p w:rsidR="00452B58" w:rsidRPr="00452B58" w:rsidRDefault="00452B58" w:rsidP="00452B58">
      <w:pPr>
        <w:pStyle w:val="ARRBBulletLevel1"/>
      </w:pPr>
      <w:r w:rsidRPr="00452B58">
        <w:rPr>
          <w:b/>
          <w:bCs/>
          <w:color w:val="00A1DE"/>
        </w:rPr>
        <w:t>Conspicuity markings</w:t>
      </w:r>
      <w:r w:rsidRPr="00452B58">
        <w:rPr>
          <w:color w:val="00A1DE"/>
        </w:rPr>
        <w:t xml:space="preserve"> – </w:t>
      </w:r>
      <w:r w:rsidRPr="00452B58">
        <w:t>Reflective material designed to increase the visibility of the vehicle or trailer in low light conditions.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analysis period in all cases was for 40 years beginning in 2023, with a 15-year regulatory period. Vehicle life was assumed to be 25 years. </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195" w:name="_Toc117646431"/>
      <w:r w:rsidRPr="00452B58">
        <w:rPr>
          <w:rFonts w:ascii="Calibri" w:eastAsia="Calibri" w:hAnsi="Calibri" w:cs="Times New Roman"/>
          <w:b/>
          <w:bCs/>
          <w:color w:val="67696A"/>
          <w:kern w:val="0"/>
          <w:sz w:val="18"/>
          <w:szCs w:val="22"/>
        </w:rPr>
        <w:t>Figure S.</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Figure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1</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ab/>
        <w:t>Analysis period showing the fleet of vehicles in the analysis</w:t>
      </w:r>
      <w:bookmarkEnd w:id="195"/>
    </w:p>
    <w:p w:rsidR="00452B58" w:rsidRPr="00452B58" w:rsidRDefault="00452B58" w:rsidP="00452B58">
      <w:pPr>
        <w:suppressAutoHyphens w:val="0"/>
        <w:spacing w:before="0" w:after="0" w:line="288" w:lineRule="auto"/>
        <w:rPr>
          <w:rFonts w:ascii="Arial" w:eastAsia="Calibri" w:hAnsi="Arial" w:cs="Times New Roman"/>
          <w:color w:val="auto"/>
          <w:kern w:val="0"/>
          <w:sz w:val="18"/>
          <w:szCs w:val="22"/>
        </w:rPr>
      </w:pPr>
      <w:r w:rsidRPr="00452B58">
        <w:rPr>
          <w:rFonts w:ascii="Arial" w:eastAsia="Calibri" w:hAnsi="Arial" w:cs="Times New Roman"/>
          <w:noProof/>
          <w:color w:val="auto"/>
          <w:kern w:val="0"/>
          <w:sz w:val="18"/>
          <w:szCs w:val="22"/>
        </w:rPr>
        <w:drawing>
          <wp:inline distT="0" distB="0" distL="0" distR="0" wp14:anchorId="50C2CACE" wp14:editId="5BEB1A4D">
            <wp:extent cx="6120130" cy="2477876"/>
            <wp:effectExtent l="0" t="0" r="0" b="0"/>
            <wp:docPr id="2780" name="Picture 278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6120130" cy="2477876"/>
                    </a:xfrm>
                    <a:prstGeom prst="rect">
                      <a:avLst/>
                    </a:prstGeom>
                    <a:noFill/>
                    <a:ln>
                      <a:noFill/>
                    </a:ln>
                  </pic:spPr>
                </pic:pic>
              </a:graphicData>
            </a:graphic>
          </wp:inline>
        </w:drawing>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key benefits of the analysis included:</w:t>
      </w:r>
    </w:p>
    <w:p w:rsidR="00452B58" w:rsidRPr="00452B58" w:rsidRDefault="00452B58" w:rsidP="00452B58">
      <w:pPr>
        <w:pStyle w:val="ARRBBulletLevel1"/>
      </w:pPr>
      <w:r w:rsidRPr="00452B58">
        <w:t>overseas manufacturers no longer needing to adapt 2.50 m models for the Australian market</w:t>
      </w:r>
    </w:p>
    <w:p w:rsidR="00452B58" w:rsidRPr="00452B58" w:rsidRDefault="00452B58" w:rsidP="00452B58">
      <w:pPr>
        <w:pStyle w:val="ARRBBulletLevel1"/>
      </w:pPr>
      <w:r w:rsidRPr="00452B58">
        <w:t xml:space="preserve">productivity benefits conferred by: </w:t>
      </w:r>
    </w:p>
    <w:p w:rsidR="00452B58" w:rsidRPr="00452B58" w:rsidRDefault="00452B58" w:rsidP="00452B58">
      <w:pPr>
        <w:pStyle w:val="ARRBBulletLevel2"/>
      </w:pPr>
      <w:r w:rsidRPr="00452B58">
        <w:t>increased payload volume (where commodities are not already mass-limited)</w:t>
      </w:r>
    </w:p>
    <w:p w:rsidR="00452B58" w:rsidRPr="00452B58" w:rsidRDefault="00452B58" w:rsidP="00452B58">
      <w:pPr>
        <w:pStyle w:val="ARRBBulletLevel2"/>
      </w:pPr>
      <w:r w:rsidRPr="00452B58">
        <w:t>ease of loading/unloading</w:t>
      </w:r>
    </w:p>
    <w:p w:rsidR="00452B58" w:rsidRPr="00452B58" w:rsidRDefault="00452B58" w:rsidP="00452B58">
      <w:pPr>
        <w:pStyle w:val="ARRBBulletLevel2"/>
      </w:pPr>
      <w:r w:rsidRPr="00452B58">
        <w:t>thermal efficiency of refrigerated vehicles (leading to lower vehicle operating costs)</w:t>
      </w:r>
    </w:p>
    <w:p w:rsidR="00452B58" w:rsidRPr="00452B58" w:rsidRDefault="00452B58" w:rsidP="00452B58">
      <w:pPr>
        <w:pStyle w:val="ARRBBulletLevel1"/>
      </w:pPr>
      <w:r w:rsidRPr="00452B58">
        <w:t>reduced vehicle trips resulting in:</w:t>
      </w:r>
    </w:p>
    <w:p w:rsidR="00452B58" w:rsidRPr="00452B58" w:rsidRDefault="00452B58" w:rsidP="00452B58">
      <w:pPr>
        <w:pStyle w:val="ARRBBulletLevel2"/>
      </w:pPr>
      <w:r w:rsidRPr="00452B58">
        <w:t>reduced crash risk</w:t>
      </w:r>
    </w:p>
    <w:p w:rsidR="00452B58" w:rsidRPr="00452B58" w:rsidRDefault="00452B58" w:rsidP="00452B58">
      <w:pPr>
        <w:pStyle w:val="ARRBBulletLevel2"/>
      </w:pPr>
      <w:r w:rsidRPr="00452B58">
        <w:t>reduced greenhouse gas emissions</w:t>
      </w:r>
    </w:p>
    <w:p w:rsidR="00452B58" w:rsidRPr="00452B58" w:rsidRDefault="00452B58" w:rsidP="00452B58">
      <w:pPr>
        <w:pStyle w:val="ARRBBulletLevel2"/>
      </w:pPr>
      <w:r w:rsidRPr="00452B58">
        <w:t>reduced pavement maintenance</w:t>
      </w:r>
    </w:p>
    <w:p w:rsidR="00452B58" w:rsidRPr="00452B58" w:rsidRDefault="00452B58" w:rsidP="00452B58">
      <w:pPr>
        <w:pStyle w:val="ARRBBulletLevel1"/>
      </w:pPr>
      <w:r w:rsidRPr="00452B58">
        <w:t>reduced crash risk due to mandated safety features.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Key costs included:</w:t>
      </w:r>
    </w:p>
    <w:p w:rsidR="00452B58" w:rsidRPr="00452B58" w:rsidRDefault="00452B58" w:rsidP="00452B58">
      <w:pPr>
        <w:pStyle w:val="ARRBBulletLevel1"/>
      </w:pPr>
      <w:r w:rsidRPr="00452B58">
        <w:t>regulatory costs</w:t>
      </w:r>
    </w:p>
    <w:p w:rsidR="00452B58" w:rsidRPr="00452B58" w:rsidRDefault="00452B58" w:rsidP="00452B58">
      <w:pPr>
        <w:pStyle w:val="ARRBBulletLevel1"/>
      </w:pPr>
      <w:r w:rsidRPr="00452B58">
        <w:t>modification costs for local manufacturing industry</w:t>
      </w:r>
    </w:p>
    <w:p w:rsidR="00452B58" w:rsidRPr="00452B58" w:rsidRDefault="00452B58" w:rsidP="00452B58">
      <w:pPr>
        <w:pStyle w:val="ARRBBulletLevel1"/>
      </w:pPr>
      <w:r w:rsidRPr="00452B58">
        <w:t>safety feature fitment and maintenance costs</w:t>
      </w:r>
    </w:p>
    <w:p w:rsidR="00452B58" w:rsidRPr="00452B58" w:rsidRDefault="00452B58" w:rsidP="00452B58">
      <w:pPr>
        <w:pStyle w:val="ARRBBulletLevel1"/>
      </w:pPr>
      <w:r w:rsidRPr="00452B58">
        <w:t>voluntary infrastructure updates to increase safety margins for wider vehicles at intersections.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outcomes of the analysis showed a productivity benefit in all cases (Table S.1).</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196" w:name="_Toc117646405"/>
      <w:r w:rsidRPr="00452B58">
        <w:rPr>
          <w:rFonts w:ascii="Calibri" w:eastAsia="Calibri" w:hAnsi="Calibri" w:cs="Times New Roman"/>
          <w:b/>
          <w:bCs/>
          <w:color w:val="67696A"/>
          <w:kern w:val="0"/>
          <w:sz w:val="18"/>
          <w:szCs w:val="22"/>
        </w:rPr>
        <w:t>Table S.</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Table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1</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Vehicle widening options with mandated safety features</w:t>
      </w:r>
      <w:bookmarkEnd w:id="196"/>
    </w:p>
    <w:tbl>
      <w:tblPr>
        <w:tblStyle w:val="ARRBTableStyle"/>
        <w:tblW w:w="9638" w:type="dxa"/>
        <w:tblLook w:val="04A0" w:firstRow="1" w:lastRow="0" w:firstColumn="1" w:lastColumn="0" w:noHBand="0" w:noVBand="1"/>
      </w:tblPr>
      <w:tblGrid>
        <w:gridCol w:w="1553"/>
        <w:gridCol w:w="1998"/>
        <w:gridCol w:w="2091"/>
        <w:gridCol w:w="1998"/>
        <w:gridCol w:w="1998"/>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300"/>
        </w:trPr>
        <w:tc>
          <w:tcPr>
            <w:tcW w:w="1553" w:type="dxa"/>
            <w:noWrap/>
          </w:tcPr>
          <w:p w:rsidR="00452B58" w:rsidRPr="00452B58" w:rsidRDefault="00452B58" w:rsidP="00452B58">
            <w:pPr>
              <w:keepNext/>
              <w:suppressAutoHyphens w:val="0"/>
              <w:spacing w:before="40" w:after="40"/>
              <w:jc w:val="center"/>
              <w:rPr>
                <w:rFonts w:eastAsia="Calibri"/>
                <w:kern w:val="0"/>
                <w:szCs w:val="22"/>
                <w:lang w:eastAsia="en-AU"/>
              </w:rPr>
            </w:pPr>
          </w:p>
        </w:tc>
        <w:tc>
          <w:tcPr>
            <w:tcW w:w="1998" w:type="dxa"/>
            <w:noWrap/>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1</w:t>
            </w:r>
            <w:r w:rsidRPr="00452B58">
              <w:rPr>
                <w:rFonts w:eastAsia="Calibri"/>
                <w:kern w:val="0"/>
                <w:szCs w:val="22"/>
                <w:lang w:eastAsia="en-AU"/>
              </w:rPr>
              <w:br/>
              <w:t>2.55 m</w:t>
            </w:r>
            <w:r w:rsidRPr="00452B58">
              <w:rPr>
                <w:rFonts w:eastAsia="Calibri"/>
                <w:kern w:val="0"/>
                <w:szCs w:val="22"/>
                <w:lang w:eastAsia="en-AU"/>
              </w:rPr>
              <w:br/>
              <w:t>Vehicle and trailer</w:t>
            </w:r>
          </w:p>
        </w:tc>
        <w:tc>
          <w:tcPr>
            <w:tcW w:w="2091" w:type="dxa"/>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2</w:t>
            </w:r>
            <w:r w:rsidRPr="00452B58">
              <w:rPr>
                <w:rFonts w:eastAsia="Calibri"/>
                <w:kern w:val="0"/>
                <w:szCs w:val="22"/>
                <w:lang w:eastAsia="en-AU"/>
              </w:rPr>
              <w:br/>
              <w:t>2.55 m</w:t>
            </w:r>
            <w:r w:rsidRPr="00452B58">
              <w:rPr>
                <w:rFonts w:eastAsia="Calibri"/>
                <w:kern w:val="0"/>
                <w:szCs w:val="22"/>
                <w:lang w:eastAsia="en-AU"/>
              </w:rPr>
              <w:br/>
              <w:t>Vehicle only</w:t>
            </w:r>
          </w:p>
        </w:tc>
        <w:tc>
          <w:tcPr>
            <w:tcW w:w="1998" w:type="dxa"/>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3</w:t>
            </w:r>
            <w:r w:rsidRPr="00452B58">
              <w:rPr>
                <w:rFonts w:eastAsia="Calibri"/>
                <w:kern w:val="0"/>
                <w:szCs w:val="22"/>
                <w:lang w:eastAsia="en-AU"/>
              </w:rPr>
              <w:br/>
              <w:t>2.60 m</w:t>
            </w:r>
            <w:r w:rsidRPr="00452B58">
              <w:rPr>
                <w:rFonts w:eastAsia="Calibri"/>
                <w:kern w:val="0"/>
                <w:szCs w:val="22"/>
                <w:lang w:eastAsia="en-AU"/>
              </w:rPr>
              <w:br/>
              <w:t>Vehicle and trailer</w:t>
            </w:r>
          </w:p>
        </w:tc>
        <w:tc>
          <w:tcPr>
            <w:tcW w:w="1998" w:type="dxa"/>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4</w:t>
            </w:r>
            <w:r w:rsidRPr="00452B58">
              <w:rPr>
                <w:rFonts w:eastAsia="Calibri"/>
                <w:kern w:val="0"/>
                <w:szCs w:val="22"/>
                <w:lang w:eastAsia="en-AU"/>
              </w:rPr>
              <w:br/>
              <w:t>2.60 m</w:t>
            </w:r>
            <w:r w:rsidRPr="00452B58">
              <w:rPr>
                <w:rFonts w:eastAsia="Calibri"/>
                <w:kern w:val="0"/>
                <w:szCs w:val="22"/>
                <w:lang w:eastAsia="en-AU"/>
              </w:rPr>
              <w:br/>
              <w:t>Vehicle only</w:t>
            </w:r>
          </w:p>
        </w:tc>
      </w:tr>
      <w:tr w:rsidR="00452B58" w:rsidRPr="00452B58" w:rsidTr="00452B58">
        <w:trPr>
          <w:trHeight w:val="300"/>
        </w:trPr>
        <w:tc>
          <w:tcPr>
            <w:tcW w:w="1553" w:type="dxa"/>
            <w:noWrap/>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BCR</w:t>
            </w:r>
          </w:p>
        </w:tc>
        <w:tc>
          <w:tcPr>
            <w:tcW w:w="1998" w:type="dxa"/>
            <w:noWrap/>
          </w:tcPr>
          <w:p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3.0</w:t>
            </w:r>
          </w:p>
        </w:tc>
        <w:tc>
          <w:tcPr>
            <w:tcW w:w="2091" w:type="dxa"/>
          </w:tcPr>
          <w:p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3.0</w:t>
            </w:r>
          </w:p>
        </w:tc>
        <w:tc>
          <w:tcPr>
            <w:tcW w:w="1998" w:type="dxa"/>
          </w:tcPr>
          <w:p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4.2</w:t>
            </w:r>
          </w:p>
        </w:tc>
        <w:tc>
          <w:tcPr>
            <w:tcW w:w="1998" w:type="dxa"/>
          </w:tcPr>
          <w:p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4.4</w:t>
            </w:r>
          </w:p>
        </w:tc>
      </w:tr>
      <w:tr w:rsidR="00452B58" w:rsidRPr="00452B58" w:rsidTr="00452B58">
        <w:trPr>
          <w:trHeight w:val="300"/>
        </w:trPr>
        <w:tc>
          <w:tcPr>
            <w:tcW w:w="1553"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NPV</w:t>
            </w:r>
          </w:p>
        </w:tc>
        <w:tc>
          <w:tcPr>
            <w:tcW w:w="1998" w:type="dxa"/>
            <w:noWrap/>
          </w:tcPr>
          <w:p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$654 M</w:t>
            </w:r>
          </w:p>
        </w:tc>
        <w:tc>
          <w:tcPr>
            <w:tcW w:w="2091" w:type="dxa"/>
          </w:tcPr>
          <w:p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$588 M</w:t>
            </w:r>
          </w:p>
        </w:tc>
        <w:tc>
          <w:tcPr>
            <w:tcW w:w="1998" w:type="dxa"/>
          </w:tcPr>
          <w:p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$1,038 M</w:t>
            </w:r>
          </w:p>
        </w:tc>
        <w:tc>
          <w:tcPr>
            <w:tcW w:w="1998" w:type="dxa"/>
          </w:tcPr>
          <w:p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$931 M</w:t>
            </w:r>
          </w:p>
        </w:tc>
      </w:tr>
      <w:tr w:rsidR="00452B58" w:rsidRPr="00452B58" w:rsidTr="00452B58">
        <w:trPr>
          <w:trHeight w:val="300"/>
        </w:trPr>
        <w:tc>
          <w:tcPr>
            <w:tcW w:w="1553"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PV of costs</w:t>
            </w:r>
          </w:p>
        </w:tc>
        <w:tc>
          <w:tcPr>
            <w:tcW w:w="1998" w:type="dxa"/>
            <w:noWrap/>
          </w:tcPr>
          <w:p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$334 M</w:t>
            </w:r>
          </w:p>
        </w:tc>
        <w:tc>
          <w:tcPr>
            <w:tcW w:w="2091" w:type="dxa"/>
          </w:tcPr>
          <w:p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$289 M</w:t>
            </w:r>
          </w:p>
        </w:tc>
        <w:tc>
          <w:tcPr>
            <w:tcW w:w="1998" w:type="dxa"/>
          </w:tcPr>
          <w:p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$321 M</w:t>
            </w:r>
          </w:p>
        </w:tc>
        <w:tc>
          <w:tcPr>
            <w:tcW w:w="1998" w:type="dxa"/>
          </w:tcPr>
          <w:p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$275 M</w:t>
            </w:r>
          </w:p>
        </w:tc>
      </w:tr>
      <w:tr w:rsidR="00452B58" w:rsidRPr="00452B58" w:rsidTr="00452B58">
        <w:trPr>
          <w:trHeight w:val="300"/>
        </w:trPr>
        <w:tc>
          <w:tcPr>
            <w:tcW w:w="1553"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PV of benefits</w:t>
            </w:r>
          </w:p>
        </w:tc>
        <w:tc>
          <w:tcPr>
            <w:tcW w:w="1998" w:type="dxa"/>
            <w:noWrap/>
          </w:tcPr>
          <w:p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$988 M</w:t>
            </w:r>
          </w:p>
        </w:tc>
        <w:tc>
          <w:tcPr>
            <w:tcW w:w="2091" w:type="dxa"/>
          </w:tcPr>
          <w:p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$877 M</w:t>
            </w:r>
          </w:p>
        </w:tc>
        <w:tc>
          <w:tcPr>
            <w:tcW w:w="1998" w:type="dxa"/>
          </w:tcPr>
          <w:p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$1,360 M</w:t>
            </w:r>
          </w:p>
        </w:tc>
        <w:tc>
          <w:tcPr>
            <w:tcW w:w="1998" w:type="dxa"/>
          </w:tcPr>
          <w:p w:rsidR="00452B58" w:rsidRPr="00452B58" w:rsidRDefault="00452B58" w:rsidP="00452B58">
            <w:pPr>
              <w:keepNext/>
              <w:suppressAutoHyphens w:val="0"/>
              <w:spacing w:before="40" w:after="40"/>
              <w:jc w:val="center"/>
              <w:rPr>
                <w:rFonts w:eastAsia="Calibri" w:cs="Times New Roman"/>
                <w:color w:val="000000"/>
                <w:kern w:val="0"/>
                <w:szCs w:val="22"/>
                <w:highlight w:val="yellow"/>
                <w:lang w:eastAsia="en-AU"/>
              </w:rPr>
            </w:pPr>
            <w:r w:rsidRPr="00452B58">
              <w:rPr>
                <w:rFonts w:eastAsia="Calibri" w:cs="Times New Roman"/>
                <w:kern w:val="0"/>
                <w:szCs w:val="22"/>
              </w:rPr>
              <w:t>$1,206 M</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results of the main analysis show a positive outcome for the proposed options.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sensitivity analysis identified no threats to viability of the proposed changes to ADRs to allow wider vehicles with mandated safety features. However, the following factors demonstrated greater sensitivity:</w:t>
      </w:r>
    </w:p>
    <w:p w:rsidR="00452B58" w:rsidRPr="00452B58" w:rsidRDefault="00452B58" w:rsidP="00452B58">
      <w:pPr>
        <w:pStyle w:val="ARRBBulletLevel1"/>
      </w:pPr>
      <w:r w:rsidRPr="00452B58">
        <w:t xml:space="preserve">discount rate </w:t>
      </w:r>
    </w:p>
    <w:p w:rsidR="00452B58" w:rsidRPr="00452B58" w:rsidRDefault="00452B58" w:rsidP="00452B58">
      <w:pPr>
        <w:pStyle w:val="ARRBBulletLevel1"/>
      </w:pPr>
      <w:r w:rsidRPr="00452B58">
        <w:t>cost of safety features</w:t>
      </w:r>
    </w:p>
    <w:p w:rsidR="00452B58" w:rsidRPr="00452B58" w:rsidRDefault="00452B58" w:rsidP="00452B58">
      <w:pPr>
        <w:pStyle w:val="ARRBBulletLevel1"/>
      </w:pPr>
      <w:r w:rsidRPr="00452B58">
        <w:t>effectiveness of safety features</w:t>
      </w:r>
    </w:p>
    <w:p w:rsidR="00452B58" w:rsidRPr="00452B58" w:rsidRDefault="00452B58" w:rsidP="00452B58">
      <w:pPr>
        <w:pStyle w:val="ARRBBulletLevel1"/>
      </w:pPr>
      <w:r w:rsidRPr="00452B58">
        <w:t>trip reductions.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analysis shows that any barriers or concerns surrounding the widening of goods vehicles on Australian roads do not come from questions about high-level productivity or safety. The increased productivity that comes from larger vehicles is well-demonstrated, and current and emerging safety technologies continue to make these vehicles safer to operate on Australian roads.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As the analysis conducted here was necessarily high-level, the following related issues bear further investigation:</w:t>
      </w:r>
    </w:p>
    <w:p w:rsidR="00452B58" w:rsidRPr="00452B58" w:rsidRDefault="00452B58" w:rsidP="00452B58">
      <w:pPr>
        <w:pStyle w:val="ARRBBulletLevel1"/>
      </w:pPr>
      <w:r w:rsidRPr="00452B58">
        <w:t>Assessments are required of the risks and benefits related to different designs of trailers, which are built to purpose and may present different issues.</w:t>
      </w:r>
    </w:p>
    <w:p w:rsidR="00452B58" w:rsidRPr="00452B58" w:rsidRDefault="00452B58" w:rsidP="00452B58">
      <w:pPr>
        <w:pStyle w:val="ARRBBulletLevel1"/>
      </w:pPr>
      <w:r w:rsidRPr="00452B58">
        <w:t xml:space="preserve">Many other road users already have a poor understanding of the size and manoeuvrability of heavy vehicles, and there may be an increase in the impact of poor decisions made by other road users interacting with wider vehicles. </w:t>
      </w:r>
    </w:p>
    <w:p w:rsidR="00452B58" w:rsidRPr="00452B58" w:rsidRDefault="00452B58" w:rsidP="00452B58">
      <w:pPr>
        <w:pStyle w:val="ARRBBulletLevel1"/>
      </w:pPr>
      <w:r w:rsidRPr="00452B58">
        <w:t xml:space="preserve">While it was beyond the scope of this project to undertake a detailed infrastructure analysis, developing an assessment of infrastructure requirements – primarily at intersections – for wider vehicles will assist road managers to ensure the productivity benefits of these vehicles can be achieved safely. </w:t>
      </w:r>
    </w:p>
    <w:p w:rsidR="00452B58" w:rsidRPr="00452B58" w:rsidRDefault="00452B58" w:rsidP="00452B58">
      <w:pPr>
        <w:pStyle w:val="ARRBBulletLevel1"/>
      </w:pPr>
      <w:r w:rsidRPr="00452B58">
        <w:t>The design of the road pavement infrastructure is based on the utilisation of the lane by a known axle width, if this distribution changes there will be impacts on the pavement engineering calculations required for road structures.</w:t>
      </w:r>
    </w:p>
    <w:p w:rsidR="00452B58" w:rsidRPr="00452B58" w:rsidRDefault="00452B58" w:rsidP="00452B58">
      <w:pPr>
        <w:pStyle w:val="ARRBBulletLevel1"/>
      </w:pPr>
      <w:r w:rsidRPr="00452B58">
        <w:t>There are likely to be community concerns about wider goods vehicles on the roads, despite the safety features. Ongoing research into clearances along the road corridor, especially in urban areas, would provide a basis for both informing decision makers about heavy vehicle access and investment, as well as allaying community concerns.</w:t>
      </w:r>
    </w:p>
    <w:p w:rsidR="00452B58" w:rsidRPr="00452B58" w:rsidRDefault="00452B58" w:rsidP="00452B58">
      <w:pPr>
        <w:tabs>
          <w:tab w:val="num" w:pos="340"/>
        </w:tabs>
        <w:suppressAutoHyphens w:val="0"/>
        <w:spacing w:before="0" w:after="160" w:line="259" w:lineRule="auto"/>
        <w:ind w:left="340" w:hanging="340"/>
        <w:contextualSpacing/>
        <w:rPr>
          <w:rFonts w:ascii="Calibri" w:eastAsia="Times New Roman" w:hAnsi="Calibri" w:cs="Times New Roman"/>
          <w:color w:val="auto"/>
          <w:kern w:val="0"/>
          <w:sz w:val="22"/>
          <w:szCs w:val="22"/>
          <w:lang w:eastAsia="en-AU"/>
        </w:rPr>
        <w:sectPr w:rsidR="00452B58" w:rsidRPr="00452B58" w:rsidSect="00452B58">
          <w:headerReference w:type="default" r:id="rId82"/>
          <w:footerReference w:type="default" r:id="rId83"/>
          <w:headerReference w:type="first" r:id="rId84"/>
          <w:footerReference w:type="first" r:id="rId85"/>
          <w:pgSz w:w="11906" w:h="16838" w:code="9"/>
          <w:pgMar w:top="1134" w:right="1134" w:bottom="1134" w:left="1134" w:header="680" w:footer="284" w:gutter="0"/>
          <w:cols w:space="708"/>
          <w:docGrid w:linePitch="360"/>
        </w:sectPr>
      </w:pPr>
    </w:p>
    <w:p w:rsidR="00452B58" w:rsidRDefault="00452B58" w:rsidP="00452B58">
      <w:pPr>
        <w:suppressAutoHyphens w:val="0"/>
        <w:spacing w:before="0" w:after="160" w:line="259" w:lineRule="auto"/>
        <w:rPr>
          <w:rFonts w:ascii="Calibri" w:eastAsia="Calibri" w:hAnsi="Calibri" w:cs="Times New Roman"/>
          <w:b/>
          <w:bCs/>
          <w:color w:val="00A1DE"/>
          <w:kern w:val="0"/>
          <w:sz w:val="40"/>
          <w:szCs w:val="40"/>
        </w:rPr>
      </w:pPr>
      <w:r w:rsidRPr="00452B58">
        <w:rPr>
          <w:rFonts w:ascii="Calibri" w:eastAsia="Calibri" w:hAnsi="Calibri" w:cs="Times New Roman" w:hint="eastAsia"/>
          <w:b/>
          <w:bCs/>
          <w:color w:val="00A1DE"/>
          <w:kern w:val="0"/>
          <w:sz w:val="40"/>
          <w:szCs w:val="40"/>
        </w:rPr>
        <w:t>Contents</w:t>
      </w:r>
    </w:p>
    <w:p w:rsidR="00B730AF" w:rsidRPr="000F5356" w:rsidRDefault="00B730AF" w:rsidP="000F5356">
      <w:pPr>
        <w:pStyle w:val="ARRBContentsTitle"/>
      </w:pPr>
      <w:r w:rsidRPr="000F5356">
        <w:t>1.</w:t>
      </w:r>
      <w:r w:rsidRPr="000F5356">
        <w:tab/>
        <w:t>Introduction</w:t>
      </w:r>
      <w:r w:rsidRPr="000F5356">
        <w:tab/>
        <w:t>1</w:t>
      </w:r>
    </w:p>
    <w:p w:rsidR="00B730AF" w:rsidRPr="00B730AF" w:rsidRDefault="00B730AF" w:rsidP="000F5356">
      <w:pPr>
        <w:pStyle w:val="ARRBContentsSubTitle"/>
      </w:pPr>
      <w:r w:rsidRPr="00B730AF">
        <w:t>1.1</w:t>
      </w:r>
      <w:r w:rsidRPr="00B730AF">
        <w:tab/>
        <w:t>Overview of the Analysis</w:t>
      </w:r>
      <w:r w:rsidRPr="00B730AF">
        <w:tab/>
        <w:t>1</w:t>
      </w:r>
    </w:p>
    <w:p w:rsidR="00B730AF" w:rsidRPr="00B730AF" w:rsidRDefault="00B730AF" w:rsidP="000F5356">
      <w:pPr>
        <w:pStyle w:val="ARRBContentsSubTitle"/>
      </w:pPr>
      <w:r w:rsidRPr="00B730AF">
        <w:t>1.2</w:t>
      </w:r>
      <w:r w:rsidRPr="00B730AF">
        <w:tab/>
        <w:t>Comparison of Base Case and Option Cases</w:t>
      </w:r>
      <w:r w:rsidRPr="00B730AF">
        <w:tab/>
        <w:t>1</w:t>
      </w:r>
    </w:p>
    <w:p w:rsidR="00B730AF" w:rsidRPr="00B730AF" w:rsidRDefault="00B730AF" w:rsidP="000F5356">
      <w:pPr>
        <w:pStyle w:val="ARRBContentsSubTitle"/>
      </w:pPr>
      <w:r w:rsidRPr="00B730AF">
        <w:t>1.3</w:t>
      </w:r>
      <w:r w:rsidRPr="00B730AF">
        <w:tab/>
        <w:t>Reference Material</w:t>
      </w:r>
      <w:r w:rsidRPr="00B730AF">
        <w:tab/>
        <w:t>1</w:t>
      </w:r>
    </w:p>
    <w:p w:rsidR="00B730AF" w:rsidRPr="00B730AF" w:rsidRDefault="00B730AF" w:rsidP="000F5356">
      <w:pPr>
        <w:pStyle w:val="ARRBContentsSubTitle"/>
      </w:pPr>
      <w:r w:rsidRPr="00B730AF">
        <w:t>1.4</w:t>
      </w:r>
      <w:r w:rsidRPr="00B730AF">
        <w:tab/>
        <w:t>Requirements of the Proposed Regulatory Changes</w:t>
      </w:r>
      <w:r w:rsidRPr="00B730AF">
        <w:tab/>
        <w:t>2</w:t>
      </w:r>
    </w:p>
    <w:p w:rsidR="00B730AF" w:rsidRPr="00B730AF" w:rsidRDefault="00B730AF" w:rsidP="000F5356">
      <w:pPr>
        <w:pStyle w:val="ARRBContentsTitle"/>
      </w:pPr>
      <w:r w:rsidRPr="00B730AF">
        <w:t>2.</w:t>
      </w:r>
      <w:r w:rsidRPr="00B730AF">
        <w:tab/>
        <w:t>Benefit-Cost Analysis Setup</w:t>
      </w:r>
      <w:r w:rsidRPr="00B730AF">
        <w:tab/>
        <w:t>4</w:t>
      </w:r>
    </w:p>
    <w:p w:rsidR="00B730AF" w:rsidRPr="00B730AF" w:rsidRDefault="00B730AF" w:rsidP="000F5356">
      <w:pPr>
        <w:pStyle w:val="ARRBContentsSubTitle"/>
      </w:pPr>
      <w:r w:rsidRPr="00B730AF">
        <w:t>2.1</w:t>
      </w:r>
      <w:r w:rsidRPr="00B730AF">
        <w:tab/>
        <w:t>Identification of the Base Case</w:t>
      </w:r>
      <w:r w:rsidRPr="00B730AF">
        <w:tab/>
        <w:t>4</w:t>
      </w:r>
    </w:p>
    <w:p w:rsidR="00B730AF" w:rsidRPr="00B730AF" w:rsidRDefault="00B730AF" w:rsidP="000F5356">
      <w:pPr>
        <w:pStyle w:val="ARRBContentsSubTitle"/>
      </w:pPr>
      <w:r w:rsidRPr="00B730AF">
        <w:t>2.2</w:t>
      </w:r>
      <w:r w:rsidRPr="00B730AF">
        <w:tab/>
        <w:t>Establishing the Assessment Period</w:t>
      </w:r>
      <w:r w:rsidRPr="00B730AF">
        <w:tab/>
        <w:t>4</w:t>
      </w:r>
    </w:p>
    <w:p w:rsidR="00B730AF" w:rsidRPr="00B730AF" w:rsidRDefault="00B730AF" w:rsidP="000F5356">
      <w:pPr>
        <w:pStyle w:val="ARRBContentsSubTitle"/>
      </w:pPr>
      <w:r w:rsidRPr="00B730AF">
        <w:t>2.3</w:t>
      </w:r>
      <w:r w:rsidRPr="00B730AF">
        <w:tab/>
        <w:t>Modelling of the Fleet</w:t>
      </w:r>
      <w:r w:rsidRPr="00B730AF">
        <w:tab/>
        <w:t>5</w:t>
      </w:r>
    </w:p>
    <w:p w:rsidR="00B730AF" w:rsidRPr="00B730AF" w:rsidRDefault="00B730AF" w:rsidP="000F5356">
      <w:pPr>
        <w:pStyle w:val="ARRBContentsTitle"/>
      </w:pPr>
      <w:r w:rsidRPr="00B730AF">
        <w:t>3.</w:t>
      </w:r>
      <w:r w:rsidRPr="00B730AF">
        <w:tab/>
        <w:t>Costs</w:t>
      </w:r>
      <w:r w:rsidRPr="00B730AF">
        <w:tab/>
        <w:t>7</w:t>
      </w:r>
    </w:p>
    <w:p w:rsidR="00B730AF" w:rsidRPr="00B730AF" w:rsidRDefault="00B730AF" w:rsidP="000F5356">
      <w:pPr>
        <w:pStyle w:val="ARRBContentsSubTitle"/>
      </w:pPr>
      <w:r w:rsidRPr="00B730AF">
        <w:t>3.1</w:t>
      </w:r>
      <w:r w:rsidRPr="00B730AF">
        <w:tab/>
        <w:t>Government Costs</w:t>
      </w:r>
      <w:r w:rsidRPr="00B730AF">
        <w:tab/>
        <w:t>7</w:t>
      </w:r>
    </w:p>
    <w:p w:rsidR="00B730AF" w:rsidRPr="00B730AF" w:rsidRDefault="00B730AF" w:rsidP="000F5356">
      <w:pPr>
        <w:pStyle w:val="ARRBContentsSubTitle"/>
      </w:pPr>
      <w:r w:rsidRPr="00B730AF">
        <w:t>3.2</w:t>
      </w:r>
      <w:r w:rsidRPr="00B730AF">
        <w:tab/>
        <w:t>Modification Costs</w:t>
      </w:r>
      <w:r w:rsidRPr="00B730AF">
        <w:tab/>
        <w:t>7</w:t>
      </w:r>
    </w:p>
    <w:p w:rsidR="00B730AF" w:rsidRPr="00B730AF" w:rsidRDefault="00B730AF" w:rsidP="00837D8F">
      <w:pPr>
        <w:pStyle w:val="ARRBContentsSubsubTitle"/>
      </w:pPr>
      <w:r w:rsidRPr="00B730AF">
        <w:t>3.2.1</w:t>
      </w:r>
      <w:r w:rsidRPr="00B730AF">
        <w:tab/>
        <w:t>Modification Cost for Heavy Vehicles (Options 1, 2, 3, and 4)</w:t>
      </w:r>
      <w:r w:rsidRPr="00B730AF">
        <w:tab/>
        <w:t>7</w:t>
      </w:r>
    </w:p>
    <w:p w:rsidR="00B730AF" w:rsidRPr="00B730AF" w:rsidRDefault="00B730AF" w:rsidP="00837D8F">
      <w:pPr>
        <w:pStyle w:val="ARRBContentsSubsubTitle"/>
      </w:pPr>
      <w:r w:rsidRPr="00B730AF">
        <w:t>3.2.2</w:t>
      </w:r>
      <w:r w:rsidRPr="00B730AF">
        <w:tab/>
        <w:t>Modification Cost for Heavy Trailers (Options 1 and 3)</w:t>
      </w:r>
      <w:r w:rsidRPr="00B730AF">
        <w:tab/>
        <w:t>7</w:t>
      </w:r>
    </w:p>
    <w:p w:rsidR="00B730AF" w:rsidRPr="00B730AF" w:rsidRDefault="00B730AF" w:rsidP="000F5356">
      <w:pPr>
        <w:pStyle w:val="ARRBContentsSubTitle"/>
      </w:pPr>
      <w:r w:rsidRPr="00B730AF">
        <w:t>3.3</w:t>
      </w:r>
      <w:r w:rsidRPr="00B730AF">
        <w:tab/>
        <w:t>Safety Feature Fitment Costs</w:t>
      </w:r>
      <w:r w:rsidRPr="00B730AF">
        <w:tab/>
        <w:t>8</w:t>
      </w:r>
    </w:p>
    <w:p w:rsidR="00B730AF" w:rsidRPr="00B730AF" w:rsidRDefault="00B730AF" w:rsidP="000F5356">
      <w:pPr>
        <w:pStyle w:val="ARRBContentsSubTitle"/>
      </w:pPr>
      <w:r w:rsidRPr="00B730AF">
        <w:t>3.4</w:t>
      </w:r>
      <w:r w:rsidRPr="00B730AF">
        <w:tab/>
        <w:t>Safety Feature Maintenance and Repair Costs</w:t>
      </w:r>
      <w:r w:rsidRPr="00B730AF">
        <w:tab/>
        <w:t>8</w:t>
      </w:r>
    </w:p>
    <w:p w:rsidR="00B730AF" w:rsidRPr="00B730AF" w:rsidRDefault="00B730AF" w:rsidP="000F5356">
      <w:pPr>
        <w:pStyle w:val="ARRBContentsSubTitle"/>
      </w:pPr>
      <w:r w:rsidRPr="00B730AF">
        <w:t>3.5</w:t>
      </w:r>
      <w:r w:rsidRPr="00B730AF">
        <w:tab/>
        <w:t>Infrastructure Update Costs</w:t>
      </w:r>
      <w:r w:rsidRPr="00B730AF">
        <w:tab/>
        <w:t>8</w:t>
      </w:r>
    </w:p>
    <w:p w:rsidR="00B730AF" w:rsidRPr="00B730AF" w:rsidRDefault="00B730AF" w:rsidP="000F5356">
      <w:pPr>
        <w:pStyle w:val="ARRBContentsSubTitle"/>
      </w:pPr>
      <w:r w:rsidRPr="00B730AF">
        <w:t>3.6</w:t>
      </w:r>
      <w:r w:rsidRPr="00B730AF">
        <w:tab/>
        <w:t>Summary of Costs</w:t>
      </w:r>
      <w:r w:rsidRPr="00B730AF">
        <w:tab/>
        <w:t>9</w:t>
      </w:r>
    </w:p>
    <w:p w:rsidR="00B730AF" w:rsidRPr="00B730AF" w:rsidRDefault="00B730AF" w:rsidP="000F5356">
      <w:pPr>
        <w:pStyle w:val="ARRBContentsTitle"/>
      </w:pPr>
      <w:r w:rsidRPr="00B730AF">
        <w:t>4.</w:t>
      </w:r>
      <w:r w:rsidRPr="00B730AF">
        <w:tab/>
        <w:t>Demand Forecasts</w:t>
      </w:r>
      <w:r w:rsidRPr="00B730AF">
        <w:tab/>
        <w:t>10</w:t>
      </w:r>
    </w:p>
    <w:p w:rsidR="00B730AF" w:rsidRPr="00B730AF" w:rsidRDefault="00B730AF" w:rsidP="000F5356">
      <w:pPr>
        <w:pStyle w:val="ARRBContentsSubTitle"/>
      </w:pPr>
      <w:r w:rsidRPr="00B730AF">
        <w:t>4.1</w:t>
      </w:r>
      <w:r w:rsidRPr="00B730AF">
        <w:tab/>
        <w:t>Key Assumption</w:t>
      </w:r>
      <w:r w:rsidRPr="00B730AF">
        <w:tab/>
        <w:t>10</w:t>
      </w:r>
    </w:p>
    <w:p w:rsidR="00B730AF" w:rsidRPr="00B730AF" w:rsidRDefault="00B730AF" w:rsidP="000F5356">
      <w:pPr>
        <w:pStyle w:val="ARRBContentsSubTitle"/>
      </w:pPr>
      <w:r w:rsidRPr="00B730AF">
        <w:t>4.2</w:t>
      </w:r>
      <w:r w:rsidRPr="00B730AF">
        <w:tab/>
        <w:t>Projected Total Fleet Size</w:t>
      </w:r>
      <w:r w:rsidRPr="00B730AF">
        <w:tab/>
        <w:t>10</w:t>
      </w:r>
    </w:p>
    <w:p w:rsidR="00B730AF" w:rsidRPr="00B730AF" w:rsidRDefault="00B730AF" w:rsidP="000F5356">
      <w:pPr>
        <w:pStyle w:val="ARRBContentsSubTitle"/>
      </w:pPr>
      <w:r w:rsidRPr="00B730AF">
        <w:t>4.3</w:t>
      </w:r>
      <w:r w:rsidRPr="00B730AF">
        <w:tab/>
        <w:t>Projected Uptake of new Width Vehicles</w:t>
      </w:r>
      <w:r w:rsidRPr="00B730AF">
        <w:tab/>
        <w:t>11</w:t>
      </w:r>
    </w:p>
    <w:p w:rsidR="00B730AF" w:rsidRPr="00B730AF" w:rsidRDefault="00B730AF" w:rsidP="000F5356">
      <w:pPr>
        <w:pStyle w:val="ARRBContentsTitle"/>
      </w:pPr>
      <w:r w:rsidRPr="00B730AF">
        <w:t>5.</w:t>
      </w:r>
      <w:r w:rsidRPr="00B730AF">
        <w:tab/>
        <w:t>Benefits</w:t>
      </w:r>
      <w:r w:rsidRPr="00B730AF">
        <w:tab/>
        <w:t>15</w:t>
      </w:r>
    </w:p>
    <w:p w:rsidR="00B730AF" w:rsidRPr="00B730AF" w:rsidRDefault="00B730AF" w:rsidP="000F5356">
      <w:pPr>
        <w:pStyle w:val="ARRBContentsSubTitle"/>
      </w:pPr>
      <w:r w:rsidRPr="00B730AF">
        <w:t>5.1</w:t>
      </w:r>
      <w:r w:rsidRPr="00B730AF">
        <w:tab/>
        <w:t>Included Benefits</w:t>
      </w:r>
      <w:r w:rsidRPr="00B730AF">
        <w:tab/>
        <w:t>15</w:t>
      </w:r>
    </w:p>
    <w:p w:rsidR="00B730AF" w:rsidRPr="00B730AF" w:rsidRDefault="00B730AF" w:rsidP="000F5356">
      <w:pPr>
        <w:pStyle w:val="ARRBContentsSubTitle"/>
      </w:pPr>
      <w:r w:rsidRPr="00B730AF">
        <w:t>5.2</w:t>
      </w:r>
      <w:r w:rsidRPr="00B730AF">
        <w:tab/>
        <w:t>Safety Benefits</w:t>
      </w:r>
      <w:r w:rsidRPr="00B730AF">
        <w:tab/>
        <w:t>15</w:t>
      </w:r>
    </w:p>
    <w:p w:rsidR="00B730AF" w:rsidRPr="00B730AF" w:rsidRDefault="00B730AF" w:rsidP="00837D8F">
      <w:pPr>
        <w:pStyle w:val="ARRBContentsSubsubTitle"/>
      </w:pPr>
      <w:r w:rsidRPr="00B730AF">
        <w:t>5.2.1</w:t>
      </w:r>
      <w:r w:rsidRPr="00B730AF">
        <w:tab/>
        <w:t>Trip Reduction (Crash Exposure and Productivity)</w:t>
      </w:r>
      <w:r w:rsidRPr="00B730AF">
        <w:tab/>
        <w:t>15</w:t>
      </w:r>
    </w:p>
    <w:p w:rsidR="00B730AF" w:rsidRPr="00B730AF" w:rsidRDefault="00B730AF" w:rsidP="00837D8F">
      <w:pPr>
        <w:pStyle w:val="ARRBContentsSubsubTitle"/>
      </w:pPr>
      <w:r w:rsidRPr="00B730AF">
        <w:t>5.2.2</w:t>
      </w:r>
      <w:r w:rsidRPr="00B730AF">
        <w:tab/>
        <w:t>Crash Rates for Wider Vehicles</w:t>
      </w:r>
      <w:r w:rsidRPr="00B730AF">
        <w:tab/>
        <w:t>16</w:t>
      </w:r>
    </w:p>
    <w:p w:rsidR="00B730AF" w:rsidRPr="00B730AF" w:rsidRDefault="00B730AF" w:rsidP="00837D8F">
      <w:pPr>
        <w:pStyle w:val="ARRBContentsSubsubTitle"/>
      </w:pPr>
      <w:r w:rsidRPr="00B730AF">
        <w:t>5.2.3</w:t>
      </w:r>
      <w:r w:rsidRPr="00B730AF">
        <w:tab/>
        <w:t>Crash Modification Factors</w:t>
      </w:r>
      <w:r w:rsidRPr="00B730AF">
        <w:tab/>
        <w:t>16</w:t>
      </w:r>
    </w:p>
    <w:p w:rsidR="00B730AF" w:rsidRPr="00B730AF" w:rsidRDefault="00B730AF" w:rsidP="000F5356">
      <w:pPr>
        <w:pStyle w:val="ARRBContentsSubTitle"/>
      </w:pPr>
      <w:r w:rsidRPr="00B730AF">
        <w:t>5.3</w:t>
      </w:r>
      <w:r w:rsidRPr="00B730AF">
        <w:tab/>
        <w:t>Asset Preservation Benefits</w:t>
      </w:r>
      <w:r w:rsidRPr="00B730AF">
        <w:tab/>
        <w:t>19</w:t>
      </w:r>
    </w:p>
    <w:p w:rsidR="00B730AF" w:rsidRPr="00B730AF" w:rsidRDefault="00B730AF" w:rsidP="000F5356">
      <w:pPr>
        <w:pStyle w:val="ARRBContentsSubTitle"/>
      </w:pPr>
      <w:r w:rsidRPr="00B730AF">
        <w:t>5.4</w:t>
      </w:r>
      <w:r w:rsidRPr="00B730AF">
        <w:tab/>
        <w:t>VOC Benefits</w:t>
      </w:r>
      <w:r w:rsidRPr="00B730AF">
        <w:tab/>
        <w:t>19</w:t>
      </w:r>
    </w:p>
    <w:p w:rsidR="00B730AF" w:rsidRPr="00B730AF" w:rsidRDefault="00B730AF" w:rsidP="000F5356">
      <w:pPr>
        <w:pStyle w:val="ARRBContentsSubTitle"/>
      </w:pPr>
      <w:r w:rsidRPr="00B730AF">
        <w:t>5.5</w:t>
      </w:r>
      <w:r w:rsidRPr="00B730AF">
        <w:tab/>
        <w:t>Environmental Benefits</w:t>
      </w:r>
      <w:r w:rsidRPr="00B730AF">
        <w:tab/>
        <w:t>20</w:t>
      </w:r>
    </w:p>
    <w:p w:rsidR="00B730AF" w:rsidRPr="00B730AF" w:rsidRDefault="00B730AF" w:rsidP="000F5356">
      <w:pPr>
        <w:pStyle w:val="ARRBContentsSubTitle"/>
      </w:pPr>
      <w:r w:rsidRPr="00B730AF">
        <w:t>5.6</w:t>
      </w:r>
      <w:r w:rsidRPr="00B730AF">
        <w:tab/>
        <w:t>Discounting and Other Modelling Assumptions</w:t>
      </w:r>
      <w:r w:rsidRPr="00B730AF">
        <w:tab/>
        <w:t>20</w:t>
      </w:r>
    </w:p>
    <w:p w:rsidR="00B730AF" w:rsidRPr="00B730AF" w:rsidRDefault="00B730AF" w:rsidP="000F5356">
      <w:pPr>
        <w:pStyle w:val="ARRBContentsTitle"/>
      </w:pPr>
      <w:r w:rsidRPr="00B730AF">
        <w:t>6.</w:t>
      </w:r>
      <w:r w:rsidRPr="00B730AF">
        <w:tab/>
        <w:t>Analysis Outcomes</w:t>
      </w:r>
      <w:r w:rsidRPr="00B730AF">
        <w:tab/>
        <w:t>22</w:t>
      </w:r>
    </w:p>
    <w:p w:rsidR="00B730AF" w:rsidRPr="00B730AF" w:rsidRDefault="00B730AF" w:rsidP="000F5356">
      <w:pPr>
        <w:pStyle w:val="ARRBContentsSubTitle"/>
      </w:pPr>
      <w:r w:rsidRPr="00B730AF">
        <w:t>6.1</w:t>
      </w:r>
      <w:r w:rsidRPr="00B730AF">
        <w:tab/>
        <w:t>BCA Results</w:t>
      </w:r>
      <w:r w:rsidRPr="00B730AF">
        <w:tab/>
        <w:t>22</w:t>
      </w:r>
    </w:p>
    <w:p w:rsidR="00B730AF" w:rsidRPr="00B730AF" w:rsidRDefault="00B730AF" w:rsidP="000F5356">
      <w:pPr>
        <w:pStyle w:val="ARRBContentsSubTitle"/>
      </w:pPr>
      <w:r w:rsidRPr="00B730AF">
        <w:t>6.2</w:t>
      </w:r>
      <w:r w:rsidRPr="00B730AF">
        <w:tab/>
        <w:t>Sensitivity Analysis</w:t>
      </w:r>
      <w:r w:rsidRPr="00B730AF">
        <w:tab/>
        <w:t>22</w:t>
      </w:r>
    </w:p>
    <w:p w:rsidR="00B730AF" w:rsidRPr="00B730AF" w:rsidRDefault="00B730AF" w:rsidP="000F5356">
      <w:pPr>
        <w:pStyle w:val="ARRBContentsSubTitle"/>
      </w:pPr>
      <w:r w:rsidRPr="00B730AF">
        <w:t>6.3</w:t>
      </w:r>
      <w:r w:rsidRPr="00B730AF">
        <w:tab/>
        <w:t>Findings</w:t>
      </w:r>
      <w:r w:rsidRPr="00B730AF">
        <w:tab/>
        <w:t>26</w:t>
      </w:r>
    </w:p>
    <w:p w:rsidR="006749B1" w:rsidRDefault="006749B1">
      <w:pPr>
        <w:suppressAutoHyphens w:val="0"/>
        <w:rPr>
          <w:color w:val="22B3ED" w:themeColor="accent3" w:themeShade="BF"/>
          <w:kern w:val="0"/>
          <w:sz w:val="22"/>
          <w:szCs w:val="22"/>
        </w:rPr>
      </w:pPr>
      <w:r>
        <w:br w:type="page"/>
      </w:r>
    </w:p>
    <w:p w:rsidR="00B730AF" w:rsidRPr="00B730AF" w:rsidRDefault="00B730AF" w:rsidP="000F5356">
      <w:pPr>
        <w:pStyle w:val="ARRBContentsTitle"/>
      </w:pPr>
      <w:r w:rsidRPr="00B730AF">
        <w:t>References</w:t>
      </w:r>
      <w:r w:rsidRPr="00B730AF">
        <w:tab/>
        <w:t>28</w:t>
      </w:r>
    </w:p>
    <w:p w:rsidR="00B730AF" w:rsidRPr="00B730AF" w:rsidRDefault="00B730AF" w:rsidP="00837D8F">
      <w:pPr>
        <w:pStyle w:val="ARRBContentsTitle"/>
      </w:pPr>
      <w:r w:rsidRPr="00B730AF">
        <w:t>Appendix A.</w:t>
      </w:r>
      <w:r w:rsidR="00837D8F">
        <w:t xml:space="preserve"> </w:t>
      </w:r>
      <w:r w:rsidRPr="00B730AF">
        <w:t>Average Vehicle Operating Costs</w:t>
      </w:r>
      <w:r w:rsidRPr="00B730AF">
        <w:tab/>
        <w:t>31</w:t>
      </w:r>
    </w:p>
    <w:p w:rsidR="00B730AF" w:rsidRPr="00B730AF" w:rsidRDefault="00B730AF" w:rsidP="00837D8F">
      <w:pPr>
        <w:pStyle w:val="ARRBContentsTitle"/>
      </w:pPr>
      <w:r w:rsidRPr="00B730AF">
        <w:t>Appendix B.</w:t>
      </w:r>
      <w:r w:rsidR="00837D8F">
        <w:t xml:space="preserve"> </w:t>
      </w:r>
      <w:r w:rsidRPr="00B730AF">
        <w:t>Discussion of Infrastructure Impact</w:t>
      </w:r>
      <w:r w:rsidRPr="00B730AF">
        <w:tab/>
        <w:t>33</w:t>
      </w:r>
    </w:p>
    <w:p w:rsidR="00B730AF" w:rsidRPr="00B730AF" w:rsidRDefault="00B730AF" w:rsidP="00837D8F">
      <w:pPr>
        <w:pStyle w:val="ARRBContentsTitle"/>
      </w:pPr>
      <w:r w:rsidRPr="00B730AF">
        <w:t>Appendix C.</w:t>
      </w:r>
      <w:r w:rsidR="00837D8F">
        <w:t xml:space="preserve"> </w:t>
      </w:r>
      <w:r w:rsidRPr="00B730AF">
        <w:t>Calculation of Average VKT</w:t>
      </w:r>
      <w:r w:rsidRPr="00B730AF">
        <w:tab/>
        <w:t>36</w:t>
      </w:r>
    </w:p>
    <w:p w:rsidR="00B730AF" w:rsidRPr="00B730AF" w:rsidRDefault="00B730AF" w:rsidP="00837D8F">
      <w:pPr>
        <w:pStyle w:val="ARRBContentsTitle"/>
      </w:pPr>
      <w:r w:rsidRPr="00B730AF">
        <w:t>Appendix D.</w:t>
      </w:r>
      <w:r w:rsidR="00837D8F">
        <w:t xml:space="preserve"> </w:t>
      </w:r>
      <w:r w:rsidRPr="00B730AF">
        <w:t>Estimated Crash Rates of Wider Vehicles</w:t>
      </w:r>
      <w:r w:rsidRPr="00B730AF">
        <w:tab/>
        <w:t>38</w:t>
      </w:r>
    </w:p>
    <w:p w:rsidR="00B730AF" w:rsidRPr="00B730AF" w:rsidRDefault="00B730AF" w:rsidP="00837D8F">
      <w:pPr>
        <w:pStyle w:val="ARRBContentsTitle"/>
      </w:pPr>
      <w:r w:rsidRPr="00B730AF">
        <w:t>Appendix E.</w:t>
      </w:r>
      <w:r w:rsidR="00837D8F">
        <w:t xml:space="preserve"> </w:t>
      </w:r>
      <w:r w:rsidRPr="00B730AF">
        <w:t>Crash Types and Crash Modification Factors</w:t>
      </w:r>
      <w:r w:rsidRPr="00B730AF">
        <w:tab/>
        <w:t>40</w:t>
      </w:r>
    </w:p>
    <w:p w:rsidR="00B730AF" w:rsidRPr="00B730AF" w:rsidRDefault="00B730AF" w:rsidP="00837D8F">
      <w:pPr>
        <w:pStyle w:val="ARRBContentsTitle"/>
      </w:pPr>
      <w:r w:rsidRPr="00B730AF">
        <w:t>Appendix F.</w:t>
      </w:r>
      <w:r w:rsidR="00837D8F">
        <w:t xml:space="preserve"> </w:t>
      </w:r>
      <w:r w:rsidRPr="00B730AF">
        <w:t>BCA Model Data Sources</w:t>
      </w:r>
      <w:r w:rsidRPr="00B730AF">
        <w:tab/>
        <w:t>43</w:t>
      </w:r>
    </w:p>
    <w:p w:rsidR="00003ACF" w:rsidRDefault="00B730AF">
      <w:pPr>
        <w:suppressAutoHyphens w:val="0"/>
        <w:rPr>
          <w:color w:val="auto"/>
          <w:kern w:val="0"/>
          <w:sz w:val="22"/>
          <w:szCs w:val="22"/>
        </w:rPr>
      </w:pPr>
      <w:r w:rsidRPr="00B730AF">
        <w:cr/>
      </w:r>
      <w:r w:rsidR="00003ACF">
        <w:br w:type="page"/>
      </w:r>
    </w:p>
    <w:p w:rsidR="00B730AF" w:rsidRPr="006749B1" w:rsidRDefault="00B730AF" w:rsidP="006749B1">
      <w:pPr>
        <w:suppressAutoHyphens w:val="0"/>
        <w:spacing w:before="0" w:after="160" w:line="259" w:lineRule="auto"/>
        <w:rPr>
          <w:rFonts w:ascii="Calibri" w:eastAsia="Calibri" w:hAnsi="Calibri" w:cs="Times New Roman"/>
          <w:b/>
          <w:bCs/>
          <w:color w:val="00A1DE"/>
          <w:kern w:val="0"/>
          <w:sz w:val="40"/>
          <w:szCs w:val="40"/>
        </w:rPr>
      </w:pPr>
      <w:r w:rsidRPr="006749B1">
        <w:rPr>
          <w:rFonts w:ascii="Calibri" w:eastAsia="Calibri" w:hAnsi="Calibri" w:cs="Times New Roman"/>
          <w:b/>
          <w:bCs/>
          <w:color w:val="00A1DE"/>
          <w:kern w:val="0"/>
          <w:sz w:val="40"/>
          <w:szCs w:val="40"/>
        </w:rPr>
        <w:t>Tables</w:t>
      </w:r>
    </w:p>
    <w:p w:rsidR="00B730AF" w:rsidRPr="00B730AF" w:rsidRDefault="00B730AF" w:rsidP="00837D8F">
      <w:pPr>
        <w:pStyle w:val="ARRBContentsTable"/>
      </w:pPr>
      <w:r w:rsidRPr="00B730AF">
        <w:t>Table S.1:</w:t>
      </w:r>
      <w:r w:rsidRPr="00B730AF">
        <w:tab/>
        <w:t>Vehicle widening options with mandated safety features</w:t>
      </w:r>
      <w:r w:rsidRPr="00B730AF">
        <w:tab/>
        <w:t>5</w:t>
      </w:r>
    </w:p>
    <w:p w:rsidR="00B730AF" w:rsidRPr="00B730AF" w:rsidRDefault="00B730AF" w:rsidP="00837D8F">
      <w:pPr>
        <w:pStyle w:val="ARRBContentsTable"/>
      </w:pPr>
      <w:r w:rsidRPr="00B730AF">
        <w:t>Table 2.1:</w:t>
      </w:r>
      <w:r w:rsidRPr="00B730AF">
        <w:tab/>
        <w:t>Representative vehicle and trailer operating costs</w:t>
      </w:r>
      <w:r w:rsidRPr="00B730AF">
        <w:tab/>
        <w:t>5</w:t>
      </w:r>
    </w:p>
    <w:p w:rsidR="00B730AF" w:rsidRPr="00B730AF" w:rsidRDefault="00B730AF" w:rsidP="00837D8F">
      <w:pPr>
        <w:pStyle w:val="ARRBContentsTable"/>
      </w:pPr>
      <w:r w:rsidRPr="00B730AF">
        <w:t>Table 3.1:</w:t>
      </w:r>
      <w:r w:rsidRPr="00B730AF">
        <w:tab/>
        <w:t>Unit fitment cost of safety features</w:t>
      </w:r>
      <w:r w:rsidRPr="00B730AF">
        <w:tab/>
        <w:t>8</w:t>
      </w:r>
    </w:p>
    <w:p w:rsidR="00B730AF" w:rsidRPr="00B730AF" w:rsidRDefault="00B730AF" w:rsidP="00837D8F">
      <w:pPr>
        <w:pStyle w:val="ARRBContentsTable"/>
      </w:pPr>
      <w:r w:rsidRPr="00B730AF">
        <w:t>Table 3.2:</w:t>
      </w:r>
      <w:r w:rsidRPr="00B730AF">
        <w:tab/>
        <w:t>Summary of costs associated with the analysis</w:t>
      </w:r>
      <w:r w:rsidRPr="00B730AF">
        <w:tab/>
        <w:t>9</w:t>
      </w:r>
    </w:p>
    <w:p w:rsidR="00B730AF" w:rsidRPr="00B730AF" w:rsidRDefault="00B730AF" w:rsidP="00837D8F">
      <w:pPr>
        <w:pStyle w:val="ARRBContentsTable"/>
      </w:pPr>
      <w:r w:rsidRPr="00B730AF">
        <w:t>Table 4.1:</w:t>
      </w:r>
      <w:r w:rsidRPr="00B730AF">
        <w:tab/>
        <w:t>Market share of vehicles and trailers by country of origin</w:t>
      </w:r>
      <w:r w:rsidRPr="00B730AF">
        <w:tab/>
        <w:t>14</w:t>
      </w:r>
    </w:p>
    <w:p w:rsidR="00B730AF" w:rsidRPr="00B730AF" w:rsidRDefault="00B730AF" w:rsidP="00837D8F">
      <w:pPr>
        <w:pStyle w:val="ARRBContentsTable"/>
      </w:pPr>
      <w:r w:rsidRPr="00B730AF">
        <w:t>Table 5.1:</w:t>
      </w:r>
      <w:r w:rsidRPr="00B730AF">
        <w:tab/>
        <w:t>Average annual km travelled per vehicle type in the analysis</w:t>
      </w:r>
      <w:r w:rsidRPr="00B730AF">
        <w:tab/>
        <w:t>16</w:t>
      </w:r>
    </w:p>
    <w:p w:rsidR="00B730AF" w:rsidRPr="00B730AF" w:rsidRDefault="00B730AF" w:rsidP="00837D8F">
      <w:pPr>
        <w:pStyle w:val="ARRBContentsTable"/>
      </w:pPr>
      <w:r w:rsidRPr="00B730AF">
        <w:t>Table 5.2:</w:t>
      </w:r>
      <w:r w:rsidRPr="00B730AF">
        <w:tab/>
        <w:t>Crash risks mitigated by safety features</w:t>
      </w:r>
      <w:r w:rsidRPr="00B730AF">
        <w:tab/>
        <w:t>18</w:t>
      </w:r>
    </w:p>
    <w:p w:rsidR="00B730AF" w:rsidRPr="00B730AF" w:rsidRDefault="00B730AF" w:rsidP="00837D8F">
      <w:pPr>
        <w:pStyle w:val="ARRBContentsTable"/>
      </w:pPr>
      <w:r w:rsidRPr="00B730AF">
        <w:t>Table 5.3:</w:t>
      </w:r>
      <w:r w:rsidRPr="00B730AF">
        <w:tab/>
        <w:t>Crash modification factors of safety features</w:t>
      </w:r>
      <w:r w:rsidRPr="00B730AF">
        <w:tab/>
        <w:t>18</w:t>
      </w:r>
    </w:p>
    <w:p w:rsidR="00B730AF" w:rsidRPr="00B730AF" w:rsidRDefault="00B730AF" w:rsidP="00837D8F">
      <w:pPr>
        <w:pStyle w:val="ARRBContentsTable"/>
      </w:pPr>
      <w:r w:rsidRPr="00B730AF">
        <w:t>Table 5.4:</w:t>
      </w:r>
      <w:r w:rsidRPr="00B730AF">
        <w:tab/>
        <w:t>Unit crash cost at 2023-dollar values</w:t>
      </w:r>
      <w:r w:rsidRPr="00B730AF">
        <w:tab/>
        <w:t>18</w:t>
      </w:r>
    </w:p>
    <w:p w:rsidR="00B730AF" w:rsidRPr="00B730AF" w:rsidRDefault="00B730AF" w:rsidP="00837D8F">
      <w:pPr>
        <w:pStyle w:val="ARRBContentsTable"/>
      </w:pPr>
      <w:r w:rsidRPr="00B730AF">
        <w:t>Table 5.5:</w:t>
      </w:r>
      <w:r w:rsidRPr="00B730AF">
        <w:tab/>
        <w:t>VOC parameter values</w:t>
      </w:r>
      <w:r w:rsidRPr="00B730AF">
        <w:tab/>
        <w:t>19</w:t>
      </w:r>
    </w:p>
    <w:p w:rsidR="00B730AF" w:rsidRPr="00B730AF" w:rsidRDefault="00B730AF" w:rsidP="00837D8F">
      <w:pPr>
        <w:pStyle w:val="ARRBContentsTable"/>
      </w:pPr>
      <w:r w:rsidRPr="00B730AF">
        <w:t>Table 5.6:</w:t>
      </w:r>
      <w:r w:rsidRPr="00B730AF">
        <w:tab/>
        <w:t>Environmental parameter values</w:t>
      </w:r>
      <w:r w:rsidRPr="00B730AF">
        <w:tab/>
        <w:t>20</w:t>
      </w:r>
    </w:p>
    <w:p w:rsidR="00B730AF" w:rsidRPr="00B730AF" w:rsidRDefault="00B730AF" w:rsidP="00837D8F">
      <w:pPr>
        <w:pStyle w:val="ARRBContentsTable"/>
      </w:pPr>
      <w:r w:rsidRPr="00B730AF">
        <w:t>Table 5.7:</w:t>
      </w:r>
      <w:r w:rsidRPr="00B730AF">
        <w:tab/>
        <w:t>Parameter variations in primary and sensitivity analysis</w:t>
      </w:r>
      <w:r w:rsidRPr="00B730AF">
        <w:tab/>
        <w:t>21</w:t>
      </w:r>
    </w:p>
    <w:p w:rsidR="00B730AF" w:rsidRPr="00B730AF" w:rsidRDefault="00B730AF" w:rsidP="00837D8F">
      <w:pPr>
        <w:pStyle w:val="ARRBContentsTable"/>
      </w:pPr>
      <w:r w:rsidRPr="00B730AF">
        <w:t>Table 6.1:</w:t>
      </w:r>
      <w:r w:rsidRPr="00B730AF">
        <w:tab/>
        <w:t>Vehicle widening options with mandated safety features</w:t>
      </w:r>
      <w:r w:rsidRPr="00B730AF">
        <w:tab/>
        <w:t>22</w:t>
      </w:r>
    </w:p>
    <w:p w:rsidR="00B730AF" w:rsidRPr="00B730AF" w:rsidRDefault="00B730AF" w:rsidP="00837D8F">
      <w:pPr>
        <w:pStyle w:val="ARRBContentsTable"/>
      </w:pPr>
      <w:r w:rsidRPr="00B730AF">
        <w:t>Table 6.2:</w:t>
      </w:r>
      <w:r w:rsidRPr="00B730AF">
        <w:tab/>
        <w:t>Sensitivity in discount rate for vehicle widening options</w:t>
      </w:r>
      <w:r w:rsidRPr="00B730AF">
        <w:tab/>
        <w:t>22</w:t>
      </w:r>
    </w:p>
    <w:p w:rsidR="00B730AF" w:rsidRPr="00B730AF" w:rsidRDefault="00B730AF" w:rsidP="00837D8F">
      <w:pPr>
        <w:pStyle w:val="ARRBContentsTable"/>
      </w:pPr>
      <w:r w:rsidRPr="00B730AF">
        <w:t>Table 6.3:</w:t>
      </w:r>
      <w:r w:rsidRPr="00B730AF">
        <w:tab/>
        <w:t>Sensitivity in infrastructure update cost for vehicle widening options</w:t>
      </w:r>
      <w:r w:rsidRPr="00B730AF">
        <w:tab/>
        <w:t>23</w:t>
      </w:r>
    </w:p>
    <w:p w:rsidR="00B730AF" w:rsidRPr="00B730AF" w:rsidRDefault="00B730AF" w:rsidP="00837D8F">
      <w:pPr>
        <w:pStyle w:val="ARRBContentsTable"/>
      </w:pPr>
      <w:r w:rsidRPr="00B730AF">
        <w:t>Table 6.4:</w:t>
      </w:r>
      <w:r w:rsidRPr="00B730AF">
        <w:tab/>
        <w:t>Sensitivity in the cost of safety features for vehicle widening options</w:t>
      </w:r>
      <w:r w:rsidRPr="00B730AF">
        <w:tab/>
        <w:t>23</w:t>
      </w:r>
    </w:p>
    <w:p w:rsidR="00B730AF" w:rsidRPr="00B730AF" w:rsidRDefault="00B730AF" w:rsidP="00837D8F">
      <w:pPr>
        <w:pStyle w:val="ARRBContentsTable"/>
      </w:pPr>
      <w:r w:rsidRPr="00B730AF">
        <w:t>Table 6.5:</w:t>
      </w:r>
      <w:r w:rsidRPr="00B730AF">
        <w:tab/>
        <w:t>Sensitivity in projected total fleet annual growth rates for vehicle and trailer widening options</w:t>
      </w:r>
      <w:r w:rsidRPr="00B730AF">
        <w:tab/>
        <w:t>23</w:t>
      </w:r>
    </w:p>
    <w:p w:rsidR="00B730AF" w:rsidRPr="00B730AF" w:rsidRDefault="00B730AF" w:rsidP="00837D8F">
      <w:pPr>
        <w:pStyle w:val="ARRBContentsTable"/>
      </w:pPr>
      <w:r w:rsidRPr="00B730AF">
        <w:t>Table 6.6:</w:t>
      </w:r>
      <w:r w:rsidRPr="00B730AF">
        <w:tab/>
        <w:t>Sensitivity in change in crash reduction factors (effectiveness of safety features)</w:t>
      </w:r>
      <w:r w:rsidRPr="00B730AF">
        <w:tab/>
        <w:t>23</w:t>
      </w:r>
    </w:p>
    <w:p w:rsidR="00B730AF" w:rsidRPr="00B730AF" w:rsidRDefault="00B730AF" w:rsidP="00837D8F">
      <w:pPr>
        <w:pStyle w:val="ARRBContentsTable"/>
      </w:pPr>
      <w:r w:rsidRPr="00B730AF">
        <w:t>Table 6.7:</w:t>
      </w:r>
      <w:r w:rsidRPr="00B730AF">
        <w:tab/>
        <w:t>Sensitivity in Change in Crash Risk for wider vehicles</w:t>
      </w:r>
      <w:r w:rsidRPr="00B730AF">
        <w:tab/>
        <w:t>24</w:t>
      </w:r>
    </w:p>
    <w:p w:rsidR="00B730AF" w:rsidRPr="00B730AF" w:rsidRDefault="00B730AF" w:rsidP="00837D8F">
      <w:pPr>
        <w:pStyle w:val="ARRBContentsTable"/>
      </w:pPr>
      <w:r w:rsidRPr="00B730AF">
        <w:t>Table 6.8:</w:t>
      </w:r>
      <w:r w:rsidRPr="00B730AF">
        <w:tab/>
        <w:t>Sensitivity in voluntary uptake (years to reach 100%) – vehicles from Europe/USA for vehicle widening options</w:t>
      </w:r>
      <w:r w:rsidRPr="00B730AF">
        <w:tab/>
        <w:t>24</w:t>
      </w:r>
    </w:p>
    <w:p w:rsidR="00B730AF" w:rsidRPr="00B730AF" w:rsidRDefault="00B730AF" w:rsidP="00837D8F">
      <w:pPr>
        <w:pStyle w:val="ARRBContentsTable"/>
      </w:pPr>
      <w:r w:rsidRPr="00B730AF">
        <w:t>Table 6.9:</w:t>
      </w:r>
      <w:r w:rsidRPr="00B730AF">
        <w:tab/>
        <w:t>Sensitivity in voluntary uptake (years to reach 100%) – vehicles from Japan/South Korea for vehicle widening options</w:t>
      </w:r>
      <w:r w:rsidRPr="00B730AF">
        <w:tab/>
        <w:t>24</w:t>
      </w:r>
    </w:p>
    <w:p w:rsidR="00B730AF" w:rsidRPr="00B730AF" w:rsidRDefault="00B730AF" w:rsidP="00837D8F">
      <w:pPr>
        <w:pStyle w:val="ARRBContentsTable"/>
      </w:pPr>
      <w:r w:rsidRPr="00B730AF">
        <w:t>Table 6.10:</w:t>
      </w:r>
      <w:r w:rsidRPr="00B730AF">
        <w:tab/>
        <w:t>Sensitivity in voluntary uptake (years to reach 100%) – Australian vehicle body builders for vehicle widening options</w:t>
      </w:r>
      <w:r w:rsidRPr="00B730AF">
        <w:tab/>
        <w:t>25</w:t>
      </w:r>
    </w:p>
    <w:p w:rsidR="00B730AF" w:rsidRPr="00B730AF" w:rsidRDefault="00B730AF" w:rsidP="00837D8F">
      <w:pPr>
        <w:pStyle w:val="ARRBContentsTable"/>
      </w:pPr>
      <w:r w:rsidRPr="00B730AF">
        <w:t>Table 6.11:</w:t>
      </w:r>
      <w:r w:rsidRPr="00B730AF">
        <w:tab/>
        <w:t>Sensitivity in voluntary uptake (years to reach 100%) – imported trailers for vehicle widening options</w:t>
      </w:r>
      <w:r w:rsidRPr="00B730AF">
        <w:tab/>
        <w:t>25</w:t>
      </w:r>
    </w:p>
    <w:p w:rsidR="00B730AF" w:rsidRPr="00B730AF" w:rsidRDefault="00B730AF" w:rsidP="00837D8F">
      <w:pPr>
        <w:pStyle w:val="ARRBContentsTable"/>
      </w:pPr>
      <w:r w:rsidRPr="00B730AF">
        <w:t>Table 6.12:</w:t>
      </w:r>
      <w:r w:rsidRPr="00B730AF">
        <w:tab/>
        <w:t>Sensitivity in voluntary uptake (years to reach 100%) – locally manufactured trailers for vehicle widening options</w:t>
      </w:r>
      <w:r w:rsidRPr="00B730AF">
        <w:tab/>
        <w:t>25</w:t>
      </w:r>
    </w:p>
    <w:p w:rsidR="00B730AF" w:rsidRPr="00B730AF" w:rsidRDefault="00B730AF" w:rsidP="00837D8F">
      <w:pPr>
        <w:pStyle w:val="ARRBContentsTable"/>
      </w:pPr>
      <w:r w:rsidRPr="00B730AF">
        <w:t>Table 6.13:</w:t>
      </w:r>
      <w:r w:rsidRPr="00B730AF">
        <w:tab/>
        <w:t>Sensitivity in change of refrigerated freight task</w:t>
      </w:r>
      <w:r w:rsidRPr="00B730AF">
        <w:tab/>
        <w:t>26</w:t>
      </w:r>
    </w:p>
    <w:p w:rsidR="00B730AF" w:rsidRPr="00B730AF" w:rsidRDefault="00B730AF" w:rsidP="00837D8F">
      <w:pPr>
        <w:pStyle w:val="ARRBContentsTable"/>
      </w:pPr>
      <w:r w:rsidRPr="00B730AF">
        <w:t>Table 6.14:</w:t>
      </w:r>
      <w:r w:rsidRPr="00B730AF">
        <w:tab/>
        <w:t>Sensitivity in trip reduction due to widening</w:t>
      </w:r>
      <w:r w:rsidRPr="00B730AF">
        <w:tab/>
        <w:t>26</w:t>
      </w:r>
    </w:p>
    <w:p w:rsidR="00003ACF" w:rsidRDefault="00B730AF">
      <w:pPr>
        <w:suppressAutoHyphens w:val="0"/>
        <w:rPr>
          <w:color w:val="auto"/>
          <w:kern w:val="0"/>
          <w:sz w:val="22"/>
          <w:szCs w:val="22"/>
        </w:rPr>
      </w:pPr>
      <w:r w:rsidRPr="00B730AF">
        <w:cr/>
      </w:r>
      <w:r w:rsidR="00003ACF">
        <w:br w:type="page"/>
      </w:r>
    </w:p>
    <w:p w:rsidR="00B730AF" w:rsidRPr="006749B1" w:rsidRDefault="00B730AF" w:rsidP="006749B1">
      <w:pPr>
        <w:suppressAutoHyphens w:val="0"/>
        <w:spacing w:before="0" w:after="160" w:line="259" w:lineRule="auto"/>
        <w:rPr>
          <w:rFonts w:ascii="Calibri" w:eastAsia="Calibri" w:hAnsi="Calibri" w:cs="Times New Roman"/>
          <w:b/>
          <w:bCs/>
          <w:color w:val="00A1DE"/>
          <w:kern w:val="0"/>
          <w:sz w:val="40"/>
          <w:szCs w:val="40"/>
        </w:rPr>
      </w:pPr>
      <w:r w:rsidRPr="006749B1">
        <w:rPr>
          <w:rFonts w:ascii="Calibri" w:eastAsia="Calibri" w:hAnsi="Calibri" w:cs="Times New Roman"/>
          <w:b/>
          <w:bCs/>
          <w:color w:val="00A1DE"/>
          <w:kern w:val="0"/>
          <w:sz w:val="40"/>
          <w:szCs w:val="40"/>
        </w:rPr>
        <w:t>Figures</w:t>
      </w:r>
    </w:p>
    <w:p w:rsidR="00B730AF" w:rsidRPr="00B730AF" w:rsidRDefault="00B730AF" w:rsidP="006749B1">
      <w:pPr>
        <w:pStyle w:val="ARRBContentsTable"/>
      </w:pPr>
      <w:r w:rsidRPr="00B730AF">
        <w:t>Figure S.1</w:t>
      </w:r>
      <w:r w:rsidRPr="00B730AF">
        <w:tab/>
        <w:t>Analysis period showing the fleet of vehicles in the analysis</w:t>
      </w:r>
      <w:r w:rsidRPr="00B730AF">
        <w:tab/>
        <w:t>4</w:t>
      </w:r>
    </w:p>
    <w:p w:rsidR="00B730AF" w:rsidRPr="00B730AF" w:rsidRDefault="00B730AF" w:rsidP="006749B1">
      <w:pPr>
        <w:pStyle w:val="ARRBContentsTable"/>
      </w:pPr>
      <w:r w:rsidRPr="00B730AF">
        <w:t>Figure 2.1:</w:t>
      </w:r>
      <w:r w:rsidRPr="00B730AF">
        <w:tab/>
        <w:t>Number of vehicles compliant with 2023 regulation over the assessment period</w:t>
      </w:r>
      <w:r w:rsidRPr="00B730AF">
        <w:tab/>
        <w:t>5</w:t>
      </w:r>
    </w:p>
    <w:p w:rsidR="00B730AF" w:rsidRPr="00B730AF" w:rsidRDefault="00B730AF" w:rsidP="006749B1">
      <w:pPr>
        <w:pStyle w:val="ARRBContentsTable"/>
      </w:pPr>
      <w:r w:rsidRPr="00B730AF">
        <w:t>Figure 4.1:</w:t>
      </w:r>
      <w:r w:rsidRPr="00B730AF">
        <w:tab/>
        <w:t>Projected total fleet size over the analysis period</w:t>
      </w:r>
      <w:r w:rsidRPr="00B730AF">
        <w:tab/>
        <w:t>11</w:t>
      </w:r>
    </w:p>
    <w:p w:rsidR="00B730AF" w:rsidRPr="00B730AF" w:rsidRDefault="00B730AF" w:rsidP="006749B1">
      <w:pPr>
        <w:pStyle w:val="ARRBContentsTable"/>
      </w:pPr>
      <w:r w:rsidRPr="00B730AF">
        <w:t>Figure 4.2:</w:t>
      </w:r>
      <w:r w:rsidRPr="00B730AF">
        <w:tab/>
        <w:t>Adoption rate of new width by heavy vehicles manufactured in USA and Europe in Option 1</w:t>
      </w:r>
      <w:r w:rsidRPr="00B730AF">
        <w:tab/>
        <w:t>13</w:t>
      </w:r>
    </w:p>
    <w:p w:rsidR="00B730AF" w:rsidRPr="00B730AF" w:rsidRDefault="00B730AF" w:rsidP="006749B1">
      <w:pPr>
        <w:pStyle w:val="ARRBContentsTable"/>
      </w:pPr>
      <w:r w:rsidRPr="00B730AF">
        <w:t>Figure 4.3:</w:t>
      </w:r>
      <w:r w:rsidRPr="00B730AF">
        <w:tab/>
        <w:t>Adoption rate of new width by heavy vehicles manufactured in Japan and South Korea in Option 1</w:t>
      </w:r>
      <w:r w:rsidRPr="00B730AF">
        <w:tab/>
        <w:t>13</w:t>
      </w:r>
    </w:p>
    <w:p w:rsidR="00B730AF" w:rsidRPr="00B730AF" w:rsidRDefault="00B730AF" w:rsidP="006749B1">
      <w:pPr>
        <w:pStyle w:val="ARRBContentsTable"/>
      </w:pPr>
      <w:r w:rsidRPr="00B730AF">
        <w:t>Figure 4.4:</w:t>
      </w:r>
      <w:r w:rsidRPr="00B730AF">
        <w:tab/>
        <w:t>Adoption rate of new width by heavy vehicles manufactured in Australia in Option 1</w:t>
      </w:r>
      <w:r w:rsidRPr="00B730AF">
        <w:tab/>
        <w:t>13</w:t>
      </w:r>
    </w:p>
    <w:p w:rsidR="00B730AF" w:rsidRPr="00B730AF" w:rsidRDefault="00B730AF" w:rsidP="006749B1">
      <w:pPr>
        <w:pStyle w:val="ARRBContentsTable"/>
      </w:pPr>
      <w:r w:rsidRPr="00B730AF">
        <w:t>Figure 4.5:</w:t>
      </w:r>
      <w:r w:rsidRPr="00B730AF">
        <w:tab/>
        <w:t>Adoption rate of new width by imported trailers in Option 1</w:t>
      </w:r>
      <w:r w:rsidRPr="00B730AF">
        <w:tab/>
        <w:t>14</w:t>
      </w:r>
    </w:p>
    <w:p w:rsidR="00B730AF" w:rsidRPr="00B730AF" w:rsidRDefault="00B730AF" w:rsidP="006749B1">
      <w:pPr>
        <w:pStyle w:val="ARRBContentsTable"/>
      </w:pPr>
      <w:r w:rsidRPr="00B730AF">
        <w:t>Figure 4.6:</w:t>
      </w:r>
      <w:r w:rsidRPr="00B730AF">
        <w:tab/>
        <w:t>Adoption rate of new width by heavy trailer manufacturers in Australia in Option 1</w:t>
      </w:r>
      <w:r w:rsidRPr="00B730AF">
        <w:tab/>
        <w:t>14</w:t>
      </w:r>
    </w:p>
    <w:p w:rsidR="00B730AF" w:rsidRPr="00B730AF" w:rsidRDefault="00B730AF" w:rsidP="006749B1">
      <w:pPr>
        <w:pStyle w:val="ARRBContentsTable"/>
      </w:pPr>
      <w:r w:rsidRPr="00B730AF">
        <w:t>Figure 5.1:</w:t>
      </w:r>
      <w:r w:rsidRPr="00B730AF">
        <w:tab/>
        <w:t>BAU adoption rate of safety features by heavy vehicles and trailers</w:t>
      </w:r>
      <w:r w:rsidRPr="00B730AF">
        <w:tab/>
        <w:t>17</w:t>
      </w:r>
    </w:p>
    <w:p w:rsidR="00B730AF" w:rsidRPr="00452B58" w:rsidRDefault="00B730AF" w:rsidP="00B730AF">
      <w:pPr>
        <w:pStyle w:val="ARRBBase"/>
      </w:pPr>
      <w:r w:rsidRPr="00B730AF">
        <w:cr/>
      </w:r>
    </w:p>
    <w:bookmarkStart w:id="197" w:name="BM_SectionBreakToC" w:displacedByCustomXml="next"/>
    <w:sdt>
      <w:sdtPr>
        <w:rPr>
          <w:rFonts w:ascii="Arial" w:eastAsia="Calibri" w:hAnsi="Arial" w:cs="Arial"/>
          <w:color w:val="000000"/>
          <w:kern w:val="0"/>
          <w:szCs w:val="18"/>
          <w:lang w:val="en-GB"/>
        </w:rPr>
        <w:alias w:val="Locked Section Break"/>
        <w:tag w:val="Locked Section Break"/>
        <w:id w:val="-1929188143"/>
        <w:lock w:val="contentLocked"/>
        <w:placeholder>
          <w:docPart w:val="3F12B014E2CF4ABB935D789691EC9584"/>
        </w:placeholder>
      </w:sdtPr>
      <w:sdtEndPr>
        <w:rPr>
          <w:sz w:val="18"/>
        </w:rPr>
      </w:sdtEndPr>
      <w:sdtContent>
        <w:p w:rsidR="00452B58" w:rsidRPr="00452B58" w:rsidRDefault="00452B58" w:rsidP="00452B58">
          <w:pPr>
            <w:numPr>
              <w:ilvl w:val="0"/>
              <w:numId w:val="83"/>
            </w:numPr>
            <w:suppressAutoHyphens w:val="0"/>
            <w:spacing w:before="0" w:after="0" w:line="288" w:lineRule="auto"/>
            <w:ind w:left="0" w:firstLine="0"/>
            <w:rPr>
              <w:rFonts w:ascii="Arial" w:eastAsia="Calibri" w:hAnsi="Arial" w:cs="Times New Roman"/>
              <w:color w:val="auto"/>
              <w:kern w:val="0"/>
              <w:sz w:val="2"/>
              <w:szCs w:val="22"/>
            </w:rPr>
          </w:pPr>
        </w:p>
        <w:p w:rsidR="00452B58" w:rsidRPr="00452B58" w:rsidRDefault="001B0996" w:rsidP="00452B58">
          <w:pPr>
            <w:suppressAutoHyphens w:val="0"/>
            <w:spacing w:before="0" w:after="0" w:line="288" w:lineRule="auto"/>
            <w:rPr>
              <w:rFonts w:ascii="Arial" w:eastAsia="Calibri" w:hAnsi="Arial" w:cs="Arial"/>
              <w:color w:val="000000"/>
              <w:kern w:val="0"/>
              <w:sz w:val="18"/>
              <w:szCs w:val="18"/>
              <w:lang w:val="en-GB"/>
            </w:rPr>
            <w:sectPr w:rsidR="00452B58" w:rsidRPr="00452B58" w:rsidSect="00452B58">
              <w:pgSz w:w="11906" w:h="16838" w:code="9"/>
              <w:pgMar w:top="1134" w:right="1134" w:bottom="1134" w:left="1134" w:header="680" w:footer="284" w:gutter="0"/>
              <w:cols w:space="708"/>
              <w:docGrid w:linePitch="360"/>
            </w:sectPr>
          </w:pPr>
        </w:p>
      </w:sdtContent>
    </w:sdt>
    <w:bookmarkEnd w:id="197" w:displacedByCustomXml="prev"/>
    <w:p w:rsidR="00452B58" w:rsidRPr="00452B58" w:rsidRDefault="00452B58" w:rsidP="00452B58">
      <w:pPr>
        <w:pStyle w:val="ARRBBaseHeading1"/>
      </w:pPr>
      <w:bookmarkStart w:id="198" w:name="_Toc11745933"/>
      <w:bookmarkStart w:id="199" w:name="_Toc137731654"/>
      <w:r w:rsidRPr="00452B58">
        <w:t>Introduction</w:t>
      </w:r>
      <w:bookmarkEnd w:id="198"/>
      <w:bookmarkEnd w:id="199"/>
    </w:p>
    <w:p w:rsidR="00452B58" w:rsidRPr="00452B58" w:rsidRDefault="00452B58" w:rsidP="00452B58">
      <w:pPr>
        <w:pStyle w:val="ARRBBaseHeading2"/>
      </w:pPr>
      <w:bookmarkStart w:id="200" w:name="_Toc137731655"/>
      <w:r w:rsidRPr="00452B58">
        <w:t>Overview of the Analysis</w:t>
      </w:r>
      <w:bookmarkEnd w:id="200"/>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project undertook an analysis of the costs and benefits of proposed changes to the Australian Design Rules (ADRs) based on two regulatory packages involving allowing wider freight vehicles (&gt; 2.50 m) and the mandating of safety feature technologies.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involved benefit-cost analyses (BCA) of four proposed options:</w:t>
      </w:r>
    </w:p>
    <w:p w:rsidR="00452B58" w:rsidRPr="00452B58" w:rsidRDefault="00452B58" w:rsidP="00452B58">
      <w:pPr>
        <w:pStyle w:val="ARRBBulletLevel1"/>
        <w:rPr>
          <w:b/>
          <w:bCs/>
        </w:rPr>
      </w:pPr>
      <w:r w:rsidRPr="00452B58">
        <w:rPr>
          <w:b/>
          <w:bCs/>
          <w:color w:val="00A1DE"/>
        </w:rPr>
        <w:t>Option 1</w:t>
      </w:r>
      <w:r w:rsidRPr="00452B58">
        <w:tab/>
        <w:t>Width limit of 2.55 m for goods vehicles and trailers over 4.5 tonnes</w:t>
      </w:r>
    </w:p>
    <w:p w:rsidR="00452B58" w:rsidRPr="00452B58" w:rsidRDefault="00452B58" w:rsidP="00452B58">
      <w:pPr>
        <w:pStyle w:val="ARRBBulletLevel1"/>
        <w:rPr>
          <w:b/>
          <w:bCs/>
        </w:rPr>
      </w:pPr>
      <w:r w:rsidRPr="00452B58">
        <w:rPr>
          <w:b/>
          <w:bCs/>
          <w:color w:val="00A1DE"/>
        </w:rPr>
        <w:t>Option 2</w:t>
      </w:r>
      <w:r w:rsidRPr="00452B58">
        <w:tab/>
        <w:t>Width limit of 2.55 m for goods vehicles over 4.5 tonnes only</w:t>
      </w:r>
    </w:p>
    <w:p w:rsidR="00452B58" w:rsidRPr="00452B58" w:rsidRDefault="00452B58" w:rsidP="00452B58">
      <w:pPr>
        <w:pStyle w:val="ARRBBulletLevel1"/>
        <w:rPr>
          <w:b/>
          <w:bCs/>
        </w:rPr>
      </w:pPr>
      <w:r w:rsidRPr="00452B58">
        <w:rPr>
          <w:b/>
          <w:bCs/>
          <w:color w:val="00A1DE"/>
        </w:rPr>
        <w:t>Option 3</w:t>
      </w:r>
      <w:r w:rsidRPr="00452B58">
        <w:tab/>
        <w:t>Width limit of 2.60 m for goods vehicles and trailers over 4.5 tonnes</w:t>
      </w:r>
    </w:p>
    <w:p w:rsidR="00452B58" w:rsidRPr="00452B58" w:rsidRDefault="00452B58" w:rsidP="00452B58">
      <w:pPr>
        <w:pStyle w:val="ARRBBulletLevel1"/>
        <w:rPr>
          <w:b/>
          <w:bCs/>
        </w:rPr>
      </w:pPr>
      <w:r w:rsidRPr="00452B58">
        <w:rPr>
          <w:b/>
          <w:bCs/>
          <w:color w:val="00A1DE"/>
        </w:rPr>
        <w:t>Option 4</w:t>
      </w:r>
      <w:r w:rsidRPr="00452B58">
        <w:tab/>
        <w:t>Width limit of 2.60 m for goods vehicles over 4.5 tonnes only.</w:t>
      </w:r>
    </w:p>
    <w:p w:rsidR="00452B58" w:rsidRPr="00452B58" w:rsidRDefault="00452B58" w:rsidP="00452B58">
      <w:pPr>
        <w:suppressAutoHyphens w:val="0"/>
        <w:spacing w:before="0" w:after="160" w:line="259" w:lineRule="auto"/>
        <w:rPr>
          <w:rFonts w:ascii="Calibri" w:eastAsia="Calibri" w:hAnsi="Calibri" w:cs="Calibri"/>
          <w:b/>
          <w:bCs/>
          <w:color w:val="auto"/>
          <w:kern w:val="0"/>
          <w:sz w:val="22"/>
          <w:szCs w:val="22"/>
        </w:rPr>
      </w:pPr>
      <w:r w:rsidRPr="00452B58">
        <w:rPr>
          <w:rFonts w:ascii="Calibri" w:eastAsia="Calibri" w:hAnsi="Calibri" w:cs="Calibri"/>
          <w:color w:val="auto"/>
          <w:kern w:val="0"/>
          <w:sz w:val="22"/>
          <w:szCs w:val="22"/>
        </w:rPr>
        <w:t>The four BCA analyses included seven mandated safety features:</w:t>
      </w:r>
    </w:p>
    <w:p w:rsidR="00452B58" w:rsidRPr="00452B58" w:rsidRDefault="00452B58" w:rsidP="00452B58">
      <w:pPr>
        <w:pStyle w:val="ARRBBulletLevel1"/>
        <w:rPr>
          <w:b/>
          <w:bCs/>
        </w:rPr>
      </w:pPr>
      <w:r w:rsidRPr="00452B58">
        <w:t>devices for indirect vision (DIV)</w:t>
      </w:r>
    </w:p>
    <w:p w:rsidR="00452B58" w:rsidRPr="00452B58" w:rsidRDefault="00452B58" w:rsidP="00452B58">
      <w:pPr>
        <w:pStyle w:val="ARRBBulletLevel1"/>
        <w:rPr>
          <w:b/>
          <w:bCs/>
        </w:rPr>
      </w:pPr>
      <w:r w:rsidRPr="00452B58">
        <w:t>commercial vehicle brake systems (CVB)</w:t>
      </w:r>
    </w:p>
    <w:p w:rsidR="00452B58" w:rsidRPr="00452B58" w:rsidRDefault="00452B58" w:rsidP="00452B58">
      <w:pPr>
        <w:pStyle w:val="ARRBBulletLevel1"/>
        <w:rPr>
          <w:b/>
          <w:bCs/>
        </w:rPr>
      </w:pPr>
      <w:r w:rsidRPr="00452B58">
        <w:t>advanced emergency braking systems (AEB)</w:t>
      </w:r>
    </w:p>
    <w:p w:rsidR="00452B58" w:rsidRPr="00452B58" w:rsidRDefault="00452B58" w:rsidP="00452B58">
      <w:pPr>
        <w:pStyle w:val="ARRBBulletLevel1"/>
        <w:rPr>
          <w:b/>
          <w:bCs/>
        </w:rPr>
      </w:pPr>
      <w:r w:rsidRPr="00452B58">
        <w:t>lane departure warning systems (LDW)</w:t>
      </w:r>
    </w:p>
    <w:p w:rsidR="00452B58" w:rsidRPr="00452B58" w:rsidRDefault="00452B58" w:rsidP="00452B58">
      <w:pPr>
        <w:pStyle w:val="ARRBBulletLevel1"/>
        <w:rPr>
          <w:b/>
          <w:bCs/>
        </w:rPr>
      </w:pPr>
      <w:r w:rsidRPr="00452B58">
        <w:t>blind spot information systems (BSI)</w:t>
      </w:r>
    </w:p>
    <w:p w:rsidR="00452B58" w:rsidRPr="00452B58" w:rsidRDefault="00452B58" w:rsidP="00452B58">
      <w:pPr>
        <w:pStyle w:val="ARRBBulletLevel1"/>
        <w:rPr>
          <w:b/>
          <w:bCs/>
        </w:rPr>
      </w:pPr>
      <w:r w:rsidRPr="00452B58">
        <w:t>side underrun protection (SUP)</w:t>
      </w:r>
    </w:p>
    <w:p w:rsidR="00452B58" w:rsidRPr="00452B58" w:rsidRDefault="00452B58" w:rsidP="00452B58">
      <w:pPr>
        <w:pStyle w:val="ARRBBulletLevel1"/>
        <w:rPr>
          <w:b/>
          <w:bCs/>
        </w:rPr>
      </w:pPr>
      <w:r w:rsidRPr="00452B58">
        <w:t>conspicuity markings (CP).</w:t>
      </w:r>
    </w:p>
    <w:p w:rsidR="00452B58" w:rsidRPr="00452B58" w:rsidRDefault="00452B58" w:rsidP="00452B58">
      <w:pPr>
        <w:suppressAutoHyphens w:val="0"/>
        <w:spacing w:before="0" w:after="160" w:line="259" w:lineRule="auto"/>
        <w:rPr>
          <w:rFonts w:ascii="Calibri" w:eastAsia="Calibri" w:hAnsi="Calibri" w:cs="Calibri"/>
          <w:b/>
          <w:bCs/>
          <w:color w:val="auto"/>
          <w:kern w:val="0"/>
          <w:sz w:val="22"/>
          <w:szCs w:val="22"/>
        </w:rPr>
      </w:pPr>
      <w:r w:rsidRPr="00452B58">
        <w:rPr>
          <w:rFonts w:ascii="Calibri" w:eastAsia="Calibri" w:hAnsi="Calibri" w:cs="Calibri"/>
          <w:color w:val="auto"/>
          <w:kern w:val="0"/>
          <w:sz w:val="22"/>
          <w:szCs w:val="22"/>
        </w:rPr>
        <w:t xml:space="preserve">Descriptions of these safety technologies are provided in Section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_Ref110831562 \n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1.4</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w:t>
      </w:r>
    </w:p>
    <w:p w:rsidR="00452B58" w:rsidRPr="00452B58" w:rsidRDefault="00452B58" w:rsidP="00452B58">
      <w:pPr>
        <w:pStyle w:val="ARRBBaseHeading2"/>
      </w:pPr>
      <w:bookmarkStart w:id="201" w:name="_Toc137731656"/>
      <w:r w:rsidRPr="00452B58">
        <w:t>Comparison of Base Case and Option Cases</w:t>
      </w:r>
      <w:bookmarkEnd w:id="201"/>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To assess the economic impacts of individual option cases, it was necessary to first define the base case or business-as-usual (BAU) case to represent the future scenario in which the proposed options cases are absent.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For this analysis, the BAU case was defined as a future in which the current vehicle width limits for goods vehicles and trailers remained unchanged at 2.50 m. In this future, heavy vehicles and trailers will continue to comply with all current ADR standards and the seven mandated safety features are adopted on a voluntary basis.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In the option cases, eligible vehicles (and trailers in Options 1 and 3) will increase vehicle width to comply with the higher width limit on a voluntary basis but comply with the mandated safety feature requirements once they do so.</w:t>
      </w:r>
    </w:p>
    <w:p w:rsidR="00452B58" w:rsidRPr="00452B58" w:rsidRDefault="00452B58" w:rsidP="00452B58">
      <w:pPr>
        <w:pStyle w:val="ARRBBaseHeading2"/>
      </w:pPr>
      <w:bookmarkStart w:id="202" w:name="_Toc137731657"/>
      <w:r w:rsidRPr="00452B58">
        <w:t>Reference Material</w:t>
      </w:r>
      <w:bookmarkEnd w:id="202"/>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Assessment principles adopted in this assessment follow the guidance provided in the following documents:</w:t>
      </w:r>
    </w:p>
    <w:p w:rsidR="00452B58" w:rsidRPr="00452B58" w:rsidRDefault="00452B58" w:rsidP="00452B58">
      <w:pPr>
        <w:pStyle w:val="ARRBBulletLevel1"/>
      </w:pPr>
      <w:r w:rsidRPr="00452B58">
        <w:rPr>
          <w:i/>
          <w:iCs/>
        </w:rPr>
        <w:t>O7 Cost Benefit Analysis of Transport Regulatory Initiatives</w:t>
      </w:r>
      <w:r w:rsidRPr="00452B58">
        <w:t xml:space="preserve"> – a guideline for economic evaluations of regulatory changes in the transport sector issued by the Australian Transport Assessment and Planning (ATAP) in October 2020. </w:t>
      </w:r>
    </w:p>
    <w:p w:rsidR="00452B58" w:rsidRPr="00452B58" w:rsidRDefault="00452B58" w:rsidP="00452B58">
      <w:pPr>
        <w:pStyle w:val="ARRBBulletLevel1"/>
      </w:pPr>
      <w:r w:rsidRPr="00452B58">
        <w:t>OBPR Guidelines (2020) in relation to broader principles of undertaking BCAs for the purposes of supporting regulatory impact statements (RIS).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ATAP principles were applied to complement assessment assumptions and parameters that have been stipulated by the Department.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analysis also built on previous analysis conducted for a 2021 issues paper on wider freight vehicle access conducted by ARRB for Transport for New South Wales (TfNSW).</w:t>
      </w:r>
    </w:p>
    <w:p w:rsidR="00452B58" w:rsidRPr="00452B58" w:rsidRDefault="00452B58" w:rsidP="00452B58">
      <w:pPr>
        <w:pStyle w:val="ARRBBaseHeading2"/>
      </w:pPr>
      <w:bookmarkStart w:id="203" w:name="_Ref110831562"/>
      <w:bookmarkStart w:id="204" w:name="_Toc137731658"/>
      <w:r w:rsidRPr="00452B58">
        <w:t>Requirements of the Proposed Regulatory Changes</w:t>
      </w:r>
      <w:bookmarkEnd w:id="203"/>
      <w:bookmarkEnd w:id="204"/>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BCA was based on the incremental changes in costs and benefits caused by the proposed ADR changes, which are described in two regulatory packages: </w:t>
      </w:r>
    </w:p>
    <w:p w:rsidR="00452B58" w:rsidRPr="00452B58" w:rsidRDefault="00452B58" w:rsidP="00E248BF">
      <w:pPr>
        <w:pStyle w:val="ARRBNumberList1"/>
        <w:numPr>
          <w:ilvl w:val="0"/>
          <w:numId w:val="89"/>
        </w:numPr>
        <w:rPr>
          <w:b/>
        </w:rPr>
      </w:pPr>
      <w:r w:rsidRPr="00452B58">
        <w:rPr>
          <w:b/>
        </w:rPr>
        <w:t xml:space="preserve">Regulatory Package 2 </w:t>
      </w:r>
      <w:r w:rsidRPr="00452B58">
        <w:t xml:space="preserve">(Safer Freight Vehicles Amendment No 2, 2021) includes both new definitions and amendments to existing definitions related to determining vehicle dimensions when particular safety features that protrude from the body of the vehicle are installed. The effect of this regulatory package relevant to this analysis is to exclude these devices from the measurement of the vehicle width. </w:t>
      </w:r>
    </w:p>
    <w:p w:rsidR="00452B58" w:rsidRPr="00452B58" w:rsidRDefault="00452B58" w:rsidP="00E248BF">
      <w:pPr>
        <w:pStyle w:val="ARRBNumberList1"/>
        <w:numPr>
          <w:ilvl w:val="0"/>
          <w:numId w:val="89"/>
        </w:numPr>
        <w:rPr>
          <w:b/>
        </w:rPr>
      </w:pPr>
      <w:r w:rsidRPr="00452B58">
        <w:rPr>
          <w:b/>
        </w:rPr>
        <w:t xml:space="preserve">Regulatory Package 3 </w:t>
      </w:r>
      <w:r w:rsidRPr="00452B58">
        <w:t>(Safer Freight Vehicles Amendment No. 3 2021) includes amendments to relax the current 2.50 m width requirement to 2.55 or 2.60 m for both heavy vehicles (&gt; 4.5 tonnes tare weight) and heavy trailers (&gt; 4.5 tonnes tare weight).</w:t>
      </w:r>
      <w:r w:rsidRPr="00452B58">
        <w:rPr>
          <w:b/>
        </w:rPr>
        <w:t xml:space="preserve">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effect of both proposed regulatory packages is to allow heavy vehicles and trailers to increase from 2.50 m to 2.55 or 2.6 m if they are fitted with a set of mandatory safety features.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For all goods vehicles (rigid trucks and prime movers) that exceed the current 2.50 m width limit, the following safety features will be required:</w:t>
      </w:r>
    </w:p>
    <w:p w:rsidR="00452B58" w:rsidRPr="00452B58" w:rsidRDefault="00452B58" w:rsidP="00F2517A">
      <w:pPr>
        <w:pStyle w:val="ARRBBulletLevel1"/>
      </w:pPr>
      <w:r w:rsidRPr="00452B58">
        <w:rPr>
          <w:b/>
        </w:rPr>
        <w:t>Devices for indirect vision</w:t>
      </w:r>
      <w:r w:rsidRPr="00452B58">
        <w:t xml:space="preserve"> (DIV) – ADR 14/03 – this new ADR provides requirements for a number of mirror and/or camera systems designed to increase a driver’s field of view on all sides of the vehicle. These include:</w:t>
      </w:r>
    </w:p>
    <w:p w:rsidR="00452B58" w:rsidRPr="00452B58" w:rsidRDefault="00452B58" w:rsidP="00F2517A">
      <w:pPr>
        <w:pStyle w:val="ARRBBulletLevel2"/>
      </w:pPr>
      <w:r w:rsidRPr="00452B58">
        <w:t>main rear-view devices on both sides of the vehicle</w:t>
      </w:r>
    </w:p>
    <w:p w:rsidR="00452B58" w:rsidRPr="00452B58" w:rsidRDefault="00452B58" w:rsidP="00F2517A">
      <w:pPr>
        <w:pStyle w:val="ARRBBulletLevel2"/>
      </w:pPr>
      <w:r w:rsidRPr="00452B58">
        <w:t>wide-angle view device on both sides of the vehicle</w:t>
      </w:r>
    </w:p>
    <w:p w:rsidR="00452B58" w:rsidRPr="00452B58" w:rsidRDefault="00452B58" w:rsidP="00F2517A">
      <w:pPr>
        <w:pStyle w:val="ARRBBulletLevel2"/>
      </w:pPr>
      <w:r w:rsidRPr="00452B58">
        <w:t>a view of close proximity of the passenger side (driver’s side optional)</w:t>
      </w:r>
    </w:p>
    <w:p w:rsidR="00452B58" w:rsidRPr="00452B58" w:rsidRDefault="00452B58" w:rsidP="00F2517A">
      <w:pPr>
        <w:pStyle w:val="ARRBBulletLevel2"/>
      </w:pPr>
      <w:r w:rsidRPr="00452B58">
        <w:t>front-view device (of the area immediately in front of the vehicle) for vehicles over 7.5 tonnes.</w:t>
      </w:r>
    </w:p>
    <w:p w:rsidR="00452B58" w:rsidRPr="00452B58" w:rsidRDefault="00452B58" w:rsidP="00F2517A">
      <w:pPr>
        <w:pStyle w:val="ARRBBulletLevel1"/>
      </w:pPr>
      <w:r w:rsidRPr="00452B58">
        <w:rPr>
          <w:b/>
        </w:rPr>
        <w:t>Commercial vehicle brake systems</w:t>
      </w:r>
      <w:r w:rsidRPr="00452B58">
        <w:t xml:space="preserve"> (CVB) – ADR 35/07 – this new ADR is based on requirements for existing electronic stability control systems designed to monitor the vehicle via a number of sensors as it makes a turn and slowing the vehicle when it detects slipping or potential rollover.</w:t>
      </w:r>
    </w:p>
    <w:p w:rsidR="00452B58" w:rsidRPr="00452B58" w:rsidRDefault="00452B58" w:rsidP="00F2517A">
      <w:pPr>
        <w:pStyle w:val="ARRBBulletLevel1"/>
      </w:pPr>
      <w:r w:rsidRPr="00452B58">
        <w:rPr>
          <w:b/>
        </w:rPr>
        <w:t>Advanced emergency braking systems</w:t>
      </w:r>
      <w:r w:rsidRPr="00452B58">
        <w:t xml:space="preserve"> (AEB) – ADR 97/00 – this new ADR provides requirements for electronic systems designed to automatically provide braking when a forward-facing camera or radar system detects an obstacle, avoiding or mitigating the severity of a rear-end impact.</w:t>
      </w:r>
    </w:p>
    <w:p w:rsidR="00452B58" w:rsidRPr="00452B58" w:rsidRDefault="00452B58" w:rsidP="00F2517A">
      <w:pPr>
        <w:pStyle w:val="ARRBBulletLevel1"/>
      </w:pPr>
      <w:r w:rsidRPr="00452B58">
        <w:rPr>
          <w:b/>
        </w:rPr>
        <w:t>Lane departure warning systems</w:t>
      </w:r>
      <w:r w:rsidRPr="00452B58">
        <w:t xml:space="preserve"> (LDW) – ADR 99/00 – this new ADR provides requirements for systems that monitor road markings and activates an escalating series of driver alerts such as lights, sounds and vibrations when an unintentional movement out of a lane is detected (i.e. drifting out of the lane without the indicator being activated).</w:t>
      </w:r>
    </w:p>
    <w:p w:rsidR="00452B58" w:rsidRPr="00452B58" w:rsidRDefault="00452B58" w:rsidP="00F2517A">
      <w:pPr>
        <w:pStyle w:val="ARRBBulletLevel1"/>
      </w:pPr>
      <w:r w:rsidRPr="00452B58">
        <w:rPr>
          <w:b/>
        </w:rPr>
        <w:t>Blind spot information systems</w:t>
      </w:r>
      <w:r w:rsidRPr="00452B58">
        <w:t xml:space="preserve"> (BSI) – ADR 105/00 – this new ADR provides requirements for a camera/radar-based information system that alerts drivers when a vehicle, bicycle or pedestrian is detected in any of a vehicle’s blind spots (i.e. areas not covered by indirect vision devices).</w:t>
      </w:r>
    </w:p>
    <w:p w:rsidR="00452B58" w:rsidRPr="00452B58" w:rsidRDefault="00452B58" w:rsidP="00F2517A">
      <w:pPr>
        <w:pStyle w:val="ARRBBulletLevel1"/>
      </w:pPr>
      <w:r w:rsidRPr="00452B58">
        <w:rPr>
          <w:b/>
        </w:rPr>
        <w:t>Side underrun protection</w:t>
      </w:r>
      <w:r w:rsidRPr="00452B58">
        <w:t xml:space="preserve"> (SUP) – ADR 106/00 – this new ADR provides requirements for lateral protection devices, smooth, longitudinal barriers over gaps between wheels and other body fixtures designed to reduce the risk of pedestrians, cyclists or motorcyclists falling under the chassis and wheels of the vehicle. </w:t>
      </w:r>
    </w:p>
    <w:p w:rsidR="00452B58" w:rsidRPr="00452B58" w:rsidRDefault="00452B58" w:rsidP="00F2517A">
      <w:pPr>
        <w:pStyle w:val="ARRBBulletLevel1"/>
      </w:pPr>
      <w:r w:rsidRPr="00452B58">
        <w:rPr>
          <w:b/>
        </w:rPr>
        <w:t>Conspicuity markings</w:t>
      </w:r>
      <w:r w:rsidRPr="00452B58">
        <w:t xml:space="preserve"> (CP) – ADR 13/00 (for Vehicles over 7.5 t) – this amended ADR provides requirements for reflective markings designed to make the presence and in some cases the outline of the heavy vehicle or trailer more visible in low-light conditions.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For all heavy trailers that exceed the current 2.50 m width limit under each regulation option, the following safety features from the definitions above would be required:</w:t>
      </w:r>
    </w:p>
    <w:p w:rsidR="00452B58" w:rsidRPr="00452B58" w:rsidRDefault="00452B58" w:rsidP="00F2517A">
      <w:pPr>
        <w:pStyle w:val="ARRBBulletLevel1"/>
      </w:pPr>
      <w:r w:rsidRPr="00452B58">
        <w:t>side underrun protection (SUP) – ADR 106/00</w:t>
      </w:r>
    </w:p>
    <w:p w:rsidR="00452B58" w:rsidRPr="00452B58" w:rsidRDefault="00452B58" w:rsidP="00F2517A">
      <w:pPr>
        <w:pStyle w:val="ARRBBulletLevel1"/>
      </w:pPr>
      <w:r w:rsidRPr="00452B58">
        <w:t>conspicuity markings and reversing lamps (CP) - ADR 13/00</w:t>
      </w:r>
    </w:p>
    <w:p w:rsidR="00452B58" w:rsidRPr="00452B58" w:rsidRDefault="00452B58" w:rsidP="00F2517A">
      <w:pPr>
        <w:pStyle w:val="ARRBBulletLevel1"/>
      </w:pPr>
      <w:r w:rsidRPr="00452B58">
        <w:t>trailer brake systems via existing ADR 38/05.</w:t>
      </w:r>
    </w:p>
    <w:p w:rsidR="00452B58" w:rsidRPr="00452B58" w:rsidRDefault="00452B58" w:rsidP="00452B58">
      <w:pPr>
        <w:suppressAutoHyphens w:val="0"/>
        <w:spacing w:before="120" w:after="60" w:line="288" w:lineRule="auto"/>
        <w:rPr>
          <w:rFonts w:ascii="Calibri" w:eastAsia="Calibri" w:hAnsi="Calibri" w:cs="Calibri"/>
          <w:color w:val="auto"/>
          <w:kern w:val="0"/>
          <w:sz w:val="22"/>
          <w:szCs w:val="22"/>
        </w:rPr>
      </w:pPr>
      <w:r w:rsidRPr="00452B58">
        <w:rPr>
          <w:rFonts w:ascii="Calibri" w:eastAsia="Calibri" w:hAnsi="Calibri" w:cs="Times New Roman"/>
          <w:color w:val="auto"/>
          <w:kern w:val="0"/>
          <w:sz w:val="22"/>
          <w:szCs w:val="22"/>
        </w:rPr>
        <w:br w:type="page"/>
      </w:r>
    </w:p>
    <w:p w:rsidR="00452B58" w:rsidRPr="00452B58" w:rsidRDefault="00452B58" w:rsidP="00F2517A">
      <w:pPr>
        <w:pStyle w:val="ARRBBaseHeading1"/>
      </w:pPr>
      <w:bookmarkStart w:id="205" w:name="_Toc137731659"/>
      <w:r w:rsidRPr="00452B58">
        <w:t>Benefit-Cost Analysis Setup</w:t>
      </w:r>
      <w:bookmarkEnd w:id="205"/>
    </w:p>
    <w:p w:rsidR="00452B58" w:rsidRPr="00452B58" w:rsidRDefault="00452B58" w:rsidP="00F2517A">
      <w:pPr>
        <w:pStyle w:val="ARRBBaseHeading2"/>
      </w:pPr>
      <w:bookmarkStart w:id="206" w:name="_Toc137731660"/>
      <w:r w:rsidRPr="00452B58">
        <w:t>Identification of the Base Case</w:t>
      </w:r>
      <w:bookmarkEnd w:id="206"/>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base case in this analysis is the status quo which can be defined as:</w:t>
      </w:r>
    </w:p>
    <w:p w:rsidR="00452B58" w:rsidRPr="00452B58" w:rsidRDefault="00452B58" w:rsidP="00F2517A">
      <w:pPr>
        <w:pStyle w:val="ARRBBulletLevel1"/>
      </w:pPr>
      <w:r w:rsidRPr="00452B58">
        <w:t>The width limit for all heavy vehicles is 2.50 m.</w:t>
      </w:r>
    </w:p>
    <w:p w:rsidR="00452B58" w:rsidRPr="00452B58" w:rsidRDefault="00452B58" w:rsidP="00F2517A">
      <w:pPr>
        <w:pStyle w:val="ARRBBulletLevel1"/>
      </w:pPr>
      <w:r w:rsidRPr="00452B58">
        <w:t>Regulatory Package 2 (which provides new and revised definitions for safety features) is assumed to apply to the base case. This means that in the base case there will be a voluntary uptake of vehicles with protruding safety features that were previously not allowed; AND a further uptake when wider vehicles are purchased.</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Proposed regulation options will only affect new vehicles and trailers in Australia, and where relevant, trailers that are modified (i.e. widened and with required safety features installed). As all proposed changes to the width limit represent a loosening of restrictions by the ADR, it is expected that the shift in fleet share among new vehicles to the wider vehicle allowance may be voluntary and gradual.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mandated safety features have separate costs and benefits that have been assessed in addition to those assessed based on the increases to the vehicle width limit. It is also assumed that there will be additional exclusions for devices for indirect vision and blind spot information systems from vehicle width and length measurements and that this will increase the rate of fitment of these systems to all new goods vehicles, including vehicles not exceeding 2.50 m in width (in both the base case and regulated options).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Two of the seven safety features, CVB and AEB, are being mandated by separate ADRs for heavy vehicles within the scope of the current assessment. Specifically, relevant ADRs are:</w:t>
      </w:r>
    </w:p>
    <w:p w:rsidR="00452B58" w:rsidRPr="00452B58" w:rsidRDefault="00452B58" w:rsidP="00F2517A">
      <w:pPr>
        <w:pStyle w:val="ARRBBulletLevel1"/>
      </w:pPr>
      <w:r w:rsidRPr="00452B58">
        <w:t xml:space="preserve">ADR 97/00 – Mandatory AEB systems for all heavy goods vehicles included in this assessment. </w:t>
      </w:r>
    </w:p>
    <w:p w:rsidR="00452B58" w:rsidRPr="00452B58" w:rsidRDefault="00452B58" w:rsidP="00F2517A">
      <w:pPr>
        <w:pStyle w:val="ARRBBulletLevel1"/>
      </w:pPr>
      <w:r w:rsidRPr="00452B58">
        <w:t>ADR 35/07 – Mandatory CVB Systems for all heavy goods vehicles included in this assessment.</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These two ADRs have commenced at the time of preparing this assessment but their compliance by new vehicles will not be required until 1 February 2025. This assessment will therefore allow for the impact of these ADRs on the take-up of AEB and CVB systems in the base case to accurately assess the incremental impacts of the SFV ADR. </w:t>
      </w:r>
    </w:p>
    <w:p w:rsidR="00452B58" w:rsidRPr="00452B58" w:rsidRDefault="00452B58" w:rsidP="00F2517A">
      <w:pPr>
        <w:pStyle w:val="ARRBBaseHeading2"/>
      </w:pPr>
      <w:bookmarkStart w:id="207" w:name="_Toc137731661"/>
      <w:r w:rsidRPr="00452B58">
        <w:t>Establishing the Assessment Period</w:t>
      </w:r>
      <w:bookmarkEnd w:id="207"/>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assessment period for this analysis commences from 2023 which is based on the proposed policy commencement date of 1 July 2023.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total assessment period is 40 years, including 15 years of the proposed regulation plus 25 years vehicle life for the last of the compliant vehicles and trailers (including modified in-service trailers) entering the market.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fleet of compliant vehicles begins close to zero at the beginning of the analysis, and peaks at 15 years and remains constant as new vehicles after this time may be subject to new regulations. The numbers of vehicles in the analysis remain constant until the first new vehicles under the -proposed regulations reach end of life after 25 years, the numbers thereafter start to decline, reaching zero in year 40 of the analysis. The change in the number of regulation-compliant vehicles is illustrated in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_Ref107498514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 xml:space="preserve">Figure </w:t>
      </w:r>
      <w:r w:rsidRPr="00452B58">
        <w:rPr>
          <w:rFonts w:ascii="Calibri" w:eastAsia="Calibri" w:hAnsi="Calibri" w:cs="Calibri"/>
          <w:noProof/>
          <w:color w:val="auto"/>
          <w:kern w:val="0"/>
          <w:sz w:val="22"/>
          <w:szCs w:val="22"/>
        </w:rPr>
        <w:t>2</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08" w:name="_Ref107498514"/>
      <w:bookmarkStart w:id="209" w:name="_Toc117646432"/>
      <w:r w:rsidRPr="00452B58">
        <w:rPr>
          <w:rFonts w:ascii="Calibri" w:eastAsia="Calibri" w:hAnsi="Calibri" w:cs="Times New Roman"/>
          <w:b/>
          <w:bCs/>
          <w:color w:val="67696A"/>
          <w:kern w:val="0"/>
          <w:sz w:val="18"/>
          <w:szCs w:val="22"/>
        </w:rPr>
        <w:t xml:space="preserve">Figure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2</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Figure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1</w:t>
      </w:r>
      <w:r w:rsidRPr="00452B58">
        <w:rPr>
          <w:rFonts w:ascii="Calibri" w:eastAsia="Calibri" w:hAnsi="Calibri" w:cs="Times New Roman"/>
          <w:b/>
          <w:bCs/>
          <w:noProof/>
          <w:color w:val="67696A"/>
          <w:kern w:val="0"/>
          <w:sz w:val="18"/>
          <w:szCs w:val="22"/>
        </w:rPr>
        <w:fldChar w:fldCharType="end"/>
      </w:r>
      <w:bookmarkEnd w:id="208"/>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Number of vehicles compliant with 2023 regulation over the assessment period</w:t>
      </w:r>
      <w:bookmarkEnd w:id="209"/>
    </w:p>
    <w:p w:rsidR="00452B58" w:rsidRPr="00452B58" w:rsidRDefault="00452B58" w:rsidP="00452B58">
      <w:pPr>
        <w:suppressAutoHyphens w:val="0"/>
        <w:spacing w:before="0" w:after="0" w:line="288" w:lineRule="auto"/>
        <w:rPr>
          <w:rFonts w:ascii="Arial" w:eastAsia="Calibri" w:hAnsi="Arial" w:cs="Times New Roman"/>
          <w:color w:val="auto"/>
          <w:kern w:val="0"/>
          <w:sz w:val="18"/>
          <w:szCs w:val="22"/>
        </w:rPr>
      </w:pPr>
      <w:r w:rsidRPr="00452B58">
        <w:rPr>
          <w:rFonts w:ascii="Arial" w:eastAsia="Calibri" w:hAnsi="Arial" w:cs="Times New Roman"/>
          <w:noProof/>
          <w:color w:val="auto"/>
          <w:kern w:val="0"/>
          <w:sz w:val="18"/>
          <w:szCs w:val="22"/>
        </w:rPr>
        <w:drawing>
          <wp:inline distT="0" distB="0" distL="0" distR="0" wp14:anchorId="655CD12A" wp14:editId="34D12641">
            <wp:extent cx="6120130" cy="2477770"/>
            <wp:effectExtent l="0" t="0" r="0" b="0"/>
            <wp:docPr id="2781" name="Picture 278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6120130" cy="2477770"/>
                    </a:xfrm>
                    <a:prstGeom prst="rect">
                      <a:avLst/>
                    </a:prstGeom>
                    <a:noFill/>
                    <a:ln>
                      <a:noFill/>
                    </a:ln>
                  </pic:spPr>
                </pic:pic>
              </a:graphicData>
            </a:graphic>
          </wp:inline>
        </w:drawing>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Costs related to the establishment and maintenance of the regulation apply during the 15-year regulatory period. After this time (in an unknown regulatory environment), ongoing costs are related to any investment and maintenance based on already existing vehicles and road infrastructure that exists because of the regulatory change in the first 15 years (e.g. maintenance costs associated with safety features, and ongoing investment and maintenance of the road network in response to the presence of wider vehicles).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Benefits are proportional to the number of new compliant vehicles considered in the analysis, i.e. increasing with adoption over the 15-year regulatory period, remaining constant for an additional ten years, and then declining as the compliant vehicles age out of the fleet. </w:t>
      </w:r>
    </w:p>
    <w:p w:rsidR="00452B58" w:rsidRPr="00452B58" w:rsidRDefault="00452B58" w:rsidP="00F2517A">
      <w:pPr>
        <w:pStyle w:val="ARRBBaseHeading2"/>
      </w:pPr>
      <w:bookmarkStart w:id="210" w:name="_Toc137731662"/>
      <w:r w:rsidRPr="00452B58">
        <w:t>Modelling of the Fleet</w:t>
      </w:r>
      <w:bookmarkEnd w:id="210"/>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Vehicle (rigid truck and prime mover) and trailer kilometres travelled (VKT) was modelled for each year of the analysis. The model treats vehicles and trailers as units, attributing averaged costs and benefits to each, and does not consider individual configurations.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For both vehicles and trailers, the model uses a representative vehicle and a representative trailer based on averages in terms of operating costs, environmental costs, asset preservation, safety feature costs, productivity, crash exposure, and safety feature efficacy.</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representative operating costs for vehicles and trailers (called VOCs for convenience, even when applying to trailers) are calculated based on parameters provided in the ATAP PV2 Guidelines (2016). These are shown in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_Ref109660208 \h  \* MERGEFORMAT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2.1</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11" w:name="_Ref109660208"/>
      <w:bookmarkStart w:id="212" w:name="_Toc117646406"/>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2</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Table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1</w:t>
      </w:r>
      <w:r w:rsidRPr="00452B58">
        <w:rPr>
          <w:rFonts w:ascii="Calibri" w:eastAsia="Calibri" w:hAnsi="Calibri" w:cs="Times New Roman"/>
          <w:b/>
          <w:bCs/>
          <w:noProof/>
          <w:color w:val="67696A"/>
          <w:kern w:val="0"/>
          <w:sz w:val="18"/>
          <w:szCs w:val="22"/>
        </w:rPr>
        <w:fldChar w:fldCharType="end"/>
      </w:r>
      <w:bookmarkEnd w:id="211"/>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Representative vehicle and trailer operating costs</w:t>
      </w:r>
      <w:bookmarkEnd w:id="212"/>
    </w:p>
    <w:tbl>
      <w:tblPr>
        <w:tblStyle w:val="ARRBTableStyle"/>
        <w:tblW w:w="0" w:type="auto"/>
        <w:tblLook w:val="04A0" w:firstRow="1" w:lastRow="0" w:firstColumn="1" w:lastColumn="0" w:noHBand="0" w:noVBand="1"/>
      </w:tblPr>
      <w:tblGrid>
        <w:gridCol w:w="3686"/>
        <w:gridCol w:w="3685"/>
      </w:tblGrid>
      <w:tr w:rsidR="00452B58" w:rsidRPr="00452B58" w:rsidTr="00452B58">
        <w:trPr>
          <w:cnfStyle w:val="100000000000" w:firstRow="1" w:lastRow="0" w:firstColumn="0" w:lastColumn="0" w:oddVBand="0" w:evenVBand="0" w:oddHBand="0" w:evenHBand="0" w:firstRowFirstColumn="0" w:firstRowLastColumn="0" w:lastRowFirstColumn="0" w:lastRowLastColumn="0"/>
        </w:trPr>
        <w:tc>
          <w:tcPr>
            <w:tcW w:w="3686" w:type="dxa"/>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Average vehicle VOC</w:t>
            </w:r>
          </w:p>
        </w:tc>
        <w:tc>
          <w:tcPr>
            <w:tcW w:w="3685" w:type="dxa"/>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Average trailer VOC</w:t>
            </w:r>
          </w:p>
        </w:tc>
      </w:tr>
      <w:tr w:rsidR="00452B58" w:rsidRPr="00452B58" w:rsidTr="00452B58">
        <w:tc>
          <w:tcPr>
            <w:tcW w:w="3686"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74 cents per km</w:t>
            </w:r>
          </w:p>
        </w:tc>
        <w:tc>
          <w:tcPr>
            <w:tcW w:w="3685"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60 cents per km</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basis for these average VOCs is explained in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_Ref111140114 \r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Appendix A</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These VOCs are the basis for wider 2.55 and 2.60 m vehicles and trailers, and refrigerated vehicles and trailers when calculating:</w:t>
      </w:r>
    </w:p>
    <w:p w:rsidR="00452B58" w:rsidRPr="00452B58" w:rsidRDefault="00452B58" w:rsidP="00F2517A">
      <w:pPr>
        <w:pStyle w:val="ARRBBulletLevel1"/>
      </w:pPr>
      <w:r w:rsidRPr="00452B58">
        <w:t xml:space="preserve">VOC, discussed in Section </w:t>
      </w:r>
      <w:r w:rsidRPr="00452B58">
        <w:fldChar w:fldCharType="begin"/>
      </w:r>
      <w:r w:rsidRPr="00452B58">
        <w:instrText xml:space="preserve"> REF _Ref108452534 \r \h </w:instrText>
      </w:r>
      <w:r w:rsidR="00F2517A">
        <w:instrText xml:space="preserve"> \* MERGEFORMAT </w:instrText>
      </w:r>
      <w:r w:rsidRPr="00452B58">
        <w:fldChar w:fldCharType="separate"/>
      </w:r>
      <w:r w:rsidRPr="00452B58">
        <w:t>5.4</w:t>
      </w:r>
      <w:r w:rsidRPr="00452B58">
        <w:fldChar w:fldCharType="end"/>
      </w:r>
    </w:p>
    <w:p w:rsidR="00452B58" w:rsidRPr="00452B58" w:rsidRDefault="00452B58" w:rsidP="00F2517A">
      <w:pPr>
        <w:pStyle w:val="ARRBBulletLevel1"/>
      </w:pPr>
      <w:r w:rsidRPr="00452B58">
        <w:t xml:space="preserve">environmental benefits, discussed in Section </w:t>
      </w:r>
      <w:r w:rsidRPr="00452B58">
        <w:fldChar w:fldCharType="begin"/>
      </w:r>
      <w:r w:rsidRPr="00452B58">
        <w:instrText xml:space="preserve"> REF _Ref109661342 \r \h </w:instrText>
      </w:r>
      <w:r w:rsidR="00F2517A">
        <w:instrText xml:space="preserve"> \* MERGEFORMAT </w:instrText>
      </w:r>
      <w:r w:rsidRPr="00452B58">
        <w:fldChar w:fldCharType="separate"/>
      </w:r>
      <w:r w:rsidRPr="00452B58">
        <w:t>5.5</w:t>
      </w:r>
      <w:r w:rsidRPr="00452B58">
        <w:fldChar w:fldCharType="end"/>
      </w:r>
      <w:r w:rsidRPr="00452B58">
        <w:t>.</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Changes in operating, environment and asset preservation costs were calculated for rigid trucks and trailers only (as it was assumed there would be no change in VKT for wider prime movers). Safety feature costs and benefits were modelled for rigid trucks, prime movers and trailers, based on the modelled fitment of mandatory safety features to vehicles in the fleet.</w:t>
      </w:r>
    </w:p>
    <w:p w:rsidR="00452B58" w:rsidRPr="00452B58" w:rsidRDefault="00452B58" w:rsidP="00452B58">
      <w:pPr>
        <w:suppressAutoHyphens w:val="0"/>
        <w:spacing w:before="120" w:after="60" w:line="288" w:lineRule="auto"/>
        <w:rPr>
          <w:rFonts w:ascii="Calibri" w:eastAsia="Calibri" w:hAnsi="Calibri" w:cs="Calibri"/>
          <w:color w:val="auto"/>
          <w:kern w:val="0"/>
          <w:sz w:val="22"/>
          <w:szCs w:val="22"/>
        </w:rPr>
      </w:pPr>
      <w:r w:rsidRPr="00452B58">
        <w:rPr>
          <w:rFonts w:ascii="Calibri" w:eastAsia="Calibri" w:hAnsi="Calibri" w:cs="Times New Roman"/>
          <w:color w:val="auto"/>
          <w:kern w:val="0"/>
          <w:sz w:val="22"/>
          <w:szCs w:val="22"/>
        </w:rPr>
        <w:br w:type="page"/>
      </w:r>
    </w:p>
    <w:p w:rsidR="00452B58" w:rsidRPr="00452B58" w:rsidRDefault="00452B58" w:rsidP="00F2517A">
      <w:pPr>
        <w:pStyle w:val="ARRBBaseHeading1"/>
      </w:pPr>
      <w:bookmarkStart w:id="213" w:name="_Toc137731663"/>
      <w:r w:rsidRPr="00452B58">
        <w:t>Costs</w:t>
      </w:r>
      <w:bookmarkEnd w:id="213"/>
    </w:p>
    <w:p w:rsidR="00452B58" w:rsidRPr="00452B58" w:rsidRDefault="00452B58" w:rsidP="00F2517A">
      <w:pPr>
        <w:pStyle w:val="ARRBBaseHeading2"/>
      </w:pPr>
      <w:bookmarkStart w:id="214" w:name="_Toc137731664"/>
      <w:r w:rsidRPr="00452B58">
        <w:t>Government Costs</w:t>
      </w:r>
      <w:bookmarkEnd w:id="214"/>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It was assumed there would be an estimated annual cost of $50,000 per annum for the Department to create, implement and maintain each of the proposed changes. This includes the initial development cost, as well as ongoing standards maintenance and interpretation advice. The value of this cost has been used in other BCA assessments by the Department such as for assessing the ADR for lane-departure warning systems for light vehicles (Department of Infrastructure, Transport, Regional Development and Communications 2021).</w:t>
      </w:r>
    </w:p>
    <w:p w:rsidR="00452B58" w:rsidRPr="00F2517A" w:rsidRDefault="00452B58" w:rsidP="00F2517A">
      <w:pPr>
        <w:pStyle w:val="ARRBBaseHeading2"/>
      </w:pPr>
      <w:bookmarkStart w:id="215" w:name="_Toc137731665"/>
      <w:r w:rsidRPr="00F2517A">
        <w:t>Modification Costs</w:t>
      </w:r>
      <w:bookmarkEnd w:id="215"/>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Modification costs represent the costs to heavy vehicle and trailer manufacturers for the design, production line floor area allocation, and other overheads, in order to increase the width of vehicles and trailers from 2.50 m to the higher width limits of 2.55 m or 2.6 m in the option cases. </w:t>
      </w:r>
    </w:p>
    <w:p w:rsidR="00452B58" w:rsidRPr="00452B58" w:rsidRDefault="00452B58" w:rsidP="009F313A">
      <w:pPr>
        <w:pStyle w:val="ARRBBaseHeading3"/>
      </w:pPr>
      <w:bookmarkStart w:id="216" w:name="_Toc137731666"/>
      <w:r w:rsidRPr="00452B58">
        <w:t>Modification Cost for Heavy Vehicles (Options 1, 2, 3, and 4)</w:t>
      </w:r>
      <w:bookmarkEnd w:id="216"/>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For heavy vehicles, an aggregate-level modification cost of negative $23.75 million per annum was assumed if 100% of the eligible new heavy vehicles were to adopt the higher width limit. This value represents annual cost savings to heavy vehicle manufacturers and it is based on the mid-value of a range estimate (15–‍30 million 2018 AUD) for this cost provided by the Truck Industry Council (Department of Infrastructure, Transport, Regional Development and Communications 2021) and adjusted to 2022 AUD. Advice was received that there may be greater savings for allowing 2.6 m wide vehicles compared to 2.55 m vehicles – in the absence of any specific data, the average above was adjusted by ±10% to provide this distinction.</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cost saving is said to be due to the avoidance of redesigning heavy vehicles currently manufactured overseas based on US and European models which already have the wider width. However, it is anticipated that the new width limit will not be adopted by the entire fleet of heavy vehicles at once but rather will be adopted gradually over time. To reflect this anticipation, the annual value of this cost in each assessable year was adjusted to be proportional to the projected share of new heavy vehicles that increase their width in that year. Corresponding assumptions on the yearly adoption rates of new vehicle width is documented in Section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_Ref107374169 \r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4.3</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w:t>
      </w:r>
    </w:p>
    <w:p w:rsidR="00452B58" w:rsidRPr="009F313A" w:rsidRDefault="00452B58" w:rsidP="009F313A">
      <w:pPr>
        <w:pStyle w:val="ARRBBaseHeading3"/>
      </w:pPr>
      <w:bookmarkStart w:id="217" w:name="_Toc137731667"/>
      <w:r w:rsidRPr="009F313A">
        <w:t>Modification Cost for Heavy Trailers (Options 1 and 3)</w:t>
      </w:r>
      <w:bookmarkEnd w:id="217"/>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For trailers, modification cost will comprise of a once-off retooling cost of the current production line for domestically produced trailers to be able to be produced at 2.55 or 2.6 m width. The full retooling cost was advised by the Heavy Vehicle Industry Australia (HVIA) to be $31 million. For consistency with the vehicle analysis, a distinction between unspecified costs for manufacturing 2.55 or 2.60 m wide trailers was created by varying the full retooling cost by ±10% (i.e. $27.9 million for 2.55 m, and 34.1 million for 2.60 m wide trailers).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yearly value of modification costs for trailer manufacturers assumes the full retooling process (or setup of new local businesses entering the sector) will be completed by the Australian trailer industry over a 40-year period which equates to $697,500 per year for 2.55 m, and $852,500 per year for 2.6 m.</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Imported 2.55 or 2.6 m trailers are assumed to be readily available to enter the Australian market once the current width limit is relaxed. </w:t>
      </w:r>
    </w:p>
    <w:p w:rsidR="00452B58" w:rsidRPr="00F2517A" w:rsidRDefault="00452B58" w:rsidP="00F2517A">
      <w:pPr>
        <w:pStyle w:val="ARRBBaseHeading2"/>
      </w:pPr>
      <w:bookmarkStart w:id="218" w:name="_Toc137731668"/>
      <w:r w:rsidRPr="00F2517A">
        <w:t>Safety Feature Fitment Costs</w:t>
      </w:r>
      <w:bookmarkEnd w:id="218"/>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safety feature fitment cost represents the average incremental wholesale cost of fitting a safety feature. In this analysis, incremental fitment cost of one or more of the seven safety features will be incurred if a heavy vehicle or trailer will increase its width and would have not otherwise taken up the mandated safety feature on a voluntary basis.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incremental safety feature fitment cost in a particular assessment year will therefore depend on the incremental demand for individual safety features in a particular year and the unit fitment cost of each safety feature. Unit fitment costs for safety features are presented in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_Ref107163117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Table </w:t>
      </w:r>
      <w:r w:rsidRPr="00452B58">
        <w:rPr>
          <w:rFonts w:ascii="Calibri" w:eastAsia="Calibri" w:hAnsi="Calibri" w:cs="Calibri"/>
          <w:noProof/>
          <w:color w:val="auto"/>
          <w:kern w:val="0"/>
          <w:sz w:val="22"/>
          <w:szCs w:val="22"/>
        </w:rPr>
        <w:t>3</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The information needed to determine the incremental demand of safety features including total new vehicles to be sold in an assessment year, the share of new vehicles that take up the new width in that year, and the share of new vehicles that will voluntarily take up individual safety features are presented in Section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_Ref107374908 \r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4.2</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19" w:name="_Ref107163117"/>
      <w:bookmarkStart w:id="220" w:name="_Toc117646407"/>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3</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Table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1</w:t>
      </w:r>
      <w:r w:rsidRPr="00452B58">
        <w:rPr>
          <w:rFonts w:ascii="Calibri" w:eastAsia="Calibri" w:hAnsi="Calibri" w:cs="Times New Roman"/>
          <w:b/>
          <w:bCs/>
          <w:noProof/>
          <w:color w:val="67696A"/>
          <w:kern w:val="0"/>
          <w:sz w:val="18"/>
          <w:szCs w:val="22"/>
        </w:rPr>
        <w:fldChar w:fldCharType="end"/>
      </w:r>
      <w:bookmarkEnd w:id="219"/>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Unit fitment cost of safety features</w:t>
      </w:r>
      <w:bookmarkEnd w:id="220"/>
    </w:p>
    <w:tbl>
      <w:tblPr>
        <w:tblStyle w:val="ARRBTableStyle"/>
        <w:tblW w:w="4925" w:type="pct"/>
        <w:tblLayout w:type="fixed"/>
        <w:tblLook w:val="04A0" w:firstRow="1" w:lastRow="0" w:firstColumn="1" w:lastColumn="0" w:noHBand="0" w:noVBand="1"/>
      </w:tblPr>
      <w:tblGrid>
        <w:gridCol w:w="1266"/>
        <w:gridCol w:w="1984"/>
        <w:gridCol w:w="2270"/>
        <w:gridCol w:w="1701"/>
        <w:gridCol w:w="2263"/>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235"/>
        </w:trPr>
        <w:tc>
          <w:tcPr>
            <w:tcW w:w="667" w:type="pct"/>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Safety feature </w:t>
            </w:r>
          </w:p>
        </w:tc>
        <w:tc>
          <w:tcPr>
            <w:tcW w:w="1046" w:type="pct"/>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Unit cost per rigid truck</w:t>
            </w:r>
          </w:p>
        </w:tc>
        <w:tc>
          <w:tcPr>
            <w:tcW w:w="1197" w:type="pct"/>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Unit cost per prime mover</w:t>
            </w:r>
          </w:p>
        </w:tc>
        <w:tc>
          <w:tcPr>
            <w:tcW w:w="897" w:type="pct"/>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Unit cost per trailer</w:t>
            </w:r>
          </w:p>
        </w:tc>
        <w:tc>
          <w:tcPr>
            <w:tcW w:w="1193" w:type="pct"/>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Source</w:t>
            </w:r>
            <w:r w:rsidRPr="00452B58">
              <w:rPr>
                <w:rFonts w:eastAsia="Calibri"/>
                <w:kern w:val="0"/>
                <w:szCs w:val="22"/>
                <w:vertAlign w:val="superscript"/>
              </w:rPr>
              <w:t xml:space="preserve"> (1)</w:t>
            </w:r>
          </w:p>
        </w:tc>
      </w:tr>
      <w:tr w:rsidR="00452B58" w:rsidRPr="00452B58" w:rsidTr="00452B58">
        <w:trPr>
          <w:trHeight w:val="180"/>
        </w:trPr>
        <w:tc>
          <w:tcPr>
            <w:tcW w:w="66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DIV</w:t>
            </w:r>
          </w:p>
        </w:tc>
        <w:tc>
          <w:tcPr>
            <w:tcW w:w="1046"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$1,300</w:t>
            </w:r>
          </w:p>
        </w:tc>
        <w:tc>
          <w:tcPr>
            <w:tcW w:w="119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$1,300</w:t>
            </w:r>
          </w:p>
        </w:tc>
        <w:tc>
          <w:tcPr>
            <w:tcW w:w="89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t>
            </w:r>
          </w:p>
        </w:tc>
        <w:tc>
          <w:tcPr>
            <w:tcW w:w="1193"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Review of market prices</w:t>
            </w:r>
          </w:p>
        </w:tc>
      </w:tr>
      <w:tr w:rsidR="00452B58" w:rsidRPr="00452B58" w:rsidTr="00452B58">
        <w:trPr>
          <w:trHeight w:val="180"/>
        </w:trPr>
        <w:tc>
          <w:tcPr>
            <w:tcW w:w="66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CVB</w:t>
            </w:r>
          </w:p>
        </w:tc>
        <w:tc>
          <w:tcPr>
            <w:tcW w:w="1046"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$1,444</w:t>
            </w:r>
          </w:p>
        </w:tc>
        <w:tc>
          <w:tcPr>
            <w:tcW w:w="119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$1,444</w:t>
            </w:r>
          </w:p>
        </w:tc>
        <w:tc>
          <w:tcPr>
            <w:tcW w:w="89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t>
            </w:r>
          </w:p>
        </w:tc>
        <w:tc>
          <w:tcPr>
            <w:tcW w:w="1193"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ATA (2016)</w:t>
            </w:r>
          </w:p>
        </w:tc>
      </w:tr>
      <w:tr w:rsidR="00452B58" w:rsidRPr="00452B58" w:rsidTr="00452B58">
        <w:trPr>
          <w:trHeight w:val="180"/>
        </w:trPr>
        <w:tc>
          <w:tcPr>
            <w:tcW w:w="66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AEB</w:t>
            </w:r>
          </w:p>
        </w:tc>
        <w:tc>
          <w:tcPr>
            <w:tcW w:w="1046"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$1,804</w:t>
            </w:r>
          </w:p>
        </w:tc>
        <w:tc>
          <w:tcPr>
            <w:tcW w:w="119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$1,804</w:t>
            </w:r>
          </w:p>
        </w:tc>
        <w:tc>
          <w:tcPr>
            <w:tcW w:w="89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t>
            </w:r>
          </w:p>
        </w:tc>
        <w:tc>
          <w:tcPr>
            <w:tcW w:w="1193"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Prime Mover Magazine (2020)</w:t>
            </w:r>
          </w:p>
        </w:tc>
      </w:tr>
      <w:tr w:rsidR="00452B58" w:rsidRPr="00452B58" w:rsidTr="00452B58">
        <w:trPr>
          <w:trHeight w:val="180"/>
        </w:trPr>
        <w:tc>
          <w:tcPr>
            <w:tcW w:w="66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LDW</w:t>
            </w:r>
          </w:p>
        </w:tc>
        <w:tc>
          <w:tcPr>
            <w:tcW w:w="1046"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$2,560</w:t>
            </w:r>
          </w:p>
        </w:tc>
        <w:tc>
          <w:tcPr>
            <w:tcW w:w="119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$2,560</w:t>
            </w:r>
          </w:p>
        </w:tc>
        <w:tc>
          <w:tcPr>
            <w:tcW w:w="89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t>
            </w:r>
          </w:p>
        </w:tc>
        <w:tc>
          <w:tcPr>
            <w:tcW w:w="1193"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US DOT (2012)</w:t>
            </w:r>
          </w:p>
        </w:tc>
      </w:tr>
      <w:tr w:rsidR="00452B58" w:rsidRPr="00452B58" w:rsidTr="00452B58">
        <w:trPr>
          <w:trHeight w:val="180"/>
        </w:trPr>
        <w:tc>
          <w:tcPr>
            <w:tcW w:w="66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BSI</w:t>
            </w:r>
          </w:p>
        </w:tc>
        <w:tc>
          <w:tcPr>
            <w:tcW w:w="1046"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$500</w:t>
            </w:r>
          </w:p>
        </w:tc>
        <w:tc>
          <w:tcPr>
            <w:tcW w:w="119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$500</w:t>
            </w:r>
          </w:p>
        </w:tc>
        <w:tc>
          <w:tcPr>
            <w:tcW w:w="89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t>
            </w:r>
          </w:p>
        </w:tc>
        <w:tc>
          <w:tcPr>
            <w:tcW w:w="1193"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US DOT (2013)</w:t>
            </w:r>
          </w:p>
        </w:tc>
      </w:tr>
      <w:tr w:rsidR="00452B58" w:rsidRPr="00452B58" w:rsidTr="00452B58">
        <w:trPr>
          <w:trHeight w:val="180"/>
        </w:trPr>
        <w:tc>
          <w:tcPr>
            <w:tcW w:w="66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SUP</w:t>
            </w:r>
          </w:p>
        </w:tc>
        <w:tc>
          <w:tcPr>
            <w:tcW w:w="1046"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$1,000</w:t>
            </w:r>
          </w:p>
        </w:tc>
        <w:tc>
          <w:tcPr>
            <w:tcW w:w="119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t>
            </w:r>
          </w:p>
        </w:tc>
        <w:tc>
          <w:tcPr>
            <w:tcW w:w="89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$2,000</w:t>
            </w:r>
          </w:p>
        </w:tc>
        <w:tc>
          <w:tcPr>
            <w:tcW w:w="1193"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Review of market prices</w:t>
            </w:r>
          </w:p>
        </w:tc>
      </w:tr>
      <w:tr w:rsidR="00452B58" w:rsidRPr="00452B58" w:rsidTr="00452B58">
        <w:trPr>
          <w:trHeight w:val="180"/>
        </w:trPr>
        <w:tc>
          <w:tcPr>
            <w:tcW w:w="66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CP</w:t>
            </w:r>
          </w:p>
        </w:tc>
        <w:tc>
          <w:tcPr>
            <w:tcW w:w="1046"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$700</w:t>
            </w:r>
          </w:p>
        </w:tc>
        <w:tc>
          <w:tcPr>
            <w:tcW w:w="119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t>
            </w:r>
          </w:p>
        </w:tc>
        <w:tc>
          <w:tcPr>
            <w:tcW w:w="89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$1,000</w:t>
            </w:r>
          </w:p>
        </w:tc>
        <w:tc>
          <w:tcPr>
            <w:tcW w:w="1193"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Provided by 3M</w:t>
            </w:r>
          </w:p>
        </w:tc>
      </w:tr>
    </w:tbl>
    <w:p w:rsidR="00452B58" w:rsidRPr="00452B58" w:rsidRDefault="00452B58" w:rsidP="00452B58">
      <w:pPr>
        <w:tabs>
          <w:tab w:val="left" w:pos="284"/>
        </w:tabs>
        <w:suppressAutoHyphens w:val="0"/>
        <w:spacing w:before="60" w:after="160"/>
        <w:ind w:left="284" w:hanging="284"/>
        <w:contextualSpacing/>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 xml:space="preserve">All sourced costs converted and indexed to 2022 AUD.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Costs for CVB and AEB are largely provided here for reference. As these technologies are mandated from 2025 onwards in the base case, the costs do not appear within the analysis cases after 2025.</w:t>
      </w:r>
    </w:p>
    <w:p w:rsidR="00452B58" w:rsidRPr="00F2517A" w:rsidRDefault="00452B58" w:rsidP="00F2517A">
      <w:pPr>
        <w:pStyle w:val="ARRBBaseHeading2"/>
      </w:pPr>
      <w:bookmarkStart w:id="221" w:name="_Toc137731669"/>
      <w:r w:rsidRPr="00F2517A">
        <w:t>Safety Feature Maintenance and Repair Costs</w:t>
      </w:r>
      <w:bookmarkEnd w:id="221"/>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Once safety features are fitted to a heavy vehicle or trailers, there is additional cost associated with maintenance such as replacement and repairs to ensure they will continue to operate as expected. The maintenance and operating cost of safety features was assumed to be recurring annually at a rate of 1% of their initial fitment cost. </w:t>
      </w:r>
    </w:p>
    <w:p w:rsidR="00452B58" w:rsidRPr="00F2517A" w:rsidRDefault="00452B58" w:rsidP="00F2517A">
      <w:pPr>
        <w:pStyle w:val="ARRBBaseHeading2"/>
      </w:pPr>
      <w:bookmarkStart w:id="222" w:name="_Toc137731670"/>
      <w:r w:rsidRPr="00F2517A">
        <w:t>Infrastructure Update Costs</w:t>
      </w:r>
      <w:bookmarkEnd w:id="222"/>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In this analysis, no calculation has been made on the impacts for pavement engineering outcomes for two key reasons:</w:t>
      </w:r>
    </w:p>
    <w:p w:rsidR="00452B58" w:rsidRPr="009F313A" w:rsidRDefault="00452B58" w:rsidP="00E248BF">
      <w:pPr>
        <w:pStyle w:val="ARRBNumberList1"/>
        <w:numPr>
          <w:ilvl w:val="0"/>
          <w:numId w:val="90"/>
        </w:numPr>
      </w:pPr>
      <w:r w:rsidRPr="009F313A">
        <w:t>Initial research and analysis indicate that wider vehicles will not have a dramatic effect on infrastructure and will only impact existing infrastructure issues that already need to be addressed for 2.50 m-wide heavy vehicles</w:t>
      </w:r>
    </w:p>
    <w:p w:rsidR="00452B58" w:rsidRPr="009F313A" w:rsidRDefault="00452B58" w:rsidP="00E248BF">
      <w:pPr>
        <w:pStyle w:val="ARRBNumberList1"/>
        <w:numPr>
          <w:ilvl w:val="0"/>
          <w:numId w:val="90"/>
        </w:numPr>
      </w:pPr>
      <w:r w:rsidRPr="009F313A">
        <w:t>The extent of any required treatments is likely to be very small and are expected to lie within the range of existing treatments, meaning that calculations of any additional costs would require a more significant study and detailed analysis.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vertAlign w:val="subscript"/>
        </w:rPr>
      </w:pPr>
      <w:r w:rsidRPr="00452B58">
        <w:rPr>
          <w:rFonts w:ascii="Calibri" w:eastAsia="Calibri" w:hAnsi="Calibri" w:cs="Calibri"/>
          <w:color w:val="auto"/>
          <w:kern w:val="0"/>
          <w:sz w:val="22"/>
          <w:szCs w:val="22"/>
        </w:rPr>
        <w:t xml:space="preserve">A brief discussion of three of the most prominent potential impacts related to widening over the longer term are in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_Ref111137937 \r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Appendix B</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w:t>
      </w:r>
      <w:r w:rsidRPr="00452B58">
        <w:rPr>
          <w:rFonts w:ascii="Calibri" w:eastAsia="Calibri" w:hAnsi="Calibri" w:cs="Calibri"/>
          <w:color w:val="auto"/>
          <w:kern w:val="0"/>
          <w:sz w:val="22"/>
          <w:szCs w:val="22"/>
          <w:vertAlign w:val="subscript"/>
        </w:rPr>
        <w:t xml:space="preserve">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However, it was deemed reasonable to include a small amount of infrastructure investment in response to wider vehicles. Over the 40-year analysis period road managers can reasonably be expected to take some actions in some circumstances. This has been included in the analysis as follows:</w:t>
      </w:r>
    </w:p>
    <w:p w:rsidR="00452B58" w:rsidRPr="00452B58" w:rsidRDefault="00452B58" w:rsidP="009F313A">
      <w:pPr>
        <w:pStyle w:val="ARRBBulletLevel1"/>
      </w:pPr>
      <w:r w:rsidRPr="00452B58">
        <w:t>The annual infrastructure update cost is $10 per wider heavy vehicle entering the network. The $10 per additional vehicle is based on typical annualised lifecycle sealing costs and annualised maintenance costs from Holtrop (2000) adjusted to 2022 AUD.</w:t>
      </w:r>
    </w:p>
    <w:p w:rsidR="00452B58" w:rsidRPr="00452B58" w:rsidRDefault="00452B58" w:rsidP="009F313A">
      <w:pPr>
        <w:pStyle w:val="ARRBBulletLevel1"/>
      </w:pPr>
      <w:r w:rsidRPr="00452B58">
        <w:t xml:space="preserve">A sensitivity analysis of ±20% is applied to this value.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applies to both 2.55 and 2.60 m wide vehicles due to the insignificance of the 0.05 m margin compared to the efficiency requirements of infrastructure upgrades (i.e. both the decision to upgrade and the scale of the upgrade will not be affected by the slight vehicle width difference between these scenarios).</w:t>
      </w:r>
    </w:p>
    <w:p w:rsidR="00452B58" w:rsidRPr="00F2517A" w:rsidRDefault="00452B58" w:rsidP="00F2517A">
      <w:pPr>
        <w:pStyle w:val="ARRBBaseHeading2"/>
      </w:pPr>
      <w:bookmarkStart w:id="223" w:name="_Toc137731671"/>
      <w:r w:rsidRPr="00F2517A">
        <w:t>Summary of Costs</w:t>
      </w:r>
      <w:bookmarkEnd w:id="223"/>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_Ref107168211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Table </w:t>
      </w:r>
      <w:r w:rsidRPr="00452B58">
        <w:rPr>
          <w:rFonts w:ascii="Calibri" w:eastAsia="Calibri" w:hAnsi="Calibri" w:cs="Calibri"/>
          <w:noProof/>
          <w:color w:val="auto"/>
          <w:kern w:val="0"/>
          <w:sz w:val="22"/>
          <w:szCs w:val="22"/>
        </w:rPr>
        <w:t>3</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2</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provides a summary of the costs associated with implementing the option cases.</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24" w:name="_Ref107168211"/>
      <w:bookmarkStart w:id="225" w:name="_Toc117646408"/>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3</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Table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2</w:t>
      </w:r>
      <w:r w:rsidRPr="00452B58">
        <w:rPr>
          <w:rFonts w:ascii="Calibri" w:eastAsia="Calibri" w:hAnsi="Calibri" w:cs="Times New Roman"/>
          <w:b/>
          <w:bCs/>
          <w:noProof/>
          <w:color w:val="67696A"/>
          <w:kern w:val="0"/>
          <w:sz w:val="18"/>
          <w:szCs w:val="22"/>
        </w:rPr>
        <w:fldChar w:fldCharType="end"/>
      </w:r>
      <w:bookmarkEnd w:id="224"/>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Summary of costs associated with the analysis</w:t>
      </w:r>
      <w:bookmarkEnd w:id="225"/>
    </w:p>
    <w:tbl>
      <w:tblPr>
        <w:tblStyle w:val="ARRBTableStyle"/>
        <w:tblW w:w="4995" w:type="pct"/>
        <w:tblLayout w:type="fixed"/>
        <w:tblLook w:val="04A0" w:firstRow="1" w:lastRow="0" w:firstColumn="1" w:lastColumn="0" w:noHBand="0" w:noVBand="1"/>
      </w:tblPr>
      <w:tblGrid>
        <w:gridCol w:w="3815"/>
        <w:gridCol w:w="1556"/>
        <w:gridCol w:w="2691"/>
        <w:gridCol w:w="1556"/>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226"/>
        </w:trPr>
        <w:tc>
          <w:tcPr>
            <w:tcW w:w="1983" w:type="pct"/>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Cost related to </w:t>
            </w:r>
          </w:p>
        </w:tc>
        <w:tc>
          <w:tcPr>
            <w:tcW w:w="809" w:type="pct"/>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Value</w:t>
            </w:r>
          </w:p>
        </w:tc>
        <w:tc>
          <w:tcPr>
            <w:tcW w:w="1399" w:type="pct"/>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Applicability </w:t>
            </w:r>
          </w:p>
        </w:tc>
        <w:tc>
          <w:tcPr>
            <w:tcW w:w="809" w:type="pct"/>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Impact </w:t>
            </w:r>
          </w:p>
        </w:tc>
      </w:tr>
      <w:tr w:rsidR="00452B58" w:rsidRPr="00452B58" w:rsidTr="00452B58">
        <w:trPr>
          <w:trHeight w:val="173"/>
        </w:trPr>
        <w:tc>
          <w:tcPr>
            <w:tcW w:w="1983"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Regulation implementation and maintenance</w:t>
            </w:r>
          </w:p>
        </w:tc>
        <w:tc>
          <w:tcPr>
            <w:tcW w:w="809"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$50,000</w:t>
            </w:r>
          </w:p>
        </w:tc>
        <w:tc>
          <w:tcPr>
            <w:tcW w:w="1399"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Per year</w:t>
            </w:r>
          </w:p>
        </w:tc>
        <w:tc>
          <w:tcPr>
            <w:tcW w:w="809"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Government</w:t>
            </w:r>
          </w:p>
        </w:tc>
      </w:tr>
      <w:tr w:rsidR="00452B58" w:rsidRPr="00452B58" w:rsidTr="00452B58">
        <w:trPr>
          <w:trHeight w:val="173"/>
        </w:trPr>
        <w:tc>
          <w:tcPr>
            <w:tcW w:w="1983"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Widening vehicles (2.55 m)</w:t>
            </w:r>
          </w:p>
        </w:tc>
        <w:tc>
          <w:tcPr>
            <w:tcW w:w="809"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−$213,750</w:t>
            </w:r>
          </w:p>
        </w:tc>
        <w:tc>
          <w:tcPr>
            <w:tcW w:w="1399"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For every 1% of total HVs per year </w:t>
            </w:r>
          </w:p>
        </w:tc>
        <w:tc>
          <w:tcPr>
            <w:tcW w:w="809"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Business </w:t>
            </w:r>
          </w:p>
        </w:tc>
      </w:tr>
      <w:tr w:rsidR="00452B58" w:rsidRPr="00452B58" w:rsidTr="00452B58">
        <w:trPr>
          <w:trHeight w:val="173"/>
        </w:trPr>
        <w:tc>
          <w:tcPr>
            <w:tcW w:w="1983"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Widening vehicles (2.60 m)</w:t>
            </w:r>
          </w:p>
        </w:tc>
        <w:tc>
          <w:tcPr>
            <w:tcW w:w="809"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−$261,250</w:t>
            </w:r>
          </w:p>
        </w:tc>
        <w:tc>
          <w:tcPr>
            <w:tcW w:w="1399"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For every 1% of total HVs per year </w:t>
            </w:r>
          </w:p>
        </w:tc>
        <w:tc>
          <w:tcPr>
            <w:tcW w:w="809"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Business </w:t>
            </w:r>
          </w:p>
        </w:tc>
      </w:tr>
      <w:tr w:rsidR="00452B58" w:rsidRPr="00452B58" w:rsidTr="00452B58">
        <w:trPr>
          <w:trHeight w:val="173"/>
        </w:trPr>
        <w:tc>
          <w:tcPr>
            <w:tcW w:w="1983"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Widening trailers (2.55 m)</w:t>
            </w:r>
          </w:p>
        </w:tc>
        <w:tc>
          <w:tcPr>
            <w:tcW w:w="809"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$697,500</w:t>
            </w:r>
          </w:p>
        </w:tc>
        <w:tc>
          <w:tcPr>
            <w:tcW w:w="1399"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Per year</w:t>
            </w:r>
          </w:p>
        </w:tc>
        <w:tc>
          <w:tcPr>
            <w:tcW w:w="809"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Business</w:t>
            </w:r>
          </w:p>
        </w:tc>
      </w:tr>
      <w:tr w:rsidR="00452B58" w:rsidRPr="00452B58" w:rsidTr="00452B58">
        <w:trPr>
          <w:trHeight w:val="173"/>
        </w:trPr>
        <w:tc>
          <w:tcPr>
            <w:tcW w:w="1983"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Widening trailers (2.60 m)</w:t>
            </w:r>
          </w:p>
        </w:tc>
        <w:tc>
          <w:tcPr>
            <w:tcW w:w="809"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$852,500</w:t>
            </w:r>
          </w:p>
        </w:tc>
        <w:tc>
          <w:tcPr>
            <w:tcW w:w="1399"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Per year</w:t>
            </w:r>
          </w:p>
        </w:tc>
        <w:tc>
          <w:tcPr>
            <w:tcW w:w="809"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Business</w:t>
            </w:r>
          </w:p>
        </w:tc>
      </w:tr>
      <w:tr w:rsidR="00452B58" w:rsidRPr="00452B58" w:rsidTr="00452B58">
        <w:trPr>
          <w:trHeight w:val="173"/>
        </w:trPr>
        <w:tc>
          <w:tcPr>
            <w:tcW w:w="1983"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Safety feature fitment </w:t>
            </w:r>
          </w:p>
        </w:tc>
        <w:tc>
          <w:tcPr>
            <w:tcW w:w="809"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Refer to </w:t>
            </w:r>
            <w:r w:rsidRPr="00452B58">
              <w:rPr>
                <w:rFonts w:eastAsia="Calibri" w:cs="Times New Roman"/>
                <w:kern w:val="0"/>
                <w:szCs w:val="22"/>
              </w:rPr>
              <w:fldChar w:fldCharType="begin"/>
            </w:r>
            <w:r w:rsidRPr="00452B58">
              <w:rPr>
                <w:rFonts w:eastAsia="Calibri" w:cs="Times New Roman"/>
                <w:kern w:val="0"/>
                <w:szCs w:val="22"/>
              </w:rPr>
              <w:instrText xml:space="preserve"> REF _Ref107163117 \h  \* MERGEFORMAT </w:instrText>
            </w:r>
            <w:r w:rsidRPr="00452B58">
              <w:rPr>
                <w:rFonts w:eastAsia="Calibri" w:cs="Times New Roman"/>
                <w:kern w:val="0"/>
                <w:szCs w:val="22"/>
              </w:rPr>
            </w:r>
            <w:r w:rsidRPr="00452B58">
              <w:rPr>
                <w:rFonts w:eastAsia="Calibri" w:cs="Times New Roman"/>
                <w:kern w:val="0"/>
                <w:szCs w:val="22"/>
              </w:rPr>
              <w:fldChar w:fldCharType="separate"/>
            </w:r>
            <w:r w:rsidRPr="00452B58">
              <w:rPr>
                <w:rFonts w:eastAsia="Calibri" w:cs="Times New Roman"/>
                <w:kern w:val="0"/>
                <w:szCs w:val="22"/>
              </w:rPr>
              <w:t>Table 3.1</w:t>
            </w:r>
            <w:r w:rsidRPr="00452B58">
              <w:rPr>
                <w:rFonts w:eastAsia="Calibri" w:cs="Times New Roman"/>
                <w:kern w:val="0"/>
                <w:szCs w:val="22"/>
              </w:rPr>
              <w:fldChar w:fldCharType="end"/>
            </w:r>
          </w:p>
        </w:tc>
        <w:tc>
          <w:tcPr>
            <w:tcW w:w="1399"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Per vehicle </w:t>
            </w:r>
          </w:p>
        </w:tc>
        <w:tc>
          <w:tcPr>
            <w:tcW w:w="809"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Business</w:t>
            </w:r>
          </w:p>
        </w:tc>
      </w:tr>
      <w:tr w:rsidR="00452B58" w:rsidRPr="00452B58" w:rsidTr="00452B58">
        <w:trPr>
          <w:trHeight w:val="173"/>
        </w:trPr>
        <w:tc>
          <w:tcPr>
            <w:tcW w:w="1983"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Safety feature maintenance and repair </w:t>
            </w:r>
          </w:p>
        </w:tc>
        <w:tc>
          <w:tcPr>
            <w:tcW w:w="809"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 of fitment cost</w:t>
            </w:r>
          </w:p>
        </w:tc>
        <w:tc>
          <w:tcPr>
            <w:tcW w:w="1399"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Per vehicle per year</w:t>
            </w:r>
          </w:p>
        </w:tc>
        <w:tc>
          <w:tcPr>
            <w:tcW w:w="809"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Business </w:t>
            </w:r>
          </w:p>
        </w:tc>
      </w:tr>
      <w:tr w:rsidR="00452B58" w:rsidRPr="00452B58" w:rsidTr="00452B58">
        <w:trPr>
          <w:trHeight w:val="173"/>
        </w:trPr>
        <w:tc>
          <w:tcPr>
            <w:tcW w:w="1983"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Updating road infrastructure to support wider HV fleet </w:t>
            </w:r>
          </w:p>
        </w:tc>
        <w:tc>
          <w:tcPr>
            <w:tcW w:w="809"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$10</w:t>
            </w:r>
          </w:p>
        </w:tc>
        <w:tc>
          <w:tcPr>
            <w:tcW w:w="1399"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Per vehicle per year </w:t>
            </w:r>
          </w:p>
        </w:tc>
        <w:tc>
          <w:tcPr>
            <w:tcW w:w="809"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Government</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120" w:after="60" w:line="288" w:lineRule="auto"/>
        <w:rPr>
          <w:rFonts w:ascii="Calibri" w:eastAsia="Calibri" w:hAnsi="Calibri" w:cs="Calibri"/>
          <w:color w:val="auto"/>
          <w:kern w:val="0"/>
          <w:sz w:val="22"/>
          <w:szCs w:val="22"/>
        </w:rPr>
      </w:pPr>
      <w:r w:rsidRPr="00452B58">
        <w:rPr>
          <w:rFonts w:ascii="Calibri" w:eastAsia="Calibri" w:hAnsi="Calibri" w:cs="Times New Roman"/>
          <w:color w:val="auto"/>
          <w:kern w:val="0"/>
          <w:sz w:val="22"/>
          <w:szCs w:val="22"/>
        </w:rPr>
        <w:br w:type="page"/>
      </w:r>
    </w:p>
    <w:p w:rsidR="00452B58" w:rsidRPr="00452B58" w:rsidRDefault="00452B58" w:rsidP="00F2517A">
      <w:pPr>
        <w:pStyle w:val="ARRBBaseHeading1"/>
      </w:pPr>
      <w:bookmarkStart w:id="226" w:name="_Toc137731672"/>
      <w:r w:rsidRPr="00452B58">
        <w:t>Demand Forecasts</w:t>
      </w:r>
      <w:bookmarkEnd w:id="226"/>
    </w:p>
    <w:p w:rsidR="00452B58" w:rsidRPr="00F2517A" w:rsidRDefault="00452B58" w:rsidP="00F2517A">
      <w:pPr>
        <w:pStyle w:val="ARRBBaseHeading2"/>
      </w:pPr>
      <w:bookmarkStart w:id="227" w:name="_Toc137731673"/>
      <w:r w:rsidRPr="00F2517A">
        <w:t>Key Assumption</w:t>
      </w:r>
      <w:bookmarkEnd w:id="227"/>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Demand forecasts are the projected number of vehicles and trailers that will adopt the wider widths in the option cases.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To account for the impact of proposed ADR changes on the uptake of new vehicle width and safety features, projected total vehicle numbers were established first which was used as the basis for differentiating fleet share by vehicle width and safety features for each option case.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 key assumption for projected vehicle numbers under all ADR options was that the total fleet size is same as the base case. All projections were made for new vehicles.</w:t>
      </w:r>
    </w:p>
    <w:p w:rsidR="00452B58" w:rsidRPr="00F2517A" w:rsidRDefault="00452B58" w:rsidP="00F2517A">
      <w:pPr>
        <w:pStyle w:val="ARRBBaseHeading2"/>
      </w:pPr>
      <w:bookmarkStart w:id="228" w:name="_Ref107374908"/>
      <w:bookmarkStart w:id="229" w:name="_Toc137731674"/>
      <w:r w:rsidRPr="00F2517A">
        <w:t>Projected Total Fleet Size</w:t>
      </w:r>
      <w:bookmarkEnd w:id="228"/>
      <w:bookmarkEnd w:id="229"/>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In this analysis, the total fleet of heavy vehicles is projected to grow at 2% per annum and the total fleet of trailers at 3.3% per annum. As the policy effective year is only assumed to be 15 years, new heavy vehicles and trailers that will have entered into the fleet after 2038 were not included for analysis. From 2048, new vehicles that entered the fleet at the start of the assessment (2023) will begin exiting the assessable fleet as they reach the end of their assumed 25-year life. The initial total heavy vehicle fleet size in 2023 was calculated based on historical heavy vehicle sales data provided directly by the Truck Industry Council. The initial trailer fleet size in 2023 was calculated based on historical trailer registration data sourced from Australian Bureau of Statistics (2021).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In addition to new vehicles and trailers that may choose to adopt new widths, some existing trailers (10%) may also choose to adopt a higher width in the option case.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_Ref107377237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 xml:space="preserve">Figure </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presents the projected fleet of heavy vehicles and trailers that may respond to the new width included in the options cases. The incremental costs and benefits associated with each option case are based only on the fleet size shown in this Figure.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br w:type="page"/>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30" w:name="_Ref107377237"/>
      <w:bookmarkStart w:id="231" w:name="_Toc117646433"/>
      <w:r w:rsidRPr="00452B58">
        <w:rPr>
          <w:rFonts w:ascii="Calibri" w:eastAsia="Calibri" w:hAnsi="Calibri" w:cs="Times New Roman"/>
          <w:b/>
          <w:bCs/>
          <w:color w:val="67696A"/>
          <w:kern w:val="0"/>
          <w:sz w:val="18"/>
          <w:szCs w:val="22"/>
        </w:rPr>
        <w:t xml:space="preserve">Figure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Figure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1</w:t>
      </w:r>
      <w:r w:rsidRPr="00452B58">
        <w:rPr>
          <w:rFonts w:ascii="Calibri" w:eastAsia="Calibri" w:hAnsi="Calibri" w:cs="Times New Roman"/>
          <w:b/>
          <w:bCs/>
          <w:noProof/>
          <w:color w:val="67696A"/>
          <w:kern w:val="0"/>
          <w:sz w:val="18"/>
          <w:szCs w:val="22"/>
        </w:rPr>
        <w:fldChar w:fldCharType="end"/>
      </w:r>
      <w:bookmarkEnd w:id="230"/>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Projected total fleet size over the analysis period</w:t>
      </w:r>
      <w:bookmarkEnd w:id="231"/>
    </w:p>
    <w:p w:rsidR="00452B58" w:rsidRPr="00452B58" w:rsidRDefault="00452B58" w:rsidP="00452B58">
      <w:pPr>
        <w:suppressAutoHyphens w:val="0"/>
        <w:spacing w:before="0" w:after="0" w:line="288" w:lineRule="auto"/>
        <w:rPr>
          <w:rFonts w:ascii="Arial" w:eastAsia="Calibri" w:hAnsi="Arial" w:cs="Times New Roman"/>
          <w:color w:val="auto"/>
          <w:kern w:val="0"/>
          <w:sz w:val="18"/>
          <w:szCs w:val="22"/>
        </w:rPr>
      </w:pPr>
    </w:p>
    <w:p w:rsidR="00452B58" w:rsidRPr="00452B58" w:rsidRDefault="00452B58" w:rsidP="00452B58">
      <w:pPr>
        <w:suppressAutoHyphens w:val="0"/>
        <w:spacing w:before="0" w:after="0" w:line="288" w:lineRule="auto"/>
        <w:rPr>
          <w:rFonts w:ascii="Arial" w:eastAsia="Calibri" w:hAnsi="Arial" w:cs="Times New Roman"/>
          <w:color w:val="auto"/>
          <w:kern w:val="0"/>
          <w:sz w:val="18"/>
          <w:szCs w:val="22"/>
        </w:rPr>
      </w:pPr>
      <w:r w:rsidRPr="00452B58">
        <w:rPr>
          <w:rFonts w:ascii="Arial" w:eastAsia="Calibri" w:hAnsi="Arial" w:cs="Times New Roman"/>
          <w:noProof/>
          <w:color w:val="auto"/>
          <w:kern w:val="0"/>
          <w:sz w:val="18"/>
          <w:szCs w:val="22"/>
        </w:rPr>
        <w:drawing>
          <wp:inline distT="0" distB="0" distL="0" distR="0" wp14:anchorId="56B557F7" wp14:editId="05FC7C18">
            <wp:extent cx="6120130" cy="3238500"/>
            <wp:effectExtent l="0" t="0" r="13970" b="0"/>
            <wp:docPr id="2782" name="Chart 2782">
              <a:extLst xmlns:a="http://schemas.openxmlformats.org/drawingml/2006/main">
                <a:ext uri="{FF2B5EF4-FFF2-40B4-BE49-F238E27FC236}">
                  <a16:creationId xmlns:a16="http://schemas.microsoft.com/office/drawing/2014/main" id="{9110E96A-8B4B-95A9-E7D3-931279509D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452B58" w:rsidRPr="00F2517A" w:rsidRDefault="00452B58" w:rsidP="00F2517A">
      <w:pPr>
        <w:pStyle w:val="ARRBBaseHeading2"/>
      </w:pPr>
      <w:bookmarkStart w:id="232" w:name="_Ref107381567"/>
      <w:bookmarkStart w:id="233" w:name="_Toc137731675"/>
      <w:bookmarkStart w:id="234" w:name="_Ref107374169"/>
      <w:r w:rsidRPr="00F2517A">
        <w:t>Projected Uptake of new Width Vehicles</w:t>
      </w:r>
      <w:bookmarkEnd w:id="232"/>
      <w:bookmarkEnd w:id="233"/>
      <w:r w:rsidRPr="00F2517A">
        <w:t xml:space="preserve"> </w:t>
      </w:r>
      <w:bookmarkEnd w:id="234"/>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 key driver of the impact of regulation changes proposed in this analysis is the number of heavy vehicles and trailers adopting a higher width under the new width limits. To simplify the analysis, it was assumed that width increases under each option case will be for the full allowable width, rather than a variety of intermediate widths.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Further, in the BAU, 1 and 2 option cases, there is between 0.5% and 1% of the fleet that will exceed the width limit due to the either non-compliance or exemptions. In the BAU case, 99% of the total fleet was assumed to have a 2.50 m width throughout the assessment period with the remaining 1% of the total fleet split in half at 2.55 m and 2.6 m.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In the option cases, the adoption rate of new width is assumed to depend on the country of origin of heavy vehicles and trailers. This is because the higher width limit represents a concessional regulatory change and the adoption of new widths in response by manufacturers will therefore be voluntary on a profit-maximising basis.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Fully imported models, or base chassis from Europe and the US will cease to be offered at 2.50 m as overseas manufacturers elect to forego the expense of the modifications or alternative production lines. This is expected to occur over a very short time frame, for which 2 years has been selected.</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Japanese and South Korean manufacturers will continue to provide 2.50 m wide vehicles and chassis as the Australian market is only a fraction of their customer base and there will still be a demand in Australia for 2.50 m wide vehicles. Over the 40-year analysis period there will be a modest move by these manufacturers towards offering some wider models.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Australian manufacturers (body builders, etc.) will increasingly adapt to wider vehicles due to:</w:t>
      </w:r>
    </w:p>
    <w:p w:rsidR="00452B58" w:rsidRPr="00452B58" w:rsidRDefault="00452B58" w:rsidP="0012775D">
      <w:pPr>
        <w:pStyle w:val="ARRBBulletLevel1"/>
      </w:pPr>
      <w:r w:rsidRPr="00452B58">
        <w:t>European and US chassis quickly becoming available only at the wider limit while there will still be a demand for these popular vehicle makes (i.e. cannot switch over entirely to Japanese and South Korean chassis)</w:t>
      </w:r>
    </w:p>
    <w:p w:rsidR="00452B58" w:rsidRPr="00452B58" w:rsidRDefault="00452B58" w:rsidP="0012775D">
      <w:pPr>
        <w:pStyle w:val="ARRBBulletLevel1"/>
      </w:pPr>
      <w:r w:rsidRPr="00452B58">
        <w:t xml:space="preserve">The significant benefits of widening to refrigerated vehicles will ensure an immediate and sustained demand for wider vehicles, with more modest benefits to other vehicle types.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Trailer fleet growth rate by importation status was taken as:</w:t>
      </w:r>
    </w:p>
    <w:p w:rsidR="00452B58" w:rsidRPr="00452B58" w:rsidRDefault="00452B58" w:rsidP="009F313A">
      <w:pPr>
        <w:pStyle w:val="ARRBBulletLevel1"/>
      </w:pPr>
      <w:r w:rsidRPr="00452B58">
        <w:t>Imported: 4% (from a current market share of 7.5%)</w:t>
      </w:r>
    </w:p>
    <w:p w:rsidR="00452B58" w:rsidRPr="00452B58" w:rsidRDefault="00452B58" w:rsidP="009F313A">
      <w:pPr>
        <w:pStyle w:val="ARRBBulletLevel1"/>
      </w:pPr>
      <w:r w:rsidRPr="00452B58">
        <w:t>Domestic: 3% (from a current market share of 92.5%).</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is due to supply of wider trailers via import being more readily available from the outset of the analysis period than from local trailer manufacturers. The result is a shift in the market share towards imported trailers; however, it is assumed that this will not be dramatic because:</w:t>
      </w:r>
    </w:p>
    <w:p w:rsidR="00452B58" w:rsidRPr="00452B58" w:rsidRDefault="00452B58" w:rsidP="009F313A">
      <w:pPr>
        <w:pStyle w:val="ARRBBulletLevel1"/>
      </w:pPr>
      <w:r w:rsidRPr="00452B58">
        <w:t>Overseas manufacturers are already capable of bringing cheaper 2.50 m wide trailers to the Australian market, but this has not resulted in a dominant market share.</w:t>
      </w:r>
    </w:p>
    <w:p w:rsidR="00452B58" w:rsidRPr="00452B58" w:rsidRDefault="00452B58" w:rsidP="009F313A">
      <w:pPr>
        <w:pStyle w:val="ARRBBulletLevel1"/>
      </w:pPr>
      <w:r w:rsidRPr="00452B58">
        <w:t>As domestic manufacture adapts over time to have the capability to produce (or modify) wider trailers, the current local market demand for quality, customised trailers produced locally will reassert itself.</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As an illustration of this approach,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_Ref112326093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 xml:space="preserve">Figure </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2</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to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_Ref112326100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 xml:space="preserve">Figure </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present the projected distribution of width for heavy vehicles manufactured in USA/Europe, Japan/South Korea, and Australia respectively for Option 1. Similarly,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_Ref107390726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 xml:space="preserve">Figure </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5</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and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_Ref107390745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 xml:space="preserve">Figure </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present the projected distribution of width of imported and domestically manufactured trailers due to Option 1. In all these charts, the assumed trends were applied for the 15-year regulatory period only and held to be constant thereafter for the remainder of the analysis period to capture the impact of the currently proposed ADR changes. The same approach is used for Options 2, 3, and 4.</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sectPr w:rsidR="00452B58" w:rsidRPr="00452B58" w:rsidSect="00452B58">
          <w:headerReference w:type="default" r:id="rId87"/>
          <w:footerReference w:type="default" r:id="rId88"/>
          <w:pgSz w:w="11906" w:h="16838" w:code="9"/>
          <w:pgMar w:top="1134" w:right="1134" w:bottom="1134" w:left="1134" w:header="680" w:footer="284" w:gutter="0"/>
          <w:pgNumType w:start="1"/>
          <w:cols w:space="567"/>
          <w:docGrid w:linePitch="360"/>
        </w:sect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sectPr w:rsidR="00452B58" w:rsidRPr="00452B58" w:rsidSect="00452B58">
          <w:pgSz w:w="16838" w:h="11906" w:orient="landscape" w:code="9"/>
          <w:pgMar w:top="1134" w:right="1134" w:bottom="1134" w:left="1134" w:header="680" w:footer="284" w:gutter="0"/>
          <w:cols w:space="567"/>
          <w:docGrid w:linePitch="360"/>
        </w:sectPr>
      </w:pPr>
      <w:bookmarkStart w:id="235" w:name="_Ref107390679"/>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36" w:name="_Ref112326093"/>
      <w:bookmarkStart w:id="237" w:name="_Toc117646434"/>
      <w:r w:rsidRPr="00452B58">
        <w:rPr>
          <w:rFonts w:ascii="Calibri" w:eastAsia="Calibri" w:hAnsi="Calibri" w:cs="Times New Roman"/>
          <w:b/>
          <w:bCs/>
          <w:color w:val="67696A"/>
          <w:kern w:val="0"/>
          <w:sz w:val="18"/>
          <w:szCs w:val="22"/>
        </w:rPr>
        <w:t xml:space="preserve">Figure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Figure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2</w:t>
      </w:r>
      <w:r w:rsidRPr="00452B58">
        <w:rPr>
          <w:rFonts w:ascii="Calibri" w:eastAsia="Calibri" w:hAnsi="Calibri" w:cs="Times New Roman"/>
          <w:b/>
          <w:bCs/>
          <w:noProof/>
          <w:color w:val="67696A"/>
          <w:kern w:val="0"/>
          <w:sz w:val="18"/>
          <w:szCs w:val="22"/>
        </w:rPr>
        <w:fldChar w:fldCharType="end"/>
      </w:r>
      <w:bookmarkEnd w:id="235"/>
      <w:bookmarkEnd w:id="236"/>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Adoption rate of new width by heavy vehicles manufactured in USA and Europe in Option 1</w:t>
      </w:r>
      <w:bookmarkEnd w:id="237"/>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noProof/>
          <w:color w:val="auto"/>
          <w:kern w:val="0"/>
          <w:sz w:val="22"/>
          <w:szCs w:val="22"/>
        </w:rPr>
        <w:drawing>
          <wp:inline distT="0" distB="0" distL="0" distR="0" wp14:anchorId="423164A2" wp14:editId="7BEE725D">
            <wp:extent cx="3562350" cy="1990725"/>
            <wp:effectExtent l="0" t="0" r="0" b="9525"/>
            <wp:docPr id="2783" name="Chart 2783">
              <a:extLst xmlns:a="http://schemas.openxmlformats.org/drawingml/2006/main">
                <a:ext uri="{FF2B5EF4-FFF2-40B4-BE49-F238E27FC236}">
                  <a16:creationId xmlns:a16="http://schemas.microsoft.com/office/drawing/2014/main" id="{34E3672F-4EC7-C6AA-3C2A-8BD53CB96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38" w:name="_Toc117646435"/>
      <w:r w:rsidRPr="00452B58">
        <w:rPr>
          <w:rFonts w:ascii="Calibri" w:eastAsia="Calibri" w:hAnsi="Calibri" w:cs="Times New Roman"/>
          <w:b/>
          <w:bCs/>
          <w:color w:val="67696A"/>
          <w:kern w:val="0"/>
          <w:sz w:val="18"/>
          <w:szCs w:val="22"/>
        </w:rPr>
        <w:t xml:space="preserve">Figure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Figure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3</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Adoption rate of new width by heavy vehicles manufactured in Japan and South Korea in Option 1</w:t>
      </w:r>
      <w:bookmarkEnd w:id="238"/>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noProof/>
          <w:color w:val="auto"/>
          <w:kern w:val="0"/>
          <w:sz w:val="22"/>
          <w:szCs w:val="22"/>
        </w:rPr>
        <w:drawing>
          <wp:inline distT="0" distB="0" distL="0" distR="0" wp14:anchorId="05A65FFC" wp14:editId="5ABD064F">
            <wp:extent cx="3571875" cy="1990725"/>
            <wp:effectExtent l="0" t="0" r="9525" b="9525"/>
            <wp:docPr id="2784" name="Chart 2784">
              <a:extLst xmlns:a="http://schemas.openxmlformats.org/drawingml/2006/main">
                <a:ext uri="{FF2B5EF4-FFF2-40B4-BE49-F238E27FC236}">
                  <a16:creationId xmlns:a16="http://schemas.microsoft.com/office/drawing/2014/main" id="{5A94CB27-BC1C-7D1C-28AC-C713CAAB03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bookmarkStart w:id="239" w:name="_Ref107390698"/>
    </w:p>
    <w:p w:rsidR="00452B58" w:rsidRPr="00452B58" w:rsidRDefault="00452B58" w:rsidP="00E248BF">
      <w:pPr>
        <w:numPr>
          <w:ilvl w:val="0"/>
          <w:numId w:val="77"/>
        </w:numPr>
        <w:tabs>
          <w:tab w:val="left" w:pos="709"/>
        </w:tabs>
        <w:suppressAutoHyphens w:val="0"/>
        <w:spacing w:before="60" w:after="160" w:line="259" w:lineRule="auto"/>
        <w:ind w:left="709" w:hanging="709"/>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Note:</w:t>
      </w:r>
      <w:r w:rsidRPr="00452B58">
        <w:rPr>
          <w:rFonts w:ascii="Calibri" w:eastAsia="Calibri" w:hAnsi="Calibri" w:cs="Times New Roman"/>
          <w:iCs/>
          <w:color w:val="454647"/>
          <w:kern w:val="0"/>
          <w:sz w:val="18"/>
          <w:szCs w:val="22"/>
        </w:rPr>
        <w:tab/>
        <w:t>The analysis assumes 100% adaption of 2.55 m imported models from Japan and South Korea over 25 years. Therefore there is a 60% increase during the 15-year regulatory period, held constant thereafter due to the unknown regulatory environment (i.e. beyond the impact of the currently proposed ADRs).</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40" w:name="_Ref112326100"/>
      <w:bookmarkStart w:id="241" w:name="_Toc117646436"/>
      <w:r w:rsidRPr="00452B58">
        <w:rPr>
          <w:rFonts w:ascii="Calibri" w:eastAsia="Calibri" w:hAnsi="Calibri" w:cs="Times New Roman"/>
          <w:b/>
          <w:bCs/>
          <w:color w:val="67696A"/>
          <w:kern w:val="0"/>
          <w:sz w:val="18"/>
          <w:szCs w:val="22"/>
        </w:rPr>
        <w:t xml:space="preserve">Figure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Figure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noProof/>
          <w:color w:val="67696A"/>
          <w:kern w:val="0"/>
          <w:sz w:val="18"/>
          <w:szCs w:val="22"/>
        </w:rPr>
        <w:fldChar w:fldCharType="end"/>
      </w:r>
      <w:bookmarkEnd w:id="239"/>
      <w:bookmarkEnd w:id="240"/>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Adoption rate of new width by heavy vehicles manufactured in Australia in Option 1</w:t>
      </w:r>
      <w:bookmarkEnd w:id="241"/>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noProof/>
          <w:color w:val="auto"/>
          <w:kern w:val="0"/>
          <w:sz w:val="22"/>
          <w:szCs w:val="22"/>
        </w:rPr>
        <w:drawing>
          <wp:inline distT="0" distB="0" distL="0" distR="0" wp14:anchorId="20A7F4A5" wp14:editId="66611FA7">
            <wp:extent cx="3562350" cy="2038350"/>
            <wp:effectExtent l="0" t="0" r="0" b="0"/>
            <wp:docPr id="2785" name="Chart 2785">
              <a:extLst xmlns:a="http://schemas.openxmlformats.org/drawingml/2006/main">
                <a:ext uri="{FF2B5EF4-FFF2-40B4-BE49-F238E27FC236}">
                  <a16:creationId xmlns:a16="http://schemas.microsoft.com/office/drawing/2014/main" id="{3D221F32-5E93-544F-1152-6A194F3318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br w:type="page"/>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42" w:name="_Ref107390726"/>
      <w:bookmarkStart w:id="243" w:name="_Toc117646437"/>
      <w:r w:rsidRPr="00452B58">
        <w:rPr>
          <w:rFonts w:ascii="Calibri" w:eastAsia="Calibri" w:hAnsi="Calibri" w:cs="Times New Roman"/>
          <w:b/>
          <w:bCs/>
          <w:color w:val="67696A"/>
          <w:kern w:val="0"/>
          <w:sz w:val="18"/>
          <w:szCs w:val="22"/>
        </w:rPr>
        <w:t xml:space="preserve">Figure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Figure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noProof/>
          <w:color w:val="67696A"/>
          <w:kern w:val="0"/>
          <w:sz w:val="18"/>
          <w:szCs w:val="22"/>
        </w:rPr>
        <w:fldChar w:fldCharType="end"/>
      </w:r>
      <w:bookmarkEnd w:id="242"/>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Adoption rate of new width by imported trailers in Option 1</w:t>
      </w:r>
      <w:bookmarkEnd w:id="243"/>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noProof/>
          <w:color w:val="auto"/>
          <w:kern w:val="0"/>
          <w:sz w:val="22"/>
          <w:szCs w:val="22"/>
        </w:rPr>
        <w:drawing>
          <wp:inline distT="0" distB="0" distL="0" distR="0" wp14:anchorId="37082EF9" wp14:editId="4FFED01C">
            <wp:extent cx="3571875" cy="1905000"/>
            <wp:effectExtent l="0" t="0" r="9525" b="0"/>
            <wp:docPr id="15" name="Chart 15">
              <a:extLst xmlns:a="http://schemas.openxmlformats.org/drawingml/2006/main">
                <a:ext uri="{FF2B5EF4-FFF2-40B4-BE49-F238E27FC236}">
                  <a16:creationId xmlns:a16="http://schemas.microsoft.com/office/drawing/2014/main" id="{F57F7FD5-FAAE-C0AE-6578-32BE1FB8B6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44" w:name="_Ref107390745"/>
      <w:bookmarkStart w:id="245" w:name="_Toc117646438"/>
      <w:r w:rsidRPr="00452B58">
        <w:rPr>
          <w:rFonts w:ascii="Calibri" w:eastAsia="Calibri" w:hAnsi="Calibri" w:cs="Times New Roman"/>
          <w:b/>
          <w:bCs/>
          <w:color w:val="67696A"/>
          <w:kern w:val="0"/>
          <w:sz w:val="18"/>
          <w:szCs w:val="22"/>
        </w:rPr>
        <w:t xml:space="preserve">Figure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Figure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noProof/>
          <w:color w:val="67696A"/>
          <w:kern w:val="0"/>
          <w:sz w:val="18"/>
          <w:szCs w:val="22"/>
        </w:rPr>
        <w:fldChar w:fldCharType="end"/>
      </w:r>
      <w:bookmarkEnd w:id="244"/>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Adoption rate of new width by heavy trailer manufacturers in Australia in Option 1</w:t>
      </w:r>
      <w:bookmarkEnd w:id="245"/>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noProof/>
          <w:color w:val="auto"/>
          <w:kern w:val="0"/>
          <w:sz w:val="22"/>
          <w:szCs w:val="22"/>
        </w:rPr>
        <w:drawing>
          <wp:inline distT="0" distB="0" distL="0" distR="0" wp14:anchorId="7D82B136" wp14:editId="19D56C2A">
            <wp:extent cx="3476625" cy="1828800"/>
            <wp:effectExtent l="0" t="0" r="9525" b="0"/>
            <wp:docPr id="2786" name="Chart 2786">
              <a:extLst xmlns:a="http://schemas.openxmlformats.org/drawingml/2006/main">
                <a:ext uri="{FF2B5EF4-FFF2-40B4-BE49-F238E27FC236}">
                  <a16:creationId xmlns:a16="http://schemas.microsoft.com/office/drawing/2014/main" id="{375D0835-3676-DE95-1590-217113246E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452B58" w:rsidRPr="00452B58" w:rsidRDefault="00452B58" w:rsidP="00E248BF">
      <w:pPr>
        <w:numPr>
          <w:ilvl w:val="0"/>
          <w:numId w:val="77"/>
        </w:numPr>
        <w:tabs>
          <w:tab w:val="left" w:pos="709"/>
        </w:tabs>
        <w:suppressAutoHyphens w:val="0"/>
        <w:spacing w:before="60" w:after="160" w:line="259" w:lineRule="auto"/>
        <w:ind w:left="709" w:hanging="709"/>
        <w:rPr>
          <w:rFonts w:ascii="Calibri" w:eastAsia="Calibri" w:hAnsi="Calibri" w:cs="Times New Roman"/>
          <w:iCs/>
          <w:color w:val="454647"/>
          <w:kern w:val="0"/>
          <w:sz w:val="18"/>
          <w:szCs w:val="22"/>
        </w:rPr>
        <w:sectPr w:rsidR="00452B58" w:rsidRPr="00452B58" w:rsidSect="00452B58">
          <w:type w:val="continuous"/>
          <w:pgSz w:w="16838" w:h="11906" w:orient="landscape" w:code="9"/>
          <w:pgMar w:top="1134" w:right="1134" w:bottom="1134" w:left="1134" w:header="680" w:footer="284" w:gutter="0"/>
          <w:cols w:num="2" w:space="567"/>
          <w:docGrid w:linePitch="360"/>
        </w:sectPr>
      </w:pPr>
      <w:r w:rsidRPr="00452B58">
        <w:rPr>
          <w:rFonts w:ascii="Calibri" w:eastAsia="Calibri" w:hAnsi="Calibri" w:cs="Times New Roman"/>
          <w:iCs/>
          <w:color w:val="454647"/>
          <w:kern w:val="0"/>
          <w:sz w:val="18"/>
          <w:szCs w:val="22"/>
        </w:rPr>
        <w:t>Note:</w:t>
      </w:r>
      <w:r w:rsidRPr="00452B58">
        <w:rPr>
          <w:rFonts w:ascii="Calibri" w:eastAsia="Calibri" w:hAnsi="Calibri" w:cs="Times New Roman"/>
          <w:iCs/>
          <w:color w:val="454647"/>
          <w:kern w:val="0"/>
          <w:sz w:val="18"/>
          <w:szCs w:val="22"/>
        </w:rPr>
        <w:tab/>
        <w:t>The analysis assumes 100% adaption of 2.55 m locally,manufactured over 40 years. Therefore there is a 38% increase during the 15-year regulatory period, held constant thereafter due to the unknown regulatory environment (i.e. beyond the impact of the currently proposed ADRs).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sectPr w:rsidR="00452B58" w:rsidRPr="00452B58" w:rsidSect="00452B58">
          <w:type w:val="continuous"/>
          <w:pgSz w:w="16838" w:h="11906" w:orient="landscape" w:code="9"/>
          <w:pgMar w:top="1134" w:right="1134" w:bottom="1134" w:left="1134" w:header="680" w:footer="284" w:gutter="0"/>
          <w:pgNumType w:start="1"/>
          <w:cols w:space="567"/>
          <w:docGrid w:linePitch="360"/>
        </w:sect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Finally, the market shares by country of origin in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_Ref107390578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are used to the estimate fleet size. Together with projected new width uptake rates for each country of origin and project total fleet size, projected fleet size by width can then be aggregated across the countries of origin with the same width in each year.     </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46" w:name="_Ref107390578"/>
      <w:bookmarkStart w:id="247" w:name="_Toc117646409"/>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Table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1</w:t>
      </w:r>
      <w:r w:rsidRPr="00452B58">
        <w:rPr>
          <w:rFonts w:ascii="Calibri" w:eastAsia="Calibri" w:hAnsi="Calibri" w:cs="Times New Roman"/>
          <w:b/>
          <w:bCs/>
          <w:noProof/>
          <w:color w:val="67696A"/>
          <w:kern w:val="0"/>
          <w:sz w:val="18"/>
          <w:szCs w:val="22"/>
        </w:rPr>
        <w:fldChar w:fldCharType="end"/>
      </w:r>
      <w:bookmarkEnd w:id="246"/>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Market share of vehicles and trailers by country of origin</w:t>
      </w:r>
      <w:bookmarkEnd w:id="247"/>
    </w:p>
    <w:tbl>
      <w:tblPr>
        <w:tblStyle w:val="ARRBTableStyle"/>
        <w:tblW w:w="5000" w:type="pct"/>
        <w:tblLayout w:type="fixed"/>
        <w:tblLook w:val="04A0" w:firstRow="1" w:lastRow="0" w:firstColumn="1" w:lastColumn="0" w:noHBand="0" w:noVBand="1"/>
      </w:tblPr>
      <w:tblGrid>
        <w:gridCol w:w="3480"/>
        <w:gridCol w:w="2942"/>
        <w:gridCol w:w="3206"/>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189"/>
        </w:trPr>
        <w:tc>
          <w:tcPr>
            <w:tcW w:w="1807" w:type="pct"/>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Type </w:t>
            </w:r>
          </w:p>
        </w:tc>
        <w:tc>
          <w:tcPr>
            <w:tcW w:w="1528" w:type="pct"/>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Countries of origin</w:t>
            </w:r>
          </w:p>
        </w:tc>
        <w:tc>
          <w:tcPr>
            <w:tcW w:w="1665" w:type="pct"/>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Market share</w:t>
            </w:r>
          </w:p>
        </w:tc>
      </w:tr>
      <w:tr w:rsidR="00452B58" w:rsidRPr="00452B58" w:rsidTr="00452B58">
        <w:trPr>
          <w:trHeight w:val="144"/>
        </w:trPr>
        <w:tc>
          <w:tcPr>
            <w:tcW w:w="1807" w:type="pct"/>
            <w:vMerge w:val="restar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Heavy vehicles</w:t>
            </w:r>
          </w:p>
        </w:tc>
        <w:tc>
          <w:tcPr>
            <w:tcW w:w="1528"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USA and Europe </w:t>
            </w:r>
          </w:p>
        </w:tc>
        <w:tc>
          <w:tcPr>
            <w:tcW w:w="1665"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27.5%</w:t>
            </w:r>
          </w:p>
        </w:tc>
      </w:tr>
      <w:tr w:rsidR="00452B58" w:rsidRPr="00452B58" w:rsidTr="00452B58">
        <w:trPr>
          <w:trHeight w:val="144"/>
        </w:trPr>
        <w:tc>
          <w:tcPr>
            <w:tcW w:w="1807" w:type="pct"/>
            <w:vMerge/>
          </w:tcPr>
          <w:p w:rsidR="00452B58" w:rsidRPr="00452B58" w:rsidRDefault="00452B58" w:rsidP="00452B58">
            <w:pPr>
              <w:keepNext/>
              <w:suppressAutoHyphens w:val="0"/>
              <w:spacing w:before="40" w:after="40"/>
              <w:rPr>
                <w:rFonts w:eastAsia="Calibri" w:cs="Times New Roman"/>
                <w:kern w:val="0"/>
                <w:szCs w:val="22"/>
              </w:rPr>
            </w:pPr>
          </w:p>
        </w:tc>
        <w:tc>
          <w:tcPr>
            <w:tcW w:w="1528"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Japan and Korea</w:t>
            </w:r>
          </w:p>
        </w:tc>
        <w:tc>
          <w:tcPr>
            <w:tcW w:w="1665"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37.4%</w:t>
            </w:r>
          </w:p>
        </w:tc>
      </w:tr>
      <w:tr w:rsidR="00452B58" w:rsidRPr="00452B58" w:rsidTr="00452B58">
        <w:trPr>
          <w:trHeight w:val="144"/>
        </w:trPr>
        <w:tc>
          <w:tcPr>
            <w:tcW w:w="1807" w:type="pct"/>
            <w:vMerge/>
          </w:tcPr>
          <w:p w:rsidR="00452B58" w:rsidRPr="00452B58" w:rsidRDefault="00452B58" w:rsidP="00452B58">
            <w:pPr>
              <w:keepNext/>
              <w:suppressAutoHyphens w:val="0"/>
              <w:spacing w:before="40" w:after="40"/>
              <w:rPr>
                <w:rFonts w:eastAsia="Calibri" w:cs="Times New Roman"/>
                <w:kern w:val="0"/>
                <w:szCs w:val="22"/>
              </w:rPr>
            </w:pPr>
          </w:p>
        </w:tc>
        <w:tc>
          <w:tcPr>
            <w:tcW w:w="1528"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Australia</w:t>
            </w:r>
          </w:p>
        </w:tc>
        <w:tc>
          <w:tcPr>
            <w:tcW w:w="1665"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35.1%</w:t>
            </w:r>
          </w:p>
        </w:tc>
      </w:tr>
      <w:tr w:rsidR="00452B58" w:rsidRPr="00452B58" w:rsidTr="00452B58">
        <w:trPr>
          <w:trHeight w:val="144"/>
        </w:trPr>
        <w:tc>
          <w:tcPr>
            <w:tcW w:w="1807" w:type="pct"/>
            <w:vMerge w:val="restar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Trailers</w:t>
            </w:r>
          </w:p>
        </w:tc>
        <w:tc>
          <w:tcPr>
            <w:tcW w:w="1528"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Imported </w:t>
            </w:r>
          </w:p>
        </w:tc>
        <w:tc>
          <w:tcPr>
            <w:tcW w:w="1665"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7.5%</w:t>
            </w:r>
          </w:p>
        </w:tc>
      </w:tr>
      <w:tr w:rsidR="00452B58" w:rsidRPr="00452B58" w:rsidTr="00452B58">
        <w:trPr>
          <w:trHeight w:val="144"/>
        </w:trPr>
        <w:tc>
          <w:tcPr>
            <w:tcW w:w="1807" w:type="pct"/>
            <w:vMerge/>
          </w:tcPr>
          <w:p w:rsidR="00452B58" w:rsidRPr="00452B58" w:rsidRDefault="00452B58" w:rsidP="00452B58">
            <w:pPr>
              <w:keepNext/>
              <w:suppressAutoHyphens w:val="0"/>
              <w:spacing w:before="40" w:after="40"/>
              <w:rPr>
                <w:rFonts w:eastAsia="Calibri" w:cs="Times New Roman"/>
                <w:kern w:val="0"/>
                <w:szCs w:val="22"/>
              </w:rPr>
            </w:pPr>
          </w:p>
        </w:tc>
        <w:tc>
          <w:tcPr>
            <w:tcW w:w="1528"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Australia</w:t>
            </w:r>
          </w:p>
        </w:tc>
        <w:tc>
          <w:tcPr>
            <w:tcW w:w="1665"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92.5%</w:t>
            </w:r>
          </w:p>
        </w:tc>
      </w:tr>
    </w:tbl>
    <w:p w:rsidR="00452B58" w:rsidRPr="00452B58" w:rsidRDefault="00452B58" w:rsidP="009F313A">
      <w:pPr>
        <w:tabs>
          <w:tab w:val="left" w:pos="709"/>
        </w:tabs>
        <w:suppressAutoHyphens w:val="0"/>
        <w:spacing w:before="60" w:after="160" w:line="259" w:lineRule="auto"/>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Source:</w:t>
      </w:r>
      <w:r w:rsidRPr="00452B58">
        <w:rPr>
          <w:rFonts w:ascii="Calibri" w:eastAsia="Calibri" w:hAnsi="Calibri" w:cs="Times New Roman"/>
          <w:iCs/>
          <w:color w:val="454647"/>
          <w:kern w:val="0"/>
          <w:sz w:val="18"/>
          <w:szCs w:val="22"/>
        </w:rPr>
        <w:tab/>
        <w:t>Department of Infrastructure, Transport, Regional Development and Communications (2021).</w:t>
      </w:r>
    </w:p>
    <w:p w:rsidR="00452B58" w:rsidRPr="00452B58" w:rsidRDefault="00452B58" w:rsidP="00452B58">
      <w:pPr>
        <w:suppressAutoHyphens w:val="0"/>
        <w:spacing w:before="120" w:after="60" w:line="288" w:lineRule="auto"/>
        <w:rPr>
          <w:rFonts w:ascii="Arial" w:eastAsia="Calibri" w:hAnsi="Arial" w:cs="Arial"/>
          <w:color w:val="000000"/>
          <w:kern w:val="0"/>
          <w:sz w:val="18"/>
          <w:szCs w:val="18"/>
        </w:rPr>
      </w:pPr>
      <w:r w:rsidRPr="00452B58">
        <w:rPr>
          <w:rFonts w:ascii="Calibri" w:eastAsia="Calibri" w:hAnsi="Calibri" w:cs="Times New Roman"/>
          <w:color w:val="auto"/>
          <w:kern w:val="0"/>
          <w:sz w:val="22"/>
          <w:szCs w:val="22"/>
        </w:rPr>
        <w:br w:type="page"/>
      </w:r>
    </w:p>
    <w:p w:rsidR="00452B58" w:rsidRPr="00452B58" w:rsidRDefault="00452B58" w:rsidP="00F2517A">
      <w:pPr>
        <w:pStyle w:val="ARRBBaseHeading1"/>
      </w:pPr>
      <w:bookmarkStart w:id="248" w:name="_Toc137731676"/>
      <w:r w:rsidRPr="00452B58">
        <w:t>Benefits</w:t>
      </w:r>
      <w:bookmarkEnd w:id="248"/>
    </w:p>
    <w:p w:rsidR="00452B58" w:rsidRPr="00F2517A" w:rsidRDefault="00452B58" w:rsidP="00F2517A">
      <w:pPr>
        <w:pStyle w:val="ARRBBaseHeading2"/>
      </w:pPr>
      <w:bookmarkStart w:id="249" w:name="_Toc137731677"/>
      <w:r w:rsidRPr="00F2517A">
        <w:t>Included Benefits</w:t>
      </w:r>
      <w:bookmarkEnd w:id="249"/>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type and scale of the benefits depend on the exact change in each ADR option and the level of compliance or take-up of the proposed ADR change.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With the introduction of a higher width limit, the following benefits are expected:</w:t>
      </w:r>
    </w:p>
    <w:p w:rsidR="00452B58" w:rsidRPr="00452B58" w:rsidRDefault="00452B58" w:rsidP="009F313A">
      <w:pPr>
        <w:pStyle w:val="ARRBBulletLevel1"/>
      </w:pPr>
      <w:r w:rsidRPr="00452B58">
        <w:t xml:space="preserve">Safety – crash reduction due to mandatory fitment of safety features for HVs and trailers that adopt the new width AND lower probability of crashes due to reduced need for travel as a result of more productive vehicle configurations. </w:t>
      </w:r>
    </w:p>
    <w:p w:rsidR="00452B58" w:rsidRPr="00452B58" w:rsidRDefault="00452B58" w:rsidP="009F313A">
      <w:pPr>
        <w:pStyle w:val="ARRBBulletLevel1"/>
      </w:pPr>
      <w:r w:rsidRPr="00452B58">
        <w:t xml:space="preserve">Asset preservation – reduction in pavement maintenance cost due to less road use as a result of more productive (wider) vehicles. </w:t>
      </w:r>
    </w:p>
    <w:p w:rsidR="00452B58" w:rsidRPr="00452B58" w:rsidRDefault="00452B58" w:rsidP="009F313A">
      <w:pPr>
        <w:pStyle w:val="ARRBBulletLevel1"/>
      </w:pPr>
      <w:r w:rsidRPr="00452B58">
        <w:t>Environment – reduction in environmental pollution due to more productive and more efficient vehicle configurations.</w:t>
      </w:r>
    </w:p>
    <w:p w:rsidR="00452B58" w:rsidRPr="00452B58" w:rsidRDefault="00452B58" w:rsidP="009F313A">
      <w:pPr>
        <w:pStyle w:val="ARRBBulletLevel1"/>
      </w:pPr>
      <w:r w:rsidRPr="00452B58">
        <w:t>Vehicle operating cost (VOC) – reduction in the cost to maintain and fuel freight movements due to more productive vehicle configurations.</w:t>
      </w:r>
    </w:p>
    <w:p w:rsidR="00452B58" w:rsidRPr="00F2517A" w:rsidRDefault="00452B58" w:rsidP="00F2517A">
      <w:pPr>
        <w:pStyle w:val="ARRBBaseHeading2"/>
      </w:pPr>
      <w:bookmarkStart w:id="250" w:name="_Toc137731678"/>
      <w:r w:rsidRPr="00F2517A">
        <w:t>Safety Benefits</w:t>
      </w:r>
      <w:bookmarkEnd w:id="250"/>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Crash cost refers to the fatality and injury costs associated with traffic accidents that involve heavy vehicles and trailers. The expected crash cost of a single heavy vehicle or trailer in a year can be estimated by multiplying the average crash rate of a particular type of crash (number of crashes per distance travelled) by the total distance travelled by a vehicle or trailer in a year. The expected crash cost of one vehicle in a year can then be estimated by multiplying the average cost per crash by the expected number of crashes per vehicle per year. Finally, the total crash cost of the entire fleet in a year can be estimated by multiplying the crash cost of a single vehicle to the fleet size in a year.</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Compared to the BAU case, the adoption of new widths by some vehicles in the assessable fleet can affect the safety outcome in two ways. First, wider vehicles could mean more productive freight movement or carrying more freight per trip, and this would translate to a lower distance of travel made by a widened vehicle per year assuming the total moveable freight task is fixed in both scenarios. Second, the proposed regulation requires the fitment of seven safety features on a widened vehicle. This will generate additional benefit if the mandated safety features have not been adopted voluntarily by the widened vehicles prior. </w:t>
      </w:r>
    </w:p>
    <w:p w:rsidR="00452B58" w:rsidRPr="00452B58" w:rsidRDefault="00452B58" w:rsidP="009F313A">
      <w:pPr>
        <w:pStyle w:val="ARRBBaseHeading3"/>
      </w:pPr>
      <w:bookmarkStart w:id="251" w:name="_Toc137731679"/>
      <w:r w:rsidRPr="00452B58">
        <w:t>Trip Reduction (Crash Exposure and Productivity)</w:t>
      </w:r>
      <w:bookmarkEnd w:id="251"/>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To assess the first channel of safety impact, average yearly travel for a vehicle before and after widening is required. The calculations to determine these are shown in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_Ref111126248 \r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Appendix C</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and the results presented in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_Ref111139415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5</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br w:type="page"/>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52" w:name="_Ref111139415"/>
      <w:bookmarkStart w:id="253" w:name="_Ref111139411"/>
      <w:bookmarkStart w:id="254" w:name="_Toc117646410"/>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Table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1</w:t>
      </w:r>
      <w:r w:rsidRPr="00452B58">
        <w:rPr>
          <w:rFonts w:ascii="Calibri" w:eastAsia="Calibri" w:hAnsi="Calibri" w:cs="Times New Roman"/>
          <w:b/>
          <w:bCs/>
          <w:noProof/>
          <w:color w:val="67696A"/>
          <w:kern w:val="0"/>
          <w:sz w:val="18"/>
          <w:szCs w:val="22"/>
        </w:rPr>
        <w:fldChar w:fldCharType="end"/>
      </w:r>
      <w:bookmarkEnd w:id="252"/>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Average annual km travelled per vehicle type in the analysis</w:t>
      </w:r>
      <w:bookmarkEnd w:id="253"/>
      <w:bookmarkEnd w:id="254"/>
    </w:p>
    <w:tbl>
      <w:tblPr>
        <w:tblStyle w:val="ARRBTableStyle"/>
        <w:tblW w:w="9639" w:type="dxa"/>
        <w:tblLayout w:type="fixed"/>
        <w:tblLook w:val="04A0" w:firstRow="1" w:lastRow="0" w:firstColumn="1" w:lastColumn="0" w:noHBand="0" w:noVBand="1"/>
      </w:tblPr>
      <w:tblGrid>
        <w:gridCol w:w="2552"/>
        <w:gridCol w:w="1303"/>
        <w:gridCol w:w="1446"/>
        <w:gridCol w:w="1446"/>
        <w:gridCol w:w="1446"/>
        <w:gridCol w:w="1446"/>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300"/>
        </w:trPr>
        <w:tc>
          <w:tcPr>
            <w:tcW w:w="2552" w:type="dxa"/>
            <w:noWrap/>
            <w:hideMark/>
          </w:tcPr>
          <w:p w:rsidR="00452B58" w:rsidRPr="00452B58" w:rsidRDefault="00452B58" w:rsidP="00452B58">
            <w:pPr>
              <w:keepNext/>
              <w:suppressAutoHyphens w:val="0"/>
              <w:spacing w:before="40" w:after="40"/>
              <w:jc w:val="center"/>
              <w:rPr>
                <w:rFonts w:eastAsia="Calibri"/>
                <w:kern w:val="0"/>
                <w:szCs w:val="22"/>
                <w:lang w:eastAsia="en-AU"/>
              </w:rPr>
            </w:pPr>
          </w:p>
        </w:tc>
        <w:tc>
          <w:tcPr>
            <w:tcW w:w="1303" w:type="dxa"/>
            <w:noWrap/>
            <w:hideMark/>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Base case</w:t>
            </w:r>
          </w:p>
        </w:tc>
        <w:tc>
          <w:tcPr>
            <w:tcW w:w="1446" w:type="dxa"/>
            <w:noWrap/>
            <w:hideMark/>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1</w:t>
            </w:r>
          </w:p>
        </w:tc>
        <w:tc>
          <w:tcPr>
            <w:tcW w:w="1446" w:type="dxa"/>
            <w:noWrap/>
            <w:hideMark/>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2</w:t>
            </w:r>
          </w:p>
        </w:tc>
        <w:tc>
          <w:tcPr>
            <w:tcW w:w="1446" w:type="dxa"/>
            <w:noWrap/>
            <w:hideMark/>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3</w:t>
            </w:r>
          </w:p>
        </w:tc>
        <w:tc>
          <w:tcPr>
            <w:tcW w:w="1446" w:type="dxa"/>
            <w:noWrap/>
            <w:hideMark/>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4</w:t>
            </w:r>
          </w:p>
        </w:tc>
      </w:tr>
      <w:tr w:rsidR="00452B58" w:rsidRPr="00452B58" w:rsidTr="00452B58">
        <w:trPr>
          <w:trHeight w:val="300"/>
        </w:trPr>
        <w:tc>
          <w:tcPr>
            <w:tcW w:w="2552"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Refrigerated HV (&gt; 4.5 t)</w:t>
            </w:r>
          </w:p>
        </w:tc>
        <w:tc>
          <w:tcPr>
            <w:tcW w:w="1303"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64,357</w:t>
            </w:r>
          </w:p>
        </w:tc>
        <w:tc>
          <w:tcPr>
            <w:tcW w:w="1446"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64,357</w:t>
            </w:r>
          </w:p>
        </w:tc>
        <w:tc>
          <w:tcPr>
            <w:tcW w:w="1446"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64,357</w:t>
            </w:r>
          </w:p>
        </w:tc>
        <w:tc>
          <w:tcPr>
            <w:tcW w:w="1446"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64,357</w:t>
            </w:r>
          </w:p>
        </w:tc>
        <w:tc>
          <w:tcPr>
            <w:tcW w:w="1446"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64,357</w:t>
            </w:r>
          </w:p>
        </w:tc>
      </w:tr>
      <w:tr w:rsidR="00452B58" w:rsidRPr="00452B58" w:rsidTr="00452B58">
        <w:trPr>
          <w:trHeight w:val="300"/>
        </w:trPr>
        <w:tc>
          <w:tcPr>
            <w:tcW w:w="2552"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Non-refrigerated HV (&gt; 4.5 t)</w:t>
            </w:r>
          </w:p>
        </w:tc>
        <w:tc>
          <w:tcPr>
            <w:tcW w:w="1303"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64,357</w:t>
            </w:r>
          </w:p>
        </w:tc>
        <w:tc>
          <w:tcPr>
            <w:tcW w:w="1446"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63,823</w:t>
            </w:r>
          </w:p>
        </w:tc>
        <w:tc>
          <w:tcPr>
            <w:tcW w:w="1446"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63,095</w:t>
            </w:r>
          </w:p>
        </w:tc>
        <w:tc>
          <w:tcPr>
            <w:tcW w:w="1446"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63,309</w:t>
            </w:r>
          </w:p>
        </w:tc>
        <w:tc>
          <w:tcPr>
            <w:tcW w:w="1446"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61,882</w:t>
            </w:r>
          </w:p>
        </w:tc>
      </w:tr>
      <w:tr w:rsidR="00452B58" w:rsidRPr="00452B58" w:rsidTr="00452B58">
        <w:trPr>
          <w:trHeight w:val="300"/>
        </w:trPr>
        <w:tc>
          <w:tcPr>
            <w:tcW w:w="2552"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Refrigerated trailers (&gt; 4.5 t)</w:t>
            </w:r>
          </w:p>
        </w:tc>
        <w:tc>
          <w:tcPr>
            <w:tcW w:w="1303"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86,000</w:t>
            </w:r>
          </w:p>
        </w:tc>
        <w:tc>
          <w:tcPr>
            <w:tcW w:w="1446"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86,000</w:t>
            </w:r>
          </w:p>
        </w:tc>
        <w:tc>
          <w:tcPr>
            <w:tcW w:w="1446" w:type="dxa"/>
            <w:vMerge w:val="restart"/>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p>
          <w:p w:rsidR="00452B58" w:rsidRPr="00452B58" w:rsidRDefault="00452B58" w:rsidP="00452B58">
            <w:pPr>
              <w:keepNext/>
              <w:suppressAutoHyphens w:val="0"/>
              <w:spacing w:before="40" w:after="40"/>
              <w:jc w:val="center"/>
              <w:rPr>
                <w:rFonts w:eastAsia="Calibri" w:cs="Times New Roman"/>
                <w:kern w:val="0"/>
                <w:szCs w:val="22"/>
                <w:lang w:eastAsia="en-AU"/>
              </w:rPr>
            </w:pPr>
          </w:p>
        </w:tc>
        <w:tc>
          <w:tcPr>
            <w:tcW w:w="1446"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86,000</w:t>
            </w:r>
          </w:p>
        </w:tc>
        <w:tc>
          <w:tcPr>
            <w:tcW w:w="1446" w:type="dxa"/>
            <w:vMerge w:val="restart"/>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p>
          <w:p w:rsidR="00452B58" w:rsidRPr="00452B58" w:rsidRDefault="00452B58" w:rsidP="00452B58">
            <w:pPr>
              <w:keepNext/>
              <w:suppressAutoHyphens w:val="0"/>
              <w:spacing w:before="40" w:after="40"/>
              <w:jc w:val="center"/>
              <w:rPr>
                <w:rFonts w:eastAsia="Calibri" w:cs="Times New Roman"/>
                <w:kern w:val="0"/>
                <w:szCs w:val="22"/>
                <w:lang w:eastAsia="en-AU"/>
              </w:rPr>
            </w:pPr>
          </w:p>
        </w:tc>
      </w:tr>
      <w:tr w:rsidR="00452B58" w:rsidRPr="00452B58" w:rsidTr="00452B58">
        <w:trPr>
          <w:trHeight w:val="300"/>
        </w:trPr>
        <w:tc>
          <w:tcPr>
            <w:tcW w:w="2552"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Non-refrigerated trailers (&gt; 4.5 t)</w:t>
            </w:r>
          </w:p>
        </w:tc>
        <w:tc>
          <w:tcPr>
            <w:tcW w:w="1303"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86,000</w:t>
            </w:r>
          </w:p>
        </w:tc>
        <w:tc>
          <w:tcPr>
            <w:tcW w:w="1446"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85,286</w:t>
            </w:r>
          </w:p>
        </w:tc>
        <w:tc>
          <w:tcPr>
            <w:tcW w:w="1446" w:type="dxa"/>
            <w:vMerge/>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p>
        </w:tc>
        <w:tc>
          <w:tcPr>
            <w:tcW w:w="1446"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84,600</w:t>
            </w:r>
          </w:p>
        </w:tc>
        <w:tc>
          <w:tcPr>
            <w:tcW w:w="1446" w:type="dxa"/>
            <w:vMerge/>
            <w:noWrap/>
            <w:hideMark/>
          </w:tcPr>
          <w:p w:rsidR="00452B58" w:rsidRPr="00452B58" w:rsidRDefault="00452B58" w:rsidP="00452B58">
            <w:pPr>
              <w:keepNext/>
              <w:suppressAutoHyphens w:val="0"/>
              <w:spacing w:before="40" w:after="40"/>
              <w:rPr>
                <w:rFonts w:eastAsia="Calibri" w:cs="Times New Roman"/>
                <w:kern w:val="0"/>
                <w:szCs w:val="22"/>
                <w:lang w:eastAsia="en-AU"/>
              </w:rPr>
            </w:pP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Since trip reduction is an important factor in the analysis, this has been included in the sensitivity analysis.</w:t>
      </w:r>
    </w:p>
    <w:p w:rsidR="00452B58" w:rsidRPr="00452B58" w:rsidRDefault="00452B58" w:rsidP="009F313A">
      <w:pPr>
        <w:pStyle w:val="ARRBBaseHeading3"/>
      </w:pPr>
      <w:bookmarkStart w:id="255" w:name="_Toc137731680"/>
      <w:r w:rsidRPr="00452B58">
        <w:t>Crash Rates for Wider Vehicles</w:t>
      </w:r>
      <w:bookmarkEnd w:id="255"/>
      <w:r w:rsidRPr="00452B58">
        <w:t xml:space="preserve">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An increase in crashes due to wider vehicles has not been demonstrated (e.g. in NZ 2.55 m wide heavy vehicles have operated since 2017 without any reported increase in accident rates). However, it was decided to provide a sensitivity analysis for crash rates in wider vehicles based on:</w:t>
      </w:r>
    </w:p>
    <w:p w:rsidR="00452B58" w:rsidRPr="00452B58" w:rsidRDefault="00452B58" w:rsidP="009F313A">
      <w:pPr>
        <w:pStyle w:val="ARRBBulletLevel1"/>
      </w:pPr>
      <w:r w:rsidRPr="00452B58">
        <w:t>a possible increase in crash rates due to vehicles being wider due to driver misjudgement and increased errors by other motorists</w:t>
      </w:r>
    </w:p>
    <w:p w:rsidR="00452B58" w:rsidRPr="00452B58" w:rsidRDefault="00452B58" w:rsidP="009F313A">
      <w:pPr>
        <w:pStyle w:val="ARRBBulletLevel1"/>
      </w:pPr>
      <w:r w:rsidRPr="00452B58">
        <w:t>a possible reduction in some crash types, particularly roll overs due to the greater stability in wider vehicles and potential lowering of the centre of gravity through some design changes.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Both of these possibilities lack data to quantify their impact, but an estimate was conducted to determine the potential magnitude of each effect and a result of ±0.05% to the crash rate for the 2.50 m fleet of 9.17 fatalities per billion VKT (BITRE 2020) was estimated.  As these effects are opposed they cancel each other out.</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_Ref111127220 \r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Appendix D</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describes how the ±0.5% impact was determined.</w:t>
      </w:r>
    </w:p>
    <w:p w:rsidR="00452B58" w:rsidRPr="00452B58" w:rsidRDefault="00452B58" w:rsidP="009F313A">
      <w:pPr>
        <w:pStyle w:val="ARRBBaseHeading3"/>
      </w:pPr>
      <w:bookmarkStart w:id="256" w:name="_Toc137731681"/>
      <w:r w:rsidRPr="00452B58">
        <w:t>Crash Modification Factors</w:t>
      </w:r>
      <w:bookmarkEnd w:id="256"/>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To account for the impact of safety features, it is necessary to first estimate the BAU adoption rate of each of the safety features in order to establish the incremental impact of mandating them as a condition for adopting the new width. The BAU safety feature adoption rates are derived from a variety of sources including the Truck Industry Council for the adoption rates of CVB, AEB, and LDW. The BAU adoption rate of CP is based on private correspondence with a large CP provider (3M). However there is a lack of data that can be used for establishing the BAU adoption rates of DIV. BSI and SUP. To move forward, it was assumed that DIV and BSI will be adopted at 50% of the rate of AEB and SUP will be adopted at the same rate as CP.</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_Ref107498299 \h  \* MERGEFORMAT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 xml:space="preserve">Figure </w:t>
      </w:r>
      <w:r w:rsidRPr="00452B58">
        <w:rPr>
          <w:rFonts w:ascii="Calibri" w:eastAsia="Calibri" w:hAnsi="Calibri" w:cs="Calibri"/>
          <w:noProof/>
          <w:color w:val="auto"/>
          <w:kern w:val="0"/>
          <w:sz w:val="22"/>
          <w:szCs w:val="22"/>
        </w:rPr>
        <w:t>5.1</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presents the BAU adoption rates of the seven safety features within the assessment period. The adoption rates for CVB and AEB in this Figure account for the fact that they will become mandatory in their separate ADRs from 2023 (new models) and 2025 (for new vehicles).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br w:type="page"/>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57" w:name="_Ref107498299"/>
      <w:bookmarkStart w:id="258" w:name="_Toc117646439"/>
      <w:r w:rsidRPr="00452B58">
        <w:rPr>
          <w:rFonts w:ascii="Calibri" w:eastAsia="Calibri" w:hAnsi="Calibri" w:cs="Times New Roman"/>
          <w:b/>
          <w:bCs/>
          <w:color w:val="67696A"/>
          <w:kern w:val="0"/>
          <w:sz w:val="18"/>
          <w:szCs w:val="22"/>
        </w:rPr>
        <w:t xml:space="preserve">Figure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Figure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1</w:t>
      </w:r>
      <w:r w:rsidRPr="00452B58">
        <w:rPr>
          <w:rFonts w:ascii="Calibri" w:eastAsia="Calibri" w:hAnsi="Calibri" w:cs="Times New Roman"/>
          <w:b/>
          <w:bCs/>
          <w:noProof/>
          <w:color w:val="67696A"/>
          <w:kern w:val="0"/>
          <w:sz w:val="18"/>
          <w:szCs w:val="22"/>
        </w:rPr>
        <w:fldChar w:fldCharType="end"/>
      </w:r>
      <w:bookmarkEnd w:id="257"/>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BAU adoption rate of safety features by heavy vehicles and trailers</w:t>
      </w:r>
      <w:bookmarkEnd w:id="258"/>
      <w:r w:rsidRPr="00452B58">
        <w:rPr>
          <w:rFonts w:ascii="Calibri" w:eastAsia="Calibri" w:hAnsi="Calibri" w:cs="Times New Roman"/>
          <w:b/>
          <w:bCs/>
          <w:color w:val="67696A"/>
          <w:kern w:val="0"/>
          <w:sz w:val="18"/>
          <w:szCs w:val="22"/>
        </w:rPr>
        <w:t xml:space="preserve"> </w:t>
      </w:r>
    </w:p>
    <w:p w:rsidR="00452B58" w:rsidRPr="00452B58" w:rsidRDefault="00452B58" w:rsidP="00452B58">
      <w:pPr>
        <w:suppressAutoHyphens w:val="0"/>
        <w:spacing w:before="0" w:after="0" w:line="288" w:lineRule="auto"/>
        <w:rPr>
          <w:rFonts w:ascii="Arial" w:eastAsia="Calibri" w:hAnsi="Arial" w:cs="Times New Roman"/>
          <w:color w:val="auto"/>
          <w:kern w:val="0"/>
          <w:sz w:val="18"/>
          <w:szCs w:val="22"/>
        </w:rPr>
      </w:pPr>
      <w:r w:rsidRPr="00452B58">
        <w:rPr>
          <w:rFonts w:ascii="Arial" w:eastAsia="Calibri" w:hAnsi="Arial" w:cs="Times New Roman"/>
          <w:color w:val="auto"/>
          <w:kern w:val="0"/>
          <w:sz w:val="18"/>
          <w:szCs w:val="22"/>
        </w:rPr>
        <w:t xml:space="preserve">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noProof/>
          <w:color w:val="auto"/>
          <w:kern w:val="0"/>
          <w:sz w:val="22"/>
          <w:szCs w:val="22"/>
        </w:rPr>
        <w:drawing>
          <wp:inline distT="0" distB="0" distL="0" distR="0" wp14:anchorId="2BA3515D" wp14:editId="337528EA">
            <wp:extent cx="5108389" cy="3119718"/>
            <wp:effectExtent l="0" t="0" r="16510" b="5080"/>
            <wp:docPr id="2787" name="Chart 2787">
              <a:extLst xmlns:a="http://schemas.openxmlformats.org/drawingml/2006/main">
                <a:ext uri="{FF2B5EF4-FFF2-40B4-BE49-F238E27FC236}">
                  <a16:creationId xmlns:a16="http://schemas.microsoft.com/office/drawing/2014/main" id="{9E976C98-752E-1BC0-1247-C997D45F9E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Due to the mandatory nature of their fitment in the option cases for vehicles that adopt the new widths, the projected adoption rates of safety features under each option case are not shown here as they will mirror the adoption rates of new widths discussed in Section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_Ref107381567 \r \h  \* MERGEFORMAT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4.3</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Once the incremental change in freight movement fitted with the safety features between the BAU and options cases are established, the incremental crash risk reduction due to safety features can then be calculated with the crash modification factor (CMF) of individual safety features. CMF are the expected impact a safety feature is expected to have on crash risk. It is expressed as a percentage of total unmitigated crash risk which is measured as 100%. A CMF of 95% means that the crash risk is reduced by 5% by a safety feature.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CMFs for each safety feature are determined by sourcing the efficacy (crash reduction factor – CRF) of each technology in reducing specific types of crashes. These CRFs were multiplied by the proportions of the crashes that they were considered to affect, as shown in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_Ref107343627 \h  \* MERGEFORMAT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Table 5.2</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br w:type="page"/>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59" w:name="_Ref107343627"/>
      <w:bookmarkStart w:id="260" w:name="_Toc117646411"/>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Table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2</w:t>
      </w:r>
      <w:r w:rsidRPr="00452B58">
        <w:rPr>
          <w:rFonts w:ascii="Calibri" w:eastAsia="Calibri" w:hAnsi="Calibri" w:cs="Times New Roman"/>
          <w:b/>
          <w:bCs/>
          <w:noProof/>
          <w:color w:val="67696A"/>
          <w:kern w:val="0"/>
          <w:sz w:val="18"/>
          <w:szCs w:val="22"/>
        </w:rPr>
        <w:fldChar w:fldCharType="end"/>
      </w:r>
      <w:bookmarkEnd w:id="259"/>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Crash risks mitigated by safety features</w:t>
      </w:r>
      <w:bookmarkEnd w:id="260"/>
      <w:r w:rsidRPr="00452B58">
        <w:rPr>
          <w:rFonts w:ascii="Calibri" w:eastAsia="Calibri" w:hAnsi="Calibri" w:cs="Times New Roman"/>
          <w:b/>
          <w:bCs/>
          <w:color w:val="67696A"/>
          <w:kern w:val="0"/>
          <w:sz w:val="18"/>
          <w:szCs w:val="22"/>
        </w:rPr>
        <w:t xml:space="preserve"> </w:t>
      </w:r>
    </w:p>
    <w:tbl>
      <w:tblPr>
        <w:tblStyle w:val="ARRBTableStyle"/>
        <w:tblW w:w="5000" w:type="pct"/>
        <w:tblLayout w:type="fixed"/>
        <w:tblLook w:val="04A0" w:firstRow="1" w:lastRow="0" w:firstColumn="1" w:lastColumn="0" w:noHBand="0" w:noVBand="1"/>
      </w:tblPr>
      <w:tblGrid>
        <w:gridCol w:w="4814"/>
        <w:gridCol w:w="4814"/>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156"/>
        </w:trPr>
        <w:tc>
          <w:tcPr>
            <w:tcW w:w="2500" w:type="pct"/>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Safety feature </w:t>
            </w:r>
          </w:p>
        </w:tc>
        <w:tc>
          <w:tcPr>
            <w:tcW w:w="2500" w:type="pct"/>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Crash risk mitigated </w:t>
            </w:r>
          </w:p>
        </w:tc>
      </w:tr>
      <w:tr w:rsidR="00452B58" w:rsidRPr="00452B58" w:rsidTr="00452B58">
        <w:trPr>
          <w:trHeight w:val="119"/>
        </w:trPr>
        <w:tc>
          <w:tcPr>
            <w:tcW w:w="2500"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Devices for indirect vision</w:t>
            </w:r>
          </w:p>
        </w:tc>
        <w:tc>
          <w:tcPr>
            <w:tcW w:w="2500"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Near side collision with pedestrian</w:t>
            </w:r>
          </w:p>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Side swipe with traffic travelling in the same direction</w:t>
            </w:r>
          </w:p>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Play/work collisions with pedestrians in road area</w:t>
            </w:r>
          </w:p>
        </w:tc>
      </w:tr>
      <w:tr w:rsidR="00452B58" w:rsidRPr="00452B58" w:rsidTr="00452B58">
        <w:trPr>
          <w:trHeight w:val="65"/>
        </w:trPr>
        <w:tc>
          <w:tcPr>
            <w:tcW w:w="2500"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Commercial vehicle brake systems</w:t>
            </w:r>
          </w:p>
        </w:tc>
        <w:tc>
          <w:tcPr>
            <w:tcW w:w="2500"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Run off road (loss of control, or rollover)</w:t>
            </w:r>
          </w:p>
        </w:tc>
      </w:tr>
      <w:tr w:rsidR="00452B58" w:rsidRPr="00452B58" w:rsidTr="00452B58">
        <w:trPr>
          <w:trHeight w:val="119"/>
        </w:trPr>
        <w:tc>
          <w:tcPr>
            <w:tcW w:w="2500"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Advanced emergency braking systems</w:t>
            </w:r>
          </w:p>
        </w:tc>
        <w:tc>
          <w:tcPr>
            <w:tcW w:w="2500"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Rear end collisions after failing to slow/stop</w:t>
            </w:r>
          </w:p>
        </w:tc>
      </w:tr>
      <w:tr w:rsidR="00452B58" w:rsidRPr="00452B58" w:rsidTr="00452B58">
        <w:trPr>
          <w:trHeight w:val="119"/>
        </w:trPr>
        <w:tc>
          <w:tcPr>
            <w:tcW w:w="2500"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Lane departure warning</w:t>
            </w:r>
          </w:p>
        </w:tc>
        <w:tc>
          <w:tcPr>
            <w:tcW w:w="2500"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Run off road (fatigue, inattention)</w:t>
            </w:r>
          </w:p>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Head-on collision after drifting into opposing lane</w:t>
            </w:r>
          </w:p>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Side swipe with traffic travelling in the same direction</w:t>
            </w:r>
          </w:p>
        </w:tc>
      </w:tr>
      <w:tr w:rsidR="00452B58" w:rsidRPr="00452B58" w:rsidTr="00452B58">
        <w:trPr>
          <w:trHeight w:val="119"/>
        </w:trPr>
        <w:tc>
          <w:tcPr>
            <w:tcW w:w="2500"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Blindspot information systems</w:t>
            </w:r>
          </w:p>
        </w:tc>
        <w:tc>
          <w:tcPr>
            <w:tcW w:w="2500"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Side swipe with traffic travelling in the same direction</w:t>
            </w:r>
          </w:p>
        </w:tc>
      </w:tr>
      <w:tr w:rsidR="00452B58" w:rsidRPr="00452B58" w:rsidTr="00452B58">
        <w:trPr>
          <w:trHeight w:val="119"/>
        </w:trPr>
        <w:tc>
          <w:tcPr>
            <w:tcW w:w="2500"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Side underrun protection </w:t>
            </w:r>
          </w:p>
        </w:tc>
        <w:tc>
          <w:tcPr>
            <w:tcW w:w="2500"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Near side collision with pedestrian</w:t>
            </w:r>
          </w:p>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Right near turning into traffic/cyclist</w:t>
            </w:r>
          </w:p>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Play/work collisions with pedestrians in road area</w:t>
            </w:r>
          </w:p>
        </w:tc>
      </w:tr>
      <w:tr w:rsidR="00452B58" w:rsidRPr="00452B58" w:rsidTr="00452B58">
        <w:trPr>
          <w:trHeight w:val="119"/>
        </w:trPr>
        <w:tc>
          <w:tcPr>
            <w:tcW w:w="2500"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Conspicuity markings (in low light/visibility conditions)</w:t>
            </w:r>
          </w:p>
        </w:tc>
        <w:tc>
          <w:tcPr>
            <w:tcW w:w="2500"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Right near turning into traffic/cyclist</w:t>
            </w:r>
          </w:p>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Cross traffic collision</w:t>
            </w:r>
          </w:p>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Right through when turning across opposing traffic stream.</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 discussion of the calculations for associating the crash types and sub-groups with the safety features is included in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_Ref111138708 \r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Appendix E</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_Ref106880439 \h  \* MERGEFORMAT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5.3</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presents the CMF of safety features for these crashes involving heavy vehicles based on the CRF weighted by the proportion of affected crash types. As crashes are considered to occur for whole combinations, trailers are treated as benefiting from safety features fitted to the leading vehicle.</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61" w:name="_Ref106880439"/>
      <w:bookmarkStart w:id="262" w:name="_Toc117646412"/>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Table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3</w:t>
      </w:r>
      <w:r w:rsidRPr="00452B58">
        <w:rPr>
          <w:rFonts w:ascii="Calibri" w:eastAsia="Calibri" w:hAnsi="Calibri" w:cs="Times New Roman"/>
          <w:b/>
          <w:bCs/>
          <w:noProof/>
          <w:color w:val="67696A"/>
          <w:kern w:val="0"/>
          <w:sz w:val="18"/>
          <w:szCs w:val="22"/>
        </w:rPr>
        <w:fldChar w:fldCharType="end"/>
      </w:r>
      <w:bookmarkEnd w:id="261"/>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Crash modification factors of safety features</w:t>
      </w:r>
      <w:bookmarkEnd w:id="262"/>
    </w:p>
    <w:tbl>
      <w:tblPr>
        <w:tblStyle w:val="ARRBTableStyle"/>
        <w:tblW w:w="6809" w:type="dxa"/>
        <w:tblLook w:val="04A0" w:firstRow="1" w:lastRow="0" w:firstColumn="1" w:lastColumn="0" w:noHBand="0" w:noVBand="1"/>
      </w:tblPr>
      <w:tblGrid>
        <w:gridCol w:w="3974"/>
        <w:gridCol w:w="1418"/>
        <w:gridCol w:w="1417"/>
      </w:tblGrid>
      <w:tr w:rsidR="00452B58" w:rsidRPr="00452B58" w:rsidTr="00452B58">
        <w:trPr>
          <w:cnfStyle w:val="100000000000" w:firstRow="1" w:lastRow="0" w:firstColumn="0" w:lastColumn="0" w:oddVBand="0" w:evenVBand="0" w:oddHBand="0" w:evenHBand="0" w:firstRowFirstColumn="0" w:firstRowLastColumn="0" w:lastRowFirstColumn="0" w:lastRowLastColumn="0"/>
        </w:trPr>
        <w:tc>
          <w:tcPr>
            <w:tcW w:w="3974" w:type="dxa"/>
            <w:vMerge w:val="restart"/>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Safety feature</w:t>
            </w:r>
          </w:p>
        </w:tc>
        <w:tc>
          <w:tcPr>
            <w:tcW w:w="2835" w:type="dxa"/>
            <w:gridSpan w:val="2"/>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Heavy vehicles and trailers</w:t>
            </w:r>
          </w:p>
        </w:tc>
      </w:tr>
      <w:tr w:rsidR="00452B58" w:rsidRPr="00452B58" w:rsidTr="009F313A">
        <w:tc>
          <w:tcPr>
            <w:tcW w:w="3974" w:type="dxa"/>
            <w:vMerge/>
          </w:tcPr>
          <w:p w:rsidR="00452B58" w:rsidRPr="00452B58" w:rsidRDefault="00452B58" w:rsidP="00452B58">
            <w:pPr>
              <w:keepNext/>
              <w:suppressAutoHyphens w:val="0"/>
              <w:spacing w:before="40" w:after="40"/>
              <w:rPr>
                <w:rFonts w:eastAsia="Calibri" w:cs="Times New Roman"/>
                <w:color w:val="FFFFFF"/>
                <w:kern w:val="0"/>
                <w:szCs w:val="22"/>
              </w:rPr>
            </w:pPr>
          </w:p>
        </w:tc>
        <w:tc>
          <w:tcPr>
            <w:tcW w:w="1418" w:type="dxa"/>
            <w:shd w:val="clear" w:color="auto" w:fill="00A1DE"/>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Fatality</w:t>
            </w:r>
          </w:p>
        </w:tc>
        <w:tc>
          <w:tcPr>
            <w:tcW w:w="1417" w:type="dxa"/>
            <w:shd w:val="clear" w:color="auto" w:fill="00A1DE"/>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Serious injury</w:t>
            </w:r>
          </w:p>
        </w:tc>
      </w:tr>
      <w:tr w:rsidR="00452B58" w:rsidRPr="00452B58" w:rsidTr="00452B58">
        <w:tc>
          <w:tcPr>
            <w:tcW w:w="3974"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Devices for indirect vision</w:t>
            </w:r>
            <w:r w:rsidRPr="00452B58">
              <w:rPr>
                <w:rFonts w:eastAsia="Calibri" w:cs="Times New Roman"/>
                <w:kern w:val="0"/>
                <w:szCs w:val="22"/>
                <w:vertAlign w:val="superscript"/>
              </w:rPr>
              <w:t xml:space="preserve"> (1)</w:t>
            </w:r>
          </w:p>
        </w:tc>
        <w:tc>
          <w:tcPr>
            <w:tcW w:w="1418"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99.4%</w:t>
            </w:r>
          </w:p>
        </w:tc>
        <w:tc>
          <w:tcPr>
            <w:tcW w:w="1417"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99.4%</w:t>
            </w:r>
          </w:p>
        </w:tc>
      </w:tr>
      <w:tr w:rsidR="00452B58" w:rsidRPr="00452B58" w:rsidTr="00452B58">
        <w:tc>
          <w:tcPr>
            <w:tcW w:w="3974"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Commercial vehicle brake systems</w:t>
            </w:r>
            <w:r w:rsidRPr="00452B58">
              <w:rPr>
                <w:rFonts w:eastAsia="Calibri" w:cs="Times New Roman"/>
                <w:kern w:val="0"/>
                <w:szCs w:val="22"/>
                <w:vertAlign w:val="superscript"/>
              </w:rPr>
              <w:t xml:space="preserve"> (2)</w:t>
            </w:r>
          </w:p>
        </w:tc>
        <w:tc>
          <w:tcPr>
            <w:tcW w:w="1418"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93.6%</w:t>
            </w:r>
          </w:p>
        </w:tc>
        <w:tc>
          <w:tcPr>
            <w:tcW w:w="1417"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93.6%</w:t>
            </w:r>
          </w:p>
        </w:tc>
      </w:tr>
      <w:tr w:rsidR="00452B58" w:rsidRPr="00452B58" w:rsidTr="00452B58">
        <w:tc>
          <w:tcPr>
            <w:tcW w:w="3974"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Advanced emergency braking systems</w:t>
            </w:r>
            <w:r w:rsidRPr="00452B58">
              <w:rPr>
                <w:rFonts w:eastAsia="Calibri" w:cs="Times New Roman"/>
                <w:kern w:val="0"/>
                <w:szCs w:val="22"/>
                <w:vertAlign w:val="superscript"/>
              </w:rPr>
              <w:t xml:space="preserve"> (2)</w:t>
            </w:r>
          </w:p>
        </w:tc>
        <w:tc>
          <w:tcPr>
            <w:tcW w:w="1418"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93.6%</w:t>
            </w:r>
          </w:p>
        </w:tc>
        <w:tc>
          <w:tcPr>
            <w:tcW w:w="1417"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93.6%</w:t>
            </w:r>
          </w:p>
        </w:tc>
      </w:tr>
      <w:tr w:rsidR="00452B58" w:rsidRPr="00452B58" w:rsidTr="00452B58">
        <w:tc>
          <w:tcPr>
            <w:tcW w:w="3974"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Lane departure warning</w:t>
            </w:r>
            <w:r w:rsidRPr="00452B58">
              <w:rPr>
                <w:rFonts w:eastAsia="Calibri" w:cs="Times New Roman"/>
                <w:kern w:val="0"/>
                <w:szCs w:val="22"/>
                <w:vertAlign w:val="superscript"/>
              </w:rPr>
              <w:t xml:space="preserve"> (3)</w:t>
            </w:r>
          </w:p>
        </w:tc>
        <w:tc>
          <w:tcPr>
            <w:tcW w:w="1418"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95.6%</w:t>
            </w:r>
          </w:p>
        </w:tc>
        <w:tc>
          <w:tcPr>
            <w:tcW w:w="1417"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95.6%</w:t>
            </w:r>
          </w:p>
        </w:tc>
      </w:tr>
      <w:tr w:rsidR="00452B58" w:rsidRPr="00452B58" w:rsidTr="00452B58">
        <w:tc>
          <w:tcPr>
            <w:tcW w:w="3974"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Blindspot information systems</w:t>
            </w:r>
            <w:r w:rsidRPr="00452B58">
              <w:rPr>
                <w:rFonts w:eastAsia="Calibri" w:cs="Times New Roman"/>
                <w:kern w:val="0"/>
                <w:szCs w:val="22"/>
                <w:vertAlign w:val="superscript"/>
              </w:rPr>
              <w:t xml:space="preserve"> (1)</w:t>
            </w:r>
          </w:p>
        </w:tc>
        <w:tc>
          <w:tcPr>
            <w:tcW w:w="1418"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99.4%</w:t>
            </w:r>
          </w:p>
        </w:tc>
        <w:tc>
          <w:tcPr>
            <w:tcW w:w="1417"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99.4%</w:t>
            </w:r>
          </w:p>
        </w:tc>
      </w:tr>
      <w:tr w:rsidR="00452B58" w:rsidRPr="00452B58" w:rsidTr="00452B58">
        <w:tc>
          <w:tcPr>
            <w:tcW w:w="3974"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Side underrun protection – pedestrians and cyclists</w:t>
            </w:r>
            <w:r w:rsidRPr="00452B58">
              <w:rPr>
                <w:rFonts w:eastAsia="Calibri" w:cs="Times New Roman"/>
                <w:kern w:val="0"/>
                <w:szCs w:val="22"/>
                <w:vertAlign w:val="superscript"/>
              </w:rPr>
              <w:t xml:space="preserve"> (4)</w:t>
            </w:r>
          </w:p>
        </w:tc>
        <w:tc>
          <w:tcPr>
            <w:tcW w:w="1418"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98.6%</w:t>
            </w:r>
          </w:p>
        </w:tc>
        <w:tc>
          <w:tcPr>
            <w:tcW w:w="1417"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99.9%</w:t>
            </w:r>
          </w:p>
        </w:tc>
      </w:tr>
      <w:tr w:rsidR="00452B58" w:rsidRPr="00452B58" w:rsidTr="00452B58">
        <w:tc>
          <w:tcPr>
            <w:tcW w:w="3974"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Conspicuity markings</w:t>
            </w:r>
            <w:r w:rsidRPr="00452B58">
              <w:rPr>
                <w:rFonts w:eastAsia="Calibri" w:cs="Times New Roman"/>
                <w:kern w:val="0"/>
                <w:szCs w:val="22"/>
                <w:vertAlign w:val="superscript"/>
              </w:rPr>
              <w:t xml:space="preserve"> (5,6)</w:t>
            </w:r>
          </w:p>
        </w:tc>
        <w:tc>
          <w:tcPr>
            <w:tcW w:w="1418"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97.8</w:t>
            </w:r>
            <w:r w:rsidRPr="00452B58">
              <w:rPr>
                <w:rFonts w:eastAsia="Calibri" w:cs="Times New Roman"/>
                <w:kern w:val="0"/>
                <w:sz w:val="20"/>
                <w:szCs w:val="22"/>
              </w:rPr>
              <w:t>%</w:t>
            </w:r>
          </w:p>
        </w:tc>
        <w:tc>
          <w:tcPr>
            <w:tcW w:w="1417"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97.8</w:t>
            </w:r>
            <w:r w:rsidRPr="00452B58">
              <w:rPr>
                <w:rFonts w:eastAsia="Calibri" w:cs="Times New Roman"/>
                <w:kern w:val="0"/>
                <w:sz w:val="20"/>
                <w:szCs w:val="22"/>
              </w:rPr>
              <w:t>%</w:t>
            </w:r>
          </w:p>
        </w:tc>
      </w:tr>
    </w:tbl>
    <w:p w:rsidR="00452B58" w:rsidRPr="00452B58" w:rsidRDefault="00452B58" w:rsidP="009F313A">
      <w:pPr>
        <w:tabs>
          <w:tab w:val="left" w:pos="709"/>
        </w:tabs>
        <w:suppressAutoHyphens w:val="0"/>
        <w:spacing w:before="60" w:after="160" w:line="259" w:lineRule="auto"/>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Sources:</w:t>
      </w:r>
    </w:p>
    <w:p w:rsidR="00452B58" w:rsidRPr="00452B58" w:rsidRDefault="00452B58" w:rsidP="00E248BF">
      <w:pPr>
        <w:numPr>
          <w:ilvl w:val="0"/>
          <w:numId w:val="86"/>
        </w:numPr>
        <w:tabs>
          <w:tab w:val="left" w:pos="284"/>
        </w:tabs>
        <w:suppressAutoHyphens w:val="0"/>
        <w:spacing w:before="60" w:after="160" w:line="259" w:lineRule="auto"/>
        <w:contextualSpacing/>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 xml:space="preserve">IIHS-HLDI (2020) </w:t>
      </w:r>
    </w:p>
    <w:p w:rsidR="00452B58" w:rsidRPr="00452B58" w:rsidRDefault="00452B58" w:rsidP="00E248BF">
      <w:pPr>
        <w:numPr>
          <w:ilvl w:val="0"/>
          <w:numId w:val="86"/>
        </w:numPr>
        <w:tabs>
          <w:tab w:val="left" w:pos="284"/>
        </w:tabs>
        <w:suppressAutoHyphens w:val="0"/>
        <w:spacing w:before="60" w:after="160" w:line="259" w:lineRule="auto"/>
        <w:contextualSpacing/>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 xml:space="preserve">Department of Infrastructure, Transport, Regional Development and Communications  (2018) </w:t>
      </w:r>
    </w:p>
    <w:p w:rsidR="00452B58" w:rsidRPr="00452B58" w:rsidRDefault="00452B58" w:rsidP="00E248BF">
      <w:pPr>
        <w:numPr>
          <w:ilvl w:val="0"/>
          <w:numId w:val="86"/>
        </w:numPr>
        <w:tabs>
          <w:tab w:val="left" w:pos="284"/>
        </w:tabs>
        <w:suppressAutoHyphens w:val="0"/>
        <w:spacing w:before="60" w:after="160" w:line="259" w:lineRule="auto"/>
        <w:contextualSpacing/>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 xml:space="preserve">Department of Infrastructure, Transport, Regional Development and Communications  (2022) </w:t>
      </w:r>
    </w:p>
    <w:p w:rsidR="00452B58" w:rsidRPr="00452B58" w:rsidRDefault="00452B58" w:rsidP="00E248BF">
      <w:pPr>
        <w:numPr>
          <w:ilvl w:val="0"/>
          <w:numId w:val="86"/>
        </w:numPr>
        <w:tabs>
          <w:tab w:val="left" w:pos="284"/>
        </w:tabs>
        <w:suppressAutoHyphens w:val="0"/>
        <w:spacing w:before="60" w:after="160" w:line="259" w:lineRule="auto"/>
        <w:contextualSpacing/>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 xml:space="preserve">Badgley et al (2020) </w:t>
      </w:r>
    </w:p>
    <w:p w:rsidR="00452B58" w:rsidRPr="00452B58" w:rsidRDefault="00452B58" w:rsidP="00E248BF">
      <w:pPr>
        <w:numPr>
          <w:ilvl w:val="0"/>
          <w:numId w:val="86"/>
        </w:numPr>
        <w:tabs>
          <w:tab w:val="left" w:pos="284"/>
        </w:tabs>
        <w:suppressAutoHyphens w:val="0"/>
        <w:spacing w:before="60" w:after="160" w:line="259" w:lineRule="auto"/>
        <w:contextualSpacing/>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Blackman and Haworth (2015) Desktop Review of Conspicuity Markings for heavy vehicles.</w:t>
      </w:r>
    </w:p>
    <w:p w:rsidR="00452B58" w:rsidRPr="00452B58" w:rsidRDefault="00452B58" w:rsidP="00E248BF">
      <w:pPr>
        <w:numPr>
          <w:ilvl w:val="0"/>
          <w:numId w:val="86"/>
        </w:numPr>
        <w:tabs>
          <w:tab w:val="left" w:pos="284"/>
        </w:tabs>
        <w:suppressAutoHyphens w:val="0"/>
        <w:spacing w:before="60" w:after="160" w:line="259" w:lineRule="auto"/>
        <w:contextualSpacing/>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 xml:space="preserve">Morgan (2001). Finally, incremental safety benefits will need to be monetised with unit crash costs for fatal and serious injury crashes which are presented in </w:t>
      </w:r>
      <w:r w:rsidRPr="00452B58">
        <w:rPr>
          <w:rFonts w:ascii="Calibri" w:eastAsia="Calibri" w:hAnsi="Calibri" w:cs="Times New Roman"/>
          <w:iCs/>
          <w:color w:val="454647"/>
          <w:kern w:val="0"/>
          <w:sz w:val="18"/>
          <w:szCs w:val="22"/>
        </w:rPr>
        <w:fldChar w:fldCharType="begin"/>
      </w:r>
      <w:r w:rsidRPr="00452B58">
        <w:rPr>
          <w:rFonts w:ascii="Calibri" w:eastAsia="Calibri" w:hAnsi="Calibri" w:cs="Times New Roman"/>
          <w:iCs/>
          <w:color w:val="454647"/>
          <w:kern w:val="0"/>
          <w:sz w:val="18"/>
          <w:szCs w:val="22"/>
        </w:rPr>
        <w:instrText xml:space="preserve"> REF _Ref107186956 \h  \* MERGEFORMAT </w:instrText>
      </w:r>
      <w:r w:rsidRPr="00452B58">
        <w:rPr>
          <w:rFonts w:ascii="Calibri" w:eastAsia="Calibri" w:hAnsi="Calibri" w:cs="Times New Roman"/>
          <w:iCs/>
          <w:color w:val="454647"/>
          <w:kern w:val="0"/>
          <w:sz w:val="18"/>
          <w:szCs w:val="22"/>
        </w:rPr>
      </w:r>
      <w:r w:rsidRPr="00452B58">
        <w:rPr>
          <w:rFonts w:ascii="Calibri" w:eastAsia="Calibri" w:hAnsi="Calibri" w:cs="Times New Roman"/>
          <w:iCs/>
          <w:color w:val="454647"/>
          <w:kern w:val="0"/>
          <w:sz w:val="18"/>
          <w:szCs w:val="22"/>
        </w:rPr>
        <w:fldChar w:fldCharType="separate"/>
      </w:r>
      <w:r w:rsidRPr="00452B58">
        <w:rPr>
          <w:rFonts w:ascii="Calibri" w:eastAsia="Calibri" w:hAnsi="Calibri" w:cs="Times New Roman"/>
          <w:iCs/>
          <w:color w:val="454647"/>
          <w:kern w:val="0"/>
          <w:sz w:val="18"/>
          <w:szCs w:val="22"/>
        </w:rPr>
        <w:t>Table 5.4</w:t>
      </w:r>
      <w:r w:rsidRPr="00452B58">
        <w:rPr>
          <w:rFonts w:ascii="Calibri" w:eastAsia="Calibri" w:hAnsi="Calibri" w:cs="Times New Roman"/>
          <w:iCs/>
          <w:color w:val="454647"/>
          <w:kern w:val="0"/>
          <w:sz w:val="18"/>
          <w:szCs w:val="22"/>
        </w:rPr>
        <w:fldChar w:fldCharType="end"/>
      </w:r>
      <w:r w:rsidRPr="00452B58">
        <w:rPr>
          <w:rFonts w:ascii="Calibri" w:eastAsia="Calibri" w:hAnsi="Calibri" w:cs="Times New Roman"/>
          <w:iCs/>
          <w:color w:val="454647"/>
          <w:kern w:val="0"/>
          <w:sz w:val="18"/>
          <w:szCs w:val="22"/>
        </w:rPr>
        <w:t>.</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63" w:name="_Ref107186956"/>
      <w:bookmarkStart w:id="264" w:name="_Toc117646413"/>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Table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noProof/>
          <w:color w:val="67696A"/>
          <w:kern w:val="0"/>
          <w:sz w:val="18"/>
          <w:szCs w:val="22"/>
        </w:rPr>
        <w:fldChar w:fldCharType="end"/>
      </w:r>
      <w:bookmarkEnd w:id="263"/>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Unit crash cost at 2023-dollar values</w:t>
      </w:r>
      <w:bookmarkEnd w:id="264"/>
    </w:p>
    <w:tbl>
      <w:tblPr>
        <w:tblStyle w:val="ARRBTableStyle"/>
        <w:tblW w:w="3334" w:type="pct"/>
        <w:tblLayout w:type="fixed"/>
        <w:tblLook w:val="04A0" w:firstRow="1" w:lastRow="0" w:firstColumn="1" w:lastColumn="0" w:noHBand="0" w:noVBand="1"/>
      </w:tblPr>
      <w:tblGrid>
        <w:gridCol w:w="3210"/>
        <w:gridCol w:w="3210"/>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189"/>
        </w:trPr>
        <w:tc>
          <w:tcPr>
            <w:tcW w:w="2500" w:type="pct"/>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Fatal crashes ($ per crash)</w:t>
            </w:r>
          </w:p>
        </w:tc>
        <w:tc>
          <w:tcPr>
            <w:tcW w:w="2500" w:type="pct"/>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Serious injury crashes ($ per crash)</w:t>
            </w:r>
          </w:p>
        </w:tc>
      </w:tr>
      <w:tr w:rsidR="00452B58" w:rsidRPr="00452B58" w:rsidTr="00452B58">
        <w:trPr>
          <w:trHeight w:val="144"/>
        </w:trPr>
        <w:tc>
          <w:tcPr>
            <w:tcW w:w="2500"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$8,978,147</w:t>
            </w:r>
          </w:p>
        </w:tc>
        <w:tc>
          <w:tcPr>
            <w:tcW w:w="2500"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$333,144</w:t>
            </w:r>
          </w:p>
        </w:tc>
      </w:tr>
    </w:tbl>
    <w:p w:rsidR="00452B58" w:rsidRPr="00452B58" w:rsidRDefault="00452B58" w:rsidP="009F313A">
      <w:pPr>
        <w:tabs>
          <w:tab w:val="left" w:pos="709"/>
        </w:tabs>
        <w:suppressAutoHyphens w:val="0"/>
        <w:spacing w:before="60" w:after="160" w:line="259" w:lineRule="auto"/>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 xml:space="preserve">Note: Both fatal and serious injury crash cost rates are based on willingness-to-pay. </w:t>
      </w:r>
    </w:p>
    <w:p w:rsidR="00452B58" w:rsidRPr="00452B58" w:rsidRDefault="00452B58" w:rsidP="009F313A">
      <w:pPr>
        <w:tabs>
          <w:tab w:val="left" w:pos="709"/>
        </w:tabs>
        <w:suppressAutoHyphens w:val="0"/>
        <w:spacing w:before="60" w:after="160" w:line="259" w:lineRule="auto"/>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Source:</w:t>
      </w:r>
      <w:r w:rsidRPr="00452B58">
        <w:rPr>
          <w:rFonts w:ascii="Calibri" w:eastAsia="Calibri" w:hAnsi="Calibri" w:cs="Times New Roman"/>
          <w:iCs/>
          <w:color w:val="454647"/>
          <w:kern w:val="0"/>
          <w:sz w:val="18"/>
          <w:szCs w:val="22"/>
        </w:rPr>
        <w:tab/>
        <w:t xml:space="preserve">Weighted average based on urban and rural unit crash cost rate sourced from </w:t>
      </w:r>
      <w:r w:rsidRPr="00452B58">
        <w:rPr>
          <w:rFonts w:ascii="Calibri" w:eastAsia="Calibri" w:hAnsi="Calibri" w:cs="Times New Roman"/>
          <w:iCs/>
          <w:color w:val="454647"/>
          <w:kern w:val="0"/>
          <w:sz w:val="18"/>
          <w:szCs w:val="22"/>
        </w:rPr>
        <w:fldChar w:fldCharType="begin"/>
      </w:r>
      <w:r w:rsidRPr="00452B58">
        <w:rPr>
          <w:rFonts w:ascii="Calibri" w:eastAsia="Calibri" w:hAnsi="Calibri" w:cs="Times New Roman"/>
          <w:iCs/>
          <w:color w:val="454647"/>
          <w:kern w:val="0"/>
          <w:sz w:val="18"/>
          <w:szCs w:val="22"/>
        </w:rPr>
        <w:instrText xml:space="preserve"> ADDIN ZOTERO_ITEM CSL_CITATION {"citationID":"eiiKp71g","properties":{"formattedCitation":"(Australian Transport Assessment and Planning Steering Committee 2016)","plainCitation":"(Australian Transport Assessment and Planning Steering Committee 2016)","noteIndex":0},"citationItems":[{"id":112,"uris":["http://zotero.org/users/local/Cn2CVFl4/items/4ULH8BRQ"],"itemData":{"id":112,"type":"document","publisher":"Commonwealth Department of Infrastructure and  Regional Development","title":"Australian Transport Assessment and Planning Guidelines: PV2 Road Parameter Values","URL":"https://www.atap.gov.au/sites/default/files/pv2_road_parameter_values.pdf","author":[{"family":"Australian Transport Assessment and Planning Steering Committee","given":""}],"accessed":{"date-parts":[["2021",5,1]]},"issued":{"date-parts":[["2016",8,1]]}}}],"schema":"https://github.com/citation-style-language/schema/raw/master/csl-citation.json"} </w:instrText>
      </w:r>
      <w:r w:rsidRPr="00452B58">
        <w:rPr>
          <w:rFonts w:ascii="Calibri" w:eastAsia="Calibri" w:hAnsi="Calibri" w:cs="Times New Roman"/>
          <w:iCs/>
          <w:color w:val="454647"/>
          <w:kern w:val="0"/>
          <w:sz w:val="18"/>
          <w:szCs w:val="22"/>
        </w:rPr>
        <w:fldChar w:fldCharType="separate"/>
      </w:r>
      <w:r w:rsidRPr="00452B58">
        <w:rPr>
          <w:rFonts w:ascii="Calibri" w:eastAsia="Calibri" w:hAnsi="Calibri" w:cs="Times New Roman"/>
          <w:iCs/>
          <w:color w:val="454647"/>
          <w:kern w:val="0"/>
          <w:sz w:val="18"/>
          <w:szCs w:val="22"/>
        </w:rPr>
        <w:t>Australian Transport Assessment and Planning Steering Committee (2016)</w:t>
      </w:r>
      <w:r w:rsidRPr="00452B58">
        <w:rPr>
          <w:rFonts w:ascii="Calibri" w:eastAsia="Calibri" w:hAnsi="Calibri" w:cs="Times New Roman"/>
          <w:iCs/>
          <w:color w:val="454647"/>
          <w:kern w:val="0"/>
          <w:sz w:val="18"/>
          <w:szCs w:val="22"/>
        </w:rPr>
        <w:fldChar w:fldCharType="end"/>
      </w:r>
      <w:r w:rsidRPr="00452B58">
        <w:rPr>
          <w:rFonts w:ascii="Calibri" w:eastAsia="Calibri" w:hAnsi="Calibri" w:cs="Times New Roman"/>
          <w:iCs/>
          <w:color w:val="454647"/>
          <w:kern w:val="0"/>
          <w:sz w:val="18"/>
          <w:szCs w:val="22"/>
        </w:rPr>
        <w:t xml:space="preserve"> and urban-rural freight task share sourced from BITRE  (2019)..</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In this assessment, the safety benefits of individual safety features were assessed first in each assessment year and then weighted and summed together to represent the aggregate safety benefits of the use of multiple safety features adopted by the entire fleet. The safety benefit in a particular year is assessed as the incremental reduction in the residual risk between the BAU case and an option case. The residual risk is the difference between unmitigated crash risk and the reduction in risk after the adoption of a safety feature. This approach is adopted because safety features are expected to be adopted both in the BAU case and the option case but at different rates. </w:t>
      </w:r>
    </w:p>
    <w:p w:rsidR="00452B58" w:rsidRPr="00F2517A" w:rsidRDefault="00452B58" w:rsidP="00F2517A">
      <w:pPr>
        <w:pStyle w:val="ARRBBaseHeading2"/>
      </w:pPr>
      <w:bookmarkStart w:id="265" w:name="_Toc137731682"/>
      <w:r w:rsidRPr="00F2517A">
        <w:t>Asset Preservation Benefits</w:t>
      </w:r>
      <w:bookmarkEnd w:id="265"/>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Asset preservation benefits stem from the productivity benefits of wider vehicles as they will demand less road usage to deliver the same freight task. Incremental changes in asset preservation cost are calculated based on the incremental change in freight movement between the BAU and the option cases and the unit asset preservation cost per VKT. Incremental changes in freight movement are assessed using the same approach as for assessing safety benefits.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unit asset preservation cost is estimated at approximately $0.004 per VKT per annum. This is based on maintenance costs of $3,850 per lane-km, based on 4.0+ MESA/lane/year (Holtrop 2000, indexed to 2022).</w:t>
      </w:r>
    </w:p>
    <w:p w:rsidR="00452B58" w:rsidRPr="00F2517A" w:rsidRDefault="00452B58" w:rsidP="00F2517A">
      <w:pPr>
        <w:pStyle w:val="ARRBBaseHeading2"/>
      </w:pPr>
      <w:bookmarkStart w:id="266" w:name="_Ref108452534"/>
      <w:bookmarkStart w:id="267" w:name="_Toc137731683"/>
      <w:r w:rsidRPr="00F2517A">
        <w:t>VOC Benefits</w:t>
      </w:r>
      <w:bookmarkEnd w:id="266"/>
      <w:bookmarkEnd w:id="267"/>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Vehicle operating cost (VOC) benefits are due to the productivity impact of wider vehicles and trailers through two effects:</w:t>
      </w:r>
    </w:p>
    <w:p w:rsidR="00452B58" w:rsidRPr="009F313A" w:rsidRDefault="00452B58" w:rsidP="00E248BF">
      <w:pPr>
        <w:pStyle w:val="ARRBNumberList1"/>
        <w:numPr>
          <w:ilvl w:val="0"/>
          <w:numId w:val="91"/>
        </w:numPr>
      </w:pPr>
      <w:r w:rsidRPr="009F313A">
        <w:t>greater payload volume for vehicles and combinations that are not already mass-limited resulting in less vehicles needed to deliver the freight task</w:t>
      </w:r>
    </w:p>
    <w:p w:rsidR="00452B58" w:rsidRPr="009F313A" w:rsidRDefault="00452B58" w:rsidP="00E248BF">
      <w:pPr>
        <w:pStyle w:val="ARRBNumberList1"/>
        <w:numPr>
          <w:ilvl w:val="0"/>
          <w:numId w:val="91"/>
        </w:numPr>
      </w:pPr>
      <w:r w:rsidRPr="009F313A">
        <w:t>increased thermal insulation of refrigerated vehicles resulting in less fuel consumed to run the refrigeration units of wider vehicles compared to existing 2.50 m wide refrigerated vehicles.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VOCs of heavy vehicles and trailers are based on parameter values published by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ADDIN ZOTERO_ITEM CSL_CITATION {"citationID":"BcjjGSji","properties":{"formattedCitation":"(Australian Transport Assessment and Planning Steering Committee 2016)","plainCitation":"(Australian Transport Assessment and Planning Steering Committee 2016)","noteIndex":0},"citationItems":[{"id":112,"uris":["http://zotero.org/users/local/Cn2CVFl4/items/4ULH8BRQ"],"itemData":{"id":112,"type":"document","publisher":"Commonwealth Department of Infrastructure and  Regional Development","title":"Australian Transport Assessment and Planning Guidelines: PV2 Road Parameter Values","URL":"https://www.atap.gov.au/sites/default/files/pv2_road_parameter_values.pdf","author":[{"family":"Australian Transport Assessment and Planning Steering Committee","given":""}],"accessed":{"date-parts":[["2021",5,1]]},"issued":{"date-parts":[["2016",8,1]]}}}],"schema":"https://github.com/citation-style-language/schema/raw/master/csl-citation.json"} </w:instrText>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Australian Transport Assessment and Planning Steering Committee (2016)</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in the PV2 Road Parameter Guidelines, which provide VOCs for 20 standard vehicle types and configurations. These VOCs are based on the underlying consumption of fuel, oil and tyres, and maintenance and repair costs; expressed in $ per vehicle km.</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included vehicle types and configurations in PV2 are 2.50 m wide and non-refrigerated. The rationale for the calculations of these additional VOCs are in the second section of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_Ref111140118 \r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Appendix A</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_Ref107190446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Table </w:t>
      </w:r>
      <w:r w:rsidRPr="00452B58">
        <w:rPr>
          <w:rFonts w:ascii="Calibri" w:eastAsia="Calibri" w:hAnsi="Calibri" w:cs="Calibri"/>
          <w:noProof/>
          <w:color w:val="auto"/>
          <w:kern w:val="0"/>
          <w:sz w:val="22"/>
          <w:szCs w:val="22"/>
        </w:rPr>
        <w:t>5</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5</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presents the VOC parameter values for calculating the operating cost of refrigerated and non</w:t>
      </w:r>
      <w:r w:rsidRPr="00452B58">
        <w:rPr>
          <w:rFonts w:ascii="Calibri" w:eastAsia="Calibri" w:hAnsi="Calibri" w:cs="Calibri"/>
          <w:color w:val="auto"/>
          <w:kern w:val="0"/>
          <w:sz w:val="22"/>
          <w:szCs w:val="22"/>
        </w:rPr>
        <w:noBreakHyphen/>
        <w:t xml:space="preserve">refrigerated freight tasks before and after widening. </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68" w:name="_Ref107190446"/>
      <w:bookmarkStart w:id="269" w:name="_Toc117646414"/>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Table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noProof/>
          <w:color w:val="67696A"/>
          <w:kern w:val="0"/>
          <w:sz w:val="18"/>
          <w:szCs w:val="22"/>
        </w:rPr>
        <w:fldChar w:fldCharType="end"/>
      </w:r>
      <w:bookmarkEnd w:id="268"/>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VOC parameter values</w:t>
      </w:r>
      <w:bookmarkEnd w:id="269"/>
      <w:r w:rsidRPr="00452B58">
        <w:rPr>
          <w:rFonts w:ascii="Calibri" w:eastAsia="Calibri" w:hAnsi="Calibri" w:cs="Times New Roman"/>
          <w:b/>
          <w:bCs/>
          <w:color w:val="67696A"/>
          <w:kern w:val="0"/>
          <w:sz w:val="18"/>
          <w:szCs w:val="22"/>
        </w:rPr>
        <w:t xml:space="preserve">  </w:t>
      </w:r>
    </w:p>
    <w:tbl>
      <w:tblPr>
        <w:tblStyle w:val="ARRBTableStyle"/>
        <w:tblW w:w="4990" w:type="pct"/>
        <w:tblLayout w:type="fixed"/>
        <w:tblLook w:val="04A0" w:firstRow="1" w:lastRow="0" w:firstColumn="1" w:lastColumn="0" w:noHBand="0" w:noVBand="1"/>
      </w:tblPr>
      <w:tblGrid>
        <w:gridCol w:w="3201"/>
        <w:gridCol w:w="3204"/>
        <w:gridCol w:w="3204"/>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189"/>
        </w:trPr>
        <w:tc>
          <w:tcPr>
            <w:tcW w:w="1666" w:type="pct"/>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VOC parameter </w:t>
            </w:r>
          </w:p>
        </w:tc>
        <w:tc>
          <w:tcPr>
            <w:tcW w:w="1667" w:type="pct"/>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HV ($ per VKT)</w:t>
            </w:r>
          </w:p>
        </w:tc>
        <w:tc>
          <w:tcPr>
            <w:tcW w:w="1667" w:type="pct"/>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Trailer ($ per VKT)</w:t>
            </w:r>
          </w:p>
        </w:tc>
      </w:tr>
      <w:tr w:rsidR="00452B58" w:rsidRPr="00452B58" w:rsidTr="00452B58">
        <w:trPr>
          <w:trHeight w:val="144"/>
        </w:trPr>
        <w:tc>
          <w:tcPr>
            <w:tcW w:w="1666"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2.50 m non-refrigerated freight tasks</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$0.744</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$0.599</w:t>
            </w:r>
          </w:p>
        </w:tc>
      </w:tr>
      <w:tr w:rsidR="00452B58" w:rsidRPr="00452B58" w:rsidTr="00452B58">
        <w:trPr>
          <w:trHeight w:val="144"/>
        </w:trPr>
        <w:tc>
          <w:tcPr>
            <w:tcW w:w="1666"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2.55 m non-refrigerated freight tasks</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$0.748</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$0.602</w:t>
            </w:r>
          </w:p>
        </w:tc>
      </w:tr>
      <w:tr w:rsidR="00452B58" w:rsidRPr="00452B58" w:rsidTr="00452B58">
        <w:trPr>
          <w:trHeight w:val="144"/>
        </w:trPr>
        <w:tc>
          <w:tcPr>
            <w:tcW w:w="1666"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2.60 m non-refrigerated freight tasks</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$0.752</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$0.605</w:t>
            </w:r>
          </w:p>
        </w:tc>
      </w:tr>
      <w:tr w:rsidR="00452B58" w:rsidRPr="00452B58" w:rsidTr="00452B58">
        <w:trPr>
          <w:trHeight w:val="144"/>
        </w:trPr>
        <w:tc>
          <w:tcPr>
            <w:tcW w:w="1666"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2.50 m refrigerated freight tasks</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$0.856</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$0.711</w:t>
            </w:r>
          </w:p>
        </w:tc>
      </w:tr>
      <w:tr w:rsidR="00452B58" w:rsidRPr="00452B58" w:rsidTr="00452B58">
        <w:trPr>
          <w:trHeight w:val="144"/>
        </w:trPr>
        <w:tc>
          <w:tcPr>
            <w:tcW w:w="1666"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2.55 m refrigerated freight tasks</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$0.838</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$0.692</w:t>
            </w:r>
          </w:p>
        </w:tc>
      </w:tr>
      <w:tr w:rsidR="00452B58" w:rsidRPr="00452B58" w:rsidTr="00452B58">
        <w:trPr>
          <w:trHeight w:val="144"/>
        </w:trPr>
        <w:tc>
          <w:tcPr>
            <w:tcW w:w="1666" w:type="pct"/>
          </w:tcPr>
          <w:p w:rsidR="00452B58" w:rsidRPr="00452B58" w:rsidRDefault="00452B58" w:rsidP="00452B58">
            <w:pPr>
              <w:suppressAutoHyphens w:val="0"/>
              <w:spacing w:before="40" w:after="40"/>
              <w:rPr>
                <w:rFonts w:eastAsia="Calibri" w:cs="Times New Roman"/>
                <w:kern w:val="0"/>
                <w:szCs w:val="22"/>
              </w:rPr>
            </w:pPr>
            <w:r w:rsidRPr="00452B58">
              <w:rPr>
                <w:rFonts w:eastAsia="Calibri" w:cs="Times New Roman"/>
                <w:kern w:val="0"/>
                <w:szCs w:val="22"/>
              </w:rPr>
              <w:t>2.60 m refrigerated freight tasks</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$0.827</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$0.680</w:t>
            </w:r>
          </w:p>
        </w:tc>
      </w:tr>
    </w:tbl>
    <w:p w:rsidR="00452B58" w:rsidRPr="00F2517A" w:rsidRDefault="00452B58" w:rsidP="00F2517A">
      <w:pPr>
        <w:pStyle w:val="ARRBBaseHeading2"/>
      </w:pPr>
      <w:bookmarkStart w:id="270" w:name="_Ref109661342"/>
      <w:bookmarkStart w:id="271" w:name="_Toc137731684"/>
      <w:r w:rsidRPr="00F2517A">
        <w:t>Environmental Benefits</w:t>
      </w:r>
      <w:bookmarkEnd w:id="270"/>
      <w:bookmarkEnd w:id="271"/>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Environmental benefits are also a result of the productivity benefits of wider vehicles and trailers. Environmental cost of freight movements by heavy vehicles and trailers can be estimated by multiplying the incremental change in freight movement between BAU and option cases with the environmental parameter values published by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ADDIN ZOTERO_ITEM CSL_CITATION {"citationID":"6aJ4H5X2","properties":{"formattedCitation":"(Australian Transport Assessment and Planning Steering Committee 2020)","plainCitation":"(Australian Transport Assessment and Planning Steering Committee 2020)","dontUpdate":true,"noteIndex":0},"citationItems":[{"id":181,"uris":["http://zotero.org/users/local/Cn2CVFl4/items/R2T92XFG"],"itemData":{"id":181,"type":"document","title":"Australian Transport Assessment and Planning Guidelines: PV5 – Environmental parameter values","URL":"https://www.atap.gov.au/sites/default/files/documents/atap-pv5-environmental-parameter-values-080221.pdf","author":[{"family":"Australian Transport Assessment and Planning Steering Committee","given":""}],"accessed":{"date-parts":[["2021",5,10]]},"issued":{"date-parts":[["2020"]]}}}],"schema":"https://github.com/citation-style-language/schema/raw/master/csl-citation.json"} </w:instrText>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Australian Transport Assessment and Planning Steering Committee (2020)</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 further benefit of higher width limits is available for refrigerated heavy vehicles and trailers. The increase in vehicle width allows them to increase the thickness of their insulation layers in their containers and this change is likely to result in lower environmental impact due to lowered energy needed to maintain low refrigeration temperatures. This is brought into the calculation through the VOCs calculated in Section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_Ref108452534 \r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5.4</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_Ref108478277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Table </w:t>
      </w:r>
      <w:r w:rsidRPr="00452B58">
        <w:rPr>
          <w:rFonts w:ascii="Calibri" w:eastAsia="Calibri" w:hAnsi="Calibri" w:cs="Calibri"/>
          <w:noProof/>
          <w:color w:val="auto"/>
          <w:kern w:val="0"/>
          <w:sz w:val="22"/>
          <w:szCs w:val="22"/>
        </w:rPr>
        <w:t>5</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presents the environmental parameter values for calculating the environmental cost of refrigerated and non-refrigerated freight tasks before and after widening. </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72" w:name="_Ref108478277"/>
      <w:bookmarkStart w:id="273" w:name="_Toc117646415"/>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Table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noProof/>
          <w:color w:val="67696A"/>
          <w:kern w:val="0"/>
          <w:sz w:val="18"/>
          <w:szCs w:val="22"/>
        </w:rPr>
        <w:fldChar w:fldCharType="end"/>
      </w:r>
      <w:bookmarkEnd w:id="272"/>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Environmental parameter values</w:t>
      </w:r>
      <w:bookmarkEnd w:id="273"/>
      <w:r w:rsidRPr="00452B58">
        <w:rPr>
          <w:rFonts w:ascii="Calibri" w:eastAsia="Calibri" w:hAnsi="Calibri" w:cs="Times New Roman"/>
          <w:b/>
          <w:bCs/>
          <w:color w:val="67696A"/>
          <w:kern w:val="0"/>
          <w:sz w:val="18"/>
          <w:szCs w:val="22"/>
        </w:rPr>
        <w:t xml:space="preserve">  </w:t>
      </w:r>
    </w:p>
    <w:tbl>
      <w:tblPr>
        <w:tblStyle w:val="ARRBTableStyle"/>
        <w:tblW w:w="4995" w:type="pct"/>
        <w:tblLayout w:type="fixed"/>
        <w:tblLook w:val="04A0" w:firstRow="1" w:lastRow="0" w:firstColumn="1" w:lastColumn="0" w:noHBand="0" w:noVBand="1"/>
      </w:tblPr>
      <w:tblGrid>
        <w:gridCol w:w="3204"/>
        <w:gridCol w:w="3207"/>
        <w:gridCol w:w="3207"/>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189"/>
        </w:trPr>
        <w:tc>
          <w:tcPr>
            <w:tcW w:w="1666" w:type="pct"/>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Freight task by </w:t>
            </w:r>
          </w:p>
        </w:tc>
        <w:tc>
          <w:tcPr>
            <w:tcW w:w="1667" w:type="pct"/>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HV ($ per VKT)</w:t>
            </w:r>
          </w:p>
        </w:tc>
        <w:tc>
          <w:tcPr>
            <w:tcW w:w="1667" w:type="pct"/>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Trailer ($ per VKT)</w:t>
            </w:r>
          </w:p>
        </w:tc>
      </w:tr>
      <w:tr w:rsidR="00452B58" w:rsidRPr="00452B58" w:rsidTr="00452B58">
        <w:trPr>
          <w:trHeight w:val="144"/>
        </w:trPr>
        <w:tc>
          <w:tcPr>
            <w:tcW w:w="1666"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2.50 m non-refrigerated freight tasks</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$0.385</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$0.310</w:t>
            </w:r>
          </w:p>
        </w:tc>
      </w:tr>
      <w:tr w:rsidR="00452B58" w:rsidRPr="00452B58" w:rsidTr="00452B58">
        <w:trPr>
          <w:trHeight w:val="144"/>
        </w:trPr>
        <w:tc>
          <w:tcPr>
            <w:tcW w:w="1666"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2.55 m non-refrigerated freight tasks</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$0.387</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$0.311</w:t>
            </w:r>
          </w:p>
        </w:tc>
      </w:tr>
      <w:tr w:rsidR="00452B58" w:rsidRPr="00452B58" w:rsidTr="00452B58">
        <w:trPr>
          <w:trHeight w:val="144"/>
        </w:trPr>
        <w:tc>
          <w:tcPr>
            <w:tcW w:w="1666"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2.60 m non-refrigerated freight tasks</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$0.389</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$0.313</w:t>
            </w:r>
          </w:p>
        </w:tc>
      </w:tr>
      <w:tr w:rsidR="00452B58" w:rsidRPr="00452B58" w:rsidTr="00452B58">
        <w:trPr>
          <w:trHeight w:val="144"/>
        </w:trPr>
        <w:tc>
          <w:tcPr>
            <w:tcW w:w="1666"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2.50 m refrigerated freight tasks</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$0.443</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$0.356</w:t>
            </w:r>
          </w:p>
        </w:tc>
      </w:tr>
      <w:tr w:rsidR="00452B58" w:rsidRPr="00452B58" w:rsidTr="00452B58">
        <w:trPr>
          <w:trHeight w:val="144"/>
        </w:trPr>
        <w:tc>
          <w:tcPr>
            <w:tcW w:w="1666"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2.55 m refrigerated freight tasks</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$0.433</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$0.347</w:t>
            </w:r>
          </w:p>
        </w:tc>
      </w:tr>
      <w:tr w:rsidR="00452B58" w:rsidRPr="00452B58" w:rsidTr="00452B58">
        <w:trPr>
          <w:trHeight w:val="144"/>
        </w:trPr>
        <w:tc>
          <w:tcPr>
            <w:tcW w:w="1666"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2.60 m refrigerated freight tasks</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$0.428</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$0.341</w:t>
            </w:r>
          </w:p>
        </w:tc>
      </w:tr>
    </w:tbl>
    <w:p w:rsidR="00452B58" w:rsidRPr="00F2517A" w:rsidRDefault="00452B58" w:rsidP="00F2517A">
      <w:pPr>
        <w:pStyle w:val="ARRBBaseHeading2"/>
      </w:pPr>
      <w:bookmarkStart w:id="274" w:name="_Toc98291397"/>
      <w:bookmarkStart w:id="275" w:name="_Toc107195883"/>
      <w:bookmarkStart w:id="276" w:name="_Toc137731685"/>
      <w:r w:rsidRPr="00F2517A">
        <w:t>Discounting and Other Modelling Assumptions</w:t>
      </w:r>
      <w:bookmarkEnd w:id="274"/>
      <w:bookmarkEnd w:id="275"/>
      <w:bookmarkEnd w:id="276"/>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For each analysis, gross benefits, gross costs and net benefits are reported as discounted present values on their policy commencement date of 1 July 2023.</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BCA is based on a primary analysis and a set of sensitivity analyses to accommodate uncertainties surrounding input parameters, including benefits, costs and discount rates.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Parameter variations for the BCA primary and sensitivity analyses are summarised in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_Ref98102079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Table </w:t>
      </w:r>
      <w:r w:rsidRPr="00452B58">
        <w:rPr>
          <w:rFonts w:ascii="Calibri" w:eastAsia="Calibri" w:hAnsi="Calibri" w:cs="Calibri"/>
          <w:noProof/>
          <w:color w:val="auto"/>
          <w:kern w:val="0"/>
          <w:sz w:val="22"/>
          <w:szCs w:val="22"/>
        </w:rPr>
        <w:t>5</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7</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br w:type="page"/>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77" w:name="_Ref98102079"/>
      <w:bookmarkStart w:id="278" w:name="_Toc98291419"/>
      <w:bookmarkStart w:id="279" w:name="_Toc106721497"/>
      <w:bookmarkStart w:id="280" w:name="_Toc117646416"/>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Table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7</w:t>
      </w:r>
      <w:r w:rsidRPr="00452B58">
        <w:rPr>
          <w:rFonts w:ascii="Calibri" w:eastAsia="Calibri" w:hAnsi="Calibri" w:cs="Times New Roman"/>
          <w:b/>
          <w:bCs/>
          <w:noProof/>
          <w:color w:val="67696A"/>
          <w:kern w:val="0"/>
          <w:sz w:val="18"/>
          <w:szCs w:val="22"/>
        </w:rPr>
        <w:fldChar w:fldCharType="end"/>
      </w:r>
      <w:bookmarkEnd w:id="277"/>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Parameter variations in primary and sensitivity analysis</w:t>
      </w:r>
      <w:bookmarkEnd w:id="278"/>
      <w:bookmarkEnd w:id="279"/>
      <w:bookmarkEnd w:id="280"/>
    </w:p>
    <w:tbl>
      <w:tblPr>
        <w:tblStyle w:val="ARRBTableStyle"/>
        <w:tblW w:w="5005" w:type="pct"/>
        <w:tblLayout w:type="fixed"/>
        <w:tblLook w:val="04A0" w:firstRow="1" w:lastRow="0" w:firstColumn="1" w:lastColumn="0" w:noHBand="0" w:noVBand="1"/>
      </w:tblPr>
      <w:tblGrid>
        <w:gridCol w:w="3965"/>
        <w:gridCol w:w="3258"/>
        <w:gridCol w:w="2415"/>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187"/>
        </w:trPr>
        <w:tc>
          <w:tcPr>
            <w:tcW w:w="2057" w:type="pct"/>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Modelling parameter </w:t>
            </w:r>
          </w:p>
        </w:tc>
        <w:tc>
          <w:tcPr>
            <w:tcW w:w="1690" w:type="pct"/>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Primary analysis</w:t>
            </w:r>
          </w:p>
        </w:tc>
        <w:tc>
          <w:tcPr>
            <w:tcW w:w="1253" w:type="pct"/>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Sensitivity analysis</w:t>
            </w:r>
          </w:p>
        </w:tc>
      </w:tr>
      <w:tr w:rsidR="00452B58" w:rsidRPr="00452B58" w:rsidTr="00452B58">
        <w:trPr>
          <w:trHeight w:val="147"/>
        </w:trPr>
        <w:tc>
          <w:tcPr>
            <w:tcW w:w="205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Discount rate </w:t>
            </w:r>
          </w:p>
        </w:tc>
        <w:tc>
          <w:tcPr>
            <w:tcW w:w="1690"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7%</w:t>
            </w:r>
          </w:p>
        </w:tc>
        <w:tc>
          <w:tcPr>
            <w:tcW w:w="1253"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3% and 10%</w:t>
            </w:r>
          </w:p>
        </w:tc>
      </w:tr>
      <w:tr w:rsidR="00452B58" w:rsidRPr="00452B58" w:rsidTr="00452B58">
        <w:trPr>
          <w:trHeight w:val="147"/>
        </w:trPr>
        <w:tc>
          <w:tcPr>
            <w:tcW w:w="205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Infrastructure update cost</w:t>
            </w:r>
          </w:p>
        </w:tc>
        <w:tc>
          <w:tcPr>
            <w:tcW w:w="1690"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100%</w:t>
            </w:r>
          </w:p>
        </w:tc>
        <w:tc>
          <w:tcPr>
            <w:tcW w:w="1253"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80%, 120%</w:t>
            </w:r>
          </w:p>
        </w:tc>
      </w:tr>
      <w:tr w:rsidR="00452B58" w:rsidRPr="00452B58" w:rsidTr="00452B58">
        <w:trPr>
          <w:trHeight w:val="147"/>
        </w:trPr>
        <w:tc>
          <w:tcPr>
            <w:tcW w:w="205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Cost of safety features </w:t>
            </w:r>
          </w:p>
        </w:tc>
        <w:tc>
          <w:tcPr>
            <w:tcW w:w="1690"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100%</w:t>
            </w:r>
          </w:p>
        </w:tc>
        <w:tc>
          <w:tcPr>
            <w:tcW w:w="1253"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80%, 120%</w:t>
            </w:r>
          </w:p>
        </w:tc>
      </w:tr>
      <w:tr w:rsidR="00452B58" w:rsidRPr="00452B58" w:rsidTr="00452B58">
        <w:trPr>
          <w:trHeight w:val="147"/>
        </w:trPr>
        <w:tc>
          <w:tcPr>
            <w:tcW w:w="205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Projected total vehicle fleet annual growth rate</w:t>
            </w:r>
          </w:p>
        </w:tc>
        <w:tc>
          <w:tcPr>
            <w:tcW w:w="1690"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w:t>
            </w:r>
          </w:p>
        </w:tc>
        <w:tc>
          <w:tcPr>
            <w:tcW w:w="1253"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 3%</w:t>
            </w:r>
          </w:p>
        </w:tc>
      </w:tr>
      <w:tr w:rsidR="00452B58" w:rsidRPr="00452B58" w:rsidTr="00452B58">
        <w:trPr>
          <w:trHeight w:val="147"/>
        </w:trPr>
        <w:tc>
          <w:tcPr>
            <w:tcW w:w="205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Projected total trailer fleet annual growth rate</w:t>
            </w:r>
          </w:p>
        </w:tc>
        <w:tc>
          <w:tcPr>
            <w:tcW w:w="1690"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3.3%</w:t>
            </w:r>
          </w:p>
        </w:tc>
        <w:tc>
          <w:tcPr>
            <w:tcW w:w="1253"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2.6%, 4%</w:t>
            </w:r>
          </w:p>
        </w:tc>
      </w:tr>
      <w:tr w:rsidR="00452B58" w:rsidRPr="00452B58" w:rsidTr="00452B58">
        <w:trPr>
          <w:trHeight w:val="147"/>
        </w:trPr>
        <w:tc>
          <w:tcPr>
            <w:tcW w:w="205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Change in efficacy of safety features</w:t>
            </w:r>
          </w:p>
        </w:tc>
        <w:tc>
          <w:tcPr>
            <w:tcW w:w="1690"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100%</w:t>
            </w:r>
          </w:p>
        </w:tc>
        <w:tc>
          <w:tcPr>
            <w:tcW w:w="1253"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80%, 120%</w:t>
            </w:r>
          </w:p>
        </w:tc>
      </w:tr>
      <w:tr w:rsidR="00452B58" w:rsidRPr="00452B58" w:rsidTr="00452B58">
        <w:trPr>
          <w:trHeight w:val="147"/>
        </w:trPr>
        <w:tc>
          <w:tcPr>
            <w:tcW w:w="205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Voluntary uptake of new widths in new vehicle fleet share</w:t>
            </w:r>
          </w:p>
        </w:tc>
        <w:tc>
          <w:tcPr>
            <w:tcW w:w="1690" w:type="pct"/>
          </w:tcPr>
          <w:p w:rsidR="00452B58" w:rsidRPr="00452B58" w:rsidRDefault="00452B58" w:rsidP="00452B58">
            <w:pPr>
              <w:keepNext/>
              <w:tabs>
                <w:tab w:val="left" w:pos="170"/>
              </w:tabs>
              <w:suppressAutoHyphens w:val="0"/>
              <w:spacing w:before="40" w:after="40"/>
              <w:ind w:left="170" w:hanging="170"/>
              <w:contextualSpacing/>
              <w:rPr>
                <w:rFonts w:eastAsia="Calibri" w:cs="Times New Roman"/>
                <w:kern w:val="0"/>
                <w:szCs w:val="22"/>
              </w:rPr>
            </w:pPr>
            <w:r w:rsidRPr="00452B58">
              <w:rPr>
                <w:rFonts w:eastAsia="Calibri" w:cs="Times New Roman"/>
                <w:kern w:val="0"/>
                <w:szCs w:val="22"/>
              </w:rPr>
              <w:t>HV by country of origin</w:t>
            </w:r>
          </w:p>
          <w:p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EU/US: fleet share with new width reaching 100% in 2 years after policy commencement</w:t>
            </w:r>
          </w:p>
          <w:p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 xml:space="preserve">AUS: fleet share with new width reaching 100% in 15 years after policy commencement </w:t>
            </w:r>
          </w:p>
          <w:p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Japan/S. Korea: fleet share with new width reaching 100% in 25 years after policy commencement</w:t>
            </w:r>
          </w:p>
          <w:p w:rsidR="00452B58" w:rsidRPr="00452B58" w:rsidRDefault="00452B58" w:rsidP="00452B58">
            <w:pPr>
              <w:keepNext/>
              <w:tabs>
                <w:tab w:val="left" w:pos="170"/>
              </w:tabs>
              <w:suppressAutoHyphens w:val="0"/>
              <w:spacing w:before="40" w:after="40"/>
              <w:ind w:left="170" w:hanging="170"/>
              <w:contextualSpacing/>
              <w:rPr>
                <w:rFonts w:eastAsia="Calibri" w:cs="Times New Roman"/>
                <w:kern w:val="0"/>
                <w:szCs w:val="22"/>
              </w:rPr>
            </w:pPr>
            <w:r w:rsidRPr="00452B58">
              <w:rPr>
                <w:rFonts w:eastAsia="Calibri" w:cs="Times New Roman"/>
                <w:kern w:val="0"/>
                <w:szCs w:val="22"/>
              </w:rPr>
              <w:t>Trailer by importation status:</w:t>
            </w:r>
          </w:p>
          <w:p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Imported: fleet share with new width reaching 100% in 2 years after policy commencement</w:t>
            </w:r>
          </w:p>
          <w:p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Domestic: fleet share with new width reaching 100% in 40 years after policy commencement</w:t>
            </w:r>
          </w:p>
        </w:tc>
        <w:tc>
          <w:tcPr>
            <w:tcW w:w="1253" w:type="pct"/>
          </w:tcPr>
          <w:p w:rsidR="00452B58" w:rsidRPr="00452B58" w:rsidRDefault="00452B58" w:rsidP="00452B58">
            <w:pPr>
              <w:keepNext/>
              <w:tabs>
                <w:tab w:val="left" w:pos="170"/>
              </w:tabs>
              <w:suppressAutoHyphens w:val="0"/>
              <w:spacing w:before="40" w:after="40"/>
              <w:ind w:left="170" w:hanging="170"/>
              <w:contextualSpacing/>
              <w:rPr>
                <w:rFonts w:eastAsia="Calibri" w:cs="Times New Roman"/>
                <w:kern w:val="0"/>
                <w:szCs w:val="22"/>
              </w:rPr>
            </w:pPr>
            <w:r w:rsidRPr="00452B58">
              <w:rPr>
                <w:rFonts w:eastAsia="Calibri" w:cs="Times New Roman"/>
                <w:kern w:val="0"/>
                <w:szCs w:val="22"/>
              </w:rPr>
              <w:t>HV by country of origin</w:t>
            </w:r>
          </w:p>
          <w:p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EU/US: ±1 year</w:t>
            </w:r>
          </w:p>
          <w:p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 xml:space="preserve">AUS: ±10 years </w:t>
            </w:r>
          </w:p>
          <w:p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Japan/S. Korea: ±10 years</w:t>
            </w:r>
          </w:p>
          <w:p w:rsidR="00452B58" w:rsidRPr="00452B58" w:rsidRDefault="00452B58" w:rsidP="00452B58">
            <w:pPr>
              <w:keepNext/>
              <w:tabs>
                <w:tab w:val="left" w:pos="170"/>
              </w:tabs>
              <w:suppressAutoHyphens w:val="0"/>
              <w:spacing w:before="40" w:after="40"/>
              <w:ind w:left="170" w:hanging="170"/>
              <w:contextualSpacing/>
              <w:rPr>
                <w:rFonts w:eastAsia="Calibri" w:cs="Times New Roman"/>
                <w:kern w:val="0"/>
                <w:szCs w:val="22"/>
              </w:rPr>
            </w:pPr>
            <w:r w:rsidRPr="00452B58">
              <w:rPr>
                <w:rFonts w:eastAsia="Calibri" w:cs="Times New Roman"/>
                <w:kern w:val="0"/>
                <w:szCs w:val="22"/>
              </w:rPr>
              <w:t>Trailer by importation status:</w:t>
            </w:r>
          </w:p>
          <w:p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Imported: ±1 year</w:t>
            </w:r>
          </w:p>
          <w:p w:rsidR="00452B58" w:rsidRPr="00452B58" w:rsidRDefault="00452B58" w:rsidP="00452B58">
            <w:pPr>
              <w:keepNext/>
              <w:numPr>
                <w:ilvl w:val="1"/>
                <w:numId w:val="0"/>
              </w:numPr>
              <w:tabs>
                <w:tab w:val="left" w:pos="340"/>
              </w:tabs>
              <w:suppressAutoHyphens w:val="0"/>
              <w:spacing w:before="40" w:after="40"/>
              <w:ind w:left="340" w:hanging="170"/>
              <w:contextualSpacing/>
              <w:rPr>
                <w:rFonts w:eastAsia="Calibri" w:cs="Times New Roman"/>
                <w:kern w:val="0"/>
                <w:szCs w:val="22"/>
              </w:rPr>
            </w:pPr>
            <w:r w:rsidRPr="00452B58">
              <w:rPr>
                <w:rFonts w:eastAsia="Calibri" w:cs="Times New Roman"/>
                <w:kern w:val="0"/>
                <w:szCs w:val="22"/>
              </w:rPr>
              <w:t>Domestic: ±20 years</w:t>
            </w:r>
          </w:p>
        </w:tc>
      </w:tr>
      <w:tr w:rsidR="00452B58" w:rsidRPr="00452B58" w:rsidTr="00452B58">
        <w:trPr>
          <w:trHeight w:val="147"/>
        </w:trPr>
        <w:tc>
          <w:tcPr>
            <w:tcW w:w="205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Change in crash rates for wider vehicles</w:t>
            </w:r>
          </w:p>
        </w:tc>
        <w:tc>
          <w:tcPr>
            <w:tcW w:w="1690"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0%</w:t>
            </w:r>
          </w:p>
        </w:tc>
        <w:tc>
          <w:tcPr>
            <w:tcW w:w="1253"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±0.5%</w:t>
            </w:r>
          </w:p>
        </w:tc>
      </w:tr>
      <w:tr w:rsidR="00452B58" w:rsidRPr="00452B58" w:rsidTr="00452B58">
        <w:trPr>
          <w:trHeight w:val="147"/>
        </w:trPr>
        <w:tc>
          <w:tcPr>
            <w:tcW w:w="205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of freight task laden km that is refrigerated</w:t>
            </w:r>
          </w:p>
        </w:tc>
        <w:tc>
          <w:tcPr>
            <w:tcW w:w="1690"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w:t>
            </w:r>
          </w:p>
        </w:tc>
        <w:tc>
          <w:tcPr>
            <w:tcW w:w="1253"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 3%</w:t>
            </w:r>
          </w:p>
        </w:tc>
      </w:tr>
      <w:tr w:rsidR="00452B58" w:rsidRPr="00452B58" w:rsidTr="00452B58">
        <w:trPr>
          <w:trHeight w:val="147"/>
        </w:trPr>
        <w:tc>
          <w:tcPr>
            <w:tcW w:w="2057"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Trip reduction due to widening</w:t>
            </w:r>
          </w:p>
        </w:tc>
        <w:tc>
          <w:tcPr>
            <w:tcW w:w="1690"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2.55 m: 0.83%</w:t>
            </w:r>
          </w:p>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2.60 m: 1.62%</w:t>
            </w:r>
          </w:p>
        </w:tc>
        <w:tc>
          <w:tcPr>
            <w:tcW w:w="1253"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2.55 m: 0.66%, 1%</w:t>
            </w:r>
          </w:p>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2.60 m: 1.3%, 1.94%</w:t>
            </w:r>
          </w:p>
        </w:tc>
      </w:tr>
    </w:tbl>
    <w:p w:rsidR="00452B58" w:rsidRPr="00452B58" w:rsidRDefault="00452B58" w:rsidP="00452B58">
      <w:pPr>
        <w:suppressAutoHyphens w:val="0"/>
        <w:spacing w:before="0" w:after="0" w:line="288" w:lineRule="auto"/>
        <w:rPr>
          <w:rFonts w:ascii="Arial" w:eastAsia="Calibri" w:hAnsi="Arial" w:cs="Arial"/>
          <w:color w:val="000000"/>
          <w:kern w:val="0"/>
          <w:sz w:val="18"/>
          <w:szCs w:val="18"/>
          <w:lang w:val="en-GB"/>
        </w:rPr>
      </w:pPr>
    </w:p>
    <w:p w:rsidR="00452B58" w:rsidRPr="00452B58" w:rsidRDefault="00452B58" w:rsidP="00452B58">
      <w:pPr>
        <w:suppressAutoHyphens w:val="0"/>
        <w:spacing w:before="120" w:after="60" w:line="288" w:lineRule="auto"/>
        <w:rPr>
          <w:rFonts w:ascii="Arial" w:eastAsia="Calibri" w:hAnsi="Arial" w:cs="Arial"/>
          <w:color w:val="000000"/>
          <w:kern w:val="0"/>
          <w:sz w:val="18"/>
          <w:szCs w:val="18"/>
          <w:lang w:val="en-GB"/>
        </w:rPr>
      </w:pPr>
      <w:r w:rsidRPr="00452B58">
        <w:rPr>
          <w:rFonts w:ascii="Calibri" w:eastAsia="Calibri" w:hAnsi="Calibri" w:cs="Times New Roman"/>
          <w:color w:val="auto"/>
          <w:kern w:val="0"/>
          <w:sz w:val="22"/>
          <w:szCs w:val="22"/>
        </w:rPr>
        <w:br w:type="page"/>
      </w:r>
    </w:p>
    <w:p w:rsidR="00452B58" w:rsidRPr="00452B58" w:rsidRDefault="00452B58" w:rsidP="00F2517A">
      <w:pPr>
        <w:pStyle w:val="ARRBBaseHeading1"/>
      </w:pPr>
      <w:bookmarkStart w:id="281" w:name="_Toc137731686"/>
      <w:r w:rsidRPr="00452B58">
        <w:t>Analysis Outcomes</w:t>
      </w:r>
      <w:bookmarkEnd w:id="281"/>
    </w:p>
    <w:p w:rsidR="00452B58" w:rsidRPr="00F2517A" w:rsidRDefault="00452B58" w:rsidP="00F2517A">
      <w:pPr>
        <w:pStyle w:val="ARRBBaseHeading2"/>
      </w:pPr>
      <w:bookmarkStart w:id="282" w:name="_Toc137731687"/>
      <w:r w:rsidRPr="00F2517A">
        <w:t>BCA Results</w:t>
      </w:r>
      <w:bookmarkEnd w:id="282"/>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outcomes of the Department-modified analysis are shown in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_Ref106877818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rounded to the nearest million.</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83" w:name="_Ref106877818"/>
      <w:bookmarkStart w:id="284" w:name="_Toc106721498"/>
      <w:bookmarkStart w:id="285" w:name="_Toc117646417"/>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Table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1</w:t>
      </w:r>
      <w:r w:rsidRPr="00452B58">
        <w:rPr>
          <w:rFonts w:ascii="Calibri" w:eastAsia="Calibri" w:hAnsi="Calibri" w:cs="Times New Roman"/>
          <w:b/>
          <w:bCs/>
          <w:noProof/>
          <w:color w:val="67696A"/>
          <w:kern w:val="0"/>
          <w:sz w:val="18"/>
          <w:szCs w:val="22"/>
        </w:rPr>
        <w:fldChar w:fldCharType="end"/>
      </w:r>
      <w:bookmarkEnd w:id="283"/>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Vehicle widening options with mandated safety features</w:t>
      </w:r>
      <w:bookmarkEnd w:id="284"/>
      <w:bookmarkEnd w:id="285"/>
    </w:p>
    <w:tbl>
      <w:tblPr>
        <w:tblStyle w:val="ARRBTableStyle"/>
        <w:tblW w:w="9638" w:type="dxa"/>
        <w:tblLook w:val="04A0" w:firstRow="1" w:lastRow="0" w:firstColumn="1" w:lastColumn="0" w:noHBand="0" w:noVBand="1"/>
      </w:tblPr>
      <w:tblGrid>
        <w:gridCol w:w="1553"/>
        <w:gridCol w:w="1998"/>
        <w:gridCol w:w="2091"/>
        <w:gridCol w:w="1998"/>
        <w:gridCol w:w="1998"/>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300"/>
        </w:trPr>
        <w:tc>
          <w:tcPr>
            <w:tcW w:w="1553" w:type="dxa"/>
            <w:noWrap/>
          </w:tcPr>
          <w:p w:rsidR="00452B58" w:rsidRPr="00452B58" w:rsidRDefault="00452B58" w:rsidP="00452B58">
            <w:pPr>
              <w:keepNext/>
              <w:suppressAutoHyphens w:val="0"/>
              <w:spacing w:before="40" w:after="40"/>
              <w:jc w:val="center"/>
              <w:rPr>
                <w:rFonts w:eastAsia="Calibri"/>
                <w:kern w:val="0"/>
                <w:szCs w:val="22"/>
                <w:lang w:eastAsia="en-AU"/>
              </w:rPr>
            </w:pPr>
          </w:p>
        </w:tc>
        <w:tc>
          <w:tcPr>
            <w:tcW w:w="1998" w:type="dxa"/>
            <w:noWrap/>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1</w:t>
            </w:r>
            <w:r w:rsidRPr="00452B58">
              <w:rPr>
                <w:rFonts w:eastAsia="Calibri"/>
                <w:kern w:val="0"/>
                <w:szCs w:val="22"/>
                <w:lang w:eastAsia="en-AU"/>
              </w:rPr>
              <w:br/>
              <w:t>2.55 m</w:t>
            </w:r>
            <w:r w:rsidRPr="00452B58">
              <w:rPr>
                <w:rFonts w:eastAsia="Calibri"/>
                <w:kern w:val="0"/>
                <w:szCs w:val="22"/>
                <w:lang w:eastAsia="en-AU"/>
              </w:rPr>
              <w:br/>
              <w:t>Vehicle and trailer</w:t>
            </w:r>
          </w:p>
        </w:tc>
        <w:tc>
          <w:tcPr>
            <w:tcW w:w="2091" w:type="dxa"/>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2</w:t>
            </w:r>
            <w:r w:rsidRPr="00452B58">
              <w:rPr>
                <w:rFonts w:eastAsia="Calibri"/>
                <w:kern w:val="0"/>
                <w:szCs w:val="22"/>
                <w:lang w:eastAsia="en-AU"/>
              </w:rPr>
              <w:br/>
              <w:t>2.55 m</w:t>
            </w:r>
            <w:r w:rsidRPr="00452B58">
              <w:rPr>
                <w:rFonts w:eastAsia="Calibri"/>
                <w:kern w:val="0"/>
                <w:szCs w:val="22"/>
                <w:lang w:eastAsia="en-AU"/>
              </w:rPr>
              <w:br/>
              <w:t>Vehicle only</w:t>
            </w:r>
          </w:p>
        </w:tc>
        <w:tc>
          <w:tcPr>
            <w:tcW w:w="1998" w:type="dxa"/>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3</w:t>
            </w:r>
            <w:r w:rsidRPr="00452B58">
              <w:rPr>
                <w:rFonts w:eastAsia="Calibri"/>
                <w:kern w:val="0"/>
                <w:szCs w:val="22"/>
                <w:lang w:eastAsia="en-AU"/>
              </w:rPr>
              <w:br/>
              <w:t>2.60 m</w:t>
            </w:r>
            <w:r w:rsidRPr="00452B58">
              <w:rPr>
                <w:rFonts w:eastAsia="Calibri"/>
                <w:kern w:val="0"/>
                <w:szCs w:val="22"/>
                <w:lang w:eastAsia="en-AU"/>
              </w:rPr>
              <w:br/>
              <w:t>Vehicle and trailer</w:t>
            </w:r>
          </w:p>
        </w:tc>
        <w:tc>
          <w:tcPr>
            <w:tcW w:w="1998" w:type="dxa"/>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Option 4</w:t>
            </w:r>
            <w:r w:rsidRPr="00452B58">
              <w:rPr>
                <w:rFonts w:eastAsia="Calibri"/>
                <w:kern w:val="0"/>
                <w:szCs w:val="22"/>
                <w:lang w:eastAsia="en-AU"/>
              </w:rPr>
              <w:br/>
              <w:t>2.60 m</w:t>
            </w:r>
            <w:r w:rsidRPr="00452B58">
              <w:rPr>
                <w:rFonts w:eastAsia="Calibri"/>
                <w:kern w:val="0"/>
                <w:szCs w:val="22"/>
                <w:lang w:eastAsia="en-AU"/>
              </w:rPr>
              <w:br/>
              <w:t>Vehicle only</w:t>
            </w:r>
          </w:p>
        </w:tc>
      </w:tr>
      <w:tr w:rsidR="00452B58" w:rsidRPr="00452B58" w:rsidTr="00452B58">
        <w:trPr>
          <w:trHeight w:val="300"/>
        </w:trPr>
        <w:tc>
          <w:tcPr>
            <w:tcW w:w="1553" w:type="dxa"/>
            <w:noWrap/>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BCR</w:t>
            </w:r>
          </w:p>
        </w:tc>
        <w:tc>
          <w:tcPr>
            <w:tcW w:w="1998" w:type="dxa"/>
            <w:noWrap/>
          </w:tcPr>
          <w:p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3.0</w:t>
            </w:r>
          </w:p>
        </w:tc>
        <w:tc>
          <w:tcPr>
            <w:tcW w:w="2091" w:type="dxa"/>
          </w:tcPr>
          <w:p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3.0</w:t>
            </w:r>
          </w:p>
        </w:tc>
        <w:tc>
          <w:tcPr>
            <w:tcW w:w="1998" w:type="dxa"/>
          </w:tcPr>
          <w:p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4.2</w:t>
            </w:r>
          </w:p>
        </w:tc>
        <w:tc>
          <w:tcPr>
            <w:tcW w:w="1998" w:type="dxa"/>
          </w:tcPr>
          <w:p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4.4</w:t>
            </w:r>
          </w:p>
        </w:tc>
      </w:tr>
      <w:tr w:rsidR="00452B58" w:rsidRPr="00452B58" w:rsidTr="00452B58">
        <w:trPr>
          <w:trHeight w:val="300"/>
        </w:trPr>
        <w:tc>
          <w:tcPr>
            <w:tcW w:w="1553"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NPV</w:t>
            </w:r>
          </w:p>
        </w:tc>
        <w:tc>
          <w:tcPr>
            <w:tcW w:w="1998" w:type="dxa"/>
            <w:noWrap/>
          </w:tcPr>
          <w:p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$654 M</w:t>
            </w:r>
          </w:p>
        </w:tc>
        <w:tc>
          <w:tcPr>
            <w:tcW w:w="2091" w:type="dxa"/>
          </w:tcPr>
          <w:p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$588 M</w:t>
            </w:r>
          </w:p>
        </w:tc>
        <w:tc>
          <w:tcPr>
            <w:tcW w:w="1998" w:type="dxa"/>
          </w:tcPr>
          <w:p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$1,038 M</w:t>
            </w:r>
          </w:p>
        </w:tc>
        <w:tc>
          <w:tcPr>
            <w:tcW w:w="1998" w:type="dxa"/>
          </w:tcPr>
          <w:p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$931 M</w:t>
            </w:r>
          </w:p>
        </w:tc>
      </w:tr>
      <w:tr w:rsidR="00452B58" w:rsidRPr="00452B58" w:rsidTr="00452B58">
        <w:trPr>
          <w:trHeight w:val="300"/>
        </w:trPr>
        <w:tc>
          <w:tcPr>
            <w:tcW w:w="1553"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PV of costs</w:t>
            </w:r>
          </w:p>
        </w:tc>
        <w:tc>
          <w:tcPr>
            <w:tcW w:w="1998" w:type="dxa"/>
            <w:noWrap/>
          </w:tcPr>
          <w:p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$334 M</w:t>
            </w:r>
          </w:p>
        </w:tc>
        <w:tc>
          <w:tcPr>
            <w:tcW w:w="2091" w:type="dxa"/>
          </w:tcPr>
          <w:p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$289 M</w:t>
            </w:r>
          </w:p>
        </w:tc>
        <w:tc>
          <w:tcPr>
            <w:tcW w:w="1998" w:type="dxa"/>
          </w:tcPr>
          <w:p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$321 M</w:t>
            </w:r>
          </w:p>
        </w:tc>
        <w:tc>
          <w:tcPr>
            <w:tcW w:w="1998" w:type="dxa"/>
          </w:tcPr>
          <w:p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$275 M</w:t>
            </w:r>
          </w:p>
        </w:tc>
      </w:tr>
      <w:tr w:rsidR="00452B58" w:rsidRPr="00452B58" w:rsidTr="00452B58">
        <w:trPr>
          <w:trHeight w:val="300"/>
        </w:trPr>
        <w:tc>
          <w:tcPr>
            <w:tcW w:w="1553"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PV of benefits</w:t>
            </w:r>
          </w:p>
        </w:tc>
        <w:tc>
          <w:tcPr>
            <w:tcW w:w="1998" w:type="dxa"/>
            <w:noWrap/>
          </w:tcPr>
          <w:p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$988 M</w:t>
            </w:r>
          </w:p>
        </w:tc>
        <w:tc>
          <w:tcPr>
            <w:tcW w:w="2091" w:type="dxa"/>
          </w:tcPr>
          <w:p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$877 M</w:t>
            </w:r>
          </w:p>
        </w:tc>
        <w:tc>
          <w:tcPr>
            <w:tcW w:w="1998" w:type="dxa"/>
          </w:tcPr>
          <w:p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$1,360 M</w:t>
            </w:r>
          </w:p>
        </w:tc>
        <w:tc>
          <w:tcPr>
            <w:tcW w:w="1998" w:type="dxa"/>
          </w:tcPr>
          <w:p w:rsidR="00452B58" w:rsidRPr="00452B58" w:rsidRDefault="00452B58" w:rsidP="00452B58">
            <w:pPr>
              <w:keepNext/>
              <w:suppressAutoHyphens w:val="0"/>
              <w:spacing w:before="40" w:after="40"/>
              <w:jc w:val="center"/>
              <w:rPr>
                <w:rFonts w:eastAsia="Calibri" w:cs="Times New Roman"/>
                <w:kern w:val="0"/>
                <w:szCs w:val="22"/>
                <w:highlight w:val="yellow"/>
                <w:lang w:eastAsia="en-AU"/>
              </w:rPr>
            </w:pPr>
            <w:r w:rsidRPr="00452B58">
              <w:rPr>
                <w:rFonts w:eastAsia="Calibri" w:cs="Times New Roman"/>
                <w:kern w:val="0"/>
                <w:szCs w:val="22"/>
              </w:rPr>
              <w:t>$1,206 M</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All analysis options show a favourable outcome with benefits outweighing costs.  The ratio of benefits to costs seems to be tied to the amount of widening rather than whether trailers are included or not, but the Net Present Value is approximately 11% greater in Options 1 and 3 where trailers are included.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key drivers of benefit are the safety impact of wider vehicles due to reduced trips (i.e. crash exposure) and their adoption of mandatory safety features (i.e. crash reduction).</w:t>
      </w:r>
    </w:p>
    <w:p w:rsidR="00452B58" w:rsidRPr="00F2517A" w:rsidRDefault="00452B58" w:rsidP="00F2517A">
      <w:pPr>
        <w:pStyle w:val="ARRBBaseHeading2"/>
      </w:pPr>
      <w:bookmarkStart w:id="286" w:name="_Toc137731688"/>
      <w:r w:rsidRPr="00F2517A">
        <w:t>Sensitivity Analysis</w:t>
      </w:r>
      <w:bookmarkEnd w:id="286"/>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following sensitivity analysis provides insight into some of the aspects of the analysis where there is a lack of data for the parameters included in the main analysis, as well as indicating how sensitive the results are to variations of key parameters.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For each of the sensitivity tests undertaken below, the parameter values are increased or decreased relative to the main analysis. No value judgement is made as to whether a higher or lower result is a better outcome.</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_Ref110850526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2</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shows the sensitivity of the results to the discount rate, which varies from 10% to 3 %, around the main analysis value of 7%.</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87" w:name="_Ref110850526"/>
      <w:bookmarkStart w:id="288" w:name="_Toc117646418"/>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Table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2</w:t>
      </w:r>
      <w:r w:rsidRPr="00452B58">
        <w:rPr>
          <w:rFonts w:ascii="Calibri" w:eastAsia="Calibri" w:hAnsi="Calibri" w:cs="Times New Roman"/>
          <w:b/>
          <w:bCs/>
          <w:noProof/>
          <w:color w:val="67696A"/>
          <w:kern w:val="0"/>
          <w:sz w:val="18"/>
          <w:szCs w:val="22"/>
        </w:rPr>
        <w:fldChar w:fldCharType="end"/>
      </w:r>
      <w:bookmarkEnd w:id="287"/>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discount rate for vehicle widening options</w:t>
      </w:r>
      <w:bookmarkEnd w:id="288"/>
    </w:p>
    <w:tbl>
      <w:tblPr>
        <w:tblStyle w:val="ARRBTableStyle"/>
        <w:tblW w:w="9639" w:type="dxa"/>
        <w:tblLook w:val="04A0" w:firstRow="1" w:lastRow="0" w:firstColumn="1" w:lastColumn="0" w:noHBand="0" w:noVBand="1"/>
      </w:tblPr>
      <w:tblGrid>
        <w:gridCol w:w="960"/>
        <w:gridCol w:w="2159"/>
        <w:gridCol w:w="709"/>
        <w:gridCol w:w="2268"/>
        <w:gridCol w:w="708"/>
        <w:gridCol w:w="2127"/>
        <w:gridCol w:w="708"/>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868" w:type="dxa"/>
            <w:gridSpan w:val="2"/>
            <w:tcBorders>
              <w:left w:val="single" w:sz="8" w:space="0" w:color="FFFFFF"/>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10%</w:t>
            </w:r>
          </w:p>
        </w:tc>
        <w:tc>
          <w:tcPr>
            <w:tcW w:w="2976" w:type="dxa"/>
            <w:gridSpan w:val="2"/>
            <w:tcBorders>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7%</w:t>
            </w:r>
          </w:p>
        </w:tc>
        <w:tc>
          <w:tcPr>
            <w:tcW w:w="2835" w:type="dxa"/>
            <w:gridSpan w:val="2"/>
            <w:tcBorders>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3%</w:t>
            </w:r>
          </w:p>
        </w:tc>
      </w:tr>
      <w:tr w:rsidR="00452B58" w:rsidRPr="00452B58" w:rsidTr="00452B58">
        <w:trPr>
          <w:trHeight w:val="300"/>
        </w:trPr>
        <w:tc>
          <w:tcPr>
            <w:tcW w:w="960" w:type="dxa"/>
            <w:vMerge/>
            <w:tcBorders>
              <w:right w:val="single" w:sz="8" w:space="0" w:color="FFFFFF"/>
            </w:tcBorders>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59"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709"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268"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708" w:type="dxa"/>
            <w:tcBorders>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2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708" w:type="dxa"/>
            <w:tcBorders>
              <w:top w:val="single" w:sz="8" w:space="0" w:color="FFFFFF"/>
              <w:lef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59"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$372 M</w:t>
            </w:r>
          </w:p>
        </w:tc>
        <w:tc>
          <w:tcPr>
            <w:tcW w:w="709"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2.5</w:t>
            </w:r>
          </w:p>
        </w:tc>
        <w:tc>
          <w:tcPr>
            <w:tcW w:w="2268"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708"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2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$1,497 M</w:t>
            </w:r>
          </w:p>
        </w:tc>
        <w:tc>
          <w:tcPr>
            <w:tcW w:w="708"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3.9</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59"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$338 M</w:t>
            </w:r>
          </w:p>
        </w:tc>
        <w:tc>
          <w:tcPr>
            <w:tcW w:w="709"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2.6</w:t>
            </w:r>
          </w:p>
        </w:tc>
        <w:tc>
          <w:tcPr>
            <w:tcW w:w="2268"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708"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2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$1,330 M</w:t>
            </w:r>
          </w:p>
        </w:tc>
        <w:tc>
          <w:tcPr>
            <w:tcW w:w="708"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4.0</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59"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$611 M</w:t>
            </w:r>
          </w:p>
        </w:tc>
        <w:tc>
          <w:tcPr>
            <w:tcW w:w="709"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3.5</w:t>
            </w:r>
          </w:p>
        </w:tc>
        <w:tc>
          <w:tcPr>
            <w:tcW w:w="2268"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708"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12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$2298 M</w:t>
            </w:r>
          </w:p>
        </w:tc>
        <w:tc>
          <w:tcPr>
            <w:tcW w:w="708"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5.6</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59"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$553 M</w:t>
            </w:r>
          </w:p>
        </w:tc>
        <w:tc>
          <w:tcPr>
            <w:tcW w:w="709"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3.7</w:t>
            </w:r>
          </w:p>
        </w:tc>
        <w:tc>
          <w:tcPr>
            <w:tcW w:w="2268"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708"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12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$2039 M</w:t>
            </w:r>
          </w:p>
        </w:tc>
        <w:tc>
          <w:tcPr>
            <w:tcW w:w="708"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widening options remain economically viable across this range of discount rates.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_Ref110850716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3</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shows the sensitivity of the results to the infrastructure update cost based on the minimal, voluntary response from road managers, which varies from $12 to $8 around the main analysis value of $10 (±20%).</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89" w:name="_Ref110850716"/>
      <w:bookmarkStart w:id="290" w:name="_Toc117646419"/>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Table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3</w:t>
      </w:r>
      <w:r w:rsidRPr="00452B58">
        <w:rPr>
          <w:rFonts w:ascii="Calibri" w:eastAsia="Calibri" w:hAnsi="Calibri" w:cs="Times New Roman"/>
          <w:b/>
          <w:bCs/>
          <w:noProof/>
          <w:color w:val="67696A"/>
          <w:kern w:val="0"/>
          <w:sz w:val="18"/>
          <w:szCs w:val="22"/>
        </w:rPr>
        <w:fldChar w:fldCharType="end"/>
      </w:r>
      <w:bookmarkEnd w:id="289"/>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infrastructure update cost for vehicle widening options</w:t>
      </w:r>
      <w:bookmarkEnd w:id="290"/>
    </w:p>
    <w:tbl>
      <w:tblPr>
        <w:tblStyle w:val="ARRBTableStyle"/>
        <w:tblW w:w="9343" w:type="dxa"/>
        <w:tblLook w:val="04A0" w:firstRow="1" w:lastRow="0" w:firstColumn="1" w:lastColumn="0" w:noHBand="0" w:noVBand="1"/>
      </w:tblPr>
      <w:tblGrid>
        <w:gridCol w:w="960"/>
        <w:gridCol w:w="2102"/>
        <w:gridCol w:w="607"/>
        <w:gridCol w:w="2107"/>
        <w:gridCol w:w="607"/>
        <w:gridCol w:w="2353"/>
        <w:gridCol w:w="607"/>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09" w:type="dxa"/>
            <w:gridSpan w:val="2"/>
            <w:tcBorders>
              <w:left w:val="single" w:sz="8" w:space="0" w:color="FFFFFF"/>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$12</w:t>
            </w:r>
          </w:p>
        </w:tc>
        <w:tc>
          <w:tcPr>
            <w:tcW w:w="2714" w:type="dxa"/>
            <w:gridSpan w:val="2"/>
            <w:tcBorders>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$10</w:t>
            </w:r>
          </w:p>
        </w:tc>
        <w:tc>
          <w:tcPr>
            <w:tcW w:w="2960" w:type="dxa"/>
            <w:gridSpan w:val="2"/>
            <w:tcBorders>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$8</w:t>
            </w:r>
          </w:p>
        </w:tc>
      </w:tr>
      <w:tr w:rsidR="00452B58" w:rsidRPr="00452B58" w:rsidTr="00452B58">
        <w:trPr>
          <w:trHeight w:val="300"/>
        </w:trPr>
        <w:tc>
          <w:tcPr>
            <w:tcW w:w="960" w:type="dxa"/>
            <w:vMerge/>
            <w:tcBorders>
              <w:right w:val="single" w:sz="8" w:space="0" w:color="FFFFFF"/>
            </w:tcBorders>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02"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02"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$650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2.9</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$657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02"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$585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$591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3.1</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02"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$1,035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$1,042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02"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$928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$934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widening options remain economically viable across this range of infrastructure update costs.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_Ref110850784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shows the sensitivity of the results to the safety feature costs, which varies from 120% to 80%, around the main analysis value of 100% (±20%).</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91" w:name="_Ref110850784"/>
      <w:bookmarkStart w:id="292" w:name="_Toc117646420"/>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Table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noProof/>
          <w:color w:val="67696A"/>
          <w:kern w:val="0"/>
          <w:sz w:val="18"/>
          <w:szCs w:val="22"/>
        </w:rPr>
        <w:fldChar w:fldCharType="end"/>
      </w:r>
      <w:bookmarkEnd w:id="291"/>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the cost of safety features for vehicle widening options</w:t>
      </w:r>
      <w:bookmarkEnd w:id="292"/>
    </w:p>
    <w:tbl>
      <w:tblPr>
        <w:tblStyle w:val="ARRBTableStyle"/>
        <w:tblW w:w="9343" w:type="dxa"/>
        <w:tblLook w:val="04A0" w:firstRow="1" w:lastRow="0" w:firstColumn="1" w:lastColumn="0" w:noHBand="0" w:noVBand="1"/>
      </w:tblPr>
      <w:tblGrid>
        <w:gridCol w:w="960"/>
        <w:gridCol w:w="2102"/>
        <w:gridCol w:w="607"/>
        <w:gridCol w:w="2107"/>
        <w:gridCol w:w="607"/>
        <w:gridCol w:w="2353"/>
        <w:gridCol w:w="607"/>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09" w:type="dxa"/>
            <w:gridSpan w:val="2"/>
            <w:tcBorders>
              <w:left w:val="single" w:sz="8" w:space="0" w:color="FFFFFF"/>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120%</w:t>
            </w:r>
          </w:p>
        </w:tc>
        <w:tc>
          <w:tcPr>
            <w:tcW w:w="2714" w:type="dxa"/>
            <w:gridSpan w:val="2"/>
            <w:tcBorders>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100%</w:t>
            </w:r>
          </w:p>
        </w:tc>
        <w:tc>
          <w:tcPr>
            <w:tcW w:w="2960" w:type="dxa"/>
            <w:gridSpan w:val="2"/>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80%</w:t>
            </w:r>
          </w:p>
        </w:tc>
      </w:tr>
      <w:tr w:rsidR="00452B58" w:rsidRPr="00452B58" w:rsidTr="00452B58">
        <w:trPr>
          <w:trHeight w:val="300"/>
        </w:trPr>
        <w:tc>
          <w:tcPr>
            <w:tcW w:w="960" w:type="dxa"/>
            <w:vMerge/>
            <w:tcBorders>
              <w:right w:val="single" w:sz="8" w:space="0" w:color="FFFFFF"/>
            </w:tcBorders>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02"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02"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$579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2.4</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$728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3.8</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02"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$521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2.5</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$655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4.0</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02"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$964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3.4</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$1,113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5.5</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02"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$864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3.5</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$998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widening options remain economically viable across this range of safety feature costs.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_Ref110850912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5</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shows the sensitivity of the results to the vehicle and trailer growth rates, which vary from 3% and 4% respectively, to 1% and 2.6%, around the main analysis value of 2% and 3.3% (±20%).</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93" w:name="_Ref110850912"/>
      <w:bookmarkStart w:id="294" w:name="_Toc117646421"/>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Table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noProof/>
          <w:color w:val="67696A"/>
          <w:kern w:val="0"/>
          <w:sz w:val="18"/>
          <w:szCs w:val="22"/>
        </w:rPr>
        <w:fldChar w:fldCharType="end"/>
      </w:r>
      <w:bookmarkEnd w:id="293"/>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projected total fleet annual growth rates for vehicle and trailer widening options</w:t>
      </w:r>
      <w:bookmarkEnd w:id="294"/>
    </w:p>
    <w:tbl>
      <w:tblPr>
        <w:tblStyle w:val="ARRBTableStyle"/>
        <w:tblW w:w="9343" w:type="dxa"/>
        <w:tblLook w:val="04A0" w:firstRow="1" w:lastRow="0" w:firstColumn="1" w:lastColumn="0" w:noHBand="0" w:noVBand="1"/>
      </w:tblPr>
      <w:tblGrid>
        <w:gridCol w:w="960"/>
        <w:gridCol w:w="2102"/>
        <w:gridCol w:w="607"/>
        <w:gridCol w:w="2107"/>
        <w:gridCol w:w="607"/>
        <w:gridCol w:w="2353"/>
        <w:gridCol w:w="607"/>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09" w:type="dxa"/>
            <w:gridSpan w:val="2"/>
            <w:tcBorders>
              <w:left w:val="single" w:sz="8" w:space="0" w:color="FFFFFF"/>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3%, 4%</w:t>
            </w:r>
          </w:p>
        </w:tc>
        <w:tc>
          <w:tcPr>
            <w:tcW w:w="2714" w:type="dxa"/>
            <w:gridSpan w:val="2"/>
            <w:tcBorders>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2%, 3.3%</w:t>
            </w:r>
          </w:p>
        </w:tc>
        <w:tc>
          <w:tcPr>
            <w:tcW w:w="2960" w:type="dxa"/>
            <w:gridSpan w:val="2"/>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1%, 2.6%</w:t>
            </w:r>
          </w:p>
        </w:tc>
      </w:tr>
      <w:tr w:rsidR="00452B58" w:rsidRPr="00452B58" w:rsidTr="00452B58">
        <w:trPr>
          <w:trHeight w:val="300"/>
        </w:trPr>
        <w:tc>
          <w:tcPr>
            <w:tcW w:w="960" w:type="dxa"/>
            <w:vMerge/>
            <w:tcBorders>
              <w:right w:val="single" w:sz="8" w:space="0" w:color="FFFFFF"/>
            </w:tcBorders>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02"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02"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$708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2.9</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$605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02"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$638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$544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3.1</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02"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$1,131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4.1</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$954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02"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$1,016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$854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4.5</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widening options remain economically viable across this range of growth rates.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_Ref110851236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shows the sensitivity of the results to the efficacy of the safety features as expressed through the crash reduction factors, each value of which are varied by ±20%. </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95" w:name="_Ref110851236"/>
      <w:bookmarkStart w:id="296" w:name="_Toc117646422"/>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Table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noProof/>
          <w:color w:val="67696A"/>
          <w:kern w:val="0"/>
          <w:sz w:val="18"/>
          <w:szCs w:val="22"/>
        </w:rPr>
        <w:fldChar w:fldCharType="end"/>
      </w:r>
      <w:bookmarkEnd w:id="295"/>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change in crash reduction factors (effectiveness of safety features)</w:t>
      </w:r>
      <w:bookmarkEnd w:id="296"/>
    </w:p>
    <w:tbl>
      <w:tblPr>
        <w:tblStyle w:val="ARRBTableStyle"/>
        <w:tblW w:w="9340" w:type="dxa"/>
        <w:tblLook w:val="04A0" w:firstRow="1" w:lastRow="0" w:firstColumn="1" w:lastColumn="0" w:noHBand="0" w:noVBand="1"/>
      </w:tblPr>
      <w:tblGrid>
        <w:gridCol w:w="960"/>
        <w:gridCol w:w="2133"/>
        <w:gridCol w:w="573"/>
        <w:gridCol w:w="2107"/>
        <w:gridCol w:w="607"/>
        <w:gridCol w:w="2353"/>
        <w:gridCol w:w="607"/>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06" w:type="dxa"/>
            <w:gridSpan w:val="2"/>
            <w:tcBorders>
              <w:left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120%</w:t>
            </w:r>
          </w:p>
        </w:tc>
        <w:tc>
          <w:tcPr>
            <w:tcW w:w="2714" w:type="dxa"/>
            <w:gridSpan w:val="2"/>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100%</w:t>
            </w:r>
          </w:p>
        </w:tc>
        <w:tc>
          <w:tcPr>
            <w:tcW w:w="2960" w:type="dxa"/>
            <w:gridSpan w:val="2"/>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80%</w:t>
            </w:r>
          </w:p>
        </w:tc>
      </w:tr>
      <w:tr w:rsidR="00452B58" w:rsidRPr="00452B58" w:rsidTr="00452B58">
        <w:trPr>
          <w:trHeight w:val="300"/>
        </w:trPr>
        <w:tc>
          <w:tcPr>
            <w:tcW w:w="960" w:type="dxa"/>
            <w:vMerge/>
            <w:tcBorders>
              <w:right w:val="single" w:sz="8" w:space="0" w:color="FFFFFF"/>
            </w:tcBorders>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33" w:type="dxa"/>
            <w:tcBorders>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573" w:type="dxa"/>
            <w:tcBorders>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left w:val="single" w:sz="8" w:space="0" w:color="FFFFFF"/>
              <w:right w:val="single" w:sz="4" w:space="0" w:color="8B8D8E"/>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33" w:type="dxa"/>
            <w:noWrap/>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$762 M</w:t>
            </w:r>
          </w:p>
        </w:tc>
        <w:tc>
          <w:tcPr>
            <w:tcW w:w="573" w:type="dxa"/>
            <w:noWrap/>
          </w:tcPr>
          <w:p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3.3</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$545 M</w:t>
            </w:r>
          </w:p>
        </w:tc>
        <w:tc>
          <w:tcPr>
            <w:tcW w:w="607" w:type="dxa"/>
            <w:tcBorders>
              <w:right w:val="single" w:sz="4" w:space="0" w:color="8B8D8E"/>
            </w:tcBorders>
            <w:noWrap/>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2.6</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33" w:type="dxa"/>
            <w:noWrap/>
          </w:tcPr>
          <w:p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$686 M</w:t>
            </w:r>
          </w:p>
        </w:tc>
        <w:tc>
          <w:tcPr>
            <w:tcW w:w="573" w:type="dxa"/>
            <w:noWrap/>
          </w:tcPr>
          <w:p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3.4</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$491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2.7</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33" w:type="dxa"/>
            <w:noWrap/>
          </w:tcPr>
          <w:p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$1,144 M</w:t>
            </w:r>
          </w:p>
        </w:tc>
        <w:tc>
          <w:tcPr>
            <w:tcW w:w="573" w:type="dxa"/>
            <w:noWrap/>
          </w:tcPr>
          <w:p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4.6</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$933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3.9</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33" w:type="dxa"/>
            <w:noWrap/>
          </w:tcPr>
          <w:p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$1,026 M</w:t>
            </w:r>
          </w:p>
        </w:tc>
        <w:tc>
          <w:tcPr>
            <w:tcW w:w="573" w:type="dxa"/>
            <w:noWrap/>
          </w:tcPr>
          <w:p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4.7</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$836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4.0</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widening options remain economically viable across this range of safety feature efficacy.</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_Ref117644920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7</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shows the sensitivity of the results to an increased or decreased crash risk for wider vehicles, included as -0.5 % and +0.5% respectively (see Appendix D for explanation of these quantities). </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97" w:name="_Ref117644920"/>
      <w:bookmarkStart w:id="298" w:name="_Toc117646423"/>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Table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7</w:t>
      </w:r>
      <w:r w:rsidRPr="00452B58">
        <w:rPr>
          <w:rFonts w:ascii="Calibri" w:eastAsia="Calibri" w:hAnsi="Calibri" w:cs="Times New Roman"/>
          <w:b/>
          <w:bCs/>
          <w:noProof/>
          <w:color w:val="67696A"/>
          <w:kern w:val="0"/>
          <w:sz w:val="18"/>
          <w:szCs w:val="22"/>
        </w:rPr>
        <w:fldChar w:fldCharType="end"/>
      </w:r>
      <w:bookmarkEnd w:id="297"/>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Change in Crash Risk for wider vehicles</w:t>
      </w:r>
      <w:bookmarkEnd w:id="298"/>
    </w:p>
    <w:tbl>
      <w:tblPr>
        <w:tblStyle w:val="ARRBTableStyle"/>
        <w:tblW w:w="9340" w:type="dxa"/>
        <w:tblLook w:val="04A0" w:firstRow="1" w:lastRow="0" w:firstColumn="1" w:lastColumn="0" w:noHBand="0" w:noVBand="1"/>
      </w:tblPr>
      <w:tblGrid>
        <w:gridCol w:w="960"/>
        <w:gridCol w:w="2133"/>
        <w:gridCol w:w="573"/>
        <w:gridCol w:w="2107"/>
        <w:gridCol w:w="607"/>
        <w:gridCol w:w="2353"/>
        <w:gridCol w:w="607"/>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06" w:type="dxa"/>
            <w:gridSpan w:val="2"/>
            <w:tcBorders>
              <w:left w:val="single" w:sz="8" w:space="0" w:color="FFFFFF"/>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by-0.5%</w:t>
            </w:r>
          </w:p>
        </w:tc>
        <w:tc>
          <w:tcPr>
            <w:tcW w:w="2714" w:type="dxa"/>
            <w:gridSpan w:val="2"/>
            <w:tcBorders>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0%</w:t>
            </w:r>
          </w:p>
        </w:tc>
        <w:tc>
          <w:tcPr>
            <w:tcW w:w="2960" w:type="dxa"/>
            <w:gridSpan w:val="2"/>
            <w:tcBorders>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by 0.5%</w:t>
            </w:r>
          </w:p>
        </w:tc>
      </w:tr>
      <w:tr w:rsidR="00452B58" w:rsidRPr="00452B58" w:rsidTr="00452B58">
        <w:trPr>
          <w:trHeight w:val="300"/>
        </w:trPr>
        <w:tc>
          <w:tcPr>
            <w:tcW w:w="960" w:type="dxa"/>
            <w:vMerge/>
            <w:tcBorders>
              <w:right w:val="single" w:sz="8" w:space="0" w:color="FFFFFF"/>
            </w:tcBorders>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33"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573"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33" w:type="dxa"/>
            <w:noWrap/>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$721 M</w:t>
            </w:r>
          </w:p>
        </w:tc>
        <w:tc>
          <w:tcPr>
            <w:tcW w:w="573" w:type="dxa"/>
            <w:noWrap/>
          </w:tcPr>
          <w:p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3.2</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$586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2.8</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33" w:type="dxa"/>
            <w:noWrap/>
          </w:tcPr>
          <w:p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$647 M</w:t>
            </w:r>
          </w:p>
        </w:tc>
        <w:tc>
          <w:tcPr>
            <w:tcW w:w="573" w:type="dxa"/>
            <w:noWrap/>
          </w:tcPr>
          <w:p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3.2</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$530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2.8</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33" w:type="dxa"/>
            <w:noWrap/>
          </w:tcPr>
          <w:p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$1,106 M</w:t>
            </w:r>
          </w:p>
        </w:tc>
        <w:tc>
          <w:tcPr>
            <w:tcW w:w="573" w:type="dxa"/>
            <w:noWrap/>
          </w:tcPr>
          <w:p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4.4</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$971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4.0</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33" w:type="dxa"/>
            <w:noWrap/>
          </w:tcPr>
          <w:p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$989 M</w:t>
            </w:r>
          </w:p>
        </w:tc>
        <w:tc>
          <w:tcPr>
            <w:tcW w:w="573" w:type="dxa"/>
            <w:noWrap/>
          </w:tcPr>
          <w:p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4.6</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$873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widening options remain economically viable even when there is a variation in crash risk for wider vehiicles.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_Ref110861831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8</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shows the sensitivity of the results to the supply of wider vehicles to the Australian market from Europe and the USA. These manufacturers are expected to quickly stop producing 2.50 m width models and only supply 2.55 and 2.60 m wide models (or chassis) over 1 to 3 years, around the main analysis value of 2 years. </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299" w:name="_Ref110861831"/>
      <w:bookmarkStart w:id="300" w:name="_Toc117646424"/>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Table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8</w:t>
      </w:r>
      <w:r w:rsidRPr="00452B58">
        <w:rPr>
          <w:rFonts w:ascii="Calibri" w:eastAsia="Calibri" w:hAnsi="Calibri" w:cs="Times New Roman"/>
          <w:b/>
          <w:bCs/>
          <w:noProof/>
          <w:color w:val="67696A"/>
          <w:kern w:val="0"/>
          <w:sz w:val="18"/>
          <w:szCs w:val="22"/>
        </w:rPr>
        <w:fldChar w:fldCharType="end"/>
      </w:r>
      <w:bookmarkEnd w:id="299"/>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voluntary uptake (years to reach 100%) – vehicles from Europe/USA for vehicle widening options</w:t>
      </w:r>
      <w:bookmarkEnd w:id="300"/>
    </w:p>
    <w:tbl>
      <w:tblPr>
        <w:tblStyle w:val="ARRBTableStyle"/>
        <w:tblW w:w="9374" w:type="dxa"/>
        <w:tblLook w:val="04A0" w:firstRow="1" w:lastRow="0" w:firstColumn="1" w:lastColumn="0" w:noHBand="0" w:noVBand="1"/>
      </w:tblPr>
      <w:tblGrid>
        <w:gridCol w:w="960"/>
        <w:gridCol w:w="2133"/>
        <w:gridCol w:w="607"/>
        <w:gridCol w:w="2107"/>
        <w:gridCol w:w="607"/>
        <w:gridCol w:w="2353"/>
        <w:gridCol w:w="607"/>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40" w:type="dxa"/>
            <w:gridSpan w:val="2"/>
            <w:tcBorders>
              <w:left w:val="single" w:sz="8" w:space="0" w:color="FFFFFF"/>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3 years</w:t>
            </w:r>
          </w:p>
        </w:tc>
        <w:tc>
          <w:tcPr>
            <w:tcW w:w="2714" w:type="dxa"/>
            <w:gridSpan w:val="2"/>
            <w:tcBorders>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2 years</w:t>
            </w:r>
          </w:p>
        </w:tc>
        <w:tc>
          <w:tcPr>
            <w:tcW w:w="2960" w:type="dxa"/>
            <w:gridSpan w:val="2"/>
            <w:tcBorders>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1 year</w:t>
            </w:r>
          </w:p>
        </w:tc>
      </w:tr>
      <w:tr w:rsidR="00452B58" w:rsidRPr="00452B58" w:rsidTr="00452B58">
        <w:trPr>
          <w:trHeight w:val="300"/>
        </w:trPr>
        <w:tc>
          <w:tcPr>
            <w:tcW w:w="960" w:type="dxa"/>
            <w:vMerge/>
            <w:tcBorders>
              <w:right w:val="single" w:sz="8" w:space="0" w:color="FFFFFF"/>
            </w:tcBorders>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33"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3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$639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tcBorders>
              <w:right w:val="single" w:sz="8" w:space="0" w:color="FFFFFF"/>
            </w:tcBorders>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tcBorders>
              <w:left w:val="single" w:sz="8" w:space="0" w:color="FFFFFF"/>
            </w:tcBorders>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$665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2.9</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3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$573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$599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3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$1,015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$1,058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3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$908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$950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options remain economically viable without much variation due to the short time frame.</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_Ref110862097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9</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shows the sensitivity of the results to the supply of wider vehicles to the Australian market from Japan and South Korea. These manufacturers provide 2.50 m wide vehicles and chassis to their own and other international markets and are therefore expected to gradually provide wider models (or chassis). The sensitivity numbers are 15 and 35 years, around the main analysis value of 25 years.</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01" w:name="_Ref110862097"/>
      <w:bookmarkStart w:id="302" w:name="_Toc117646425"/>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Table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9</w:t>
      </w:r>
      <w:r w:rsidRPr="00452B58">
        <w:rPr>
          <w:rFonts w:ascii="Calibri" w:eastAsia="Calibri" w:hAnsi="Calibri" w:cs="Times New Roman"/>
          <w:b/>
          <w:bCs/>
          <w:noProof/>
          <w:color w:val="67696A"/>
          <w:kern w:val="0"/>
          <w:sz w:val="18"/>
          <w:szCs w:val="22"/>
        </w:rPr>
        <w:fldChar w:fldCharType="end"/>
      </w:r>
      <w:bookmarkEnd w:id="301"/>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voluntary uptake (years to reach 100%) – vehicles from Japan/South Korea for vehicle widening options</w:t>
      </w:r>
      <w:bookmarkEnd w:id="302"/>
    </w:p>
    <w:tbl>
      <w:tblPr>
        <w:tblStyle w:val="ARRBTableStyle"/>
        <w:tblW w:w="9374" w:type="dxa"/>
        <w:tblLook w:val="04A0" w:firstRow="1" w:lastRow="0" w:firstColumn="1" w:lastColumn="0" w:noHBand="0" w:noVBand="1"/>
      </w:tblPr>
      <w:tblGrid>
        <w:gridCol w:w="960"/>
        <w:gridCol w:w="2133"/>
        <w:gridCol w:w="607"/>
        <w:gridCol w:w="2107"/>
        <w:gridCol w:w="607"/>
        <w:gridCol w:w="2353"/>
        <w:gridCol w:w="607"/>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40" w:type="dxa"/>
            <w:gridSpan w:val="2"/>
            <w:tcBorders>
              <w:left w:val="single" w:sz="8" w:space="0" w:color="FFFFFF"/>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35 years</w:t>
            </w:r>
          </w:p>
        </w:tc>
        <w:tc>
          <w:tcPr>
            <w:tcW w:w="2714" w:type="dxa"/>
            <w:gridSpan w:val="2"/>
            <w:tcBorders>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25 years</w:t>
            </w:r>
          </w:p>
        </w:tc>
        <w:tc>
          <w:tcPr>
            <w:tcW w:w="2960" w:type="dxa"/>
            <w:gridSpan w:val="2"/>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15 years</w:t>
            </w:r>
          </w:p>
        </w:tc>
      </w:tr>
      <w:tr w:rsidR="00452B58" w:rsidRPr="00452B58" w:rsidTr="00452B58">
        <w:trPr>
          <w:trHeight w:val="300"/>
        </w:trPr>
        <w:tc>
          <w:tcPr>
            <w:tcW w:w="960" w:type="dxa"/>
            <w:vMerge/>
            <w:tcBorders>
              <w:right w:val="single" w:sz="8" w:space="0" w:color="FFFFFF"/>
            </w:tcBorders>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33"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3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$622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$729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3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$556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$663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3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$987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$1,158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3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$879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$1,051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options remain economically viable without much variation over the 20-year variation.</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_Ref110868113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10</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shows the sensitivity of the results to the supply of wider vehicles from local body manufacturers. The sensitivity numbers are 5 and 25 years, around the main analysis value of 15 years.</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03" w:name="_Ref110868113"/>
      <w:bookmarkStart w:id="304" w:name="_Toc117646426"/>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Table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10</w:t>
      </w:r>
      <w:r w:rsidRPr="00452B58">
        <w:rPr>
          <w:rFonts w:ascii="Calibri" w:eastAsia="Calibri" w:hAnsi="Calibri" w:cs="Times New Roman"/>
          <w:b/>
          <w:bCs/>
          <w:noProof/>
          <w:color w:val="67696A"/>
          <w:kern w:val="0"/>
          <w:sz w:val="18"/>
          <w:szCs w:val="22"/>
        </w:rPr>
        <w:fldChar w:fldCharType="end"/>
      </w:r>
      <w:bookmarkEnd w:id="303"/>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voluntary uptake (years to reach 100%) – Australian vehicle body builders for vehicle widening options</w:t>
      </w:r>
      <w:bookmarkEnd w:id="304"/>
    </w:p>
    <w:tbl>
      <w:tblPr>
        <w:tblStyle w:val="ARRBTableStyle"/>
        <w:tblW w:w="9628" w:type="dxa"/>
        <w:tblLook w:val="04A0" w:firstRow="1" w:lastRow="0" w:firstColumn="1" w:lastColumn="0" w:noHBand="0" w:noVBand="1"/>
      </w:tblPr>
      <w:tblGrid>
        <w:gridCol w:w="955"/>
        <w:gridCol w:w="2121"/>
        <w:gridCol w:w="907"/>
        <w:gridCol w:w="2095"/>
        <w:gridCol w:w="605"/>
        <w:gridCol w:w="2340"/>
        <w:gridCol w:w="605"/>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300"/>
        </w:trPr>
        <w:tc>
          <w:tcPr>
            <w:tcW w:w="955" w:type="dxa"/>
            <w:vMerge w:val="restart"/>
            <w:tcBorders>
              <w:right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3028" w:type="dxa"/>
            <w:gridSpan w:val="2"/>
            <w:tcBorders>
              <w:left w:val="single" w:sz="8" w:space="0" w:color="FFFFFF"/>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25 years</w:t>
            </w:r>
          </w:p>
        </w:tc>
        <w:tc>
          <w:tcPr>
            <w:tcW w:w="2700" w:type="dxa"/>
            <w:gridSpan w:val="2"/>
            <w:tcBorders>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15 years</w:t>
            </w:r>
          </w:p>
        </w:tc>
        <w:tc>
          <w:tcPr>
            <w:tcW w:w="2945" w:type="dxa"/>
            <w:gridSpan w:val="2"/>
            <w:tcBorders>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5 years</w:t>
            </w:r>
          </w:p>
        </w:tc>
      </w:tr>
      <w:tr w:rsidR="00452B58" w:rsidRPr="00452B58" w:rsidTr="00452B58">
        <w:trPr>
          <w:trHeight w:val="300"/>
        </w:trPr>
        <w:tc>
          <w:tcPr>
            <w:tcW w:w="955" w:type="dxa"/>
            <w:vMerge/>
            <w:tcBorders>
              <w:right w:val="single" w:sz="8" w:space="0" w:color="FFFFFF"/>
            </w:tcBorders>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21"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90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095"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5"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40"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5" w:type="dxa"/>
            <w:tcBorders>
              <w:top w:val="single" w:sz="8" w:space="0" w:color="FFFFFF"/>
              <w:lef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rsidTr="00452B58">
        <w:trPr>
          <w:trHeight w:val="300"/>
        </w:trPr>
        <w:tc>
          <w:tcPr>
            <w:tcW w:w="95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21"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$584 M</w:t>
            </w:r>
          </w:p>
        </w:tc>
        <w:tc>
          <w:tcPr>
            <w:tcW w:w="9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095"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5"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40"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$797 M</w:t>
            </w:r>
          </w:p>
        </w:tc>
        <w:tc>
          <w:tcPr>
            <w:tcW w:w="605"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r>
      <w:tr w:rsidR="00452B58" w:rsidRPr="00452B58" w:rsidTr="00452B58">
        <w:trPr>
          <w:trHeight w:val="300"/>
        </w:trPr>
        <w:tc>
          <w:tcPr>
            <w:tcW w:w="95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21"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$518 M</w:t>
            </w:r>
          </w:p>
        </w:tc>
        <w:tc>
          <w:tcPr>
            <w:tcW w:w="9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095"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5"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40"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$732 M</w:t>
            </w:r>
          </w:p>
        </w:tc>
        <w:tc>
          <w:tcPr>
            <w:tcW w:w="605"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3.1</w:t>
            </w:r>
          </w:p>
        </w:tc>
      </w:tr>
      <w:tr w:rsidR="00452B58" w:rsidRPr="00452B58" w:rsidTr="00452B58">
        <w:trPr>
          <w:trHeight w:val="300"/>
        </w:trPr>
        <w:tc>
          <w:tcPr>
            <w:tcW w:w="95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21"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$926 M</w:t>
            </w:r>
          </w:p>
        </w:tc>
        <w:tc>
          <w:tcPr>
            <w:tcW w:w="9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095"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5"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40"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$1,261 M</w:t>
            </w:r>
          </w:p>
        </w:tc>
        <w:tc>
          <w:tcPr>
            <w:tcW w:w="605"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w:t>
            </w:r>
          </w:p>
        </w:tc>
      </w:tr>
      <w:tr w:rsidR="00452B58" w:rsidRPr="00452B58" w:rsidTr="00452B58">
        <w:trPr>
          <w:trHeight w:val="300"/>
        </w:trPr>
        <w:tc>
          <w:tcPr>
            <w:tcW w:w="95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21"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$818 M</w:t>
            </w:r>
          </w:p>
        </w:tc>
        <w:tc>
          <w:tcPr>
            <w:tcW w:w="9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095"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5"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40"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$1,154 M</w:t>
            </w:r>
          </w:p>
        </w:tc>
        <w:tc>
          <w:tcPr>
            <w:tcW w:w="605"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4.5</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options remain economically viable without much variation over the 20-year variation.</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_Ref110868291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11</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shows the sensitivity of the results to the supply of wider trailers from overseas manufacturers. The sensitivity numbers are 1 and 3 years, around the main analysis value of 2 years, reflecting the ability of these manufacturers to readily bring wider trailers to the Australian market.</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05" w:name="_Ref110868291"/>
      <w:bookmarkStart w:id="306" w:name="_Toc117646427"/>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Table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11</w:t>
      </w:r>
      <w:r w:rsidRPr="00452B58">
        <w:rPr>
          <w:rFonts w:ascii="Calibri" w:eastAsia="Calibri" w:hAnsi="Calibri" w:cs="Times New Roman"/>
          <w:b/>
          <w:bCs/>
          <w:noProof/>
          <w:color w:val="67696A"/>
          <w:kern w:val="0"/>
          <w:sz w:val="18"/>
          <w:szCs w:val="22"/>
        </w:rPr>
        <w:fldChar w:fldCharType="end"/>
      </w:r>
      <w:bookmarkEnd w:id="305"/>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voluntary uptake (years to reach 100%) – imported trailers for vehicle widening options</w:t>
      </w:r>
      <w:bookmarkEnd w:id="306"/>
    </w:p>
    <w:tbl>
      <w:tblPr>
        <w:tblStyle w:val="ARRBTableStyle"/>
        <w:tblW w:w="9374" w:type="dxa"/>
        <w:tblLook w:val="04A0" w:firstRow="1" w:lastRow="0" w:firstColumn="1" w:lastColumn="0" w:noHBand="0" w:noVBand="1"/>
      </w:tblPr>
      <w:tblGrid>
        <w:gridCol w:w="960"/>
        <w:gridCol w:w="2133"/>
        <w:gridCol w:w="607"/>
        <w:gridCol w:w="2107"/>
        <w:gridCol w:w="607"/>
        <w:gridCol w:w="2353"/>
        <w:gridCol w:w="607"/>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40" w:type="dxa"/>
            <w:gridSpan w:val="2"/>
            <w:tcBorders>
              <w:left w:val="single" w:sz="8" w:space="0" w:color="FFFFFF"/>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3 years</w:t>
            </w:r>
          </w:p>
        </w:tc>
        <w:tc>
          <w:tcPr>
            <w:tcW w:w="2714" w:type="dxa"/>
            <w:gridSpan w:val="2"/>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2 years</w:t>
            </w:r>
          </w:p>
        </w:tc>
        <w:tc>
          <w:tcPr>
            <w:tcW w:w="2960" w:type="dxa"/>
            <w:gridSpan w:val="2"/>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1 year</w:t>
            </w:r>
          </w:p>
        </w:tc>
      </w:tr>
      <w:tr w:rsidR="00452B58" w:rsidRPr="00452B58" w:rsidTr="00452B58">
        <w:trPr>
          <w:trHeight w:val="300"/>
        </w:trPr>
        <w:tc>
          <w:tcPr>
            <w:tcW w:w="960" w:type="dxa"/>
            <w:vMerge/>
            <w:tcBorders>
              <w:right w:val="single" w:sz="8" w:space="0" w:color="FFFFFF"/>
            </w:tcBorders>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33"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3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$653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$655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3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$1,037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$1,040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options remain economically viable without much variation over the 3-year variation, due to the short time frame and the initial very low market share.</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_Ref110868451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12</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shows the sensitivity of the results to the supply of wider trailers from local manufacturers. The sensitivity numbers are 20 and 60 years, around the main analysis value of 40 years. This is a very large range to reflect the uncertainty in how quickly the local industry can respond.</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07" w:name="_Ref110868451"/>
      <w:bookmarkStart w:id="308" w:name="_Toc117646428"/>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Table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12</w:t>
      </w:r>
      <w:r w:rsidRPr="00452B58">
        <w:rPr>
          <w:rFonts w:ascii="Calibri" w:eastAsia="Calibri" w:hAnsi="Calibri" w:cs="Times New Roman"/>
          <w:b/>
          <w:bCs/>
          <w:noProof/>
          <w:color w:val="67696A"/>
          <w:kern w:val="0"/>
          <w:sz w:val="18"/>
          <w:szCs w:val="22"/>
        </w:rPr>
        <w:fldChar w:fldCharType="end"/>
      </w:r>
      <w:bookmarkEnd w:id="307"/>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voluntary uptake (years to reach 100%) – locally manufactured trailers for vehicle widening options</w:t>
      </w:r>
      <w:bookmarkEnd w:id="308"/>
    </w:p>
    <w:tbl>
      <w:tblPr>
        <w:tblStyle w:val="ARRBTableStyle"/>
        <w:tblW w:w="9374" w:type="dxa"/>
        <w:tblLook w:val="04A0" w:firstRow="1" w:lastRow="0" w:firstColumn="1" w:lastColumn="0" w:noHBand="0" w:noVBand="1"/>
      </w:tblPr>
      <w:tblGrid>
        <w:gridCol w:w="960"/>
        <w:gridCol w:w="2133"/>
        <w:gridCol w:w="607"/>
        <w:gridCol w:w="2107"/>
        <w:gridCol w:w="607"/>
        <w:gridCol w:w="2353"/>
        <w:gridCol w:w="607"/>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40" w:type="dxa"/>
            <w:gridSpan w:val="2"/>
            <w:tcBorders>
              <w:left w:val="single" w:sz="8" w:space="0" w:color="FFFFFF"/>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60 years</w:t>
            </w:r>
          </w:p>
        </w:tc>
        <w:tc>
          <w:tcPr>
            <w:tcW w:w="2714" w:type="dxa"/>
            <w:gridSpan w:val="2"/>
            <w:tcBorders>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40 years</w:t>
            </w:r>
          </w:p>
        </w:tc>
        <w:tc>
          <w:tcPr>
            <w:tcW w:w="2960" w:type="dxa"/>
            <w:gridSpan w:val="2"/>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20 years</w:t>
            </w:r>
          </w:p>
        </w:tc>
      </w:tr>
      <w:tr w:rsidR="00452B58" w:rsidRPr="00452B58" w:rsidTr="00452B58">
        <w:trPr>
          <w:trHeight w:val="300"/>
        </w:trPr>
        <w:tc>
          <w:tcPr>
            <w:tcW w:w="960" w:type="dxa"/>
            <w:vMerge/>
            <w:tcBorders>
              <w:right w:val="single" w:sz="8" w:space="0" w:color="FFFFFF"/>
            </w:tcBorders>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33"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3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$639 M</w:t>
            </w:r>
          </w:p>
        </w:tc>
        <w:tc>
          <w:tcPr>
            <w:tcW w:w="607" w:type="dxa"/>
            <w:tcBorders>
              <w:right w:val="single" w:sz="8" w:space="0" w:color="8B8D8E"/>
            </w:tcBorders>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107" w:type="dxa"/>
            <w:tcBorders>
              <w:left w:val="single" w:sz="8" w:space="0" w:color="8B8D8E"/>
            </w:tcBorders>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$698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2.9</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3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$1,014 M</w:t>
            </w:r>
          </w:p>
        </w:tc>
        <w:tc>
          <w:tcPr>
            <w:tcW w:w="607" w:type="dxa"/>
            <w:tcBorders>
              <w:right w:val="single" w:sz="8" w:space="0" w:color="8B8D8E"/>
            </w:tcBorders>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w:t>
            </w:r>
          </w:p>
        </w:tc>
        <w:tc>
          <w:tcPr>
            <w:tcW w:w="2107" w:type="dxa"/>
            <w:tcBorders>
              <w:left w:val="single" w:sz="8" w:space="0" w:color="8B8D8E"/>
            </w:tcBorders>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$1,111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4.1</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options remain economically viable without much variation over the 40-year variation, due to the dominant market share, which despite decreasing is modelled as remaining in the majority.</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_Ref110873100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13</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shows the sensitivity of the results to variation in the freight task share of refrigerated vehicles. While refrigerated vehicles are considered to be a driver of immediate uptake of wider vehicles, they form a small part of the freight task in terms of laden km travelled (2% in the main analysis), varied from 1% to 3%.</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09" w:name="_Ref110873100"/>
      <w:bookmarkStart w:id="310" w:name="_Toc117646429"/>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Table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13</w:t>
      </w:r>
      <w:r w:rsidRPr="00452B58">
        <w:rPr>
          <w:rFonts w:ascii="Calibri" w:eastAsia="Calibri" w:hAnsi="Calibri" w:cs="Times New Roman"/>
          <w:b/>
          <w:bCs/>
          <w:noProof/>
          <w:color w:val="67696A"/>
          <w:kern w:val="0"/>
          <w:sz w:val="18"/>
          <w:szCs w:val="22"/>
        </w:rPr>
        <w:fldChar w:fldCharType="end"/>
      </w:r>
      <w:bookmarkEnd w:id="309"/>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change of refrigerated freight task</w:t>
      </w:r>
      <w:bookmarkEnd w:id="310"/>
    </w:p>
    <w:tbl>
      <w:tblPr>
        <w:tblStyle w:val="ARRBTableStyle"/>
        <w:tblW w:w="9340" w:type="dxa"/>
        <w:tblLook w:val="04A0" w:firstRow="1" w:lastRow="0" w:firstColumn="1" w:lastColumn="0" w:noHBand="0" w:noVBand="1"/>
      </w:tblPr>
      <w:tblGrid>
        <w:gridCol w:w="960"/>
        <w:gridCol w:w="2133"/>
        <w:gridCol w:w="573"/>
        <w:gridCol w:w="2107"/>
        <w:gridCol w:w="607"/>
        <w:gridCol w:w="2353"/>
        <w:gridCol w:w="607"/>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06" w:type="dxa"/>
            <w:gridSpan w:val="2"/>
            <w:tcBorders>
              <w:left w:val="single" w:sz="8" w:space="0" w:color="FFFFFF"/>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3%</w:t>
            </w:r>
          </w:p>
        </w:tc>
        <w:tc>
          <w:tcPr>
            <w:tcW w:w="2714" w:type="dxa"/>
            <w:gridSpan w:val="2"/>
            <w:tcBorders>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2%</w:t>
            </w:r>
          </w:p>
        </w:tc>
        <w:tc>
          <w:tcPr>
            <w:tcW w:w="2960" w:type="dxa"/>
            <w:gridSpan w:val="2"/>
            <w:tcBorders>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1%</w:t>
            </w:r>
          </w:p>
        </w:tc>
      </w:tr>
      <w:tr w:rsidR="00452B58" w:rsidRPr="00452B58" w:rsidTr="00452B58">
        <w:trPr>
          <w:trHeight w:val="300"/>
        </w:trPr>
        <w:tc>
          <w:tcPr>
            <w:tcW w:w="960" w:type="dxa"/>
            <w:vMerge/>
            <w:tcBorders>
              <w:right w:val="single" w:sz="8" w:space="0" w:color="FFFFFF"/>
            </w:tcBorders>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p>
        </w:tc>
        <w:tc>
          <w:tcPr>
            <w:tcW w:w="2133"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573"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33" w:type="dxa"/>
            <w:noWrap/>
          </w:tcPr>
          <w:p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$674 M</w:t>
            </w:r>
          </w:p>
        </w:tc>
        <w:tc>
          <w:tcPr>
            <w:tcW w:w="573" w:type="dxa"/>
            <w:noWrap/>
          </w:tcPr>
          <w:p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3.0</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$634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2.9</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33" w:type="dxa"/>
            <w:noWrap/>
          </w:tcPr>
          <w:p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$605 M</w:t>
            </w:r>
          </w:p>
        </w:tc>
        <w:tc>
          <w:tcPr>
            <w:tcW w:w="573" w:type="dxa"/>
            <w:noWrap/>
          </w:tcPr>
          <w:p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3.1</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$571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3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$1,069 M</w:t>
            </w:r>
          </w:p>
        </w:tc>
        <w:tc>
          <w:tcPr>
            <w:tcW w:w="57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$1,008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4.1</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33" w:type="dxa"/>
            <w:noWrap/>
          </w:tcPr>
          <w:p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$957 M</w:t>
            </w:r>
          </w:p>
        </w:tc>
        <w:tc>
          <w:tcPr>
            <w:tcW w:w="573" w:type="dxa"/>
            <w:noWrap/>
          </w:tcPr>
          <w:p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4.5</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$905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options remain economically viable without much variation despite the change in the fleet share of refrigerated vehicles.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_Ref111802521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 xml:space="preserve">Table </w:t>
      </w:r>
      <w:r w:rsidRPr="00452B58">
        <w:rPr>
          <w:rFonts w:ascii="Calibri" w:eastAsia="Calibri" w:hAnsi="Calibri" w:cs="Calibri"/>
          <w:noProof/>
          <w:color w:val="auto"/>
          <w:kern w:val="0"/>
          <w:sz w:val="22"/>
          <w:szCs w:val="22"/>
        </w:rPr>
        <w:t>6</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14</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shows the sensitivity of the results to variation in trip reduction due to widening. The size of this effect in the main analysis is approximately 1% or 2% for 2.55 m and 2.60 m vehicles and trailers respectively. These have been varied by ±20% in the analysis below.</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11" w:name="_Ref111802521"/>
      <w:bookmarkStart w:id="312" w:name="_Toc117646430"/>
      <w:r w:rsidRPr="00452B58">
        <w:rPr>
          <w:rFonts w:ascii="Calibri" w:eastAsia="Calibri" w:hAnsi="Calibri" w:cs="Times New Roman"/>
          <w:b/>
          <w:bCs/>
          <w:color w:val="67696A"/>
          <w:kern w:val="0"/>
          <w:sz w:val="18"/>
          <w:szCs w:val="22"/>
        </w:rPr>
        <w:t xml:space="preserve">Table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1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Table \* ARABIC \s 1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noProof/>
          <w:color w:val="67696A"/>
          <w:kern w:val="0"/>
          <w:sz w:val="18"/>
          <w:szCs w:val="22"/>
        </w:rPr>
        <w:t>14</w:t>
      </w:r>
      <w:r w:rsidRPr="00452B58">
        <w:rPr>
          <w:rFonts w:ascii="Calibri" w:eastAsia="Calibri" w:hAnsi="Calibri" w:cs="Times New Roman"/>
          <w:b/>
          <w:bCs/>
          <w:noProof/>
          <w:color w:val="67696A"/>
          <w:kern w:val="0"/>
          <w:sz w:val="18"/>
          <w:szCs w:val="22"/>
        </w:rPr>
        <w:fldChar w:fldCharType="end"/>
      </w:r>
      <w:bookmarkEnd w:id="311"/>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Sensitivity in trip reduction due to widening</w:t>
      </w:r>
      <w:bookmarkEnd w:id="312"/>
    </w:p>
    <w:tbl>
      <w:tblPr>
        <w:tblStyle w:val="ARRBTableStyle"/>
        <w:tblW w:w="9340" w:type="dxa"/>
        <w:tblLook w:val="04A0" w:firstRow="1" w:lastRow="0" w:firstColumn="1" w:lastColumn="0" w:noHBand="0" w:noVBand="1"/>
      </w:tblPr>
      <w:tblGrid>
        <w:gridCol w:w="960"/>
        <w:gridCol w:w="2133"/>
        <w:gridCol w:w="573"/>
        <w:gridCol w:w="2107"/>
        <w:gridCol w:w="607"/>
        <w:gridCol w:w="2353"/>
        <w:gridCol w:w="607"/>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300"/>
        </w:trPr>
        <w:tc>
          <w:tcPr>
            <w:tcW w:w="960" w:type="dxa"/>
            <w:vMerge w:val="restart"/>
            <w:tcBorders>
              <w:right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Option</w:t>
            </w:r>
          </w:p>
        </w:tc>
        <w:tc>
          <w:tcPr>
            <w:tcW w:w="2706" w:type="dxa"/>
            <w:gridSpan w:val="2"/>
            <w:tcBorders>
              <w:left w:val="single" w:sz="8" w:space="0" w:color="FFFFFF"/>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Increased to 1%, 1.9%</w:t>
            </w:r>
          </w:p>
        </w:tc>
        <w:tc>
          <w:tcPr>
            <w:tcW w:w="2714" w:type="dxa"/>
            <w:gridSpan w:val="2"/>
            <w:tcBorders>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Main analysis 0.8%, 1.6%</w:t>
            </w:r>
          </w:p>
        </w:tc>
        <w:tc>
          <w:tcPr>
            <w:tcW w:w="2960" w:type="dxa"/>
            <w:gridSpan w:val="2"/>
            <w:tcBorders>
              <w:bottom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Decreased to 0.7%, 1.3%</w:t>
            </w:r>
          </w:p>
        </w:tc>
      </w:tr>
      <w:tr w:rsidR="00452B58" w:rsidRPr="00452B58" w:rsidTr="00452B58">
        <w:trPr>
          <w:trHeight w:val="300"/>
        </w:trPr>
        <w:tc>
          <w:tcPr>
            <w:tcW w:w="960" w:type="dxa"/>
            <w:vMerge/>
            <w:tcBorders>
              <w:right w:val="single" w:sz="8" w:space="0" w:color="FFFFFF"/>
            </w:tcBorders>
            <w:hideMark/>
          </w:tcPr>
          <w:p w:rsidR="00452B58" w:rsidRPr="00452B58" w:rsidRDefault="00452B58" w:rsidP="00452B58">
            <w:pPr>
              <w:keepNext/>
              <w:suppressAutoHyphens w:val="0"/>
              <w:spacing w:before="40" w:after="40"/>
              <w:jc w:val="center"/>
              <w:rPr>
                <w:rFonts w:eastAsia="Calibri" w:cs="Times New Roman"/>
                <w:color w:val="FFFFFF"/>
                <w:kern w:val="0"/>
                <w:szCs w:val="22"/>
              </w:rPr>
            </w:pPr>
          </w:p>
        </w:tc>
        <w:tc>
          <w:tcPr>
            <w:tcW w:w="2133"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573"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10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c>
          <w:tcPr>
            <w:tcW w:w="2353"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NPV</w:t>
            </w:r>
          </w:p>
        </w:tc>
        <w:tc>
          <w:tcPr>
            <w:tcW w:w="607" w:type="dxa"/>
            <w:tcBorders>
              <w:top w:val="single" w:sz="8" w:space="0" w:color="FFFFFF"/>
              <w:lef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b/>
                <w:color w:val="FFFFFF"/>
                <w:kern w:val="0"/>
                <w:szCs w:val="22"/>
              </w:rPr>
            </w:pPr>
            <w:r w:rsidRPr="00452B58">
              <w:rPr>
                <w:rFonts w:eastAsia="Calibri" w:cs="Times New Roman"/>
                <w:b/>
                <w:color w:val="FFFFFF"/>
                <w:kern w:val="0"/>
                <w:szCs w:val="22"/>
              </w:rPr>
              <w:t>BCR</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w:t>
            </w:r>
          </w:p>
        </w:tc>
        <w:tc>
          <w:tcPr>
            <w:tcW w:w="2133" w:type="dxa"/>
            <w:noWrap/>
          </w:tcPr>
          <w:p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$823 M</w:t>
            </w:r>
          </w:p>
        </w:tc>
        <w:tc>
          <w:tcPr>
            <w:tcW w:w="573" w:type="dxa"/>
            <w:noWrap/>
          </w:tcPr>
          <w:p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3.5</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$654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$485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2.5</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w:t>
            </w:r>
          </w:p>
        </w:tc>
        <w:tc>
          <w:tcPr>
            <w:tcW w:w="2133" w:type="dxa"/>
            <w:noWrap/>
          </w:tcPr>
          <w:p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$737 M</w:t>
            </w:r>
          </w:p>
        </w:tc>
        <w:tc>
          <w:tcPr>
            <w:tcW w:w="573" w:type="dxa"/>
            <w:noWrap/>
          </w:tcPr>
          <w:p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3.6</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$588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$439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2.5</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213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$1,369 M</w:t>
            </w:r>
          </w:p>
        </w:tc>
        <w:tc>
          <w:tcPr>
            <w:tcW w:w="57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5.3</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$1,038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4.2</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$708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3.2</w:t>
            </w:r>
          </w:p>
        </w:tc>
      </w:tr>
      <w:tr w:rsidR="00452B58" w:rsidRPr="00452B58" w:rsidTr="00452B58">
        <w:trPr>
          <w:trHeight w:val="300"/>
        </w:trPr>
        <w:tc>
          <w:tcPr>
            <w:tcW w:w="96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w:t>
            </w:r>
          </w:p>
        </w:tc>
        <w:tc>
          <w:tcPr>
            <w:tcW w:w="2133" w:type="dxa"/>
            <w:noWrap/>
          </w:tcPr>
          <w:p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$1,223 M</w:t>
            </w:r>
          </w:p>
        </w:tc>
        <w:tc>
          <w:tcPr>
            <w:tcW w:w="573" w:type="dxa"/>
            <w:noWrap/>
          </w:tcPr>
          <w:p w:rsidR="00452B58" w:rsidRPr="00452B58" w:rsidRDefault="00452B58" w:rsidP="00452B58">
            <w:pPr>
              <w:keepNext/>
              <w:suppressAutoHyphens w:val="0"/>
              <w:spacing w:before="40" w:after="40"/>
              <w:jc w:val="center"/>
              <w:rPr>
                <w:rFonts w:eastAsia="Calibri" w:cs="Times New Roman"/>
                <w:color w:val="FF0000"/>
                <w:kern w:val="0"/>
                <w:szCs w:val="22"/>
              </w:rPr>
            </w:pPr>
            <w:r w:rsidRPr="00452B58">
              <w:rPr>
                <w:rFonts w:eastAsia="Calibri" w:cs="Times New Roman"/>
                <w:kern w:val="0"/>
                <w:szCs w:val="22"/>
              </w:rPr>
              <w:t>5.5</w:t>
            </w:r>
          </w:p>
        </w:tc>
        <w:tc>
          <w:tcPr>
            <w:tcW w:w="21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$931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4.4</w:t>
            </w:r>
          </w:p>
        </w:tc>
        <w:tc>
          <w:tcPr>
            <w:tcW w:w="2353"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$639 M</w:t>
            </w:r>
          </w:p>
        </w:tc>
        <w:tc>
          <w:tcPr>
            <w:tcW w:w="607" w:type="dxa"/>
            <w:noWrap/>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3.3</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test shows that all the options remain economically viable over this range of variation but does demonstrate a significant amount of sensitivity.</w:t>
      </w:r>
    </w:p>
    <w:p w:rsidR="00452B58" w:rsidRPr="00F2517A" w:rsidRDefault="00452B58" w:rsidP="00F2517A">
      <w:pPr>
        <w:pStyle w:val="ARRBBaseHeading2"/>
      </w:pPr>
      <w:bookmarkStart w:id="313" w:name="_Toc137731689"/>
      <w:r w:rsidRPr="00F2517A">
        <w:t>Findings</w:t>
      </w:r>
      <w:bookmarkEnd w:id="313"/>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results of the main analysis show a positive outcome for each of the proposed options.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sensitivity analysis identified no threats to viability of the proposed changes to ADRs to allow wider vehicles with mandated safety features. However, the following factors demonstrated greater sensitivity:</w:t>
      </w:r>
    </w:p>
    <w:p w:rsidR="00452B58" w:rsidRPr="00452B58" w:rsidRDefault="00452B58" w:rsidP="00E248BF">
      <w:pPr>
        <w:pStyle w:val="ARRBBulletLevel1"/>
      </w:pPr>
      <w:r w:rsidRPr="00452B58">
        <w:t xml:space="preserve">discount rate </w:t>
      </w:r>
    </w:p>
    <w:p w:rsidR="00452B58" w:rsidRPr="00452B58" w:rsidRDefault="00452B58" w:rsidP="00E248BF">
      <w:pPr>
        <w:pStyle w:val="ARRBBulletLevel1"/>
      </w:pPr>
      <w:r w:rsidRPr="00452B58">
        <w:t>cost of safety features</w:t>
      </w:r>
    </w:p>
    <w:p w:rsidR="00452B58" w:rsidRPr="00452B58" w:rsidRDefault="00452B58" w:rsidP="00E248BF">
      <w:pPr>
        <w:pStyle w:val="ARRBBulletLevel1"/>
      </w:pPr>
      <w:r w:rsidRPr="00452B58">
        <w:t>effectiveness of safety features</w:t>
      </w:r>
    </w:p>
    <w:p w:rsidR="00452B58" w:rsidRPr="00452B58" w:rsidRDefault="00452B58" w:rsidP="00E248BF">
      <w:pPr>
        <w:pStyle w:val="ARRBBulletLevel1"/>
      </w:pPr>
      <w:r w:rsidRPr="00452B58">
        <w:t>trip reduction.</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analysis shows that any barriers or concerns to the widening of good vehicles on Australian roads do not come from questions about high-level productivity or safety. The increased productivity that comes from larger vehicles is well-demonstrated, and current and emerging safety technologies continue to make these vehicles safer to operate on Australian roads.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As the analysis conducted here was necessarily high-level, the following related issues bear further investigation:</w:t>
      </w:r>
    </w:p>
    <w:p w:rsidR="00452B58" w:rsidRPr="00452B58" w:rsidRDefault="00452B58" w:rsidP="00E248BF">
      <w:pPr>
        <w:pStyle w:val="ARRBBulletLevel1"/>
      </w:pPr>
      <w:r w:rsidRPr="00452B58">
        <w:t>Assessments are desirable of the risks and benefits related to different designs of trailers, which are built for purpose and may present different issues.</w:t>
      </w:r>
    </w:p>
    <w:p w:rsidR="00452B58" w:rsidRPr="00452B58" w:rsidRDefault="00452B58" w:rsidP="00E248BF">
      <w:pPr>
        <w:pStyle w:val="ARRBBulletLevel1"/>
      </w:pPr>
      <w:r w:rsidRPr="00452B58">
        <w:t xml:space="preserve">Many other road users already have a poor understanding of the size and manoeuvrability of heavy vehicles, and there may be an increase in the impact of misjudgements made by other road users interacting with wider vehicles. </w:t>
      </w:r>
    </w:p>
    <w:p w:rsidR="00452B58" w:rsidRPr="00452B58" w:rsidRDefault="00452B58" w:rsidP="00E248BF">
      <w:pPr>
        <w:pStyle w:val="ARRBBulletLevel1"/>
      </w:pPr>
      <w:r w:rsidRPr="00452B58">
        <w:t xml:space="preserve">While it was beyond the scope of this project to undertake a detailed infrastructure analysis, developing an assessment of infrastructure requirements – primarily at intersections – for wider vehicles will assist road managers to ensure the productivity benefits of these vehicles can be achieved safely. </w:t>
      </w:r>
    </w:p>
    <w:p w:rsidR="00452B58" w:rsidRPr="00452B58" w:rsidRDefault="00452B58" w:rsidP="00E248BF">
      <w:pPr>
        <w:pStyle w:val="ARRBBulletLevel1"/>
      </w:pPr>
      <w:r w:rsidRPr="00452B58">
        <w:t>The design of the road pavement infrastructure is based on the utilisation of the lane by a known axle width. If this distribution changes there will be impacts on the pavement engineering calculations required for road structures.</w:t>
      </w:r>
    </w:p>
    <w:p w:rsidR="00452B58" w:rsidRPr="00452B58" w:rsidRDefault="00452B58" w:rsidP="00E248BF">
      <w:pPr>
        <w:pStyle w:val="ARRBBulletLevel1"/>
      </w:pPr>
      <w:r w:rsidRPr="00452B58">
        <w:t>There are likely to be community concerns about wider goods vehicles on the roads, despite the safety features. Ongoing research into clearances of the road corridor, especially in urban areas, would provide a basis for both informing decision makers about current and future heavy vehicle access and investment, as well as allaying community concerns.</w:t>
      </w:r>
    </w:p>
    <w:p w:rsidR="00452B58" w:rsidRPr="00452B58" w:rsidRDefault="00452B58" w:rsidP="00452B58">
      <w:pPr>
        <w:suppressAutoHyphens w:val="0"/>
        <w:spacing w:before="0" w:after="0" w:line="288" w:lineRule="auto"/>
        <w:rPr>
          <w:rFonts w:ascii="Arial" w:eastAsia="Calibri" w:hAnsi="Arial" w:cs="Arial"/>
          <w:color w:val="000000"/>
          <w:kern w:val="0"/>
          <w:sz w:val="18"/>
          <w:szCs w:val="18"/>
          <w:lang w:val="en-GB"/>
        </w:rPr>
      </w:pPr>
    </w:p>
    <w:p w:rsidR="00452B58" w:rsidRPr="00452B58" w:rsidRDefault="00452B58" w:rsidP="00452B58">
      <w:pPr>
        <w:suppressAutoHyphens w:val="0"/>
        <w:spacing w:before="0" w:after="0" w:line="288" w:lineRule="auto"/>
        <w:rPr>
          <w:rFonts w:ascii="Arial" w:eastAsia="Calibri" w:hAnsi="Arial" w:cs="Arial"/>
          <w:color w:val="000000"/>
          <w:kern w:val="0"/>
          <w:sz w:val="18"/>
          <w:szCs w:val="18"/>
          <w:lang w:val="en-GB"/>
        </w:rPr>
      </w:pPr>
    </w:p>
    <w:p w:rsidR="00452B58" w:rsidRPr="00452B58" w:rsidRDefault="00452B58" w:rsidP="00452B58">
      <w:pPr>
        <w:suppressAutoHyphens w:val="0"/>
        <w:spacing w:before="0" w:after="0" w:line="288" w:lineRule="auto"/>
        <w:rPr>
          <w:rFonts w:ascii="Arial" w:eastAsia="Calibri" w:hAnsi="Arial" w:cs="Arial"/>
          <w:color w:val="000000"/>
          <w:kern w:val="0"/>
          <w:sz w:val="18"/>
          <w:szCs w:val="18"/>
          <w:lang w:val="en-GB"/>
        </w:rPr>
        <w:sectPr w:rsidR="00452B58" w:rsidRPr="00452B58" w:rsidSect="00452B58">
          <w:pgSz w:w="11906" w:h="16838" w:code="9"/>
          <w:pgMar w:top="1134" w:right="1134" w:bottom="1134" w:left="1134" w:header="680" w:footer="284" w:gutter="0"/>
          <w:pgNumType w:start="14"/>
          <w:cols w:space="567"/>
          <w:docGrid w:linePitch="360"/>
        </w:sectPr>
      </w:pPr>
    </w:p>
    <w:p w:rsidR="00452B58" w:rsidRPr="00452B58" w:rsidRDefault="00452B58" w:rsidP="00F2517A">
      <w:pPr>
        <w:pStyle w:val="ARRBBaseHeadingReferences"/>
      </w:pPr>
      <w:bookmarkStart w:id="314" w:name="_Toc11745934"/>
      <w:bookmarkStart w:id="315" w:name="_Toc137731690"/>
      <w:r w:rsidRPr="00452B58">
        <w:t>References</w:t>
      </w:r>
      <w:bookmarkEnd w:id="314"/>
      <w:bookmarkEnd w:id="315"/>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Australian Bureau of Statistics 2014, </w:t>
      </w:r>
      <w:r w:rsidRPr="00452B58">
        <w:rPr>
          <w:rFonts w:ascii="Calibri" w:eastAsia="Calibri" w:hAnsi="Calibri" w:cs="Calibri"/>
          <w:i/>
          <w:iCs/>
          <w:color w:val="auto"/>
          <w:kern w:val="0"/>
          <w:sz w:val="22"/>
          <w:szCs w:val="22"/>
        </w:rPr>
        <w:t>Road freight movements Australia</w:t>
      </w:r>
      <w:r w:rsidRPr="00452B58">
        <w:rPr>
          <w:rFonts w:ascii="Calibri" w:eastAsia="Calibri" w:hAnsi="Calibri" w:cs="Calibri"/>
          <w:color w:val="auto"/>
          <w:kern w:val="0"/>
          <w:sz w:val="22"/>
          <w:szCs w:val="22"/>
        </w:rPr>
        <w:t xml:space="preserve">, </w:t>
      </w:r>
      <w:r w:rsidRPr="00452B58">
        <w:rPr>
          <w:rFonts w:ascii="Calibri" w:eastAsia="Calibri" w:hAnsi="Calibri" w:cs="Calibri"/>
          <w:i/>
          <w:iCs/>
          <w:color w:val="auto"/>
          <w:kern w:val="0"/>
          <w:sz w:val="22"/>
          <w:szCs w:val="22"/>
        </w:rPr>
        <w:t>12 months ended 31 October 2014</w:t>
      </w:r>
      <w:r w:rsidRPr="00452B58">
        <w:rPr>
          <w:rFonts w:ascii="Calibri" w:eastAsia="Calibri" w:hAnsi="Calibri" w:cs="Calibri"/>
          <w:color w:val="auto"/>
          <w:kern w:val="0"/>
          <w:sz w:val="22"/>
          <w:szCs w:val="22"/>
        </w:rPr>
        <w:t>, ABS website, Canberra, ACT, accessed 23 August 2022, &lt;https://www.abs.gov.au/AUSSTATS/abs@.nsf/DetailsPage/9223.012%20months%20ended%2031%20October%202014?OpenDocument&gt;.</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Australian Bureau of Statistics 2021, </w:t>
      </w:r>
      <w:r w:rsidRPr="00452B58">
        <w:rPr>
          <w:rFonts w:ascii="Calibri" w:eastAsia="Calibri" w:hAnsi="Calibri" w:cs="Calibri"/>
          <w:i/>
          <w:iCs/>
          <w:color w:val="auto"/>
          <w:kern w:val="0"/>
          <w:sz w:val="22"/>
          <w:szCs w:val="22"/>
        </w:rPr>
        <w:t>Motor vehicle census, Australia: data to 31 January 2021</w:t>
      </w:r>
      <w:r w:rsidRPr="00452B58">
        <w:rPr>
          <w:rFonts w:ascii="Calibri" w:eastAsia="Calibri" w:hAnsi="Calibri" w:cs="Calibri"/>
          <w:color w:val="auto"/>
          <w:kern w:val="0"/>
          <w:sz w:val="22"/>
          <w:szCs w:val="22"/>
        </w:rPr>
        <w:t>, ABS website, Canberra, ACT, accessed 23 August 2022, &lt;https://www.abs.gov.au/statistics/industry/tourism-and-transport/motor-vehicle-census-australia/latest-release&gt;.</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ARRB 2021, ‘Freight vehicle access issues paper’, developed for Transport for NSW, ARRB, Port Melbourne, Vic.</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ATA 2016, </w:t>
      </w:r>
      <w:r w:rsidRPr="00452B58">
        <w:rPr>
          <w:rFonts w:ascii="Calibri" w:eastAsia="Calibri" w:hAnsi="Calibri" w:cs="Calibri"/>
          <w:i/>
          <w:iCs/>
          <w:color w:val="auto"/>
          <w:kern w:val="0"/>
          <w:sz w:val="22"/>
          <w:szCs w:val="22"/>
        </w:rPr>
        <w:t>RSC and ESC systems for trucks and trailers: technical advisory procedure</w:t>
      </w:r>
      <w:r w:rsidRPr="00452B58">
        <w:rPr>
          <w:rFonts w:ascii="Calibri" w:eastAsia="Calibri" w:hAnsi="Calibri" w:cs="Calibri"/>
          <w:color w:val="auto"/>
          <w:kern w:val="0"/>
          <w:sz w:val="22"/>
          <w:szCs w:val="22"/>
        </w:rPr>
        <w:t xml:space="preserve">, Australian Trucking Association, Forrest, ACT, accessed 27 June 2022, &lt;https://www.truck.net.au/system/files/industry-resources/TAPs%20-%20RSC%20and%20ESC%20for%20Trucks%20and%20Trailers%20Final%20May%202016.pdf&gt;. </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ATA 2021, </w:t>
      </w:r>
      <w:r w:rsidRPr="00452B58">
        <w:rPr>
          <w:rFonts w:ascii="Calibri" w:eastAsia="Calibri" w:hAnsi="Calibri" w:cs="Calibri"/>
          <w:i/>
          <w:iCs/>
          <w:color w:val="auto"/>
          <w:kern w:val="0"/>
          <w:sz w:val="22"/>
          <w:szCs w:val="22"/>
        </w:rPr>
        <w:t>Safer freight vehicles discussion paper</w:t>
      </w:r>
      <w:r w:rsidRPr="00452B58">
        <w:rPr>
          <w:rFonts w:ascii="Calibri" w:eastAsia="Calibri" w:hAnsi="Calibri" w:cs="Calibri"/>
          <w:color w:val="auto"/>
          <w:kern w:val="0"/>
          <w:sz w:val="22"/>
          <w:szCs w:val="22"/>
        </w:rPr>
        <w:t>, submission to the Department of Infrastructure, Transport, Regional Development and Communications, 30 June 2021, Australian Trucking Association, Forrest, ACT, accessed 29 June 2022, &lt;https://www.truck.net.au/sites/default/files/submissions/20210630ATAsubmissionSaferFreightVehicles.pdf&gt;.</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Australian Transport Assessment and Planning Steering Committee 2016, </w:t>
      </w:r>
      <w:r w:rsidRPr="00452B58">
        <w:rPr>
          <w:rFonts w:ascii="Calibri" w:eastAsia="Calibri" w:hAnsi="Calibri" w:cs="Calibri"/>
          <w:i/>
          <w:iCs/>
          <w:color w:val="auto"/>
          <w:kern w:val="0"/>
          <w:sz w:val="22"/>
          <w:szCs w:val="22"/>
        </w:rPr>
        <w:t>Australian Transport Assessment and Planning (ATAP) guidelines: PV2 road parameter values</w:t>
      </w:r>
      <w:r w:rsidRPr="00452B58">
        <w:rPr>
          <w:rFonts w:ascii="Calibri" w:eastAsia="Calibri" w:hAnsi="Calibri" w:cs="Calibri"/>
          <w:color w:val="auto"/>
          <w:kern w:val="0"/>
          <w:sz w:val="22"/>
          <w:szCs w:val="22"/>
        </w:rPr>
        <w:t>, ATAP website, Canberra, ACT, accessed 29 June 2022, &lt;https://www.atap.gov.au/sites/default/files/pv2_road_parameter_values.pdf&gt;.</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Australian Transport Assessment and Planning Steering Committee 2020, </w:t>
      </w:r>
      <w:r w:rsidRPr="00452B58">
        <w:rPr>
          <w:rFonts w:ascii="Calibri" w:eastAsia="Calibri" w:hAnsi="Calibri" w:cs="Calibri"/>
          <w:i/>
          <w:iCs/>
          <w:color w:val="auto"/>
          <w:kern w:val="0"/>
          <w:sz w:val="22"/>
          <w:szCs w:val="22"/>
        </w:rPr>
        <w:t>O7 Cost benefit analysis of transport regulatory initiatives</w:t>
      </w:r>
      <w:r w:rsidRPr="00452B58">
        <w:rPr>
          <w:rFonts w:ascii="Calibri" w:eastAsia="Calibri" w:hAnsi="Calibri" w:cs="Calibri"/>
          <w:color w:val="auto"/>
          <w:kern w:val="0"/>
          <w:sz w:val="22"/>
          <w:szCs w:val="22"/>
        </w:rPr>
        <w:t>, ATAP website, Canberra, ACT, accessed 29 June 2022, &lt;https://www.atap.gov.au/sites/default/files/documents/atap-o7-cost-benefit-analysis-of-transport-regulatory-initiatives.pdf&gt;.</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Austroads 2017, Guide to pavement technology – part 2 – pavement structural design, </w:t>
      </w:r>
      <w:r w:rsidRPr="00452B58">
        <w:rPr>
          <w:rFonts w:ascii="Calibri" w:eastAsia="Calibri" w:hAnsi="Calibri" w:cs="Calibri"/>
          <w:color w:val="auto"/>
          <w:kern w:val="0"/>
          <w:sz w:val="22"/>
          <w:szCs w:val="22"/>
          <w:highlight w:val="white"/>
        </w:rPr>
        <w:t>AGPT02-17</w:t>
      </w:r>
      <w:r w:rsidRPr="00452B58">
        <w:rPr>
          <w:rFonts w:ascii="Calibri" w:eastAsia="Calibri" w:hAnsi="Calibri" w:cs="Calibri"/>
          <w:color w:val="auto"/>
          <w:kern w:val="0"/>
          <w:sz w:val="22"/>
          <w:szCs w:val="22"/>
        </w:rPr>
        <w:t>, Austroads, Sydney, NSW.</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Badgley, J, Breck, A, Dawes, M, Epstein, AK, Welty, K, McNally, A &amp; Peirce, S 2020, </w:t>
      </w:r>
      <w:r w:rsidRPr="00452B58">
        <w:rPr>
          <w:rFonts w:ascii="Calibri" w:eastAsia="Calibri" w:hAnsi="Calibri" w:cs="Calibri"/>
          <w:i/>
          <w:iCs/>
          <w:color w:val="auto"/>
          <w:kern w:val="0"/>
          <w:sz w:val="22"/>
          <w:szCs w:val="22"/>
        </w:rPr>
        <w:t>A literature review of lateral protection devices on trucks intended for reducing pedestrian and cyclist fatalities</w:t>
      </w:r>
      <w:r w:rsidRPr="00452B58">
        <w:rPr>
          <w:rFonts w:ascii="Calibri" w:eastAsia="Calibri" w:hAnsi="Calibri" w:cs="Calibri"/>
          <w:color w:val="auto"/>
          <w:kern w:val="0"/>
          <w:sz w:val="22"/>
          <w:szCs w:val="22"/>
        </w:rPr>
        <w:t>, FMCSA-RRR-19-004, Federal Motor Carrier Safety Administration, Washington, DC, USA, accessed 29 June 2022, &lt;https://www1.nyc.gov/assets/dcas/downloads/pdf/fleet/US-DOT-FMCSA-Truck-Lateral-Protection-Literature-Review.pdf&gt;.</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BITRE 2019, Australian aggregate freight forecasts – 2019 update, Bureau of Infrastructure, Transport, Regional Development and Communications, Canberra, ACT, accessed 29 June 2022, &lt; https://www.bitre.gov.au/sites/default/files/documents/research_report_152-final.pdf&gt;</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BITRE 2020, </w:t>
      </w:r>
      <w:r w:rsidRPr="00452B58">
        <w:rPr>
          <w:rFonts w:ascii="Calibri" w:eastAsia="Calibri" w:hAnsi="Calibri" w:cs="Calibri"/>
          <w:i/>
          <w:iCs/>
          <w:color w:val="auto"/>
          <w:kern w:val="0"/>
          <w:sz w:val="22"/>
          <w:szCs w:val="22"/>
        </w:rPr>
        <w:t>Road trauma involving heavy vehicles: 2020 statistical summary</w:t>
      </w:r>
      <w:r w:rsidRPr="00452B58">
        <w:rPr>
          <w:rFonts w:ascii="Calibri" w:eastAsia="Calibri" w:hAnsi="Calibri" w:cs="Calibri"/>
          <w:color w:val="auto"/>
          <w:kern w:val="0"/>
          <w:sz w:val="22"/>
          <w:szCs w:val="22"/>
        </w:rPr>
        <w:t>, Bureau of Infrastructure, Transport, Regional Development and Communications, Canberra, ACT, accessed 29 June 2022, &lt;https://www.bitre.gov.au/sites/default/files/documents/hv_annual_2020.pdf&gt;.</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BITRE 2021, </w:t>
      </w:r>
      <w:r w:rsidRPr="00452B58">
        <w:rPr>
          <w:rFonts w:ascii="Calibri" w:eastAsia="Calibri" w:hAnsi="Calibri" w:cs="Calibri"/>
          <w:i/>
          <w:iCs/>
          <w:color w:val="auto"/>
          <w:kern w:val="0"/>
          <w:sz w:val="22"/>
          <w:szCs w:val="22"/>
        </w:rPr>
        <w:t>Hospitalised injury</w:t>
      </w:r>
      <w:r w:rsidRPr="00452B58">
        <w:rPr>
          <w:rFonts w:ascii="Calibri" w:eastAsia="Calibri" w:hAnsi="Calibri" w:cs="Calibri"/>
          <w:color w:val="auto"/>
          <w:kern w:val="0"/>
          <w:sz w:val="22"/>
          <w:szCs w:val="22"/>
        </w:rPr>
        <w:t>, Bureau of Infrastructure, Transport, Regional Development and Communications, Canberra, ACT, accessed 29 June 2022, &lt;https://www.bitre.gov.au/sites/default/files/documents/hospitalised_injury_publication_aug2021.xlsm&gt;.</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Blackman, R &amp; Haworth, N 2015, Desktop review of conspicuity markings for heavy vehicles, CARRS-Q, Brisbane, Qld.</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Buiter, R, Cortenraad, W, van Eck, A &amp; van Rij, H 1989, ‘Effects of transverse distribution of heavy vehicles on thickness design of full-depth asphalt pavements.’ </w:t>
      </w:r>
      <w:r w:rsidRPr="00452B58">
        <w:rPr>
          <w:rFonts w:ascii="Calibri" w:eastAsia="Calibri" w:hAnsi="Calibri" w:cs="Calibri"/>
          <w:i/>
          <w:iCs/>
          <w:color w:val="auto"/>
          <w:kern w:val="0"/>
          <w:sz w:val="22"/>
          <w:szCs w:val="22"/>
        </w:rPr>
        <w:t>Transportation Research Record,</w:t>
      </w:r>
      <w:r w:rsidRPr="00452B58">
        <w:rPr>
          <w:rFonts w:ascii="Calibri" w:eastAsia="Calibri" w:hAnsi="Calibri" w:cs="Calibri"/>
          <w:color w:val="auto"/>
          <w:kern w:val="0"/>
          <w:sz w:val="22"/>
          <w:szCs w:val="22"/>
        </w:rPr>
        <w:t xml:space="preserve"> no. 1227, pp. 66-74.</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Cicchino, JB 2018, ‘Effects of blind spot monitoring systems on police-reported lane-change crashes’, </w:t>
      </w:r>
      <w:r w:rsidRPr="00452B58">
        <w:rPr>
          <w:rFonts w:ascii="Calibri" w:eastAsia="Calibri" w:hAnsi="Calibri" w:cs="Calibri"/>
          <w:i/>
          <w:iCs/>
          <w:color w:val="auto"/>
          <w:kern w:val="0"/>
          <w:sz w:val="22"/>
          <w:szCs w:val="22"/>
        </w:rPr>
        <w:t>Traffic Injury Prevention</w:t>
      </w:r>
      <w:r w:rsidRPr="00452B58">
        <w:rPr>
          <w:rFonts w:ascii="Calibri" w:eastAsia="Calibri" w:hAnsi="Calibri" w:cs="Calibri"/>
          <w:color w:val="auto"/>
          <w:kern w:val="0"/>
          <w:sz w:val="22"/>
          <w:szCs w:val="22"/>
        </w:rPr>
        <w:t>, vol. 19, no. 6, pp. 615-22.</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Department of Infrastructure, Transport, Regional Development and Communications   (2018), Regulatory Impact Statement National Heavy Vehicle Braking Strategy Phase II – Improving the Stability and Control of Heavy Vehicles, DITRDC, Canberra, ACT.</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shd w:val="clear" w:color="auto" w:fill="FFFFFF"/>
        </w:rPr>
        <w:t>Department of Infrastructure, Transport, Regional Development and Communications</w:t>
      </w:r>
      <w:r w:rsidRPr="00452B58">
        <w:rPr>
          <w:rFonts w:ascii="Calibri" w:eastAsia="Calibri" w:hAnsi="Calibri" w:cs="Calibri"/>
          <w:color w:val="auto"/>
          <w:kern w:val="0"/>
          <w:sz w:val="22"/>
          <w:szCs w:val="22"/>
        </w:rPr>
        <w:t xml:space="preserve"> 2021, ‘Safer freight vehicles: discussion paper’, DITRDC, Canberra, ACT.</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000000"/>
          <w:kern w:val="0"/>
          <w:sz w:val="22"/>
          <w:szCs w:val="22"/>
          <w:shd w:val="clear" w:color="auto" w:fill="FFFFFF"/>
        </w:rPr>
        <w:t>Department of Infrastructure, Transport, Regional Development and Communications</w:t>
      </w:r>
      <w:r w:rsidRPr="00452B58">
        <w:rPr>
          <w:rFonts w:ascii="Calibri" w:eastAsia="Calibri" w:hAnsi="Calibri" w:cs="Calibri"/>
          <w:color w:val="auto"/>
          <w:kern w:val="0"/>
          <w:sz w:val="22"/>
          <w:szCs w:val="22"/>
        </w:rPr>
        <w:t xml:space="preserve"> 2022, </w:t>
      </w:r>
      <w:r w:rsidRPr="00452B58">
        <w:rPr>
          <w:rFonts w:ascii="Calibri" w:eastAsia="Calibri" w:hAnsi="Calibri" w:cs="Calibri"/>
          <w:i/>
          <w:iCs/>
          <w:color w:val="auto"/>
          <w:kern w:val="0"/>
          <w:sz w:val="22"/>
          <w:szCs w:val="22"/>
        </w:rPr>
        <w:t>Reducing heavy vehicle lane departure crashes: consultation regulation impact statement</w:t>
      </w:r>
      <w:r w:rsidRPr="00452B58">
        <w:rPr>
          <w:rFonts w:ascii="Calibri" w:eastAsia="Calibri" w:hAnsi="Calibri" w:cs="Calibri"/>
          <w:color w:val="auto"/>
          <w:kern w:val="0"/>
          <w:sz w:val="22"/>
          <w:szCs w:val="22"/>
        </w:rPr>
        <w:t>, DITRDC, Canberra, ACT, accessed 29 June 2022, &lt;https://www.infrastructure.gov.au/sites/default/files/documents/consultation-ris-ldws.pdf&gt;.</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Hart, P 2014, ‘The size and nature of the Australian truck and trailer fleet’, PowerPoint presentation, </w:t>
      </w:r>
      <w:r w:rsidRPr="00452B58">
        <w:rPr>
          <w:rFonts w:ascii="Calibri" w:eastAsia="Calibri" w:hAnsi="Calibri" w:cs="Calibri"/>
          <w:i/>
          <w:iCs/>
          <w:color w:val="auto"/>
          <w:kern w:val="0"/>
          <w:sz w:val="22"/>
          <w:szCs w:val="22"/>
        </w:rPr>
        <w:t>Global Truck &amp; Trailer Leaders summit, Melbourne, Australia,</w:t>
      </w:r>
      <w:r w:rsidRPr="00452B58">
        <w:rPr>
          <w:rFonts w:ascii="Calibri" w:eastAsia="Calibri" w:hAnsi="Calibri" w:cs="Calibri"/>
          <w:color w:val="auto"/>
          <w:kern w:val="0"/>
          <w:sz w:val="22"/>
          <w:szCs w:val="22"/>
        </w:rPr>
        <w:t xml:space="preserve"> ARTSA, accessed 29 June 2022, &lt;https://www.artsa.com.au/assets/pdf/2014/s05_03_peter_hart.pdf&gt;.</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Holtrop A, 2000, personal email communication with Martin T.</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IIHS-HLDI 2020, </w:t>
      </w:r>
      <w:r w:rsidRPr="00452B58">
        <w:rPr>
          <w:rFonts w:ascii="Calibri" w:eastAsia="Calibri" w:hAnsi="Calibri" w:cs="Calibri"/>
          <w:i/>
          <w:iCs/>
          <w:color w:val="auto"/>
          <w:kern w:val="0"/>
          <w:sz w:val="22"/>
          <w:szCs w:val="22"/>
        </w:rPr>
        <w:t>Real-world benefits of crash avoidance technologies</w:t>
      </w:r>
      <w:r w:rsidRPr="00452B58">
        <w:rPr>
          <w:rFonts w:ascii="Calibri" w:eastAsia="Calibri" w:hAnsi="Calibri" w:cs="Calibri"/>
          <w:color w:val="auto"/>
          <w:kern w:val="0"/>
          <w:sz w:val="22"/>
          <w:szCs w:val="22"/>
        </w:rPr>
        <w:t>, Insurance Institute for Highway Safety, Highway Loss Data Institute, accessed 29 June 2022, &lt;https://www.iihs.org/media/259e5bbd-f859-42a7-bd54-3888f7a2d3ef/e9boUQ/Topics/ADVANCED%20DRIVER%20ASSISTANCE/IIHS-real-world-CA-benefits.pdf&gt;.</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Jameson, GW, Sharp, KG &amp; Vertessy, NJ 1992, </w:t>
      </w:r>
      <w:r w:rsidRPr="00452B58">
        <w:rPr>
          <w:rFonts w:ascii="Calibri" w:eastAsia="Calibri" w:hAnsi="Calibri" w:cs="Calibri"/>
          <w:i/>
          <w:iCs/>
          <w:color w:val="auto"/>
          <w:kern w:val="0"/>
          <w:sz w:val="22"/>
          <w:szCs w:val="22"/>
        </w:rPr>
        <w:t>Full-depth asphalt pavement fatigue under accelerated loading: the Mulgrave (Victoria) ALF trial, 1989/91</w:t>
      </w:r>
      <w:r w:rsidRPr="00452B58">
        <w:rPr>
          <w:rFonts w:ascii="Calibri" w:eastAsia="Calibri" w:hAnsi="Calibri" w:cs="Calibri"/>
          <w:color w:val="auto"/>
          <w:kern w:val="0"/>
          <w:sz w:val="22"/>
          <w:szCs w:val="22"/>
        </w:rPr>
        <w:t>, research report ARR 224, Australian Road Research Board, Vermont South, Vic.</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Miller, EJ &amp; Steuart, GN 1982, ‘Vehicle lateral placements on urban roads’, </w:t>
      </w:r>
      <w:r w:rsidRPr="00452B58">
        <w:rPr>
          <w:rFonts w:ascii="Calibri" w:eastAsia="Calibri" w:hAnsi="Calibri" w:cs="Calibri"/>
          <w:i/>
          <w:iCs/>
          <w:color w:val="auto"/>
          <w:kern w:val="0"/>
          <w:sz w:val="22"/>
          <w:szCs w:val="22"/>
        </w:rPr>
        <w:t>Transportation Engineering Journal of the American Society of Civil Engineers</w:t>
      </w:r>
      <w:r w:rsidRPr="00452B58">
        <w:rPr>
          <w:rFonts w:ascii="Calibri" w:eastAsia="Calibri" w:hAnsi="Calibri" w:cs="Calibri"/>
          <w:color w:val="auto"/>
          <w:kern w:val="0"/>
          <w:sz w:val="22"/>
          <w:szCs w:val="22"/>
        </w:rPr>
        <w:t>, vol. 108, no. 5, pp. 495-508</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Morgan, C 2001, </w:t>
      </w:r>
      <w:r w:rsidRPr="00452B58">
        <w:rPr>
          <w:rFonts w:ascii="Calibri" w:eastAsia="Calibri" w:hAnsi="Calibri" w:cs="Calibri"/>
          <w:i/>
          <w:iCs/>
          <w:color w:val="auto"/>
          <w:kern w:val="0"/>
          <w:sz w:val="22"/>
          <w:szCs w:val="22"/>
        </w:rPr>
        <w:t>The effectiveness of retroreflective tape on heavy trailers,</w:t>
      </w:r>
      <w:r w:rsidRPr="00452B58">
        <w:rPr>
          <w:rFonts w:ascii="Calibri" w:eastAsia="Calibri" w:hAnsi="Calibri" w:cs="Calibri"/>
          <w:color w:val="auto"/>
          <w:kern w:val="0"/>
          <w:sz w:val="22"/>
          <w:szCs w:val="22"/>
        </w:rPr>
        <w:t xml:space="preserve"> National Highway Traffic and Safety Administration (NHTSA), Washington, DC, USA.</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NTARC 2021, </w:t>
      </w:r>
      <w:r w:rsidRPr="00452B58">
        <w:rPr>
          <w:rFonts w:ascii="Calibri" w:eastAsia="Calibri" w:hAnsi="Calibri" w:cs="Calibri"/>
          <w:i/>
          <w:iCs/>
          <w:color w:val="auto"/>
          <w:kern w:val="0"/>
          <w:sz w:val="22"/>
          <w:szCs w:val="22"/>
        </w:rPr>
        <w:t xml:space="preserve">Review of major crash rates for Australian higher productivity vehicles: 2015 – 2019, </w:t>
      </w:r>
      <w:r w:rsidRPr="00452B58">
        <w:rPr>
          <w:rFonts w:ascii="Calibri" w:eastAsia="Calibri" w:hAnsi="Calibri" w:cs="Calibri"/>
          <w:color w:val="auto"/>
          <w:kern w:val="0"/>
          <w:sz w:val="22"/>
          <w:szCs w:val="22"/>
        </w:rPr>
        <w:t xml:space="preserve">report prepared for National Heavy Vehicle Regulator, </w:t>
      </w:r>
      <w:r w:rsidRPr="00452B58">
        <w:rPr>
          <w:rFonts w:ascii="Calibri" w:eastAsia="Calibri" w:hAnsi="Calibri" w:cs="Calibri"/>
          <w:color w:val="auto"/>
          <w:kern w:val="0"/>
          <w:sz w:val="22"/>
          <w:szCs w:val="22"/>
          <w:shd w:val="clear" w:color="auto" w:fill="FFFFFF"/>
        </w:rPr>
        <w:t>National Truck Accident Research Centre.</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OBPR 2020, </w:t>
      </w:r>
      <w:r w:rsidRPr="00452B58">
        <w:rPr>
          <w:rFonts w:ascii="Calibri" w:eastAsia="Calibri" w:hAnsi="Calibri" w:cs="Calibri"/>
          <w:i/>
          <w:iCs/>
          <w:color w:val="auto"/>
          <w:kern w:val="0"/>
          <w:sz w:val="22"/>
          <w:szCs w:val="22"/>
        </w:rPr>
        <w:t>Australian Government guide to regulatory impact analysis</w:t>
      </w:r>
      <w:r w:rsidRPr="00452B58">
        <w:rPr>
          <w:rFonts w:ascii="Calibri" w:eastAsia="Calibri" w:hAnsi="Calibri" w:cs="Calibri"/>
          <w:color w:val="auto"/>
          <w:kern w:val="0"/>
          <w:sz w:val="22"/>
          <w:szCs w:val="22"/>
        </w:rPr>
        <w:t>, Office of Best Practice Regulation website, Canberra, ACT, accessed 29 June 2022, &lt;https://obpr.pmc.gov.au/resources/guidance-impact-analysis/australian-government-guide-regulatory-impact-analysis&gt;.</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Pauls, J 1925, ‘Transverse distributions of motor vehicle traffic on paved highways’, </w:t>
      </w:r>
      <w:r w:rsidRPr="00452B58">
        <w:rPr>
          <w:rFonts w:ascii="Calibri" w:eastAsia="Calibri" w:hAnsi="Calibri" w:cs="Calibri"/>
          <w:i/>
          <w:iCs/>
          <w:color w:val="auto"/>
          <w:kern w:val="0"/>
          <w:sz w:val="22"/>
          <w:szCs w:val="22"/>
        </w:rPr>
        <w:t>Public Roads</w:t>
      </w:r>
      <w:r w:rsidRPr="00452B58">
        <w:rPr>
          <w:rFonts w:ascii="Calibri" w:eastAsia="Calibri" w:hAnsi="Calibri" w:cs="Calibri"/>
          <w:color w:val="auto"/>
          <w:kern w:val="0"/>
          <w:sz w:val="22"/>
          <w:szCs w:val="22"/>
        </w:rPr>
        <w:t>, vol. 6, no. 1, pp. 1-13.</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Power Torque 2022, ‘Truck and trailer data released’, </w:t>
      </w:r>
      <w:r w:rsidRPr="00452B58">
        <w:rPr>
          <w:rFonts w:ascii="Calibri" w:eastAsia="Calibri" w:hAnsi="Calibri" w:cs="Calibri"/>
          <w:i/>
          <w:iCs/>
          <w:color w:val="auto"/>
          <w:kern w:val="0"/>
          <w:sz w:val="22"/>
          <w:szCs w:val="22"/>
        </w:rPr>
        <w:t>Power Torque</w:t>
      </w:r>
      <w:r w:rsidRPr="00452B58">
        <w:rPr>
          <w:rFonts w:ascii="Calibri" w:eastAsia="Calibri" w:hAnsi="Calibri" w:cs="Calibri"/>
          <w:color w:val="auto"/>
          <w:kern w:val="0"/>
          <w:sz w:val="22"/>
          <w:szCs w:val="22"/>
        </w:rPr>
        <w:t xml:space="preserve">, accessed 29 June 2022, &lt;https://powertorque.com.au/truck-trailer-data-released/&gt;. </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Prime Mover Magazine 2020, ‘Autonomous Emergency Braking System (AEBS)’, </w:t>
      </w:r>
      <w:r w:rsidRPr="00452B58">
        <w:rPr>
          <w:rFonts w:ascii="Calibri" w:eastAsia="Calibri" w:hAnsi="Calibri" w:cs="Calibri"/>
          <w:i/>
          <w:iCs/>
          <w:color w:val="auto"/>
          <w:kern w:val="0"/>
          <w:sz w:val="22"/>
          <w:szCs w:val="22"/>
        </w:rPr>
        <w:t>Prime Mover</w:t>
      </w:r>
      <w:r w:rsidRPr="00452B58">
        <w:rPr>
          <w:rFonts w:ascii="Calibri" w:eastAsia="Calibri" w:hAnsi="Calibri" w:cs="Calibri"/>
          <w:color w:val="auto"/>
          <w:kern w:val="0"/>
          <w:sz w:val="22"/>
          <w:szCs w:val="22"/>
        </w:rPr>
        <w:t>, 13 February 2020, accessed 27 June 2022, &lt;https://www.primemovermag.com.au/autonomous-emergency-braking-system-aebs/&gt;.</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USDOT 2012, ‘Cost of driver assistance packages that include vision-based departure warning systems range from $295 to $2800’, </w:t>
      </w:r>
      <w:r w:rsidRPr="00452B58">
        <w:rPr>
          <w:rFonts w:ascii="Calibri" w:eastAsia="Calibri" w:hAnsi="Calibri" w:cs="Calibri"/>
          <w:i/>
          <w:iCs/>
          <w:color w:val="auto"/>
          <w:kern w:val="0"/>
          <w:sz w:val="22"/>
          <w:szCs w:val="22"/>
        </w:rPr>
        <w:t>Intelligent Transportation Systems Joint Program Office</w:t>
      </w:r>
      <w:r w:rsidRPr="00452B58">
        <w:rPr>
          <w:rFonts w:ascii="Calibri" w:eastAsia="Calibri" w:hAnsi="Calibri" w:cs="Calibri"/>
          <w:color w:val="auto"/>
          <w:kern w:val="0"/>
          <w:sz w:val="22"/>
          <w:szCs w:val="22"/>
        </w:rPr>
        <w:t>, 2 October 2012, accessed 29 June 2022, &lt;https://www.itskrs.its.dot.gov/its/benecost.nsf/ID/20de3ff778a1450a85257a77005e2fca#:~:text=Cost%20of%20Driver%20Assistance%20packages,range%20from%20%24295%20to%20%242800&gt;.</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USDOT 2013, ‘Blind spot monitoring systems’, </w:t>
      </w:r>
      <w:r w:rsidRPr="00452B58">
        <w:rPr>
          <w:rFonts w:ascii="Calibri" w:eastAsia="Calibri" w:hAnsi="Calibri" w:cs="Calibri"/>
          <w:i/>
          <w:iCs/>
          <w:color w:val="auto"/>
          <w:kern w:val="0"/>
          <w:sz w:val="22"/>
          <w:szCs w:val="22"/>
        </w:rPr>
        <w:t>Intelligent Transportation Systems Joint Program Office</w:t>
      </w:r>
      <w:r w:rsidRPr="00452B58">
        <w:rPr>
          <w:rFonts w:ascii="Calibri" w:eastAsia="Calibri" w:hAnsi="Calibri" w:cs="Calibri"/>
          <w:color w:val="auto"/>
          <w:kern w:val="0"/>
          <w:sz w:val="22"/>
          <w:szCs w:val="22"/>
        </w:rPr>
        <w:t>, 19 November 2013, accessed 29 June 2022, &lt;https://www.itskrs.its.dot.gov/its/benecost.nsf/ID/ed0b2c09ba1da34f85257c070064f703#:~:text=Home%20%2F-,Blind%20spot%20monitoring%20systems%20can%20range%20f rom%20%24200%20%2D%20%24395%20and,Change%20Assist%20(LCA)%20systems&gt;.</w:t>
      </w:r>
    </w:p>
    <w:p w:rsidR="00452B58" w:rsidRPr="00452B58" w:rsidRDefault="00452B58" w:rsidP="00452B58">
      <w:pPr>
        <w:suppressAutoHyphens w:val="0"/>
        <w:spacing w:before="0" w:after="160" w:line="259" w:lineRule="auto"/>
        <w:rPr>
          <w:rFonts w:ascii="Calibri" w:eastAsia="Calibri" w:hAnsi="Calibri" w:cs="Times New Roman"/>
          <w:color w:val="auto"/>
          <w:kern w:val="0"/>
          <w:sz w:val="22"/>
          <w:szCs w:val="22"/>
        </w:rPr>
      </w:pPr>
      <w:r w:rsidRPr="00452B58">
        <w:rPr>
          <w:rFonts w:ascii="Calibri" w:eastAsia="Calibri" w:hAnsi="Calibri" w:cs="Times New Roman"/>
          <w:color w:val="auto"/>
          <w:kern w:val="0"/>
          <w:sz w:val="22"/>
          <w:szCs w:val="22"/>
        </w:rPr>
        <w:br w:type="page"/>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F2517A">
      <w:pPr>
        <w:pStyle w:val="ARRBBaseHeadingApp"/>
      </w:pPr>
      <w:bookmarkStart w:id="316" w:name="_Ref111140114"/>
      <w:bookmarkStart w:id="317" w:name="_Ref111140118"/>
      <w:bookmarkStart w:id="318" w:name="_Toc137731691"/>
      <w:bookmarkStart w:id="319" w:name="BM_LastPage"/>
      <w:r w:rsidRPr="00452B58">
        <w:t>Average Vehicle Operating Costs</w:t>
      </w:r>
      <w:bookmarkEnd w:id="316"/>
      <w:bookmarkEnd w:id="317"/>
      <w:bookmarkEnd w:id="318"/>
    </w:p>
    <w:p w:rsidR="00452B58" w:rsidRPr="00452B58" w:rsidRDefault="00452B58" w:rsidP="00F2517A">
      <w:pPr>
        <w:pStyle w:val="ARRBBaseHeadingAppsub"/>
        <w:rPr>
          <w:rFonts w:hint="eastAsia"/>
        </w:rPr>
      </w:pPr>
      <w:r w:rsidRPr="00452B58">
        <w:t>VOCs for Non-refrigerated 2.50 m Wide Vehicles and Trailers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vehicle operating costs used in this analysis are sourced from ATAP PV2 Road Parameter Values. The average VOC used for vehicles is the average of medium and heavy rigid trucks taken from this source as shown in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_Ref112327498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Table </w:t>
      </w:r>
      <w:r w:rsidRPr="00452B58">
        <w:rPr>
          <w:rFonts w:ascii="Calibri" w:eastAsia="Calibri" w:hAnsi="Calibri" w:cs="Calibri"/>
          <w:noProof/>
          <w:color w:val="auto"/>
          <w:kern w:val="0"/>
          <w:sz w:val="22"/>
          <w:szCs w:val="22"/>
        </w:rPr>
        <w:t>A</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20" w:name="_Ref112327498"/>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STYLEREF 7 \s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A</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SEQ AppTable \* ARABIC \s 7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1</w:t>
      </w:r>
      <w:r w:rsidRPr="00452B58">
        <w:rPr>
          <w:rFonts w:ascii="Calibri" w:eastAsia="Calibri" w:hAnsi="Calibri" w:cs="Times New Roman"/>
          <w:b/>
          <w:bCs/>
          <w:noProof/>
          <w:color w:val="67696A"/>
          <w:kern w:val="0"/>
          <w:sz w:val="18"/>
          <w:szCs w:val="22"/>
        </w:rPr>
        <w:fldChar w:fldCharType="end"/>
      </w:r>
      <w:bookmarkEnd w:id="320"/>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Representative (rigid) vehicle operating costs</w:t>
      </w:r>
    </w:p>
    <w:tbl>
      <w:tblPr>
        <w:tblStyle w:val="ARRBTableStyle"/>
        <w:tblW w:w="0" w:type="auto"/>
        <w:tblLook w:val="04A0" w:firstRow="1" w:lastRow="0" w:firstColumn="1" w:lastColumn="0" w:noHBand="0" w:noVBand="1"/>
      </w:tblPr>
      <w:tblGrid>
        <w:gridCol w:w="3208"/>
        <w:gridCol w:w="3210"/>
        <w:gridCol w:w="3210"/>
      </w:tblGrid>
      <w:tr w:rsidR="00452B58" w:rsidRPr="00452B58" w:rsidTr="00452B58">
        <w:trPr>
          <w:cnfStyle w:val="100000000000" w:firstRow="1" w:lastRow="0" w:firstColumn="0" w:lastColumn="0" w:oddVBand="0" w:evenVBand="0" w:oddHBand="0" w:evenHBand="0" w:firstRowFirstColumn="0" w:firstRowLastColumn="0" w:lastRowFirstColumn="0" w:lastRowLastColumn="0"/>
        </w:trPr>
        <w:tc>
          <w:tcPr>
            <w:tcW w:w="3212" w:type="dxa"/>
          </w:tcPr>
          <w:p w:rsidR="00452B58" w:rsidRPr="00452B58" w:rsidRDefault="00452B58" w:rsidP="00452B58">
            <w:pPr>
              <w:keepNext/>
              <w:suppressAutoHyphens w:val="0"/>
              <w:spacing w:before="40" w:after="40"/>
              <w:rPr>
                <w:rFonts w:eastAsia="Calibri"/>
                <w:kern w:val="0"/>
                <w:szCs w:val="22"/>
              </w:rPr>
            </w:pPr>
          </w:p>
        </w:tc>
        <w:tc>
          <w:tcPr>
            <w:tcW w:w="3213" w:type="dxa"/>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Included vehicles</w:t>
            </w:r>
          </w:p>
        </w:tc>
        <w:tc>
          <w:tcPr>
            <w:tcW w:w="3213" w:type="dxa"/>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Parameter values (cents per km)</w:t>
            </w:r>
          </w:p>
        </w:tc>
      </w:tr>
      <w:tr w:rsidR="00452B58" w:rsidRPr="00452B58" w:rsidTr="00452B58">
        <w:tc>
          <w:tcPr>
            <w:tcW w:w="3212" w:type="dxa"/>
            <w:vMerge w:val="restar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VOCs</w:t>
            </w:r>
          </w:p>
        </w:tc>
        <w:tc>
          <w:tcPr>
            <w:tcW w:w="3213"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07. Medium rigid</w:t>
            </w:r>
          </w:p>
        </w:tc>
        <w:tc>
          <w:tcPr>
            <w:tcW w:w="3213"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65.80</w:t>
            </w:r>
          </w:p>
        </w:tc>
      </w:tr>
      <w:tr w:rsidR="00452B58" w:rsidRPr="00452B58" w:rsidTr="00452B58">
        <w:tc>
          <w:tcPr>
            <w:tcW w:w="3212" w:type="dxa"/>
            <w:vMerge/>
            <w:tcBorders>
              <w:bottom w:val="single" w:sz="12" w:space="0" w:color="8B8D8E"/>
            </w:tcBorders>
          </w:tcPr>
          <w:p w:rsidR="00452B58" w:rsidRPr="00452B58" w:rsidRDefault="00452B58" w:rsidP="00452B58">
            <w:pPr>
              <w:keepNext/>
              <w:suppressAutoHyphens w:val="0"/>
              <w:spacing w:before="40" w:after="40"/>
              <w:rPr>
                <w:rFonts w:eastAsia="Calibri" w:cs="Times New Roman"/>
                <w:kern w:val="0"/>
                <w:szCs w:val="22"/>
              </w:rPr>
            </w:pPr>
          </w:p>
        </w:tc>
        <w:tc>
          <w:tcPr>
            <w:tcW w:w="3213" w:type="dxa"/>
            <w:tcBorders>
              <w:bottom w:val="single" w:sz="12" w:space="0" w:color="8B8D8E"/>
            </w:tcBorders>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08. Heavy rigid</w:t>
            </w:r>
          </w:p>
        </w:tc>
        <w:tc>
          <w:tcPr>
            <w:tcW w:w="3213" w:type="dxa"/>
            <w:tcBorders>
              <w:bottom w:val="single" w:sz="12" w:space="0" w:color="8B8D8E"/>
            </w:tcBorders>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83.09</w:t>
            </w:r>
          </w:p>
        </w:tc>
      </w:tr>
      <w:tr w:rsidR="00452B58" w:rsidRPr="00452B58" w:rsidTr="00452B58">
        <w:tc>
          <w:tcPr>
            <w:tcW w:w="6425" w:type="dxa"/>
            <w:gridSpan w:val="2"/>
            <w:tcBorders>
              <w:top w:val="single" w:sz="12" w:space="0" w:color="8B8D8E"/>
            </w:tcBorders>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Average:</w:t>
            </w:r>
          </w:p>
        </w:tc>
        <w:tc>
          <w:tcPr>
            <w:tcW w:w="3213" w:type="dxa"/>
            <w:tcBorders>
              <w:top w:val="single" w:sz="12" w:space="0" w:color="8B8D8E"/>
            </w:tcBorders>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74.45</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To determine the average operating cost of trailers in the analysis, a standard three-axle semitrailer was used. Data from two sources suggested that semi-trailers comprise about two-thirds of all in-service trailers, and therefore an even greater percentage of goods trailers. These are shown in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_Ref112327504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Table </w:t>
      </w:r>
      <w:r w:rsidRPr="00452B58">
        <w:rPr>
          <w:rFonts w:ascii="Calibri" w:eastAsia="Calibri" w:hAnsi="Calibri" w:cs="Calibri"/>
          <w:noProof/>
          <w:color w:val="auto"/>
          <w:kern w:val="0"/>
          <w:sz w:val="22"/>
          <w:szCs w:val="22"/>
        </w:rPr>
        <w:t>A</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2</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21" w:name="_Ref112327504"/>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STYLEREF 7 \s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A</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SEQ AppTable \* ARABIC \s 7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2</w:t>
      </w:r>
      <w:r w:rsidRPr="00452B58">
        <w:rPr>
          <w:rFonts w:ascii="Calibri" w:eastAsia="Calibri" w:hAnsi="Calibri" w:cs="Times New Roman"/>
          <w:b/>
          <w:bCs/>
          <w:noProof/>
          <w:color w:val="67696A"/>
          <w:kern w:val="0"/>
          <w:sz w:val="18"/>
          <w:szCs w:val="22"/>
        </w:rPr>
        <w:fldChar w:fldCharType="end"/>
      </w:r>
      <w:bookmarkEnd w:id="321"/>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Trailer type share in the trailer fleet</w:t>
      </w:r>
    </w:p>
    <w:tbl>
      <w:tblPr>
        <w:tblStyle w:val="ARRBTableStyle"/>
        <w:tblW w:w="9634" w:type="dxa"/>
        <w:tblLook w:val="04A0" w:firstRow="1" w:lastRow="0" w:firstColumn="1" w:lastColumn="0" w:noHBand="0" w:noVBand="1"/>
      </w:tblPr>
      <w:tblGrid>
        <w:gridCol w:w="1980"/>
        <w:gridCol w:w="1873"/>
        <w:gridCol w:w="1954"/>
        <w:gridCol w:w="1900"/>
        <w:gridCol w:w="1927"/>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300"/>
        </w:trPr>
        <w:tc>
          <w:tcPr>
            <w:tcW w:w="1980" w:type="dxa"/>
            <w:hideMark/>
          </w:tcPr>
          <w:p w:rsidR="00452B58" w:rsidRPr="00452B58" w:rsidRDefault="00452B58" w:rsidP="00452B58">
            <w:pPr>
              <w:keepNext/>
              <w:suppressAutoHyphens w:val="0"/>
              <w:spacing w:before="40" w:after="40"/>
              <w:rPr>
                <w:rFonts w:eastAsia="Calibri"/>
                <w:b w:val="0"/>
                <w:kern w:val="0"/>
                <w:szCs w:val="22"/>
                <w:lang w:eastAsia="en-AU"/>
              </w:rPr>
            </w:pPr>
            <w:r w:rsidRPr="00452B58">
              <w:rPr>
                <w:rFonts w:eastAsia="Calibri"/>
                <w:kern w:val="0"/>
                <w:szCs w:val="22"/>
                <w:lang w:eastAsia="en-AU"/>
              </w:rPr>
              <w:t>Trailer type</w:t>
            </w:r>
          </w:p>
        </w:tc>
        <w:tc>
          <w:tcPr>
            <w:tcW w:w="1873" w:type="dxa"/>
            <w:hideMark/>
          </w:tcPr>
          <w:p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In-service fleet</w:t>
            </w:r>
          </w:p>
        </w:tc>
        <w:tc>
          <w:tcPr>
            <w:tcW w:w="1954" w:type="dxa"/>
            <w:hideMark/>
          </w:tcPr>
          <w:p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Percentage</w:t>
            </w:r>
          </w:p>
        </w:tc>
        <w:tc>
          <w:tcPr>
            <w:tcW w:w="1900" w:type="dxa"/>
            <w:hideMark/>
          </w:tcPr>
          <w:p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In-service fleet</w:t>
            </w:r>
          </w:p>
        </w:tc>
        <w:tc>
          <w:tcPr>
            <w:tcW w:w="1927" w:type="dxa"/>
            <w:hideMark/>
          </w:tcPr>
          <w:p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Percentage</w:t>
            </w:r>
          </w:p>
        </w:tc>
      </w:tr>
      <w:tr w:rsidR="00452B58" w:rsidRPr="00452B58" w:rsidTr="00452B58">
        <w:trPr>
          <w:trHeight w:val="300"/>
        </w:trPr>
        <w:tc>
          <w:tcPr>
            <w:tcW w:w="1980" w:type="dxa"/>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Semi-trailers</w:t>
            </w:r>
          </w:p>
        </w:tc>
        <w:tc>
          <w:tcPr>
            <w:tcW w:w="1873" w:type="dxa"/>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148,000</w:t>
            </w:r>
          </w:p>
        </w:tc>
        <w:tc>
          <w:tcPr>
            <w:tcW w:w="1954" w:type="dxa"/>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65%</w:t>
            </w:r>
          </w:p>
        </w:tc>
        <w:tc>
          <w:tcPr>
            <w:tcW w:w="1900" w:type="dxa"/>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&gt; 150,000</w:t>
            </w:r>
          </w:p>
        </w:tc>
        <w:tc>
          <w:tcPr>
            <w:tcW w:w="1927" w:type="dxa"/>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64%</w:t>
            </w:r>
          </w:p>
        </w:tc>
      </w:tr>
      <w:tr w:rsidR="00452B58" w:rsidRPr="00452B58" w:rsidTr="00452B58">
        <w:trPr>
          <w:trHeight w:val="300"/>
        </w:trPr>
        <w:tc>
          <w:tcPr>
            <w:tcW w:w="1980" w:type="dxa"/>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Lead trailers</w:t>
            </w:r>
          </w:p>
        </w:tc>
        <w:tc>
          <w:tcPr>
            <w:tcW w:w="1873" w:type="dxa"/>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21,000</w:t>
            </w:r>
          </w:p>
        </w:tc>
        <w:tc>
          <w:tcPr>
            <w:tcW w:w="1954" w:type="dxa"/>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c>
          <w:tcPr>
            <w:tcW w:w="1900" w:type="dxa"/>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&gt; 22,000</w:t>
            </w:r>
          </w:p>
        </w:tc>
        <w:tc>
          <w:tcPr>
            <w:tcW w:w="1927" w:type="dxa"/>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r>
      <w:tr w:rsidR="00452B58" w:rsidRPr="00452B58" w:rsidTr="00452B58">
        <w:trPr>
          <w:trHeight w:val="300"/>
        </w:trPr>
        <w:tc>
          <w:tcPr>
            <w:tcW w:w="1980" w:type="dxa"/>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Dog trailers</w:t>
            </w:r>
          </w:p>
        </w:tc>
        <w:tc>
          <w:tcPr>
            <w:tcW w:w="1873" w:type="dxa"/>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18,000</w:t>
            </w:r>
          </w:p>
        </w:tc>
        <w:tc>
          <w:tcPr>
            <w:tcW w:w="1954" w:type="dxa"/>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c>
          <w:tcPr>
            <w:tcW w:w="1900" w:type="dxa"/>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18,691</w:t>
            </w:r>
          </w:p>
        </w:tc>
        <w:tc>
          <w:tcPr>
            <w:tcW w:w="1927" w:type="dxa"/>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r>
      <w:tr w:rsidR="00452B58" w:rsidRPr="00452B58" w:rsidTr="00452B58">
        <w:trPr>
          <w:trHeight w:val="300"/>
        </w:trPr>
        <w:tc>
          <w:tcPr>
            <w:tcW w:w="1980" w:type="dxa"/>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Pig trailers</w:t>
            </w:r>
          </w:p>
        </w:tc>
        <w:tc>
          <w:tcPr>
            <w:tcW w:w="1873" w:type="dxa"/>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12,000</w:t>
            </w:r>
          </w:p>
        </w:tc>
        <w:tc>
          <w:tcPr>
            <w:tcW w:w="1954" w:type="dxa"/>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w:t>
            </w:r>
          </w:p>
        </w:tc>
        <w:tc>
          <w:tcPr>
            <w:tcW w:w="1900" w:type="dxa"/>
            <w:vMerge w:val="restart"/>
            <w:vAlign w:val="center"/>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&lt; 43,568</w:t>
            </w:r>
          </w:p>
        </w:tc>
        <w:tc>
          <w:tcPr>
            <w:tcW w:w="1927" w:type="dxa"/>
            <w:vMerge w:val="restart"/>
            <w:vAlign w:val="center"/>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19%</w:t>
            </w:r>
          </w:p>
        </w:tc>
      </w:tr>
      <w:tr w:rsidR="00452B58" w:rsidRPr="00452B58" w:rsidTr="00452B58">
        <w:trPr>
          <w:trHeight w:val="300"/>
        </w:trPr>
        <w:tc>
          <w:tcPr>
            <w:tcW w:w="1980" w:type="dxa"/>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Dolly trailers</w:t>
            </w:r>
          </w:p>
        </w:tc>
        <w:tc>
          <w:tcPr>
            <w:tcW w:w="1873" w:type="dxa"/>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22,000</w:t>
            </w:r>
          </w:p>
        </w:tc>
        <w:tc>
          <w:tcPr>
            <w:tcW w:w="1954" w:type="dxa"/>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10%</w:t>
            </w:r>
          </w:p>
        </w:tc>
        <w:tc>
          <w:tcPr>
            <w:tcW w:w="1900" w:type="dxa"/>
            <w:vMerge/>
            <w:hideMark/>
          </w:tcPr>
          <w:p w:rsidR="00452B58" w:rsidRPr="00452B58" w:rsidRDefault="00452B58" w:rsidP="00452B58">
            <w:pPr>
              <w:keepNext/>
              <w:suppressAutoHyphens w:val="0"/>
              <w:spacing w:before="40" w:after="40"/>
              <w:jc w:val="center"/>
              <w:rPr>
                <w:rFonts w:eastAsia="Calibri" w:cs="Times New Roman"/>
                <w:kern w:val="0"/>
                <w:szCs w:val="22"/>
                <w:lang w:eastAsia="en-AU"/>
              </w:rPr>
            </w:pPr>
          </w:p>
        </w:tc>
        <w:tc>
          <w:tcPr>
            <w:tcW w:w="1927" w:type="dxa"/>
            <w:vMerge/>
            <w:hideMark/>
          </w:tcPr>
          <w:p w:rsidR="00452B58" w:rsidRPr="00452B58" w:rsidRDefault="00452B58" w:rsidP="00452B58">
            <w:pPr>
              <w:keepNext/>
              <w:suppressAutoHyphens w:val="0"/>
              <w:spacing w:before="40" w:after="40"/>
              <w:jc w:val="center"/>
              <w:rPr>
                <w:rFonts w:eastAsia="Calibri" w:cs="Times New Roman"/>
                <w:kern w:val="0"/>
                <w:szCs w:val="22"/>
                <w:lang w:eastAsia="en-AU"/>
              </w:rPr>
            </w:pPr>
          </w:p>
        </w:tc>
      </w:tr>
      <w:tr w:rsidR="00452B58" w:rsidRPr="00452B58" w:rsidTr="00452B58">
        <w:trPr>
          <w:trHeight w:val="300"/>
        </w:trPr>
        <w:tc>
          <w:tcPr>
            <w:tcW w:w="1980" w:type="dxa"/>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Other (e.g. specialty)</w:t>
            </w:r>
          </w:p>
        </w:tc>
        <w:tc>
          <w:tcPr>
            <w:tcW w:w="1873" w:type="dxa"/>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6,000</w:t>
            </w:r>
          </w:p>
        </w:tc>
        <w:tc>
          <w:tcPr>
            <w:tcW w:w="1954" w:type="dxa"/>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w:t>
            </w:r>
          </w:p>
        </w:tc>
        <w:tc>
          <w:tcPr>
            <w:tcW w:w="1900" w:type="dxa"/>
            <w:vMerge/>
            <w:hideMark/>
          </w:tcPr>
          <w:p w:rsidR="00452B58" w:rsidRPr="00452B58" w:rsidRDefault="00452B58" w:rsidP="00452B58">
            <w:pPr>
              <w:keepNext/>
              <w:suppressAutoHyphens w:val="0"/>
              <w:spacing w:before="40" w:after="40"/>
              <w:jc w:val="center"/>
              <w:rPr>
                <w:rFonts w:eastAsia="Calibri" w:cs="Times New Roman"/>
                <w:kern w:val="0"/>
                <w:szCs w:val="22"/>
                <w:lang w:eastAsia="en-AU"/>
              </w:rPr>
            </w:pPr>
          </w:p>
        </w:tc>
        <w:tc>
          <w:tcPr>
            <w:tcW w:w="1927" w:type="dxa"/>
            <w:vMerge/>
            <w:hideMark/>
          </w:tcPr>
          <w:p w:rsidR="00452B58" w:rsidRPr="00452B58" w:rsidRDefault="00452B58" w:rsidP="00452B58">
            <w:pPr>
              <w:keepNext/>
              <w:suppressAutoHyphens w:val="0"/>
              <w:spacing w:before="40" w:after="40"/>
              <w:jc w:val="center"/>
              <w:rPr>
                <w:rFonts w:eastAsia="Calibri" w:cs="Times New Roman"/>
                <w:kern w:val="0"/>
                <w:szCs w:val="22"/>
                <w:lang w:eastAsia="en-AU"/>
              </w:rPr>
            </w:pPr>
          </w:p>
        </w:tc>
      </w:tr>
      <w:tr w:rsidR="00452B58" w:rsidRPr="00452B58" w:rsidTr="00452B58">
        <w:trPr>
          <w:trHeight w:val="300"/>
        </w:trPr>
        <w:tc>
          <w:tcPr>
            <w:tcW w:w="1980" w:type="dxa"/>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TOTAL</w:t>
            </w:r>
          </w:p>
        </w:tc>
        <w:tc>
          <w:tcPr>
            <w:tcW w:w="1873" w:type="dxa"/>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227,000</w:t>
            </w:r>
          </w:p>
        </w:tc>
        <w:tc>
          <w:tcPr>
            <w:tcW w:w="1954" w:type="dxa"/>
            <w:hideMark/>
          </w:tcPr>
          <w:p w:rsidR="00452B58" w:rsidRPr="00452B58" w:rsidRDefault="00452B58" w:rsidP="00452B58">
            <w:pPr>
              <w:keepNext/>
              <w:suppressAutoHyphens w:val="0"/>
              <w:spacing w:before="40" w:after="40"/>
              <w:jc w:val="center"/>
              <w:rPr>
                <w:rFonts w:eastAsia="Calibri" w:cs="Times New Roman"/>
                <w:kern w:val="0"/>
                <w:szCs w:val="22"/>
                <w:lang w:eastAsia="en-AU"/>
              </w:rPr>
            </w:pPr>
          </w:p>
        </w:tc>
        <w:tc>
          <w:tcPr>
            <w:tcW w:w="1900" w:type="dxa"/>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234,259</w:t>
            </w:r>
          </w:p>
        </w:tc>
        <w:tc>
          <w:tcPr>
            <w:tcW w:w="1927" w:type="dxa"/>
            <w:hideMark/>
          </w:tcPr>
          <w:p w:rsidR="00452B58" w:rsidRPr="00452B58" w:rsidRDefault="00452B58" w:rsidP="00452B58">
            <w:pPr>
              <w:keepNext/>
              <w:suppressAutoHyphens w:val="0"/>
              <w:spacing w:before="40" w:after="40"/>
              <w:jc w:val="center"/>
              <w:rPr>
                <w:rFonts w:eastAsia="Calibri" w:cs="Times New Roman"/>
                <w:kern w:val="0"/>
                <w:szCs w:val="22"/>
                <w:lang w:eastAsia="en-AU"/>
              </w:rPr>
            </w:pPr>
          </w:p>
        </w:tc>
      </w:tr>
      <w:tr w:rsidR="00452B58" w:rsidRPr="00452B58" w:rsidTr="00452B58">
        <w:trPr>
          <w:trHeight w:val="300"/>
        </w:trPr>
        <w:tc>
          <w:tcPr>
            <w:tcW w:w="1980"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Sources:</w:t>
            </w:r>
          </w:p>
        </w:tc>
        <w:tc>
          <w:tcPr>
            <w:tcW w:w="3827" w:type="dxa"/>
            <w:gridSpan w:val="2"/>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Hart (2014)</w:t>
            </w:r>
          </w:p>
        </w:tc>
        <w:tc>
          <w:tcPr>
            <w:tcW w:w="3827" w:type="dxa"/>
            <w:gridSpan w:val="2"/>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Power Torque (2022)</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VOC parameters for the vehicle combinations in ATAP PV2 were analysed to isolate an average cost of a semi-trailer as shown in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_Ref112327563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Table </w:t>
      </w:r>
      <w:r w:rsidRPr="00452B58">
        <w:rPr>
          <w:rFonts w:ascii="Calibri" w:eastAsia="Calibri" w:hAnsi="Calibri" w:cs="Calibri"/>
          <w:noProof/>
          <w:color w:val="auto"/>
          <w:kern w:val="0"/>
          <w:sz w:val="22"/>
          <w:szCs w:val="22"/>
        </w:rPr>
        <w:t>A</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3</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22" w:name="_Ref112327563"/>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STYLEREF 7 \s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A</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SEQ AppTable \* ARABIC \s 7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3</w:t>
      </w:r>
      <w:r w:rsidRPr="00452B58">
        <w:rPr>
          <w:rFonts w:ascii="Calibri" w:eastAsia="Calibri" w:hAnsi="Calibri" w:cs="Times New Roman"/>
          <w:b/>
          <w:bCs/>
          <w:noProof/>
          <w:color w:val="67696A"/>
          <w:kern w:val="0"/>
          <w:sz w:val="18"/>
          <w:szCs w:val="22"/>
        </w:rPr>
        <w:fldChar w:fldCharType="end"/>
      </w:r>
      <w:bookmarkEnd w:id="322"/>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Representative trailer operating costs</w:t>
      </w:r>
    </w:p>
    <w:tbl>
      <w:tblPr>
        <w:tblStyle w:val="ARRBTableStyle"/>
        <w:tblW w:w="9638" w:type="dxa"/>
        <w:tblLook w:val="04A0" w:firstRow="1" w:lastRow="0" w:firstColumn="1" w:lastColumn="0" w:noHBand="0" w:noVBand="1"/>
      </w:tblPr>
      <w:tblGrid>
        <w:gridCol w:w="3212"/>
        <w:gridCol w:w="3213"/>
        <w:gridCol w:w="3213"/>
      </w:tblGrid>
      <w:tr w:rsidR="00452B58" w:rsidRPr="00452B58" w:rsidTr="00452B58">
        <w:trPr>
          <w:cnfStyle w:val="100000000000" w:firstRow="1" w:lastRow="0" w:firstColumn="0" w:lastColumn="0" w:oddVBand="0" w:evenVBand="0" w:oddHBand="0" w:evenHBand="0" w:firstRowFirstColumn="0" w:firstRowLastColumn="0" w:lastRowFirstColumn="0" w:lastRowLastColumn="0"/>
        </w:trPr>
        <w:tc>
          <w:tcPr>
            <w:tcW w:w="3212" w:type="dxa"/>
          </w:tcPr>
          <w:p w:rsidR="00452B58" w:rsidRPr="00452B58" w:rsidRDefault="00452B58" w:rsidP="00452B58">
            <w:pPr>
              <w:keepNext/>
              <w:suppressAutoHyphens w:val="0"/>
              <w:spacing w:before="40" w:after="40"/>
              <w:rPr>
                <w:rFonts w:eastAsia="Calibri"/>
                <w:kern w:val="0"/>
                <w:szCs w:val="22"/>
              </w:rPr>
            </w:pPr>
          </w:p>
        </w:tc>
        <w:tc>
          <w:tcPr>
            <w:tcW w:w="3213" w:type="dxa"/>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Included vehicle parameters</w:t>
            </w:r>
          </w:p>
        </w:tc>
        <w:tc>
          <w:tcPr>
            <w:tcW w:w="3213" w:type="dxa"/>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Parameter values (cents per km)</w:t>
            </w:r>
          </w:p>
        </w:tc>
      </w:tr>
      <w:tr w:rsidR="00452B58" w:rsidRPr="00452B58" w:rsidTr="00452B58">
        <w:tc>
          <w:tcPr>
            <w:tcW w:w="3212" w:type="dxa"/>
            <w:vMerge w:val="restar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Included combinations</w:t>
            </w:r>
          </w:p>
        </w:tc>
        <w:tc>
          <w:tcPr>
            <w:tcW w:w="3213"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12. Articulated 6 axle (semi-trailer)</w:t>
            </w:r>
          </w:p>
        </w:tc>
        <w:tc>
          <w:tcPr>
            <w:tcW w:w="3213"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135.41</w:t>
            </w:r>
          </w:p>
        </w:tc>
      </w:tr>
      <w:tr w:rsidR="00452B58" w:rsidRPr="00452B58" w:rsidTr="00452B58">
        <w:tc>
          <w:tcPr>
            <w:tcW w:w="3212" w:type="dxa"/>
            <w:vMerge/>
          </w:tcPr>
          <w:p w:rsidR="00452B58" w:rsidRPr="00452B58" w:rsidRDefault="00452B58" w:rsidP="00452B58">
            <w:pPr>
              <w:keepNext/>
              <w:suppressAutoHyphens w:val="0"/>
              <w:spacing w:before="40" w:after="40"/>
              <w:rPr>
                <w:rFonts w:eastAsia="Calibri" w:cs="Times New Roman"/>
                <w:kern w:val="0"/>
                <w:szCs w:val="22"/>
              </w:rPr>
            </w:pPr>
          </w:p>
        </w:tc>
        <w:tc>
          <w:tcPr>
            <w:tcW w:w="3213"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14. B-double</w:t>
            </w:r>
          </w:p>
        </w:tc>
        <w:tc>
          <w:tcPr>
            <w:tcW w:w="3213"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161.48</w:t>
            </w:r>
          </w:p>
        </w:tc>
      </w:tr>
      <w:tr w:rsidR="00452B58" w:rsidRPr="00452B58" w:rsidTr="00452B58">
        <w:tc>
          <w:tcPr>
            <w:tcW w:w="3212" w:type="dxa"/>
            <w:vMerge/>
          </w:tcPr>
          <w:p w:rsidR="00452B58" w:rsidRPr="00452B58" w:rsidRDefault="00452B58" w:rsidP="00452B58">
            <w:pPr>
              <w:keepNext/>
              <w:suppressAutoHyphens w:val="0"/>
              <w:spacing w:before="40" w:after="40"/>
              <w:rPr>
                <w:rFonts w:eastAsia="Calibri" w:cs="Times New Roman"/>
                <w:kern w:val="0"/>
                <w:szCs w:val="22"/>
              </w:rPr>
            </w:pPr>
          </w:p>
        </w:tc>
        <w:tc>
          <w:tcPr>
            <w:tcW w:w="3213"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16. A-double</w:t>
            </w:r>
          </w:p>
        </w:tc>
        <w:tc>
          <w:tcPr>
            <w:tcW w:w="3213"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195.11</w:t>
            </w:r>
          </w:p>
        </w:tc>
      </w:tr>
      <w:tr w:rsidR="00452B58" w:rsidRPr="00452B58" w:rsidTr="00452B58">
        <w:tc>
          <w:tcPr>
            <w:tcW w:w="3212" w:type="dxa"/>
            <w:vMerge/>
          </w:tcPr>
          <w:p w:rsidR="00452B58" w:rsidRPr="00452B58" w:rsidRDefault="00452B58" w:rsidP="00452B58">
            <w:pPr>
              <w:keepNext/>
              <w:suppressAutoHyphens w:val="0"/>
              <w:spacing w:before="40" w:after="40"/>
              <w:rPr>
                <w:rFonts w:eastAsia="Calibri" w:cs="Times New Roman"/>
                <w:kern w:val="0"/>
                <w:szCs w:val="22"/>
              </w:rPr>
            </w:pPr>
          </w:p>
        </w:tc>
        <w:tc>
          <w:tcPr>
            <w:tcW w:w="3213"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17. B-triple</w:t>
            </w:r>
          </w:p>
        </w:tc>
        <w:tc>
          <w:tcPr>
            <w:tcW w:w="3213"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224.15</w:t>
            </w:r>
          </w:p>
        </w:tc>
      </w:tr>
      <w:tr w:rsidR="00452B58" w:rsidRPr="00452B58" w:rsidTr="00452B58">
        <w:tc>
          <w:tcPr>
            <w:tcW w:w="3212" w:type="dxa"/>
            <w:vMerge/>
          </w:tcPr>
          <w:p w:rsidR="00452B58" w:rsidRPr="00452B58" w:rsidRDefault="00452B58" w:rsidP="00452B58">
            <w:pPr>
              <w:keepNext/>
              <w:suppressAutoHyphens w:val="0"/>
              <w:spacing w:before="40" w:after="40"/>
              <w:rPr>
                <w:rFonts w:eastAsia="Calibri" w:cs="Times New Roman"/>
                <w:kern w:val="0"/>
                <w:szCs w:val="22"/>
              </w:rPr>
            </w:pPr>
          </w:p>
        </w:tc>
        <w:tc>
          <w:tcPr>
            <w:tcW w:w="3213"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19: A-triple</w:t>
            </w:r>
          </w:p>
        </w:tc>
        <w:tc>
          <w:tcPr>
            <w:tcW w:w="3213"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252.42</w:t>
            </w:r>
          </w:p>
        </w:tc>
      </w:tr>
      <w:tr w:rsidR="00452B58" w:rsidRPr="00452B58" w:rsidTr="00452B58">
        <w:tc>
          <w:tcPr>
            <w:tcW w:w="3212" w:type="dxa"/>
            <w:vMerge w:val="restar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Isolation of trailer operating costs</w:t>
            </w:r>
          </w:p>
        </w:tc>
        <w:tc>
          <w:tcPr>
            <w:tcW w:w="3213"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A-double minus articulated 6-axle </w:t>
            </w:r>
          </w:p>
        </w:tc>
        <w:tc>
          <w:tcPr>
            <w:tcW w:w="3213"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60</w:t>
            </w:r>
          </w:p>
        </w:tc>
      </w:tr>
      <w:tr w:rsidR="00452B58" w:rsidRPr="00452B58" w:rsidTr="00452B58">
        <w:tc>
          <w:tcPr>
            <w:tcW w:w="3212" w:type="dxa"/>
            <w:vMerge/>
          </w:tcPr>
          <w:p w:rsidR="00452B58" w:rsidRPr="00452B58" w:rsidRDefault="00452B58" w:rsidP="00452B58">
            <w:pPr>
              <w:keepNext/>
              <w:suppressAutoHyphens w:val="0"/>
              <w:spacing w:before="40" w:after="40"/>
              <w:rPr>
                <w:rFonts w:eastAsia="Calibri" w:cs="Times New Roman"/>
                <w:kern w:val="0"/>
                <w:szCs w:val="22"/>
              </w:rPr>
            </w:pPr>
          </w:p>
        </w:tc>
        <w:tc>
          <w:tcPr>
            <w:tcW w:w="3213"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B-triple minus B-double</w:t>
            </w:r>
          </w:p>
        </w:tc>
        <w:tc>
          <w:tcPr>
            <w:tcW w:w="3213"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63</w:t>
            </w:r>
          </w:p>
        </w:tc>
      </w:tr>
      <w:tr w:rsidR="00452B58" w:rsidRPr="00452B58" w:rsidTr="00452B58">
        <w:tc>
          <w:tcPr>
            <w:tcW w:w="3212" w:type="dxa"/>
            <w:vMerge/>
          </w:tcPr>
          <w:p w:rsidR="00452B58" w:rsidRPr="00452B58" w:rsidRDefault="00452B58" w:rsidP="00452B58">
            <w:pPr>
              <w:keepNext/>
              <w:suppressAutoHyphens w:val="0"/>
              <w:spacing w:before="40" w:after="40"/>
              <w:rPr>
                <w:rFonts w:eastAsia="Calibri" w:cs="Times New Roman"/>
                <w:kern w:val="0"/>
                <w:szCs w:val="22"/>
              </w:rPr>
            </w:pPr>
          </w:p>
        </w:tc>
        <w:tc>
          <w:tcPr>
            <w:tcW w:w="3213"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A-triple minus A-double</w:t>
            </w:r>
          </w:p>
        </w:tc>
        <w:tc>
          <w:tcPr>
            <w:tcW w:w="3213"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57</w:t>
            </w:r>
          </w:p>
        </w:tc>
      </w:tr>
      <w:tr w:rsidR="00452B58" w:rsidRPr="00452B58" w:rsidTr="00452B58">
        <w:tc>
          <w:tcPr>
            <w:tcW w:w="6425" w:type="dxa"/>
            <w:gridSpan w:val="2"/>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Average:</w:t>
            </w:r>
          </w:p>
        </w:tc>
        <w:tc>
          <w:tcPr>
            <w:tcW w:w="3213"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60</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F2517A" w:rsidRDefault="00452B58" w:rsidP="00F2517A">
      <w:pPr>
        <w:pStyle w:val="ARRBBaseHeadingAppsub"/>
        <w:rPr>
          <w:rFonts w:hint="eastAsia"/>
        </w:rPr>
      </w:pPr>
      <w:r w:rsidRPr="00F2517A">
        <w:t>VOCs for Refrigerated Vehicles and Trailers and Wider Options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Estimates of the VOCs needed in this analysis were calculated as follows.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Vehicle VOCs</w:t>
      </w:r>
    </w:p>
    <w:p w:rsidR="00452B58" w:rsidRPr="00452B58" w:rsidRDefault="00452B58" w:rsidP="00E248BF">
      <w:pPr>
        <w:pStyle w:val="ARRBBulletLevel1"/>
      </w:pPr>
      <w:r w:rsidRPr="00452B58">
        <w:t xml:space="preserve">2.50 m non-refrigerated heavy goods vehicles VOC are the average of vehicle type/configuration VOCs 07 and 08 (medium and heavy rigids) as shown in </w:t>
      </w:r>
      <w:r w:rsidRPr="00452B58">
        <w:fldChar w:fldCharType="begin"/>
      </w:r>
      <w:r w:rsidRPr="00452B58">
        <w:instrText xml:space="preserve"> REF _Ref109660208 \h </w:instrText>
      </w:r>
      <w:r w:rsidR="00E248BF">
        <w:instrText xml:space="preserve"> \* MERGEFORMAT </w:instrText>
      </w:r>
      <w:r w:rsidRPr="00452B58">
        <w:fldChar w:fldCharType="separate"/>
      </w:r>
      <w:r w:rsidRPr="00452B58">
        <w:t xml:space="preserve">Table </w:t>
      </w:r>
      <w:r w:rsidRPr="00452B58">
        <w:rPr>
          <w:noProof/>
        </w:rPr>
        <w:t>2</w:t>
      </w:r>
      <w:r w:rsidRPr="00452B58">
        <w:t>.</w:t>
      </w:r>
      <w:r w:rsidRPr="00452B58">
        <w:rPr>
          <w:noProof/>
        </w:rPr>
        <w:t>1</w:t>
      </w:r>
      <w:r w:rsidRPr="00452B58">
        <w:fldChar w:fldCharType="end"/>
      </w:r>
      <w:r w:rsidRPr="00452B58">
        <w:t>.</w:t>
      </w:r>
    </w:p>
    <w:p w:rsidR="00452B58" w:rsidRPr="00452B58" w:rsidRDefault="00452B58" w:rsidP="00E248BF">
      <w:pPr>
        <w:pStyle w:val="ARRBBulletLevel1"/>
      </w:pPr>
      <w:r w:rsidRPr="00452B58">
        <w:t xml:space="preserve">2.55 m and 2.6 m wide non-refrigerated vehicles are assumed to have increased VOCs of +0.5% and 1% of the 2.50 m average non-refrigerated heavy vehicle VOC.  </w:t>
      </w:r>
    </w:p>
    <w:p w:rsidR="00452B58" w:rsidRPr="00452B58" w:rsidRDefault="00452B58" w:rsidP="00E248BF">
      <w:pPr>
        <w:pStyle w:val="ARRBBulletLevel1"/>
      </w:pPr>
      <w:r w:rsidRPr="00452B58">
        <w:t>2.50 m refrigerated vehicles are estimated to be 115% of the non-refrigerated counterpart to reflect the higher fuel, oil, and maintenance usage, based on a review of fuel consumption in refrigerated vehicles and containers.</w:t>
      </w:r>
    </w:p>
    <w:p w:rsidR="00452B58" w:rsidRPr="00452B58" w:rsidRDefault="00452B58" w:rsidP="00E248BF">
      <w:pPr>
        <w:pStyle w:val="ARRBBulletLevel1"/>
      </w:pPr>
      <w:r w:rsidRPr="00452B58">
        <w:t>2.55 m and 2.60 m refrigerated vehicles are calculated to have a respective VOC of 113% and 111% of the non-refrigerated 2.50 m counterpart (which includes the 0.5% and 1% increase for the wider options) based on thermal efficiency data from ATA (2021).</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Trailer VOCs</w:t>
      </w:r>
    </w:p>
    <w:p w:rsidR="00452B58" w:rsidRPr="00452B58" w:rsidRDefault="00452B58" w:rsidP="00E248BF">
      <w:pPr>
        <w:pStyle w:val="ARRBBulletLevel1"/>
      </w:pPr>
      <w:r w:rsidRPr="00452B58">
        <w:t>2.50 m non-refrigerated heavy trailer VOC was calculated by analysing the VOCs of combination parts to isolate heavy trailers.</w:t>
      </w:r>
    </w:p>
    <w:p w:rsidR="00452B58" w:rsidRPr="00452B58" w:rsidRDefault="00452B58" w:rsidP="00E248BF">
      <w:pPr>
        <w:pStyle w:val="ARRBBulletLevel1"/>
      </w:pPr>
      <w:r w:rsidRPr="00452B58">
        <w:t xml:space="preserve">The VOCs of 2.55 m and 2.60 m non-refrigerated heavy trailers are assumed to have increased VOCs of +0.5% and 1% of the 2.50 m average non-refrigerated heavy trailer VOC.  </w:t>
      </w:r>
    </w:p>
    <w:p w:rsidR="00452B58" w:rsidRPr="00452B58" w:rsidRDefault="00452B58" w:rsidP="00E248BF">
      <w:pPr>
        <w:pStyle w:val="ARRBBulletLevel1"/>
      </w:pPr>
      <w:r w:rsidRPr="00452B58">
        <w:t>The VOCs for refrigerated and non-refrigerated heavy vehicles were compared to isolate the operating costs of the refrigeration for 2.50 m, 2.55 m, and 2,60 m trailers.</w:t>
      </w:r>
    </w:p>
    <w:p w:rsidR="00452B58" w:rsidRPr="00452B58" w:rsidRDefault="00452B58" w:rsidP="00E248BF">
      <w:pPr>
        <w:pStyle w:val="ARRBBulletLevel1"/>
      </w:pPr>
      <w:r w:rsidRPr="00452B58">
        <w:t>The VOCs of refrigerated trailers for 2.5m 2.55 m and 2.6 m widths were calculated by adding the non</w:t>
      </w:r>
      <w:r w:rsidRPr="00452B58">
        <w:noBreakHyphen/>
        <w:t>refrigerated VOC to the refrigeration unit operating cost for each width.</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_Ref112327615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Table </w:t>
      </w:r>
      <w:r w:rsidRPr="00452B58">
        <w:rPr>
          <w:rFonts w:ascii="Calibri" w:eastAsia="Calibri" w:hAnsi="Calibri" w:cs="Calibri"/>
          <w:noProof/>
          <w:color w:val="auto"/>
          <w:kern w:val="0"/>
          <w:sz w:val="22"/>
          <w:szCs w:val="22"/>
        </w:rPr>
        <w:t>A</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presents the VOC parameter values for calculating the operating cost of refrigerated and non</w:t>
      </w:r>
      <w:r w:rsidRPr="00452B58">
        <w:rPr>
          <w:rFonts w:ascii="Calibri" w:eastAsia="Calibri" w:hAnsi="Calibri" w:cs="Calibri"/>
          <w:color w:val="auto"/>
          <w:kern w:val="0"/>
          <w:sz w:val="22"/>
          <w:szCs w:val="22"/>
        </w:rPr>
        <w:noBreakHyphen/>
        <w:t xml:space="preserve">refrigerated freight tasks before and after widening. </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23" w:name="_Ref112327615"/>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STYLEREF 7 \s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A</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SEQ AppTable \* ARABIC \s 7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noProof/>
          <w:color w:val="67696A"/>
          <w:kern w:val="0"/>
          <w:sz w:val="18"/>
          <w:szCs w:val="22"/>
        </w:rPr>
        <w:fldChar w:fldCharType="end"/>
      </w:r>
      <w:bookmarkEnd w:id="323"/>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 xml:space="preserve">VOC parameter values  </w:t>
      </w:r>
    </w:p>
    <w:tbl>
      <w:tblPr>
        <w:tblStyle w:val="ARRBTableStyle"/>
        <w:tblW w:w="4990" w:type="pct"/>
        <w:tblLayout w:type="fixed"/>
        <w:tblLook w:val="04A0" w:firstRow="1" w:lastRow="0" w:firstColumn="1" w:lastColumn="0" w:noHBand="0" w:noVBand="1"/>
      </w:tblPr>
      <w:tblGrid>
        <w:gridCol w:w="3201"/>
        <w:gridCol w:w="3204"/>
        <w:gridCol w:w="3204"/>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189"/>
        </w:trPr>
        <w:tc>
          <w:tcPr>
            <w:tcW w:w="1666" w:type="pct"/>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 xml:space="preserve">VOC Parameter </w:t>
            </w:r>
          </w:p>
        </w:tc>
        <w:tc>
          <w:tcPr>
            <w:tcW w:w="1667" w:type="pct"/>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HV ($ per VKT)</w:t>
            </w:r>
          </w:p>
        </w:tc>
        <w:tc>
          <w:tcPr>
            <w:tcW w:w="1667" w:type="pct"/>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Trailer ($ per VKT)</w:t>
            </w:r>
          </w:p>
        </w:tc>
      </w:tr>
      <w:tr w:rsidR="00452B58" w:rsidRPr="00452B58" w:rsidTr="00452B58">
        <w:trPr>
          <w:trHeight w:val="144"/>
        </w:trPr>
        <w:tc>
          <w:tcPr>
            <w:tcW w:w="1666"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2.50 m non-refrigerated freight tasks</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$0.744</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$0.599</w:t>
            </w:r>
          </w:p>
        </w:tc>
      </w:tr>
      <w:tr w:rsidR="00452B58" w:rsidRPr="00452B58" w:rsidTr="00452B58">
        <w:trPr>
          <w:trHeight w:val="144"/>
        </w:trPr>
        <w:tc>
          <w:tcPr>
            <w:tcW w:w="1666"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2.55 m non-refrigerated freight tasks</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$0.748</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$0.602</w:t>
            </w:r>
          </w:p>
        </w:tc>
      </w:tr>
      <w:tr w:rsidR="00452B58" w:rsidRPr="00452B58" w:rsidTr="00452B58">
        <w:trPr>
          <w:trHeight w:val="144"/>
        </w:trPr>
        <w:tc>
          <w:tcPr>
            <w:tcW w:w="1666"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2.60 m non-refrigerated freight tasks</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$0.752</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$0.605</w:t>
            </w:r>
          </w:p>
        </w:tc>
      </w:tr>
      <w:tr w:rsidR="00452B58" w:rsidRPr="00452B58" w:rsidTr="00452B58">
        <w:trPr>
          <w:trHeight w:val="144"/>
        </w:trPr>
        <w:tc>
          <w:tcPr>
            <w:tcW w:w="1666"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2.50 m refrigerated freight tasks</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$0.856</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$0.711</w:t>
            </w:r>
          </w:p>
        </w:tc>
      </w:tr>
      <w:tr w:rsidR="00452B58" w:rsidRPr="00452B58" w:rsidTr="00452B58">
        <w:trPr>
          <w:trHeight w:val="144"/>
        </w:trPr>
        <w:tc>
          <w:tcPr>
            <w:tcW w:w="1666"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2.55 m refrigerated freight tasks</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$0.838</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$0.692</w:t>
            </w:r>
          </w:p>
        </w:tc>
      </w:tr>
      <w:tr w:rsidR="00452B58" w:rsidRPr="00452B58" w:rsidTr="00452B58">
        <w:trPr>
          <w:trHeight w:val="144"/>
        </w:trPr>
        <w:tc>
          <w:tcPr>
            <w:tcW w:w="1666" w:type="pct"/>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2.60 m refrigerated freight tasks</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$0.827</w:t>
            </w:r>
          </w:p>
        </w:tc>
        <w:tc>
          <w:tcPr>
            <w:tcW w:w="1667" w:type="pct"/>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$0.680</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120" w:after="60" w:line="288" w:lineRule="auto"/>
        <w:rPr>
          <w:rFonts w:ascii="Calibri" w:eastAsia="Calibri" w:hAnsi="Calibri" w:cs="Calibri"/>
          <w:color w:val="auto"/>
          <w:kern w:val="0"/>
          <w:sz w:val="22"/>
          <w:szCs w:val="22"/>
        </w:rPr>
      </w:pPr>
      <w:r w:rsidRPr="00452B58">
        <w:rPr>
          <w:rFonts w:ascii="Calibri" w:eastAsia="Calibri" w:hAnsi="Calibri" w:cs="Times New Roman"/>
          <w:color w:val="auto"/>
          <w:kern w:val="0"/>
          <w:sz w:val="22"/>
          <w:szCs w:val="22"/>
        </w:rPr>
        <w:br w:type="page"/>
      </w:r>
    </w:p>
    <w:p w:rsidR="00452B58" w:rsidRPr="00452B58" w:rsidRDefault="00452B58" w:rsidP="00F2517A">
      <w:pPr>
        <w:pStyle w:val="ARRBBaseHeadingApp"/>
      </w:pPr>
      <w:bookmarkStart w:id="324" w:name="_Ref111137937"/>
      <w:bookmarkStart w:id="325" w:name="_Toc137731692"/>
      <w:r w:rsidRPr="00452B58">
        <w:t>Discussion of Infrastructure Impact</w:t>
      </w:r>
      <w:bookmarkEnd w:id="324"/>
      <w:bookmarkEnd w:id="325"/>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following discussion presents three potential issues related to infrastructure impacts that may be experienced over the longer term.</w:t>
      </w:r>
    </w:p>
    <w:p w:rsidR="00452B58" w:rsidRPr="00F2517A" w:rsidRDefault="00452B58" w:rsidP="00F2517A">
      <w:pPr>
        <w:pStyle w:val="ARRBBaseHeadingAppsub"/>
        <w:rPr>
          <w:rFonts w:hint="eastAsia"/>
        </w:rPr>
      </w:pPr>
      <w:r w:rsidRPr="00F2517A">
        <w:t>Consideration of Geometry</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Assessments undertaken for TfNSW (ARRB 2021) indicated that with the inclusion of a 20% factor of safety, minimum lane widths for 2.50 m vehicles would need to be increased by:</w:t>
      </w:r>
    </w:p>
    <w:p w:rsidR="00452B58" w:rsidRPr="00452B58" w:rsidRDefault="00452B58" w:rsidP="00E248BF">
      <w:pPr>
        <w:pStyle w:val="ARRBBulletLevel1"/>
      </w:pPr>
      <w:r w:rsidRPr="00452B58">
        <w:t>60 mm for a 2.55 m wide vehicle</w:t>
      </w:r>
    </w:p>
    <w:p w:rsidR="00452B58" w:rsidRPr="00452B58" w:rsidRDefault="00452B58" w:rsidP="00E248BF">
      <w:pPr>
        <w:pStyle w:val="ARRBBulletLevel1"/>
      </w:pPr>
      <w:r w:rsidRPr="00452B58">
        <w:t>120 mm for a 2.6 m wide vehicle.</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includes both high speed tracking and swept paths.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However, road managers are extremely unlikely to widen lanes by such small amounts due to escalating costs per m</w:t>
      </w:r>
      <w:r w:rsidRPr="00452B58">
        <w:rPr>
          <w:rFonts w:ascii="Calibri" w:eastAsia="Calibri" w:hAnsi="Calibri" w:cs="Calibri"/>
          <w:color w:val="auto"/>
          <w:kern w:val="0"/>
          <w:sz w:val="22"/>
          <w:szCs w:val="22"/>
          <w:vertAlign w:val="superscript"/>
        </w:rPr>
        <w:t>2</w:t>
      </w:r>
      <w:r w:rsidRPr="00452B58">
        <w:rPr>
          <w:rFonts w:ascii="Calibri" w:eastAsia="Calibri" w:hAnsi="Calibri" w:cs="Calibri"/>
          <w:color w:val="auto"/>
          <w:kern w:val="0"/>
          <w:sz w:val="22"/>
          <w:szCs w:val="22"/>
        </w:rPr>
        <w:t xml:space="preserve"> for widths narrower than 2 m of lane length. Furthermore, this widening would only be required on roads that are already well below the recommended 3.5 m lane widths in Australia. While narrower lanes than this exist, these are less likely to be freight routes.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It is anticipated that any issues arising from wider vehicles on specific routes would be managed on a voluntary basis by road managers considering localised industry and community concerns through means such as:</w:t>
      </w:r>
    </w:p>
    <w:p w:rsidR="00452B58" w:rsidRPr="00452B58" w:rsidRDefault="00452B58" w:rsidP="00E248BF">
      <w:pPr>
        <w:pStyle w:val="ARRBBulletLevel1"/>
      </w:pPr>
      <w:r w:rsidRPr="00452B58">
        <w:t>restricting access</w:t>
      </w:r>
    </w:p>
    <w:p w:rsidR="00452B58" w:rsidRPr="00452B58" w:rsidRDefault="00452B58" w:rsidP="00E248BF">
      <w:pPr>
        <w:pStyle w:val="ARRBBulletLevel1"/>
      </w:pPr>
      <w:r w:rsidRPr="00452B58">
        <w:t>repainting line markings (where room is available on shoulders or painted out traffic islands).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It is therefore assumed in the analysis that there will be no mandatory lane widening in response to wider vehicles. Estimating the nature and scale of voluntary responses and their impacts is beyond the scope of the current analysis.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Infrastructure upgrades are anticipated to occur on some intersections where clearance issues are real or perceived with wider vehicles. Although swept-path simulations have concluded that the swept path wide for a wider vehicle is increased only by the amount of greater vehicle width, it is unreasonable to assume that no upgrades to account for wider vehicles would take place over 40 years.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It is anticipated that road managers will experience some industry or community pressure to undertake voluntary updates at intersections to improve real or perceived margins of safety but will resist this until the number of wider vehicles on the network provides sufficient productivity justification for the expenditure from their existing budgets. Therefore, to acknowledge a voluntary response by road managers in aggregate to the presence of wider vehicles in the fleet, it is assumed that:</w:t>
      </w:r>
    </w:p>
    <w:p w:rsidR="00452B58" w:rsidRPr="00452B58" w:rsidRDefault="00452B58" w:rsidP="00E248BF">
      <w:pPr>
        <w:pStyle w:val="ARRBBulletLevel1"/>
      </w:pPr>
      <w:r w:rsidRPr="00452B58">
        <w:t>Infrastructure upgrades follow the adoption rate of wider vehicles with a two-year delay.</w:t>
      </w:r>
    </w:p>
    <w:p w:rsidR="00452B58" w:rsidRPr="00452B58" w:rsidRDefault="00452B58" w:rsidP="00E248BF">
      <w:pPr>
        <w:pStyle w:val="ARRBBulletLevel1"/>
      </w:pPr>
      <w:r w:rsidRPr="00452B58">
        <w:t>Construction of expanded pavement and the change to relevant roadside infrastructure is estimated at a rate of $100 per m</w:t>
      </w:r>
      <w:r w:rsidRPr="00452B58">
        <w:rPr>
          <w:vertAlign w:val="superscript"/>
        </w:rPr>
        <w:t>2</w:t>
      </w:r>
      <w:r w:rsidRPr="00452B58">
        <w:t xml:space="preserve"> (estimated by ARRB pavement practitioners from a $65 to $135 per m</w:t>
      </w:r>
      <w:r w:rsidRPr="00452B58">
        <w:rPr>
          <w:vertAlign w:val="superscript"/>
        </w:rPr>
        <w:t>2</w:t>
      </w:r>
      <w:r w:rsidRPr="00452B58">
        <w:t xml:space="preserve"> range).</w:t>
      </w:r>
    </w:p>
    <w:p w:rsidR="00452B58" w:rsidRPr="00452B58" w:rsidRDefault="00452B58" w:rsidP="00E248BF">
      <w:pPr>
        <w:pStyle w:val="ARRBBulletLevel1"/>
      </w:pPr>
      <w:r w:rsidRPr="00452B58">
        <w:t>The minimum amount of investment is for 100 m</w:t>
      </w:r>
      <w:r w:rsidRPr="00452B58">
        <w:rPr>
          <w:vertAlign w:val="superscript"/>
        </w:rPr>
        <w:t>2</w:t>
      </w:r>
      <w:r w:rsidRPr="00452B58">
        <w:t>. The 100 m</w:t>
      </w:r>
      <w:r w:rsidRPr="00452B58">
        <w:rPr>
          <w:vertAlign w:val="superscript"/>
        </w:rPr>
        <w:t>2</w:t>
      </w:r>
      <w:r w:rsidRPr="00452B58">
        <w:t xml:space="preserve"> represents widening each intersecting road by 2 m for a length of 25 m to provide greater clearances for right turns through an intersection.</w:t>
      </w:r>
    </w:p>
    <w:p w:rsidR="00452B58" w:rsidRPr="00452B58" w:rsidRDefault="00452B58" w:rsidP="00E248BF">
      <w:pPr>
        <w:pStyle w:val="ARRBBulletLevel1"/>
      </w:pPr>
      <w:r w:rsidRPr="00452B58">
        <w:t>This investment is triggered by every 1,000 wider vehicles entering the fleet nationwide. This value represents an increment to the number of wider vehicles on the network sufficient to prompt the upgrade of a single intersection across Australia.</w:t>
      </w:r>
    </w:p>
    <w:p w:rsidR="00452B58" w:rsidRPr="00452B58" w:rsidRDefault="00452B58" w:rsidP="00E248BF">
      <w:pPr>
        <w:pStyle w:val="ARRBBulletLevel1"/>
      </w:pPr>
      <w:r w:rsidRPr="00452B58">
        <w:t>The average infrastructure update cost is therefore approximately $10 per wider heavy vehicle. The $10 per additional vehicle is based on typical annualised lifecycle sealing costs and annualised maintenance costs from Holtrop (2000) adjusted to 2022 AUD.</w:t>
      </w:r>
    </w:p>
    <w:p w:rsidR="00452B58" w:rsidRPr="00452B58" w:rsidRDefault="00452B58" w:rsidP="00E248BF">
      <w:pPr>
        <w:pStyle w:val="ARRBBulletLevel1"/>
      </w:pPr>
      <w:r w:rsidRPr="00452B58">
        <w:t xml:space="preserve">A sensitivity analysis of ±20% has been applied to this value.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This applies to both 2.55 and 2.60 m wide vehicles due to the insignificance of the 0.05 m margin compared to the efficiency requirements of infrastructure upgrades (i.e. both the decision to upgrade, and the scale of the upgrade, will not be affected by the slight vehicle width difference between these scenarios).</w:t>
      </w:r>
    </w:p>
    <w:p w:rsidR="00452B58" w:rsidRPr="00F2517A" w:rsidRDefault="00452B58" w:rsidP="00F2517A">
      <w:pPr>
        <w:pStyle w:val="ARRBBaseHeadingAppsub"/>
        <w:rPr>
          <w:rFonts w:hint="eastAsia"/>
        </w:rPr>
      </w:pPr>
      <w:r w:rsidRPr="00F2517A">
        <w:t>Consideration of Channelisation</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performance of road pavements subjected to trafficking is dependent on the number and magnitude of loads applied by heavy vehicles. Light vehicles, such as passenger vehicles, are not considered to result in any significant wear of pavement structures in both Australian pavement design procedures and asset deterioration predictive models.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Any increase in the width of  a heavy vehicle will have no significant effect on pavement performance unless the gross mass of the  vehicle and payload is dramatically increased because of the extra width. However, widening many vehicles will affect the lateral locations at which those loads are applied across the width of pavements. It is well-established that the lateral position of vehicles travelling within a lane will vary from vehicle to vehicle (Buiter et al. 1989; Miller &amp; Stewart 1982). Selected studies have demonstrated that the distribution of lateral positions trafficked by large traffic volumes is dependent upon road width and the lane width (Buiter et al. 1989; Miller &amp; Stewart 1982,).</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It is expected that any increase in the width of heavy goods vehicles would have some decreasing effect on the width of the distribution of lateral positions within a lane, as wider vehicles would have less scope to wander within a lane than narrower vehicles, and therefore a narrower distribution would occur. Large-scale narrowing of the loading distribution (e.g. narrowing of the distribution edge-to-edge of the order of 500 mm) is known to increase pavement deterioration (Jameson et al. 1992); however the distribution widths that could result from the vehicle widths being considered here are an order of magnitude lower.</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Australian road pavement design procedures implicitly assume ‘normal transverse load distribution’ (Austroads 2017) and note that standard deviations of traffic wander of 200 to 230 mm have been reported in various studies. The procedures do not relate different levels of pavement wear to different lane widths (Austroads 2017). A 50–100 mm vehicle width increase is considerably lower than the range of lane widths over which the pavement design procedures assume no change in wearing to occur. These procedures are based on empirical observations of vehicles up to 2.50 m wide. As the proportion of vehicles wider than this increases there may come a point in the future where these long-standing empirical relationships may no longer be adequate.</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Road pavements deteriorate under long-term trafficking, with the gradual accumulation of damage resulting from the cumulative passage of many millions of heavy vehicle axles (Austroads 2017). Any impact on pavement damage caused by the introduction of wider heavy goods vehicle will not be immediate, and may only develop, if at all, over the passage of time, since:</w:t>
      </w:r>
    </w:p>
    <w:p w:rsidR="00452B58" w:rsidRPr="00E248BF" w:rsidRDefault="00452B58" w:rsidP="00E248BF">
      <w:pPr>
        <w:pStyle w:val="ARRBNumberList1"/>
        <w:numPr>
          <w:ilvl w:val="0"/>
          <w:numId w:val="92"/>
        </w:numPr>
      </w:pPr>
      <w:r w:rsidRPr="00E248BF">
        <w:t>adoption of wider vehicles is expected to be a gradual process</w:t>
      </w:r>
    </w:p>
    <w:p w:rsidR="00452B58" w:rsidRPr="00E248BF" w:rsidRDefault="00452B58" w:rsidP="00E248BF">
      <w:pPr>
        <w:pStyle w:val="ARRBNumberList1"/>
        <w:numPr>
          <w:ilvl w:val="0"/>
          <w:numId w:val="92"/>
        </w:numPr>
      </w:pPr>
      <w:r w:rsidRPr="00E248BF">
        <w:t>accumulation of any additional pavement wear would take place over a significantly extended period.</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Whilst limited studies have examined the effect of vehicle width on the lateral distribution of tyre loads, a variety of studies (as referenced above)have examined the effect of lane width on load distributions. By considering the narrowing of a lane to be analogous to the widening of a vehicle, these studies may provide some initial insight into the potential magnitude of the change in traffic wander.</w:t>
      </w:r>
    </w:p>
    <w:p w:rsidR="00452B58" w:rsidRPr="00F2517A" w:rsidRDefault="00452B58" w:rsidP="00F2517A">
      <w:pPr>
        <w:pStyle w:val="ARRBBaseHeadingAppsub"/>
        <w:rPr>
          <w:rFonts w:hint="eastAsia"/>
        </w:rPr>
      </w:pPr>
      <w:r w:rsidRPr="00F2517A">
        <w:t>Roadside Infrastructure</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analysis for TfNSW (ARRB 2021) found that the  likelihood of wider vehicles colliding with roadside infrastructure was low but would present a cost. In this analysis this is assumed to be managed by:</w:t>
      </w:r>
    </w:p>
    <w:p w:rsidR="00452B58" w:rsidRPr="00452B58" w:rsidRDefault="00452B58" w:rsidP="00E248BF">
      <w:pPr>
        <w:pStyle w:val="ARRBBulletLevel1"/>
      </w:pPr>
      <w:r w:rsidRPr="00452B58">
        <w:t>road managers restricting access to wider vehicles where there are obvious risks (e.g. power poles at immediate roadside, etc.)</w:t>
      </w:r>
    </w:p>
    <w:p w:rsidR="00452B58" w:rsidRPr="00452B58" w:rsidRDefault="00452B58" w:rsidP="00E248BF">
      <w:pPr>
        <w:pStyle w:val="ARRBBulletLevel1"/>
      </w:pPr>
      <w:r w:rsidRPr="00452B58">
        <w:t>replacement costs of damaged roadside infrastructure being bundled under the more general ‘infrastructure update’ costs for the upgrade of intersections where turning issues have been encountered (such as collisions with roadside infrastructure).</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 more detailed estimate would require an inventory assessment of roadside furniture on top of the geometry analysis of intersections discussed above.</w:t>
      </w:r>
    </w:p>
    <w:p w:rsidR="00452B58" w:rsidRPr="00452B58" w:rsidRDefault="00452B58" w:rsidP="00452B58">
      <w:pPr>
        <w:suppressAutoHyphens w:val="0"/>
        <w:spacing w:before="120" w:after="60" w:line="288" w:lineRule="auto"/>
        <w:rPr>
          <w:rFonts w:ascii="Calibri" w:eastAsia="Calibri" w:hAnsi="Calibri" w:cs="Calibri"/>
          <w:color w:val="auto"/>
          <w:kern w:val="0"/>
          <w:sz w:val="22"/>
          <w:szCs w:val="22"/>
        </w:rPr>
      </w:pPr>
      <w:r w:rsidRPr="00452B58">
        <w:rPr>
          <w:rFonts w:ascii="Calibri" w:eastAsia="Calibri" w:hAnsi="Calibri" w:cs="Times New Roman"/>
          <w:color w:val="auto"/>
          <w:kern w:val="0"/>
          <w:sz w:val="22"/>
          <w:szCs w:val="22"/>
        </w:rPr>
        <w:br w:type="page"/>
      </w:r>
    </w:p>
    <w:p w:rsidR="00452B58" w:rsidRPr="00452B58" w:rsidRDefault="00452B58" w:rsidP="00F2517A">
      <w:pPr>
        <w:pStyle w:val="ARRBBaseHeadingApp"/>
      </w:pPr>
      <w:bookmarkStart w:id="326" w:name="_Ref111126248"/>
      <w:bookmarkStart w:id="327" w:name="_Toc137731693"/>
      <w:r w:rsidRPr="00452B58">
        <w:t>Calculation of</w:t>
      </w:r>
      <w:bookmarkEnd w:id="326"/>
      <w:r w:rsidRPr="00452B58">
        <w:t xml:space="preserve"> Average VKT</w:t>
      </w:r>
      <w:bookmarkEnd w:id="327"/>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To assess safety impact due to reduced crash exposure, average yearly travel for a vehicle before and after widening is required. This was based on the average annual km for different vehicle types from Australian Transport Assessment and Planning Steering Committee (2016) PV2, adjusted using the distribution of rigids by weight from the ABS Motor Vehicle Census (2021). This is shown in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_Ref112327802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Table </w:t>
      </w:r>
      <w:r w:rsidRPr="00452B58">
        <w:rPr>
          <w:rFonts w:ascii="Calibri" w:eastAsia="Calibri" w:hAnsi="Calibri" w:cs="Calibri"/>
          <w:noProof/>
          <w:color w:val="auto"/>
          <w:kern w:val="0"/>
          <w:sz w:val="22"/>
          <w:szCs w:val="22"/>
        </w:rPr>
        <w:t>C</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28" w:name="_Ref112327802"/>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STYLEREF 7 \s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C</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SEQ AppTable \* ARABIC \s 7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1</w:t>
      </w:r>
      <w:r w:rsidRPr="00452B58">
        <w:rPr>
          <w:rFonts w:ascii="Calibri" w:eastAsia="Calibri" w:hAnsi="Calibri" w:cs="Times New Roman"/>
          <w:b/>
          <w:bCs/>
          <w:noProof/>
          <w:color w:val="67696A"/>
          <w:kern w:val="0"/>
          <w:sz w:val="18"/>
          <w:szCs w:val="22"/>
        </w:rPr>
        <w:fldChar w:fldCharType="end"/>
      </w:r>
      <w:bookmarkEnd w:id="328"/>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Annual km for vehicles and trailers</w:t>
      </w:r>
    </w:p>
    <w:tbl>
      <w:tblPr>
        <w:tblStyle w:val="ARRBTableStyle"/>
        <w:tblW w:w="9628" w:type="dxa"/>
        <w:tblLook w:val="04A0" w:firstRow="1" w:lastRow="0" w:firstColumn="1" w:lastColumn="0" w:noHBand="0" w:noVBand="1"/>
      </w:tblPr>
      <w:tblGrid>
        <w:gridCol w:w="2830"/>
        <w:gridCol w:w="1276"/>
        <w:gridCol w:w="1134"/>
        <w:gridCol w:w="2693"/>
        <w:gridCol w:w="1695"/>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573"/>
        </w:trPr>
        <w:tc>
          <w:tcPr>
            <w:tcW w:w="2830" w:type="dxa"/>
            <w:noWrap/>
            <w:vAlign w:val="top"/>
            <w:hideMark/>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Vehicle type</w:t>
            </w:r>
          </w:p>
        </w:tc>
        <w:tc>
          <w:tcPr>
            <w:tcW w:w="1276" w:type="dxa"/>
            <w:noWrap/>
            <w:vAlign w:val="top"/>
            <w:hideMark/>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GMC (t)</w:t>
            </w:r>
          </w:p>
        </w:tc>
        <w:tc>
          <w:tcPr>
            <w:tcW w:w="1134" w:type="dxa"/>
            <w:noWrap/>
            <w:vAlign w:val="top"/>
            <w:hideMark/>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Annual km</w:t>
            </w:r>
          </w:p>
        </w:tc>
        <w:tc>
          <w:tcPr>
            <w:tcW w:w="2693" w:type="dxa"/>
            <w:vAlign w:val="top"/>
            <w:hideMark/>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 xml:space="preserve">Proportion of rigids by weight </w:t>
            </w:r>
            <w:r w:rsidRPr="00452B58">
              <w:rPr>
                <w:rFonts w:eastAsia="Calibri"/>
                <w:kern w:val="0"/>
                <w:szCs w:val="22"/>
                <w:lang w:eastAsia="en-AU"/>
              </w:rPr>
              <w:br/>
              <w:t>(2012-2021)</w:t>
            </w:r>
          </w:p>
        </w:tc>
        <w:tc>
          <w:tcPr>
            <w:tcW w:w="1695" w:type="dxa"/>
            <w:vAlign w:val="top"/>
            <w:hideMark/>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Adjusted annual km</w:t>
            </w:r>
          </w:p>
        </w:tc>
      </w:tr>
      <w:tr w:rsidR="00452B58" w:rsidRPr="00452B58" w:rsidTr="00452B58">
        <w:trPr>
          <w:trHeight w:val="300"/>
        </w:trPr>
        <w:tc>
          <w:tcPr>
            <w:tcW w:w="2830"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07. Medium rigid</w:t>
            </w:r>
          </w:p>
        </w:tc>
        <w:tc>
          <w:tcPr>
            <w:tcW w:w="1276"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10.4</w:t>
            </w:r>
          </w:p>
        </w:tc>
        <w:tc>
          <w:tcPr>
            <w:tcW w:w="1134"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40,000</w:t>
            </w:r>
          </w:p>
        </w:tc>
        <w:tc>
          <w:tcPr>
            <w:tcW w:w="2693"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47%</w:t>
            </w:r>
          </w:p>
        </w:tc>
        <w:tc>
          <w:tcPr>
            <w:tcW w:w="1695" w:type="dxa"/>
            <w:vMerge w:val="restart"/>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64,357</w:t>
            </w:r>
          </w:p>
        </w:tc>
      </w:tr>
      <w:tr w:rsidR="00452B58" w:rsidRPr="00452B58" w:rsidTr="00452B58">
        <w:trPr>
          <w:trHeight w:val="300"/>
        </w:trPr>
        <w:tc>
          <w:tcPr>
            <w:tcW w:w="2830"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08. Heavy rigid</w:t>
            </w:r>
          </w:p>
        </w:tc>
        <w:tc>
          <w:tcPr>
            <w:tcW w:w="1276"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22.5</w:t>
            </w:r>
          </w:p>
        </w:tc>
        <w:tc>
          <w:tcPr>
            <w:tcW w:w="1134"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86,000</w:t>
            </w:r>
          </w:p>
        </w:tc>
        <w:tc>
          <w:tcPr>
            <w:tcW w:w="2693"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53%</w:t>
            </w:r>
          </w:p>
        </w:tc>
        <w:tc>
          <w:tcPr>
            <w:tcW w:w="1695" w:type="dxa"/>
            <w:vMerge/>
            <w:hideMark/>
          </w:tcPr>
          <w:p w:rsidR="00452B58" w:rsidRPr="00452B58" w:rsidRDefault="00452B58" w:rsidP="00452B58">
            <w:pPr>
              <w:keepNext/>
              <w:suppressAutoHyphens w:val="0"/>
              <w:spacing w:before="40" w:after="40"/>
              <w:jc w:val="center"/>
              <w:rPr>
                <w:rFonts w:eastAsia="Calibri" w:cs="Times New Roman"/>
                <w:kern w:val="0"/>
                <w:szCs w:val="22"/>
                <w:lang w:eastAsia="en-AU"/>
              </w:rPr>
            </w:pPr>
          </w:p>
        </w:tc>
      </w:tr>
      <w:tr w:rsidR="00452B58" w:rsidRPr="00452B58" w:rsidTr="00452B58">
        <w:trPr>
          <w:trHeight w:val="300"/>
        </w:trPr>
        <w:tc>
          <w:tcPr>
            <w:tcW w:w="2830"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10. – 20. Articulated combinations</w:t>
            </w:r>
          </w:p>
        </w:tc>
        <w:tc>
          <w:tcPr>
            <w:tcW w:w="1276"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31.5 to 119</w:t>
            </w:r>
          </w:p>
        </w:tc>
        <w:tc>
          <w:tcPr>
            <w:tcW w:w="1134"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86,000</w:t>
            </w:r>
          </w:p>
        </w:tc>
        <w:tc>
          <w:tcPr>
            <w:tcW w:w="2693"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w:t>
            </w:r>
          </w:p>
        </w:tc>
        <w:tc>
          <w:tcPr>
            <w:tcW w:w="1695"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86,000</w:t>
            </w:r>
          </w:p>
        </w:tc>
      </w:tr>
      <w:tr w:rsidR="00452B58" w:rsidRPr="00452B58" w:rsidTr="00452B58">
        <w:trPr>
          <w:trHeight w:val="300"/>
        </w:trPr>
        <w:tc>
          <w:tcPr>
            <w:tcW w:w="2830"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Sources:</w:t>
            </w:r>
          </w:p>
        </w:tc>
        <w:tc>
          <w:tcPr>
            <w:tcW w:w="2410" w:type="dxa"/>
            <w:gridSpan w:val="2"/>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ATAP PV2, 5.2, Table 24</w:t>
            </w:r>
          </w:p>
        </w:tc>
        <w:tc>
          <w:tcPr>
            <w:tcW w:w="2693" w:type="dxa"/>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ABS Motor Vehicle Census 2021</w:t>
            </w:r>
          </w:p>
        </w:tc>
        <w:tc>
          <w:tcPr>
            <w:tcW w:w="1695"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reduction in VKT for vehicles and trailers based on their width was calculated through an analysis of freight task by load and vehicle type using data from the Australian Bureau of Statistics report on Road Freight Movements (2014).</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volume of freight by type was first considered, as shown in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_Ref112327859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Table </w:t>
      </w:r>
      <w:r w:rsidRPr="00452B58">
        <w:rPr>
          <w:rFonts w:ascii="Calibri" w:eastAsia="Calibri" w:hAnsi="Calibri" w:cs="Calibri"/>
          <w:noProof/>
          <w:color w:val="auto"/>
          <w:kern w:val="0"/>
          <w:sz w:val="22"/>
          <w:szCs w:val="22"/>
        </w:rPr>
        <w:t>C</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2</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where the tonnes and percentages of each freight type are shown. Solid and liquid bulk freight is mass-limited and gains no benefit from wider vehicles or trailers. Containerised freight uses containers that comply with international standards and practices and likewise gain no benefit from wider vehicles and trailers. This leaves 42% of ‘Other’ freight which may benefit from greater volume.</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29" w:name="_Ref112327859"/>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STYLEREF 7 \s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C</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SEQ AppTable \* ARABIC \s 7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2</w:t>
      </w:r>
      <w:r w:rsidRPr="00452B58">
        <w:rPr>
          <w:rFonts w:ascii="Calibri" w:eastAsia="Calibri" w:hAnsi="Calibri" w:cs="Times New Roman"/>
          <w:b/>
          <w:bCs/>
          <w:noProof/>
          <w:color w:val="67696A"/>
          <w:kern w:val="0"/>
          <w:sz w:val="18"/>
          <w:szCs w:val="22"/>
        </w:rPr>
        <w:fldChar w:fldCharType="end"/>
      </w:r>
      <w:bookmarkEnd w:id="329"/>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Type of freight transported across Australia</w:t>
      </w:r>
    </w:p>
    <w:tbl>
      <w:tblPr>
        <w:tblStyle w:val="ARRBTableStyle"/>
        <w:tblW w:w="9200" w:type="dxa"/>
        <w:tblLook w:val="04A0" w:firstRow="1" w:lastRow="0" w:firstColumn="1" w:lastColumn="0" w:noHBand="0" w:noVBand="1"/>
      </w:tblPr>
      <w:tblGrid>
        <w:gridCol w:w="2980"/>
        <w:gridCol w:w="2980"/>
        <w:gridCol w:w="3240"/>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255"/>
        </w:trPr>
        <w:tc>
          <w:tcPr>
            <w:tcW w:w="2980" w:type="dxa"/>
            <w:noWrap/>
            <w:hideMark/>
          </w:tcPr>
          <w:p w:rsidR="00452B58" w:rsidRPr="00452B58" w:rsidRDefault="00452B58" w:rsidP="00452B58">
            <w:pPr>
              <w:keepNext/>
              <w:suppressAutoHyphens w:val="0"/>
              <w:spacing w:before="40" w:after="40"/>
              <w:rPr>
                <w:rFonts w:eastAsia="Calibri"/>
                <w:kern w:val="0"/>
                <w:szCs w:val="22"/>
              </w:rPr>
            </w:pPr>
            <w:r w:rsidRPr="00452B58">
              <w:rPr>
                <w:rFonts w:eastAsia="Calibri"/>
                <w:kern w:val="0"/>
                <w:szCs w:val="22"/>
              </w:rPr>
              <w:t>Type of freight</w:t>
            </w:r>
          </w:p>
        </w:tc>
        <w:tc>
          <w:tcPr>
            <w:tcW w:w="2980" w:type="dxa"/>
            <w:noWrap/>
            <w:hideMark/>
          </w:tcPr>
          <w:p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Tonnes carried (tonnes) (‘000)</w:t>
            </w:r>
          </w:p>
        </w:tc>
        <w:tc>
          <w:tcPr>
            <w:tcW w:w="3240" w:type="dxa"/>
            <w:noWrap/>
            <w:hideMark/>
          </w:tcPr>
          <w:p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Percentage of total tonnes carried</w:t>
            </w:r>
          </w:p>
        </w:tc>
      </w:tr>
      <w:tr w:rsidR="00452B58" w:rsidRPr="00452B58" w:rsidTr="00452B58">
        <w:trPr>
          <w:trHeight w:val="255"/>
        </w:trPr>
        <w:tc>
          <w:tcPr>
            <w:tcW w:w="2980"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Solid bulk</w:t>
            </w:r>
          </w:p>
        </w:tc>
        <w:tc>
          <w:tcPr>
            <w:tcW w:w="298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869,188</w:t>
            </w:r>
          </w:p>
        </w:tc>
        <w:tc>
          <w:tcPr>
            <w:tcW w:w="324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41%</w:t>
            </w:r>
          </w:p>
        </w:tc>
      </w:tr>
      <w:tr w:rsidR="00452B58" w:rsidRPr="00452B58" w:rsidTr="00452B58">
        <w:trPr>
          <w:trHeight w:val="255"/>
        </w:trPr>
        <w:tc>
          <w:tcPr>
            <w:tcW w:w="2980"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Liquid bulk</w:t>
            </w:r>
          </w:p>
        </w:tc>
        <w:tc>
          <w:tcPr>
            <w:tcW w:w="298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207,528</w:t>
            </w:r>
          </w:p>
        </w:tc>
        <w:tc>
          <w:tcPr>
            <w:tcW w:w="324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10%</w:t>
            </w:r>
          </w:p>
        </w:tc>
      </w:tr>
      <w:tr w:rsidR="00452B58" w:rsidRPr="00452B58" w:rsidTr="00452B58">
        <w:trPr>
          <w:trHeight w:val="255"/>
        </w:trPr>
        <w:tc>
          <w:tcPr>
            <w:tcW w:w="2980"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Containerised</w:t>
            </w:r>
          </w:p>
        </w:tc>
        <w:tc>
          <w:tcPr>
            <w:tcW w:w="298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152,449</w:t>
            </w:r>
          </w:p>
        </w:tc>
        <w:tc>
          <w:tcPr>
            <w:tcW w:w="324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7%</w:t>
            </w:r>
          </w:p>
        </w:tc>
      </w:tr>
      <w:tr w:rsidR="00452B58" w:rsidRPr="00452B58" w:rsidTr="00452B58">
        <w:trPr>
          <w:trHeight w:val="255"/>
        </w:trPr>
        <w:tc>
          <w:tcPr>
            <w:tcW w:w="2980"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Other</w:t>
            </w:r>
          </w:p>
        </w:tc>
        <w:tc>
          <w:tcPr>
            <w:tcW w:w="298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902,539</w:t>
            </w:r>
          </w:p>
        </w:tc>
        <w:tc>
          <w:tcPr>
            <w:tcW w:w="324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42%</w:t>
            </w:r>
          </w:p>
        </w:tc>
      </w:tr>
      <w:tr w:rsidR="00452B58" w:rsidRPr="00452B58" w:rsidTr="00452B58">
        <w:trPr>
          <w:trHeight w:val="255"/>
        </w:trPr>
        <w:tc>
          <w:tcPr>
            <w:tcW w:w="2980"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Total</w:t>
            </w:r>
          </w:p>
        </w:tc>
        <w:tc>
          <w:tcPr>
            <w:tcW w:w="298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2,131,704</w:t>
            </w:r>
          </w:p>
        </w:tc>
        <w:tc>
          <w:tcPr>
            <w:tcW w:w="324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100%</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heavy vehicle fleet was also considered by type in terms of freight task, and the mass of ‘other’ freight allocated by vehicle type as shown in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_Ref112327882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Table </w:t>
      </w:r>
      <w:r w:rsidRPr="00452B58">
        <w:rPr>
          <w:rFonts w:ascii="Calibri" w:eastAsia="Calibri" w:hAnsi="Calibri" w:cs="Calibri"/>
          <w:noProof/>
          <w:color w:val="auto"/>
          <w:kern w:val="0"/>
          <w:sz w:val="22"/>
          <w:szCs w:val="22"/>
        </w:rPr>
        <w:t>C</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3</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with this mass converted to volume based on the average density of 53 commodities with a 1.25 multiplier (or an average of 80% of available volume used) to account for packing space, the full height of the load space not being used, palleted freight, and empty runs (ARRB 2021).</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br w:type="page"/>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30" w:name="_Ref112327882"/>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STYLEREF 7 \s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C</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SEQ AppTable \* ARABIC \s 7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3</w:t>
      </w:r>
      <w:r w:rsidRPr="00452B58">
        <w:rPr>
          <w:rFonts w:ascii="Calibri" w:eastAsia="Calibri" w:hAnsi="Calibri" w:cs="Times New Roman"/>
          <w:b/>
          <w:bCs/>
          <w:noProof/>
          <w:color w:val="67696A"/>
          <w:kern w:val="0"/>
          <w:sz w:val="18"/>
          <w:szCs w:val="22"/>
        </w:rPr>
        <w:fldChar w:fldCharType="end"/>
      </w:r>
      <w:bookmarkEnd w:id="330"/>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Estimated mass and volume transported by vehicle type</w:t>
      </w:r>
    </w:p>
    <w:tbl>
      <w:tblPr>
        <w:tblStyle w:val="ARRBTableStyle"/>
        <w:tblW w:w="8642" w:type="dxa"/>
        <w:tblLook w:val="04A0" w:firstRow="1" w:lastRow="0" w:firstColumn="1" w:lastColumn="0" w:noHBand="0" w:noVBand="1"/>
      </w:tblPr>
      <w:tblGrid>
        <w:gridCol w:w="2689"/>
        <w:gridCol w:w="1275"/>
        <w:gridCol w:w="1418"/>
        <w:gridCol w:w="1417"/>
        <w:gridCol w:w="1843"/>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510"/>
        </w:trPr>
        <w:tc>
          <w:tcPr>
            <w:tcW w:w="2689" w:type="dxa"/>
            <w:vAlign w:val="top"/>
            <w:hideMark/>
          </w:tcPr>
          <w:p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Vehicle type</w:t>
            </w:r>
          </w:p>
        </w:tc>
        <w:tc>
          <w:tcPr>
            <w:tcW w:w="1275" w:type="dxa"/>
            <w:vAlign w:val="top"/>
            <w:hideMark/>
          </w:tcPr>
          <w:p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Percentage of total freight task</w:t>
            </w:r>
          </w:p>
        </w:tc>
        <w:tc>
          <w:tcPr>
            <w:tcW w:w="1418" w:type="dxa"/>
            <w:vAlign w:val="top"/>
            <w:hideMark/>
          </w:tcPr>
          <w:p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Mass of ‘Other’ freight (‘000)</w:t>
            </w:r>
          </w:p>
        </w:tc>
        <w:tc>
          <w:tcPr>
            <w:tcW w:w="1417" w:type="dxa"/>
            <w:vAlign w:val="top"/>
            <w:hideMark/>
          </w:tcPr>
          <w:p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Volume of ‘Other’ freight (m</w:t>
            </w:r>
            <w:r w:rsidRPr="00452B58">
              <w:rPr>
                <w:rFonts w:eastAsia="Calibri"/>
                <w:kern w:val="0"/>
                <w:szCs w:val="22"/>
                <w:vertAlign w:val="superscript"/>
              </w:rPr>
              <w:t>3</w:t>
            </w:r>
            <w:r w:rsidRPr="00452B58">
              <w:rPr>
                <w:rFonts w:eastAsia="Calibri"/>
                <w:kern w:val="0"/>
                <w:szCs w:val="22"/>
              </w:rPr>
              <w:t>) (‘000)</w:t>
            </w:r>
          </w:p>
        </w:tc>
        <w:tc>
          <w:tcPr>
            <w:tcW w:w="1843" w:type="dxa"/>
            <w:vAlign w:val="top"/>
            <w:hideMark/>
          </w:tcPr>
          <w:p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Adjusted volume of ‘Other’ freight (m</w:t>
            </w:r>
            <w:r w:rsidRPr="00452B58">
              <w:rPr>
                <w:rFonts w:eastAsia="Calibri"/>
                <w:kern w:val="0"/>
                <w:szCs w:val="22"/>
                <w:vertAlign w:val="superscript"/>
              </w:rPr>
              <w:t>3</w:t>
            </w:r>
            <w:r w:rsidRPr="00452B58">
              <w:rPr>
                <w:rFonts w:eastAsia="Calibri"/>
                <w:kern w:val="0"/>
                <w:szCs w:val="22"/>
              </w:rPr>
              <w:t>)</w:t>
            </w:r>
          </w:p>
        </w:tc>
      </w:tr>
      <w:tr w:rsidR="00452B58" w:rsidRPr="00452B58" w:rsidTr="00452B58">
        <w:trPr>
          <w:trHeight w:val="255"/>
        </w:trPr>
        <w:tc>
          <w:tcPr>
            <w:tcW w:w="0"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Rigid truck</w:t>
            </w:r>
          </w:p>
        </w:tc>
        <w:tc>
          <w:tcPr>
            <w:tcW w:w="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32%</w:t>
            </w:r>
          </w:p>
        </w:tc>
        <w:tc>
          <w:tcPr>
            <w:tcW w:w="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294,456</w:t>
            </w:r>
          </w:p>
        </w:tc>
        <w:tc>
          <w:tcPr>
            <w:tcW w:w="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354,208</w:t>
            </w:r>
          </w:p>
        </w:tc>
        <w:tc>
          <w:tcPr>
            <w:tcW w:w="0" w:type="dxa"/>
            <w:noWrap/>
            <w:hideMark/>
          </w:tcPr>
          <w:p w:rsidR="00452B58" w:rsidRPr="00452B58" w:rsidRDefault="00452B58" w:rsidP="00452B58">
            <w:pPr>
              <w:keepNext/>
              <w:suppressAutoHyphens w:val="0"/>
              <w:spacing w:before="40" w:after="40"/>
              <w:jc w:val="center"/>
              <w:rPr>
                <w:rFonts w:eastAsia="Calibri" w:cs="Times New Roman"/>
                <w:i/>
                <w:iCs/>
                <w:kern w:val="0"/>
                <w:szCs w:val="22"/>
              </w:rPr>
            </w:pPr>
            <w:r w:rsidRPr="00452B58">
              <w:rPr>
                <w:rFonts w:eastAsia="Calibri" w:cs="Times New Roman"/>
                <w:kern w:val="0"/>
                <w:szCs w:val="22"/>
              </w:rPr>
              <w:t>354,208,397</w:t>
            </w:r>
          </w:p>
        </w:tc>
      </w:tr>
      <w:tr w:rsidR="00452B58" w:rsidRPr="00452B58" w:rsidTr="00452B58">
        <w:trPr>
          <w:trHeight w:val="255"/>
        </w:trPr>
        <w:tc>
          <w:tcPr>
            <w:tcW w:w="0"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Truck and dog</w:t>
            </w:r>
          </w:p>
        </w:tc>
        <w:tc>
          <w:tcPr>
            <w:tcW w:w="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17%</w:t>
            </w:r>
          </w:p>
        </w:tc>
        <w:tc>
          <w:tcPr>
            <w:tcW w:w="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155,232</w:t>
            </w:r>
          </w:p>
        </w:tc>
        <w:tc>
          <w:tcPr>
            <w:tcW w:w="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186,732</w:t>
            </w:r>
          </w:p>
        </w:tc>
        <w:tc>
          <w:tcPr>
            <w:tcW w:w="0" w:type="dxa"/>
            <w:noWrap/>
            <w:hideMark/>
          </w:tcPr>
          <w:p w:rsidR="00452B58" w:rsidRPr="00452B58" w:rsidRDefault="00452B58" w:rsidP="00452B58">
            <w:pPr>
              <w:keepNext/>
              <w:suppressAutoHyphens w:val="0"/>
              <w:spacing w:before="40" w:after="40"/>
              <w:jc w:val="center"/>
              <w:rPr>
                <w:rFonts w:eastAsia="Calibri" w:cs="Times New Roman"/>
                <w:i/>
                <w:iCs/>
                <w:kern w:val="0"/>
                <w:szCs w:val="22"/>
              </w:rPr>
            </w:pPr>
            <w:r w:rsidRPr="00452B58">
              <w:rPr>
                <w:rFonts w:eastAsia="Calibri" w:cs="Times New Roman"/>
                <w:kern w:val="0"/>
                <w:szCs w:val="22"/>
              </w:rPr>
              <w:t>186,732,245</w:t>
            </w:r>
          </w:p>
        </w:tc>
      </w:tr>
      <w:tr w:rsidR="00452B58" w:rsidRPr="00452B58" w:rsidTr="00452B58">
        <w:trPr>
          <w:trHeight w:val="255"/>
        </w:trPr>
        <w:tc>
          <w:tcPr>
            <w:tcW w:w="0"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Semi-single trailer</w:t>
            </w:r>
          </w:p>
        </w:tc>
        <w:tc>
          <w:tcPr>
            <w:tcW w:w="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26%</w:t>
            </w:r>
          </w:p>
        </w:tc>
        <w:tc>
          <w:tcPr>
            <w:tcW w:w="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234,923</w:t>
            </w:r>
          </w:p>
        </w:tc>
        <w:tc>
          <w:tcPr>
            <w:tcW w:w="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282,598</w:t>
            </w:r>
          </w:p>
        </w:tc>
        <w:tc>
          <w:tcPr>
            <w:tcW w:w="0" w:type="dxa"/>
            <w:noWrap/>
            <w:hideMark/>
          </w:tcPr>
          <w:p w:rsidR="00452B58" w:rsidRPr="00452B58" w:rsidRDefault="00452B58" w:rsidP="00452B58">
            <w:pPr>
              <w:keepNext/>
              <w:suppressAutoHyphens w:val="0"/>
              <w:spacing w:before="40" w:after="40"/>
              <w:jc w:val="center"/>
              <w:rPr>
                <w:rFonts w:eastAsia="Calibri" w:cs="Times New Roman"/>
                <w:i/>
                <w:iCs/>
                <w:kern w:val="0"/>
                <w:szCs w:val="22"/>
              </w:rPr>
            </w:pPr>
            <w:r w:rsidRPr="00452B58">
              <w:rPr>
                <w:rFonts w:eastAsia="Calibri" w:cs="Times New Roman"/>
                <w:kern w:val="0"/>
                <w:szCs w:val="22"/>
              </w:rPr>
              <w:t>282,598,051</w:t>
            </w:r>
          </w:p>
        </w:tc>
      </w:tr>
      <w:tr w:rsidR="00452B58" w:rsidRPr="00452B58" w:rsidTr="00452B58">
        <w:trPr>
          <w:trHeight w:val="255"/>
        </w:trPr>
        <w:tc>
          <w:tcPr>
            <w:tcW w:w="2689"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B-double</w:t>
            </w:r>
          </w:p>
        </w:tc>
        <w:tc>
          <w:tcPr>
            <w:tcW w:w="127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13%</w:t>
            </w:r>
          </w:p>
        </w:tc>
        <w:tc>
          <w:tcPr>
            <w:tcW w:w="1418"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114,918</w:t>
            </w:r>
          </w:p>
        </w:tc>
        <w:tc>
          <w:tcPr>
            <w:tcW w:w="1417"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138,238</w:t>
            </w:r>
          </w:p>
        </w:tc>
        <w:tc>
          <w:tcPr>
            <w:tcW w:w="1843"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138,237,790</w:t>
            </w:r>
          </w:p>
        </w:tc>
      </w:tr>
      <w:tr w:rsidR="00452B58" w:rsidRPr="00452B58" w:rsidTr="00452B58">
        <w:trPr>
          <w:trHeight w:val="255"/>
        </w:trPr>
        <w:tc>
          <w:tcPr>
            <w:tcW w:w="2689"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B-triple</w:t>
            </w:r>
          </w:p>
        </w:tc>
        <w:tc>
          <w:tcPr>
            <w:tcW w:w="127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0.2%</w:t>
            </w:r>
          </w:p>
        </w:tc>
        <w:tc>
          <w:tcPr>
            <w:tcW w:w="1418"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1,836</w:t>
            </w:r>
          </w:p>
        </w:tc>
        <w:tc>
          <w:tcPr>
            <w:tcW w:w="1417"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2,209</w:t>
            </w:r>
          </w:p>
        </w:tc>
        <w:tc>
          <w:tcPr>
            <w:tcW w:w="1843"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2,208,947</w:t>
            </w:r>
          </w:p>
        </w:tc>
      </w:tr>
      <w:tr w:rsidR="00452B58" w:rsidRPr="00452B58" w:rsidTr="00452B58">
        <w:trPr>
          <w:trHeight w:val="255"/>
        </w:trPr>
        <w:tc>
          <w:tcPr>
            <w:tcW w:w="2689"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Road train with two trailers</w:t>
            </w:r>
          </w:p>
        </w:tc>
        <w:tc>
          <w:tcPr>
            <w:tcW w:w="127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w:t>
            </w:r>
          </w:p>
        </w:tc>
        <w:tc>
          <w:tcPr>
            <w:tcW w:w="1418"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72,198</w:t>
            </w:r>
          </w:p>
        </w:tc>
        <w:tc>
          <w:tcPr>
            <w:tcW w:w="1417"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86,849</w:t>
            </w:r>
          </w:p>
        </w:tc>
        <w:tc>
          <w:tcPr>
            <w:tcW w:w="1843"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86,848,947</w:t>
            </w:r>
          </w:p>
        </w:tc>
      </w:tr>
      <w:tr w:rsidR="00452B58" w:rsidRPr="00452B58" w:rsidTr="00452B58">
        <w:trPr>
          <w:trHeight w:val="255"/>
        </w:trPr>
        <w:tc>
          <w:tcPr>
            <w:tcW w:w="2689"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Road train with three trailers</w:t>
            </w:r>
          </w:p>
        </w:tc>
        <w:tc>
          <w:tcPr>
            <w:tcW w:w="127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w:t>
            </w:r>
          </w:p>
        </w:tc>
        <w:tc>
          <w:tcPr>
            <w:tcW w:w="1418"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28,972</w:t>
            </w:r>
          </w:p>
        </w:tc>
        <w:tc>
          <w:tcPr>
            <w:tcW w:w="1417"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34,852</w:t>
            </w:r>
          </w:p>
        </w:tc>
        <w:tc>
          <w:tcPr>
            <w:tcW w:w="1843"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34,851,557</w:t>
            </w:r>
          </w:p>
        </w:tc>
      </w:tr>
      <w:tr w:rsidR="00452B58" w:rsidRPr="00452B58" w:rsidTr="00452B58">
        <w:trPr>
          <w:trHeight w:val="255"/>
        </w:trPr>
        <w:tc>
          <w:tcPr>
            <w:tcW w:w="2689"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Total</w:t>
            </w:r>
          </w:p>
        </w:tc>
        <w:tc>
          <w:tcPr>
            <w:tcW w:w="127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100%</w:t>
            </w:r>
          </w:p>
        </w:tc>
        <w:tc>
          <w:tcPr>
            <w:tcW w:w="1418"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902,539</w:t>
            </w:r>
          </w:p>
        </w:tc>
        <w:tc>
          <w:tcPr>
            <w:tcW w:w="1417"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1,085,686</w:t>
            </w:r>
          </w:p>
        </w:tc>
        <w:tc>
          <w:tcPr>
            <w:tcW w:w="1843"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1,085,685,933</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By calculating the interior volume of each vehicle type (including trailers) for 2.5, 2.55 and 2.6 m widths, an equivalent number of trips was able to be calculated for the transport of ‘other’ freight. This allowed the percentage reduction in trip numbers to be determined for these combinations (assuming 80% volume usage).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VKT values in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_Ref112327922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Table </w:t>
      </w:r>
      <w:r w:rsidRPr="00452B58">
        <w:rPr>
          <w:rFonts w:ascii="Calibri" w:eastAsia="Calibri" w:hAnsi="Calibri" w:cs="Calibri"/>
          <w:noProof/>
          <w:color w:val="auto"/>
          <w:kern w:val="0"/>
          <w:sz w:val="22"/>
          <w:szCs w:val="22"/>
        </w:rPr>
        <w:t>C</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4</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xml:space="preserve"> were determined by using the calculated 64,357 total VKT for goods vehicles taken from ATAP PV2 and multiplying it by the 42% for freight types that allow a greater load in wider vehicles. The percentage reductions were then applied to determine the reduction in VKT due to wider vehicles (based on an averaged VKT per trip).</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31" w:name="_Ref112327922"/>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STYLEREF 7 \s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C</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SEQ AppTable \* ARABIC \s 7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noProof/>
          <w:color w:val="67696A"/>
          <w:kern w:val="0"/>
          <w:sz w:val="18"/>
          <w:szCs w:val="22"/>
        </w:rPr>
        <w:fldChar w:fldCharType="end"/>
      </w:r>
      <w:bookmarkEnd w:id="331"/>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Simplified estimated trip reduction if vehicles achieve 80% volume usage</w:t>
      </w:r>
    </w:p>
    <w:tbl>
      <w:tblPr>
        <w:tblStyle w:val="ARRBTableStyle"/>
        <w:tblW w:w="9638" w:type="dxa"/>
        <w:tblLook w:val="04A0" w:firstRow="1" w:lastRow="0" w:firstColumn="1" w:lastColumn="0" w:noHBand="0" w:noVBand="1"/>
      </w:tblPr>
      <w:tblGrid>
        <w:gridCol w:w="1980"/>
        <w:gridCol w:w="1848"/>
        <w:gridCol w:w="1984"/>
        <w:gridCol w:w="2552"/>
        <w:gridCol w:w="1274"/>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510"/>
        </w:trPr>
        <w:tc>
          <w:tcPr>
            <w:tcW w:w="1980" w:type="dxa"/>
            <w:vAlign w:val="top"/>
            <w:hideMark/>
          </w:tcPr>
          <w:p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Vehicle width</w:t>
            </w:r>
          </w:p>
        </w:tc>
        <w:tc>
          <w:tcPr>
            <w:tcW w:w="1848" w:type="dxa"/>
            <w:vAlign w:val="top"/>
            <w:hideMark/>
          </w:tcPr>
          <w:p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Total trips required for ‘Other’ freight task</w:t>
            </w:r>
          </w:p>
        </w:tc>
        <w:tc>
          <w:tcPr>
            <w:tcW w:w="1984" w:type="dxa"/>
            <w:vAlign w:val="top"/>
            <w:hideMark/>
          </w:tcPr>
          <w:p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Trip reduction for ‘other freight’ compared to 2.50 m wide vehicle</w:t>
            </w:r>
          </w:p>
        </w:tc>
        <w:tc>
          <w:tcPr>
            <w:tcW w:w="2552" w:type="dxa"/>
            <w:vAlign w:val="top"/>
            <w:hideMark/>
          </w:tcPr>
          <w:p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Percentage reduction in trips (all freight) compared to 2.50 m wide vehicle</w:t>
            </w:r>
          </w:p>
        </w:tc>
        <w:tc>
          <w:tcPr>
            <w:tcW w:w="1274" w:type="dxa"/>
            <w:vAlign w:val="top"/>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Equivalent km</w:t>
            </w:r>
          </w:p>
        </w:tc>
      </w:tr>
      <w:tr w:rsidR="00452B58" w:rsidRPr="00452B58" w:rsidTr="00452B58">
        <w:trPr>
          <w:trHeight w:val="255"/>
        </w:trPr>
        <w:tc>
          <w:tcPr>
            <w:tcW w:w="1980"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2.50 m </w:t>
            </w:r>
          </w:p>
        </w:tc>
        <w:tc>
          <w:tcPr>
            <w:tcW w:w="1848" w:type="dxa"/>
            <w:noWrap/>
            <w:hideMark/>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7,869,442</w:t>
            </w:r>
          </w:p>
        </w:tc>
        <w:tc>
          <w:tcPr>
            <w:tcW w:w="1984"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N/A</w:t>
            </w:r>
          </w:p>
        </w:tc>
        <w:tc>
          <w:tcPr>
            <w:tcW w:w="2552"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N/A</w:t>
            </w:r>
          </w:p>
        </w:tc>
        <w:tc>
          <w:tcPr>
            <w:tcW w:w="1274"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64,357</w:t>
            </w:r>
          </w:p>
        </w:tc>
      </w:tr>
      <w:tr w:rsidR="00452B58" w:rsidRPr="00452B58" w:rsidTr="00452B58">
        <w:trPr>
          <w:trHeight w:val="255"/>
        </w:trPr>
        <w:tc>
          <w:tcPr>
            <w:tcW w:w="1980"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2.55 m </w:t>
            </w:r>
          </w:p>
        </w:tc>
        <w:tc>
          <w:tcPr>
            <w:tcW w:w="1848" w:type="dxa"/>
            <w:noWrap/>
            <w:hideMark/>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7,715,139</w:t>
            </w:r>
          </w:p>
        </w:tc>
        <w:tc>
          <w:tcPr>
            <w:tcW w:w="1984" w:type="dxa"/>
            <w:noWrap/>
            <w:hideMark/>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−154,303</w:t>
            </w:r>
          </w:p>
        </w:tc>
        <w:tc>
          <w:tcPr>
            <w:tcW w:w="2552" w:type="dxa"/>
            <w:noWrap/>
            <w:hideMark/>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0.83%</w:t>
            </w:r>
          </w:p>
        </w:tc>
        <w:tc>
          <w:tcPr>
            <w:tcW w:w="1274"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63,823</w:t>
            </w:r>
          </w:p>
        </w:tc>
      </w:tr>
      <w:tr w:rsidR="00452B58" w:rsidRPr="00452B58" w:rsidTr="00452B58">
        <w:trPr>
          <w:trHeight w:val="255"/>
        </w:trPr>
        <w:tc>
          <w:tcPr>
            <w:tcW w:w="1980"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2.60 m </w:t>
            </w:r>
          </w:p>
        </w:tc>
        <w:tc>
          <w:tcPr>
            <w:tcW w:w="1848" w:type="dxa"/>
            <w:noWrap/>
            <w:hideMark/>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7,566,771</w:t>
            </w:r>
          </w:p>
        </w:tc>
        <w:tc>
          <w:tcPr>
            <w:tcW w:w="1984" w:type="dxa"/>
            <w:noWrap/>
            <w:hideMark/>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−302,671</w:t>
            </w:r>
          </w:p>
        </w:tc>
        <w:tc>
          <w:tcPr>
            <w:tcW w:w="2552" w:type="dxa"/>
            <w:noWrap/>
            <w:hideMark/>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1.63%</w:t>
            </w:r>
          </w:p>
        </w:tc>
        <w:tc>
          <w:tcPr>
            <w:tcW w:w="1274"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63,309</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As refrigerated vehicles are expected to use all additional width for increasing insulation, there is no volume benefit for wider refrigerated vehicles (average annual km per refrigerated vehicle = 64,357).</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VKT for trailers was calculated in the same way (see Table C.5). The numbers for the trailers captured a greater productivity benefit than for vehicles through having greater volume, greater annual kms, greater trip reduction – even through the percentage reductions between trailer widening options are the same as for vehicles.</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STYLEREF 7 \s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C</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SEQ AppTable \* ARABIC \s 7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5</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Simplified estimated trip reduction if trailers achieve 80% volume usage</w:t>
      </w:r>
    </w:p>
    <w:tbl>
      <w:tblPr>
        <w:tblStyle w:val="ARRBTableStyle"/>
        <w:tblW w:w="9638" w:type="dxa"/>
        <w:tblLook w:val="04A0" w:firstRow="1" w:lastRow="0" w:firstColumn="1" w:lastColumn="0" w:noHBand="0" w:noVBand="1"/>
      </w:tblPr>
      <w:tblGrid>
        <w:gridCol w:w="1980"/>
        <w:gridCol w:w="1848"/>
        <w:gridCol w:w="1984"/>
        <w:gridCol w:w="2552"/>
        <w:gridCol w:w="1274"/>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510"/>
        </w:trPr>
        <w:tc>
          <w:tcPr>
            <w:tcW w:w="1980" w:type="dxa"/>
            <w:vAlign w:val="top"/>
            <w:hideMark/>
          </w:tcPr>
          <w:p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Trailer width</w:t>
            </w:r>
          </w:p>
        </w:tc>
        <w:tc>
          <w:tcPr>
            <w:tcW w:w="1848" w:type="dxa"/>
            <w:vAlign w:val="top"/>
            <w:hideMark/>
          </w:tcPr>
          <w:p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Total trips required for ‘Other’ freight task</w:t>
            </w:r>
          </w:p>
        </w:tc>
        <w:tc>
          <w:tcPr>
            <w:tcW w:w="1984" w:type="dxa"/>
            <w:vAlign w:val="top"/>
            <w:hideMark/>
          </w:tcPr>
          <w:p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Trip reduction for ‘other freight’ compared to 2.50 m wide trailer</w:t>
            </w:r>
          </w:p>
        </w:tc>
        <w:tc>
          <w:tcPr>
            <w:tcW w:w="2552" w:type="dxa"/>
            <w:vAlign w:val="top"/>
            <w:hideMark/>
          </w:tcPr>
          <w:p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Percentage reduction in trips (all freight) compared to 2.50 m wide trailer</w:t>
            </w:r>
          </w:p>
        </w:tc>
        <w:tc>
          <w:tcPr>
            <w:tcW w:w="1274" w:type="dxa"/>
            <w:vAlign w:val="top"/>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Equivalent km</w:t>
            </w:r>
          </w:p>
        </w:tc>
      </w:tr>
      <w:tr w:rsidR="00452B58" w:rsidRPr="00452B58" w:rsidTr="00452B58">
        <w:trPr>
          <w:trHeight w:val="255"/>
        </w:trPr>
        <w:tc>
          <w:tcPr>
            <w:tcW w:w="1980"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2.50 m </w:t>
            </w:r>
          </w:p>
        </w:tc>
        <w:tc>
          <w:tcPr>
            <w:tcW w:w="1848" w:type="dxa"/>
            <w:noWrap/>
            <w:hideMark/>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8,572,420</w:t>
            </w:r>
          </w:p>
        </w:tc>
        <w:tc>
          <w:tcPr>
            <w:tcW w:w="1984"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N/A</w:t>
            </w:r>
          </w:p>
        </w:tc>
        <w:tc>
          <w:tcPr>
            <w:tcW w:w="2552"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N/A</w:t>
            </w:r>
          </w:p>
        </w:tc>
        <w:tc>
          <w:tcPr>
            <w:tcW w:w="1274" w:type="dxa"/>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86,000</w:t>
            </w:r>
          </w:p>
        </w:tc>
      </w:tr>
      <w:tr w:rsidR="00452B58" w:rsidRPr="00452B58" w:rsidTr="00452B58">
        <w:trPr>
          <w:trHeight w:val="255"/>
        </w:trPr>
        <w:tc>
          <w:tcPr>
            <w:tcW w:w="1980"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2.55 m </w:t>
            </w:r>
          </w:p>
        </w:tc>
        <w:tc>
          <w:tcPr>
            <w:tcW w:w="1848" w:type="dxa"/>
            <w:noWrap/>
            <w:hideMark/>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8,404,333</w:t>
            </w:r>
          </w:p>
        </w:tc>
        <w:tc>
          <w:tcPr>
            <w:tcW w:w="1984" w:type="dxa"/>
            <w:noWrap/>
            <w:hideMark/>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-168,087</w:t>
            </w:r>
          </w:p>
        </w:tc>
        <w:tc>
          <w:tcPr>
            <w:tcW w:w="2552" w:type="dxa"/>
            <w:noWrap/>
            <w:hideMark/>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0.83%</w:t>
            </w:r>
          </w:p>
        </w:tc>
        <w:tc>
          <w:tcPr>
            <w:tcW w:w="1274"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85,268</w:t>
            </w:r>
          </w:p>
        </w:tc>
      </w:tr>
      <w:tr w:rsidR="00452B58" w:rsidRPr="00452B58" w:rsidTr="00452B58">
        <w:trPr>
          <w:trHeight w:val="255"/>
        </w:trPr>
        <w:tc>
          <w:tcPr>
            <w:tcW w:w="1980"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2.60 m </w:t>
            </w:r>
          </w:p>
        </w:tc>
        <w:tc>
          <w:tcPr>
            <w:tcW w:w="1848" w:type="dxa"/>
            <w:noWrap/>
            <w:hideMark/>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8,242,711</w:t>
            </w:r>
          </w:p>
        </w:tc>
        <w:tc>
          <w:tcPr>
            <w:tcW w:w="1984" w:type="dxa"/>
            <w:noWrap/>
            <w:hideMark/>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-329,708</w:t>
            </w:r>
          </w:p>
        </w:tc>
        <w:tc>
          <w:tcPr>
            <w:tcW w:w="2552" w:type="dxa"/>
            <w:noWrap/>
            <w:hideMark/>
          </w:tcPr>
          <w:p w:rsidR="00452B58" w:rsidRPr="00452B58" w:rsidRDefault="00452B58" w:rsidP="00452B58">
            <w:pPr>
              <w:keepNext/>
              <w:suppressAutoHyphens w:val="0"/>
              <w:spacing w:before="40" w:after="40"/>
              <w:jc w:val="center"/>
              <w:rPr>
                <w:rFonts w:eastAsia="Calibri" w:cs="Times New Roman"/>
                <w:color w:val="000000"/>
                <w:kern w:val="0"/>
                <w:szCs w:val="22"/>
              </w:rPr>
            </w:pPr>
            <w:r w:rsidRPr="00452B58">
              <w:rPr>
                <w:rFonts w:eastAsia="Calibri" w:cs="Times New Roman"/>
                <w:kern w:val="0"/>
                <w:szCs w:val="22"/>
              </w:rPr>
              <w:t>1.63%</w:t>
            </w:r>
          </w:p>
        </w:tc>
        <w:tc>
          <w:tcPr>
            <w:tcW w:w="1274"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84,600</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As refrigerated trailers are expected to use all additional width for increasing insulation, there is no volume benefit for wider refrigerated trailers (average annual km per refrigerated trailer = 86,000).</w:t>
      </w:r>
    </w:p>
    <w:p w:rsidR="00452B58" w:rsidRPr="00452B58" w:rsidRDefault="00452B58" w:rsidP="00452B58">
      <w:pPr>
        <w:suppressAutoHyphens w:val="0"/>
        <w:spacing w:before="120" w:after="60" w:line="288" w:lineRule="auto"/>
        <w:rPr>
          <w:rFonts w:ascii="Calibri" w:eastAsia="Calibri" w:hAnsi="Calibri" w:cs="Calibri"/>
          <w:color w:val="auto"/>
          <w:kern w:val="0"/>
          <w:sz w:val="22"/>
          <w:szCs w:val="22"/>
        </w:rPr>
      </w:pPr>
      <w:r w:rsidRPr="00452B58">
        <w:rPr>
          <w:rFonts w:ascii="Calibri" w:eastAsia="Calibri" w:hAnsi="Calibri" w:cs="Times New Roman"/>
          <w:color w:val="auto"/>
          <w:kern w:val="0"/>
          <w:sz w:val="22"/>
          <w:szCs w:val="22"/>
        </w:rPr>
        <w:br w:type="page"/>
      </w:r>
    </w:p>
    <w:p w:rsidR="00452B58" w:rsidRPr="00452B58" w:rsidRDefault="00452B58" w:rsidP="00F2517A">
      <w:pPr>
        <w:pStyle w:val="ARRBBaseHeadingApp"/>
      </w:pPr>
      <w:bookmarkStart w:id="332" w:name="_Ref111127220"/>
      <w:bookmarkStart w:id="333" w:name="_Toc137731694"/>
      <w:r w:rsidRPr="00452B58">
        <w:t>Estimated Crash Rates</w:t>
      </w:r>
      <w:bookmarkEnd w:id="332"/>
      <w:r w:rsidRPr="00452B58">
        <w:t xml:space="preserve"> of Wider Vehicles</w:t>
      </w:r>
      <w:bookmarkEnd w:id="333"/>
    </w:p>
    <w:p w:rsidR="00452B58" w:rsidRPr="00F2517A" w:rsidRDefault="00452B58" w:rsidP="00F2517A">
      <w:pPr>
        <w:pStyle w:val="ARRBBaseHeadingAppsub"/>
        <w:rPr>
          <w:rFonts w:hint="eastAsia"/>
        </w:rPr>
      </w:pPr>
      <w:r w:rsidRPr="00F2517A">
        <w:t>Crash Rate Increase in Wider Vehicles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To be conservative and acknowledge potential differences in roads and vehicle operations that can occur between different countries, a small but significant increase in the crash rate has been calculated based on the proportion of crashes that may be increased with wider vehicles on the road. To be clear, this is not an estimate of the number of crashes that are expected to occur involving wider vehicles, it is the maximum number of crashes possible based on an analysis that considers current crash rates for heavy vehicles and crash types where widening could be a factor. Therefore, the increased crash rate for wider vehicles used in this analysis will be in excess of the true number that would occur if vehicle widening does increase crash rates.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following process was undertaken to determine a +0.5% crash rate for wider vehicles and combinations.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Data and analysis on crash rates (NTARC 2021) was used to determine a crash rate of 16.4 per 100 million km in higher productivity vehicles, which may be more representative of wider vehicles than the general heavy vehicle fleet.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average annual km for a heavy vehicle or combination in this analysis is 76,736 km (see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_Ref112327802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Table </w:t>
      </w:r>
      <w:r w:rsidRPr="00452B58">
        <w:rPr>
          <w:rFonts w:ascii="Calibri" w:eastAsia="Calibri" w:hAnsi="Calibri" w:cs="Calibri"/>
          <w:noProof/>
          <w:color w:val="auto"/>
          <w:kern w:val="0"/>
          <w:sz w:val="22"/>
          <w:szCs w:val="22"/>
        </w:rPr>
        <w:t>C</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 or 1,303 average vehicles accounting for 100 million km in a 12-month period. This provides an average annualised expression of this crash rate: for every 1,303 average vehicles in each year there will be 16.4 crashes (assuming no more than one crash per vehicle in any year) or 1.3% of these vehicles and combinations experiencing a crash in any year.</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other factor that needs to be considered is the risk associated with wider vehicles as not all crash types are potentially impacted by vehicle width. Data from BITRE (2020, 2021) was used to determine the number of fatalities and serious injuries associated with different crash types. Where there were subgroups for each crash type, the assigned proportion of fatalities and serious injuries was divided evenly between sub-groups. These are shown in </w:t>
      </w:r>
      <w:r w:rsidRPr="00452B58">
        <w:rPr>
          <w:rFonts w:ascii="Calibri" w:eastAsia="Calibri" w:hAnsi="Calibri" w:cs="Calibri"/>
          <w:color w:val="auto"/>
          <w:kern w:val="0"/>
          <w:sz w:val="22"/>
          <w:szCs w:val="22"/>
        </w:rPr>
        <w:fldChar w:fldCharType="begin"/>
      </w:r>
      <w:r w:rsidRPr="00452B58">
        <w:rPr>
          <w:rFonts w:ascii="Calibri" w:eastAsia="Calibri" w:hAnsi="Calibri" w:cs="Calibri"/>
          <w:color w:val="auto"/>
          <w:kern w:val="0"/>
          <w:sz w:val="22"/>
          <w:szCs w:val="22"/>
        </w:rPr>
        <w:instrText xml:space="preserve"> REF _Ref112328075 \h </w:instrText>
      </w:r>
      <w:r w:rsidRPr="00452B58">
        <w:rPr>
          <w:rFonts w:ascii="Calibri" w:eastAsia="Calibri" w:hAnsi="Calibri" w:cs="Calibri"/>
          <w:color w:val="auto"/>
          <w:kern w:val="0"/>
          <w:sz w:val="22"/>
          <w:szCs w:val="22"/>
        </w:rPr>
      </w:r>
      <w:r w:rsidRPr="00452B58">
        <w:rPr>
          <w:rFonts w:ascii="Calibri" w:eastAsia="Calibri" w:hAnsi="Calibri" w:cs="Calibri"/>
          <w:color w:val="auto"/>
          <w:kern w:val="0"/>
          <w:sz w:val="22"/>
          <w:szCs w:val="22"/>
        </w:rPr>
        <w:fldChar w:fldCharType="separate"/>
      </w:r>
      <w:r w:rsidRPr="00452B58">
        <w:rPr>
          <w:rFonts w:ascii="Calibri" w:eastAsia="Calibri" w:hAnsi="Calibri" w:cs="Calibri"/>
          <w:color w:val="auto"/>
          <w:kern w:val="0"/>
          <w:sz w:val="22"/>
          <w:szCs w:val="22"/>
        </w:rPr>
        <w:t>Table </w:t>
      </w:r>
      <w:r w:rsidRPr="00452B58">
        <w:rPr>
          <w:rFonts w:ascii="Calibri" w:eastAsia="Calibri" w:hAnsi="Calibri" w:cs="Calibri"/>
          <w:noProof/>
          <w:color w:val="auto"/>
          <w:kern w:val="0"/>
          <w:sz w:val="22"/>
          <w:szCs w:val="22"/>
        </w:rPr>
        <w:t>D</w:t>
      </w:r>
      <w:r w:rsidRPr="00452B58">
        <w:rPr>
          <w:rFonts w:ascii="Calibri" w:eastAsia="Calibri" w:hAnsi="Calibri" w:cs="Calibri"/>
          <w:color w:val="auto"/>
          <w:kern w:val="0"/>
          <w:sz w:val="22"/>
          <w:szCs w:val="22"/>
        </w:rPr>
        <w:t>.</w:t>
      </w:r>
      <w:r w:rsidRPr="00452B58">
        <w:rPr>
          <w:rFonts w:ascii="Calibri" w:eastAsia="Calibri" w:hAnsi="Calibri" w:cs="Calibri"/>
          <w:noProof/>
          <w:color w:val="auto"/>
          <w:kern w:val="0"/>
          <w:sz w:val="22"/>
          <w:szCs w:val="22"/>
        </w:rPr>
        <w:t>1</w:t>
      </w:r>
      <w:r w:rsidRPr="00452B58">
        <w:rPr>
          <w:rFonts w:ascii="Calibri" w:eastAsia="Calibri" w:hAnsi="Calibri" w:cs="Calibri"/>
          <w:color w:val="auto"/>
          <w:kern w:val="0"/>
          <w:sz w:val="22"/>
          <w:szCs w:val="22"/>
        </w:rPr>
        <w:fldChar w:fldCharType="end"/>
      </w:r>
      <w:r w:rsidRPr="00452B58">
        <w:rPr>
          <w:rFonts w:ascii="Calibri" w:eastAsia="Calibri" w:hAnsi="Calibri" w:cs="Calibri"/>
          <w:color w:val="auto"/>
          <w:kern w:val="0"/>
          <w:sz w:val="22"/>
          <w:szCs w:val="22"/>
        </w:rPr>
        <w:t>.</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bookmarkStart w:id="334" w:name="_Ref112328075"/>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STYLEREF 7 \s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D</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SEQ AppTable \* ARABIC \s 7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1</w:t>
      </w:r>
      <w:r w:rsidRPr="00452B58">
        <w:rPr>
          <w:rFonts w:ascii="Calibri" w:eastAsia="Calibri" w:hAnsi="Calibri" w:cs="Times New Roman"/>
          <w:b/>
          <w:bCs/>
          <w:noProof/>
          <w:color w:val="67696A"/>
          <w:kern w:val="0"/>
          <w:sz w:val="18"/>
          <w:szCs w:val="22"/>
        </w:rPr>
        <w:fldChar w:fldCharType="end"/>
      </w:r>
      <w:bookmarkEnd w:id="334"/>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Fatalities and serious injuries by crash type involving heavy vehicles</w:t>
      </w:r>
    </w:p>
    <w:tbl>
      <w:tblPr>
        <w:tblStyle w:val="ARRBTableStyle"/>
        <w:tblW w:w="9634" w:type="dxa"/>
        <w:tblLook w:val="04A0" w:firstRow="1" w:lastRow="0" w:firstColumn="1" w:lastColumn="0" w:noHBand="0" w:noVBand="1"/>
      </w:tblPr>
      <w:tblGrid>
        <w:gridCol w:w="1980"/>
        <w:gridCol w:w="2268"/>
        <w:gridCol w:w="1276"/>
        <w:gridCol w:w="1275"/>
        <w:gridCol w:w="1245"/>
        <w:gridCol w:w="1590"/>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300"/>
        </w:trPr>
        <w:tc>
          <w:tcPr>
            <w:tcW w:w="1980" w:type="dxa"/>
            <w:hideMark/>
          </w:tcPr>
          <w:p w:rsidR="00452B58" w:rsidRPr="00452B58" w:rsidRDefault="00452B58" w:rsidP="00452B58">
            <w:pPr>
              <w:keepNext/>
              <w:suppressAutoHyphens w:val="0"/>
              <w:spacing w:before="40" w:after="40"/>
              <w:rPr>
                <w:rFonts w:eastAsia="Calibri"/>
                <w:b w:val="0"/>
                <w:kern w:val="0"/>
                <w:szCs w:val="22"/>
              </w:rPr>
            </w:pPr>
            <w:r w:rsidRPr="00452B58">
              <w:rPr>
                <w:rFonts w:eastAsia="Calibri"/>
                <w:kern w:val="0"/>
                <w:szCs w:val="22"/>
              </w:rPr>
              <w:t>Main crash type</w:t>
            </w:r>
          </w:p>
        </w:tc>
        <w:tc>
          <w:tcPr>
            <w:tcW w:w="2268" w:type="dxa"/>
            <w:hideMark/>
          </w:tcPr>
          <w:p w:rsidR="00452B58" w:rsidRPr="00452B58" w:rsidRDefault="00452B58" w:rsidP="00452B58">
            <w:pPr>
              <w:keepNext/>
              <w:suppressAutoHyphens w:val="0"/>
              <w:spacing w:before="40" w:after="40"/>
              <w:rPr>
                <w:rFonts w:eastAsia="Calibri"/>
                <w:b w:val="0"/>
                <w:kern w:val="0"/>
                <w:szCs w:val="22"/>
              </w:rPr>
            </w:pPr>
            <w:r w:rsidRPr="00452B58">
              <w:rPr>
                <w:rFonts w:eastAsia="Calibri"/>
                <w:kern w:val="0"/>
                <w:szCs w:val="22"/>
              </w:rPr>
              <w:t>Sub-group</w:t>
            </w:r>
          </w:p>
        </w:tc>
        <w:tc>
          <w:tcPr>
            <w:tcW w:w="2551" w:type="dxa"/>
            <w:gridSpan w:val="2"/>
            <w:noWrap/>
            <w:hideMark/>
          </w:tcPr>
          <w:p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Fatalities</w:t>
            </w:r>
          </w:p>
        </w:tc>
        <w:tc>
          <w:tcPr>
            <w:tcW w:w="2835" w:type="dxa"/>
            <w:gridSpan w:val="2"/>
            <w:noWrap/>
            <w:hideMark/>
          </w:tcPr>
          <w:p w:rsidR="00452B58" w:rsidRPr="00452B58" w:rsidRDefault="00452B58" w:rsidP="00452B58">
            <w:pPr>
              <w:keepNext/>
              <w:suppressAutoHyphens w:val="0"/>
              <w:spacing w:before="40" w:after="40"/>
              <w:jc w:val="center"/>
              <w:rPr>
                <w:rFonts w:eastAsia="Calibri"/>
                <w:b w:val="0"/>
                <w:kern w:val="0"/>
                <w:szCs w:val="22"/>
              </w:rPr>
            </w:pPr>
            <w:r w:rsidRPr="00452B58">
              <w:rPr>
                <w:rFonts w:eastAsia="Calibri"/>
                <w:kern w:val="0"/>
                <w:szCs w:val="22"/>
              </w:rPr>
              <w:t>Serious injuries</w:t>
            </w:r>
          </w:p>
        </w:tc>
      </w:tr>
      <w:tr w:rsidR="00452B58" w:rsidRPr="00452B58" w:rsidTr="00452B58">
        <w:trPr>
          <w:trHeight w:val="300"/>
        </w:trPr>
        <w:tc>
          <w:tcPr>
            <w:tcW w:w="1980" w:type="dxa"/>
            <w:noWrap/>
            <w:vAlign w:val="center"/>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Run off road</w:t>
            </w:r>
          </w:p>
        </w:tc>
        <w:tc>
          <w:tcPr>
            <w:tcW w:w="2268"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All (straight and curve)</w:t>
            </w:r>
          </w:p>
        </w:tc>
        <w:tc>
          <w:tcPr>
            <w:tcW w:w="1276"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28</w:t>
            </w:r>
          </w:p>
        </w:tc>
        <w:tc>
          <w:tcPr>
            <w:tcW w:w="127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16%</w:t>
            </w:r>
          </w:p>
        </w:tc>
        <w:tc>
          <w:tcPr>
            <w:tcW w:w="124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260</w:t>
            </w:r>
          </w:p>
        </w:tc>
        <w:tc>
          <w:tcPr>
            <w:tcW w:w="159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16%</w:t>
            </w:r>
          </w:p>
        </w:tc>
      </w:tr>
      <w:tr w:rsidR="00452B58" w:rsidRPr="00452B58" w:rsidTr="00452B58">
        <w:trPr>
          <w:trHeight w:val="300"/>
        </w:trPr>
        <w:tc>
          <w:tcPr>
            <w:tcW w:w="1980" w:type="dxa"/>
            <w:vMerge w:val="restart"/>
            <w:noWrap/>
            <w:vAlign w:val="center"/>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Opposing directions</w:t>
            </w:r>
          </w:p>
        </w:tc>
        <w:tc>
          <w:tcPr>
            <w:tcW w:w="2268"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Head on</w:t>
            </w:r>
          </w:p>
        </w:tc>
        <w:tc>
          <w:tcPr>
            <w:tcW w:w="1276"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32</w:t>
            </w:r>
          </w:p>
        </w:tc>
        <w:tc>
          <w:tcPr>
            <w:tcW w:w="127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18%</w:t>
            </w:r>
          </w:p>
        </w:tc>
        <w:tc>
          <w:tcPr>
            <w:tcW w:w="124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293</w:t>
            </w:r>
          </w:p>
        </w:tc>
        <w:tc>
          <w:tcPr>
            <w:tcW w:w="159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18%</w:t>
            </w:r>
          </w:p>
        </w:tc>
      </w:tr>
      <w:tr w:rsidR="00452B58" w:rsidRPr="00452B58" w:rsidTr="00452B58">
        <w:trPr>
          <w:trHeight w:val="300"/>
        </w:trPr>
        <w:tc>
          <w:tcPr>
            <w:tcW w:w="1980" w:type="dxa"/>
            <w:vMerge/>
            <w:vAlign w:val="center"/>
            <w:hideMark/>
          </w:tcPr>
          <w:p w:rsidR="00452B58" w:rsidRPr="00452B58" w:rsidRDefault="00452B58" w:rsidP="00452B58">
            <w:pPr>
              <w:keepNext/>
              <w:suppressAutoHyphens w:val="0"/>
              <w:spacing w:before="40" w:after="40"/>
              <w:rPr>
                <w:rFonts w:eastAsia="Calibri" w:cs="Times New Roman"/>
                <w:kern w:val="0"/>
                <w:szCs w:val="22"/>
              </w:rPr>
            </w:pPr>
          </w:p>
        </w:tc>
        <w:tc>
          <w:tcPr>
            <w:tcW w:w="2268"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Right through</w:t>
            </w:r>
          </w:p>
        </w:tc>
        <w:tc>
          <w:tcPr>
            <w:tcW w:w="1276"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32</w:t>
            </w:r>
          </w:p>
        </w:tc>
        <w:tc>
          <w:tcPr>
            <w:tcW w:w="127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18%</w:t>
            </w:r>
          </w:p>
        </w:tc>
        <w:tc>
          <w:tcPr>
            <w:tcW w:w="124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293</w:t>
            </w:r>
          </w:p>
        </w:tc>
        <w:tc>
          <w:tcPr>
            <w:tcW w:w="159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18%</w:t>
            </w:r>
          </w:p>
        </w:tc>
      </w:tr>
      <w:tr w:rsidR="00452B58" w:rsidRPr="00452B58" w:rsidTr="00452B58">
        <w:trPr>
          <w:trHeight w:val="300"/>
        </w:trPr>
        <w:tc>
          <w:tcPr>
            <w:tcW w:w="1980" w:type="dxa"/>
            <w:vMerge w:val="restart"/>
            <w:noWrap/>
            <w:vAlign w:val="center"/>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Same direction</w:t>
            </w:r>
          </w:p>
        </w:tc>
        <w:tc>
          <w:tcPr>
            <w:tcW w:w="2268"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Rear end</w:t>
            </w:r>
          </w:p>
        </w:tc>
        <w:tc>
          <w:tcPr>
            <w:tcW w:w="1276"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14</w:t>
            </w:r>
          </w:p>
        </w:tc>
        <w:tc>
          <w:tcPr>
            <w:tcW w:w="127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w:t>
            </w:r>
          </w:p>
        </w:tc>
        <w:tc>
          <w:tcPr>
            <w:tcW w:w="124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132</w:t>
            </w:r>
          </w:p>
        </w:tc>
        <w:tc>
          <w:tcPr>
            <w:tcW w:w="159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w:t>
            </w:r>
          </w:p>
        </w:tc>
      </w:tr>
      <w:tr w:rsidR="00452B58" w:rsidRPr="00452B58" w:rsidTr="00452B58">
        <w:trPr>
          <w:trHeight w:val="300"/>
        </w:trPr>
        <w:tc>
          <w:tcPr>
            <w:tcW w:w="1980" w:type="dxa"/>
            <w:vMerge/>
            <w:vAlign w:val="center"/>
            <w:hideMark/>
          </w:tcPr>
          <w:p w:rsidR="00452B58" w:rsidRPr="00452B58" w:rsidRDefault="00452B58" w:rsidP="00452B58">
            <w:pPr>
              <w:keepNext/>
              <w:suppressAutoHyphens w:val="0"/>
              <w:spacing w:before="40" w:after="40"/>
              <w:rPr>
                <w:rFonts w:eastAsia="Calibri" w:cs="Times New Roman"/>
                <w:kern w:val="0"/>
                <w:szCs w:val="22"/>
              </w:rPr>
            </w:pPr>
          </w:p>
        </w:tc>
        <w:tc>
          <w:tcPr>
            <w:tcW w:w="2268"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Side swipe</w:t>
            </w:r>
          </w:p>
        </w:tc>
        <w:tc>
          <w:tcPr>
            <w:tcW w:w="1276"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14</w:t>
            </w:r>
          </w:p>
        </w:tc>
        <w:tc>
          <w:tcPr>
            <w:tcW w:w="127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w:t>
            </w:r>
          </w:p>
        </w:tc>
        <w:tc>
          <w:tcPr>
            <w:tcW w:w="124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132</w:t>
            </w:r>
          </w:p>
        </w:tc>
        <w:tc>
          <w:tcPr>
            <w:tcW w:w="159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w:t>
            </w:r>
          </w:p>
        </w:tc>
      </w:tr>
      <w:tr w:rsidR="00452B58" w:rsidRPr="00452B58" w:rsidTr="00452B58">
        <w:trPr>
          <w:trHeight w:val="300"/>
        </w:trPr>
        <w:tc>
          <w:tcPr>
            <w:tcW w:w="1980" w:type="dxa"/>
            <w:vMerge w:val="restart"/>
            <w:noWrap/>
            <w:vAlign w:val="center"/>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Adjacent direction</w:t>
            </w:r>
          </w:p>
        </w:tc>
        <w:tc>
          <w:tcPr>
            <w:tcW w:w="2268"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Right near</w:t>
            </w:r>
          </w:p>
        </w:tc>
        <w:tc>
          <w:tcPr>
            <w:tcW w:w="1276"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w:t>
            </w:r>
          </w:p>
        </w:tc>
        <w:tc>
          <w:tcPr>
            <w:tcW w:w="127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5%</w:t>
            </w:r>
          </w:p>
        </w:tc>
        <w:tc>
          <w:tcPr>
            <w:tcW w:w="124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84</w:t>
            </w:r>
          </w:p>
        </w:tc>
        <w:tc>
          <w:tcPr>
            <w:tcW w:w="159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5%</w:t>
            </w:r>
          </w:p>
        </w:tc>
      </w:tr>
      <w:tr w:rsidR="00452B58" w:rsidRPr="00452B58" w:rsidTr="00452B58">
        <w:trPr>
          <w:trHeight w:val="300"/>
        </w:trPr>
        <w:tc>
          <w:tcPr>
            <w:tcW w:w="1980" w:type="dxa"/>
            <w:vMerge/>
            <w:vAlign w:val="center"/>
            <w:hideMark/>
          </w:tcPr>
          <w:p w:rsidR="00452B58" w:rsidRPr="00452B58" w:rsidRDefault="00452B58" w:rsidP="00452B58">
            <w:pPr>
              <w:keepNext/>
              <w:suppressAutoHyphens w:val="0"/>
              <w:spacing w:before="40" w:after="40"/>
              <w:rPr>
                <w:rFonts w:eastAsia="Calibri" w:cs="Times New Roman"/>
                <w:kern w:val="0"/>
                <w:szCs w:val="22"/>
              </w:rPr>
            </w:pPr>
          </w:p>
        </w:tc>
        <w:tc>
          <w:tcPr>
            <w:tcW w:w="2268"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Cross traffic</w:t>
            </w:r>
          </w:p>
        </w:tc>
        <w:tc>
          <w:tcPr>
            <w:tcW w:w="1276"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w:t>
            </w:r>
          </w:p>
        </w:tc>
        <w:tc>
          <w:tcPr>
            <w:tcW w:w="127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5%</w:t>
            </w:r>
          </w:p>
        </w:tc>
        <w:tc>
          <w:tcPr>
            <w:tcW w:w="124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84</w:t>
            </w:r>
          </w:p>
        </w:tc>
        <w:tc>
          <w:tcPr>
            <w:tcW w:w="159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5%</w:t>
            </w:r>
          </w:p>
        </w:tc>
      </w:tr>
      <w:tr w:rsidR="00452B58" w:rsidRPr="00452B58" w:rsidTr="00452B58">
        <w:trPr>
          <w:trHeight w:val="300"/>
        </w:trPr>
        <w:tc>
          <w:tcPr>
            <w:tcW w:w="1980" w:type="dxa"/>
            <w:vMerge w:val="restart"/>
            <w:noWrap/>
            <w:vAlign w:val="center"/>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Pedestrian</w:t>
            </w:r>
          </w:p>
        </w:tc>
        <w:tc>
          <w:tcPr>
            <w:tcW w:w="2268"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Near side</w:t>
            </w:r>
          </w:p>
        </w:tc>
        <w:tc>
          <w:tcPr>
            <w:tcW w:w="1276"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w:t>
            </w:r>
          </w:p>
        </w:tc>
        <w:tc>
          <w:tcPr>
            <w:tcW w:w="127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5%</w:t>
            </w:r>
          </w:p>
        </w:tc>
        <w:tc>
          <w:tcPr>
            <w:tcW w:w="124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77</w:t>
            </w:r>
          </w:p>
        </w:tc>
        <w:tc>
          <w:tcPr>
            <w:tcW w:w="159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5%</w:t>
            </w:r>
          </w:p>
        </w:tc>
      </w:tr>
      <w:tr w:rsidR="00452B58" w:rsidRPr="00452B58" w:rsidTr="00452B58">
        <w:trPr>
          <w:trHeight w:val="300"/>
        </w:trPr>
        <w:tc>
          <w:tcPr>
            <w:tcW w:w="1980" w:type="dxa"/>
            <w:vMerge/>
            <w:vAlign w:val="center"/>
            <w:hideMark/>
          </w:tcPr>
          <w:p w:rsidR="00452B58" w:rsidRPr="00452B58" w:rsidRDefault="00452B58" w:rsidP="00452B58">
            <w:pPr>
              <w:keepNext/>
              <w:suppressAutoHyphens w:val="0"/>
              <w:spacing w:before="40" w:after="40"/>
              <w:rPr>
                <w:rFonts w:eastAsia="Calibri" w:cs="Times New Roman"/>
                <w:kern w:val="0"/>
                <w:szCs w:val="22"/>
              </w:rPr>
            </w:pPr>
          </w:p>
        </w:tc>
        <w:tc>
          <w:tcPr>
            <w:tcW w:w="2268"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Play/work</w:t>
            </w:r>
          </w:p>
        </w:tc>
        <w:tc>
          <w:tcPr>
            <w:tcW w:w="1276"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8</w:t>
            </w:r>
          </w:p>
        </w:tc>
        <w:tc>
          <w:tcPr>
            <w:tcW w:w="127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5%</w:t>
            </w:r>
          </w:p>
        </w:tc>
        <w:tc>
          <w:tcPr>
            <w:tcW w:w="124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77</w:t>
            </w:r>
          </w:p>
        </w:tc>
        <w:tc>
          <w:tcPr>
            <w:tcW w:w="159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5%</w:t>
            </w:r>
          </w:p>
        </w:tc>
      </w:tr>
      <w:tr w:rsidR="00452B58" w:rsidRPr="00452B58" w:rsidTr="00452B58">
        <w:trPr>
          <w:trHeight w:val="300"/>
        </w:trPr>
        <w:tc>
          <w:tcPr>
            <w:tcW w:w="1980" w:type="dxa"/>
            <w:noWrap/>
            <w:vAlign w:val="center"/>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Other</w:t>
            </w:r>
          </w:p>
        </w:tc>
        <w:tc>
          <w:tcPr>
            <w:tcW w:w="2268" w:type="dxa"/>
            <w:noWrap/>
            <w:hideMark/>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All (single and multiple veh.)</w:t>
            </w:r>
          </w:p>
        </w:tc>
        <w:tc>
          <w:tcPr>
            <w:tcW w:w="1276"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25</w:t>
            </w:r>
          </w:p>
        </w:tc>
        <w:tc>
          <w:tcPr>
            <w:tcW w:w="127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14%</w:t>
            </w:r>
          </w:p>
        </w:tc>
        <w:tc>
          <w:tcPr>
            <w:tcW w:w="1245"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228</w:t>
            </w:r>
          </w:p>
        </w:tc>
        <w:tc>
          <w:tcPr>
            <w:tcW w:w="1590" w:type="dxa"/>
            <w:noWrap/>
            <w:hideMark/>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14%</w:t>
            </w:r>
          </w:p>
        </w:tc>
      </w:tr>
    </w:tbl>
    <w:p w:rsidR="00452B58" w:rsidRPr="00452B58" w:rsidRDefault="00452B58" w:rsidP="00E248BF">
      <w:pPr>
        <w:tabs>
          <w:tab w:val="left" w:pos="709"/>
        </w:tabs>
        <w:suppressAutoHyphens w:val="0"/>
        <w:spacing w:before="60" w:after="160" w:line="259" w:lineRule="auto"/>
        <w:ind w:left="709" w:hanging="709"/>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Source: BITRE (2020, 2021). Fatality numbers are the 3-year average from 2018–2020, serious injury numbers are 3-year average 2016–</w:t>
      </w:r>
      <w:r w:rsidRPr="00452B58">
        <w:rPr>
          <w:rFonts w:ascii="Arial" w:eastAsia="Calibri" w:hAnsi="Arial" w:cs="Arial"/>
          <w:iCs/>
          <w:color w:val="454647"/>
          <w:kern w:val="0"/>
          <w:sz w:val="18"/>
          <w:szCs w:val="22"/>
        </w:rPr>
        <w:t>‍</w:t>
      </w:r>
      <w:r w:rsidRPr="00452B58">
        <w:rPr>
          <w:rFonts w:ascii="Calibri" w:eastAsia="Calibri" w:hAnsi="Calibri" w:cs="Times New Roman"/>
          <w:iCs/>
          <w:color w:val="454647"/>
          <w:kern w:val="0"/>
          <w:sz w:val="18"/>
          <w:szCs w:val="22"/>
        </w:rPr>
        <w:t>2018.</w:t>
      </w:r>
    </w:p>
    <w:p w:rsidR="00452B58" w:rsidRPr="00452B58" w:rsidRDefault="00452B58" w:rsidP="00452B58">
      <w:pPr>
        <w:suppressAutoHyphens w:val="0"/>
        <w:spacing w:before="120" w:after="60" w:line="288" w:lineRule="auto"/>
        <w:rPr>
          <w:rFonts w:ascii="Calibri" w:eastAsia="Calibri" w:hAnsi="Calibri" w:cs="Calibri"/>
          <w:color w:val="auto"/>
          <w:kern w:val="0"/>
          <w:sz w:val="22"/>
          <w:szCs w:val="22"/>
        </w:rPr>
      </w:pPr>
      <w:r w:rsidRPr="00452B58">
        <w:rPr>
          <w:rFonts w:ascii="Calibri" w:eastAsia="Calibri" w:hAnsi="Calibri" w:cs="Times New Roman"/>
          <w:color w:val="auto"/>
          <w:kern w:val="0"/>
          <w:sz w:val="22"/>
          <w:szCs w:val="22"/>
        </w:rPr>
        <w:br w:type="page"/>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Increased vehicle width is assumed to only have an effect on:</w:t>
      </w:r>
    </w:p>
    <w:p w:rsidR="00452B58" w:rsidRPr="00452B58" w:rsidRDefault="00452B58" w:rsidP="00E248BF">
      <w:pPr>
        <w:pStyle w:val="ARRBBulletLevel1"/>
      </w:pPr>
      <w:r w:rsidRPr="00452B58">
        <w:t>head on crashes – where increased width may result in greater encroachment of an opposing lane</w:t>
      </w:r>
    </w:p>
    <w:p w:rsidR="00452B58" w:rsidRPr="00452B58" w:rsidRDefault="00452B58" w:rsidP="00E248BF">
      <w:pPr>
        <w:pStyle w:val="ARRBBulletLevel1"/>
      </w:pPr>
      <w:r w:rsidRPr="00452B58">
        <w:t>side swipe crashes – where increased width may result in contact with other vehicles travelling in the same direction.</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These two crash types account for 26% or approximately one-quarter of all fatalities. Multiplying this by the 1.3% of heavy vehicles or combinations expected to experience a crash each year, the result is 0.32%, which has been rounded up to 0.5%. This value is used as the maximum increase in crash rates due to wider vehicles (both 2.55 and 2.60 m). Again, this percentage is well in excess of any expected increase in crashes due to wider vehicles.</w:t>
      </w:r>
    </w:p>
    <w:p w:rsidR="00452B58" w:rsidRPr="00F2517A" w:rsidRDefault="00452B58" w:rsidP="00F2517A">
      <w:pPr>
        <w:pStyle w:val="ARRBBaseHeadingAppsub"/>
        <w:rPr>
          <w:rFonts w:hint="eastAsia"/>
        </w:rPr>
      </w:pPr>
      <w:r w:rsidRPr="00F2517A">
        <w:t>Crash Rate Decrease in Wider Vehicles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Estimates from the ATA and TIC suggest a 2% and 4% improvement in stability for 2.55 m and 2.60 m vehicles and trailers respectively. With an estimate of 10% of all heavy vehicle crashes being rollovers, a 4% improvement represents 0.4% reduction in the crash rate. This was rounded up to 0.5% to mirror the estimate of the crash increase due to widening and should therefore be taken as representing the best-case scenario.</w:t>
      </w:r>
    </w:p>
    <w:p w:rsidR="00452B58" w:rsidRPr="00452B58" w:rsidRDefault="00452B58" w:rsidP="00452B58">
      <w:pPr>
        <w:suppressAutoHyphens w:val="0"/>
        <w:spacing w:before="120" w:after="60" w:line="288" w:lineRule="auto"/>
        <w:rPr>
          <w:rFonts w:ascii="Calibri" w:eastAsia="Calibri" w:hAnsi="Calibri" w:cs="Calibri"/>
          <w:color w:val="auto"/>
          <w:kern w:val="0"/>
          <w:sz w:val="22"/>
          <w:szCs w:val="22"/>
        </w:rPr>
      </w:pPr>
      <w:r w:rsidRPr="00452B58">
        <w:rPr>
          <w:rFonts w:ascii="Calibri" w:eastAsia="Calibri" w:hAnsi="Calibri" w:cs="Times New Roman"/>
          <w:color w:val="auto"/>
          <w:kern w:val="0"/>
          <w:sz w:val="22"/>
          <w:szCs w:val="22"/>
        </w:rPr>
        <w:br w:type="page"/>
      </w:r>
    </w:p>
    <w:p w:rsidR="00452B58" w:rsidRPr="00452B58" w:rsidRDefault="00452B58" w:rsidP="00F2517A">
      <w:pPr>
        <w:pStyle w:val="ARRBBaseHeadingApp"/>
      </w:pPr>
      <w:bookmarkStart w:id="335" w:name="_Ref111138708"/>
      <w:bookmarkStart w:id="336" w:name="_Toc137731695"/>
      <w:r w:rsidRPr="00452B58">
        <w:t>Crash Types and Crash Modification Factors</w:t>
      </w:r>
      <w:bookmarkEnd w:id="335"/>
      <w:bookmarkEnd w:id="336"/>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following data was used to determine the number of fatalities and serious injuries caused by different crash types involving heavy vehicles in order to apply the crash reduction effect of different safety features applicable to those crash types.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The source of the data shown in Table E.1 and the first three columns of Table E.2 and Table E.3 was the </w:t>
      </w:r>
      <w:r w:rsidRPr="00452B58">
        <w:rPr>
          <w:rFonts w:ascii="Calibri" w:eastAsia="Calibri" w:hAnsi="Calibri" w:cs="Calibri"/>
          <w:i/>
          <w:iCs/>
          <w:color w:val="auto"/>
          <w:kern w:val="0"/>
          <w:sz w:val="22"/>
          <w:szCs w:val="22"/>
        </w:rPr>
        <w:t>Road Trauma Involving Heavy Vehicles – 2020 Statistical Summary</w:t>
      </w:r>
      <w:r w:rsidRPr="00452B58">
        <w:rPr>
          <w:rFonts w:ascii="Calibri" w:eastAsia="Calibri" w:hAnsi="Calibri" w:cs="Calibri"/>
          <w:color w:val="auto"/>
          <w:kern w:val="0"/>
          <w:sz w:val="22"/>
          <w:szCs w:val="22"/>
        </w:rPr>
        <w:t xml:space="preserve"> from the Bureau of Infrastructure and Transport Research Economics (BITRE 2020).</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STYLEREF 7 \s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E</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SEQ AppTable \* ARABIC \s 7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1</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Deaths by crash type 2018–2020</w:t>
      </w:r>
    </w:p>
    <w:tbl>
      <w:tblPr>
        <w:tblStyle w:val="ARRBTableStyle"/>
        <w:tblW w:w="9691" w:type="dxa"/>
        <w:tblLook w:val="04A0" w:firstRow="1" w:lastRow="0" w:firstColumn="1" w:lastColumn="0" w:noHBand="0" w:noVBand="1"/>
      </w:tblPr>
      <w:tblGrid>
        <w:gridCol w:w="2694"/>
        <w:gridCol w:w="1842"/>
        <w:gridCol w:w="1843"/>
        <w:gridCol w:w="1701"/>
        <w:gridCol w:w="1611"/>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324"/>
        </w:trPr>
        <w:tc>
          <w:tcPr>
            <w:tcW w:w="2694" w:type="dxa"/>
            <w:noWrap/>
            <w:hideMark/>
          </w:tcPr>
          <w:p w:rsidR="00452B58" w:rsidRPr="00452B58" w:rsidRDefault="00452B58" w:rsidP="00452B58">
            <w:pPr>
              <w:keepNext/>
              <w:suppressAutoHyphens w:val="0"/>
              <w:spacing w:before="40" w:after="40"/>
              <w:rPr>
                <w:rFonts w:eastAsia="Calibri"/>
                <w:kern w:val="0"/>
                <w:szCs w:val="22"/>
                <w:lang w:eastAsia="en-AU"/>
              </w:rPr>
            </w:pPr>
            <w:r w:rsidRPr="00452B58">
              <w:rPr>
                <w:rFonts w:eastAsia="Calibri"/>
                <w:kern w:val="0"/>
                <w:szCs w:val="22"/>
                <w:lang w:eastAsia="en-AU"/>
              </w:rPr>
              <w:t> </w:t>
            </w:r>
          </w:p>
        </w:tc>
        <w:tc>
          <w:tcPr>
            <w:tcW w:w="1842" w:type="dxa"/>
            <w:noWrap/>
            <w:hideMark/>
          </w:tcPr>
          <w:p w:rsidR="00452B58" w:rsidRPr="00452B58" w:rsidRDefault="00452B58" w:rsidP="00452B58">
            <w:pPr>
              <w:keepNext/>
              <w:suppressAutoHyphens w:val="0"/>
              <w:spacing w:before="40" w:after="40"/>
              <w:rPr>
                <w:rFonts w:eastAsia="Calibri"/>
                <w:b w:val="0"/>
                <w:kern w:val="0"/>
                <w:szCs w:val="22"/>
                <w:lang w:eastAsia="en-AU"/>
              </w:rPr>
            </w:pPr>
            <w:r w:rsidRPr="00452B58">
              <w:rPr>
                <w:rFonts w:eastAsia="Calibri"/>
                <w:kern w:val="0"/>
                <w:szCs w:val="22"/>
                <w:lang w:eastAsia="en-AU"/>
              </w:rPr>
              <w:t>Year</w:t>
            </w:r>
          </w:p>
        </w:tc>
        <w:tc>
          <w:tcPr>
            <w:tcW w:w="1843" w:type="dxa"/>
            <w:noWrap/>
            <w:hideMark/>
          </w:tcPr>
          <w:p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Multiple vehicle</w:t>
            </w:r>
          </w:p>
        </w:tc>
        <w:tc>
          <w:tcPr>
            <w:tcW w:w="1701" w:type="dxa"/>
            <w:noWrap/>
            <w:hideMark/>
          </w:tcPr>
          <w:p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Single vehicle</w:t>
            </w:r>
          </w:p>
        </w:tc>
        <w:tc>
          <w:tcPr>
            <w:tcW w:w="1611" w:type="dxa"/>
            <w:noWrap/>
            <w:hideMark/>
          </w:tcPr>
          <w:p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All</w:t>
            </w:r>
          </w:p>
        </w:tc>
      </w:tr>
      <w:tr w:rsidR="00452B58" w:rsidRPr="00452B58" w:rsidTr="00452B58">
        <w:trPr>
          <w:trHeight w:val="324"/>
        </w:trPr>
        <w:tc>
          <w:tcPr>
            <w:tcW w:w="2694" w:type="dxa"/>
            <w:vMerge w:val="restart"/>
            <w:noWrap/>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Articulated truck involved</w:t>
            </w:r>
          </w:p>
        </w:tc>
        <w:tc>
          <w:tcPr>
            <w:tcW w:w="184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2018</w:t>
            </w:r>
          </w:p>
        </w:tc>
        <w:tc>
          <w:tcPr>
            <w:tcW w:w="1843"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76</w:t>
            </w:r>
          </w:p>
        </w:tc>
        <w:tc>
          <w:tcPr>
            <w:tcW w:w="170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13</w:t>
            </w:r>
          </w:p>
        </w:tc>
        <w:tc>
          <w:tcPr>
            <w:tcW w:w="161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89</w:t>
            </w:r>
          </w:p>
        </w:tc>
      </w:tr>
      <w:tr w:rsidR="00452B58" w:rsidRPr="00452B58" w:rsidTr="00452B58">
        <w:trPr>
          <w:trHeight w:val="324"/>
        </w:trPr>
        <w:tc>
          <w:tcPr>
            <w:tcW w:w="2694" w:type="dxa"/>
            <w:vMerge/>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p>
        </w:tc>
        <w:tc>
          <w:tcPr>
            <w:tcW w:w="184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2019</w:t>
            </w:r>
          </w:p>
        </w:tc>
        <w:tc>
          <w:tcPr>
            <w:tcW w:w="1843"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80</w:t>
            </w:r>
          </w:p>
        </w:tc>
        <w:tc>
          <w:tcPr>
            <w:tcW w:w="170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19</w:t>
            </w:r>
          </w:p>
        </w:tc>
        <w:tc>
          <w:tcPr>
            <w:tcW w:w="161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99</w:t>
            </w:r>
          </w:p>
        </w:tc>
      </w:tr>
      <w:tr w:rsidR="00452B58" w:rsidRPr="00452B58" w:rsidTr="00452B58">
        <w:trPr>
          <w:trHeight w:val="324"/>
        </w:trPr>
        <w:tc>
          <w:tcPr>
            <w:tcW w:w="2694" w:type="dxa"/>
            <w:vMerge/>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p>
        </w:tc>
        <w:tc>
          <w:tcPr>
            <w:tcW w:w="184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2020</w:t>
            </w:r>
          </w:p>
        </w:tc>
        <w:tc>
          <w:tcPr>
            <w:tcW w:w="1843"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89</w:t>
            </w:r>
          </w:p>
        </w:tc>
        <w:tc>
          <w:tcPr>
            <w:tcW w:w="170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15</w:t>
            </w:r>
          </w:p>
        </w:tc>
        <w:tc>
          <w:tcPr>
            <w:tcW w:w="161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104</w:t>
            </w:r>
          </w:p>
        </w:tc>
      </w:tr>
      <w:tr w:rsidR="00452B58" w:rsidRPr="00452B58" w:rsidTr="00452B58">
        <w:trPr>
          <w:trHeight w:val="324"/>
        </w:trPr>
        <w:tc>
          <w:tcPr>
            <w:tcW w:w="2694" w:type="dxa"/>
            <w:vMerge/>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p>
        </w:tc>
        <w:tc>
          <w:tcPr>
            <w:tcW w:w="184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3-year average</w:t>
            </w:r>
          </w:p>
        </w:tc>
        <w:tc>
          <w:tcPr>
            <w:tcW w:w="1843"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82</w:t>
            </w:r>
          </w:p>
        </w:tc>
        <w:tc>
          <w:tcPr>
            <w:tcW w:w="170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16</w:t>
            </w:r>
          </w:p>
        </w:tc>
        <w:tc>
          <w:tcPr>
            <w:tcW w:w="161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97</w:t>
            </w:r>
          </w:p>
        </w:tc>
      </w:tr>
      <w:tr w:rsidR="00452B58" w:rsidRPr="00452B58" w:rsidTr="00452B58">
        <w:trPr>
          <w:trHeight w:val="324"/>
        </w:trPr>
        <w:tc>
          <w:tcPr>
            <w:tcW w:w="2694" w:type="dxa"/>
            <w:vMerge w:val="restart"/>
            <w:noWrap/>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Heavy rigid truck involved</w:t>
            </w:r>
          </w:p>
        </w:tc>
        <w:tc>
          <w:tcPr>
            <w:tcW w:w="184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2018</w:t>
            </w:r>
          </w:p>
        </w:tc>
        <w:tc>
          <w:tcPr>
            <w:tcW w:w="1843"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72</w:t>
            </w:r>
          </w:p>
        </w:tc>
        <w:tc>
          <w:tcPr>
            <w:tcW w:w="170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11</w:t>
            </w:r>
          </w:p>
        </w:tc>
        <w:tc>
          <w:tcPr>
            <w:tcW w:w="161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83</w:t>
            </w:r>
          </w:p>
        </w:tc>
      </w:tr>
      <w:tr w:rsidR="00452B58" w:rsidRPr="00452B58" w:rsidTr="00452B58">
        <w:trPr>
          <w:trHeight w:val="324"/>
        </w:trPr>
        <w:tc>
          <w:tcPr>
            <w:tcW w:w="2694" w:type="dxa"/>
            <w:vMerge/>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p>
        </w:tc>
        <w:tc>
          <w:tcPr>
            <w:tcW w:w="184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2019</w:t>
            </w:r>
          </w:p>
        </w:tc>
        <w:tc>
          <w:tcPr>
            <w:tcW w:w="1843"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74</w:t>
            </w:r>
          </w:p>
        </w:tc>
        <w:tc>
          <w:tcPr>
            <w:tcW w:w="170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20</w:t>
            </w:r>
          </w:p>
        </w:tc>
        <w:tc>
          <w:tcPr>
            <w:tcW w:w="161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94</w:t>
            </w:r>
          </w:p>
        </w:tc>
      </w:tr>
      <w:tr w:rsidR="00452B58" w:rsidRPr="00452B58" w:rsidTr="00452B58">
        <w:trPr>
          <w:trHeight w:val="324"/>
        </w:trPr>
        <w:tc>
          <w:tcPr>
            <w:tcW w:w="2694" w:type="dxa"/>
            <w:vMerge/>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p>
        </w:tc>
        <w:tc>
          <w:tcPr>
            <w:tcW w:w="184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2020</w:t>
            </w:r>
          </w:p>
        </w:tc>
        <w:tc>
          <w:tcPr>
            <w:tcW w:w="1843"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66</w:t>
            </w:r>
          </w:p>
        </w:tc>
        <w:tc>
          <w:tcPr>
            <w:tcW w:w="170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c>
          <w:tcPr>
            <w:tcW w:w="161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75</w:t>
            </w:r>
          </w:p>
        </w:tc>
      </w:tr>
      <w:tr w:rsidR="00452B58" w:rsidRPr="00452B58" w:rsidTr="00452B58">
        <w:trPr>
          <w:trHeight w:val="324"/>
        </w:trPr>
        <w:tc>
          <w:tcPr>
            <w:tcW w:w="2694" w:type="dxa"/>
            <w:vMerge/>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p>
        </w:tc>
        <w:tc>
          <w:tcPr>
            <w:tcW w:w="184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3-year average</w:t>
            </w:r>
          </w:p>
        </w:tc>
        <w:tc>
          <w:tcPr>
            <w:tcW w:w="1843"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71</w:t>
            </w:r>
          </w:p>
        </w:tc>
        <w:tc>
          <w:tcPr>
            <w:tcW w:w="170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13</w:t>
            </w:r>
          </w:p>
        </w:tc>
        <w:tc>
          <w:tcPr>
            <w:tcW w:w="161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84</w:t>
            </w:r>
          </w:p>
        </w:tc>
      </w:tr>
      <w:tr w:rsidR="00452B58" w:rsidRPr="00452B58" w:rsidTr="00452B58">
        <w:trPr>
          <w:trHeight w:val="324"/>
        </w:trPr>
        <w:tc>
          <w:tcPr>
            <w:tcW w:w="2694" w:type="dxa"/>
            <w:noWrap/>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Total HV (Sum)</w:t>
            </w:r>
          </w:p>
        </w:tc>
        <w:tc>
          <w:tcPr>
            <w:tcW w:w="184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3-year average</w:t>
            </w:r>
          </w:p>
        </w:tc>
        <w:tc>
          <w:tcPr>
            <w:tcW w:w="1843"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152</w:t>
            </w:r>
          </w:p>
        </w:tc>
        <w:tc>
          <w:tcPr>
            <w:tcW w:w="170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29</w:t>
            </w:r>
          </w:p>
        </w:tc>
        <w:tc>
          <w:tcPr>
            <w:tcW w:w="161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181</w:t>
            </w:r>
          </w:p>
        </w:tc>
      </w:tr>
    </w:tbl>
    <w:p w:rsidR="00452B58" w:rsidRPr="00452B58" w:rsidRDefault="00452B58" w:rsidP="00E248BF">
      <w:pPr>
        <w:numPr>
          <w:ilvl w:val="0"/>
          <w:numId w:val="77"/>
        </w:numPr>
        <w:tabs>
          <w:tab w:val="left" w:pos="709"/>
        </w:tabs>
        <w:suppressAutoHyphens w:val="0"/>
        <w:spacing w:before="60" w:after="160" w:line="259" w:lineRule="auto"/>
        <w:ind w:left="709" w:hanging="709"/>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Source Table 1.4, Page 5 of BITRE (2020).</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STYLEREF 7 \s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E</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SEQ AppTable \* ARABIC \s 7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2</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Single heavy vehicle crash statistics</w:t>
      </w:r>
    </w:p>
    <w:tbl>
      <w:tblPr>
        <w:tblStyle w:val="ARRBTableStyle"/>
        <w:tblW w:w="9633" w:type="dxa"/>
        <w:tblLook w:val="04A0" w:firstRow="1" w:lastRow="0" w:firstColumn="1" w:lastColumn="0" w:noHBand="0" w:noVBand="1"/>
      </w:tblPr>
      <w:tblGrid>
        <w:gridCol w:w="1483"/>
        <w:gridCol w:w="2340"/>
        <w:gridCol w:w="1134"/>
        <w:gridCol w:w="1417"/>
        <w:gridCol w:w="1559"/>
        <w:gridCol w:w="1700"/>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719"/>
        </w:trPr>
        <w:tc>
          <w:tcPr>
            <w:tcW w:w="1483" w:type="dxa"/>
            <w:hideMark/>
          </w:tcPr>
          <w:p w:rsidR="00452B58" w:rsidRPr="00452B58" w:rsidRDefault="00452B58" w:rsidP="00452B58">
            <w:pPr>
              <w:keepNext/>
              <w:suppressAutoHyphens w:val="0"/>
              <w:spacing w:before="40" w:after="40"/>
              <w:rPr>
                <w:rFonts w:eastAsia="Calibri"/>
                <w:b w:val="0"/>
                <w:kern w:val="0"/>
                <w:szCs w:val="22"/>
                <w:lang w:eastAsia="en-AU"/>
              </w:rPr>
            </w:pPr>
            <w:r w:rsidRPr="00452B58">
              <w:rPr>
                <w:rFonts w:eastAsia="Calibri"/>
                <w:kern w:val="0"/>
                <w:szCs w:val="22"/>
                <w:lang w:eastAsia="en-AU"/>
              </w:rPr>
              <w:t>Main crash type</w:t>
            </w:r>
          </w:p>
        </w:tc>
        <w:tc>
          <w:tcPr>
            <w:tcW w:w="2340" w:type="dxa"/>
            <w:hideMark/>
          </w:tcPr>
          <w:p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Percentage of crashes involving a heavy vehicle</w:t>
            </w:r>
          </w:p>
        </w:tc>
        <w:tc>
          <w:tcPr>
            <w:tcW w:w="1134" w:type="dxa"/>
            <w:hideMark/>
          </w:tcPr>
          <w:p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Sub-group</w:t>
            </w:r>
          </w:p>
        </w:tc>
        <w:tc>
          <w:tcPr>
            <w:tcW w:w="1417" w:type="dxa"/>
            <w:noWrap/>
            <w:hideMark/>
          </w:tcPr>
          <w:p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Assumed subgroup ratio</w:t>
            </w:r>
          </w:p>
        </w:tc>
        <w:tc>
          <w:tcPr>
            <w:tcW w:w="1559" w:type="dxa"/>
            <w:hideMark/>
          </w:tcPr>
          <w:p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Assumed crash %</w:t>
            </w:r>
          </w:p>
        </w:tc>
        <w:tc>
          <w:tcPr>
            <w:tcW w:w="1700" w:type="dxa"/>
            <w:hideMark/>
          </w:tcPr>
          <w:p w:rsidR="00452B58" w:rsidRPr="00452B58" w:rsidRDefault="00452B58" w:rsidP="00452B58">
            <w:pPr>
              <w:keepNext/>
              <w:suppressAutoHyphens w:val="0"/>
              <w:spacing w:before="40" w:after="40"/>
              <w:jc w:val="center"/>
              <w:rPr>
                <w:rFonts w:eastAsia="Calibri"/>
                <w:b w:val="0"/>
                <w:kern w:val="0"/>
                <w:szCs w:val="22"/>
                <w:lang w:eastAsia="en-AU"/>
              </w:rPr>
            </w:pPr>
            <w:r w:rsidRPr="00452B58">
              <w:rPr>
                <w:rFonts w:eastAsia="Calibri"/>
                <w:kern w:val="0"/>
                <w:szCs w:val="22"/>
                <w:lang w:eastAsia="en-AU"/>
              </w:rPr>
              <w:t>Number of fatalities</w:t>
            </w:r>
          </w:p>
        </w:tc>
      </w:tr>
      <w:tr w:rsidR="00452B58" w:rsidRPr="00452B58" w:rsidTr="00452B58">
        <w:trPr>
          <w:trHeight w:val="312"/>
        </w:trPr>
        <w:tc>
          <w:tcPr>
            <w:tcW w:w="1483" w:type="dxa"/>
            <w:vMerge w:val="restart"/>
            <w:noWrap/>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Non-collision (curve)</w:t>
            </w:r>
          </w:p>
        </w:tc>
        <w:tc>
          <w:tcPr>
            <w:tcW w:w="2340"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52%</w:t>
            </w:r>
          </w:p>
        </w:tc>
        <w:tc>
          <w:tcPr>
            <w:tcW w:w="1134"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Off left</w:t>
            </w:r>
          </w:p>
        </w:tc>
        <w:tc>
          <w:tcPr>
            <w:tcW w:w="141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26%</w:t>
            </w:r>
          </w:p>
        </w:tc>
        <w:tc>
          <w:tcPr>
            <w:tcW w:w="1700"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r>
      <w:tr w:rsidR="00452B58" w:rsidRPr="00452B58" w:rsidTr="00452B58">
        <w:trPr>
          <w:trHeight w:val="312"/>
        </w:trPr>
        <w:tc>
          <w:tcPr>
            <w:tcW w:w="1483" w:type="dxa"/>
            <w:vMerge/>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p>
        </w:tc>
        <w:tc>
          <w:tcPr>
            <w:tcW w:w="2340"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52%</w:t>
            </w:r>
          </w:p>
        </w:tc>
        <w:tc>
          <w:tcPr>
            <w:tcW w:w="1134"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Off right</w:t>
            </w:r>
          </w:p>
        </w:tc>
        <w:tc>
          <w:tcPr>
            <w:tcW w:w="141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26%</w:t>
            </w:r>
          </w:p>
        </w:tc>
        <w:tc>
          <w:tcPr>
            <w:tcW w:w="1700"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r>
      <w:tr w:rsidR="00452B58" w:rsidRPr="00452B58" w:rsidTr="00452B58">
        <w:trPr>
          <w:trHeight w:val="312"/>
        </w:trPr>
        <w:tc>
          <w:tcPr>
            <w:tcW w:w="1483" w:type="dxa"/>
            <w:vMerge w:val="restart"/>
            <w:noWrap/>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Non-collision (straight)</w:t>
            </w:r>
          </w:p>
        </w:tc>
        <w:tc>
          <w:tcPr>
            <w:tcW w:w="2340"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46%</w:t>
            </w:r>
          </w:p>
        </w:tc>
        <w:tc>
          <w:tcPr>
            <w:tcW w:w="1134"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Off left</w:t>
            </w:r>
          </w:p>
        </w:tc>
        <w:tc>
          <w:tcPr>
            <w:tcW w:w="141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23%</w:t>
            </w:r>
          </w:p>
        </w:tc>
        <w:tc>
          <w:tcPr>
            <w:tcW w:w="1700"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w:t>
            </w:r>
          </w:p>
        </w:tc>
      </w:tr>
      <w:tr w:rsidR="00452B58" w:rsidRPr="00452B58" w:rsidTr="00452B58">
        <w:trPr>
          <w:trHeight w:val="312"/>
        </w:trPr>
        <w:tc>
          <w:tcPr>
            <w:tcW w:w="1483" w:type="dxa"/>
            <w:vMerge/>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p>
        </w:tc>
        <w:tc>
          <w:tcPr>
            <w:tcW w:w="2340"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46%</w:t>
            </w:r>
          </w:p>
        </w:tc>
        <w:tc>
          <w:tcPr>
            <w:tcW w:w="1134"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Off right</w:t>
            </w:r>
          </w:p>
        </w:tc>
        <w:tc>
          <w:tcPr>
            <w:tcW w:w="141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23%</w:t>
            </w:r>
          </w:p>
        </w:tc>
        <w:tc>
          <w:tcPr>
            <w:tcW w:w="1700"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w:t>
            </w:r>
          </w:p>
        </w:tc>
      </w:tr>
      <w:tr w:rsidR="00452B58" w:rsidRPr="00452B58" w:rsidTr="00452B58">
        <w:trPr>
          <w:trHeight w:val="312"/>
        </w:trPr>
        <w:tc>
          <w:tcPr>
            <w:tcW w:w="1483" w:type="dxa"/>
            <w:noWrap/>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Other</w:t>
            </w:r>
          </w:p>
        </w:tc>
        <w:tc>
          <w:tcPr>
            <w:tcW w:w="2340"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w:t>
            </w:r>
          </w:p>
        </w:tc>
        <w:tc>
          <w:tcPr>
            <w:tcW w:w="1134"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w:t>
            </w:r>
          </w:p>
        </w:tc>
        <w:tc>
          <w:tcPr>
            <w:tcW w:w="141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w:t>
            </w:r>
          </w:p>
        </w:tc>
        <w:tc>
          <w:tcPr>
            <w:tcW w:w="1700"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w:t>
            </w:r>
          </w:p>
        </w:tc>
      </w:tr>
    </w:tbl>
    <w:p w:rsidR="00452B58" w:rsidRPr="00452B58" w:rsidRDefault="00452B58" w:rsidP="00E248BF">
      <w:pPr>
        <w:tabs>
          <w:tab w:val="left" w:pos="709"/>
        </w:tabs>
        <w:suppressAutoHyphens w:val="0"/>
        <w:spacing w:before="60" w:after="160" w:line="259" w:lineRule="auto"/>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Source for columns 1-3: Figure 1.7, Page 11 of BITRE (2020).</w:t>
      </w:r>
    </w:p>
    <w:p w:rsidR="00452B58" w:rsidRPr="00452B58" w:rsidRDefault="00E248BF" w:rsidP="00E248BF">
      <w:pPr>
        <w:tabs>
          <w:tab w:val="left" w:pos="709"/>
        </w:tabs>
        <w:suppressAutoHyphens w:val="0"/>
        <w:spacing w:before="60" w:after="160" w:line="259" w:lineRule="auto"/>
        <w:rPr>
          <w:rFonts w:ascii="Calibri" w:eastAsia="Calibri" w:hAnsi="Calibri" w:cs="Times New Roman"/>
          <w:iCs/>
          <w:color w:val="454647"/>
          <w:kern w:val="0"/>
          <w:sz w:val="18"/>
          <w:szCs w:val="22"/>
        </w:rPr>
      </w:pPr>
      <w:r>
        <w:rPr>
          <w:rFonts w:ascii="Calibri" w:eastAsia="Calibri" w:hAnsi="Calibri" w:cs="Times New Roman"/>
          <w:iCs/>
          <w:color w:val="454647"/>
          <w:kern w:val="0"/>
          <w:sz w:val="18"/>
          <w:szCs w:val="22"/>
        </w:rPr>
        <w:t>*</w:t>
      </w:r>
      <w:r w:rsidR="00452B58" w:rsidRPr="00452B58">
        <w:rPr>
          <w:rFonts w:ascii="Calibri" w:eastAsia="Calibri" w:hAnsi="Calibri" w:cs="Times New Roman"/>
          <w:iCs/>
          <w:color w:val="454647"/>
          <w:kern w:val="0"/>
          <w:sz w:val="18"/>
          <w:szCs w:val="22"/>
        </w:rPr>
        <w:t>The Source lists this value (2%) as 6%, which seems to be an error.</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br w:type="page"/>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STYLEREF 7 \s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E</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SEQ AppTable \* ARABIC \s 7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3</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Multiple vehicle crash statistics</w:t>
      </w:r>
    </w:p>
    <w:tbl>
      <w:tblPr>
        <w:tblStyle w:val="ARRBTableStyle"/>
        <w:tblW w:w="9440" w:type="dxa"/>
        <w:tblLook w:val="04A0" w:firstRow="1" w:lastRow="0" w:firstColumn="1" w:lastColumn="0" w:noHBand="0" w:noVBand="1"/>
      </w:tblPr>
      <w:tblGrid>
        <w:gridCol w:w="1560"/>
        <w:gridCol w:w="2268"/>
        <w:gridCol w:w="1134"/>
        <w:gridCol w:w="1417"/>
        <w:gridCol w:w="1559"/>
        <w:gridCol w:w="1502"/>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594"/>
        </w:trPr>
        <w:tc>
          <w:tcPr>
            <w:tcW w:w="1560" w:type="dxa"/>
            <w:hideMark/>
          </w:tcPr>
          <w:p w:rsidR="00452B58" w:rsidRPr="00452B58" w:rsidRDefault="00452B58" w:rsidP="00452B58">
            <w:pPr>
              <w:keepNext/>
              <w:suppressAutoHyphens w:val="0"/>
              <w:spacing w:before="40" w:after="40"/>
              <w:rPr>
                <w:rFonts w:eastAsia="Calibri"/>
                <w:kern w:val="0"/>
                <w:szCs w:val="22"/>
                <w:lang w:eastAsia="en-AU"/>
              </w:rPr>
            </w:pPr>
            <w:r w:rsidRPr="00452B58">
              <w:rPr>
                <w:rFonts w:eastAsia="Calibri"/>
                <w:kern w:val="0"/>
                <w:szCs w:val="22"/>
                <w:lang w:eastAsia="en-AU"/>
              </w:rPr>
              <w:t>Main crash type</w:t>
            </w:r>
          </w:p>
        </w:tc>
        <w:tc>
          <w:tcPr>
            <w:tcW w:w="2268" w:type="dxa"/>
            <w:hideMark/>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Percentage of crashes involving a heavy vehicle</w:t>
            </w:r>
          </w:p>
        </w:tc>
        <w:tc>
          <w:tcPr>
            <w:tcW w:w="1134" w:type="dxa"/>
            <w:hideMark/>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Sub-group</w:t>
            </w:r>
          </w:p>
        </w:tc>
        <w:tc>
          <w:tcPr>
            <w:tcW w:w="1417" w:type="dxa"/>
            <w:noWrap/>
            <w:hideMark/>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Assumed subgroup ratio</w:t>
            </w:r>
          </w:p>
        </w:tc>
        <w:tc>
          <w:tcPr>
            <w:tcW w:w="1559" w:type="dxa"/>
            <w:hideMark/>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Assumed crash %</w:t>
            </w:r>
          </w:p>
        </w:tc>
        <w:tc>
          <w:tcPr>
            <w:tcW w:w="1502" w:type="dxa"/>
            <w:hideMark/>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Number of fatalities</w:t>
            </w:r>
          </w:p>
        </w:tc>
      </w:tr>
      <w:tr w:rsidR="00452B58" w:rsidRPr="00452B58" w:rsidTr="00452B58">
        <w:trPr>
          <w:trHeight w:val="300"/>
        </w:trPr>
        <w:tc>
          <w:tcPr>
            <w:tcW w:w="1560" w:type="dxa"/>
            <w:vMerge w:val="restart"/>
            <w:noWrap/>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Opposing directions</w:t>
            </w:r>
          </w:p>
        </w:tc>
        <w:tc>
          <w:tcPr>
            <w:tcW w:w="2268"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42%</w:t>
            </w:r>
          </w:p>
        </w:tc>
        <w:tc>
          <w:tcPr>
            <w:tcW w:w="1134"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Head on</w:t>
            </w:r>
          </w:p>
        </w:tc>
        <w:tc>
          <w:tcPr>
            <w:tcW w:w="141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21%</w:t>
            </w:r>
          </w:p>
        </w:tc>
        <w:tc>
          <w:tcPr>
            <w:tcW w:w="150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32</w:t>
            </w:r>
          </w:p>
        </w:tc>
      </w:tr>
      <w:tr w:rsidR="00452B58" w:rsidRPr="00452B58" w:rsidTr="00452B58">
        <w:trPr>
          <w:trHeight w:val="300"/>
        </w:trPr>
        <w:tc>
          <w:tcPr>
            <w:tcW w:w="1560" w:type="dxa"/>
            <w:vMerge/>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p>
        </w:tc>
        <w:tc>
          <w:tcPr>
            <w:tcW w:w="2268"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42%</w:t>
            </w:r>
          </w:p>
        </w:tc>
        <w:tc>
          <w:tcPr>
            <w:tcW w:w="1134"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Right through</w:t>
            </w:r>
          </w:p>
        </w:tc>
        <w:tc>
          <w:tcPr>
            <w:tcW w:w="141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21%</w:t>
            </w:r>
          </w:p>
        </w:tc>
        <w:tc>
          <w:tcPr>
            <w:tcW w:w="150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32</w:t>
            </w:r>
          </w:p>
        </w:tc>
      </w:tr>
      <w:tr w:rsidR="00452B58" w:rsidRPr="00452B58" w:rsidTr="00452B58">
        <w:trPr>
          <w:trHeight w:val="300"/>
        </w:trPr>
        <w:tc>
          <w:tcPr>
            <w:tcW w:w="1560" w:type="dxa"/>
            <w:vMerge w:val="restart"/>
            <w:noWrap/>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Same direction</w:t>
            </w:r>
          </w:p>
        </w:tc>
        <w:tc>
          <w:tcPr>
            <w:tcW w:w="2268"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19%</w:t>
            </w:r>
          </w:p>
        </w:tc>
        <w:tc>
          <w:tcPr>
            <w:tcW w:w="1134"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Rear end</w:t>
            </w:r>
          </w:p>
        </w:tc>
        <w:tc>
          <w:tcPr>
            <w:tcW w:w="141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10%</w:t>
            </w:r>
          </w:p>
        </w:tc>
        <w:tc>
          <w:tcPr>
            <w:tcW w:w="150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14</w:t>
            </w:r>
          </w:p>
        </w:tc>
      </w:tr>
      <w:tr w:rsidR="00452B58" w:rsidRPr="00452B58" w:rsidTr="00452B58">
        <w:trPr>
          <w:trHeight w:val="300"/>
        </w:trPr>
        <w:tc>
          <w:tcPr>
            <w:tcW w:w="1560" w:type="dxa"/>
            <w:vMerge/>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p>
        </w:tc>
        <w:tc>
          <w:tcPr>
            <w:tcW w:w="2268"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19%</w:t>
            </w:r>
          </w:p>
        </w:tc>
        <w:tc>
          <w:tcPr>
            <w:tcW w:w="1134"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Side swipe</w:t>
            </w:r>
          </w:p>
        </w:tc>
        <w:tc>
          <w:tcPr>
            <w:tcW w:w="141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10%</w:t>
            </w:r>
          </w:p>
        </w:tc>
        <w:tc>
          <w:tcPr>
            <w:tcW w:w="150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14</w:t>
            </w:r>
          </w:p>
        </w:tc>
      </w:tr>
      <w:tr w:rsidR="00452B58" w:rsidRPr="00452B58" w:rsidTr="00452B58">
        <w:trPr>
          <w:trHeight w:val="300"/>
        </w:trPr>
        <w:tc>
          <w:tcPr>
            <w:tcW w:w="1560" w:type="dxa"/>
            <w:vMerge w:val="restart"/>
            <w:noWrap/>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Adjacent direction</w:t>
            </w:r>
          </w:p>
        </w:tc>
        <w:tc>
          <w:tcPr>
            <w:tcW w:w="2268"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12%</w:t>
            </w:r>
          </w:p>
        </w:tc>
        <w:tc>
          <w:tcPr>
            <w:tcW w:w="1134"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Right near</w:t>
            </w:r>
          </w:p>
        </w:tc>
        <w:tc>
          <w:tcPr>
            <w:tcW w:w="141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w:t>
            </w:r>
          </w:p>
        </w:tc>
        <w:tc>
          <w:tcPr>
            <w:tcW w:w="150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r>
      <w:tr w:rsidR="00452B58" w:rsidRPr="00452B58" w:rsidTr="00452B58">
        <w:trPr>
          <w:trHeight w:val="300"/>
        </w:trPr>
        <w:tc>
          <w:tcPr>
            <w:tcW w:w="1560" w:type="dxa"/>
            <w:vMerge/>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p>
        </w:tc>
        <w:tc>
          <w:tcPr>
            <w:tcW w:w="2268"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12%</w:t>
            </w:r>
          </w:p>
        </w:tc>
        <w:tc>
          <w:tcPr>
            <w:tcW w:w="1134"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Cross traffic</w:t>
            </w:r>
          </w:p>
        </w:tc>
        <w:tc>
          <w:tcPr>
            <w:tcW w:w="141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w:t>
            </w:r>
          </w:p>
        </w:tc>
        <w:tc>
          <w:tcPr>
            <w:tcW w:w="150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r>
      <w:tr w:rsidR="00452B58" w:rsidRPr="00452B58" w:rsidTr="00452B58">
        <w:trPr>
          <w:trHeight w:val="300"/>
        </w:trPr>
        <w:tc>
          <w:tcPr>
            <w:tcW w:w="1560" w:type="dxa"/>
            <w:vMerge w:val="restart"/>
            <w:noWrap/>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Pedestrian</w:t>
            </w:r>
          </w:p>
        </w:tc>
        <w:tc>
          <w:tcPr>
            <w:tcW w:w="2268"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11%</w:t>
            </w:r>
          </w:p>
        </w:tc>
        <w:tc>
          <w:tcPr>
            <w:tcW w:w="1134"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Near side</w:t>
            </w:r>
          </w:p>
        </w:tc>
        <w:tc>
          <w:tcPr>
            <w:tcW w:w="141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w:t>
            </w:r>
          </w:p>
        </w:tc>
        <w:tc>
          <w:tcPr>
            <w:tcW w:w="150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r>
      <w:tr w:rsidR="00452B58" w:rsidRPr="00452B58" w:rsidTr="00452B58">
        <w:trPr>
          <w:trHeight w:val="300"/>
        </w:trPr>
        <w:tc>
          <w:tcPr>
            <w:tcW w:w="1560" w:type="dxa"/>
            <w:vMerge/>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p>
        </w:tc>
        <w:tc>
          <w:tcPr>
            <w:tcW w:w="2268"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11%</w:t>
            </w:r>
          </w:p>
        </w:tc>
        <w:tc>
          <w:tcPr>
            <w:tcW w:w="1134"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Play/work</w:t>
            </w:r>
          </w:p>
        </w:tc>
        <w:tc>
          <w:tcPr>
            <w:tcW w:w="141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6%</w:t>
            </w:r>
          </w:p>
        </w:tc>
        <w:tc>
          <w:tcPr>
            <w:tcW w:w="150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r>
      <w:tr w:rsidR="00452B58" w:rsidRPr="00452B58" w:rsidTr="00452B58">
        <w:trPr>
          <w:trHeight w:val="300"/>
        </w:trPr>
        <w:tc>
          <w:tcPr>
            <w:tcW w:w="1560" w:type="dxa"/>
            <w:noWrap/>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Other</w:t>
            </w:r>
          </w:p>
        </w:tc>
        <w:tc>
          <w:tcPr>
            <w:tcW w:w="2268"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16%</w:t>
            </w:r>
          </w:p>
        </w:tc>
        <w:tc>
          <w:tcPr>
            <w:tcW w:w="1134"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w:t>
            </w:r>
          </w:p>
        </w:tc>
        <w:tc>
          <w:tcPr>
            <w:tcW w:w="141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16%</w:t>
            </w:r>
          </w:p>
        </w:tc>
        <w:tc>
          <w:tcPr>
            <w:tcW w:w="150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24</w:t>
            </w:r>
          </w:p>
        </w:tc>
      </w:tr>
    </w:tbl>
    <w:p w:rsidR="00452B58" w:rsidRPr="00452B58" w:rsidRDefault="00452B58" w:rsidP="00E248BF">
      <w:pPr>
        <w:tabs>
          <w:tab w:val="left" w:pos="709"/>
        </w:tabs>
        <w:suppressAutoHyphens w:val="0"/>
        <w:spacing w:before="60" w:after="160" w:line="259" w:lineRule="auto"/>
        <w:rPr>
          <w:rFonts w:ascii="Calibri" w:eastAsia="Calibri" w:hAnsi="Calibri" w:cs="Times New Roman"/>
          <w:iCs/>
          <w:color w:val="454647"/>
          <w:kern w:val="0"/>
          <w:sz w:val="18"/>
          <w:szCs w:val="22"/>
        </w:rPr>
      </w:pPr>
      <w:r w:rsidRPr="00452B58">
        <w:rPr>
          <w:rFonts w:ascii="Calibri" w:eastAsia="Calibri" w:hAnsi="Calibri" w:cs="Times New Roman"/>
          <w:iCs/>
          <w:color w:val="454647"/>
          <w:kern w:val="0"/>
          <w:sz w:val="18"/>
          <w:szCs w:val="22"/>
        </w:rPr>
        <w:t xml:space="preserve">Source for columns 1-3: Figure 1.7, Page 10 (BITRE 2020). </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above data, numbers of fatalities and the proportions of fatalities by crash type, were used to determine fatality proportions by crash type across single and multiple vehicle crashes involving heavy vehicles, as shown in Table E.4.</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STYLEREF 7 \s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E</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SEQ AppTable \* ARABIC \s 7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4</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 xml:space="preserve">Total heavy vehicle crashes by type </w:t>
      </w:r>
    </w:p>
    <w:tbl>
      <w:tblPr>
        <w:tblStyle w:val="ARRBTableStyle"/>
        <w:tblW w:w="9351" w:type="dxa"/>
        <w:tblLook w:val="04A0" w:firstRow="1" w:lastRow="0" w:firstColumn="1" w:lastColumn="0" w:noHBand="0" w:noVBand="1"/>
      </w:tblPr>
      <w:tblGrid>
        <w:gridCol w:w="1985"/>
        <w:gridCol w:w="2977"/>
        <w:gridCol w:w="2126"/>
        <w:gridCol w:w="2263"/>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300"/>
        </w:trPr>
        <w:tc>
          <w:tcPr>
            <w:tcW w:w="1985" w:type="dxa"/>
            <w:hideMark/>
          </w:tcPr>
          <w:p w:rsidR="00452B58" w:rsidRPr="00452B58" w:rsidRDefault="00452B58" w:rsidP="00452B58">
            <w:pPr>
              <w:keepNext/>
              <w:suppressAutoHyphens w:val="0"/>
              <w:spacing w:before="40" w:after="40"/>
              <w:rPr>
                <w:rFonts w:eastAsia="Calibri"/>
                <w:kern w:val="0"/>
                <w:szCs w:val="22"/>
                <w:lang w:eastAsia="en-AU"/>
              </w:rPr>
            </w:pPr>
            <w:r w:rsidRPr="00452B58">
              <w:rPr>
                <w:rFonts w:eastAsia="Calibri"/>
                <w:kern w:val="0"/>
                <w:szCs w:val="22"/>
                <w:lang w:eastAsia="en-AU"/>
              </w:rPr>
              <w:t>Main crash type</w:t>
            </w:r>
          </w:p>
        </w:tc>
        <w:tc>
          <w:tcPr>
            <w:tcW w:w="2977" w:type="dxa"/>
            <w:hideMark/>
          </w:tcPr>
          <w:p w:rsidR="00452B58" w:rsidRPr="00452B58" w:rsidRDefault="00452B58" w:rsidP="00452B58">
            <w:pPr>
              <w:keepNext/>
              <w:suppressAutoHyphens w:val="0"/>
              <w:spacing w:before="40" w:after="40"/>
              <w:rPr>
                <w:rFonts w:eastAsia="Calibri"/>
                <w:kern w:val="0"/>
                <w:szCs w:val="22"/>
                <w:lang w:eastAsia="en-AU"/>
              </w:rPr>
            </w:pPr>
            <w:r w:rsidRPr="00452B58">
              <w:rPr>
                <w:rFonts w:eastAsia="Calibri"/>
                <w:kern w:val="0"/>
                <w:szCs w:val="22"/>
                <w:lang w:eastAsia="en-AU"/>
              </w:rPr>
              <w:t>Sub-group</w:t>
            </w:r>
          </w:p>
        </w:tc>
        <w:tc>
          <w:tcPr>
            <w:tcW w:w="4389" w:type="dxa"/>
            <w:gridSpan w:val="2"/>
            <w:noWrap/>
            <w:hideMark/>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Fatalities</w:t>
            </w:r>
          </w:p>
        </w:tc>
      </w:tr>
      <w:tr w:rsidR="00452B58" w:rsidRPr="00452B58" w:rsidTr="00452B58">
        <w:trPr>
          <w:trHeight w:val="300"/>
        </w:trPr>
        <w:tc>
          <w:tcPr>
            <w:tcW w:w="1985" w:type="dxa"/>
            <w:noWrap/>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Run off road</w:t>
            </w:r>
          </w:p>
        </w:tc>
        <w:tc>
          <w:tcPr>
            <w:tcW w:w="2977"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All (straight and curve)</w:t>
            </w:r>
          </w:p>
        </w:tc>
        <w:tc>
          <w:tcPr>
            <w:tcW w:w="2126"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28</w:t>
            </w:r>
          </w:p>
        </w:tc>
        <w:tc>
          <w:tcPr>
            <w:tcW w:w="2263"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16%</w:t>
            </w:r>
          </w:p>
        </w:tc>
      </w:tr>
      <w:tr w:rsidR="00452B58" w:rsidRPr="00452B58" w:rsidTr="00452B58">
        <w:trPr>
          <w:trHeight w:val="300"/>
        </w:trPr>
        <w:tc>
          <w:tcPr>
            <w:tcW w:w="1985" w:type="dxa"/>
            <w:vMerge w:val="restart"/>
            <w:noWrap/>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Opposing directions</w:t>
            </w:r>
          </w:p>
        </w:tc>
        <w:tc>
          <w:tcPr>
            <w:tcW w:w="2977"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Head on</w:t>
            </w:r>
          </w:p>
        </w:tc>
        <w:tc>
          <w:tcPr>
            <w:tcW w:w="2126"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32</w:t>
            </w:r>
          </w:p>
        </w:tc>
        <w:tc>
          <w:tcPr>
            <w:tcW w:w="2263"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18%</w:t>
            </w:r>
          </w:p>
        </w:tc>
      </w:tr>
      <w:tr w:rsidR="00452B58" w:rsidRPr="00452B58" w:rsidTr="00452B58">
        <w:trPr>
          <w:trHeight w:val="300"/>
        </w:trPr>
        <w:tc>
          <w:tcPr>
            <w:tcW w:w="1985" w:type="dxa"/>
            <w:vMerge/>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p>
        </w:tc>
        <w:tc>
          <w:tcPr>
            <w:tcW w:w="2977"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Right through</w:t>
            </w:r>
          </w:p>
        </w:tc>
        <w:tc>
          <w:tcPr>
            <w:tcW w:w="2126"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32</w:t>
            </w:r>
          </w:p>
        </w:tc>
        <w:tc>
          <w:tcPr>
            <w:tcW w:w="2263"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18%</w:t>
            </w:r>
          </w:p>
        </w:tc>
      </w:tr>
      <w:tr w:rsidR="00452B58" w:rsidRPr="00452B58" w:rsidTr="00452B58">
        <w:trPr>
          <w:trHeight w:val="300"/>
        </w:trPr>
        <w:tc>
          <w:tcPr>
            <w:tcW w:w="1985" w:type="dxa"/>
            <w:vMerge w:val="restart"/>
            <w:noWrap/>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Same direction</w:t>
            </w:r>
          </w:p>
        </w:tc>
        <w:tc>
          <w:tcPr>
            <w:tcW w:w="2977"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Rear end</w:t>
            </w:r>
          </w:p>
        </w:tc>
        <w:tc>
          <w:tcPr>
            <w:tcW w:w="2126"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14</w:t>
            </w:r>
          </w:p>
        </w:tc>
        <w:tc>
          <w:tcPr>
            <w:tcW w:w="2263"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r>
      <w:tr w:rsidR="00452B58" w:rsidRPr="00452B58" w:rsidTr="00452B58">
        <w:trPr>
          <w:trHeight w:val="300"/>
        </w:trPr>
        <w:tc>
          <w:tcPr>
            <w:tcW w:w="1985" w:type="dxa"/>
            <w:vMerge/>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p>
        </w:tc>
        <w:tc>
          <w:tcPr>
            <w:tcW w:w="2977"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Side swipe</w:t>
            </w:r>
          </w:p>
        </w:tc>
        <w:tc>
          <w:tcPr>
            <w:tcW w:w="2126"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14</w:t>
            </w:r>
          </w:p>
        </w:tc>
        <w:tc>
          <w:tcPr>
            <w:tcW w:w="2263"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r>
      <w:tr w:rsidR="00452B58" w:rsidRPr="00452B58" w:rsidTr="00452B58">
        <w:trPr>
          <w:trHeight w:val="300"/>
        </w:trPr>
        <w:tc>
          <w:tcPr>
            <w:tcW w:w="1985" w:type="dxa"/>
            <w:vMerge w:val="restart"/>
            <w:noWrap/>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Adjacent direction</w:t>
            </w:r>
          </w:p>
        </w:tc>
        <w:tc>
          <w:tcPr>
            <w:tcW w:w="2977"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Right near</w:t>
            </w:r>
          </w:p>
        </w:tc>
        <w:tc>
          <w:tcPr>
            <w:tcW w:w="2126"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c>
          <w:tcPr>
            <w:tcW w:w="2263"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w:t>
            </w:r>
          </w:p>
        </w:tc>
      </w:tr>
      <w:tr w:rsidR="00452B58" w:rsidRPr="00452B58" w:rsidTr="00452B58">
        <w:trPr>
          <w:trHeight w:val="300"/>
        </w:trPr>
        <w:tc>
          <w:tcPr>
            <w:tcW w:w="1985" w:type="dxa"/>
            <w:vMerge/>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p>
        </w:tc>
        <w:tc>
          <w:tcPr>
            <w:tcW w:w="2977"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Cross traffic</w:t>
            </w:r>
          </w:p>
        </w:tc>
        <w:tc>
          <w:tcPr>
            <w:tcW w:w="2126"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c>
          <w:tcPr>
            <w:tcW w:w="2263"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w:t>
            </w:r>
          </w:p>
        </w:tc>
      </w:tr>
      <w:tr w:rsidR="00452B58" w:rsidRPr="00452B58" w:rsidTr="00452B58">
        <w:trPr>
          <w:trHeight w:val="300"/>
        </w:trPr>
        <w:tc>
          <w:tcPr>
            <w:tcW w:w="1985" w:type="dxa"/>
            <w:vMerge w:val="restart"/>
            <w:noWrap/>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Pedestrian</w:t>
            </w:r>
          </w:p>
        </w:tc>
        <w:tc>
          <w:tcPr>
            <w:tcW w:w="2977"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Near side</w:t>
            </w:r>
          </w:p>
        </w:tc>
        <w:tc>
          <w:tcPr>
            <w:tcW w:w="2126"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c>
          <w:tcPr>
            <w:tcW w:w="2263"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w:t>
            </w:r>
          </w:p>
        </w:tc>
      </w:tr>
      <w:tr w:rsidR="00452B58" w:rsidRPr="00452B58" w:rsidTr="00452B58">
        <w:trPr>
          <w:trHeight w:val="300"/>
        </w:trPr>
        <w:tc>
          <w:tcPr>
            <w:tcW w:w="1985" w:type="dxa"/>
            <w:vMerge/>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p>
        </w:tc>
        <w:tc>
          <w:tcPr>
            <w:tcW w:w="2977"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Play/work</w:t>
            </w:r>
          </w:p>
        </w:tc>
        <w:tc>
          <w:tcPr>
            <w:tcW w:w="2126"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c>
          <w:tcPr>
            <w:tcW w:w="2263"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w:t>
            </w:r>
          </w:p>
        </w:tc>
      </w:tr>
      <w:tr w:rsidR="00452B58" w:rsidRPr="00452B58" w:rsidTr="00452B58">
        <w:trPr>
          <w:trHeight w:val="300"/>
        </w:trPr>
        <w:tc>
          <w:tcPr>
            <w:tcW w:w="1985" w:type="dxa"/>
            <w:noWrap/>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Other</w:t>
            </w:r>
          </w:p>
        </w:tc>
        <w:tc>
          <w:tcPr>
            <w:tcW w:w="2977"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All (single and multiple vehicles.)</w:t>
            </w:r>
          </w:p>
        </w:tc>
        <w:tc>
          <w:tcPr>
            <w:tcW w:w="2126"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25</w:t>
            </w:r>
          </w:p>
        </w:tc>
        <w:tc>
          <w:tcPr>
            <w:tcW w:w="2263"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14%</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efficacy of safety features, as determined by a review of the literature relating these to specific crash types is shown in Table E.5. Where the crash reduction factors (CRF) are identified as applying to a specific crash sub-group, these CRFs are applied in full. If the sub-types are not mentioned, the CRF for the crash type is divided evenly between the crash sub-groups. It should be noted that these CRFs are for the specific crash types listed, not all crashes.</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br w:type="page"/>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STYLEREF 7 \s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color w:val="67696A"/>
          <w:kern w:val="0"/>
          <w:sz w:val="18"/>
          <w:szCs w:val="22"/>
        </w:rPr>
        <w:t>E</w:t>
      </w:r>
      <w:r w:rsidRPr="00452B58">
        <w:rPr>
          <w:rFonts w:ascii="Calibri" w:eastAsia="Calibri" w:hAnsi="Calibri" w:cs="Times New Roman"/>
          <w:b/>
          <w:bCs/>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fldChar w:fldCharType="begin"/>
      </w:r>
      <w:r w:rsidRPr="00452B58">
        <w:rPr>
          <w:rFonts w:ascii="Calibri" w:eastAsia="Calibri" w:hAnsi="Calibri" w:cs="Times New Roman"/>
          <w:b/>
          <w:bCs/>
          <w:color w:val="67696A"/>
          <w:kern w:val="0"/>
          <w:sz w:val="18"/>
          <w:szCs w:val="22"/>
        </w:rPr>
        <w:instrText xml:space="preserve"> SEQ AppTable \* ARABIC \s 7 </w:instrText>
      </w:r>
      <w:r w:rsidRPr="00452B58">
        <w:rPr>
          <w:rFonts w:ascii="Calibri" w:eastAsia="Calibri" w:hAnsi="Calibri" w:cs="Times New Roman"/>
          <w:b/>
          <w:bCs/>
          <w:color w:val="67696A"/>
          <w:kern w:val="0"/>
          <w:sz w:val="18"/>
          <w:szCs w:val="22"/>
        </w:rPr>
        <w:fldChar w:fldCharType="separate"/>
      </w:r>
      <w:r w:rsidRPr="00452B58">
        <w:rPr>
          <w:rFonts w:ascii="Calibri" w:eastAsia="Calibri" w:hAnsi="Calibri" w:cs="Times New Roman"/>
          <w:b/>
          <w:bCs/>
          <w:color w:val="67696A"/>
          <w:kern w:val="0"/>
          <w:sz w:val="18"/>
          <w:szCs w:val="22"/>
        </w:rPr>
        <w:t>5</w:t>
      </w:r>
      <w:r w:rsidRPr="00452B58">
        <w:rPr>
          <w:rFonts w:ascii="Calibri" w:eastAsia="Calibri" w:hAnsi="Calibri" w:cs="Times New Roman"/>
          <w:b/>
          <w:bCs/>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Crash reduction factors applied to crash type sub-groups</w:t>
      </w:r>
    </w:p>
    <w:tbl>
      <w:tblPr>
        <w:tblStyle w:val="ARRBTableStyle"/>
        <w:tblW w:w="8642" w:type="dxa"/>
        <w:tblLook w:val="04A0" w:firstRow="1" w:lastRow="0" w:firstColumn="1" w:lastColumn="0" w:noHBand="0" w:noVBand="1"/>
      </w:tblPr>
      <w:tblGrid>
        <w:gridCol w:w="3397"/>
        <w:gridCol w:w="1276"/>
        <w:gridCol w:w="851"/>
        <w:gridCol w:w="567"/>
        <w:gridCol w:w="992"/>
        <w:gridCol w:w="1559"/>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300"/>
        </w:trPr>
        <w:tc>
          <w:tcPr>
            <w:tcW w:w="3397" w:type="dxa"/>
            <w:vMerge w:val="restart"/>
            <w:tcBorders>
              <w:right w:val="single" w:sz="8" w:space="0" w:color="FFFFFF"/>
            </w:tcBorders>
            <w:noWrap/>
            <w:hideMark/>
          </w:tcPr>
          <w:p w:rsidR="00452B58" w:rsidRPr="00452B58" w:rsidRDefault="00452B58" w:rsidP="00452B58">
            <w:pPr>
              <w:keepNext/>
              <w:suppressAutoHyphens w:val="0"/>
              <w:spacing w:before="40" w:after="40"/>
              <w:rPr>
                <w:rFonts w:eastAsia="Calibri"/>
                <w:kern w:val="0"/>
                <w:szCs w:val="22"/>
                <w:lang w:eastAsia="en-AU"/>
              </w:rPr>
            </w:pPr>
            <w:r w:rsidRPr="00452B58">
              <w:rPr>
                <w:rFonts w:eastAsia="Calibri"/>
                <w:kern w:val="0"/>
                <w:szCs w:val="22"/>
                <w:lang w:eastAsia="en-AU"/>
              </w:rPr>
              <w:t>Safety feature</w:t>
            </w:r>
          </w:p>
        </w:tc>
        <w:tc>
          <w:tcPr>
            <w:tcW w:w="1276" w:type="dxa"/>
            <w:vMerge w:val="restart"/>
            <w:tcBorders>
              <w:left w:val="single" w:sz="8" w:space="0" w:color="FFFFFF"/>
              <w:right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Mitigated crash types</w:t>
            </w:r>
          </w:p>
        </w:tc>
        <w:tc>
          <w:tcPr>
            <w:tcW w:w="1418" w:type="dxa"/>
            <w:gridSpan w:val="2"/>
            <w:tcBorders>
              <w:left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Crash reduction</w:t>
            </w:r>
          </w:p>
        </w:tc>
        <w:tc>
          <w:tcPr>
            <w:tcW w:w="992" w:type="dxa"/>
            <w:vMerge w:val="restart"/>
            <w:tcBorders>
              <w:right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Average CRF</w:t>
            </w:r>
          </w:p>
        </w:tc>
        <w:tc>
          <w:tcPr>
            <w:tcW w:w="1559" w:type="dxa"/>
            <w:vMerge w:val="restart"/>
            <w:tcBorders>
              <w:left w:val="single" w:sz="8" w:space="0" w:color="FFFFFF"/>
            </w:tcBorders>
            <w:noWrap/>
            <w:hideMark/>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Note</w:t>
            </w:r>
          </w:p>
        </w:tc>
      </w:tr>
      <w:tr w:rsidR="00452B58" w:rsidRPr="00452B58" w:rsidTr="00452B58">
        <w:trPr>
          <w:trHeight w:val="300"/>
        </w:trPr>
        <w:tc>
          <w:tcPr>
            <w:tcW w:w="3397" w:type="dxa"/>
            <w:vMerge/>
            <w:tcBorders>
              <w:right w:val="single" w:sz="8" w:space="0" w:color="FFFFFF"/>
            </w:tcBorders>
            <w:hideMark/>
          </w:tcPr>
          <w:p w:rsidR="00452B58" w:rsidRPr="00452B58" w:rsidRDefault="00452B58" w:rsidP="00452B58">
            <w:pPr>
              <w:suppressAutoHyphens w:val="0"/>
              <w:spacing w:before="40" w:after="40"/>
              <w:rPr>
                <w:rFonts w:ascii="Calibri" w:eastAsia="Calibri" w:hAnsi="Calibri" w:cs="Times New Roman"/>
                <w:kern w:val="0"/>
                <w:szCs w:val="22"/>
                <w:lang w:eastAsia="en-AU"/>
              </w:rPr>
            </w:pPr>
          </w:p>
        </w:tc>
        <w:tc>
          <w:tcPr>
            <w:tcW w:w="1276" w:type="dxa"/>
            <w:vMerge/>
            <w:tcBorders>
              <w:left w:val="single" w:sz="8" w:space="0" w:color="FFFFFF"/>
              <w:right w:val="single" w:sz="8" w:space="0" w:color="FFFFFF"/>
            </w:tcBorders>
            <w:shd w:val="clear" w:color="auto" w:fill="00A1DE"/>
            <w:hideMark/>
          </w:tcPr>
          <w:p w:rsidR="00452B58" w:rsidRPr="00452B58" w:rsidRDefault="00452B58" w:rsidP="00E248BF">
            <w:pPr>
              <w:numPr>
                <w:ilvl w:val="0"/>
                <w:numId w:val="77"/>
              </w:numPr>
              <w:suppressAutoHyphens w:val="0"/>
              <w:spacing w:before="40" w:after="40" w:line="259" w:lineRule="auto"/>
              <w:ind w:left="0" w:firstLine="0"/>
              <w:jc w:val="center"/>
              <w:rPr>
                <w:rFonts w:ascii="Calibri" w:eastAsia="Calibri" w:hAnsi="Calibri" w:cs="Times New Roman"/>
                <w:kern w:val="0"/>
                <w:szCs w:val="22"/>
                <w:lang w:eastAsia="en-AU"/>
              </w:rPr>
            </w:pPr>
          </w:p>
        </w:tc>
        <w:tc>
          <w:tcPr>
            <w:tcW w:w="851"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color w:val="FFFFFF"/>
                <w:kern w:val="0"/>
                <w:szCs w:val="22"/>
                <w:lang w:eastAsia="en-AU"/>
              </w:rPr>
            </w:pPr>
            <w:r w:rsidRPr="00452B58">
              <w:rPr>
                <w:rFonts w:eastAsia="Calibri" w:cs="Times New Roman"/>
                <w:color w:val="FFFFFF"/>
                <w:kern w:val="0"/>
                <w:szCs w:val="22"/>
                <w:lang w:eastAsia="en-AU"/>
              </w:rPr>
              <w:t>Min.</w:t>
            </w:r>
          </w:p>
        </w:tc>
        <w:tc>
          <w:tcPr>
            <w:tcW w:w="567" w:type="dxa"/>
            <w:tcBorders>
              <w:top w:val="single" w:sz="8" w:space="0" w:color="FFFFFF"/>
              <w:left w:val="single" w:sz="8" w:space="0" w:color="FFFFFF"/>
              <w:right w:val="single" w:sz="8" w:space="0" w:color="FFFFFF"/>
            </w:tcBorders>
            <w:shd w:val="clear" w:color="auto" w:fill="00A1DE"/>
            <w:noWrap/>
            <w:hideMark/>
          </w:tcPr>
          <w:p w:rsidR="00452B58" w:rsidRPr="00452B58" w:rsidRDefault="00452B58" w:rsidP="00452B58">
            <w:pPr>
              <w:keepNext/>
              <w:suppressAutoHyphens w:val="0"/>
              <w:spacing w:before="40" w:after="40"/>
              <w:jc w:val="center"/>
              <w:rPr>
                <w:rFonts w:eastAsia="Calibri" w:cs="Times New Roman"/>
                <w:color w:val="FFFFFF"/>
                <w:kern w:val="0"/>
                <w:szCs w:val="22"/>
                <w:lang w:eastAsia="en-AU"/>
              </w:rPr>
            </w:pPr>
            <w:r w:rsidRPr="00452B58">
              <w:rPr>
                <w:rFonts w:eastAsia="Calibri" w:cs="Times New Roman"/>
                <w:color w:val="FFFFFF"/>
                <w:kern w:val="0"/>
                <w:szCs w:val="22"/>
                <w:lang w:eastAsia="en-AU"/>
              </w:rPr>
              <w:t>Max.</w:t>
            </w:r>
          </w:p>
        </w:tc>
        <w:tc>
          <w:tcPr>
            <w:tcW w:w="992" w:type="dxa"/>
            <w:vMerge/>
            <w:tcBorders>
              <w:left w:val="single" w:sz="8" w:space="0" w:color="FFFFFF"/>
              <w:right w:val="single" w:sz="8" w:space="0" w:color="FFFFFF"/>
            </w:tcBorders>
            <w:hideMark/>
          </w:tcPr>
          <w:p w:rsidR="00452B58" w:rsidRPr="00452B58" w:rsidRDefault="00452B58" w:rsidP="00E248BF">
            <w:pPr>
              <w:numPr>
                <w:ilvl w:val="0"/>
                <w:numId w:val="77"/>
              </w:numPr>
              <w:suppressAutoHyphens w:val="0"/>
              <w:spacing w:before="40" w:after="40" w:line="259" w:lineRule="auto"/>
              <w:ind w:left="0" w:firstLine="0"/>
              <w:jc w:val="center"/>
              <w:rPr>
                <w:rFonts w:ascii="Calibri" w:eastAsia="Calibri" w:hAnsi="Calibri" w:cs="Times New Roman"/>
                <w:kern w:val="0"/>
                <w:szCs w:val="22"/>
                <w:lang w:eastAsia="en-AU"/>
              </w:rPr>
            </w:pPr>
          </w:p>
        </w:tc>
        <w:tc>
          <w:tcPr>
            <w:tcW w:w="1559" w:type="dxa"/>
            <w:vMerge/>
            <w:tcBorders>
              <w:left w:val="single" w:sz="8" w:space="0" w:color="FFFFFF"/>
            </w:tcBorders>
            <w:hideMark/>
          </w:tcPr>
          <w:p w:rsidR="00452B58" w:rsidRPr="00452B58" w:rsidRDefault="00452B58" w:rsidP="00E248BF">
            <w:pPr>
              <w:numPr>
                <w:ilvl w:val="0"/>
                <w:numId w:val="77"/>
              </w:numPr>
              <w:suppressAutoHyphens w:val="0"/>
              <w:spacing w:before="40" w:after="40" w:line="259" w:lineRule="auto"/>
              <w:ind w:left="0" w:firstLine="0"/>
              <w:jc w:val="center"/>
              <w:rPr>
                <w:rFonts w:ascii="Calibri" w:eastAsia="Calibri" w:hAnsi="Calibri" w:cs="Times New Roman"/>
                <w:kern w:val="0"/>
                <w:szCs w:val="22"/>
                <w:lang w:eastAsia="en-AU"/>
              </w:rPr>
            </w:pPr>
          </w:p>
        </w:tc>
      </w:tr>
      <w:tr w:rsidR="00452B58" w:rsidRPr="00452B58" w:rsidTr="00452B58">
        <w:trPr>
          <w:trHeight w:val="300"/>
        </w:trPr>
        <w:tc>
          <w:tcPr>
            <w:tcW w:w="3397" w:type="dxa"/>
            <w:vMerge w:val="restart"/>
            <w:noWrap/>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Lane departure warning</w:t>
            </w:r>
          </w:p>
        </w:tc>
        <w:tc>
          <w:tcPr>
            <w:tcW w:w="1276"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Run off road</w:t>
            </w:r>
          </w:p>
        </w:tc>
        <w:tc>
          <w:tcPr>
            <w:tcW w:w="85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23%</w:t>
            </w:r>
          </w:p>
        </w:tc>
        <w:tc>
          <w:tcPr>
            <w:tcW w:w="56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53%</w:t>
            </w:r>
          </w:p>
        </w:tc>
        <w:tc>
          <w:tcPr>
            <w:tcW w:w="99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38%</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CRF by crash type</w:t>
            </w:r>
          </w:p>
        </w:tc>
      </w:tr>
      <w:tr w:rsidR="00452B58" w:rsidRPr="00452B58" w:rsidTr="00452B58">
        <w:trPr>
          <w:trHeight w:val="300"/>
        </w:trPr>
        <w:tc>
          <w:tcPr>
            <w:tcW w:w="3397" w:type="dxa"/>
            <w:vMerge/>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p>
        </w:tc>
        <w:tc>
          <w:tcPr>
            <w:tcW w:w="1276"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Head on</w:t>
            </w:r>
          </w:p>
        </w:tc>
        <w:tc>
          <w:tcPr>
            <w:tcW w:w="85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24%</w:t>
            </w:r>
          </w:p>
        </w:tc>
        <w:tc>
          <w:tcPr>
            <w:tcW w:w="56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50%</w:t>
            </w:r>
          </w:p>
        </w:tc>
        <w:tc>
          <w:tcPr>
            <w:tcW w:w="99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37%</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CRF by crash type</w:t>
            </w:r>
          </w:p>
        </w:tc>
      </w:tr>
      <w:tr w:rsidR="00452B58" w:rsidRPr="00452B58" w:rsidTr="00452B58">
        <w:trPr>
          <w:trHeight w:val="300"/>
        </w:trPr>
        <w:tc>
          <w:tcPr>
            <w:tcW w:w="3397" w:type="dxa"/>
            <w:vMerge/>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p>
        </w:tc>
        <w:tc>
          <w:tcPr>
            <w:tcW w:w="1276"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Side swipe</w:t>
            </w:r>
          </w:p>
        </w:tc>
        <w:tc>
          <w:tcPr>
            <w:tcW w:w="85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24%</w:t>
            </w:r>
          </w:p>
        </w:tc>
        <w:tc>
          <w:tcPr>
            <w:tcW w:w="56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50%</w:t>
            </w:r>
          </w:p>
        </w:tc>
        <w:tc>
          <w:tcPr>
            <w:tcW w:w="99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37%</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CRF by crash type</w:t>
            </w:r>
          </w:p>
        </w:tc>
      </w:tr>
      <w:tr w:rsidR="00452B58" w:rsidRPr="00452B58" w:rsidTr="00452B58">
        <w:trPr>
          <w:trHeight w:val="300"/>
        </w:trPr>
        <w:tc>
          <w:tcPr>
            <w:tcW w:w="3397" w:type="dxa"/>
            <w:noWrap/>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Autonomous emergency braking system</w:t>
            </w:r>
          </w:p>
        </w:tc>
        <w:tc>
          <w:tcPr>
            <w:tcW w:w="1276"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Rear end</w:t>
            </w:r>
          </w:p>
        </w:tc>
        <w:tc>
          <w:tcPr>
            <w:tcW w:w="85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20%</w:t>
            </w:r>
          </w:p>
        </w:tc>
        <w:tc>
          <w:tcPr>
            <w:tcW w:w="56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50%</w:t>
            </w:r>
          </w:p>
        </w:tc>
        <w:tc>
          <w:tcPr>
            <w:tcW w:w="99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35%</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CRF by crash type</w:t>
            </w:r>
          </w:p>
        </w:tc>
      </w:tr>
      <w:tr w:rsidR="00452B58" w:rsidRPr="00452B58" w:rsidTr="00452B58">
        <w:trPr>
          <w:trHeight w:val="300"/>
        </w:trPr>
        <w:tc>
          <w:tcPr>
            <w:tcW w:w="3397" w:type="dxa"/>
            <w:noWrap/>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Commercial braking systems (ESC, RSC, ABS)</w:t>
            </w:r>
          </w:p>
        </w:tc>
        <w:tc>
          <w:tcPr>
            <w:tcW w:w="1276"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Run off road</w:t>
            </w:r>
          </w:p>
        </w:tc>
        <w:tc>
          <w:tcPr>
            <w:tcW w:w="85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14%</w:t>
            </w:r>
          </w:p>
        </w:tc>
        <w:tc>
          <w:tcPr>
            <w:tcW w:w="56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40%</w:t>
            </w:r>
          </w:p>
        </w:tc>
        <w:tc>
          <w:tcPr>
            <w:tcW w:w="99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27%</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CRF by crash type</w:t>
            </w:r>
          </w:p>
        </w:tc>
      </w:tr>
      <w:tr w:rsidR="00452B58" w:rsidRPr="00452B58" w:rsidTr="00452B58">
        <w:trPr>
          <w:trHeight w:val="300"/>
        </w:trPr>
        <w:tc>
          <w:tcPr>
            <w:tcW w:w="3397" w:type="dxa"/>
            <w:vMerge w:val="restart"/>
            <w:noWrap/>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Devices for indirect vision</w:t>
            </w:r>
          </w:p>
        </w:tc>
        <w:tc>
          <w:tcPr>
            <w:tcW w:w="1276"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Near side</w:t>
            </w:r>
          </w:p>
        </w:tc>
        <w:tc>
          <w:tcPr>
            <w:tcW w:w="85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w:t>
            </w:r>
          </w:p>
        </w:tc>
        <w:tc>
          <w:tcPr>
            <w:tcW w:w="56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w:t>
            </w:r>
          </w:p>
        </w:tc>
        <w:tc>
          <w:tcPr>
            <w:tcW w:w="99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Overall CRF split</w:t>
            </w:r>
          </w:p>
        </w:tc>
      </w:tr>
      <w:tr w:rsidR="00452B58" w:rsidRPr="00452B58" w:rsidTr="00452B58">
        <w:trPr>
          <w:trHeight w:val="300"/>
        </w:trPr>
        <w:tc>
          <w:tcPr>
            <w:tcW w:w="3397" w:type="dxa"/>
            <w:vMerge/>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p>
        </w:tc>
        <w:tc>
          <w:tcPr>
            <w:tcW w:w="1276"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Side swipe</w:t>
            </w:r>
          </w:p>
        </w:tc>
        <w:tc>
          <w:tcPr>
            <w:tcW w:w="85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w:t>
            </w:r>
          </w:p>
        </w:tc>
        <w:tc>
          <w:tcPr>
            <w:tcW w:w="56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w:t>
            </w:r>
          </w:p>
        </w:tc>
        <w:tc>
          <w:tcPr>
            <w:tcW w:w="99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Overall CRF split</w:t>
            </w:r>
          </w:p>
        </w:tc>
      </w:tr>
      <w:tr w:rsidR="00452B58" w:rsidRPr="00452B58" w:rsidTr="00452B58">
        <w:trPr>
          <w:trHeight w:val="300"/>
        </w:trPr>
        <w:tc>
          <w:tcPr>
            <w:tcW w:w="3397" w:type="dxa"/>
            <w:vMerge/>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p>
        </w:tc>
        <w:tc>
          <w:tcPr>
            <w:tcW w:w="1276"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Play/work</w:t>
            </w:r>
          </w:p>
        </w:tc>
        <w:tc>
          <w:tcPr>
            <w:tcW w:w="85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w:t>
            </w:r>
          </w:p>
        </w:tc>
        <w:tc>
          <w:tcPr>
            <w:tcW w:w="56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w:t>
            </w:r>
          </w:p>
        </w:tc>
        <w:tc>
          <w:tcPr>
            <w:tcW w:w="99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3%</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Overall CRF split</w:t>
            </w:r>
          </w:p>
        </w:tc>
      </w:tr>
      <w:tr w:rsidR="00452B58" w:rsidRPr="00452B58" w:rsidTr="00452B58">
        <w:trPr>
          <w:trHeight w:val="300"/>
        </w:trPr>
        <w:tc>
          <w:tcPr>
            <w:tcW w:w="3397" w:type="dxa"/>
            <w:noWrap/>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Blind spot information systems</w:t>
            </w:r>
          </w:p>
        </w:tc>
        <w:tc>
          <w:tcPr>
            <w:tcW w:w="1276"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Side swipe</w:t>
            </w:r>
          </w:p>
        </w:tc>
        <w:tc>
          <w:tcPr>
            <w:tcW w:w="85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w:t>
            </w:r>
          </w:p>
        </w:tc>
        <w:tc>
          <w:tcPr>
            <w:tcW w:w="56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14%</w:t>
            </w:r>
          </w:p>
        </w:tc>
        <w:tc>
          <w:tcPr>
            <w:tcW w:w="99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CRF by crash type</w:t>
            </w:r>
          </w:p>
        </w:tc>
      </w:tr>
      <w:tr w:rsidR="00452B58" w:rsidRPr="00452B58" w:rsidTr="00452B58">
        <w:trPr>
          <w:trHeight w:val="300"/>
        </w:trPr>
        <w:tc>
          <w:tcPr>
            <w:tcW w:w="3397" w:type="dxa"/>
            <w:vMerge w:val="restart"/>
            <w:noWrap/>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Side underrun protection</w:t>
            </w:r>
          </w:p>
        </w:tc>
        <w:tc>
          <w:tcPr>
            <w:tcW w:w="1276"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Near side</w:t>
            </w:r>
          </w:p>
        </w:tc>
        <w:tc>
          <w:tcPr>
            <w:tcW w:w="85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w:t>
            </w:r>
          </w:p>
        </w:tc>
        <w:tc>
          <w:tcPr>
            <w:tcW w:w="56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12%</w:t>
            </w:r>
          </w:p>
        </w:tc>
        <w:tc>
          <w:tcPr>
            <w:tcW w:w="99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Overall CRF split</w:t>
            </w:r>
          </w:p>
        </w:tc>
      </w:tr>
      <w:tr w:rsidR="00452B58" w:rsidRPr="00452B58" w:rsidTr="00452B58">
        <w:trPr>
          <w:trHeight w:val="300"/>
        </w:trPr>
        <w:tc>
          <w:tcPr>
            <w:tcW w:w="3397" w:type="dxa"/>
            <w:vMerge/>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p>
        </w:tc>
        <w:tc>
          <w:tcPr>
            <w:tcW w:w="1276"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Right near</w:t>
            </w:r>
          </w:p>
        </w:tc>
        <w:tc>
          <w:tcPr>
            <w:tcW w:w="85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w:t>
            </w:r>
          </w:p>
        </w:tc>
        <w:tc>
          <w:tcPr>
            <w:tcW w:w="56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12%</w:t>
            </w:r>
          </w:p>
        </w:tc>
        <w:tc>
          <w:tcPr>
            <w:tcW w:w="99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Overall CRF split</w:t>
            </w:r>
          </w:p>
        </w:tc>
      </w:tr>
      <w:tr w:rsidR="00452B58" w:rsidRPr="00452B58" w:rsidTr="00452B58">
        <w:trPr>
          <w:trHeight w:val="300"/>
        </w:trPr>
        <w:tc>
          <w:tcPr>
            <w:tcW w:w="3397" w:type="dxa"/>
            <w:vMerge/>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p>
        </w:tc>
        <w:tc>
          <w:tcPr>
            <w:tcW w:w="1276"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Play/work</w:t>
            </w:r>
          </w:p>
        </w:tc>
        <w:tc>
          <w:tcPr>
            <w:tcW w:w="85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7%</w:t>
            </w:r>
          </w:p>
        </w:tc>
        <w:tc>
          <w:tcPr>
            <w:tcW w:w="56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12%</w:t>
            </w:r>
          </w:p>
        </w:tc>
        <w:tc>
          <w:tcPr>
            <w:tcW w:w="99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Overall CRF split</w:t>
            </w:r>
          </w:p>
        </w:tc>
      </w:tr>
      <w:tr w:rsidR="00452B58" w:rsidRPr="00452B58" w:rsidTr="00452B58">
        <w:trPr>
          <w:trHeight w:val="300"/>
        </w:trPr>
        <w:tc>
          <w:tcPr>
            <w:tcW w:w="3397" w:type="dxa"/>
            <w:vMerge w:val="restart"/>
            <w:noWrap/>
            <w:vAlign w:val="center"/>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Conspicuity markings</w:t>
            </w:r>
          </w:p>
        </w:tc>
        <w:tc>
          <w:tcPr>
            <w:tcW w:w="1276"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Right near</w:t>
            </w:r>
          </w:p>
        </w:tc>
        <w:tc>
          <w:tcPr>
            <w:tcW w:w="85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w:t>
            </w:r>
          </w:p>
        </w:tc>
        <w:tc>
          <w:tcPr>
            <w:tcW w:w="56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15%</w:t>
            </w:r>
          </w:p>
        </w:tc>
        <w:tc>
          <w:tcPr>
            <w:tcW w:w="99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Overall CRF split</w:t>
            </w:r>
          </w:p>
        </w:tc>
      </w:tr>
      <w:tr w:rsidR="00452B58" w:rsidRPr="00452B58" w:rsidTr="00452B58">
        <w:trPr>
          <w:trHeight w:val="300"/>
        </w:trPr>
        <w:tc>
          <w:tcPr>
            <w:tcW w:w="3397" w:type="dxa"/>
            <w:vMerge/>
            <w:hideMark/>
          </w:tcPr>
          <w:p w:rsidR="00452B58" w:rsidRPr="00452B58" w:rsidRDefault="00452B58" w:rsidP="00452B58">
            <w:pPr>
              <w:keepNext/>
              <w:suppressAutoHyphens w:val="0"/>
              <w:spacing w:before="40" w:after="40"/>
              <w:rPr>
                <w:rFonts w:eastAsia="Calibri" w:cs="Times New Roman"/>
                <w:kern w:val="0"/>
                <w:szCs w:val="22"/>
                <w:lang w:eastAsia="en-AU"/>
              </w:rPr>
            </w:pPr>
          </w:p>
        </w:tc>
        <w:tc>
          <w:tcPr>
            <w:tcW w:w="1276"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Cross traffic</w:t>
            </w:r>
          </w:p>
        </w:tc>
        <w:tc>
          <w:tcPr>
            <w:tcW w:w="85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w:t>
            </w:r>
          </w:p>
        </w:tc>
        <w:tc>
          <w:tcPr>
            <w:tcW w:w="56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15%</w:t>
            </w:r>
          </w:p>
        </w:tc>
        <w:tc>
          <w:tcPr>
            <w:tcW w:w="99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Overall CRF split</w:t>
            </w:r>
          </w:p>
        </w:tc>
      </w:tr>
      <w:tr w:rsidR="00452B58" w:rsidRPr="00452B58" w:rsidTr="00452B58">
        <w:trPr>
          <w:trHeight w:val="300"/>
        </w:trPr>
        <w:tc>
          <w:tcPr>
            <w:tcW w:w="3397" w:type="dxa"/>
            <w:vMerge/>
            <w:hideMark/>
          </w:tcPr>
          <w:p w:rsidR="00452B58" w:rsidRPr="00452B58" w:rsidRDefault="00452B58" w:rsidP="00452B58">
            <w:pPr>
              <w:keepNext/>
              <w:suppressAutoHyphens w:val="0"/>
              <w:spacing w:before="40" w:after="40"/>
              <w:rPr>
                <w:rFonts w:eastAsia="Calibri" w:cs="Times New Roman"/>
                <w:kern w:val="0"/>
                <w:szCs w:val="22"/>
                <w:lang w:eastAsia="en-AU"/>
              </w:rPr>
            </w:pPr>
          </w:p>
        </w:tc>
        <w:tc>
          <w:tcPr>
            <w:tcW w:w="1276"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Right through</w:t>
            </w:r>
          </w:p>
        </w:tc>
        <w:tc>
          <w:tcPr>
            <w:tcW w:w="851"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w:t>
            </w:r>
          </w:p>
        </w:tc>
        <w:tc>
          <w:tcPr>
            <w:tcW w:w="56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15%</w:t>
            </w:r>
          </w:p>
        </w:tc>
        <w:tc>
          <w:tcPr>
            <w:tcW w:w="992"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w:t>
            </w:r>
          </w:p>
        </w:tc>
        <w:tc>
          <w:tcPr>
            <w:tcW w:w="1559"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Overall CRF split</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To apply the above crash reduction factors to all crashes, they are weighed by the proportion of the crash types they apply to as listed in Table E.4. The results are shown in Table E.6 to determine crash modification factors (CMF = 1- CRF).</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STYLEREF 7 \s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E</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SEQ AppTable \* ARABIC \s 7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6</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 xml:space="preserve">Literature-based crash modification factors </w:t>
      </w:r>
    </w:p>
    <w:tbl>
      <w:tblPr>
        <w:tblStyle w:val="ARRBTableStyle"/>
        <w:tblW w:w="9214" w:type="dxa"/>
        <w:tblLook w:val="04A0" w:firstRow="1" w:lastRow="0" w:firstColumn="1" w:lastColumn="0" w:noHBand="0" w:noVBand="1"/>
      </w:tblPr>
      <w:tblGrid>
        <w:gridCol w:w="4180"/>
        <w:gridCol w:w="2057"/>
        <w:gridCol w:w="2977"/>
      </w:tblGrid>
      <w:tr w:rsidR="00452B58" w:rsidRPr="00452B58" w:rsidTr="00452B58">
        <w:trPr>
          <w:cnfStyle w:val="100000000000" w:firstRow="1" w:lastRow="0" w:firstColumn="0" w:lastColumn="0" w:oddVBand="0" w:evenVBand="0" w:oddHBand="0" w:evenHBand="0" w:firstRowFirstColumn="0" w:firstRowLastColumn="0" w:lastRowFirstColumn="0" w:lastRowLastColumn="0"/>
          <w:trHeight w:val="300"/>
        </w:trPr>
        <w:tc>
          <w:tcPr>
            <w:tcW w:w="4180" w:type="dxa"/>
            <w:noWrap/>
            <w:hideMark/>
          </w:tcPr>
          <w:p w:rsidR="00452B58" w:rsidRPr="00452B58" w:rsidRDefault="00452B58" w:rsidP="00452B58">
            <w:pPr>
              <w:keepNext/>
              <w:suppressAutoHyphens w:val="0"/>
              <w:spacing w:before="40" w:after="40"/>
              <w:rPr>
                <w:rFonts w:eastAsia="Calibri"/>
                <w:kern w:val="0"/>
                <w:szCs w:val="22"/>
                <w:lang w:eastAsia="en-AU"/>
              </w:rPr>
            </w:pPr>
            <w:r w:rsidRPr="00452B58">
              <w:rPr>
                <w:rFonts w:eastAsia="Calibri"/>
                <w:kern w:val="0"/>
                <w:szCs w:val="22"/>
                <w:lang w:eastAsia="en-AU"/>
              </w:rPr>
              <w:t>Safety feature</w:t>
            </w:r>
          </w:p>
        </w:tc>
        <w:tc>
          <w:tcPr>
            <w:tcW w:w="2057" w:type="dxa"/>
            <w:noWrap/>
            <w:hideMark/>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CRF</w:t>
            </w:r>
          </w:p>
        </w:tc>
        <w:tc>
          <w:tcPr>
            <w:tcW w:w="2977" w:type="dxa"/>
            <w:noWrap/>
            <w:hideMark/>
          </w:tcPr>
          <w:p w:rsidR="00452B58" w:rsidRPr="00452B58" w:rsidRDefault="00452B58" w:rsidP="00452B58">
            <w:pPr>
              <w:keepNext/>
              <w:suppressAutoHyphens w:val="0"/>
              <w:spacing w:before="40" w:after="40"/>
              <w:jc w:val="center"/>
              <w:rPr>
                <w:rFonts w:eastAsia="Calibri"/>
                <w:kern w:val="0"/>
                <w:szCs w:val="22"/>
                <w:lang w:eastAsia="en-AU"/>
              </w:rPr>
            </w:pPr>
            <w:r w:rsidRPr="00452B58">
              <w:rPr>
                <w:rFonts w:eastAsia="Calibri"/>
                <w:kern w:val="0"/>
                <w:szCs w:val="22"/>
                <w:lang w:eastAsia="en-AU"/>
              </w:rPr>
              <w:t>CMF</w:t>
            </w:r>
          </w:p>
        </w:tc>
      </w:tr>
      <w:tr w:rsidR="00452B58" w:rsidRPr="00452B58" w:rsidTr="00452B58">
        <w:trPr>
          <w:trHeight w:val="300"/>
        </w:trPr>
        <w:tc>
          <w:tcPr>
            <w:tcW w:w="4180"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Lane departure warning</w:t>
            </w:r>
          </w:p>
        </w:tc>
        <w:tc>
          <w:tcPr>
            <w:tcW w:w="205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15.44%</w:t>
            </w:r>
          </w:p>
        </w:tc>
        <w:tc>
          <w:tcPr>
            <w:tcW w:w="297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84.6%</w:t>
            </w:r>
          </w:p>
        </w:tc>
      </w:tr>
      <w:tr w:rsidR="00452B58" w:rsidRPr="00452B58" w:rsidTr="00452B58">
        <w:trPr>
          <w:trHeight w:val="300"/>
        </w:trPr>
        <w:tc>
          <w:tcPr>
            <w:tcW w:w="4180"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Autonomous emergency braking system</w:t>
            </w:r>
          </w:p>
        </w:tc>
        <w:tc>
          <w:tcPr>
            <w:tcW w:w="205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2.79%</w:t>
            </w:r>
          </w:p>
        </w:tc>
        <w:tc>
          <w:tcPr>
            <w:tcW w:w="297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97.2%</w:t>
            </w:r>
          </w:p>
        </w:tc>
      </w:tr>
      <w:tr w:rsidR="00452B58" w:rsidRPr="00452B58" w:rsidTr="00452B58">
        <w:trPr>
          <w:trHeight w:val="300"/>
        </w:trPr>
        <w:tc>
          <w:tcPr>
            <w:tcW w:w="4180"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Commercial braking systems (ESC, RSC, ABS)</w:t>
            </w:r>
          </w:p>
        </w:tc>
        <w:tc>
          <w:tcPr>
            <w:tcW w:w="205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4.23%</w:t>
            </w:r>
          </w:p>
        </w:tc>
        <w:tc>
          <w:tcPr>
            <w:tcW w:w="297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95.8%</w:t>
            </w:r>
          </w:p>
        </w:tc>
      </w:tr>
      <w:tr w:rsidR="00452B58" w:rsidRPr="00452B58" w:rsidTr="00452B58">
        <w:trPr>
          <w:trHeight w:val="300"/>
        </w:trPr>
        <w:tc>
          <w:tcPr>
            <w:tcW w:w="4180"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Devices for indirect vision</w:t>
            </w:r>
          </w:p>
        </w:tc>
        <w:tc>
          <w:tcPr>
            <w:tcW w:w="205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0.57%</w:t>
            </w:r>
          </w:p>
        </w:tc>
        <w:tc>
          <w:tcPr>
            <w:tcW w:w="297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99.4%</w:t>
            </w:r>
          </w:p>
        </w:tc>
      </w:tr>
      <w:tr w:rsidR="00452B58" w:rsidRPr="00452B58" w:rsidTr="00452B58">
        <w:trPr>
          <w:trHeight w:val="300"/>
        </w:trPr>
        <w:tc>
          <w:tcPr>
            <w:tcW w:w="4180"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Blind spot information systems</w:t>
            </w:r>
          </w:p>
        </w:tc>
        <w:tc>
          <w:tcPr>
            <w:tcW w:w="205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0.64%</w:t>
            </w:r>
          </w:p>
        </w:tc>
        <w:tc>
          <w:tcPr>
            <w:tcW w:w="297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99.4%</w:t>
            </w:r>
          </w:p>
        </w:tc>
      </w:tr>
      <w:tr w:rsidR="00452B58" w:rsidRPr="00452B58" w:rsidTr="00452B58">
        <w:trPr>
          <w:trHeight w:val="300"/>
        </w:trPr>
        <w:tc>
          <w:tcPr>
            <w:tcW w:w="4180"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Side underrun protection</w:t>
            </w:r>
          </w:p>
        </w:tc>
        <w:tc>
          <w:tcPr>
            <w:tcW w:w="205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0.43%</w:t>
            </w:r>
          </w:p>
        </w:tc>
        <w:tc>
          <w:tcPr>
            <w:tcW w:w="297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99.6%</w:t>
            </w:r>
          </w:p>
        </w:tc>
      </w:tr>
      <w:tr w:rsidR="00452B58" w:rsidRPr="00452B58" w:rsidTr="00452B58">
        <w:trPr>
          <w:trHeight w:val="300"/>
        </w:trPr>
        <w:tc>
          <w:tcPr>
            <w:tcW w:w="4180" w:type="dxa"/>
            <w:noWrap/>
            <w:hideMark/>
          </w:tcPr>
          <w:p w:rsidR="00452B58" w:rsidRPr="00452B58" w:rsidRDefault="00452B58" w:rsidP="00452B58">
            <w:pPr>
              <w:keepNext/>
              <w:suppressAutoHyphens w:val="0"/>
              <w:spacing w:before="40" w:after="40"/>
              <w:rPr>
                <w:rFonts w:eastAsia="Calibri" w:cs="Times New Roman"/>
                <w:kern w:val="0"/>
                <w:szCs w:val="22"/>
                <w:lang w:eastAsia="en-AU"/>
              </w:rPr>
            </w:pPr>
            <w:r w:rsidRPr="00452B58">
              <w:rPr>
                <w:rFonts w:eastAsia="Calibri" w:cs="Times New Roman"/>
                <w:kern w:val="0"/>
                <w:szCs w:val="22"/>
                <w:lang w:eastAsia="en-AU"/>
              </w:rPr>
              <w:t>Conspicuity markings</w:t>
            </w:r>
          </w:p>
        </w:tc>
        <w:tc>
          <w:tcPr>
            <w:tcW w:w="205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2.17%</w:t>
            </w:r>
          </w:p>
        </w:tc>
        <w:tc>
          <w:tcPr>
            <w:tcW w:w="2977" w:type="dxa"/>
            <w:noWrap/>
            <w:hideMark/>
          </w:tcPr>
          <w:p w:rsidR="00452B58" w:rsidRPr="00452B58" w:rsidRDefault="00452B58" w:rsidP="00452B58">
            <w:pPr>
              <w:keepNext/>
              <w:suppressAutoHyphens w:val="0"/>
              <w:spacing w:before="40" w:after="40"/>
              <w:jc w:val="center"/>
              <w:rPr>
                <w:rFonts w:eastAsia="Calibri" w:cs="Times New Roman"/>
                <w:kern w:val="0"/>
                <w:szCs w:val="22"/>
                <w:lang w:eastAsia="en-AU"/>
              </w:rPr>
            </w:pPr>
            <w:r w:rsidRPr="00452B58">
              <w:rPr>
                <w:rFonts w:eastAsia="Calibri" w:cs="Times New Roman"/>
                <w:kern w:val="0"/>
                <w:szCs w:val="22"/>
                <w:lang w:eastAsia="en-AU"/>
              </w:rPr>
              <w:t>97.8%</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bookmarkStart w:id="337" w:name="_Hlk137195436"/>
      <w:r w:rsidRPr="00452B58">
        <w:rPr>
          <w:rFonts w:ascii="Calibri" w:eastAsia="Calibri" w:hAnsi="Calibri" w:cs="Calibri"/>
          <w:color w:val="auto"/>
          <w:kern w:val="0"/>
          <w:sz w:val="22"/>
          <w:szCs w:val="22"/>
        </w:rPr>
        <w:t xml:space="preserve">Some </w:t>
      </w:r>
      <w:bookmarkEnd w:id="337"/>
      <w:r w:rsidRPr="00452B58">
        <w:rPr>
          <w:rFonts w:ascii="Calibri" w:eastAsia="Calibri" w:hAnsi="Calibri" w:cs="Calibri"/>
          <w:color w:val="auto"/>
          <w:kern w:val="0"/>
          <w:sz w:val="22"/>
          <w:szCs w:val="22"/>
        </w:rPr>
        <w:t xml:space="preserve">of these (LDW, </w:t>
      </w:r>
      <w:bookmarkStart w:id="338" w:name="_Hlk137195407"/>
      <w:r w:rsidRPr="00452B58">
        <w:rPr>
          <w:rFonts w:ascii="Calibri" w:eastAsia="Calibri" w:hAnsi="Calibri" w:cs="Calibri"/>
          <w:color w:val="auto"/>
          <w:kern w:val="0"/>
          <w:sz w:val="22"/>
          <w:szCs w:val="22"/>
        </w:rPr>
        <w:t xml:space="preserve">AEB </w:t>
      </w:r>
      <w:bookmarkEnd w:id="338"/>
      <w:r w:rsidRPr="00452B58">
        <w:rPr>
          <w:rFonts w:ascii="Calibri" w:eastAsia="Calibri" w:hAnsi="Calibri" w:cs="Calibri"/>
          <w:color w:val="auto"/>
          <w:kern w:val="0"/>
          <w:sz w:val="22"/>
          <w:szCs w:val="22"/>
        </w:rPr>
        <w:t>and CBS) were modified for the analysis to align with CMFs used by the Department in previous regulatory impact statements. The final CMFs used in the analysis are listed in Table E.7.</w:t>
      </w:r>
    </w:p>
    <w:p w:rsidR="00452B58" w:rsidRPr="00452B58" w:rsidRDefault="00452B58" w:rsidP="00452B58">
      <w:pPr>
        <w:keepNext/>
        <w:tabs>
          <w:tab w:val="left" w:pos="1134"/>
        </w:tabs>
        <w:suppressAutoHyphens w:val="0"/>
        <w:spacing w:before="0" w:after="60"/>
        <w:rPr>
          <w:rFonts w:ascii="Calibri" w:eastAsia="Calibri" w:hAnsi="Calibri" w:cs="Times New Roman"/>
          <w:b/>
          <w:bCs/>
          <w:color w:val="67696A"/>
          <w:kern w:val="0"/>
          <w:sz w:val="18"/>
          <w:szCs w:val="22"/>
        </w:rPr>
      </w:pPr>
      <w:r w:rsidRPr="00452B58">
        <w:rPr>
          <w:rFonts w:ascii="Calibri" w:eastAsia="Calibri" w:hAnsi="Calibri" w:cs="Times New Roman"/>
          <w:b/>
          <w:bCs/>
          <w:color w:val="67696A"/>
          <w:kern w:val="0"/>
          <w:sz w:val="18"/>
          <w:szCs w:val="22"/>
        </w:rPr>
        <w:t>Table </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STYLEREF 7 \s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E</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noProof/>
          <w:color w:val="67696A"/>
          <w:kern w:val="0"/>
          <w:sz w:val="18"/>
          <w:szCs w:val="22"/>
        </w:rPr>
        <w:fldChar w:fldCharType="begin"/>
      </w:r>
      <w:r w:rsidRPr="00452B58">
        <w:rPr>
          <w:rFonts w:ascii="Calibri" w:eastAsia="Calibri" w:hAnsi="Calibri" w:cs="Times New Roman"/>
          <w:b/>
          <w:bCs/>
          <w:noProof/>
          <w:color w:val="67696A"/>
          <w:kern w:val="0"/>
          <w:sz w:val="18"/>
          <w:szCs w:val="22"/>
        </w:rPr>
        <w:instrText xml:space="preserve"> SEQ AppTable \* ARABIC \s 7 </w:instrText>
      </w:r>
      <w:r w:rsidRPr="00452B58">
        <w:rPr>
          <w:rFonts w:ascii="Calibri" w:eastAsia="Calibri" w:hAnsi="Calibri" w:cs="Times New Roman"/>
          <w:b/>
          <w:bCs/>
          <w:noProof/>
          <w:color w:val="67696A"/>
          <w:kern w:val="0"/>
          <w:sz w:val="18"/>
          <w:szCs w:val="22"/>
        </w:rPr>
        <w:fldChar w:fldCharType="separate"/>
      </w:r>
      <w:r w:rsidRPr="00452B58">
        <w:rPr>
          <w:rFonts w:ascii="Calibri" w:eastAsia="Calibri" w:hAnsi="Calibri" w:cs="Times New Roman"/>
          <w:b/>
          <w:bCs/>
          <w:noProof/>
          <w:color w:val="67696A"/>
          <w:kern w:val="0"/>
          <w:sz w:val="18"/>
          <w:szCs w:val="22"/>
        </w:rPr>
        <w:t>7</w:t>
      </w:r>
      <w:r w:rsidRPr="00452B58">
        <w:rPr>
          <w:rFonts w:ascii="Calibri" w:eastAsia="Calibri" w:hAnsi="Calibri" w:cs="Times New Roman"/>
          <w:b/>
          <w:bCs/>
          <w:noProof/>
          <w:color w:val="67696A"/>
          <w:kern w:val="0"/>
          <w:sz w:val="18"/>
          <w:szCs w:val="22"/>
        </w:rPr>
        <w:fldChar w:fldCharType="end"/>
      </w:r>
      <w:r w:rsidRPr="00452B58">
        <w:rPr>
          <w:rFonts w:ascii="Calibri" w:eastAsia="Calibri" w:hAnsi="Calibri" w:cs="Times New Roman"/>
          <w:b/>
          <w:bCs/>
          <w:color w:val="67696A"/>
          <w:kern w:val="0"/>
          <w:sz w:val="18"/>
          <w:szCs w:val="22"/>
        </w:rPr>
        <w:t>:</w:t>
      </w:r>
      <w:r w:rsidRPr="00452B58">
        <w:rPr>
          <w:rFonts w:ascii="Calibri" w:eastAsia="Calibri" w:hAnsi="Calibri" w:cs="Times New Roman"/>
          <w:b/>
          <w:bCs/>
          <w:color w:val="67696A"/>
          <w:kern w:val="0"/>
          <w:sz w:val="18"/>
          <w:szCs w:val="22"/>
        </w:rPr>
        <w:tab/>
        <w:t>Conservative crash modification factors used in the analysis</w:t>
      </w:r>
    </w:p>
    <w:tbl>
      <w:tblPr>
        <w:tblStyle w:val="ARRBTableStyle"/>
        <w:tblW w:w="9356" w:type="dxa"/>
        <w:tblLook w:val="04A0" w:firstRow="1" w:lastRow="0" w:firstColumn="1" w:lastColumn="0" w:noHBand="0" w:noVBand="1"/>
      </w:tblPr>
      <w:tblGrid>
        <w:gridCol w:w="4111"/>
        <w:gridCol w:w="2126"/>
        <w:gridCol w:w="3119"/>
      </w:tblGrid>
      <w:tr w:rsidR="00452B58" w:rsidRPr="00452B58" w:rsidTr="00452B58">
        <w:trPr>
          <w:cnfStyle w:val="100000000000" w:firstRow="1" w:lastRow="0" w:firstColumn="0" w:lastColumn="0" w:oddVBand="0" w:evenVBand="0" w:oddHBand="0" w:evenHBand="0" w:firstRowFirstColumn="0" w:firstRowLastColumn="0" w:lastRowFirstColumn="0" w:lastRowLastColumn="0"/>
        </w:trPr>
        <w:tc>
          <w:tcPr>
            <w:tcW w:w="4111" w:type="dxa"/>
            <w:vMerge w:val="restart"/>
            <w:tcBorders>
              <w:right w:val="single" w:sz="8" w:space="0" w:color="FFFFFF"/>
            </w:tcBorders>
          </w:tcPr>
          <w:p w:rsidR="00452B58" w:rsidRPr="00452B58" w:rsidRDefault="00452B58" w:rsidP="00452B58">
            <w:pPr>
              <w:keepNext/>
              <w:suppressAutoHyphens w:val="0"/>
              <w:spacing w:before="40" w:after="40"/>
              <w:rPr>
                <w:rFonts w:eastAsia="Calibri"/>
                <w:kern w:val="0"/>
                <w:szCs w:val="22"/>
              </w:rPr>
            </w:pPr>
            <w:bookmarkStart w:id="339" w:name="_Hlk137195106"/>
            <w:r w:rsidRPr="00452B58">
              <w:rPr>
                <w:rFonts w:eastAsia="Calibri"/>
                <w:kern w:val="0"/>
                <w:szCs w:val="22"/>
              </w:rPr>
              <w:t>Safety feature</w:t>
            </w:r>
          </w:p>
        </w:tc>
        <w:tc>
          <w:tcPr>
            <w:tcW w:w="5245" w:type="dxa"/>
            <w:gridSpan w:val="2"/>
            <w:tcBorders>
              <w:left w:val="single" w:sz="8" w:space="0" w:color="FFFFFF"/>
              <w:bottom w:val="single" w:sz="8" w:space="0" w:color="FFFFFF"/>
            </w:tcBorders>
          </w:tcPr>
          <w:p w:rsidR="00452B58" w:rsidRPr="00452B58" w:rsidRDefault="00452B58" w:rsidP="00452B58">
            <w:pPr>
              <w:keepNext/>
              <w:suppressAutoHyphens w:val="0"/>
              <w:spacing w:before="40" w:after="40"/>
              <w:jc w:val="center"/>
              <w:rPr>
                <w:rFonts w:eastAsia="Calibri"/>
                <w:kern w:val="0"/>
                <w:szCs w:val="22"/>
              </w:rPr>
            </w:pPr>
            <w:r w:rsidRPr="00452B58">
              <w:rPr>
                <w:rFonts w:eastAsia="Calibri"/>
                <w:kern w:val="0"/>
                <w:szCs w:val="22"/>
              </w:rPr>
              <w:t>Heavy vehicles and trailers</w:t>
            </w:r>
          </w:p>
        </w:tc>
      </w:tr>
      <w:tr w:rsidR="00452B58" w:rsidRPr="00452B58" w:rsidTr="00452B58">
        <w:tc>
          <w:tcPr>
            <w:tcW w:w="4111" w:type="dxa"/>
            <w:vMerge/>
            <w:tcBorders>
              <w:right w:val="single" w:sz="8" w:space="0" w:color="FFFFFF"/>
            </w:tcBorders>
          </w:tcPr>
          <w:p w:rsidR="00452B58" w:rsidRPr="00452B58" w:rsidRDefault="00452B58" w:rsidP="00452B58">
            <w:pPr>
              <w:keepNext/>
              <w:suppressAutoHyphens w:val="0"/>
              <w:spacing w:before="40" w:after="40"/>
              <w:rPr>
                <w:rFonts w:eastAsia="Calibri" w:cs="Times New Roman"/>
                <w:color w:val="FFFFFF"/>
                <w:kern w:val="0"/>
                <w:szCs w:val="22"/>
              </w:rPr>
            </w:pPr>
          </w:p>
        </w:tc>
        <w:tc>
          <w:tcPr>
            <w:tcW w:w="2126" w:type="dxa"/>
            <w:tcBorders>
              <w:top w:val="single" w:sz="8" w:space="0" w:color="FFFFFF"/>
              <w:left w:val="single" w:sz="8" w:space="0" w:color="FFFFFF"/>
              <w:right w:val="single" w:sz="8" w:space="0" w:color="FFFFFF"/>
            </w:tcBorders>
            <w:shd w:val="clear" w:color="auto" w:fill="00A1DE"/>
          </w:tcPr>
          <w:p w:rsidR="00452B58" w:rsidRPr="00452B58" w:rsidRDefault="00452B58" w:rsidP="00452B58">
            <w:pPr>
              <w:keepNext/>
              <w:suppressAutoHyphens w:val="0"/>
              <w:spacing w:before="40" w:after="40"/>
              <w:jc w:val="center"/>
              <w:rPr>
                <w:rFonts w:eastAsia="Calibri" w:cs="Times New Roman"/>
                <w:color w:val="FFFFFF"/>
                <w:kern w:val="0"/>
                <w:szCs w:val="22"/>
              </w:rPr>
            </w:pPr>
            <w:r w:rsidRPr="00452B58">
              <w:rPr>
                <w:rFonts w:eastAsia="Calibri" w:cs="Times New Roman"/>
                <w:color w:val="FFFFFF"/>
                <w:kern w:val="0"/>
                <w:szCs w:val="22"/>
              </w:rPr>
              <w:t>Fatality</w:t>
            </w:r>
          </w:p>
        </w:tc>
        <w:tc>
          <w:tcPr>
            <w:tcW w:w="3119" w:type="dxa"/>
            <w:tcBorders>
              <w:top w:val="single" w:sz="8" w:space="0" w:color="FFFFFF"/>
              <w:left w:val="single" w:sz="8" w:space="0" w:color="FFFFFF"/>
            </w:tcBorders>
            <w:shd w:val="clear" w:color="auto" w:fill="00A1DE"/>
          </w:tcPr>
          <w:p w:rsidR="00452B58" w:rsidRPr="00452B58" w:rsidRDefault="00452B58" w:rsidP="00452B58">
            <w:pPr>
              <w:keepNext/>
              <w:suppressAutoHyphens w:val="0"/>
              <w:spacing w:before="40" w:after="40"/>
              <w:jc w:val="center"/>
              <w:rPr>
                <w:rFonts w:eastAsia="Calibri" w:cs="Times New Roman"/>
                <w:color w:val="FFFFFF"/>
                <w:kern w:val="0"/>
                <w:szCs w:val="22"/>
              </w:rPr>
            </w:pPr>
            <w:r w:rsidRPr="00452B58">
              <w:rPr>
                <w:rFonts w:eastAsia="Calibri" w:cs="Times New Roman"/>
                <w:color w:val="FFFFFF"/>
                <w:kern w:val="0"/>
                <w:szCs w:val="22"/>
              </w:rPr>
              <w:t>Serious injury</w:t>
            </w:r>
          </w:p>
        </w:tc>
      </w:tr>
      <w:tr w:rsidR="00452B58" w:rsidRPr="00452B58" w:rsidTr="00452B58">
        <w:tc>
          <w:tcPr>
            <w:tcW w:w="4111"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Lane departure warning</w:t>
            </w:r>
          </w:p>
        </w:tc>
        <w:tc>
          <w:tcPr>
            <w:tcW w:w="2126"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95.6%</w:t>
            </w:r>
          </w:p>
        </w:tc>
        <w:tc>
          <w:tcPr>
            <w:tcW w:w="3119"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95.6%</w:t>
            </w:r>
          </w:p>
        </w:tc>
      </w:tr>
      <w:tr w:rsidR="00452B58" w:rsidRPr="00452B58" w:rsidTr="00452B58">
        <w:tc>
          <w:tcPr>
            <w:tcW w:w="4111"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Advanced emergency braking systems</w:t>
            </w:r>
          </w:p>
        </w:tc>
        <w:tc>
          <w:tcPr>
            <w:tcW w:w="2126"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93.6%</w:t>
            </w:r>
          </w:p>
        </w:tc>
        <w:tc>
          <w:tcPr>
            <w:tcW w:w="3119"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93.6%</w:t>
            </w:r>
          </w:p>
        </w:tc>
      </w:tr>
      <w:tr w:rsidR="00452B58" w:rsidRPr="00452B58" w:rsidTr="00452B58">
        <w:tc>
          <w:tcPr>
            <w:tcW w:w="4111"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Commercial vehicle brake systems</w:t>
            </w:r>
          </w:p>
        </w:tc>
        <w:tc>
          <w:tcPr>
            <w:tcW w:w="2126"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93.6%</w:t>
            </w:r>
          </w:p>
        </w:tc>
        <w:tc>
          <w:tcPr>
            <w:tcW w:w="3119"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93.6%</w:t>
            </w:r>
          </w:p>
        </w:tc>
      </w:tr>
      <w:tr w:rsidR="00452B58" w:rsidRPr="00452B58" w:rsidTr="00452B58">
        <w:tc>
          <w:tcPr>
            <w:tcW w:w="4111"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Devices for indirect vision</w:t>
            </w:r>
          </w:p>
        </w:tc>
        <w:tc>
          <w:tcPr>
            <w:tcW w:w="2126"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99.4%</w:t>
            </w:r>
          </w:p>
        </w:tc>
        <w:tc>
          <w:tcPr>
            <w:tcW w:w="3119"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99.4%</w:t>
            </w:r>
          </w:p>
        </w:tc>
      </w:tr>
      <w:tr w:rsidR="00452B58" w:rsidRPr="00452B58" w:rsidTr="00452B58">
        <w:tc>
          <w:tcPr>
            <w:tcW w:w="4111"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Blindspot information systems</w:t>
            </w:r>
          </w:p>
        </w:tc>
        <w:tc>
          <w:tcPr>
            <w:tcW w:w="2126"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99.4%</w:t>
            </w:r>
          </w:p>
        </w:tc>
        <w:tc>
          <w:tcPr>
            <w:tcW w:w="3119"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99.4%</w:t>
            </w:r>
          </w:p>
        </w:tc>
      </w:tr>
      <w:tr w:rsidR="00452B58" w:rsidRPr="00452B58" w:rsidTr="00452B58">
        <w:tc>
          <w:tcPr>
            <w:tcW w:w="4111"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 xml:space="preserve">Side underrun protection </w:t>
            </w:r>
          </w:p>
        </w:tc>
        <w:tc>
          <w:tcPr>
            <w:tcW w:w="2126"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98.6%</w:t>
            </w:r>
          </w:p>
        </w:tc>
        <w:tc>
          <w:tcPr>
            <w:tcW w:w="3119"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99.9%</w:t>
            </w:r>
          </w:p>
        </w:tc>
      </w:tr>
      <w:tr w:rsidR="00452B58" w:rsidRPr="00452B58" w:rsidTr="00452B58">
        <w:tc>
          <w:tcPr>
            <w:tcW w:w="4111" w:type="dxa"/>
          </w:tcPr>
          <w:p w:rsidR="00452B58" w:rsidRPr="00452B58" w:rsidRDefault="00452B58" w:rsidP="00452B58">
            <w:pPr>
              <w:keepNext/>
              <w:suppressAutoHyphens w:val="0"/>
              <w:spacing w:before="40" w:after="40"/>
              <w:rPr>
                <w:rFonts w:eastAsia="Calibri" w:cs="Times New Roman"/>
                <w:kern w:val="0"/>
                <w:szCs w:val="22"/>
              </w:rPr>
            </w:pPr>
            <w:r w:rsidRPr="00452B58">
              <w:rPr>
                <w:rFonts w:eastAsia="Calibri" w:cs="Times New Roman"/>
                <w:kern w:val="0"/>
                <w:szCs w:val="22"/>
              </w:rPr>
              <w:t>Conspicuity markings</w:t>
            </w:r>
          </w:p>
        </w:tc>
        <w:tc>
          <w:tcPr>
            <w:tcW w:w="2126"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97.8%</w:t>
            </w:r>
          </w:p>
        </w:tc>
        <w:tc>
          <w:tcPr>
            <w:tcW w:w="3119" w:type="dxa"/>
          </w:tcPr>
          <w:p w:rsidR="00452B58" w:rsidRPr="00452B58" w:rsidRDefault="00452B58" w:rsidP="00452B58">
            <w:pPr>
              <w:keepNext/>
              <w:suppressAutoHyphens w:val="0"/>
              <w:spacing w:before="40" w:after="40"/>
              <w:jc w:val="center"/>
              <w:rPr>
                <w:rFonts w:eastAsia="Calibri" w:cs="Times New Roman"/>
                <w:kern w:val="0"/>
                <w:szCs w:val="22"/>
              </w:rPr>
            </w:pPr>
            <w:r w:rsidRPr="00452B58">
              <w:rPr>
                <w:rFonts w:eastAsia="Calibri" w:cs="Times New Roman"/>
                <w:kern w:val="0"/>
                <w:szCs w:val="22"/>
              </w:rPr>
              <w:t>97.8%</w:t>
            </w:r>
          </w:p>
        </w:tc>
      </w:tr>
    </w:tbl>
    <w:p w:rsidR="00452B58" w:rsidRPr="00452B58" w:rsidRDefault="00452B58" w:rsidP="00452B58">
      <w:pPr>
        <w:suppressAutoHyphens w:val="0"/>
        <w:spacing w:before="120" w:after="60" w:line="288" w:lineRule="auto"/>
        <w:rPr>
          <w:rFonts w:ascii="Calibri" w:eastAsia="Calibri" w:hAnsi="Calibri" w:cs="Times New Roman"/>
          <w:color w:val="auto"/>
          <w:kern w:val="0"/>
          <w:sz w:val="22"/>
          <w:szCs w:val="22"/>
        </w:rPr>
      </w:pPr>
      <w:r w:rsidRPr="00452B58">
        <w:rPr>
          <w:rFonts w:ascii="Calibri" w:eastAsia="Calibri" w:hAnsi="Calibri" w:cs="Times New Roman"/>
          <w:color w:val="auto"/>
          <w:kern w:val="0"/>
          <w:sz w:val="22"/>
          <w:szCs w:val="22"/>
        </w:rPr>
        <w:br w:type="page"/>
      </w:r>
    </w:p>
    <w:p w:rsidR="00452B58" w:rsidRPr="00452B58" w:rsidRDefault="00452B58" w:rsidP="00F2517A">
      <w:pPr>
        <w:pStyle w:val="ARRBBaseHeadingApp"/>
      </w:pPr>
      <w:bookmarkStart w:id="340" w:name="_Toc137731696"/>
      <w:bookmarkEnd w:id="339"/>
      <w:r w:rsidRPr="00452B58">
        <w:t>BCA Model Data Sources</w:t>
      </w:r>
      <w:bookmarkEnd w:id="340"/>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The additional references listed below were used in the modelling supporting the analysis.</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ATA 2016, ‘Stability control the key to improving truck safety’, media release, 22 September 2016, Australian Trucking Association, accessed 27 June 2022, &lt;https://www.truck.net.au/media/media-releases/stability-control-key-improving-truck-safety/&gt;.</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Blower, D 2007, </w:t>
      </w:r>
      <w:r w:rsidRPr="00452B58">
        <w:rPr>
          <w:rFonts w:ascii="Calibri" w:eastAsia="Calibri" w:hAnsi="Calibri" w:cs="Calibri"/>
          <w:i/>
          <w:iCs/>
          <w:color w:val="auto"/>
          <w:kern w:val="0"/>
          <w:sz w:val="22"/>
          <w:szCs w:val="22"/>
        </w:rPr>
        <w:t xml:space="preserve">Truck mirrors, field of view, and serious truck crashes, </w:t>
      </w:r>
      <w:r w:rsidRPr="00452B58">
        <w:rPr>
          <w:rFonts w:ascii="Calibri" w:eastAsia="Calibri" w:hAnsi="Calibri" w:cs="Calibri"/>
          <w:color w:val="auto"/>
          <w:kern w:val="0"/>
          <w:sz w:val="22"/>
          <w:szCs w:val="22"/>
        </w:rPr>
        <w:t>UMTRI-2007-25, University of Michigan Transportation Research Institute, Ann Arbor, MI, USA.</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Budd, L &amp; Newstead, S 2014, </w:t>
      </w:r>
      <w:r w:rsidRPr="00452B58">
        <w:rPr>
          <w:rFonts w:ascii="Calibri" w:eastAsia="Calibri" w:hAnsi="Calibri" w:cs="Calibri"/>
          <w:i/>
          <w:iCs/>
          <w:color w:val="auto"/>
          <w:kern w:val="0"/>
          <w:sz w:val="22"/>
          <w:szCs w:val="22"/>
        </w:rPr>
        <w:t>Potential safety benefits of emerging crash avoidance technologies in Australasian heavy vehicles,</w:t>
      </w:r>
      <w:r w:rsidRPr="00452B58">
        <w:rPr>
          <w:rFonts w:ascii="Calibri" w:eastAsia="Calibri" w:hAnsi="Calibri" w:cs="Calibri"/>
          <w:color w:val="auto"/>
          <w:kern w:val="0"/>
          <w:sz w:val="22"/>
          <w:szCs w:val="22"/>
        </w:rPr>
        <w:t xml:space="preserve"> report no. 324, MUARC, Monash University, Clayton, Vic, accessed 29 June 2022, &lt;https://www.monash.edu/__data/assets/pdf_file/0003/216489/ Potential-Safety-Benefits-of-Emerging-Crash-Avoidance-Technologies-in-Australasian-Heavy-Vehicles.pdf&gt;. </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Budd, L, Newstead, S &amp; Watson, L 2021, </w:t>
      </w:r>
      <w:r w:rsidRPr="00452B58">
        <w:rPr>
          <w:rFonts w:ascii="Calibri" w:eastAsia="Calibri" w:hAnsi="Calibri" w:cs="Calibri"/>
          <w:i/>
          <w:iCs/>
          <w:color w:val="auto"/>
          <w:kern w:val="0"/>
          <w:sz w:val="22"/>
          <w:szCs w:val="22"/>
        </w:rPr>
        <w:t>An analysis of heavy vehicle safety performance in Australia</w:t>
      </w:r>
      <w:r w:rsidRPr="00452B58">
        <w:rPr>
          <w:rFonts w:ascii="Calibri" w:eastAsia="Calibri" w:hAnsi="Calibri" w:cs="Calibri"/>
          <w:color w:val="auto"/>
          <w:kern w:val="0"/>
          <w:sz w:val="22"/>
          <w:szCs w:val="22"/>
        </w:rPr>
        <w:t>, report no. 354, MUARC, Monash University, Clayton, Vic, accessed 29 June 2022, &lt;https://www.monash.edu/__data/assets/pdf_file/0008/2575601/VSRG-Analysis-of-Heavy-vehicle-Safety-in-Australia-MUARC-Report-354.pdf&gt;.</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Lambert, J &amp; Rechnitzer, G 2002, </w:t>
      </w:r>
      <w:r w:rsidRPr="00452B58">
        <w:rPr>
          <w:rFonts w:ascii="Calibri" w:eastAsia="Calibri" w:hAnsi="Calibri" w:cs="Calibri"/>
          <w:i/>
          <w:iCs/>
          <w:color w:val="auto"/>
          <w:kern w:val="0"/>
          <w:sz w:val="22"/>
          <w:szCs w:val="22"/>
        </w:rPr>
        <w:t>Review of truck safety: stage 1: frontal, side and rear underrun protection,</w:t>
      </w:r>
      <w:r w:rsidRPr="00452B58">
        <w:rPr>
          <w:rFonts w:ascii="Calibri" w:eastAsia="Calibri" w:hAnsi="Calibri" w:cs="Calibri"/>
          <w:color w:val="auto"/>
          <w:kern w:val="0"/>
          <w:sz w:val="22"/>
          <w:szCs w:val="22"/>
        </w:rPr>
        <w:t xml:space="preserve"> report no. 194, MUARC, Monash University, Clayton, Vic, accessed 29 June 2022, &lt;https://www.monash.edu/__data/assets/pdf_file/0017/217124/Review-of-truck-safety-stage-1-frontal,-side-and-rear-underrun-protection&gt;.</w:t>
      </w:r>
    </w:p>
    <w:p w:rsidR="00452B58" w:rsidRPr="00452B58" w:rsidRDefault="00452B58" w:rsidP="00452B58">
      <w:pPr>
        <w:suppressAutoHyphens w:val="0"/>
        <w:spacing w:before="0" w:after="160" w:line="259" w:lineRule="auto"/>
        <w:ind w:left="567" w:hanging="567"/>
        <w:rPr>
          <w:rFonts w:ascii="Calibri" w:eastAsia="Calibri" w:hAnsi="Calibri" w:cs="Calibri"/>
          <w:color w:val="auto"/>
          <w:kern w:val="0"/>
          <w:sz w:val="22"/>
          <w:szCs w:val="22"/>
        </w:rPr>
      </w:pPr>
      <w:r w:rsidRPr="00452B58">
        <w:rPr>
          <w:rFonts w:ascii="Calibri" w:eastAsia="Calibri" w:hAnsi="Calibri" w:cs="Calibri"/>
          <w:color w:val="auto"/>
          <w:kern w:val="0"/>
          <w:sz w:val="22"/>
          <w:szCs w:val="22"/>
        </w:rPr>
        <w:t xml:space="preserve">NHVR 2022, </w:t>
      </w:r>
      <w:r w:rsidRPr="00452B58">
        <w:rPr>
          <w:rFonts w:ascii="Calibri" w:eastAsia="Calibri" w:hAnsi="Calibri" w:cs="Calibri"/>
          <w:i/>
          <w:iCs/>
          <w:color w:val="auto"/>
          <w:kern w:val="0"/>
          <w:sz w:val="22"/>
          <w:szCs w:val="22"/>
        </w:rPr>
        <w:t>National roadworthiness baseline survey</w:t>
      </w:r>
      <w:r w:rsidRPr="00452B58">
        <w:rPr>
          <w:rFonts w:ascii="Calibri" w:eastAsia="Calibri" w:hAnsi="Calibri" w:cs="Calibri"/>
          <w:color w:val="auto"/>
          <w:kern w:val="0"/>
          <w:sz w:val="22"/>
          <w:szCs w:val="22"/>
        </w:rPr>
        <w:t>, National Heavy Vehicle Regulator website, Newstead, Qld, accessed 29 June 2022, &lt;https://www.nhvr.gov.au/safety-accreditation-compliance/vehicle-standards-and-modifications/roadworthiness-program/national-roadworthiness-baseline-survey&gt;.</w: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sectPr w:rsidR="00452B58" w:rsidRPr="00452B58" w:rsidSect="00452B58">
          <w:headerReference w:type="default" r:id="rId95"/>
          <w:pgSz w:w="11906" w:h="16838" w:code="9"/>
          <w:pgMar w:top="1134" w:right="1134" w:bottom="1134" w:left="1134" w:header="680" w:footer="284" w:gutter="0"/>
          <w:cols w:space="282"/>
          <w:docGrid w:linePitch="360"/>
        </w:sect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bookmarkEnd w:id="319" w:displacedByCustomXml="next"/>
    <w:sdt>
      <w:sdtPr>
        <w:rPr>
          <w:rFonts w:ascii="Calibri" w:eastAsia="SimSun" w:hAnsi="Calibri" w:cs="Times New Roman"/>
          <w:color w:val="3572BB"/>
          <w:kern w:val="0"/>
          <w:sz w:val="22"/>
          <w:szCs w:val="22"/>
          <w:lang w:eastAsia="zh-TW"/>
        </w:rPr>
        <w:alias w:val="Locked Back Page"/>
        <w:tag w:val="Locked Back Page"/>
        <w:id w:val="1819306739"/>
        <w:placeholder>
          <w:docPart w:val="C1C00120311141709E08A47DDA35A198"/>
        </w:placeholder>
      </w:sdtPr>
      <w:sdtEndPr>
        <w:rPr>
          <w:rFonts w:eastAsia="Calibri" w:cs="Calibri"/>
          <w:color w:val="auto"/>
          <w:lang w:eastAsia="en-US"/>
        </w:rPr>
      </w:sdtEndPr>
      <w:sdtContent>
        <w:tbl>
          <w:tblPr>
            <w:tblW w:w="0" w:type="auto"/>
            <w:tblLook w:val="04A0" w:firstRow="1" w:lastRow="0" w:firstColumn="1" w:lastColumn="0" w:noHBand="0" w:noVBand="1"/>
          </w:tblPr>
          <w:tblGrid>
            <w:gridCol w:w="4535"/>
          </w:tblGrid>
          <w:tr w:rsidR="00452B58" w:rsidRPr="00452B58" w:rsidTr="00452B58">
            <w:tc>
              <w:tcPr>
                <w:tcW w:w="4535" w:type="dxa"/>
              </w:tcPr>
              <w:p w:rsidR="00452B58" w:rsidRPr="00452B58" w:rsidRDefault="00452B58" w:rsidP="00452B58">
                <w:pPr>
                  <w:suppressAutoHyphens w:val="0"/>
                  <w:spacing w:before="0" w:after="0" w:line="288" w:lineRule="auto"/>
                  <w:rPr>
                    <w:rFonts w:ascii="Arial" w:eastAsia="Calibri" w:hAnsi="Arial" w:cs="Times New Roman"/>
                    <w:color w:val="auto"/>
                    <w:kern w:val="0"/>
                    <w:sz w:val="18"/>
                    <w:szCs w:val="22"/>
                  </w:rPr>
                </w:pPr>
                <w:r w:rsidRPr="00452B58">
                  <w:rPr>
                    <w:rFonts w:ascii="Arial" w:eastAsia="Calibri" w:hAnsi="Arial" w:cs="Times New Roman"/>
                    <w:color w:val="auto"/>
                    <w:kern w:val="0"/>
                    <w:sz w:val="18"/>
                    <w:szCs w:val="22"/>
                  </w:rPr>
                  <w:t xml:space="preserve">      </w:t>
                </w:r>
              </w:p>
            </w:tc>
          </w:tr>
        </w:tbl>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r w:rsidRPr="00452B58">
            <w:rPr>
              <w:rFonts w:ascii="Calibri" w:eastAsia="Calibri" w:hAnsi="Calibri" w:cs="Calibri"/>
              <w:noProof/>
              <w:color w:val="auto"/>
              <w:kern w:val="0"/>
              <w:sz w:val="22"/>
              <w:szCs w:val="22"/>
              <w:lang w:eastAsia="en-GB"/>
            </w:rPr>
            <mc:AlternateContent>
              <mc:Choice Requires="wps">
                <w:drawing>
                  <wp:anchor distT="0" distB="0" distL="114300" distR="114300" simplePos="0" relativeHeight="251662336" behindDoc="0" locked="1" layoutInCell="1" allowOverlap="1" wp14:anchorId="30AF6177" wp14:editId="533ADE82">
                    <wp:simplePos x="0" y="0"/>
                    <wp:positionH relativeFrom="column">
                      <wp:posOffset>0</wp:posOffset>
                    </wp:positionH>
                    <wp:positionV relativeFrom="margin">
                      <wp:align>bottom</wp:align>
                    </wp:positionV>
                    <wp:extent cx="6120000" cy="2959200"/>
                    <wp:effectExtent l="0" t="0" r="0" b="11430"/>
                    <wp:wrapNone/>
                    <wp:docPr id="2779" name="Rectangle 2779"/>
                    <wp:cNvGraphicFramePr/>
                    <a:graphic xmlns:a="http://schemas.openxmlformats.org/drawingml/2006/main">
                      <a:graphicData uri="http://schemas.microsoft.com/office/word/2010/wordprocessingShape">
                        <wps:wsp>
                          <wps:cNvSpPr/>
                          <wps:spPr>
                            <a:xfrm>
                              <a:off x="0" y="0"/>
                              <a:ext cx="6120000" cy="2959200"/>
                            </a:xfrm>
                            <a:prstGeom prst="rect">
                              <a:avLst/>
                            </a:prstGeom>
                            <a:noFill/>
                            <a:ln w="12700" cap="flat" cmpd="sng" algn="ctr">
                              <a:noFill/>
                              <a:prstDash val="solid"/>
                              <a:miter lim="800000"/>
                            </a:ln>
                            <a:effectLst/>
                          </wps:spPr>
                          <wps:txbx>
                            <w:txbxContent>
                              <w:tbl>
                                <w:tblPr>
                                  <w:tblW w:w="0" w:type="auto"/>
                                  <w:tblInd w:w="-34" w:type="dxa"/>
                                  <w:tblLook w:val="04A0" w:firstRow="1" w:lastRow="0" w:firstColumn="1" w:lastColumn="0" w:noHBand="0" w:noVBand="1"/>
                                </w:tblPr>
                                <w:tblGrid>
                                  <w:gridCol w:w="680"/>
                                  <w:gridCol w:w="744"/>
                                  <w:gridCol w:w="744"/>
                                  <w:gridCol w:w="745"/>
                                </w:tblGrid>
                                <w:tr w:rsidR="00D902A9" w:rsidRPr="00785CEE" w:rsidTr="00452B58">
                                  <w:tc>
                                    <w:tcPr>
                                      <w:tcW w:w="2913" w:type="dxa"/>
                                      <w:gridSpan w:val="4"/>
                                    </w:tcPr>
                                    <w:p w:rsidR="00D902A9" w:rsidRPr="00785CEE" w:rsidRDefault="00D902A9" w:rsidP="00452B58">
                                      <w:pPr>
                                        <w:pStyle w:val="ARRBBaseBodyText"/>
                                      </w:pPr>
                                      <w:r w:rsidRPr="00785CEE">
                                        <w:rPr>
                                          <w:noProof/>
                                        </w:rPr>
                                        <w:drawing>
                                          <wp:inline distT="0" distB="0" distL="0" distR="0" wp14:anchorId="12AA58F9" wp14:editId="2C240BBF">
                                            <wp:extent cx="1133475" cy="1750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6" cstate="print">
                                                      <a:extLst>
                                                        <a:ext uri="{28A0092B-C50C-407E-A947-70E740481C1C}">
                                                          <a14:useLocalDpi xmlns:a14="http://schemas.microsoft.com/office/drawing/2010/main"/>
                                                        </a:ext>
                                                      </a:extLst>
                                                    </a:blip>
                                                    <a:srcRect l="11207" t="64683" r="10632" b="18651"/>
                                                    <a:stretch/>
                                                  </pic:blipFill>
                                                  <pic:spPr bwMode="auto">
                                                    <a:xfrm>
                                                      <a:off x="0" y="0"/>
                                                      <a:ext cx="1271900" cy="1963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02A9" w:rsidRPr="00785CEE" w:rsidTr="00452B58">
                                  <w:tc>
                                    <w:tcPr>
                                      <w:tcW w:w="680" w:type="dxa"/>
                                    </w:tcPr>
                                    <w:p w:rsidR="00D902A9" w:rsidRPr="00785CEE" w:rsidRDefault="00D902A9" w:rsidP="00452B58">
                                      <w:pPr>
                                        <w:pStyle w:val="ARRBBaseBodyText"/>
                                      </w:pPr>
                                      <w:r w:rsidRPr="00785CEE">
                                        <w:rPr>
                                          <w:noProof/>
                                        </w:rPr>
                                        <w:drawing>
                                          <wp:inline distT="0" distB="0" distL="0" distR="0" wp14:anchorId="7DE35634" wp14:editId="156F1576">
                                            <wp:extent cx="295200" cy="295200"/>
                                            <wp:effectExtent l="0" t="0" r="0" b="0"/>
                                            <wp:docPr id="12" name="Picture 12">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97"/>
                                                    </pic:cNvPr>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295200" cy="295200"/>
                                                    </a:xfrm>
                                                    <a:prstGeom prst="rect">
                                                      <a:avLst/>
                                                    </a:prstGeom>
                                                    <a:noFill/>
                                                    <a:ln>
                                                      <a:noFill/>
                                                    </a:ln>
                                                  </pic:spPr>
                                                </pic:pic>
                                              </a:graphicData>
                                            </a:graphic>
                                          </wp:inline>
                                        </w:drawing>
                                      </w:r>
                                    </w:p>
                                  </w:tc>
                                  <w:tc>
                                    <w:tcPr>
                                      <w:tcW w:w="744" w:type="dxa"/>
                                    </w:tcPr>
                                    <w:p w:rsidR="00D902A9" w:rsidRPr="00785CEE" w:rsidRDefault="00D902A9" w:rsidP="00452B58">
                                      <w:pPr>
                                        <w:pStyle w:val="ARRBBaseBodyText"/>
                                      </w:pPr>
                                      <w:r w:rsidRPr="00785CEE">
                                        <w:rPr>
                                          <w:noProof/>
                                        </w:rPr>
                                        <w:drawing>
                                          <wp:inline distT="0" distB="0" distL="0" distR="0" wp14:anchorId="6196FA0D" wp14:editId="7803A8AD">
                                            <wp:extent cx="295200" cy="295200"/>
                                            <wp:effectExtent l="0" t="0" r="0" b="0"/>
                                            <wp:docPr id="17" name="Picture 17">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99"/>
                                                    </pic:cNvPr>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295200" cy="295200"/>
                                                    </a:xfrm>
                                                    <a:prstGeom prst="rect">
                                                      <a:avLst/>
                                                    </a:prstGeom>
                                                    <a:noFill/>
                                                    <a:ln>
                                                      <a:noFill/>
                                                    </a:ln>
                                                  </pic:spPr>
                                                </pic:pic>
                                              </a:graphicData>
                                            </a:graphic>
                                          </wp:inline>
                                        </w:drawing>
                                      </w:r>
                                    </w:p>
                                  </w:tc>
                                  <w:tc>
                                    <w:tcPr>
                                      <w:tcW w:w="744" w:type="dxa"/>
                                    </w:tcPr>
                                    <w:p w:rsidR="00D902A9" w:rsidRPr="00785CEE" w:rsidRDefault="00D902A9" w:rsidP="00452B58">
                                      <w:pPr>
                                        <w:pStyle w:val="ARRBBaseBodyText"/>
                                      </w:pPr>
                                      <w:r w:rsidRPr="00785CEE">
                                        <w:rPr>
                                          <w:noProof/>
                                        </w:rPr>
                                        <w:drawing>
                                          <wp:inline distT="0" distB="0" distL="0" distR="0" wp14:anchorId="3F6ADA87" wp14:editId="014E3341">
                                            <wp:extent cx="295200" cy="295200"/>
                                            <wp:effectExtent l="0" t="0" r="0" b="0"/>
                                            <wp:docPr id="20" name="Picture 20">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101"/>
                                                    </pic:cNvPr>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295200" cy="295200"/>
                                                    </a:xfrm>
                                                    <a:prstGeom prst="rect">
                                                      <a:avLst/>
                                                    </a:prstGeom>
                                                    <a:noFill/>
                                                    <a:ln>
                                                      <a:noFill/>
                                                    </a:ln>
                                                  </pic:spPr>
                                                </pic:pic>
                                              </a:graphicData>
                                            </a:graphic>
                                          </wp:inline>
                                        </w:drawing>
                                      </w:r>
                                    </w:p>
                                  </w:tc>
                                  <w:tc>
                                    <w:tcPr>
                                      <w:tcW w:w="745" w:type="dxa"/>
                                    </w:tcPr>
                                    <w:p w:rsidR="00D902A9" w:rsidRPr="00785CEE" w:rsidRDefault="00D902A9" w:rsidP="00452B58">
                                      <w:pPr>
                                        <w:pStyle w:val="ARRBBaseBodyText"/>
                                      </w:pPr>
                                      <w:r w:rsidRPr="00785CEE">
                                        <w:rPr>
                                          <w:noProof/>
                                        </w:rPr>
                                        <w:drawing>
                                          <wp:inline distT="0" distB="0" distL="0" distR="0" wp14:anchorId="3010FFA8" wp14:editId="172CAEF8">
                                            <wp:extent cx="295200" cy="295200"/>
                                            <wp:effectExtent l="0" t="0" r="0" b="0"/>
                                            <wp:docPr id="21" name="Picture 21">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103"/>
                                                    </pic:cNvPr>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295200" cy="295200"/>
                                                    </a:xfrm>
                                                    <a:prstGeom prst="rect">
                                                      <a:avLst/>
                                                    </a:prstGeom>
                                                    <a:noFill/>
                                                    <a:ln>
                                                      <a:noFill/>
                                                    </a:ln>
                                                  </pic:spPr>
                                                </pic:pic>
                                              </a:graphicData>
                                            </a:graphic>
                                          </wp:inline>
                                        </w:drawing>
                                      </w:r>
                                    </w:p>
                                  </w:tc>
                                </w:tr>
                              </w:tbl>
                              <w:p w:rsidR="00D902A9" w:rsidRDefault="00D902A9" w:rsidP="00452B58">
                                <w:pPr>
                                  <w:pStyle w:val="Space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0AF6177" id="Rectangle 2779" o:spid="_x0000_s1031" style="position:absolute;margin-left:0;margin-top:0;width:481.9pt;height:233pt;z-index:251662336;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" filled="f" stroked="f" strokeweight="1pt">
                    <v:textbox style="mso-fit-shape-to-text:t" inset="0,0,0,0">
                      <w:txbxContent>
                        <w:tbl>
                          <w:tblPr>
                            <w:tblW w:w="0" w:type="auto"/>
                            <w:tblInd w:w="-34" w:type="dxa"/>
                            <w:tblLook w:val="04A0" w:firstRow="1" w:lastRow="0" w:firstColumn="1" w:lastColumn="0" w:noHBand="0" w:noVBand="1"/>
                          </w:tblPr>
                          <w:tblGrid>
                            <w:gridCol w:w="680"/>
                            <w:gridCol w:w="744"/>
                            <w:gridCol w:w="744"/>
                            <w:gridCol w:w="745"/>
                          </w:tblGrid>
                          <w:tr w:rsidR="00D902A9" w:rsidRPr="00785CEE" w:rsidTr="00452B58">
                            <w:tc>
                              <w:tcPr>
                                <w:tcW w:w="2913" w:type="dxa"/>
                                <w:gridSpan w:val="4"/>
                              </w:tcPr>
                              <w:p w:rsidR="00D902A9" w:rsidRPr="00785CEE" w:rsidRDefault="00D902A9" w:rsidP="00452B58">
                                <w:pPr>
                                  <w:pStyle w:val="ARRBBaseBodyText"/>
                                </w:pPr>
                                <w:r w:rsidRPr="00785CEE">
                                  <w:rPr>
                                    <w:noProof/>
                                  </w:rPr>
                                  <w:drawing>
                                    <wp:inline distT="0" distB="0" distL="0" distR="0" wp14:anchorId="12AA58F9" wp14:editId="2C240BBF">
                                      <wp:extent cx="1133475" cy="1750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6" cstate="print">
                                                <a:extLst>
                                                  <a:ext uri="{28A0092B-C50C-407E-A947-70E740481C1C}">
                                                    <a14:useLocalDpi xmlns:a14="http://schemas.microsoft.com/office/drawing/2010/main"/>
                                                  </a:ext>
                                                </a:extLst>
                                              </a:blip>
                                              <a:srcRect l="11207" t="64683" r="10632" b="18651"/>
                                              <a:stretch/>
                                            </pic:blipFill>
                                            <pic:spPr bwMode="auto">
                                              <a:xfrm>
                                                <a:off x="0" y="0"/>
                                                <a:ext cx="1271900" cy="1963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02A9" w:rsidRPr="00785CEE" w:rsidTr="00452B58">
                            <w:tc>
                              <w:tcPr>
                                <w:tcW w:w="680" w:type="dxa"/>
                              </w:tcPr>
                              <w:p w:rsidR="00D902A9" w:rsidRPr="00785CEE" w:rsidRDefault="00D902A9" w:rsidP="00452B58">
                                <w:pPr>
                                  <w:pStyle w:val="ARRBBaseBodyText"/>
                                </w:pPr>
                                <w:r w:rsidRPr="00785CEE">
                                  <w:rPr>
                                    <w:noProof/>
                                  </w:rPr>
                                  <w:drawing>
                                    <wp:inline distT="0" distB="0" distL="0" distR="0" wp14:anchorId="7DE35634" wp14:editId="156F1576">
                                      <wp:extent cx="295200" cy="295200"/>
                                      <wp:effectExtent l="0" t="0" r="0" b="0"/>
                                      <wp:docPr id="12" name="Picture 12">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97"/>
                                              </pic:cNvPr>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295200" cy="295200"/>
                                              </a:xfrm>
                                              <a:prstGeom prst="rect">
                                                <a:avLst/>
                                              </a:prstGeom>
                                              <a:noFill/>
                                              <a:ln>
                                                <a:noFill/>
                                              </a:ln>
                                            </pic:spPr>
                                          </pic:pic>
                                        </a:graphicData>
                                      </a:graphic>
                                    </wp:inline>
                                  </w:drawing>
                                </w:r>
                              </w:p>
                            </w:tc>
                            <w:tc>
                              <w:tcPr>
                                <w:tcW w:w="744" w:type="dxa"/>
                              </w:tcPr>
                              <w:p w:rsidR="00D902A9" w:rsidRPr="00785CEE" w:rsidRDefault="00D902A9" w:rsidP="00452B58">
                                <w:pPr>
                                  <w:pStyle w:val="ARRBBaseBodyText"/>
                                </w:pPr>
                                <w:r w:rsidRPr="00785CEE">
                                  <w:rPr>
                                    <w:noProof/>
                                  </w:rPr>
                                  <w:drawing>
                                    <wp:inline distT="0" distB="0" distL="0" distR="0" wp14:anchorId="6196FA0D" wp14:editId="7803A8AD">
                                      <wp:extent cx="295200" cy="295200"/>
                                      <wp:effectExtent l="0" t="0" r="0" b="0"/>
                                      <wp:docPr id="17" name="Picture 17">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99"/>
                                              </pic:cNvPr>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295200" cy="295200"/>
                                              </a:xfrm>
                                              <a:prstGeom prst="rect">
                                                <a:avLst/>
                                              </a:prstGeom>
                                              <a:noFill/>
                                              <a:ln>
                                                <a:noFill/>
                                              </a:ln>
                                            </pic:spPr>
                                          </pic:pic>
                                        </a:graphicData>
                                      </a:graphic>
                                    </wp:inline>
                                  </w:drawing>
                                </w:r>
                              </w:p>
                            </w:tc>
                            <w:tc>
                              <w:tcPr>
                                <w:tcW w:w="744" w:type="dxa"/>
                              </w:tcPr>
                              <w:p w:rsidR="00D902A9" w:rsidRPr="00785CEE" w:rsidRDefault="00D902A9" w:rsidP="00452B58">
                                <w:pPr>
                                  <w:pStyle w:val="ARRBBaseBodyText"/>
                                </w:pPr>
                                <w:r w:rsidRPr="00785CEE">
                                  <w:rPr>
                                    <w:noProof/>
                                  </w:rPr>
                                  <w:drawing>
                                    <wp:inline distT="0" distB="0" distL="0" distR="0" wp14:anchorId="3F6ADA87" wp14:editId="014E3341">
                                      <wp:extent cx="295200" cy="295200"/>
                                      <wp:effectExtent l="0" t="0" r="0" b="0"/>
                                      <wp:docPr id="20" name="Picture 20">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101"/>
                                              </pic:cNvPr>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295200" cy="295200"/>
                                              </a:xfrm>
                                              <a:prstGeom prst="rect">
                                                <a:avLst/>
                                              </a:prstGeom>
                                              <a:noFill/>
                                              <a:ln>
                                                <a:noFill/>
                                              </a:ln>
                                            </pic:spPr>
                                          </pic:pic>
                                        </a:graphicData>
                                      </a:graphic>
                                    </wp:inline>
                                  </w:drawing>
                                </w:r>
                              </w:p>
                            </w:tc>
                            <w:tc>
                              <w:tcPr>
                                <w:tcW w:w="745" w:type="dxa"/>
                              </w:tcPr>
                              <w:p w:rsidR="00D902A9" w:rsidRPr="00785CEE" w:rsidRDefault="00D902A9" w:rsidP="00452B58">
                                <w:pPr>
                                  <w:pStyle w:val="ARRBBaseBodyText"/>
                                </w:pPr>
                                <w:r w:rsidRPr="00785CEE">
                                  <w:rPr>
                                    <w:noProof/>
                                  </w:rPr>
                                  <w:drawing>
                                    <wp:inline distT="0" distB="0" distL="0" distR="0" wp14:anchorId="3010FFA8" wp14:editId="172CAEF8">
                                      <wp:extent cx="295200" cy="295200"/>
                                      <wp:effectExtent l="0" t="0" r="0" b="0"/>
                                      <wp:docPr id="21" name="Picture 21">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103"/>
                                              </pic:cNvPr>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295200" cy="295200"/>
                                              </a:xfrm>
                                              <a:prstGeom prst="rect">
                                                <a:avLst/>
                                              </a:prstGeom>
                                              <a:noFill/>
                                              <a:ln>
                                                <a:noFill/>
                                              </a:ln>
                                            </pic:spPr>
                                          </pic:pic>
                                        </a:graphicData>
                                      </a:graphic>
                                    </wp:inline>
                                  </w:drawing>
                                </w:r>
                              </w:p>
                            </w:tc>
                          </w:tr>
                        </w:tbl>
                        <w:p w:rsidR="00D902A9" w:rsidRDefault="00D902A9" w:rsidP="00452B58">
                          <w:pPr>
                            <w:pStyle w:val="Spacer"/>
                          </w:pPr>
                        </w:p>
                      </w:txbxContent>
                    </v:textbox>
                    <w10:wrap anchory="margin"/>
                    <w10:anchorlock/>
                  </v:rect>
                </w:pict>
              </mc:Fallback>
            </mc:AlternateContent>
          </w: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1B0996" w:rsidP="00452B58">
          <w:pPr>
            <w:suppressAutoHyphens w:val="0"/>
            <w:spacing w:before="0" w:after="160" w:line="259" w:lineRule="auto"/>
            <w:rPr>
              <w:rFonts w:ascii="Calibri" w:eastAsia="Calibri" w:hAnsi="Calibri" w:cs="Calibri"/>
              <w:color w:val="auto"/>
              <w:kern w:val="0"/>
              <w:sz w:val="22"/>
              <w:szCs w:val="22"/>
            </w:rPr>
          </w:pPr>
        </w:p>
      </w:sdtContent>
    </w:sdt>
    <w:p w:rsidR="00452B58" w:rsidRPr="00452B58" w:rsidRDefault="00452B58" w:rsidP="00452B58">
      <w:pPr>
        <w:keepNext/>
        <w:suppressAutoHyphens w:val="0"/>
        <w:spacing w:before="360" w:after="120"/>
        <w:outlineLvl w:val="0"/>
        <w:rPr>
          <w:rFonts w:ascii="Arial Bold" w:eastAsia="Calibri" w:hAnsi="Arial Bold" w:cs="Times New Roman"/>
          <w:b/>
          <w:color w:val="00A1DE"/>
          <w:kern w:val="0"/>
          <w:sz w:val="28"/>
          <w:szCs w:val="22"/>
        </w:rPr>
      </w:pPr>
      <w:r w:rsidRPr="00452B58">
        <w:rPr>
          <w:rFonts w:ascii="Arial Bold" w:eastAsia="Calibri" w:hAnsi="Arial Bold" w:cs="Times New Roman"/>
          <w:b/>
          <w:color w:val="00A1DE"/>
          <w:kern w:val="0"/>
          <w:sz w:val="28"/>
          <w:szCs w:val="22"/>
        </w:rPr>
        <w:t>CONTACT US</w:t>
      </w:r>
    </w:p>
    <w:p w:rsidR="00452B58" w:rsidRPr="00452B58" w:rsidRDefault="00452B58" w:rsidP="00452B58">
      <w:pPr>
        <w:suppressAutoHyphens w:val="0"/>
        <w:spacing w:before="0" w:after="0" w:line="288" w:lineRule="auto"/>
        <w:rPr>
          <w:rFonts w:ascii="Arial" w:eastAsia="Calibri" w:hAnsi="Arial" w:cs="Arial"/>
          <w:color w:val="000000"/>
          <w:kern w:val="0"/>
          <w:sz w:val="18"/>
          <w:szCs w:val="18"/>
          <w:lang w:val="en-GB"/>
        </w:rPr>
      </w:pPr>
    </w:p>
    <w:p w:rsidR="00452B58" w:rsidRPr="00452B58" w:rsidRDefault="00452B58" w:rsidP="00452B58">
      <w:pPr>
        <w:suppressAutoHyphens w:val="0"/>
        <w:spacing w:before="0" w:after="160" w:line="259" w:lineRule="auto"/>
        <w:rPr>
          <w:rFonts w:ascii="Calibri" w:eastAsia="Calibri" w:hAnsi="Calibri" w:cs="Calibri"/>
          <w:color w:val="auto"/>
          <w:kern w:val="0"/>
          <w:sz w:val="22"/>
          <w:szCs w:val="22"/>
        </w:rPr>
      </w:pPr>
    </w:p>
    <w:p w:rsidR="00452B58" w:rsidRPr="00452B58" w:rsidRDefault="00452B58" w:rsidP="00452B58">
      <w:pPr>
        <w:suppressAutoHyphens w:val="0"/>
        <w:spacing w:before="0" w:after="160" w:line="259" w:lineRule="auto"/>
        <w:rPr>
          <w:rFonts w:ascii="Calibri" w:eastAsia="Calibri" w:hAnsi="Calibri" w:cs="Times New Roman"/>
          <w:b/>
          <w:color w:val="00A1DE"/>
          <w:kern w:val="0"/>
          <w:sz w:val="22"/>
          <w:szCs w:val="22"/>
        </w:rPr>
      </w:pPr>
      <w:r w:rsidRPr="00452B58">
        <w:rPr>
          <w:rFonts w:ascii="Calibri" w:eastAsia="Calibri" w:hAnsi="Calibri" w:cs="Times New Roman"/>
          <w:b/>
          <w:color w:val="00A1DE"/>
          <w:kern w:val="0"/>
          <w:sz w:val="22"/>
          <w:szCs w:val="22"/>
        </w:rPr>
        <w:t>Ulysses Ai</w:t>
      </w:r>
    </w:p>
    <w:p w:rsidR="00452B58" w:rsidRPr="00452B58" w:rsidRDefault="00452B58" w:rsidP="00452B58">
      <w:pPr>
        <w:suppressAutoHyphens w:val="0"/>
        <w:spacing w:before="0" w:after="0" w:line="288" w:lineRule="auto"/>
        <w:rPr>
          <w:rFonts w:ascii="Arial" w:eastAsia="Calibri" w:hAnsi="Arial" w:cs="Times New Roman"/>
          <w:color w:val="8B8D8E"/>
          <w:kern w:val="0"/>
          <w:sz w:val="18"/>
          <w:szCs w:val="22"/>
        </w:rPr>
      </w:pPr>
      <w:r w:rsidRPr="00452B58">
        <w:rPr>
          <w:rFonts w:ascii="Arial" w:eastAsia="Calibri" w:hAnsi="Arial" w:cs="Times New Roman"/>
          <w:color w:val="8B8D8E"/>
          <w:kern w:val="0"/>
          <w:sz w:val="18"/>
          <w:szCs w:val="22"/>
        </w:rPr>
        <w:t>Senior Technology Leader</w:t>
      </w:r>
    </w:p>
    <w:p w:rsidR="00452B58" w:rsidRPr="00452B58" w:rsidRDefault="00452B58" w:rsidP="00452B58">
      <w:pPr>
        <w:suppressAutoHyphens w:val="0"/>
        <w:spacing w:before="0" w:after="0" w:line="288" w:lineRule="auto"/>
        <w:rPr>
          <w:rFonts w:ascii="Arial" w:eastAsia="Calibri" w:hAnsi="Arial" w:cs="Times New Roman"/>
          <w:color w:val="8B8D8E"/>
          <w:kern w:val="0"/>
          <w:sz w:val="18"/>
          <w:szCs w:val="18"/>
        </w:rPr>
      </w:pPr>
      <w:r w:rsidRPr="00452B58">
        <w:rPr>
          <w:rFonts w:ascii="Arial" w:eastAsia="Calibri" w:hAnsi="Arial" w:cs="Times New Roman"/>
          <w:color w:val="8B8D8E"/>
          <w:kern w:val="0"/>
          <w:sz w:val="18"/>
          <w:szCs w:val="18"/>
        </w:rPr>
        <w:t>Leader Infrastructure Planning and Performance Portfolio</w:t>
      </w:r>
    </w:p>
    <w:p w:rsidR="00452B58" w:rsidRPr="00452B58" w:rsidRDefault="00452B58" w:rsidP="00452B58">
      <w:pPr>
        <w:suppressAutoHyphens w:val="0"/>
        <w:spacing w:before="0" w:after="0" w:line="288" w:lineRule="auto"/>
        <w:rPr>
          <w:rFonts w:ascii="Arial" w:eastAsia="Calibri" w:hAnsi="Arial" w:cs="Times New Roman"/>
          <w:color w:val="auto"/>
          <w:kern w:val="0"/>
          <w:sz w:val="18"/>
          <w:szCs w:val="22"/>
        </w:rPr>
      </w:pPr>
      <w:r w:rsidRPr="00452B58">
        <w:rPr>
          <w:rFonts w:ascii="Arial" w:eastAsia="Calibri" w:hAnsi="Arial" w:cs="Times New Roman"/>
          <w:color w:val="auto"/>
          <w:kern w:val="0"/>
          <w:sz w:val="18"/>
          <w:szCs w:val="22"/>
        </w:rPr>
        <w:t>Safer Smarter Infrastructure</w:t>
      </w:r>
    </w:p>
    <w:p w:rsidR="00452B58" w:rsidRPr="00452B58" w:rsidRDefault="00452B58" w:rsidP="00452B58">
      <w:pPr>
        <w:suppressAutoHyphens w:val="0"/>
        <w:spacing w:before="0" w:after="0" w:line="288" w:lineRule="auto"/>
        <w:rPr>
          <w:rFonts w:ascii="Arial" w:eastAsia="Calibri" w:hAnsi="Arial" w:cs="Times New Roman"/>
          <w:color w:val="auto"/>
          <w:kern w:val="0"/>
          <w:sz w:val="18"/>
          <w:szCs w:val="22"/>
        </w:rPr>
      </w:pPr>
      <w:r w:rsidRPr="00452B58">
        <w:rPr>
          <w:rFonts w:ascii="Arial" w:eastAsia="Calibri" w:hAnsi="Arial" w:cs="Times New Roman"/>
          <w:color w:val="auto"/>
          <w:kern w:val="0"/>
          <w:sz w:val="18"/>
          <w:szCs w:val="22"/>
        </w:rPr>
        <w:t>E: ulysses.ai@arrb.com.au</w:t>
      </w:r>
      <w:bookmarkStart w:id="341" w:name="_Hlk137815215"/>
      <w:bookmarkEnd w:id="192"/>
      <w:bookmarkEnd w:id="193"/>
    </w:p>
    <w:bookmarkEnd w:id="341"/>
    <w:p w:rsidR="00C47D1D" w:rsidRPr="00E03F5E" w:rsidRDefault="00C47D1D" w:rsidP="00E03F5E"/>
    <w:sectPr w:rsidR="00C47D1D" w:rsidRPr="00E03F5E" w:rsidSect="00452B58">
      <w:pgSz w:w="11906" w:h="16838" w:code="9"/>
      <w:pgMar w:top="1134" w:right="1134" w:bottom="1134" w:left="1134" w:header="680" w:footer="284" w:gutter="0"/>
      <w:cols w:num="2"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0996" w:rsidRDefault="001B0996" w:rsidP="008456D5">
      <w:pPr>
        <w:spacing w:before="0" w:after="0"/>
      </w:pPr>
      <w:r>
        <w:separator/>
      </w:r>
    </w:p>
  </w:endnote>
  <w:endnote w:type="continuationSeparator" w:id="0">
    <w:p w:rsidR="001B0996" w:rsidRDefault="001B0996"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ne)">
    <w:altName w:val="Times New Roman"/>
    <w:panose1 w:val="00000000000000000000"/>
    <w:charset w:val="00"/>
    <w:family w:val="roman"/>
    <w:notTrueType/>
    <w:pitch w:val="default"/>
  </w:font>
  <w:font w:name="EYInterstate Light">
    <w:altName w:val="Times New Roman"/>
    <w:charset w:val="00"/>
    <w:family w:val="auto"/>
    <w:pitch w:val="variable"/>
    <w:sig w:usb0="A00002AF" w:usb1="5000206A" w:usb2="00000000" w:usb3="00000000" w:csb0="0000009F" w:csb1="00000000"/>
  </w:font>
  <w:font w:name="EYInterstate">
    <w:altName w:val="Times New Roman"/>
    <w:charset w:val="00"/>
    <w:family w:val="auto"/>
    <w:pitch w:val="variable"/>
    <w:sig w:usb0="A00002AF" w:usb1="5000206A" w:usb2="00000000" w:usb3="00000000" w:csb0="0000009F" w:csb1="00000000"/>
  </w:font>
  <w:font w:name="Times New Roman (Body CS)">
    <w:altName w:val="Times New Roman"/>
    <w:charset w:val="00"/>
    <w:family w:val="roman"/>
    <w:pitch w:val="default"/>
  </w:font>
  <w:font w:name="FranklinGothic-Book">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ranklinGothic-BookCnd">
    <w:altName w:val="Calibri"/>
    <w:panose1 w:val="00000000000000000000"/>
    <w:charset w:val="4D"/>
    <w:family w:val="auto"/>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stem">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itka Display">
    <w:panose1 w:val="02000505000000020004"/>
    <w:charset w:val="00"/>
    <w:family w:val="auto"/>
    <w:pitch w:val="variable"/>
    <w:sig w:usb0="A00002EF" w:usb1="400020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2A9" w:rsidRDefault="00D902A9" w:rsidP="00E50D64">
    <w:pPr>
      <w:pStyle w:val="Footer"/>
      <w:spacing w:before="720"/>
      <w:jc w:val="right"/>
    </w:pPr>
    <w:r>
      <w:rPr>
        <w:noProof/>
        <w:lang w:eastAsia="en-AU"/>
      </w:rPr>
      <mc:AlternateContent>
        <mc:Choice Requires="wps">
          <w:drawing>
            <wp:anchor distT="0" distB="0" distL="114300" distR="114300" simplePos="0" relativeHeight="251676672" behindDoc="1" locked="1" layoutInCell="1" allowOverlap="1" wp14:anchorId="579114AE" wp14:editId="73D34341">
              <wp:simplePos x="0" y="0"/>
              <wp:positionH relativeFrom="page">
                <wp:align>left</wp:align>
              </wp:positionH>
              <wp:positionV relativeFrom="page">
                <wp:align>bottom</wp:align>
              </wp:positionV>
              <wp:extent cx="1007280" cy="539280"/>
              <wp:effectExtent l="0" t="0" r="2540" b="0"/>
              <wp:wrapNone/>
              <wp:docPr id="16" name="Text Box 16" descr="background" title="background"/>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rsidR="00D902A9" w:rsidRPr="007A05BE" w:rsidRDefault="00D902A9"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114AE" id="_x0000_t202" coordsize="21600,21600" o:spt="202" path="m,l,21600r21600,l21600,xe">
              <v:stroke joinstyle="miter"/>
              <v:path gradientshapeok="t" o:connecttype="rect"/>
            </v:shapetype>
            <v:shape id="Text Box 16" o:spid="_x0000_s1032" type="#_x0000_t202" alt="Title: background - Description: background" style="position:absolute;left:0;text-align:left;margin-left:0;margin-top:0;width:79.3pt;height:42.45pt;z-index:-25163980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" filled="f" stroked="f" strokeweight=".5pt">
              <v:textbox inset="18mm,0,0,10mm">
                <w:txbxContent>
                  <w:p w:rsidR="00D902A9" w:rsidRPr="007A05BE" w:rsidRDefault="00D902A9"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75648" behindDoc="1" locked="1" layoutInCell="1" allowOverlap="1" wp14:anchorId="0AC811F9" wp14:editId="38662C96">
              <wp:simplePos x="0" y="0"/>
              <wp:positionH relativeFrom="page">
                <wp:align>left</wp:align>
              </wp:positionH>
              <wp:positionV relativeFrom="page">
                <wp:align>bottom</wp:align>
              </wp:positionV>
              <wp:extent cx="4320000" cy="539280"/>
              <wp:effectExtent l="0" t="0" r="4445" b="0"/>
              <wp:wrapNone/>
              <wp:docPr id="18" name="Text Box 18" descr="background" title="background"/>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sdt>
                          <w:sdtPr>
                            <w:alias w:val="Title"/>
                            <w:tag w:val=""/>
                            <w:id w:val="-2054678285"/>
                            <w:dataBinding w:prefixMappings="xmlns:ns0='http://purl.org/dc/elements/1.1/' xmlns:ns1='http://schemas.openxmlformats.org/package/2006/metadata/core-properties' " w:xpath="/ns1:coreProperties[1]/ns0:title[1]" w:storeItemID="{6C3C8BC8-F283-45AE-878A-BAB7291924A1}"/>
                            <w:text/>
                          </w:sdtPr>
                          <w:sdtEndPr/>
                          <w:sdtContent>
                            <w:p w:rsidR="00D902A9" w:rsidRDefault="00D902A9" w:rsidP="00E50D64">
                              <w:pPr>
                                <w:pStyle w:val="Footer"/>
                              </w:pPr>
                              <w:r>
                                <w:t>SAFER FREIGHT VEHICLES</w:t>
                              </w:r>
                            </w:p>
                          </w:sdtContent>
                        </w:sdt>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811F9" id="Text Box 18" o:spid="_x0000_s1033" type="#_x0000_t202" alt="Title: background - Description: background" style="position:absolute;left:0;text-align:left;margin-left:0;margin-top:0;width:340.15pt;height:42.45pt;z-index:-2516408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" filled="f" stroked="f" strokeweight=".5pt">
              <v:textbox inset="28mm,0,0,10mm">
                <w:txbxContent>
                  <w:sdt>
                    <w:sdtPr>
                      <w:alias w:val="Title"/>
                      <w:tag w:val=""/>
                      <w:id w:val="-2054678285"/>
                      <w:dataBinding w:prefixMappings="xmlns:ns0='http://purl.org/dc/elements/1.1/' xmlns:ns1='http://schemas.openxmlformats.org/package/2006/metadata/core-properties' " w:xpath="/ns1:coreProperties[1]/ns0:title[1]" w:storeItemID="{6C3C8BC8-F283-45AE-878A-BAB7291924A1}"/>
                      <w:text/>
                    </w:sdtPr>
                    <w:sdtEndPr/>
                    <w:sdtContent>
                      <w:p w:rsidR="00D902A9" w:rsidRDefault="00D902A9" w:rsidP="00E50D64">
                        <w:pPr>
                          <w:pStyle w:val="Footer"/>
                        </w:pPr>
                        <w:r>
                          <w:t>SAFER FREIGHT VEHICLES</w:t>
                        </w:r>
                      </w:p>
                    </w:sdtContent>
                  </w:sdt>
                </w:txbxContent>
              </v:textbox>
              <w10:wrap anchorx="page" anchory="page"/>
              <w10:anchorlock/>
            </v:shape>
          </w:pict>
        </mc:Fallback>
      </mc:AlternateContent>
    </w:r>
    <w:r>
      <w:rPr>
        <w:noProof/>
        <w:lang w:eastAsia="en-AU"/>
      </w:rPr>
      <w:drawing>
        <wp:anchor distT="0" distB="0" distL="114300" distR="114300" simplePos="0" relativeHeight="251674624" behindDoc="1" locked="1" layoutInCell="1" allowOverlap="1" wp14:anchorId="42C959FF" wp14:editId="418E6DDE">
          <wp:simplePos x="0" y="0"/>
          <wp:positionH relativeFrom="page">
            <wp:align>right</wp:align>
          </wp:positionH>
          <wp:positionV relativeFrom="page">
            <wp:align>bottom</wp:align>
          </wp:positionV>
          <wp:extent cx="10692000" cy="183240"/>
          <wp:effectExtent l="0" t="0" r="0" b="7620"/>
          <wp:wrapNone/>
          <wp:docPr id="19" name="Picture 19"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2A9" w:rsidRDefault="00D902A9" w:rsidP="00546218">
    <w:pPr>
      <w:pStyle w:val="Footer"/>
      <w:spacing w:before="720"/>
    </w:pPr>
    <w:r>
      <w:rPr>
        <w:noProof/>
        <w:lang w:eastAsia="en-AU"/>
      </w:rPr>
      <mc:AlternateContent>
        <mc:Choice Requires="wps">
          <w:drawing>
            <wp:anchor distT="0" distB="0" distL="114300" distR="114300" simplePos="0" relativeHeight="251662336" behindDoc="1" locked="1" layoutInCell="1" allowOverlap="1" wp14:anchorId="1019BC83" wp14:editId="46619F6B">
              <wp:simplePos x="0" y="0"/>
              <wp:positionH relativeFrom="page">
                <wp:align>right</wp:align>
              </wp:positionH>
              <wp:positionV relativeFrom="page">
                <wp:align>bottom</wp:align>
              </wp:positionV>
              <wp:extent cx="1007640" cy="539640"/>
              <wp:effectExtent l="0" t="0" r="0" b="0"/>
              <wp:wrapNone/>
              <wp:docPr id="4" name="Text Box 4" descr="background" title="background"/>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rsidR="00D902A9" w:rsidRPr="007A05BE" w:rsidRDefault="00D902A9"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9BC83" id="_x0000_t202" coordsize="21600,21600" o:spt="202" path="m,l,21600r21600,l21600,xe">
              <v:stroke joinstyle="miter"/>
              <v:path gradientshapeok="t" o:connecttype="rect"/>
            </v:shapetype>
            <v:shape id="Text Box 4" o:spid="_x0000_s1034" type="#_x0000_t202" alt="Title: background - Description: background" style="position:absolute;margin-left:28.15pt;margin-top:0;width:79.35pt;height:42.5pt;z-index:-25165414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" filled="f" stroked="f" strokeweight=".5pt">
              <v:textbox inset="0,0,18mm,10mm">
                <w:txbxContent>
                  <w:p w:rsidR="00D902A9" w:rsidRPr="007A05BE" w:rsidRDefault="00D902A9"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60288" behindDoc="1" locked="1" layoutInCell="1" allowOverlap="1" wp14:anchorId="2A2D9DB2" wp14:editId="330776A1">
              <wp:simplePos x="0" y="0"/>
              <wp:positionH relativeFrom="page">
                <wp:align>right</wp:align>
              </wp:positionH>
              <wp:positionV relativeFrom="page">
                <wp:align>bottom</wp:align>
              </wp:positionV>
              <wp:extent cx="4320000" cy="539640"/>
              <wp:effectExtent l="0" t="0" r="0" b="0"/>
              <wp:wrapNone/>
              <wp:docPr id="3" name="Text Box 3" descr="background" title="background"/>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sdt>
                          <w:sdtPr>
                            <w:alias w:val="Title"/>
                            <w:tag w:val=""/>
                            <w:id w:val="729659418"/>
                            <w:dataBinding w:prefixMappings="xmlns:ns0='http://purl.org/dc/elements/1.1/' xmlns:ns1='http://schemas.openxmlformats.org/package/2006/metadata/core-properties' " w:xpath="/ns1:coreProperties[1]/ns0:title[1]" w:storeItemID="{6C3C8BC8-F283-45AE-878A-BAB7291924A1}"/>
                            <w:text/>
                          </w:sdtPr>
                          <w:sdtEndPr/>
                          <w:sdtContent>
                            <w:p w:rsidR="00D902A9" w:rsidRDefault="00D902A9" w:rsidP="007A05BE">
                              <w:pPr>
                                <w:pStyle w:val="Footer"/>
                                <w:jc w:val="right"/>
                              </w:pPr>
                              <w:r>
                                <w:t>SAFER FREIGHT VEHICLES</w:t>
                              </w:r>
                            </w:p>
                          </w:sdtContent>
                        </w:sdt>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D9DB2" id="Text Box 3" o:spid="_x0000_s1035" type="#_x0000_t202" alt="Title: background - Description: background" style="position:absolute;margin-left:288.95pt;margin-top:0;width:340.15pt;height:42.5pt;z-index:-25165619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" filled="f" stroked="f" strokeweight=".5pt">
              <v:textbox inset="0,0,28mm,10mm">
                <w:txbxContent>
                  <w:sdt>
                    <w:sdtPr>
                      <w:alias w:val="Title"/>
                      <w:tag w:val=""/>
                      <w:id w:val="729659418"/>
                      <w:dataBinding w:prefixMappings="xmlns:ns0='http://purl.org/dc/elements/1.1/' xmlns:ns1='http://schemas.openxmlformats.org/package/2006/metadata/core-properties' " w:xpath="/ns1:coreProperties[1]/ns0:title[1]" w:storeItemID="{6C3C8BC8-F283-45AE-878A-BAB7291924A1}"/>
                      <w:text/>
                    </w:sdtPr>
                    <w:sdtEndPr/>
                    <w:sdtContent>
                      <w:p w:rsidR="00D902A9" w:rsidRDefault="00D902A9" w:rsidP="007A05BE">
                        <w:pPr>
                          <w:pStyle w:val="Footer"/>
                          <w:jc w:val="right"/>
                        </w:pPr>
                        <w:r>
                          <w:t>SAFER FREIGHT VEHICLES</w:t>
                        </w:r>
                      </w:p>
                    </w:sdtContent>
                  </w:sdt>
                </w:txbxContent>
              </v:textbox>
              <w10:wrap anchorx="page" anchory="page"/>
              <w10:anchorlock/>
            </v:shape>
          </w:pict>
        </mc:Fallback>
      </mc:AlternateContent>
    </w:r>
    <w:r>
      <w:rPr>
        <w:noProof/>
        <w:lang w:eastAsia="en-AU"/>
      </w:rPr>
      <w:drawing>
        <wp:anchor distT="0" distB="0" distL="114300" distR="114300" simplePos="0" relativeHeight="251659264" behindDoc="1" locked="1" layoutInCell="1" allowOverlap="1" wp14:anchorId="405EC479" wp14:editId="0EA42276">
          <wp:simplePos x="0" y="0"/>
          <wp:positionH relativeFrom="page">
            <wp:align>right</wp:align>
          </wp:positionH>
          <wp:positionV relativeFrom="page">
            <wp:align>bottom</wp:align>
          </wp:positionV>
          <wp:extent cx="10692000" cy="183240"/>
          <wp:effectExtent l="0" t="0" r="0" b="7620"/>
          <wp:wrapNone/>
          <wp:docPr id="2" name="Picture 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6920436"/>
      <w:docPartObj>
        <w:docPartGallery w:val="Page Numbers (Bottom of Page)"/>
        <w:docPartUnique/>
      </w:docPartObj>
    </w:sdtPr>
    <w:sdtEndPr>
      <w:rPr>
        <w:noProof/>
      </w:rPr>
    </w:sdtEndPr>
    <w:sdtContent>
      <w:p w:rsidR="00D902A9" w:rsidRDefault="00D902A9">
        <w:pPr>
          <w:pStyle w:val="Footer"/>
          <w:jc w:val="right"/>
        </w:pPr>
        <w:r>
          <w:fldChar w:fldCharType="begin"/>
        </w:r>
        <w:r>
          <w:instrText xml:space="preserve"> PAGE   \* MERGEFORMAT </w:instrText>
        </w:r>
        <w:r>
          <w:fldChar w:fldCharType="separate"/>
        </w:r>
        <w:r>
          <w:rPr>
            <w:noProof/>
          </w:rPr>
          <w:t>v</w:t>
        </w:r>
        <w:r>
          <w:rPr>
            <w:noProof/>
          </w:rPr>
          <w:fldChar w:fldCharType="end"/>
        </w:r>
      </w:p>
    </w:sdtContent>
  </w:sdt>
  <w:p w:rsidR="00D902A9" w:rsidRPr="00CD1797" w:rsidRDefault="00D902A9" w:rsidP="00CD17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2A9" w:rsidRDefault="00D902A9" w:rsidP="00546218">
    <w:pPr>
      <w:pStyle w:val="Footer"/>
      <w:spacing w:before="720"/>
    </w:pPr>
    <w:r>
      <w:rPr>
        <w:noProof/>
        <w:lang w:eastAsia="en-AU"/>
      </w:rPr>
      <mc:AlternateContent>
        <mc:Choice Requires="wps">
          <w:drawing>
            <wp:anchor distT="0" distB="0" distL="114300" distR="114300" simplePos="0" relativeHeight="251668480" behindDoc="1" locked="1" layoutInCell="1" allowOverlap="1" wp14:anchorId="1941D0E8" wp14:editId="0CF80B95">
              <wp:simplePos x="0" y="0"/>
              <wp:positionH relativeFrom="page">
                <wp:align>right</wp:align>
              </wp:positionH>
              <wp:positionV relativeFrom="page">
                <wp:align>bottom</wp:align>
              </wp:positionV>
              <wp:extent cx="1007640" cy="539640"/>
              <wp:effectExtent l="0" t="0" r="0" b="0"/>
              <wp:wrapNone/>
              <wp:docPr id="8" name="Text Box 8" descr="background" title="background"/>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rsidR="00D902A9" w:rsidRPr="007A05BE" w:rsidRDefault="00D902A9"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1D0E8" id="_x0000_t202" coordsize="21600,21600" o:spt="202" path="m,l,21600r21600,l21600,xe">
              <v:stroke joinstyle="miter"/>
              <v:path gradientshapeok="t" o:connecttype="rect"/>
            </v:shapetype>
            <v:shape id="Text Box 8" o:spid="_x0000_s1036" type="#_x0000_t202" alt="Title: background - Description: background" style="position:absolute;margin-left:28.15pt;margin-top:0;width:79.35pt;height:42.5pt;z-index:-25164800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" filled="f" stroked="f" strokeweight=".5pt">
              <v:textbox inset="0,0,18mm,10mm">
                <w:txbxContent>
                  <w:p w:rsidR="00D902A9" w:rsidRPr="007A05BE" w:rsidRDefault="00D902A9"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67456" behindDoc="1" locked="1" layoutInCell="1" allowOverlap="1" wp14:anchorId="22E1088E" wp14:editId="2E11F69F">
              <wp:simplePos x="0" y="0"/>
              <wp:positionH relativeFrom="page">
                <wp:align>right</wp:align>
              </wp:positionH>
              <wp:positionV relativeFrom="page">
                <wp:align>bottom</wp:align>
              </wp:positionV>
              <wp:extent cx="4320000" cy="539640"/>
              <wp:effectExtent l="0" t="0" r="0" b="0"/>
              <wp:wrapNone/>
              <wp:docPr id="9" name="Text Box 9" descr="background" title="background"/>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sdt>
                          <w:sdtPr>
                            <w:alias w:val="Title"/>
                            <w:tag w:val=""/>
                            <w:id w:val="962004615"/>
                            <w:dataBinding w:prefixMappings="xmlns:ns0='http://purl.org/dc/elements/1.1/' xmlns:ns1='http://schemas.openxmlformats.org/package/2006/metadata/core-properties' " w:xpath="/ns1:coreProperties[1]/ns0:title[1]" w:storeItemID="{6C3C8BC8-F283-45AE-878A-BAB7291924A1}"/>
                            <w:text/>
                          </w:sdtPr>
                          <w:sdtEndPr/>
                          <w:sdtContent>
                            <w:p w:rsidR="00D902A9" w:rsidRDefault="00D902A9" w:rsidP="00546218">
                              <w:pPr>
                                <w:pStyle w:val="Footer"/>
                                <w:jc w:val="right"/>
                              </w:pPr>
                              <w:r>
                                <w:t>SAFER FREIGHT VEHICLES</w:t>
                              </w:r>
                            </w:p>
                          </w:sdtContent>
                        </w:sdt>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1088E" id="Text Box 9" o:spid="_x0000_s1037" type="#_x0000_t202" alt="Title: background - Description: background" style="position:absolute;margin-left:288.95pt;margin-top:0;width:340.15pt;height:42.5pt;z-index:-25164902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" filled="f" stroked="f" strokeweight=".5pt">
              <v:textbox inset="0,0,28mm,10mm">
                <w:txbxContent>
                  <w:sdt>
                    <w:sdtPr>
                      <w:alias w:val="Title"/>
                      <w:tag w:val=""/>
                      <w:id w:val="962004615"/>
                      <w:dataBinding w:prefixMappings="xmlns:ns0='http://purl.org/dc/elements/1.1/' xmlns:ns1='http://schemas.openxmlformats.org/package/2006/metadata/core-properties' " w:xpath="/ns1:coreProperties[1]/ns0:title[1]" w:storeItemID="{6C3C8BC8-F283-45AE-878A-BAB7291924A1}"/>
                      <w:text/>
                    </w:sdtPr>
                    <w:sdtEndPr/>
                    <w:sdtContent>
                      <w:p w:rsidR="00D902A9" w:rsidRDefault="00D902A9" w:rsidP="00546218">
                        <w:pPr>
                          <w:pStyle w:val="Footer"/>
                          <w:jc w:val="right"/>
                        </w:pPr>
                        <w:r>
                          <w:t>SAFER FREIGHT VEHICLES</w:t>
                        </w:r>
                      </w:p>
                    </w:sdtContent>
                  </w:sdt>
                </w:txbxContent>
              </v:textbox>
              <w10:wrap anchorx="page" anchory="page"/>
              <w10:anchorlock/>
            </v:shape>
          </w:pict>
        </mc:Fallback>
      </mc:AlternateContent>
    </w:r>
    <w:r>
      <w:rPr>
        <w:noProof/>
        <w:lang w:eastAsia="en-AU"/>
      </w:rPr>
      <w:drawing>
        <wp:anchor distT="0" distB="0" distL="114300" distR="114300" simplePos="0" relativeHeight="251666432" behindDoc="1" locked="1" layoutInCell="1" allowOverlap="1" wp14:anchorId="022EECBC" wp14:editId="5D3C99E6">
          <wp:simplePos x="0" y="0"/>
          <wp:positionH relativeFrom="page">
            <wp:align>right</wp:align>
          </wp:positionH>
          <wp:positionV relativeFrom="page">
            <wp:align>bottom</wp:align>
          </wp:positionV>
          <wp:extent cx="10692000" cy="183240"/>
          <wp:effectExtent l="0" t="0" r="0" b="7620"/>
          <wp:wrapNone/>
          <wp:docPr id="2904" name="Picture 2904"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2A9" w:rsidRDefault="00D902A9" w:rsidP="00B53C81">
    <w:pPr>
      <w:pStyle w:val="Footer"/>
      <w:tabs>
        <w:tab w:val="clear" w:pos="9026"/>
        <w:tab w:val="center" w:pos="9356"/>
      </w:tabs>
      <w:spacing w:before="720"/>
    </w:pPr>
    <w:r>
      <w:rPr>
        <w:noProof/>
        <w:lang w:eastAsia="en-AU"/>
      </w:rPr>
      <w:drawing>
        <wp:anchor distT="0" distB="0" distL="114300" distR="114300" simplePos="0" relativeHeight="251678720" behindDoc="1" locked="1" layoutInCell="1" allowOverlap="1" wp14:anchorId="4122ED47" wp14:editId="73F59521">
          <wp:simplePos x="0" y="0"/>
          <wp:positionH relativeFrom="page">
            <wp:posOffset>-3121660</wp:posOffset>
          </wp:positionH>
          <wp:positionV relativeFrom="page">
            <wp:posOffset>10501630</wp:posOffset>
          </wp:positionV>
          <wp:extent cx="10691495" cy="182880"/>
          <wp:effectExtent l="0" t="0" r="1905" b="0"/>
          <wp:wrapNone/>
          <wp:docPr id="2905" name="Picture 290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1495" cy="182880"/>
                  </a:xfrm>
                  <a:prstGeom prst="rect">
                    <a:avLst/>
                  </a:prstGeom>
                </pic:spPr>
              </pic:pic>
            </a:graphicData>
          </a:graphic>
          <wp14:sizeRelH relativeFrom="margin">
            <wp14:pctWidth>0</wp14:pctWidth>
          </wp14:sizeRelH>
          <wp14:sizeRelV relativeFrom="margin">
            <wp14:pctHeight>0</wp14:pctHeight>
          </wp14:sizeRelV>
        </wp:anchor>
      </w:drawing>
    </w:r>
    <w:r w:rsidRPr="00053056">
      <w:t>Department of Infrastructure, Transport, Regional Development, Communications and the Arts</w:t>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Pr="00CD5F9D">
      <w:rPr>
        <w:b/>
        <w:bCs/>
        <w:noProof/>
      </w:rPr>
      <w:t>29</w:t>
    </w:r>
    <w:r>
      <w:rPr>
        <w:b/>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2A9" w:rsidRDefault="00D902A9" w:rsidP="00E227B0">
    <w:pPr>
      <w:pStyle w:val="Footer"/>
      <w:tabs>
        <w:tab w:val="clear" w:pos="9026"/>
        <w:tab w:val="center" w:pos="9356"/>
      </w:tabs>
      <w:spacing w:before="360"/>
    </w:pPr>
    <w:r>
      <w:rPr>
        <w:noProof/>
        <w:lang w:eastAsia="en-AU"/>
      </w:rPr>
      <w:drawing>
        <wp:anchor distT="0" distB="0" distL="114300" distR="114300" simplePos="0" relativeHeight="251680768" behindDoc="1" locked="1" layoutInCell="1" allowOverlap="1" wp14:anchorId="20B02795" wp14:editId="20EB42DE">
          <wp:simplePos x="0" y="0"/>
          <wp:positionH relativeFrom="page">
            <wp:posOffset>-3121660</wp:posOffset>
          </wp:positionH>
          <wp:positionV relativeFrom="page">
            <wp:posOffset>10501630</wp:posOffset>
          </wp:positionV>
          <wp:extent cx="10691495" cy="182880"/>
          <wp:effectExtent l="0" t="0" r="1905" b="0"/>
          <wp:wrapNone/>
          <wp:docPr id="2906" name="Picture 290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1495" cy="182880"/>
                  </a:xfrm>
                  <a:prstGeom prst="rect">
                    <a:avLst/>
                  </a:prstGeom>
                </pic:spPr>
              </pic:pic>
            </a:graphicData>
          </a:graphic>
          <wp14:sizeRelH relativeFrom="margin">
            <wp14:pctWidth>0</wp14:pctWidth>
          </wp14:sizeRelH>
          <wp14:sizeRelV relativeFrom="margin">
            <wp14:pctHeight>0</wp14:pctHeight>
          </wp14:sizeRelV>
        </wp:anchor>
      </w:drawing>
    </w:r>
    <w:r w:rsidRPr="004B5759">
      <w:t>Department of Infrastructure, Transport, Regional Development, Communications and the Arts</w:t>
    </w:r>
    <w:r>
      <w:tab/>
    </w:r>
    <w:r>
      <w:tab/>
    </w:r>
    <w:r>
      <w:tab/>
    </w:r>
    <w:r>
      <w:tab/>
    </w:r>
    <w:r>
      <w:tab/>
    </w:r>
    <w:r>
      <w:tab/>
    </w:r>
    <w:r>
      <w:tab/>
    </w:r>
    <w:r>
      <w:tab/>
    </w:r>
    <w:r>
      <w:tab/>
    </w:r>
    <w:r>
      <w:tab/>
    </w:r>
    <w:r>
      <w:tab/>
    </w:r>
    <w:r>
      <w:tab/>
    </w: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Pr="00C0350E">
      <w:rPr>
        <w:b/>
        <w:bCs/>
        <w:noProof/>
      </w:rPr>
      <w:t>89</w:t>
    </w:r>
    <w:r>
      <w:rPr>
        <w:b/>
        <w:bCs/>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2A9" w:rsidRPr="008965EE" w:rsidRDefault="00D902A9" w:rsidP="00452B58">
    <w:pPr>
      <w:tabs>
        <w:tab w:val="center" w:pos="4513"/>
        <w:tab w:val="right" w:pos="9026"/>
      </w:tabs>
      <w:spacing w:after="0"/>
      <w:jc w:val="right"/>
      <w:rPr>
        <w:rFonts w:ascii="Calibri" w:eastAsia="Calibri" w:hAnsi="Calibri" w:cs="Times New Roman"/>
        <w:color w:val="9AA3AF"/>
        <w:sz w:val="16"/>
      </w:rPr>
    </w:pPr>
    <w:r w:rsidRPr="008965EE">
      <w:rPr>
        <w:rFonts w:ascii="Calibri" w:eastAsia="Calibri" w:hAnsi="Calibri" w:cs="Times New Roman"/>
        <w:color w:val="9AA3AF"/>
        <w:sz w:val="16"/>
      </w:rPr>
      <w:t xml:space="preserve">Final Report  |  </w:t>
    </w:r>
    <w:r w:rsidRPr="008965EE">
      <w:rPr>
        <w:rFonts w:ascii="Calibri" w:eastAsia="Calibri" w:hAnsi="Calibri" w:cs="Times New Roman"/>
        <w:b/>
        <w:color w:val="9AA3AF"/>
        <w:sz w:val="16"/>
      </w:rPr>
      <w:t xml:space="preserve">Benefit Cost Analysis of Vehicle Widening Options </w:t>
    </w:r>
    <w:r w:rsidRPr="008965EE">
      <w:rPr>
        <w:rFonts w:ascii="Calibri" w:eastAsia="Calibri" w:hAnsi="Calibri" w:cs="Times New Roman"/>
        <w:b/>
        <w:color w:val="9AA3AF"/>
        <w:sz w:val="16"/>
      </w:rPr>
      <w:fldChar w:fldCharType="begin"/>
    </w:r>
    <w:r w:rsidRPr="008965EE">
      <w:rPr>
        <w:rFonts w:ascii="Calibri" w:eastAsia="Calibri" w:hAnsi="Calibri" w:cs="Times New Roman"/>
        <w:b/>
        <w:color w:val="9AA3AF"/>
        <w:sz w:val="16"/>
      </w:rPr>
      <w:instrText xml:space="preserve"> PAGE  \* roman  \* MERGEFORMAT </w:instrText>
    </w:r>
    <w:r w:rsidRPr="008965EE">
      <w:rPr>
        <w:rFonts w:ascii="Calibri" w:eastAsia="Calibri" w:hAnsi="Calibri" w:cs="Times New Roman"/>
        <w:b/>
        <w:color w:val="9AA3AF"/>
        <w:sz w:val="16"/>
      </w:rPr>
      <w:fldChar w:fldCharType="separate"/>
    </w:r>
    <w:r w:rsidRPr="008965EE">
      <w:rPr>
        <w:rFonts w:ascii="Calibri" w:eastAsia="Calibri" w:hAnsi="Calibri" w:cs="Times New Roman"/>
        <w:b/>
        <w:color w:val="9AA3AF"/>
        <w:sz w:val="16"/>
      </w:rPr>
      <w:t>ii</w:t>
    </w:r>
    <w:r w:rsidRPr="008965EE">
      <w:rPr>
        <w:rFonts w:ascii="Calibri" w:eastAsia="Calibri" w:hAnsi="Calibri" w:cs="Times New Roman"/>
        <w:b/>
        <w:color w:val="9AA3AF"/>
        <w:sz w:val="16"/>
      </w:rPr>
      <w:fldChar w:fldCharType="end"/>
    </w:r>
  </w:p>
  <w:p w:rsidR="00D902A9" w:rsidRPr="008965EE" w:rsidRDefault="00D902A9" w:rsidP="00452B58">
    <w:pPr>
      <w:spacing w:after="0" w:line="288" w:lineRule="auto"/>
      <w:rPr>
        <w:rFonts w:ascii="Arial" w:eastAsia="Calibri" w:hAnsi="Arial" w:cs="Times New Roman"/>
        <w:color w:val="9AA3AF"/>
        <w:sz w:val="12"/>
        <w:szCs w:val="12"/>
      </w:rPr>
    </w:pPr>
    <w:r w:rsidRPr="008965EE">
      <w:rPr>
        <w:rFonts w:ascii="Arial" w:eastAsia="Calibri" w:hAnsi="Arial" w:cs="Times New Roman"/>
        <w:color w:val="9AA3AF"/>
        <w:sz w:val="12"/>
        <w:szCs w:val="12"/>
      </w:rPr>
      <w:t>TC-423-1-3-2b</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2A9" w:rsidRPr="005202F5" w:rsidRDefault="00D902A9" w:rsidP="00452B58">
    <w:pPr>
      <w:pStyle w:val="Spac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2A9" w:rsidRPr="008965EE" w:rsidRDefault="00D902A9" w:rsidP="00D86D55">
    <w:pPr>
      <w:tabs>
        <w:tab w:val="center" w:pos="4513"/>
        <w:tab w:val="right" w:pos="9026"/>
      </w:tabs>
      <w:spacing w:after="0"/>
      <w:jc w:val="right"/>
      <w:rPr>
        <w:rFonts w:ascii="Calibri" w:eastAsia="Calibri" w:hAnsi="Calibri" w:cs="Times New Roman"/>
        <w:color w:val="9AA3AF"/>
        <w:sz w:val="16"/>
      </w:rPr>
    </w:pPr>
    <w:r w:rsidRPr="008965EE">
      <w:rPr>
        <w:rFonts w:ascii="Calibri" w:eastAsia="Calibri" w:hAnsi="Calibri" w:cs="Times New Roman"/>
        <w:color w:val="9AA3AF"/>
        <w:sz w:val="16"/>
      </w:rPr>
      <w:t xml:space="preserve">Final Report  |  </w:t>
    </w:r>
    <w:r w:rsidRPr="008965EE">
      <w:rPr>
        <w:rFonts w:ascii="Calibri" w:eastAsia="Calibri" w:hAnsi="Calibri" w:cs="Times New Roman"/>
        <w:b/>
        <w:color w:val="9AA3AF"/>
        <w:sz w:val="16"/>
      </w:rPr>
      <w:t xml:space="preserve">Benefit Cost Analysis of Vehicle Widening Options </w:t>
    </w:r>
    <w:r>
      <w:rPr>
        <w:rFonts w:ascii="Calibri" w:eastAsia="Calibri" w:hAnsi="Calibri" w:cs="Times New Roman"/>
        <w:b/>
        <w:color w:val="9AA3AF"/>
        <w:sz w:val="16"/>
      </w:rPr>
      <w:fldChar w:fldCharType="begin"/>
    </w:r>
    <w:r>
      <w:rPr>
        <w:rFonts w:ascii="Calibri" w:eastAsia="Calibri" w:hAnsi="Calibri" w:cs="Times New Roman"/>
        <w:b/>
        <w:color w:val="9AA3AF"/>
        <w:sz w:val="16"/>
      </w:rPr>
      <w:instrText xml:space="preserve"> PAGE  \* Arabic </w:instrText>
    </w:r>
    <w:r>
      <w:rPr>
        <w:rFonts w:ascii="Calibri" w:eastAsia="Calibri" w:hAnsi="Calibri" w:cs="Times New Roman"/>
        <w:b/>
        <w:color w:val="9AA3AF"/>
        <w:sz w:val="16"/>
      </w:rPr>
      <w:fldChar w:fldCharType="separate"/>
    </w:r>
    <w:r>
      <w:rPr>
        <w:rFonts w:ascii="Calibri" w:eastAsia="Calibri" w:hAnsi="Calibri" w:cs="Times New Roman"/>
        <w:b/>
        <w:noProof/>
        <w:color w:val="9AA3AF"/>
        <w:sz w:val="16"/>
      </w:rPr>
      <w:t>1</w:t>
    </w:r>
    <w:r>
      <w:rPr>
        <w:rFonts w:ascii="Calibri" w:eastAsia="Calibri" w:hAnsi="Calibri" w:cs="Times New Roman"/>
        <w:b/>
        <w:color w:val="9AA3AF"/>
        <w:sz w:val="16"/>
      </w:rPr>
      <w:fldChar w:fldCharType="end"/>
    </w:r>
  </w:p>
  <w:p w:rsidR="00D902A9" w:rsidRPr="00D86D55" w:rsidRDefault="00D902A9" w:rsidP="00D86D55">
    <w:pPr>
      <w:spacing w:after="0" w:line="288" w:lineRule="auto"/>
      <w:rPr>
        <w:rFonts w:ascii="Arial" w:eastAsia="Calibri" w:hAnsi="Arial" w:cs="Times New Roman"/>
        <w:color w:val="9AA3AF"/>
        <w:sz w:val="12"/>
        <w:szCs w:val="12"/>
      </w:rPr>
    </w:pPr>
    <w:r w:rsidRPr="008965EE">
      <w:rPr>
        <w:rFonts w:ascii="Arial" w:eastAsia="Calibri" w:hAnsi="Arial" w:cs="Times New Roman"/>
        <w:color w:val="9AA3AF"/>
        <w:sz w:val="12"/>
        <w:szCs w:val="12"/>
      </w:rPr>
      <w:t>TC-423-1-3-2b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0996" w:rsidRPr="005912BE" w:rsidRDefault="001B0996" w:rsidP="005912BE">
      <w:pPr>
        <w:spacing w:before="300"/>
        <w:rPr>
          <w:color w:val="4BB3B5" w:themeColor="accent2"/>
        </w:rPr>
      </w:pPr>
      <w:r>
        <w:rPr>
          <w:color w:val="4BB3B5" w:themeColor="accent2"/>
        </w:rPr>
        <w:t>----------</w:t>
      </w:r>
    </w:p>
  </w:footnote>
  <w:footnote w:type="continuationSeparator" w:id="0">
    <w:p w:rsidR="001B0996" w:rsidRDefault="001B0996" w:rsidP="008456D5">
      <w:pPr>
        <w:spacing w:before="0" w:after="0"/>
      </w:pPr>
      <w:r>
        <w:continuationSeparator/>
      </w:r>
    </w:p>
  </w:footnote>
  <w:footnote w:id="1">
    <w:p w:rsidR="00D902A9" w:rsidRPr="00C4112C" w:rsidRDefault="00D902A9" w:rsidP="00BF6FCB">
      <w:pPr>
        <w:pStyle w:val="FootnoteText"/>
        <w:rPr>
          <w:lang w:val="en-US"/>
        </w:rPr>
      </w:pPr>
      <w:r>
        <w:rPr>
          <w:rStyle w:val="FootnoteReference"/>
        </w:rPr>
        <w:footnoteRef/>
      </w:r>
      <w:r>
        <w:t xml:space="preserve"> </w:t>
      </w:r>
      <w:r>
        <w:tab/>
        <w:t>Rear vision mirrors are already excluded from the measurement of the vehicle width and would continue to be excluded under this proposal.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2A9" w:rsidRDefault="001D4537" w:rsidP="00D87AD8">
    <w:pPr>
      <w:pStyle w:val="Header"/>
      <w:spacing w:after="1320"/>
      <w:jc w:val="left"/>
    </w:pPr>
    <w:fldSimple w:instr=" STYLEREF  &quot;Heading 1&quot;  \* MERGEFORMAT ">
      <w:r w:rsidR="00D902A9">
        <w:rPr>
          <w:noProof/>
        </w:rPr>
        <w:t>Executive Summary</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2A9" w:rsidRDefault="00D902A9" w:rsidP="00452B5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2A9" w:rsidRPr="000C669D" w:rsidRDefault="00D902A9" w:rsidP="00452B5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2A9" w:rsidRPr="000C669D" w:rsidRDefault="00D902A9" w:rsidP="00452B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2A9" w:rsidRDefault="00D902A9" w:rsidP="00546218">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2A9" w:rsidRPr="005912BE" w:rsidRDefault="00D902A9" w:rsidP="005912BE">
    <w:pPr>
      <w:pStyle w:val="Header"/>
      <w:spacing w:after="13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2A9" w:rsidRDefault="00D902A9" w:rsidP="00546218">
    <w:pPr>
      <w:pStyle w:val="Header"/>
      <w:spacing w:after="13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2A9" w:rsidRPr="002D7327" w:rsidRDefault="00D902A9" w:rsidP="00B53C81">
    <w:pPr>
      <w:pStyle w:val="Header"/>
      <w:spacing w:after="1320"/>
      <w:jc w:val="left"/>
      <w:rPr>
        <w:lang w:val="en-US"/>
      </w:rPr>
    </w:pPr>
    <w:r w:rsidRPr="00053056">
      <w:rPr>
        <w:lang w:val="en-US"/>
      </w:rPr>
      <w:t xml:space="preserve">Safer Freight Vehicles: </w:t>
    </w:r>
    <w:r>
      <w:rPr>
        <w:lang w:val="en-US"/>
      </w:rPr>
      <w:t>Impact a</w:t>
    </w:r>
    <w:r w:rsidRPr="00053056">
      <w:rPr>
        <w:lang w:val="en-US"/>
      </w:rPr>
      <w:t xml:space="preserve">nalysis of options for </w:t>
    </w:r>
    <w:r>
      <w:rPr>
        <w:lang w:val="en-US"/>
      </w:rPr>
      <w:t>maximum overall</w:t>
    </w:r>
    <w:r w:rsidRPr="00053056">
      <w:rPr>
        <w:lang w:val="en-US"/>
      </w:rPr>
      <w:t xml:space="preserve"> width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2A9" w:rsidRDefault="001D4537" w:rsidP="005912BE">
    <w:pPr>
      <w:pStyle w:val="Header"/>
      <w:spacing w:after="1320"/>
    </w:pPr>
    <w:fldSimple w:instr=" STYLEREF  &quot;Heading 1&quot;  \* MERGEFORMAT ">
      <w:r w:rsidR="00D902A9">
        <w:rPr>
          <w:noProof/>
        </w:rPr>
        <w:t>Executive Summary</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2A9" w:rsidRPr="002D7327" w:rsidRDefault="00D902A9" w:rsidP="00E227B0">
    <w:pPr>
      <w:pStyle w:val="Header"/>
      <w:spacing w:after="360"/>
      <w:jc w:val="left"/>
      <w:rPr>
        <w:lang w:val="en-US"/>
      </w:rPr>
    </w:pPr>
    <w:r w:rsidRPr="00053056">
      <w:rPr>
        <w:lang w:val="en-US"/>
      </w:rPr>
      <w:t xml:space="preserve">Safer Freight Vehicles: </w:t>
    </w:r>
    <w:r>
      <w:rPr>
        <w:lang w:val="en-US"/>
      </w:rPr>
      <w:t>Impact analysis of options</w:t>
    </w:r>
    <w:r w:rsidRPr="00053056">
      <w:rPr>
        <w:lang w:val="en-US"/>
      </w:rPr>
      <w:t xml:space="preserve"> for </w:t>
    </w:r>
    <w:r>
      <w:rPr>
        <w:lang w:val="en-US"/>
      </w:rPr>
      <w:t>maximum overall</w:t>
    </w:r>
    <w:r w:rsidRPr="00053056">
      <w:rPr>
        <w:lang w:val="en-US"/>
      </w:rPr>
      <w:t xml:space="preserve"> width</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2A9" w:rsidRDefault="00D902A9">
    <w:pPr>
      <w:pStyle w:val="Header"/>
    </w:pPr>
    <w:r>
      <w:rPr>
        <w:noProof/>
      </w:rPr>
      <mc:AlternateContent>
        <mc:Choice Requires="wps">
          <w:drawing>
            <wp:anchor distT="0" distB="0" distL="114300" distR="114300" simplePos="0" relativeHeight="251682816" behindDoc="1" locked="1" layoutInCell="1" allowOverlap="1" wp14:anchorId="64662727" wp14:editId="3DF8DFC8">
              <wp:simplePos x="0" y="0"/>
              <wp:positionH relativeFrom="page">
                <wp:posOffset>0</wp:posOffset>
              </wp:positionH>
              <wp:positionV relativeFrom="page">
                <wp:posOffset>0</wp:posOffset>
              </wp:positionV>
              <wp:extent cx="7560000" cy="266400"/>
              <wp:effectExtent l="0" t="0" r="22225" b="23495"/>
              <wp:wrapNone/>
              <wp:docPr id="35" name="Image_Placeholder"/>
              <wp:cNvGraphicFramePr/>
              <a:graphic xmlns:a="http://schemas.openxmlformats.org/drawingml/2006/main">
                <a:graphicData uri="http://schemas.microsoft.com/office/word/2010/wordprocessingShape">
                  <wps:wsp>
                    <wps:cNvSpPr/>
                    <wps:spPr>
                      <a:xfrm>
                        <a:off x="0" y="0"/>
                        <a:ext cx="7560000" cy="266400"/>
                      </a:xfrm>
                      <a:prstGeom prst="rect">
                        <a:avLst/>
                      </a:prstGeom>
                      <a:noFill/>
                      <a:ln w="12700" cap="flat" cmpd="sng" algn="ctr">
                        <a:solidFill>
                          <a:srgbClr val="CCDC00">
                            <a:shade val="50000"/>
                          </a:srgbClr>
                        </a:solidFill>
                        <a:prstDash val="solid"/>
                        <a:miter lim="800000"/>
                      </a:ln>
                      <a:effectLst/>
                    </wps:spPr>
                    <wps:txbx>
                      <w:txbxContent>
                        <w:tbl>
                          <w:tblPr>
                            <w:tblW w:w="11907" w:type="dxa"/>
                            <w:tblLayout w:type="fixed"/>
                            <w:tblCellMar>
                              <w:left w:w="0" w:type="dxa"/>
                              <w:right w:w="0" w:type="dxa"/>
                            </w:tblCellMar>
                            <w:tblLook w:val="04A0" w:firstRow="1" w:lastRow="0" w:firstColumn="1" w:lastColumn="0" w:noHBand="0" w:noVBand="1"/>
                          </w:tblPr>
                          <w:tblGrid>
                            <w:gridCol w:w="11907"/>
                          </w:tblGrid>
                          <w:tr w:rsidR="00D902A9" w:rsidTr="00452B58">
                            <w:trPr>
                              <w:cantSplit/>
                              <w:trHeight w:hRule="exact" w:val="16840"/>
                            </w:trPr>
                            <w:tc>
                              <w:tcPr>
                                <w:tcW w:w="11890" w:type="dxa"/>
                                <w:shd w:val="clear" w:color="auto" w:fill="auto"/>
                                <w:vAlign w:val="center"/>
                              </w:tcPr>
                              <w:p w:rsidR="00D902A9" w:rsidRDefault="00D902A9" w:rsidP="00452B58">
                                <w:pPr>
                                  <w:pStyle w:val="NoSpacing"/>
                                  <w:jc w:val="center"/>
                                </w:pPr>
                              </w:p>
                            </w:tc>
                          </w:tr>
                        </w:tbl>
                        <w:p w:rsidR="00D902A9" w:rsidRDefault="00D902A9" w:rsidP="00452B58"/>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4662727" id="Image_Placeholder" o:spid="_x0000_s1038" style="position:absolute;left:0;text-align:left;margin-left:0;margin-top:0;width:595.3pt;height:2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" filled="f" strokecolor="#95a100" strokeweight="1pt">
              <v:textbox style="mso-fit-shape-to-text:t" inset="0,0,0,0">
                <w:txbxContent>
                  <w:tbl>
                    <w:tblPr>
                      <w:tblW w:w="11907" w:type="dxa"/>
                      <w:tblLayout w:type="fixed"/>
                      <w:tblCellMar>
                        <w:left w:w="0" w:type="dxa"/>
                        <w:right w:w="0" w:type="dxa"/>
                      </w:tblCellMar>
                      <w:tblLook w:val="04A0" w:firstRow="1" w:lastRow="0" w:firstColumn="1" w:lastColumn="0" w:noHBand="0" w:noVBand="1"/>
                    </w:tblPr>
                    <w:tblGrid>
                      <w:gridCol w:w="11907"/>
                    </w:tblGrid>
                    <w:tr w:rsidR="00D902A9" w:rsidTr="00452B58">
                      <w:trPr>
                        <w:cantSplit/>
                        <w:trHeight w:hRule="exact" w:val="16840"/>
                      </w:trPr>
                      <w:tc>
                        <w:tcPr>
                          <w:tcW w:w="11890" w:type="dxa"/>
                          <w:shd w:val="clear" w:color="auto" w:fill="auto"/>
                          <w:vAlign w:val="center"/>
                        </w:tcPr>
                        <w:p w:rsidR="00D902A9" w:rsidRDefault="00D902A9" w:rsidP="00452B58">
                          <w:pPr>
                            <w:pStyle w:val="NoSpacing"/>
                            <w:jc w:val="center"/>
                          </w:pPr>
                        </w:p>
                      </w:tc>
                    </w:tr>
                  </w:tbl>
                  <w:p w:rsidR="00D902A9" w:rsidRDefault="00D902A9" w:rsidP="00452B58"/>
                </w:txbxContent>
              </v:textbox>
              <w10:wrap anchorx="page" anchory="page"/>
              <w10:anchorlock/>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2A9" w:rsidRPr="000C669D" w:rsidRDefault="00D902A9" w:rsidP="00452B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D6F43"/>
    <w:multiLevelType w:val="hybridMultilevel"/>
    <w:tmpl w:val="4BA69D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6E051F"/>
    <w:multiLevelType w:val="multilevel"/>
    <w:tmpl w:val="25800C7C"/>
    <w:name w:val="AppHeadList5"/>
    <w:lvl w:ilvl="0">
      <w:start w:val="1"/>
      <w:numFmt w:val="upperLetter"/>
      <w:lvlText w:val="Appendix %1"/>
      <w:lvlJc w:val="left"/>
      <w:pPr>
        <w:tabs>
          <w:tab w:val="num" w:pos="2410"/>
        </w:tabs>
        <w:ind w:left="2410" w:hanging="241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1AC536E"/>
    <w:multiLevelType w:val="hybridMultilevel"/>
    <w:tmpl w:val="C7FE0E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B47D25"/>
    <w:multiLevelType w:val="hybridMultilevel"/>
    <w:tmpl w:val="0D3054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DC7064"/>
    <w:multiLevelType w:val="hybridMultilevel"/>
    <w:tmpl w:val="E48C6C40"/>
    <w:lvl w:ilvl="0" w:tplc="5D643910">
      <w:start w:val="1"/>
      <w:numFmt w:val="decimal"/>
      <w:pStyle w:val="ARRBTableFigureKeyedNotes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E91DEC"/>
    <w:multiLevelType w:val="hybridMultilevel"/>
    <w:tmpl w:val="A650EF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51E7A6E"/>
    <w:multiLevelType w:val="multilevel"/>
    <w:tmpl w:val="AC7A6284"/>
    <w:styleLink w:val="Appendices"/>
    <w:lvl w:ilvl="0">
      <w:start w:val="1"/>
      <w:numFmt w:val="decimal"/>
      <w:suff w:val="space"/>
      <w:lvlText w:val="Appendix %1 —"/>
      <w:lvlJc w:val="left"/>
      <w:pPr>
        <w:ind w:left="1871" w:hanging="1871"/>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6551930"/>
    <w:multiLevelType w:val="hybridMultilevel"/>
    <w:tmpl w:val="56C4324A"/>
    <w:lvl w:ilvl="0" w:tplc="565A356E">
      <w:start w:val="1"/>
      <w:numFmt w:val="decimal"/>
      <w:pStyle w:val="Scheduleitem"/>
      <w:lvlText w:val="[%1]"/>
      <w:lvlJc w:val="left"/>
      <w:pPr>
        <w:tabs>
          <w:tab w:val="num" w:pos="720"/>
        </w:tabs>
        <w:ind w:left="720" w:hanging="720"/>
      </w:pPr>
      <w:rPr>
        <w:rFonts w:hint="default"/>
      </w:rPr>
    </w:lvl>
    <w:lvl w:ilvl="1" w:tplc="0C090019" w:tentative="1">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079B6D82"/>
    <w:multiLevelType w:val="multilevel"/>
    <w:tmpl w:val="991C641E"/>
    <w:lvl w:ilvl="0">
      <w:start w:val="1"/>
      <w:numFmt w:val="decimal"/>
      <w:lvlText w:val="%1."/>
      <w:lvlJc w:val="left"/>
      <w:pPr>
        <w:tabs>
          <w:tab w:val="num" w:pos="340"/>
        </w:tabs>
        <w:ind w:left="340" w:hanging="340"/>
      </w:pPr>
      <w:rPr>
        <w:rFonts w:hint="default"/>
        <w:b w:val="0"/>
        <w:color w:val="00B0F0"/>
      </w:rPr>
    </w:lvl>
    <w:lvl w:ilvl="1">
      <w:start w:val="1"/>
      <w:numFmt w:val="bullet"/>
      <w:lvlText w:val="–"/>
      <w:lvlJc w:val="left"/>
      <w:pPr>
        <w:tabs>
          <w:tab w:val="num" w:pos="680"/>
        </w:tabs>
        <w:ind w:left="680" w:hanging="340"/>
      </w:pPr>
      <w:rPr>
        <w:rFonts w:hint="default"/>
        <w:color w:val="081E3E" w:themeColor="text2"/>
      </w:rPr>
    </w:lvl>
    <w:lvl w:ilvl="2">
      <w:start w:val="1"/>
      <w:numFmt w:val="bullet"/>
      <w:lvlText w:val="–"/>
      <w:lvlJc w:val="left"/>
      <w:pPr>
        <w:tabs>
          <w:tab w:val="num" w:pos="1021"/>
        </w:tabs>
        <w:ind w:left="1021" w:hanging="341"/>
      </w:pPr>
      <w:rPr>
        <w:rFonts w:hint="default"/>
        <w:color w:val="081E3E" w:themeColor="tex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08E27647"/>
    <w:multiLevelType w:val="multilevel"/>
    <w:tmpl w:val="24540594"/>
    <w:styleLink w:val="Listoftables"/>
    <w:lvl w:ilvl="0">
      <w:start w:val="1"/>
      <w:numFmt w:val="decimal"/>
      <w:lvlText w:val="Table %1:"/>
      <w:lvlJc w:val="left"/>
      <w:pPr>
        <w:tabs>
          <w:tab w:val="num" w:pos="1134"/>
        </w:tabs>
        <w:ind w:left="1134" w:hanging="1134"/>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BD9423E"/>
    <w:multiLevelType w:val="multilevel"/>
    <w:tmpl w:val="6C543E70"/>
    <w:name w:val="CommHeadList"/>
    <w:styleLink w:val="CommListStyle"/>
    <w:lvl w:ilvl="0">
      <w:start w:val="1"/>
      <w:numFmt w:val="decimal"/>
      <w:lvlText w:val="C%1."/>
      <w:lvlJc w:val="left"/>
      <w:pPr>
        <w:tabs>
          <w:tab w:val="num" w:pos="851"/>
        </w:tabs>
        <w:ind w:left="851" w:hanging="851"/>
      </w:pPr>
      <w:rPr>
        <w:rFonts w:hint="default"/>
      </w:rPr>
    </w:lvl>
    <w:lvl w:ilvl="1">
      <w:start w:val="1"/>
      <w:numFmt w:val="decimal"/>
      <w:lvlText w:val="C%1.%2"/>
      <w:lvlJc w:val="left"/>
      <w:pPr>
        <w:tabs>
          <w:tab w:val="num" w:pos="851"/>
        </w:tabs>
        <w:ind w:left="851" w:hanging="851"/>
      </w:pPr>
      <w:rPr>
        <w:rFonts w:hint="default"/>
      </w:rPr>
    </w:lvl>
    <w:lvl w:ilvl="2">
      <w:start w:val="1"/>
      <w:numFmt w:val="decimal"/>
      <w:lvlText w:val="C%1.%2.%3"/>
      <w:lvlJc w:val="left"/>
      <w:pPr>
        <w:tabs>
          <w:tab w:val="num" w:pos="851"/>
        </w:tabs>
        <w:ind w:left="851" w:hanging="851"/>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0D621AED"/>
    <w:multiLevelType w:val="multilevel"/>
    <w:tmpl w:val="C2EED61A"/>
    <w:numStyleLink w:val="NumberedHeadings"/>
  </w:abstractNum>
  <w:abstractNum w:abstractNumId="13" w15:restartNumberingAfterBreak="0">
    <w:nsid w:val="0E016AAE"/>
    <w:multiLevelType w:val="hybridMultilevel"/>
    <w:tmpl w:val="B2026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E031C0"/>
    <w:multiLevelType w:val="hybridMultilevel"/>
    <w:tmpl w:val="F048B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5755F7"/>
    <w:multiLevelType w:val="multilevel"/>
    <w:tmpl w:val="695EC0A0"/>
    <w:styleLink w:val="DepartmentChapterHeadersNumbered"/>
    <w:lvl w:ilvl="0">
      <w:start w:val="1"/>
      <w:numFmt w:val="decimal"/>
      <w:pStyle w:val="NumberedHeading1"/>
      <w:lvlText w:val="Chapter %1:"/>
      <w:lvlJc w:val="left"/>
      <w:pPr>
        <w:ind w:left="1134" w:hanging="1134"/>
      </w:pPr>
      <w:rPr>
        <w:rFonts w:hint="default"/>
      </w:rPr>
    </w:lvl>
    <w:lvl w:ilvl="1">
      <w:start w:val="1"/>
      <w:numFmt w:val="decimal"/>
      <w:pStyle w:val="Numberedheading2"/>
      <w:lvlText w:val="%1.%2"/>
      <w:lvlJc w:val="left"/>
      <w:pPr>
        <w:ind w:left="1134" w:hanging="1134"/>
      </w:pPr>
      <w:rPr>
        <w:rFonts w:hint="default"/>
      </w:rPr>
    </w:lvl>
    <w:lvl w:ilvl="2">
      <w:start w:val="1"/>
      <w:numFmt w:val="decimal"/>
      <w:pStyle w:val="NumberedHeading3"/>
      <w:lvlText w:val="%1.%2.%3"/>
      <w:lvlJc w:val="left"/>
      <w:pPr>
        <w:ind w:left="1418" w:hanging="1418"/>
      </w:pPr>
      <w:rPr>
        <w:rFonts w:hint="default"/>
      </w:rPr>
    </w:lvl>
    <w:lvl w:ilvl="3">
      <w:start w:val="1"/>
      <w:numFmt w:val="decimal"/>
      <w:pStyle w:val="Numberedheading4"/>
      <w:lvlText w:val="%1.%2.%3.%4"/>
      <w:lvlJc w:val="left"/>
      <w:pPr>
        <w:ind w:left="1418" w:hanging="1418"/>
      </w:pPr>
      <w:rPr>
        <w:rFonts w:hint="default"/>
      </w:rPr>
    </w:lvl>
    <w:lvl w:ilvl="4">
      <w:start w:val="1"/>
      <w:numFmt w:val="decimal"/>
      <w:pStyle w:val="Numberedheading5"/>
      <w:lvlText w:val="%1.%2.%3.%4.%5"/>
      <w:lvlJc w:val="left"/>
      <w:pPr>
        <w:ind w:left="1701" w:hanging="1701"/>
      </w:pPr>
      <w:rPr>
        <w:rFonts w:hint="default"/>
      </w:rPr>
    </w:lvl>
    <w:lvl w:ilvl="5">
      <w:start w:val="1"/>
      <w:numFmt w:val="decimal"/>
      <w:lvlRestart w:val="1"/>
      <w:pStyle w:val="Figure1"/>
      <w:lvlText w:val="Figure %1.%6"/>
      <w:lvlJc w:val="left"/>
      <w:pPr>
        <w:ind w:left="1418" w:hanging="1418"/>
      </w:pPr>
      <w:rPr>
        <w:rFonts w:hint="default"/>
      </w:rPr>
    </w:lvl>
    <w:lvl w:ilvl="6">
      <w:start w:val="1"/>
      <w:numFmt w:val="decimal"/>
      <w:lvlRestart w:val="1"/>
      <w:pStyle w:val="MapHeading"/>
      <w:lvlText w:val="Map %1.%7"/>
      <w:lvlJc w:val="left"/>
      <w:pPr>
        <w:ind w:left="0" w:firstLine="0"/>
      </w:pPr>
      <w:rPr>
        <w:rFonts w:hint="default"/>
      </w:rPr>
    </w:lvl>
    <w:lvl w:ilvl="7">
      <w:start w:val="1"/>
      <w:numFmt w:val="decimal"/>
      <w:lvlRestart w:val="1"/>
      <w:pStyle w:val="Tableheader"/>
      <w:lvlText w:val="Table %1.%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12957ECD"/>
    <w:multiLevelType w:val="multilevel"/>
    <w:tmpl w:val="DBD07310"/>
    <w:styleLink w:val="TCAlphaNumBullet"/>
    <w:lvl w:ilvl="0">
      <w:start w:val="1"/>
      <w:numFmt w:val="decimal"/>
      <w:pStyle w:val="ARRBTCAlphaNumBullet1"/>
      <w:lvlText w:val="%1."/>
      <w:lvlJc w:val="left"/>
      <w:pPr>
        <w:tabs>
          <w:tab w:val="num" w:pos="284"/>
        </w:tabs>
        <w:ind w:left="284" w:hanging="284"/>
      </w:pPr>
      <w:rPr>
        <w:rFonts w:hint="default"/>
      </w:rPr>
    </w:lvl>
    <w:lvl w:ilvl="1">
      <w:start w:val="1"/>
      <w:numFmt w:val="lowerLetter"/>
      <w:pStyle w:val="ARRBTCAlphaNumBullet2"/>
      <w:lvlText w:val="%2."/>
      <w:lvlJc w:val="left"/>
      <w:pPr>
        <w:tabs>
          <w:tab w:val="num" w:pos="567"/>
        </w:tabs>
        <w:ind w:left="567" w:hanging="283"/>
      </w:pPr>
      <w:rPr>
        <w:rFonts w:hint="default"/>
      </w:rPr>
    </w:lvl>
    <w:lvl w:ilvl="2">
      <w:start w:val="1"/>
      <w:numFmt w:val="lowerRoman"/>
      <w:pStyle w:val="ARRBTCAlphaNumBullet3"/>
      <w:lvlText w:val="%3."/>
      <w:lvlJc w:val="left"/>
      <w:pPr>
        <w:tabs>
          <w:tab w:val="num" w:pos="851"/>
        </w:tabs>
        <w:ind w:left="851" w:hanging="28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12FC0832"/>
    <w:multiLevelType w:val="multilevel"/>
    <w:tmpl w:val="991C641E"/>
    <w:lvl w:ilvl="0">
      <w:start w:val="1"/>
      <w:numFmt w:val="decimal"/>
      <w:lvlText w:val="%1."/>
      <w:lvlJc w:val="left"/>
      <w:pPr>
        <w:tabs>
          <w:tab w:val="num" w:pos="340"/>
        </w:tabs>
        <w:ind w:left="340" w:hanging="340"/>
      </w:pPr>
      <w:rPr>
        <w:rFonts w:hint="default"/>
        <w:b w:val="0"/>
        <w:color w:val="00B0F0"/>
      </w:rPr>
    </w:lvl>
    <w:lvl w:ilvl="1">
      <w:start w:val="1"/>
      <w:numFmt w:val="bullet"/>
      <w:lvlText w:val="–"/>
      <w:lvlJc w:val="left"/>
      <w:pPr>
        <w:tabs>
          <w:tab w:val="num" w:pos="680"/>
        </w:tabs>
        <w:ind w:left="680" w:hanging="340"/>
      </w:pPr>
      <w:rPr>
        <w:rFonts w:hint="default"/>
        <w:color w:val="081E3E" w:themeColor="text2"/>
      </w:rPr>
    </w:lvl>
    <w:lvl w:ilvl="2">
      <w:start w:val="1"/>
      <w:numFmt w:val="bullet"/>
      <w:lvlText w:val="–"/>
      <w:lvlJc w:val="left"/>
      <w:pPr>
        <w:tabs>
          <w:tab w:val="num" w:pos="1021"/>
        </w:tabs>
        <w:ind w:left="1021" w:hanging="341"/>
      </w:pPr>
      <w:rPr>
        <w:rFonts w:hint="default"/>
        <w:color w:val="081E3E" w:themeColor="tex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140418B1"/>
    <w:multiLevelType w:val="hybridMultilevel"/>
    <w:tmpl w:val="3198121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42E52F1"/>
    <w:multiLevelType w:val="hybridMultilevel"/>
    <w:tmpl w:val="9B76A1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F4A0BCF"/>
    <w:multiLevelType w:val="multilevel"/>
    <w:tmpl w:val="A4D4FD2E"/>
    <w:styleLink w:val="ListofMaps"/>
    <w:lvl w:ilvl="0">
      <w:start w:val="1"/>
      <w:numFmt w:val="decimal"/>
      <w:lvlText w:val="Map %1:"/>
      <w:lvlJc w:val="left"/>
      <w:pPr>
        <w:tabs>
          <w:tab w:val="num" w:pos="1985"/>
        </w:tabs>
        <w:ind w:left="1985" w:hanging="198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29D175A"/>
    <w:multiLevelType w:val="hybridMultilevel"/>
    <w:tmpl w:val="FB86D4A4"/>
    <w:lvl w:ilvl="0" w:tplc="468E041E">
      <w:start w:val="1"/>
      <w:numFmt w:val="bullet"/>
      <w:pStyle w:val="Bulletdotlast"/>
      <w:lvlText w:val=""/>
      <w:lvlJc w:val="left"/>
      <w:pPr>
        <w:ind w:left="644" w:hanging="360"/>
      </w:pPr>
      <w:rPr>
        <w:rFonts w:ascii="Symbol" w:hAnsi="Symbol" w:hint="default"/>
      </w:rPr>
    </w:lvl>
    <w:lvl w:ilvl="1" w:tplc="0C090003">
      <w:start w:val="1"/>
      <w:numFmt w:val="bullet"/>
      <w:lvlText w:val="o"/>
      <w:lvlJc w:val="left"/>
      <w:pPr>
        <w:ind w:left="2865" w:hanging="360"/>
      </w:pPr>
      <w:rPr>
        <w:rFonts w:ascii="Courier New" w:hAnsi="Courier New" w:cs="Courier New" w:hint="default"/>
      </w:rPr>
    </w:lvl>
    <w:lvl w:ilvl="2" w:tplc="0C090005" w:tentative="1">
      <w:start w:val="1"/>
      <w:numFmt w:val="bullet"/>
      <w:lvlText w:val=""/>
      <w:lvlJc w:val="left"/>
      <w:pPr>
        <w:ind w:left="3585" w:hanging="360"/>
      </w:pPr>
      <w:rPr>
        <w:rFonts w:ascii="Wingdings" w:hAnsi="Wingdings" w:hint="default"/>
      </w:rPr>
    </w:lvl>
    <w:lvl w:ilvl="3" w:tplc="0C090001" w:tentative="1">
      <w:start w:val="1"/>
      <w:numFmt w:val="bullet"/>
      <w:lvlText w:val=""/>
      <w:lvlJc w:val="left"/>
      <w:pPr>
        <w:ind w:left="4305" w:hanging="360"/>
      </w:pPr>
      <w:rPr>
        <w:rFonts w:ascii="Symbol" w:hAnsi="Symbol" w:hint="default"/>
      </w:rPr>
    </w:lvl>
    <w:lvl w:ilvl="4" w:tplc="0C090003" w:tentative="1">
      <w:start w:val="1"/>
      <w:numFmt w:val="bullet"/>
      <w:lvlText w:val="o"/>
      <w:lvlJc w:val="left"/>
      <w:pPr>
        <w:ind w:left="5025" w:hanging="360"/>
      </w:pPr>
      <w:rPr>
        <w:rFonts w:ascii="Courier New" w:hAnsi="Courier New" w:cs="Courier New" w:hint="default"/>
      </w:rPr>
    </w:lvl>
    <w:lvl w:ilvl="5" w:tplc="0C090005" w:tentative="1">
      <w:start w:val="1"/>
      <w:numFmt w:val="bullet"/>
      <w:lvlText w:val=""/>
      <w:lvlJc w:val="left"/>
      <w:pPr>
        <w:ind w:left="5745" w:hanging="360"/>
      </w:pPr>
      <w:rPr>
        <w:rFonts w:ascii="Wingdings" w:hAnsi="Wingdings" w:hint="default"/>
      </w:rPr>
    </w:lvl>
    <w:lvl w:ilvl="6" w:tplc="0C090001" w:tentative="1">
      <w:start w:val="1"/>
      <w:numFmt w:val="bullet"/>
      <w:lvlText w:val=""/>
      <w:lvlJc w:val="left"/>
      <w:pPr>
        <w:ind w:left="6465" w:hanging="360"/>
      </w:pPr>
      <w:rPr>
        <w:rFonts w:ascii="Symbol" w:hAnsi="Symbol" w:hint="default"/>
      </w:rPr>
    </w:lvl>
    <w:lvl w:ilvl="7" w:tplc="0C090003" w:tentative="1">
      <w:start w:val="1"/>
      <w:numFmt w:val="bullet"/>
      <w:lvlText w:val="o"/>
      <w:lvlJc w:val="left"/>
      <w:pPr>
        <w:ind w:left="7185" w:hanging="360"/>
      </w:pPr>
      <w:rPr>
        <w:rFonts w:ascii="Courier New" w:hAnsi="Courier New" w:cs="Courier New" w:hint="default"/>
      </w:rPr>
    </w:lvl>
    <w:lvl w:ilvl="8" w:tplc="0C090005" w:tentative="1">
      <w:start w:val="1"/>
      <w:numFmt w:val="bullet"/>
      <w:lvlText w:val=""/>
      <w:lvlJc w:val="left"/>
      <w:pPr>
        <w:ind w:left="7905" w:hanging="360"/>
      </w:pPr>
      <w:rPr>
        <w:rFonts w:ascii="Wingdings" w:hAnsi="Wingdings" w:hint="default"/>
      </w:rPr>
    </w:lvl>
  </w:abstractNum>
  <w:abstractNum w:abstractNumId="22" w15:restartNumberingAfterBreak="0">
    <w:nsid w:val="23C901BF"/>
    <w:multiLevelType w:val="hybridMultilevel"/>
    <w:tmpl w:val="7BDE6F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3F52B8C"/>
    <w:multiLevelType w:val="hybridMultilevel"/>
    <w:tmpl w:val="808A8CB2"/>
    <w:lvl w:ilvl="0" w:tplc="086ECC00">
      <w:start w:val="1"/>
      <w:numFmt w:val="decimal"/>
      <w:pStyle w:val="Appendix-Heading"/>
      <w:suff w:val="nothing"/>
      <w:lvlText w:val="Appendix %1"/>
      <w:lvlJc w:val="left"/>
      <w:pPr>
        <w:ind w:left="7002" w:hanging="1474"/>
      </w:pPr>
      <w:rPr>
        <w:rFonts w:ascii="Cambria" w:hAnsi="Cambria" w:cs="Times New Roman"/>
        <w:b/>
        <w:bCs w:val="0"/>
        <w:i w:val="0"/>
        <w:iCs w:val="0"/>
        <w:caps/>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3424" w:hanging="360"/>
      </w:pPr>
    </w:lvl>
    <w:lvl w:ilvl="2" w:tplc="0C09001B" w:tentative="1">
      <w:start w:val="1"/>
      <w:numFmt w:val="lowerRoman"/>
      <w:lvlText w:val="%3."/>
      <w:lvlJc w:val="right"/>
      <w:pPr>
        <w:ind w:left="4144" w:hanging="180"/>
      </w:pPr>
    </w:lvl>
    <w:lvl w:ilvl="3" w:tplc="0C09000F" w:tentative="1">
      <w:start w:val="1"/>
      <w:numFmt w:val="decimal"/>
      <w:lvlText w:val="%4."/>
      <w:lvlJc w:val="left"/>
      <w:pPr>
        <w:ind w:left="4864" w:hanging="360"/>
      </w:pPr>
    </w:lvl>
    <w:lvl w:ilvl="4" w:tplc="0C090019" w:tentative="1">
      <w:start w:val="1"/>
      <w:numFmt w:val="lowerLetter"/>
      <w:lvlText w:val="%5."/>
      <w:lvlJc w:val="left"/>
      <w:pPr>
        <w:ind w:left="5584" w:hanging="360"/>
      </w:pPr>
    </w:lvl>
    <w:lvl w:ilvl="5" w:tplc="0C09001B" w:tentative="1">
      <w:start w:val="1"/>
      <w:numFmt w:val="lowerRoman"/>
      <w:lvlText w:val="%6."/>
      <w:lvlJc w:val="right"/>
      <w:pPr>
        <w:ind w:left="6304" w:hanging="180"/>
      </w:pPr>
    </w:lvl>
    <w:lvl w:ilvl="6" w:tplc="0C09000F">
      <w:start w:val="1"/>
      <w:numFmt w:val="decimal"/>
      <w:pStyle w:val="Appendix-Heading"/>
      <w:lvlText w:val="%7."/>
      <w:lvlJc w:val="left"/>
      <w:pPr>
        <w:ind w:left="7024" w:hanging="360"/>
      </w:pPr>
    </w:lvl>
    <w:lvl w:ilvl="7" w:tplc="0C090019" w:tentative="1">
      <w:start w:val="1"/>
      <w:numFmt w:val="lowerLetter"/>
      <w:lvlText w:val="%8."/>
      <w:lvlJc w:val="left"/>
      <w:pPr>
        <w:ind w:left="7744" w:hanging="360"/>
      </w:pPr>
    </w:lvl>
    <w:lvl w:ilvl="8" w:tplc="0C09001B" w:tentative="1">
      <w:start w:val="1"/>
      <w:numFmt w:val="lowerRoman"/>
      <w:lvlText w:val="%9."/>
      <w:lvlJc w:val="right"/>
      <w:pPr>
        <w:ind w:left="8464" w:hanging="180"/>
      </w:pPr>
    </w:lvl>
  </w:abstractNum>
  <w:abstractNum w:abstractNumId="24" w15:restartNumberingAfterBreak="0">
    <w:nsid w:val="240173B7"/>
    <w:multiLevelType w:val="hybridMultilevel"/>
    <w:tmpl w:val="4F4C8C4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51E18FB"/>
    <w:multiLevelType w:val="hybridMultilevel"/>
    <w:tmpl w:val="5BECBF66"/>
    <w:lvl w:ilvl="0" w:tplc="2AE874F4">
      <w:start w:val="1"/>
      <w:numFmt w:val="bullet"/>
      <w:pStyle w:val="ARRBTableFigureNotes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C55AB6"/>
    <w:multiLevelType w:val="multilevel"/>
    <w:tmpl w:val="3BE63D0C"/>
    <w:styleLink w:val="TASTightbulletliststyle"/>
    <w:lvl w:ilvl="0">
      <w:start w:val="1"/>
      <w:numFmt w:val="bullet"/>
      <w:lvlText w:val="■"/>
      <w:lvlJc w:val="left"/>
      <w:pPr>
        <w:tabs>
          <w:tab w:val="num" w:pos="288"/>
        </w:tabs>
        <w:ind w:left="288" w:hanging="288"/>
      </w:pPr>
      <w:rPr>
        <w:rFonts w:ascii="Arial" w:hAnsi="Arial" w:hint="default"/>
        <w:b w:val="0"/>
        <w:i w:val="0"/>
        <w:color w:val="auto"/>
        <w:spacing w:val="0"/>
        <w:w w:val="70"/>
        <w:position w:val="0"/>
        <w:sz w:val="20"/>
      </w:rPr>
    </w:lvl>
    <w:lvl w:ilvl="1">
      <w:start w:val="1"/>
      <w:numFmt w:val="bullet"/>
      <w:lvlText w:val="■"/>
      <w:lvlJc w:val="left"/>
      <w:pPr>
        <w:tabs>
          <w:tab w:val="num" w:pos="576"/>
        </w:tabs>
        <w:ind w:left="576" w:hanging="288"/>
      </w:pPr>
      <w:rPr>
        <w:rFonts w:ascii="Arial" w:hAnsi="Arial" w:hint="default"/>
        <w:b w:val="0"/>
        <w:i w:val="0"/>
        <w:color w:val="auto"/>
        <w:spacing w:val="0"/>
        <w:w w:val="100"/>
        <w:position w:val="0"/>
        <w:sz w:val="20"/>
      </w:rPr>
    </w:lvl>
    <w:lvl w:ilvl="2">
      <w:start w:val="1"/>
      <w:numFmt w:val="lowerRoman"/>
      <w:lvlText w:val="%3)"/>
      <w:lvlJc w:val="left"/>
      <w:pPr>
        <w:tabs>
          <w:tab w:val="num" w:pos="864"/>
        </w:tabs>
        <w:ind w:left="864" w:hanging="288"/>
      </w:pPr>
      <w:rPr>
        <w:rFonts w:hint="default"/>
      </w:rPr>
    </w:lvl>
    <w:lvl w:ilvl="3">
      <w:start w:val="1"/>
      <w:numFmt w:val="decimal"/>
      <w:lvlText w:val="(%4)"/>
      <w:lvlJc w:val="left"/>
      <w:pPr>
        <w:tabs>
          <w:tab w:val="num" w:pos="1152"/>
        </w:tabs>
        <w:ind w:left="1152" w:hanging="288"/>
      </w:pPr>
      <w:rPr>
        <w:rFonts w:hint="default"/>
      </w:rPr>
    </w:lvl>
    <w:lvl w:ilvl="4">
      <w:start w:val="1"/>
      <w:numFmt w:val="lowerLetter"/>
      <w:lvlText w:val="(%5)"/>
      <w:lvlJc w:val="left"/>
      <w:pPr>
        <w:tabs>
          <w:tab w:val="num" w:pos="1440"/>
        </w:tabs>
        <w:ind w:left="1440" w:hanging="288"/>
      </w:pPr>
      <w:rPr>
        <w:rFonts w:hint="default"/>
      </w:rPr>
    </w:lvl>
    <w:lvl w:ilvl="5">
      <w:start w:val="1"/>
      <w:numFmt w:val="lowerRoman"/>
      <w:lvlText w:val="(%6)"/>
      <w:lvlJc w:val="left"/>
      <w:pPr>
        <w:tabs>
          <w:tab w:val="num" w:pos="1728"/>
        </w:tabs>
        <w:ind w:left="1728" w:hanging="288"/>
      </w:pPr>
      <w:rPr>
        <w:rFonts w:hint="default"/>
      </w:rPr>
    </w:lvl>
    <w:lvl w:ilvl="6">
      <w:start w:val="1"/>
      <w:numFmt w:val="decimal"/>
      <w:lvlText w:val="%7."/>
      <w:lvlJc w:val="left"/>
      <w:pPr>
        <w:tabs>
          <w:tab w:val="num" w:pos="2016"/>
        </w:tabs>
        <w:ind w:left="2016" w:hanging="288"/>
      </w:pPr>
      <w:rPr>
        <w:rFonts w:hint="default"/>
      </w:rPr>
    </w:lvl>
    <w:lvl w:ilvl="7">
      <w:start w:val="1"/>
      <w:numFmt w:val="lowerLetter"/>
      <w:lvlText w:val="%8."/>
      <w:lvlJc w:val="left"/>
      <w:pPr>
        <w:tabs>
          <w:tab w:val="num" w:pos="2304"/>
        </w:tabs>
        <w:ind w:left="2304" w:hanging="288"/>
      </w:pPr>
      <w:rPr>
        <w:rFonts w:hint="default"/>
      </w:rPr>
    </w:lvl>
    <w:lvl w:ilvl="8">
      <w:start w:val="1"/>
      <w:numFmt w:val="lowerRoman"/>
      <w:lvlText w:val="%9."/>
      <w:lvlJc w:val="left"/>
      <w:pPr>
        <w:tabs>
          <w:tab w:val="num" w:pos="2592"/>
        </w:tabs>
        <w:ind w:left="2592" w:hanging="288"/>
      </w:pPr>
      <w:rPr>
        <w:rFonts w:hint="default"/>
      </w:rPr>
    </w:lvl>
  </w:abstractNum>
  <w:abstractNum w:abstractNumId="27" w15:restartNumberingAfterBreak="0">
    <w:nsid w:val="28EC1359"/>
    <w:multiLevelType w:val="hybridMultilevel"/>
    <w:tmpl w:val="BC2802CE"/>
    <w:lvl w:ilvl="0" w:tplc="E8A80B0C">
      <w:start w:val="1"/>
      <w:numFmt w:val="bullet"/>
      <w:lvlText w:val=""/>
      <w:lvlJc w:val="left"/>
      <w:pPr>
        <w:ind w:left="720" w:hanging="360"/>
      </w:pPr>
      <w:rPr>
        <w:rFonts w:ascii="Symbol" w:hAnsi="Symbol" w:hint="default"/>
      </w:rPr>
    </w:lvl>
    <w:lvl w:ilvl="1" w:tplc="D868CC0C">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211076"/>
    <w:multiLevelType w:val="hybridMultilevel"/>
    <w:tmpl w:val="CC508C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A2B6C07"/>
    <w:multiLevelType w:val="hybridMultilevel"/>
    <w:tmpl w:val="D3FA9B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E7C7712"/>
    <w:multiLevelType w:val="hybridMultilevel"/>
    <w:tmpl w:val="2550EA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F075A8C"/>
    <w:multiLevelType w:val="hybridMultilevel"/>
    <w:tmpl w:val="50147D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F160C5E"/>
    <w:multiLevelType w:val="multilevel"/>
    <w:tmpl w:val="298C34E4"/>
    <w:styleLink w:val="AppendixNumbers"/>
    <w:lvl w:ilvl="0">
      <w:start w:val="1"/>
      <w:numFmt w:val="upperLetter"/>
      <w:suff w:val="space"/>
      <w:lvlText w:val="Appendix %1 –"/>
      <w:lvlJc w:val="left"/>
      <w:pPr>
        <w:ind w:left="3544" w:firstLine="0"/>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0E45FC8"/>
    <w:multiLevelType w:val="hybridMultilevel"/>
    <w:tmpl w:val="2F0A1F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3C7069B"/>
    <w:multiLevelType w:val="multilevel"/>
    <w:tmpl w:val="EECE1CAA"/>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360F19A7"/>
    <w:multiLevelType w:val="hybridMultilevel"/>
    <w:tmpl w:val="406029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83B7E6D"/>
    <w:multiLevelType w:val="multilevel"/>
    <w:tmpl w:val="ABFC807C"/>
    <w:name w:val="AppHeadList"/>
    <w:styleLink w:val="AppListStyle"/>
    <w:lvl w:ilvl="0">
      <w:start w:val="1"/>
      <w:numFmt w:val="upperLetter"/>
      <w:lvlText w:val="Appendix %1"/>
      <w:lvlJc w:val="left"/>
      <w:pPr>
        <w:tabs>
          <w:tab w:val="num" w:pos="2410"/>
        </w:tabs>
        <w:ind w:left="2410" w:hanging="241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384D1E54"/>
    <w:multiLevelType w:val="hybridMultilevel"/>
    <w:tmpl w:val="27C415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B5C6E45"/>
    <w:multiLevelType w:val="hybridMultilevel"/>
    <w:tmpl w:val="A2B8E4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B9D39D7"/>
    <w:multiLevelType w:val="hybridMultilevel"/>
    <w:tmpl w:val="F0C8C5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CB06A49"/>
    <w:multiLevelType w:val="hybridMultilevel"/>
    <w:tmpl w:val="8402A97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3CFA7D27"/>
    <w:multiLevelType w:val="hybridMultilevel"/>
    <w:tmpl w:val="C25257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D260C71"/>
    <w:multiLevelType w:val="hybridMultilevel"/>
    <w:tmpl w:val="F000D892"/>
    <w:lvl w:ilvl="0" w:tplc="0C090001">
      <w:start w:val="1"/>
      <w:numFmt w:val="lowerRoman"/>
      <w:pStyle w:val="ListParagraphIndent1"/>
      <w:lvlText w:val="%1."/>
      <w:lvlJc w:val="right"/>
      <w:pPr>
        <w:ind w:left="360" w:hanging="360"/>
      </w:pPr>
    </w:lvl>
    <w:lvl w:ilvl="1" w:tplc="0C090003" w:tentative="1">
      <w:start w:val="1"/>
      <w:numFmt w:val="lowerLetter"/>
      <w:lvlText w:val="%2."/>
      <w:lvlJc w:val="left"/>
      <w:pPr>
        <w:ind w:left="2160" w:hanging="360"/>
      </w:pPr>
    </w:lvl>
    <w:lvl w:ilvl="2" w:tplc="0C090005" w:tentative="1">
      <w:start w:val="1"/>
      <w:numFmt w:val="lowerRoman"/>
      <w:lvlText w:val="%3."/>
      <w:lvlJc w:val="right"/>
      <w:pPr>
        <w:ind w:left="2880" w:hanging="180"/>
      </w:pPr>
    </w:lvl>
    <w:lvl w:ilvl="3" w:tplc="0C090001" w:tentative="1">
      <w:start w:val="1"/>
      <w:numFmt w:val="decimal"/>
      <w:lvlText w:val="%4."/>
      <w:lvlJc w:val="left"/>
      <w:pPr>
        <w:ind w:left="3600" w:hanging="360"/>
      </w:pPr>
    </w:lvl>
    <w:lvl w:ilvl="4" w:tplc="0C090003" w:tentative="1">
      <w:start w:val="1"/>
      <w:numFmt w:val="lowerLetter"/>
      <w:lvlText w:val="%5."/>
      <w:lvlJc w:val="left"/>
      <w:pPr>
        <w:ind w:left="4320" w:hanging="360"/>
      </w:pPr>
    </w:lvl>
    <w:lvl w:ilvl="5" w:tplc="0C090005" w:tentative="1">
      <w:start w:val="1"/>
      <w:numFmt w:val="lowerRoman"/>
      <w:lvlText w:val="%6."/>
      <w:lvlJc w:val="right"/>
      <w:pPr>
        <w:ind w:left="5040" w:hanging="180"/>
      </w:pPr>
    </w:lvl>
    <w:lvl w:ilvl="6" w:tplc="0C090001" w:tentative="1">
      <w:start w:val="1"/>
      <w:numFmt w:val="decimal"/>
      <w:lvlText w:val="%7."/>
      <w:lvlJc w:val="left"/>
      <w:pPr>
        <w:ind w:left="5760" w:hanging="360"/>
      </w:pPr>
    </w:lvl>
    <w:lvl w:ilvl="7" w:tplc="0C090003" w:tentative="1">
      <w:start w:val="1"/>
      <w:numFmt w:val="lowerLetter"/>
      <w:lvlText w:val="%8."/>
      <w:lvlJc w:val="left"/>
      <w:pPr>
        <w:ind w:left="6480" w:hanging="360"/>
      </w:pPr>
    </w:lvl>
    <w:lvl w:ilvl="8" w:tplc="0C090005" w:tentative="1">
      <w:start w:val="1"/>
      <w:numFmt w:val="lowerRoman"/>
      <w:lvlText w:val="%9."/>
      <w:lvlJc w:val="right"/>
      <w:pPr>
        <w:ind w:left="7200" w:hanging="180"/>
      </w:pPr>
    </w:lvl>
  </w:abstractNum>
  <w:abstractNum w:abstractNumId="43" w15:restartNumberingAfterBreak="0">
    <w:nsid w:val="3EDD6C07"/>
    <w:multiLevelType w:val="multilevel"/>
    <w:tmpl w:val="224055DC"/>
    <w:lvl w:ilvl="0">
      <w:start w:val="1"/>
      <w:numFmt w:val="decimal"/>
      <w:pStyle w:val="ARRBTableNumberList1"/>
      <w:lvlText w:val="%1."/>
      <w:lvlJc w:val="left"/>
      <w:pPr>
        <w:tabs>
          <w:tab w:val="num" w:pos="284"/>
        </w:tabs>
        <w:ind w:left="284" w:hanging="284"/>
      </w:pPr>
      <w:rPr>
        <w:rFonts w:hint="default"/>
        <w:color w:val="081E3E" w:themeColor="text2"/>
      </w:rPr>
    </w:lvl>
    <w:lvl w:ilvl="1">
      <w:start w:val="1"/>
      <w:numFmt w:val="lowerLetter"/>
      <w:pStyle w:val="ARRBTableNumberLista"/>
      <w:lvlText w:val="%2."/>
      <w:lvlJc w:val="left"/>
      <w:pPr>
        <w:tabs>
          <w:tab w:val="num" w:pos="567"/>
        </w:tabs>
        <w:ind w:left="567" w:hanging="283"/>
      </w:pPr>
      <w:rPr>
        <w:rFonts w:hint="default"/>
        <w:color w:val="081E3E" w:themeColor="text2"/>
      </w:rPr>
    </w:lvl>
    <w:lvl w:ilvl="2">
      <w:start w:val="1"/>
      <w:numFmt w:val="lowerRoman"/>
      <w:pStyle w:val="ARRBTableNumberListi"/>
      <w:lvlText w:val="%3."/>
      <w:lvlJc w:val="left"/>
      <w:pPr>
        <w:tabs>
          <w:tab w:val="num" w:pos="851"/>
        </w:tabs>
        <w:ind w:left="851" w:hanging="284"/>
      </w:pPr>
      <w:rPr>
        <w:rFonts w:hint="default"/>
        <w:color w:val="081E3E" w:themeColor="text2"/>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15:restartNumberingAfterBreak="0">
    <w:nsid w:val="3F16012B"/>
    <w:multiLevelType w:val="hybridMultilevel"/>
    <w:tmpl w:val="B0D0C98C"/>
    <w:lvl w:ilvl="0" w:tplc="99C817B2">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5"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173295E"/>
    <w:multiLevelType w:val="multilevel"/>
    <w:tmpl w:val="DC44A01C"/>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7" w15:restartNumberingAfterBreak="0">
    <w:nsid w:val="41D13126"/>
    <w:multiLevelType w:val="multilevel"/>
    <w:tmpl w:val="991C641E"/>
    <w:lvl w:ilvl="0">
      <w:start w:val="1"/>
      <w:numFmt w:val="decimal"/>
      <w:lvlText w:val="%1."/>
      <w:lvlJc w:val="left"/>
      <w:pPr>
        <w:tabs>
          <w:tab w:val="num" w:pos="340"/>
        </w:tabs>
        <w:ind w:left="340" w:hanging="340"/>
      </w:pPr>
      <w:rPr>
        <w:rFonts w:hint="default"/>
        <w:b w:val="0"/>
        <w:color w:val="00B0F0"/>
      </w:rPr>
    </w:lvl>
    <w:lvl w:ilvl="1">
      <w:start w:val="1"/>
      <w:numFmt w:val="bullet"/>
      <w:lvlText w:val="–"/>
      <w:lvlJc w:val="left"/>
      <w:pPr>
        <w:tabs>
          <w:tab w:val="num" w:pos="680"/>
        </w:tabs>
        <w:ind w:left="680" w:hanging="340"/>
      </w:pPr>
      <w:rPr>
        <w:rFonts w:hint="default"/>
        <w:color w:val="081E3E" w:themeColor="text2"/>
      </w:rPr>
    </w:lvl>
    <w:lvl w:ilvl="2">
      <w:start w:val="1"/>
      <w:numFmt w:val="bullet"/>
      <w:lvlText w:val="–"/>
      <w:lvlJc w:val="left"/>
      <w:pPr>
        <w:tabs>
          <w:tab w:val="num" w:pos="1021"/>
        </w:tabs>
        <w:ind w:left="1021" w:hanging="341"/>
      </w:pPr>
      <w:rPr>
        <w:rFonts w:hint="default"/>
        <w:color w:val="081E3E" w:themeColor="tex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8" w15:restartNumberingAfterBreak="0">
    <w:nsid w:val="431B21DC"/>
    <w:multiLevelType w:val="hybridMultilevel"/>
    <w:tmpl w:val="67CA1C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7FB34D5"/>
    <w:multiLevelType w:val="multilevel"/>
    <w:tmpl w:val="119284F4"/>
    <w:name w:val="SecHeadList"/>
    <w:styleLink w:val="SecListStyle"/>
    <w:lvl w:ilvl="0">
      <w:start w:val="1"/>
      <w:numFmt w:val="decimal"/>
      <w:lvlText w:val="%1."/>
      <w:lvlJc w:val="left"/>
      <w:pPr>
        <w:tabs>
          <w:tab w:val="num" w:pos="794"/>
        </w:tabs>
        <w:ind w:left="0" w:firstLine="0"/>
      </w:pPr>
      <w:rPr>
        <w:rFonts w:hint="default"/>
      </w:rPr>
    </w:lvl>
    <w:lvl w:ilvl="1">
      <w:start w:val="1"/>
      <w:numFmt w:val="decimal"/>
      <w:isLgl/>
      <w:lvlText w:val="%1.%2"/>
      <w:lvlJc w:val="left"/>
      <w:pPr>
        <w:tabs>
          <w:tab w:val="num" w:pos="794"/>
        </w:tabs>
        <w:ind w:left="0" w:firstLine="0"/>
      </w:pPr>
      <w:rPr>
        <w:rFonts w:hint="default"/>
      </w:rPr>
    </w:lvl>
    <w:lvl w:ilvl="2">
      <w:start w:val="1"/>
      <w:numFmt w:val="decimal"/>
      <w:isLgl/>
      <w:lvlText w:val="%1.%2.%3"/>
      <w:lvlJc w:val="left"/>
      <w:pPr>
        <w:tabs>
          <w:tab w:val="num" w:pos="794"/>
        </w:tabs>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asciiTheme="majorHAnsi" w:hAnsiTheme="majorHAnsi" w:hint="default"/>
      </w:rPr>
    </w:lvl>
    <w:lvl w:ilvl="5">
      <w:start w:val="1"/>
      <w:numFmt w:val="none"/>
      <w:suff w:val="nothing"/>
      <w:lvlText w:val=""/>
      <w:lvlJc w:val="left"/>
      <w:pPr>
        <w:ind w:left="0" w:firstLine="0"/>
      </w:pPr>
      <w:rPr>
        <w:rFonts w:asciiTheme="majorHAnsi" w:hAnsiTheme="majorHAnsi" w:hint="default"/>
      </w:rPr>
    </w:lvl>
    <w:lvl w:ilvl="6">
      <w:start w:val="1"/>
      <w:numFmt w:val="none"/>
      <w:suff w:val="nothing"/>
      <w:lvlText w:val=""/>
      <w:lvlJc w:val="left"/>
      <w:pPr>
        <w:ind w:left="0" w:firstLine="0"/>
      </w:pPr>
      <w:rPr>
        <w:rFonts w:asciiTheme="majorHAnsi" w:hAnsiTheme="majorHAnsi" w:hint="default"/>
      </w:rPr>
    </w:lvl>
    <w:lvl w:ilvl="7">
      <w:start w:val="1"/>
      <w:numFmt w:val="none"/>
      <w:suff w:val="nothing"/>
      <w:lvlText w:val=""/>
      <w:lvlJc w:val="left"/>
      <w:pPr>
        <w:ind w:left="0" w:firstLine="0"/>
      </w:pPr>
      <w:rPr>
        <w:rFonts w:asciiTheme="majorHAnsi" w:hAnsiTheme="majorHAnsi" w:hint="default"/>
      </w:rPr>
    </w:lvl>
    <w:lvl w:ilvl="8">
      <w:start w:val="1"/>
      <w:numFmt w:val="none"/>
      <w:suff w:val="nothing"/>
      <w:lvlText w:val=""/>
      <w:lvlJc w:val="left"/>
      <w:pPr>
        <w:ind w:left="0" w:firstLine="0"/>
      </w:pPr>
      <w:rPr>
        <w:rFonts w:asciiTheme="majorHAnsi" w:hAnsiTheme="majorHAnsi" w:hint="default"/>
      </w:rPr>
    </w:lvl>
  </w:abstractNum>
  <w:abstractNum w:abstractNumId="50" w15:restartNumberingAfterBreak="0">
    <w:nsid w:val="48B51B0E"/>
    <w:multiLevelType w:val="hybridMultilevel"/>
    <w:tmpl w:val="BEB4969C"/>
    <w:lvl w:ilvl="0" w:tplc="414C5748">
      <w:start w:val="1"/>
      <w:numFmt w:val="decimal"/>
      <w:pStyle w:val="Heading71"/>
      <w:suff w:val="nothing"/>
      <w:lvlText w:val="Appendix %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8C74567"/>
    <w:multiLevelType w:val="multilevel"/>
    <w:tmpl w:val="D0FE3A7A"/>
    <w:lvl w:ilvl="0">
      <w:start w:val="1"/>
      <w:numFmt w:val="bullet"/>
      <w:pStyle w:val="ARRBBulletLevel1"/>
      <w:lvlText w:val=""/>
      <w:lvlJc w:val="left"/>
      <w:pPr>
        <w:tabs>
          <w:tab w:val="num" w:pos="340"/>
        </w:tabs>
        <w:ind w:left="340" w:hanging="340"/>
      </w:pPr>
      <w:rPr>
        <w:rFonts w:ascii="Symbol" w:hAnsi="Symbol" w:hint="default"/>
        <w:color w:val="22B3ED" w:themeColor="accent3" w:themeShade="BF"/>
        <w:sz w:val="20"/>
        <w:szCs w:val="20"/>
      </w:rPr>
    </w:lvl>
    <w:lvl w:ilvl="1">
      <w:start w:val="1"/>
      <w:numFmt w:val="bullet"/>
      <w:pStyle w:val="ARRBBulletLevel2"/>
      <w:lvlText w:val="–"/>
      <w:lvlJc w:val="left"/>
      <w:pPr>
        <w:tabs>
          <w:tab w:val="num" w:pos="680"/>
        </w:tabs>
        <w:ind w:left="680" w:hanging="340"/>
      </w:pPr>
      <w:rPr>
        <w:rFonts w:hint="default"/>
        <w:color w:val="081E3E" w:themeColor="text2"/>
      </w:rPr>
    </w:lvl>
    <w:lvl w:ilvl="2">
      <w:start w:val="1"/>
      <w:numFmt w:val="bullet"/>
      <w:lvlText w:val="–"/>
      <w:lvlJc w:val="left"/>
      <w:pPr>
        <w:tabs>
          <w:tab w:val="num" w:pos="1021"/>
        </w:tabs>
        <w:ind w:left="1021" w:hanging="341"/>
      </w:pPr>
      <w:rPr>
        <w:rFonts w:hint="default"/>
        <w:color w:val="081E3E" w:themeColor="tex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2" w15:restartNumberingAfterBreak="0">
    <w:nsid w:val="4A0744BE"/>
    <w:multiLevelType w:val="multilevel"/>
    <w:tmpl w:val="F8741DD6"/>
    <w:lvl w:ilvl="0">
      <w:start w:val="1"/>
      <w:numFmt w:val="bullet"/>
      <w:pStyle w:val="BulletLevel1"/>
      <w:lvlText w:val=""/>
      <w:lvlJc w:val="left"/>
      <w:pPr>
        <w:tabs>
          <w:tab w:val="num" w:pos="340"/>
        </w:tabs>
        <w:ind w:left="340" w:hanging="340"/>
      </w:pPr>
      <w:rPr>
        <w:rFonts w:ascii="Symbol" w:hAnsi="Symbol" w:cs="Symbol" w:hint="default"/>
        <w:color w:val="081E3E" w:themeColor="text2"/>
      </w:rPr>
    </w:lvl>
    <w:lvl w:ilvl="1">
      <w:start w:val="1"/>
      <w:numFmt w:val="bullet"/>
      <w:pStyle w:val="BulletLevel2"/>
      <w:lvlText w:val="–"/>
      <w:lvlJc w:val="left"/>
      <w:pPr>
        <w:tabs>
          <w:tab w:val="num" w:pos="680"/>
        </w:tabs>
        <w:ind w:left="680" w:hanging="340"/>
      </w:pPr>
      <w:rPr>
        <w:rFonts w:hint="default"/>
        <w:color w:val="081E3E" w:themeColor="text2"/>
      </w:rPr>
    </w:lvl>
    <w:lvl w:ilvl="2">
      <w:start w:val="1"/>
      <w:numFmt w:val="bullet"/>
      <w:pStyle w:val="BulletLevel3"/>
      <w:lvlText w:val="–"/>
      <w:lvlJc w:val="left"/>
      <w:pPr>
        <w:tabs>
          <w:tab w:val="num" w:pos="1021"/>
        </w:tabs>
        <w:ind w:left="1021" w:hanging="341"/>
      </w:pPr>
      <w:rPr>
        <w:rFonts w:hint="default"/>
        <w:color w:val="081E3E" w:themeColor="tex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3" w15:restartNumberingAfterBreak="0">
    <w:nsid w:val="4A9C0F01"/>
    <w:multiLevelType w:val="multilevel"/>
    <w:tmpl w:val="E40A0BD4"/>
    <w:styleLink w:val="ARRBBaseHeadings"/>
    <w:lvl w:ilvl="0">
      <w:start w:val="1"/>
      <w:numFmt w:val="decimal"/>
      <w:pStyle w:val="ARRBBaseHeading1"/>
      <w:lvlText w:val="%1."/>
      <w:lvlJc w:val="left"/>
      <w:pPr>
        <w:tabs>
          <w:tab w:val="num" w:pos="794"/>
        </w:tabs>
        <w:ind w:left="0" w:firstLine="0"/>
      </w:pPr>
      <w:rPr>
        <w:rFonts w:hint="default"/>
      </w:rPr>
    </w:lvl>
    <w:lvl w:ilvl="1">
      <w:start w:val="1"/>
      <w:numFmt w:val="decimal"/>
      <w:pStyle w:val="ARRBBaseHeading2"/>
      <w:lvlText w:val="%1.%2"/>
      <w:lvlJc w:val="left"/>
      <w:pPr>
        <w:tabs>
          <w:tab w:val="num" w:pos="794"/>
        </w:tabs>
        <w:ind w:left="0" w:firstLine="0"/>
      </w:pPr>
      <w:rPr>
        <w:rFonts w:hint="default"/>
      </w:rPr>
    </w:lvl>
    <w:lvl w:ilvl="2">
      <w:start w:val="1"/>
      <w:numFmt w:val="decimal"/>
      <w:pStyle w:val="ARRBBaseHeading3"/>
      <w:lvlText w:val="%1.%2.%3"/>
      <w:lvlJc w:val="left"/>
      <w:pPr>
        <w:tabs>
          <w:tab w:val="num" w:pos="794"/>
        </w:tabs>
        <w:ind w:left="0" w:firstLine="0"/>
      </w:pPr>
      <w:rPr>
        <w:rFonts w:hint="default"/>
      </w:rPr>
    </w:lvl>
    <w:lvl w:ilvl="3">
      <w:start w:val="1"/>
      <w:numFmt w:val="upperRoman"/>
      <w:lvlText w:val="(%4)"/>
      <w:lvlJc w:val="left"/>
      <w:pPr>
        <w:tabs>
          <w:tab w:val="num" w:pos="794"/>
        </w:tabs>
        <w:ind w:left="0" w:firstLine="0"/>
      </w:pPr>
      <w:rPr>
        <w:rFonts w:hint="default"/>
      </w:rPr>
    </w:lvl>
    <w:lvl w:ilvl="4">
      <w:start w:val="1"/>
      <w:numFmt w:val="lowerLetter"/>
      <w:lvlText w:val="(%5)"/>
      <w:lvlJc w:val="left"/>
      <w:pPr>
        <w:tabs>
          <w:tab w:val="num" w:pos="794"/>
        </w:tabs>
        <w:ind w:left="0" w:firstLine="0"/>
      </w:pPr>
      <w:rPr>
        <w:rFonts w:hint="default"/>
      </w:rPr>
    </w:lvl>
    <w:lvl w:ilvl="5">
      <w:start w:val="1"/>
      <w:numFmt w:val="lowerRoman"/>
      <w:lvlText w:val="(%6)"/>
      <w:lvlJc w:val="left"/>
      <w:pPr>
        <w:tabs>
          <w:tab w:val="num" w:pos="794"/>
        </w:tabs>
        <w:ind w:left="0" w:firstLine="0"/>
      </w:pPr>
      <w:rPr>
        <w:rFonts w:hint="default"/>
      </w:rPr>
    </w:lvl>
    <w:lvl w:ilvl="6">
      <w:start w:val="1"/>
      <w:numFmt w:val="upperLetter"/>
      <w:pStyle w:val="ARRBBaseHeadingApp"/>
      <w:lvlText w:val="Appendix %7."/>
      <w:lvlJc w:val="left"/>
      <w:pPr>
        <w:tabs>
          <w:tab w:val="num" w:pos="2410"/>
        </w:tabs>
        <w:ind w:left="0" w:firstLine="0"/>
      </w:pPr>
      <w:rPr>
        <w:rFonts w:hint="default"/>
      </w:rPr>
    </w:lvl>
    <w:lvl w:ilvl="7">
      <w:start w:val="1"/>
      <w:numFmt w:val="lowerLetter"/>
      <w:lvlText w:val="%8."/>
      <w:lvlJc w:val="left"/>
      <w:pPr>
        <w:tabs>
          <w:tab w:val="num" w:pos="794"/>
        </w:tabs>
        <w:ind w:left="0" w:firstLine="0"/>
      </w:pPr>
      <w:rPr>
        <w:rFonts w:hint="default"/>
      </w:rPr>
    </w:lvl>
    <w:lvl w:ilvl="8">
      <w:start w:val="1"/>
      <w:numFmt w:val="lowerRoman"/>
      <w:lvlText w:val="%9."/>
      <w:lvlJc w:val="left"/>
      <w:pPr>
        <w:tabs>
          <w:tab w:val="num" w:pos="794"/>
        </w:tabs>
        <w:ind w:left="0" w:firstLine="0"/>
      </w:pPr>
      <w:rPr>
        <w:rFonts w:hint="default"/>
      </w:rPr>
    </w:lvl>
  </w:abstractNum>
  <w:abstractNum w:abstractNumId="54" w15:restartNumberingAfterBreak="0">
    <w:nsid w:val="4E780985"/>
    <w:multiLevelType w:val="hybridMultilevel"/>
    <w:tmpl w:val="2788D9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6DB5A8F"/>
    <w:multiLevelType w:val="hybridMultilevel"/>
    <w:tmpl w:val="BA2225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7262634"/>
    <w:multiLevelType w:val="hybridMultilevel"/>
    <w:tmpl w:val="228A53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8F7506F"/>
    <w:multiLevelType w:val="multilevel"/>
    <w:tmpl w:val="7882B440"/>
    <w:lvl w:ilvl="0">
      <w:start w:val="1"/>
      <w:numFmt w:val="decimal"/>
      <w:pStyle w:val="MainHeadding"/>
      <w:lvlText w:val="%1."/>
      <w:lvlJc w:val="left"/>
      <w:pPr>
        <w:tabs>
          <w:tab w:val="num" w:pos="851"/>
        </w:tabs>
        <w:ind w:left="851" w:hanging="851"/>
      </w:pPr>
      <w:rPr>
        <w:rFonts w:hint="default"/>
      </w:rPr>
    </w:lvl>
    <w:lvl w:ilvl="1">
      <w:start w:val="1"/>
      <w:numFmt w:val="decimal"/>
      <w:pStyle w:val="Subsection"/>
      <w:lvlText w:val="%1.%2."/>
      <w:lvlJc w:val="left"/>
      <w:pPr>
        <w:tabs>
          <w:tab w:val="num" w:pos="3545"/>
        </w:tabs>
        <w:ind w:left="3545" w:hanging="851"/>
      </w:pPr>
      <w:rPr>
        <w:rFonts w:hint="default"/>
      </w:rPr>
    </w:lvl>
    <w:lvl w:ilvl="2">
      <w:start w:val="1"/>
      <w:numFmt w:val="decimal"/>
      <w:pStyle w:val="Subsubsection"/>
      <w:lvlText w:val="%1.%2.%3."/>
      <w:lvlJc w:val="left"/>
      <w:pPr>
        <w:tabs>
          <w:tab w:val="num" w:pos="851"/>
        </w:tabs>
        <w:ind w:left="851" w:hanging="851"/>
      </w:pPr>
      <w:rPr>
        <w:rFonts w:hint="default"/>
      </w:rPr>
    </w:lvl>
    <w:lvl w:ilvl="3">
      <w:start w:val="1"/>
      <w:numFmt w:val="decimal"/>
      <w:pStyle w:val="Subsubsubsection"/>
      <w:lvlText w:val="%1.%2.%3.%4."/>
      <w:lvlJc w:val="left"/>
      <w:pPr>
        <w:tabs>
          <w:tab w:val="num" w:pos="851"/>
        </w:tabs>
        <w:ind w:left="851" w:hanging="851"/>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58"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C892BFF"/>
    <w:multiLevelType w:val="hybridMultilevel"/>
    <w:tmpl w:val="E0800B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0AF556B"/>
    <w:multiLevelType w:val="hybridMultilevel"/>
    <w:tmpl w:val="B5C020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1F364F4"/>
    <w:multiLevelType w:val="hybridMultilevel"/>
    <w:tmpl w:val="42DA2D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2BB5E3C"/>
    <w:multiLevelType w:val="multilevel"/>
    <w:tmpl w:val="695EC0A0"/>
    <w:numStyleLink w:val="DepartmentChapterHeadersNumbered"/>
  </w:abstractNum>
  <w:abstractNum w:abstractNumId="63" w15:restartNumberingAfterBreak="0">
    <w:nsid w:val="63E50B9B"/>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4B426B6"/>
    <w:multiLevelType w:val="multilevel"/>
    <w:tmpl w:val="2000FAFA"/>
    <w:styleLink w:val="ARRBBlueBulletList"/>
    <w:lvl w:ilvl="0">
      <w:start w:val="1"/>
      <w:numFmt w:val="bullet"/>
      <w:lvlText w:val=""/>
      <w:lvlJc w:val="left"/>
      <w:pPr>
        <w:tabs>
          <w:tab w:val="num" w:pos="340"/>
        </w:tabs>
        <w:ind w:left="340" w:hanging="340"/>
      </w:pPr>
      <w:rPr>
        <w:rFonts w:ascii="Symbol" w:hAnsi="Symbol" w:hint="default"/>
        <w:color w:val="081E3E" w:themeColor="text2"/>
      </w:rPr>
    </w:lvl>
    <w:lvl w:ilvl="1">
      <w:start w:val="1"/>
      <w:numFmt w:val="bullet"/>
      <w:lvlText w:val="–"/>
      <w:lvlJc w:val="left"/>
      <w:pPr>
        <w:tabs>
          <w:tab w:val="num" w:pos="680"/>
        </w:tabs>
        <w:ind w:left="680" w:hanging="340"/>
      </w:pPr>
      <w:rPr>
        <w:rFonts w:hint="default"/>
        <w:color w:val="081E3E" w:themeColor="text2"/>
      </w:rPr>
    </w:lvl>
    <w:lvl w:ilvl="2">
      <w:start w:val="1"/>
      <w:numFmt w:val="bullet"/>
      <w:lvlText w:val="–"/>
      <w:lvlJc w:val="left"/>
      <w:pPr>
        <w:tabs>
          <w:tab w:val="num" w:pos="1021"/>
        </w:tabs>
        <w:ind w:left="1021" w:hanging="341"/>
      </w:pPr>
      <w:rPr>
        <w:rFonts w:hint="default"/>
        <w:color w:val="081E3E" w:themeColor="tex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5" w15:restartNumberingAfterBreak="0">
    <w:nsid w:val="6543163B"/>
    <w:multiLevelType w:val="multilevel"/>
    <w:tmpl w:val="991C641E"/>
    <w:lvl w:ilvl="0">
      <w:start w:val="1"/>
      <w:numFmt w:val="decimal"/>
      <w:lvlText w:val="%1."/>
      <w:lvlJc w:val="left"/>
      <w:pPr>
        <w:tabs>
          <w:tab w:val="num" w:pos="340"/>
        </w:tabs>
        <w:ind w:left="340" w:hanging="340"/>
      </w:pPr>
      <w:rPr>
        <w:rFonts w:hint="default"/>
        <w:b w:val="0"/>
        <w:color w:val="00B0F0"/>
      </w:rPr>
    </w:lvl>
    <w:lvl w:ilvl="1">
      <w:start w:val="1"/>
      <w:numFmt w:val="bullet"/>
      <w:lvlText w:val="–"/>
      <w:lvlJc w:val="left"/>
      <w:pPr>
        <w:tabs>
          <w:tab w:val="num" w:pos="680"/>
        </w:tabs>
        <w:ind w:left="680" w:hanging="340"/>
      </w:pPr>
      <w:rPr>
        <w:rFonts w:hint="default"/>
        <w:color w:val="081E3E" w:themeColor="text2"/>
      </w:rPr>
    </w:lvl>
    <w:lvl w:ilvl="2">
      <w:start w:val="1"/>
      <w:numFmt w:val="bullet"/>
      <w:lvlText w:val="–"/>
      <w:lvlJc w:val="left"/>
      <w:pPr>
        <w:tabs>
          <w:tab w:val="num" w:pos="1021"/>
        </w:tabs>
        <w:ind w:left="1021" w:hanging="341"/>
      </w:pPr>
      <w:rPr>
        <w:rFonts w:hint="default"/>
        <w:color w:val="081E3E" w:themeColor="tex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6" w15:restartNumberingAfterBreak="0">
    <w:nsid w:val="661F05B7"/>
    <w:multiLevelType w:val="hybridMultilevel"/>
    <w:tmpl w:val="1ADCAA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81654BA"/>
    <w:multiLevelType w:val="hybridMultilevel"/>
    <w:tmpl w:val="98F472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C473215"/>
    <w:multiLevelType w:val="hybridMultilevel"/>
    <w:tmpl w:val="F0C8C5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CD15583"/>
    <w:multiLevelType w:val="multilevel"/>
    <w:tmpl w:val="CAFCD9E2"/>
    <w:styleLink w:val="ListofFigures"/>
    <w:lvl w:ilvl="0">
      <w:start w:val="1"/>
      <w:numFmt w:val="decimal"/>
      <w:lvlText w:val="Figure %1:"/>
      <w:lvlJc w:val="left"/>
      <w:pPr>
        <w:tabs>
          <w:tab w:val="num" w:pos="1985"/>
        </w:tabs>
        <w:ind w:left="1985" w:hanging="198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6CFB37FB"/>
    <w:multiLevelType w:val="hybridMultilevel"/>
    <w:tmpl w:val="D3FA9B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EE3444F"/>
    <w:multiLevelType w:val="multilevel"/>
    <w:tmpl w:val="FD067348"/>
    <w:lvl w:ilvl="0">
      <w:start w:val="1"/>
      <w:numFmt w:val="bullet"/>
      <w:pStyle w:val="ARRBBaseTableBullet1"/>
      <w:lvlText w:val=""/>
      <w:lvlJc w:val="left"/>
      <w:pPr>
        <w:tabs>
          <w:tab w:val="num" w:pos="170"/>
        </w:tabs>
        <w:ind w:left="170" w:hanging="170"/>
      </w:pPr>
      <w:rPr>
        <w:rFonts w:ascii="Symbol" w:hAnsi="Symbol" w:hint="default"/>
        <w:color w:val="081E3E" w:themeColor="text2"/>
      </w:rPr>
    </w:lvl>
    <w:lvl w:ilvl="1">
      <w:start w:val="1"/>
      <w:numFmt w:val="bullet"/>
      <w:pStyle w:val="ARRBBaseTableBullet2"/>
      <w:lvlText w:val="–"/>
      <w:lvlJc w:val="left"/>
      <w:pPr>
        <w:tabs>
          <w:tab w:val="num" w:pos="340"/>
        </w:tabs>
        <w:ind w:left="340" w:hanging="170"/>
      </w:pPr>
      <w:rPr>
        <w:rFonts w:hint="default"/>
        <w:color w:val="081E3E" w:themeColor="text2"/>
      </w:rPr>
    </w:lvl>
    <w:lvl w:ilvl="2">
      <w:start w:val="1"/>
      <w:numFmt w:val="bullet"/>
      <w:pStyle w:val="ARRBBaseTableBullet3"/>
      <w:lvlText w:val="–"/>
      <w:lvlJc w:val="left"/>
      <w:pPr>
        <w:tabs>
          <w:tab w:val="num" w:pos="510"/>
        </w:tabs>
        <w:ind w:left="510" w:hanging="170"/>
      </w:pPr>
      <w:rPr>
        <w:rFonts w:hint="default"/>
        <w:color w:val="081E3E" w:themeColor="tex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bullet"/>
      <w:lvlText w:val="–"/>
      <w:lvlJc w:val="left"/>
      <w:pPr>
        <w:ind w:left="0" w:firstLine="0"/>
      </w:pPr>
      <w:rPr>
        <w:rFonts w:ascii="(none)" w:hAnsi="(none)" w:hint="default"/>
        <w:color w:val="auto"/>
      </w:rPr>
    </w:lvl>
    <w:lvl w:ilvl="8">
      <w:start w:val="1"/>
      <w:numFmt w:val="none"/>
      <w:lvlText w:val=""/>
      <w:lvlJc w:val="left"/>
      <w:pPr>
        <w:ind w:left="0" w:firstLine="0"/>
      </w:pPr>
      <w:rPr>
        <w:rFonts w:hint="default"/>
      </w:rPr>
    </w:lvl>
  </w:abstractNum>
  <w:abstractNum w:abstractNumId="72" w15:restartNumberingAfterBreak="0">
    <w:nsid w:val="723C48AA"/>
    <w:multiLevelType w:val="multilevel"/>
    <w:tmpl w:val="51708A40"/>
    <w:styleLink w:val="TASBulletliststyle"/>
    <w:lvl w:ilvl="0">
      <w:numFmt w:val="decimal"/>
      <w:lvlRestart w:val="0"/>
      <w:lvlText w:val="%1."/>
      <w:lvlJc w:val="left"/>
      <w:pPr>
        <w:tabs>
          <w:tab w:val="num" w:pos="850"/>
        </w:tabs>
        <w:ind w:left="850" w:hanging="850"/>
      </w:pPr>
      <w:rPr>
        <w:rFonts w:ascii="EYInterstate Light" w:eastAsia="Times New Roman" w:hAnsi="EYInterstate Light" w:cs="Arial"/>
        <w:b/>
        <w:i w:val="0"/>
        <w:color w:val="7F7E82"/>
        <w:sz w:val="40"/>
      </w:rPr>
    </w:lvl>
    <w:lvl w:ilvl="1">
      <w:start w:val="1"/>
      <w:numFmt w:val="decimal"/>
      <w:lvlText w:val="%1.%2"/>
      <w:lvlJc w:val="left"/>
      <w:pPr>
        <w:tabs>
          <w:tab w:val="num" w:pos="992"/>
        </w:tabs>
        <w:ind w:left="992" w:hanging="992"/>
      </w:pPr>
      <w:rPr>
        <w:rFonts w:ascii="EYInterstate Light" w:hAnsi="EYInterstate Light" w:hint="default"/>
        <w:b/>
        <w:i w:val="0"/>
        <w:color w:val="000000"/>
        <w:sz w:val="28"/>
      </w:rPr>
    </w:lvl>
    <w:lvl w:ilvl="2">
      <w:start w:val="1"/>
      <w:numFmt w:val="decimal"/>
      <w:lvlText w:val="%1.%2.%3"/>
      <w:lvlJc w:val="left"/>
      <w:pPr>
        <w:tabs>
          <w:tab w:val="num" w:pos="992"/>
        </w:tabs>
        <w:ind w:left="992" w:hanging="992"/>
      </w:pPr>
      <w:rPr>
        <w:rFonts w:ascii="EYInterstate Light" w:hAnsi="EYInterstate Light" w:hint="default"/>
        <w:b/>
        <w:i w:val="0"/>
        <w:color w:val="000000"/>
        <w:sz w:val="24"/>
      </w:rPr>
    </w:lvl>
    <w:lvl w:ilvl="3">
      <w:start w:val="1"/>
      <w:numFmt w:val="decimal"/>
      <w:lvlText w:val="%1.%2.%3.%4"/>
      <w:lvlJc w:val="left"/>
      <w:pPr>
        <w:tabs>
          <w:tab w:val="num" w:pos="1276"/>
        </w:tabs>
        <w:ind w:left="1276" w:hanging="850"/>
      </w:pPr>
      <w:rPr>
        <w:rFonts w:ascii="EYInterstate" w:hAnsi="EYInterstate" w:hint="default"/>
        <w:b w:val="0"/>
        <w:i w:val="0"/>
        <w:color w:val="000000"/>
        <w:sz w:val="20"/>
      </w:rPr>
    </w:lvl>
    <w:lvl w:ilvl="4">
      <w:start w:val="1"/>
      <w:numFmt w:val="none"/>
      <w:lvlText w:val=""/>
      <w:lvlJc w:val="left"/>
      <w:pPr>
        <w:tabs>
          <w:tab w:val="num" w:pos="850"/>
        </w:tabs>
        <w:ind w:left="850" w:firstLine="0"/>
      </w:pPr>
      <w:rPr>
        <w:rFonts w:hint="default"/>
      </w:rPr>
    </w:lvl>
    <w:lvl w:ilvl="5">
      <w:start w:val="1"/>
      <w:numFmt w:val="none"/>
      <w:pStyle w:val="Heading6"/>
      <w:lvlText w:val=""/>
      <w:lvlJc w:val="left"/>
      <w:pPr>
        <w:tabs>
          <w:tab w:val="num" w:pos="850"/>
        </w:tabs>
        <w:ind w:left="850" w:firstLine="0"/>
      </w:pPr>
      <w:rPr>
        <w:rFonts w:hint="default"/>
      </w:rPr>
    </w:lvl>
    <w:lvl w:ilvl="6">
      <w:start w:val="1"/>
      <w:numFmt w:val="none"/>
      <w:pStyle w:val="Heading7"/>
      <w:lvlText w:val=""/>
      <w:lvlJc w:val="left"/>
      <w:pPr>
        <w:tabs>
          <w:tab w:val="num" w:pos="850"/>
        </w:tabs>
        <w:ind w:left="850" w:firstLine="0"/>
      </w:pPr>
      <w:rPr>
        <w:rFonts w:hint="default"/>
      </w:rPr>
    </w:lvl>
    <w:lvl w:ilvl="7">
      <w:start w:val="1"/>
      <w:numFmt w:val="none"/>
      <w:pStyle w:val="Heading8"/>
      <w:lvlText w:val=""/>
      <w:lvlJc w:val="left"/>
      <w:pPr>
        <w:tabs>
          <w:tab w:val="num" w:pos="850"/>
        </w:tabs>
        <w:ind w:left="850" w:firstLine="0"/>
      </w:pPr>
      <w:rPr>
        <w:rFonts w:hint="default"/>
      </w:rPr>
    </w:lvl>
    <w:lvl w:ilvl="8">
      <w:start w:val="1"/>
      <w:numFmt w:val="none"/>
      <w:pStyle w:val="Heading9"/>
      <w:lvlText w:val=""/>
      <w:lvlJc w:val="left"/>
      <w:pPr>
        <w:tabs>
          <w:tab w:val="num" w:pos="850"/>
        </w:tabs>
        <w:ind w:left="850" w:firstLine="0"/>
      </w:pPr>
      <w:rPr>
        <w:rFonts w:hint="default"/>
      </w:rPr>
    </w:lvl>
  </w:abstractNum>
  <w:abstractNum w:abstractNumId="73" w15:restartNumberingAfterBreak="0">
    <w:nsid w:val="72B13F40"/>
    <w:multiLevelType w:val="hybridMultilevel"/>
    <w:tmpl w:val="27C415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5923AE6"/>
    <w:multiLevelType w:val="hybridMultilevel"/>
    <w:tmpl w:val="5612694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5" w15:restartNumberingAfterBreak="0">
    <w:nsid w:val="76D10226"/>
    <w:multiLevelType w:val="hybridMultilevel"/>
    <w:tmpl w:val="2C9833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89A0CFF"/>
    <w:multiLevelType w:val="hybridMultilevel"/>
    <w:tmpl w:val="87EAA7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A810B38"/>
    <w:multiLevelType w:val="hybridMultilevel"/>
    <w:tmpl w:val="2E42FC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E2363CB"/>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7E2D5925"/>
    <w:multiLevelType w:val="hybridMultilevel"/>
    <w:tmpl w:val="577ED7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46"/>
  </w:num>
  <w:num w:numId="2">
    <w:abstractNumId w:val="80"/>
  </w:num>
  <w:num w:numId="3">
    <w:abstractNumId w:val="6"/>
  </w:num>
  <w:num w:numId="4">
    <w:abstractNumId w:val="45"/>
  </w:num>
  <w:num w:numId="5">
    <w:abstractNumId w:val="12"/>
  </w:num>
  <w:num w:numId="6">
    <w:abstractNumId w:val="32"/>
  </w:num>
  <w:num w:numId="7">
    <w:abstractNumId w:val="58"/>
  </w:num>
  <w:num w:numId="8">
    <w:abstractNumId w:val="14"/>
  </w:num>
  <w:num w:numId="9">
    <w:abstractNumId w:val="13"/>
  </w:num>
  <w:num w:numId="10">
    <w:abstractNumId w:val="57"/>
  </w:num>
  <w:num w:numId="11">
    <w:abstractNumId w:val="42"/>
  </w:num>
  <w:num w:numId="12">
    <w:abstractNumId w:val="7"/>
  </w:num>
  <w:num w:numId="13">
    <w:abstractNumId w:val="23"/>
  </w:num>
  <w:num w:numId="14">
    <w:abstractNumId w:val="50"/>
  </w:num>
  <w:num w:numId="15">
    <w:abstractNumId w:val="72"/>
  </w:num>
  <w:num w:numId="16">
    <w:abstractNumId w:val="26"/>
  </w:num>
  <w:num w:numId="17">
    <w:abstractNumId w:val="34"/>
  </w:num>
  <w:num w:numId="18">
    <w:abstractNumId w:val="78"/>
  </w:num>
  <w:num w:numId="19">
    <w:abstractNumId w:val="63"/>
  </w:num>
  <w:num w:numId="20">
    <w:abstractNumId w:val="10"/>
  </w:num>
  <w:num w:numId="21">
    <w:abstractNumId w:val="20"/>
  </w:num>
  <w:num w:numId="22">
    <w:abstractNumId w:val="69"/>
  </w:num>
  <w:num w:numId="23">
    <w:abstractNumId w:val="15"/>
  </w:num>
  <w:num w:numId="24">
    <w:abstractNumId w:val="21"/>
  </w:num>
  <w:num w:numId="25">
    <w:abstractNumId w:val="62"/>
    <w:lvlOverride w:ilvl="0">
      <w:lvl w:ilvl="0">
        <w:start w:val="1"/>
        <w:numFmt w:val="decimal"/>
        <w:pStyle w:val="NumberedHeading1"/>
        <w:lvlText w:val="Chapter %1:"/>
        <w:lvlJc w:val="left"/>
        <w:pPr>
          <w:ind w:left="1559" w:hanging="1134"/>
        </w:pPr>
        <w:rPr>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6">
    <w:abstractNumId w:val="8"/>
  </w:num>
  <w:num w:numId="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0"/>
  </w:num>
  <w:num w:numId="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8"/>
  </w:num>
  <w:num w:numId="34">
    <w:abstractNumId w:val="67"/>
  </w:num>
  <w:num w:numId="3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6"/>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pStyle w:val="Bullet2"/>
        <w:lvlText w:val="–"/>
        <w:lvlJc w:val="left"/>
        <w:pPr>
          <w:ind w:left="568" w:hanging="284"/>
        </w:pPr>
        <w:rPr>
          <w:rFonts w:ascii="Calibri" w:hAnsi="Calibri" w:hint="default"/>
          <w:color w:val="auto"/>
        </w:rPr>
      </w:lvl>
    </w:lvlOverride>
    <w:lvlOverride w:ilvl="2">
      <w:lvl w:ilvl="2">
        <w:start w:val="1"/>
        <w:numFmt w:val="bullet"/>
        <w:pStyle w:val="Bullet3"/>
        <w:lvlText w:val="›"/>
        <w:lvlJc w:val="left"/>
        <w:pPr>
          <w:ind w:left="852" w:hanging="284"/>
        </w:pPr>
        <w:rPr>
          <w:rFonts w:ascii="Calibri" w:hAnsi="Calibri" w:hint="default"/>
          <w:color w:val="auto"/>
        </w:rPr>
      </w:lvl>
    </w:lvlOverride>
    <w:lvlOverride w:ilvl="3">
      <w:lvl w:ilvl="3">
        <w:start w:val="1"/>
        <w:numFmt w:val="bullet"/>
        <w:lvlText w:val="▫"/>
        <w:lvlJc w:val="left"/>
        <w:pPr>
          <w:ind w:left="1136" w:hanging="284"/>
        </w:pPr>
        <w:rPr>
          <w:rFonts w:ascii="Calibri" w:hAnsi="Calibri" w:hint="default"/>
          <w:color w:val="auto"/>
        </w:rPr>
      </w:lvl>
    </w:lvlOverride>
    <w:lvlOverride w:ilvl="4">
      <w:lvl w:ilvl="4">
        <w:start w:val="1"/>
        <w:numFmt w:val="bullet"/>
        <w:lvlText w:val="—"/>
        <w:lvlJc w:val="left"/>
        <w:pPr>
          <w:ind w:left="1420" w:hanging="284"/>
        </w:pPr>
        <w:rPr>
          <w:rFonts w:ascii="Calibri" w:hAnsi="Calibri" w:hint="default"/>
          <w:color w:val="auto"/>
        </w:rPr>
      </w:lvl>
    </w:lvlOverride>
    <w:lvlOverride w:ilvl="5">
      <w:lvl w:ilvl="5">
        <w:start w:val="1"/>
        <w:numFmt w:val="bullet"/>
        <w:lvlText w:val="»"/>
        <w:lvlJc w:val="left"/>
        <w:pPr>
          <w:ind w:left="1704" w:hanging="284"/>
        </w:pPr>
        <w:rPr>
          <w:rFonts w:ascii="Calibri" w:hAnsi="Calibri" w:hint="default"/>
          <w:color w:val="auto"/>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39">
    <w:abstractNumId w:val="73"/>
  </w:num>
  <w:num w:numId="40">
    <w:abstractNumId w:val="46"/>
    <w:lvlOverride w:ilvl="0">
      <w:startOverride w:val="1"/>
      <w:lvl w:ilvl="0">
        <w:start w:val="1"/>
        <w:numFmt w:val="bullet"/>
        <w:pStyle w:val="Bullet1"/>
        <w:lvlText w:val="•"/>
        <w:lvlJc w:val="left"/>
        <w:pPr>
          <w:ind w:left="284" w:hanging="284"/>
        </w:pPr>
        <w:rPr>
          <w:rFonts w:ascii="Calibri" w:hAnsi="Calibri" w:hint="default"/>
          <w:color w:val="auto"/>
        </w:rPr>
      </w:lvl>
    </w:lvlOverride>
    <w:lvlOverride w:ilvl="1">
      <w:startOverride w:val="1"/>
      <w:lvl w:ilvl="1">
        <w:start w:val="1"/>
        <w:numFmt w:val="bullet"/>
        <w:pStyle w:val="Bullet2"/>
        <w:lvlText w:val="–"/>
        <w:lvlJc w:val="left"/>
        <w:pPr>
          <w:ind w:left="568" w:hanging="284"/>
        </w:pPr>
        <w:rPr>
          <w:rFonts w:ascii="Calibri" w:hAnsi="Calibri" w:hint="default"/>
          <w:color w:val="auto"/>
        </w:rPr>
      </w:lvl>
    </w:lvlOverride>
    <w:lvlOverride w:ilvl="2">
      <w:startOverride w:val="1"/>
      <w:lvl w:ilvl="2">
        <w:start w:val="1"/>
        <w:numFmt w:val="bullet"/>
        <w:pStyle w:val="Bullet3"/>
        <w:lvlText w:val="›"/>
        <w:lvlJc w:val="left"/>
        <w:pPr>
          <w:ind w:left="852" w:hanging="284"/>
        </w:pPr>
        <w:rPr>
          <w:rFonts w:ascii="Calibri" w:hAnsi="Calibri" w:hint="default"/>
          <w:color w:val="auto"/>
        </w:rPr>
      </w:lvl>
    </w:lvlOverride>
    <w:lvlOverride w:ilvl="3">
      <w:startOverride w:val="1"/>
      <w:lvl w:ilvl="3">
        <w:start w:val="1"/>
        <w:numFmt w:val="bullet"/>
        <w:lvlText w:val="▫"/>
        <w:lvlJc w:val="left"/>
        <w:pPr>
          <w:ind w:left="1136" w:hanging="284"/>
        </w:pPr>
        <w:rPr>
          <w:rFonts w:ascii="Calibri" w:hAnsi="Calibri" w:hint="default"/>
          <w:color w:val="auto"/>
        </w:rPr>
      </w:lvl>
    </w:lvlOverride>
    <w:lvlOverride w:ilvl="4">
      <w:startOverride w:val="1"/>
      <w:lvl w:ilvl="4">
        <w:start w:val="1"/>
        <w:numFmt w:val="bullet"/>
        <w:lvlText w:val="—"/>
        <w:lvlJc w:val="left"/>
        <w:pPr>
          <w:ind w:left="1420" w:hanging="284"/>
        </w:pPr>
        <w:rPr>
          <w:rFonts w:ascii="Calibri" w:hAnsi="Calibri" w:hint="default"/>
          <w:color w:val="auto"/>
        </w:rPr>
      </w:lvl>
    </w:lvlOverride>
    <w:lvlOverride w:ilvl="5">
      <w:startOverride w:val="1"/>
      <w:lvl w:ilvl="5">
        <w:start w:val="1"/>
        <w:numFmt w:val="bullet"/>
        <w:lvlText w:val="»"/>
        <w:lvlJc w:val="left"/>
        <w:pPr>
          <w:ind w:left="1704" w:hanging="284"/>
        </w:pPr>
        <w:rPr>
          <w:rFonts w:ascii="Calibri" w:hAnsi="Calibri" w:hint="default"/>
          <w:color w:val="auto"/>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left"/>
        <w:pPr>
          <w:ind w:left="2556" w:hanging="284"/>
        </w:pPr>
        <w:rPr>
          <w:rFonts w:hint="default"/>
        </w:rPr>
      </w:lvl>
    </w:lvlOverride>
  </w:num>
  <w:num w:numId="41">
    <w:abstractNumId w:val="39"/>
  </w:num>
  <w:num w:numId="42">
    <w:abstractNumId w:val="46"/>
    <w:lvlOverride w:ilvl="0">
      <w:startOverride w:val="1"/>
      <w:lvl w:ilvl="0">
        <w:start w:val="1"/>
        <w:numFmt w:val="bullet"/>
        <w:pStyle w:val="Bullet1"/>
        <w:lvlText w:val="•"/>
        <w:lvlJc w:val="left"/>
        <w:pPr>
          <w:ind w:left="284" w:hanging="284"/>
        </w:pPr>
        <w:rPr>
          <w:rFonts w:ascii="Calibri" w:hAnsi="Calibri" w:hint="default"/>
          <w:color w:val="auto"/>
        </w:rPr>
      </w:lvl>
    </w:lvlOverride>
    <w:lvlOverride w:ilvl="1">
      <w:startOverride w:val="1"/>
      <w:lvl w:ilvl="1">
        <w:start w:val="1"/>
        <w:numFmt w:val="bullet"/>
        <w:pStyle w:val="Bullet2"/>
        <w:lvlText w:val="–"/>
        <w:lvlJc w:val="left"/>
        <w:pPr>
          <w:ind w:left="568" w:hanging="284"/>
        </w:pPr>
        <w:rPr>
          <w:rFonts w:ascii="Calibri" w:hAnsi="Calibri" w:hint="default"/>
          <w:color w:val="auto"/>
        </w:rPr>
      </w:lvl>
    </w:lvlOverride>
    <w:lvlOverride w:ilvl="2">
      <w:startOverride w:val="1"/>
      <w:lvl w:ilvl="2">
        <w:start w:val="1"/>
        <w:numFmt w:val="bullet"/>
        <w:pStyle w:val="Bullet3"/>
        <w:lvlText w:val="›"/>
        <w:lvlJc w:val="left"/>
        <w:pPr>
          <w:ind w:left="852" w:hanging="284"/>
        </w:pPr>
        <w:rPr>
          <w:rFonts w:ascii="Calibri" w:hAnsi="Calibri" w:hint="default"/>
          <w:color w:val="auto"/>
        </w:rPr>
      </w:lvl>
    </w:lvlOverride>
    <w:lvlOverride w:ilvl="3">
      <w:startOverride w:val="1"/>
      <w:lvl w:ilvl="3">
        <w:start w:val="1"/>
        <w:numFmt w:val="bullet"/>
        <w:lvlText w:val="▫"/>
        <w:lvlJc w:val="left"/>
        <w:pPr>
          <w:ind w:left="1136" w:hanging="284"/>
        </w:pPr>
        <w:rPr>
          <w:rFonts w:ascii="Calibri" w:hAnsi="Calibri" w:hint="default"/>
          <w:color w:val="auto"/>
        </w:rPr>
      </w:lvl>
    </w:lvlOverride>
    <w:lvlOverride w:ilvl="4">
      <w:startOverride w:val="1"/>
      <w:lvl w:ilvl="4">
        <w:start w:val="1"/>
        <w:numFmt w:val="bullet"/>
        <w:lvlText w:val="—"/>
        <w:lvlJc w:val="left"/>
        <w:pPr>
          <w:ind w:left="1420" w:hanging="284"/>
        </w:pPr>
        <w:rPr>
          <w:rFonts w:ascii="Calibri" w:hAnsi="Calibri" w:hint="default"/>
          <w:color w:val="auto"/>
        </w:rPr>
      </w:lvl>
    </w:lvlOverride>
    <w:lvlOverride w:ilvl="5">
      <w:startOverride w:val="1"/>
      <w:lvl w:ilvl="5">
        <w:start w:val="1"/>
        <w:numFmt w:val="bullet"/>
        <w:lvlText w:val="»"/>
        <w:lvlJc w:val="left"/>
        <w:pPr>
          <w:ind w:left="1704" w:hanging="284"/>
        </w:pPr>
        <w:rPr>
          <w:rFonts w:ascii="Calibri" w:hAnsi="Calibri" w:hint="default"/>
          <w:color w:val="auto"/>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left"/>
        <w:pPr>
          <w:ind w:left="2556" w:hanging="284"/>
        </w:pPr>
        <w:rPr>
          <w:rFonts w:hint="default"/>
        </w:rPr>
      </w:lvl>
    </w:lvlOverride>
  </w:num>
  <w:num w:numId="43">
    <w:abstractNumId w:val="48"/>
  </w:num>
  <w:num w:numId="44">
    <w:abstractNumId w:val="60"/>
  </w:num>
  <w:num w:numId="45">
    <w:abstractNumId w:val="31"/>
  </w:num>
  <w:num w:numId="46">
    <w:abstractNumId w:val="5"/>
  </w:num>
  <w:num w:numId="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79"/>
  </w:num>
  <w:num w:numId="50">
    <w:abstractNumId w:val="18"/>
  </w:num>
  <w:num w:numId="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num>
  <w:num w:numId="53">
    <w:abstractNumId w:val="56"/>
  </w:num>
  <w:num w:numId="54">
    <w:abstractNumId w:val="33"/>
  </w:num>
  <w:num w:numId="55">
    <w:abstractNumId w:val="35"/>
  </w:num>
  <w:num w:numId="56">
    <w:abstractNumId w:val="66"/>
  </w:num>
  <w:num w:numId="57">
    <w:abstractNumId w:val="54"/>
  </w:num>
  <w:num w:numId="58">
    <w:abstractNumId w:val="61"/>
  </w:num>
  <w:num w:numId="59">
    <w:abstractNumId w:val="77"/>
  </w:num>
  <w:num w:numId="60">
    <w:abstractNumId w:val="22"/>
  </w:num>
  <w:num w:numId="61">
    <w:abstractNumId w:val="19"/>
  </w:num>
  <w:num w:numId="62">
    <w:abstractNumId w:val="55"/>
  </w:num>
  <w:num w:numId="63">
    <w:abstractNumId w:val="2"/>
  </w:num>
  <w:num w:numId="64">
    <w:abstractNumId w:val="24"/>
  </w:num>
  <w:num w:numId="65">
    <w:abstractNumId w:val="37"/>
  </w:num>
  <w:num w:numId="66">
    <w:abstractNumId w:val="28"/>
  </w:num>
  <w:num w:numId="67">
    <w:abstractNumId w:val="0"/>
  </w:num>
  <w:num w:numId="68">
    <w:abstractNumId w:val="59"/>
  </w:num>
  <w:num w:numId="69">
    <w:abstractNumId w:val="75"/>
  </w:num>
  <w:num w:numId="70">
    <w:abstractNumId w:val="41"/>
  </w:num>
  <w:num w:numId="71">
    <w:abstractNumId w:val="27"/>
  </w:num>
  <w:num w:numId="72">
    <w:abstractNumId w:val="52"/>
  </w:num>
  <w:num w:numId="73">
    <w:abstractNumId w:val="44"/>
  </w:num>
  <w:num w:numId="74">
    <w:abstractNumId w:val="74"/>
  </w:num>
  <w:num w:numId="75">
    <w:abstractNumId w:val="40"/>
  </w:num>
  <w:num w:numId="76">
    <w:abstractNumId w:val="76"/>
  </w:num>
  <w:num w:numId="77">
    <w:abstractNumId w:val="36"/>
  </w:num>
  <w:num w:numId="78">
    <w:abstractNumId w:val="49"/>
  </w:num>
  <w:num w:numId="79">
    <w:abstractNumId w:val="71"/>
  </w:num>
  <w:num w:numId="80">
    <w:abstractNumId w:val="16"/>
  </w:num>
  <w:num w:numId="81">
    <w:abstractNumId w:val="11"/>
  </w:num>
  <w:num w:numId="82">
    <w:abstractNumId w:val="43"/>
  </w:num>
  <w:num w:numId="83">
    <w:abstractNumId w:val="4"/>
  </w:num>
  <w:num w:numId="84">
    <w:abstractNumId w:val="25"/>
  </w:num>
  <w:num w:numId="85">
    <w:abstractNumId w:val="51"/>
  </w:num>
  <w:num w:numId="86">
    <w:abstractNumId w:val="4"/>
    <w:lvlOverride w:ilvl="0">
      <w:startOverride w:val="1"/>
    </w:lvlOverride>
  </w:num>
  <w:num w:numId="87">
    <w:abstractNumId w:val="64"/>
  </w:num>
  <w:num w:numId="88">
    <w:abstractNumId w:val="53"/>
  </w:num>
  <w:num w:numId="89">
    <w:abstractNumId w:val="47"/>
  </w:num>
  <w:num w:numId="90">
    <w:abstractNumId w:val="17"/>
  </w:num>
  <w:num w:numId="91">
    <w:abstractNumId w:val="65"/>
  </w:num>
  <w:num w:numId="92">
    <w:abstractNumId w:val="9"/>
  </w:num>
  <w:num w:numId="93">
    <w:abstractNumId w:val="1"/>
    <w:lvlOverride w:ilvl="0">
      <w:lvl w:ilvl="0">
        <w:start w:val="1"/>
        <w:numFmt w:val="upperLetter"/>
        <w:lvlText w:val="Appendix %1"/>
        <w:lvlJc w:val="left"/>
        <w:pPr>
          <w:tabs>
            <w:tab w:val="num" w:pos="2410"/>
          </w:tabs>
          <w:ind w:left="2410" w:hanging="241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attachedTemplate r:id="rId1"/>
  <w:defaultTabStop w:val="34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6AD"/>
    <w:rsid w:val="00001567"/>
    <w:rsid w:val="00001B26"/>
    <w:rsid w:val="000021CF"/>
    <w:rsid w:val="00002C1F"/>
    <w:rsid w:val="00003344"/>
    <w:rsid w:val="000039EC"/>
    <w:rsid w:val="00003ACF"/>
    <w:rsid w:val="00003CF2"/>
    <w:rsid w:val="00003F50"/>
    <w:rsid w:val="00004393"/>
    <w:rsid w:val="00004D82"/>
    <w:rsid w:val="00005E2B"/>
    <w:rsid w:val="00006DA4"/>
    <w:rsid w:val="000074E6"/>
    <w:rsid w:val="00007634"/>
    <w:rsid w:val="00007667"/>
    <w:rsid w:val="00007FBA"/>
    <w:rsid w:val="0001108A"/>
    <w:rsid w:val="000118E6"/>
    <w:rsid w:val="00011E7B"/>
    <w:rsid w:val="000120A2"/>
    <w:rsid w:val="000126E2"/>
    <w:rsid w:val="00012ABC"/>
    <w:rsid w:val="000131CF"/>
    <w:rsid w:val="00013D4E"/>
    <w:rsid w:val="0001430B"/>
    <w:rsid w:val="00014D1D"/>
    <w:rsid w:val="000150C0"/>
    <w:rsid w:val="0001512E"/>
    <w:rsid w:val="000151A3"/>
    <w:rsid w:val="00015E30"/>
    <w:rsid w:val="0001778F"/>
    <w:rsid w:val="000179FA"/>
    <w:rsid w:val="000206BC"/>
    <w:rsid w:val="0002173B"/>
    <w:rsid w:val="00022247"/>
    <w:rsid w:val="0002277E"/>
    <w:rsid w:val="0002330A"/>
    <w:rsid w:val="000233BC"/>
    <w:rsid w:val="000248F9"/>
    <w:rsid w:val="00024D04"/>
    <w:rsid w:val="00025153"/>
    <w:rsid w:val="00026744"/>
    <w:rsid w:val="00026B6E"/>
    <w:rsid w:val="000271B7"/>
    <w:rsid w:val="0002738F"/>
    <w:rsid w:val="00027994"/>
    <w:rsid w:val="00030207"/>
    <w:rsid w:val="000306A0"/>
    <w:rsid w:val="000308CF"/>
    <w:rsid w:val="00030A6A"/>
    <w:rsid w:val="00030AEA"/>
    <w:rsid w:val="00033532"/>
    <w:rsid w:val="00033B7E"/>
    <w:rsid w:val="00033C15"/>
    <w:rsid w:val="00033FBA"/>
    <w:rsid w:val="00034052"/>
    <w:rsid w:val="00034A58"/>
    <w:rsid w:val="00034AD3"/>
    <w:rsid w:val="00035E18"/>
    <w:rsid w:val="000360F9"/>
    <w:rsid w:val="00036515"/>
    <w:rsid w:val="0003671B"/>
    <w:rsid w:val="00036D76"/>
    <w:rsid w:val="00037653"/>
    <w:rsid w:val="00040252"/>
    <w:rsid w:val="000404F6"/>
    <w:rsid w:val="00040C02"/>
    <w:rsid w:val="000411D5"/>
    <w:rsid w:val="00041608"/>
    <w:rsid w:val="00041A6D"/>
    <w:rsid w:val="00041AED"/>
    <w:rsid w:val="00041EE0"/>
    <w:rsid w:val="00042060"/>
    <w:rsid w:val="000420A0"/>
    <w:rsid w:val="0004281A"/>
    <w:rsid w:val="00042BF9"/>
    <w:rsid w:val="000431FB"/>
    <w:rsid w:val="00043BA4"/>
    <w:rsid w:val="000443CD"/>
    <w:rsid w:val="00044540"/>
    <w:rsid w:val="00044A90"/>
    <w:rsid w:val="00044B73"/>
    <w:rsid w:val="00045453"/>
    <w:rsid w:val="00045ABE"/>
    <w:rsid w:val="00046393"/>
    <w:rsid w:val="0004658C"/>
    <w:rsid w:val="00046B5E"/>
    <w:rsid w:val="000477B7"/>
    <w:rsid w:val="00047B86"/>
    <w:rsid w:val="00050051"/>
    <w:rsid w:val="00050609"/>
    <w:rsid w:val="00050DE8"/>
    <w:rsid w:val="00050F30"/>
    <w:rsid w:val="00050F3D"/>
    <w:rsid w:val="00053056"/>
    <w:rsid w:val="0005325E"/>
    <w:rsid w:val="00053277"/>
    <w:rsid w:val="00053C2B"/>
    <w:rsid w:val="000548A0"/>
    <w:rsid w:val="0005586D"/>
    <w:rsid w:val="00055971"/>
    <w:rsid w:val="00055B7C"/>
    <w:rsid w:val="00055FAD"/>
    <w:rsid w:val="0005600D"/>
    <w:rsid w:val="00056CD3"/>
    <w:rsid w:val="00056D61"/>
    <w:rsid w:val="00056ECB"/>
    <w:rsid w:val="00057158"/>
    <w:rsid w:val="000603AA"/>
    <w:rsid w:val="0006043B"/>
    <w:rsid w:val="00060498"/>
    <w:rsid w:val="000606B3"/>
    <w:rsid w:val="00060B3C"/>
    <w:rsid w:val="00062168"/>
    <w:rsid w:val="00064530"/>
    <w:rsid w:val="00064E5D"/>
    <w:rsid w:val="00065306"/>
    <w:rsid w:val="00065A99"/>
    <w:rsid w:val="00065B66"/>
    <w:rsid w:val="000668C2"/>
    <w:rsid w:val="000670EE"/>
    <w:rsid w:val="000676D1"/>
    <w:rsid w:val="00070381"/>
    <w:rsid w:val="00070B6D"/>
    <w:rsid w:val="00071228"/>
    <w:rsid w:val="00071640"/>
    <w:rsid w:val="00071788"/>
    <w:rsid w:val="00071AFE"/>
    <w:rsid w:val="00071B02"/>
    <w:rsid w:val="00071F45"/>
    <w:rsid w:val="00074961"/>
    <w:rsid w:val="000758CF"/>
    <w:rsid w:val="00077716"/>
    <w:rsid w:val="000804AD"/>
    <w:rsid w:val="00081AA4"/>
    <w:rsid w:val="00081B8B"/>
    <w:rsid w:val="00082135"/>
    <w:rsid w:val="0008305E"/>
    <w:rsid w:val="00083E4F"/>
    <w:rsid w:val="00084430"/>
    <w:rsid w:val="000851AF"/>
    <w:rsid w:val="000852D1"/>
    <w:rsid w:val="0008538D"/>
    <w:rsid w:val="00085462"/>
    <w:rsid w:val="00085622"/>
    <w:rsid w:val="000856E9"/>
    <w:rsid w:val="00085CC9"/>
    <w:rsid w:val="000860C4"/>
    <w:rsid w:val="00086CC9"/>
    <w:rsid w:val="000874E4"/>
    <w:rsid w:val="00090446"/>
    <w:rsid w:val="0009055C"/>
    <w:rsid w:val="00090603"/>
    <w:rsid w:val="00091022"/>
    <w:rsid w:val="000910B7"/>
    <w:rsid w:val="0009119B"/>
    <w:rsid w:val="00091A84"/>
    <w:rsid w:val="00091D13"/>
    <w:rsid w:val="00092874"/>
    <w:rsid w:val="00092EF0"/>
    <w:rsid w:val="000938AB"/>
    <w:rsid w:val="00093964"/>
    <w:rsid w:val="00094693"/>
    <w:rsid w:val="0009690C"/>
    <w:rsid w:val="00097074"/>
    <w:rsid w:val="00097C30"/>
    <w:rsid w:val="00097DB5"/>
    <w:rsid w:val="000A0D2C"/>
    <w:rsid w:val="000A0EB7"/>
    <w:rsid w:val="000A10DB"/>
    <w:rsid w:val="000A19FA"/>
    <w:rsid w:val="000A1C98"/>
    <w:rsid w:val="000A1DF8"/>
    <w:rsid w:val="000A3A4D"/>
    <w:rsid w:val="000A55DB"/>
    <w:rsid w:val="000A5AE3"/>
    <w:rsid w:val="000A6675"/>
    <w:rsid w:val="000A7DD7"/>
    <w:rsid w:val="000A7F9C"/>
    <w:rsid w:val="000B1F17"/>
    <w:rsid w:val="000B29EB"/>
    <w:rsid w:val="000B372E"/>
    <w:rsid w:val="000B3805"/>
    <w:rsid w:val="000B3C51"/>
    <w:rsid w:val="000B3CD7"/>
    <w:rsid w:val="000B3DF0"/>
    <w:rsid w:val="000B46D4"/>
    <w:rsid w:val="000B4BB0"/>
    <w:rsid w:val="000B521D"/>
    <w:rsid w:val="000B5EFA"/>
    <w:rsid w:val="000B61A1"/>
    <w:rsid w:val="000B652C"/>
    <w:rsid w:val="000B6729"/>
    <w:rsid w:val="000B6B0F"/>
    <w:rsid w:val="000B6BB3"/>
    <w:rsid w:val="000B6E6A"/>
    <w:rsid w:val="000B73EB"/>
    <w:rsid w:val="000B784A"/>
    <w:rsid w:val="000B7973"/>
    <w:rsid w:val="000C017A"/>
    <w:rsid w:val="000C17C2"/>
    <w:rsid w:val="000C1AC6"/>
    <w:rsid w:val="000C2986"/>
    <w:rsid w:val="000C2A8F"/>
    <w:rsid w:val="000C2AB6"/>
    <w:rsid w:val="000C2ECF"/>
    <w:rsid w:val="000C32E7"/>
    <w:rsid w:val="000C3B08"/>
    <w:rsid w:val="000C3CD0"/>
    <w:rsid w:val="000C5069"/>
    <w:rsid w:val="000C54DA"/>
    <w:rsid w:val="000C5E51"/>
    <w:rsid w:val="000C601C"/>
    <w:rsid w:val="000C6044"/>
    <w:rsid w:val="000C6BB7"/>
    <w:rsid w:val="000C6DC0"/>
    <w:rsid w:val="000C7A24"/>
    <w:rsid w:val="000D016C"/>
    <w:rsid w:val="000D0F4A"/>
    <w:rsid w:val="000D1315"/>
    <w:rsid w:val="000D1D80"/>
    <w:rsid w:val="000D20B9"/>
    <w:rsid w:val="000D21EE"/>
    <w:rsid w:val="000D22B5"/>
    <w:rsid w:val="000D25AA"/>
    <w:rsid w:val="000D2AED"/>
    <w:rsid w:val="000D3271"/>
    <w:rsid w:val="000D32B5"/>
    <w:rsid w:val="000D3911"/>
    <w:rsid w:val="000D4B1C"/>
    <w:rsid w:val="000D4DA2"/>
    <w:rsid w:val="000D5324"/>
    <w:rsid w:val="000D56E9"/>
    <w:rsid w:val="000D64DD"/>
    <w:rsid w:val="000D6FF2"/>
    <w:rsid w:val="000D7194"/>
    <w:rsid w:val="000D7248"/>
    <w:rsid w:val="000D76EE"/>
    <w:rsid w:val="000E0DCC"/>
    <w:rsid w:val="000E160C"/>
    <w:rsid w:val="000E24BA"/>
    <w:rsid w:val="000E42C6"/>
    <w:rsid w:val="000E4C62"/>
    <w:rsid w:val="000E4E88"/>
    <w:rsid w:val="000E544A"/>
    <w:rsid w:val="000E5674"/>
    <w:rsid w:val="000E5B1A"/>
    <w:rsid w:val="000E639A"/>
    <w:rsid w:val="000E780F"/>
    <w:rsid w:val="000E7EBD"/>
    <w:rsid w:val="000F0568"/>
    <w:rsid w:val="000F0B93"/>
    <w:rsid w:val="000F124D"/>
    <w:rsid w:val="000F18E0"/>
    <w:rsid w:val="000F1B96"/>
    <w:rsid w:val="000F4FAA"/>
    <w:rsid w:val="000F5008"/>
    <w:rsid w:val="000F5030"/>
    <w:rsid w:val="000F530A"/>
    <w:rsid w:val="000F5356"/>
    <w:rsid w:val="000F5A59"/>
    <w:rsid w:val="000F5D72"/>
    <w:rsid w:val="000F6E4D"/>
    <w:rsid w:val="0010181D"/>
    <w:rsid w:val="0010248E"/>
    <w:rsid w:val="001033AD"/>
    <w:rsid w:val="001035CB"/>
    <w:rsid w:val="001047DD"/>
    <w:rsid w:val="0010637F"/>
    <w:rsid w:val="00106450"/>
    <w:rsid w:val="001073A1"/>
    <w:rsid w:val="001079B9"/>
    <w:rsid w:val="00107F25"/>
    <w:rsid w:val="001100FF"/>
    <w:rsid w:val="00110215"/>
    <w:rsid w:val="001103B6"/>
    <w:rsid w:val="00111346"/>
    <w:rsid w:val="00111955"/>
    <w:rsid w:val="001119D5"/>
    <w:rsid w:val="00111FAE"/>
    <w:rsid w:val="00112418"/>
    <w:rsid w:val="001128A8"/>
    <w:rsid w:val="001141C4"/>
    <w:rsid w:val="001144EE"/>
    <w:rsid w:val="00114780"/>
    <w:rsid w:val="001148D3"/>
    <w:rsid w:val="00114B1A"/>
    <w:rsid w:val="00114BD0"/>
    <w:rsid w:val="00115143"/>
    <w:rsid w:val="0011554D"/>
    <w:rsid w:val="0011579B"/>
    <w:rsid w:val="00115CA7"/>
    <w:rsid w:val="0011647F"/>
    <w:rsid w:val="001168FB"/>
    <w:rsid w:val="00116C09"/>
    <w:rsid w:val="00117361"/>
    <w:rsid w:val="00117A3C"/>
    <w:rsid w:val="00117C5A"/>
    <w:rsid w:val="00120447"/>
    <w:rsid w:val="0012097A"/>
    <w:rsid w:val="00120C6B"/>
    <w:rsid w:val="00120E88"/>
    <w:rsid w:val="00121711"/>
    <w:rsid w:val="00121C62"/>
    <w:rsid w:val="00122126"/>
    <w:rsid w:val="00122567"/>
    <w:rsid w:val="001229EC"/>
    <w:rsid w:val="001243B4"/>
    <w:rsid w:val="0012440B"/>
    <w:rsid w:val="00124838"/>
    <w:rsid w:val="00125136"/>
    <w:rsid w:val="00125654"/>
    <w:rsid w:val="0012578C"/>
    <w:rsid w:val="00125A8E"/>
    <w:rsid w:val="00125C88"/>
    <w:rsid w:val="00126410"/>
    <w:rsid w:val="0012649D"/>
    <w:rsid w:val="0012775D"/>
    <w:rsid w:val="00127935"/>
    <w:rsid w:val="00127D76"/>
    <w:rsid w:val="00127F5D"/>
    <w:rsid w:val="0013026D"/>
    <w:rsid w:val="00130859"/>
    <w:rsid w:val="0013089D"/>
    <w:rsid w:val="0013161F"/>
    <w:rsid w:val="00131B32"/>
    <w:rsid w:val="0013211D"/>
    <w:rsid w:val="00132946"/>
    <w:rsid w:val="00133C19"/>
    <w:rsid w:val="001349C6"/>
    <w:rsid w:val="00134ABB"/>
    <w:rsid w:val="00134ED8"/>
    <w:rsid w:val="00135B52"/>
    <w:rsid w:val="00136719"/>
    <w:rsid w:val="00136F63"/>
    <w:rsid w:val="00137B66"/>
    <w:rsid w:val="00137D5E"/>
    <w:rsid w:val="0014298E"/>
    <w:rsid w:val="001432AE"/>
    <w:rsid w:val="00143BFE"/>
    <w:rsid w:val="00144486"/>
    <w:rsid w:val="00144725"/>
    <w:rsid w:val="00144913"/>
    <w:rsid w:val="00144F90"/>
    <w:rsid w:val="001450BA"/>
    <w:rsid w:val="001450E2"/>
    <w:rsid w:val="00145811"/>
    <w:rsid w:val="001458E9"/>
    <w:rsid w:val="00146363"/>
    <w:rsid w:val="00146DEB"/>
    <w:rsid w:val="001478E9"/>
    <w:rsid w:val="0014790B"/>
    <w:rsid w:val="00147E6E"/>
    <w:rsid w:val="00150EAF"/>
    <w:rsid w:val="00151384"/>
    <w:rsid w:val="00151AD0"/>
    <w:rsid w:val="00152595"/>
    <w:rsid w:val="00152EEB"/>
    <w:rsid w:val="0015425C"/>
    <w:rsid w:val="001543B8"/>
    <w:rsid w:val="001543D9"/>
    <w:rsid w:val="001554F6"/>
    <w:rsid w:val="00155E9E"/>
    <w:rsid w:val="001569BE"/>
    <w:rsid w:val="00156B43"/>
    <w:rsid w:val="00160041"/>
    <w:rsid w:val="00160260"/>
    <w:rsid w:val="001614F7"/>
    <w:rsid w:val="0016177C"/>
    <w:rsid w:val="00162350"/>
    <w:rsid w:val="0016249B"/>
    <w:rsid w:val="001626EF"/>
    <w:rsid w:val="00162CAF"/>
    <w:rsid w:val="0016354D"/>
    <w:rsid w:val="00163D15"/>
    <w:rsid w:val="0016406E"/>
    <w:rsid w:val="00164075"/>
    <w:rsid w:val="001640F6"/>
    <w:rsid w:val="00164159"/>
    <w:rsid w:val="00164A05"/>
    <w:rsid w:val="00166617"/>
    <w:rsid w:val="00166833"/>
    <w:rsid w:val="00166BC4"/>
    <w:rsid w:val="00167271"/>
    <w:rsid w:val="00167D04"/>
    <w:rsid w:val="00167DF3"/>
    <w:rsid w:val="00170998"/>
    <w:rsid w:val="00171935"/>
    <w:rsid w:val="00172672"/>
    <w:rsid w:val="00172BFA"/>
    <w:rsid w:val="00173328"/>
    <w:rsid w:val="00173D4F"/>
    <w:rsid w:val="00173E70"/>
    <w:rsid w:val="00174171"/>
    <w:rsid w:val="001743D7"/>
    <w:rsid w:val="00174BF2"/>
    <w:rsid w:val="00174EC2"/>
    <w:rsid w:val="00175931"/>
    <w:rsid w:val="00175E92"/>
    <w:rsid w:val="0017627C"/>
    <w:rsid w:val="00176512"/>
    <w:rsid w:val="00176843"/>
    <w:rsid w:val="00176F2F"/>
    <w:rsid w:val="00177EF5"/>
    <w:rsid w:val="00180904"/>
    <w:rsid w:val="00180EF6"/>
    <w:rsid w:val="001812BF"/>
    <w:rsid w:val="00181B98"/>
    <w:rsid w:val="00183585"/>
    <w:rsid w:val="00183C43"/>
    <w:rsid w:val="00185919"/>
    <w:rsid w:val="00186988"/>
    <w:rsid w:val="00187698"/>
    <w:rsid w:val="0019132A"/>
    <w:rsid w:val="00191856"/>
    <w:rsid w:val="00191D60"/>
    <w:rsid w:val="001922BD"/>
    <w:rsid w:val="00192553"/>
    <w:rsid w:val="00192CB0"/>
    <w:rsid w:val="00194071"/>
    <w:rsid w:val="00194F3A"/>
    <w:rsid w:val="00195087"/>
    <w:rsid w:val="00195EE9"/>
    <w:rsid w:val="00195F03"/>
    <w:rsid w:val="0019635A"/>
    <w:rsid w:val="001972C6"/>
    <w:rsid w:val="00197A56"/>
    <w:rsid w:val="00197BA7"/>
    <w:rsid w:val="00197DAC"/>
    <w:rsid w:val="00197FFB"/>
    <w:rsid w:val="001A0096"/>
    <w:rsid w:val="001A13D0"/>
    <w:rsid w:val="001A1988"/>
    <w:rsid w:val="001A28F9"/>
    <w:rsid w:val="001A3703"/>
    <w:rsid w:val="001A3B39"/>
    <w:rsid w:val="001A3BD6"/>
    <w:rsid w:val="001A3C46"/>
    <w:rsid w:val="001A4DD0"/>
    <w:rsid w:val="001A68C5"/>
    <w:rsid w:val="001A7411"/>
    <w:rsid w:val="001B0607"/>
    <w:rsid w:val="001B0996"/>
    <w:rsid w:val="001B0F03"/>
    <w:rsid w:val="001B1236"/>
    <w:rsid w:val="001B13AA"/>
    <w:rsid w:val="001B13B3"/>
    <w:rsid w:val="001B25E6"/>
    <w:rsid w:val="001B2D80"/>
    <w:rsid w:val="001B495C"/>
    <w:rsid w:val="001B4CB6"/>
    <w:rsid w:val="001B5F45"/>
    <w:rsid w:val="001B763A"/>
    <w:rsid w:val="001B78EF"/>
    <w:rsid w:val="001B7E3F"/>
    <w:rsid w:val="001C0769"/>
    <w:rsid w:val="001C0B42"/>
    <w:rsid w:val="001C0DFD"/>
    <w:rsid w:val="001C1CBC"/>
    <w:rsid w:val="001C31DE"/>
    <w:rsid w:val="001C34C7"/>
    <w:rsid w:val="001C37FB"/>
    <w:rsid w:val="001C3CA6"/>
    <w:rsid w:val="001C41BD"/>
    <w:rsid w:val="001C43ED"/>
    <w:rsid w:val="001C4E24"/>
    <w:rsid w:val="001C5C07"/>
    <w:rsid w:val="001C6FB2"/>
    <w:rsid w:val="001C73E1"/>
    <w:rsid w:val="001D08B7"/>
    <w:rsid w:val="001D2011"/>
    <w:rsid w:val="001D2336"/>
    <w:rsid w:val="001D38FC"/>
    <w:rsid w:val="001D3BCF"/>
    <w:rsid w:val="001D4537"/>
    <w:rsid w:val="001D4BAB"/>
    <w:rsid w:val="001D718D"/>
    <w:rsid w:val="001D79A4"/>
    <w:rsid w:val="001E09F7"/>
    <w:rsid w:val="001E156C"/>
    <w:rsid w:val="001E1BA6"/>
    <w:rsid w:val="001E2650"/>
    <w:rsid w:val="001E35C9"/>
    <w:rsid w:val="001E3B0F"/>
    <w:rsid w:val="001E41B0"/>
    <w:rsid w:val="001E4DAE"/>
    <w:rsid w:val="001E6050"/>
    <w:rsid w:val="001E6810"/>
    <w:rsid w:val="001F06E7"/>
    <w:rsid w:val="001F07B1"/>
    <w:rsid w:val="001F292A"/>
    <w:rsid w:val="001F3B10"/>
    <w:rsid w:val="001F693D"/>
    <w:rsid w:val="001F76CB"/>
    <w:rsid w:val="001F7AB9"/>
    <w:rsid w:val="001F7E8D"/>
    <w:rsid w:val="00200F57"/>
    <w:rsid w:val="002019D7"/>
    <w:rsid w:val="00201BF9"/>
    <w:rsid w:val="002023BF"/>
    <w:rsid w:val="00202907"/>
    <w:rsid w:val="00203013"/>
    <w:rsid w:val="0020323C"/>
    <w:rsid w:val="00205028"/>
    <w:rsid w:val="002054F1"/>
    <w:rsid w:val="00206410"/>
    <w:rsid w:val="00206837"/>
    <w:rsid w:val="002103C4"/>
    <w:rsid w:val="002112A6"/>
    <w:rsid w:val="00211801"/>
    <w:rsid w:val="00212E16"/>
    <w:rsid w:val="002133CD"/>
    <w:rsid w:val="00213965"/>
    <w:rsid w:val="00213E3D"/>
    <w:rsid w:val="00213F67"/>
    <w:rsid w:val="00214BF6"/>
    <w:rsid w:val="00215141"/>
    <w:rsid w:val="00215C67"/>
    <w:rsid w:val="002168B1"/>
    <w:rsid w:val="00216902"/>
    <w:rsid w:val="00216CEC"/>
    <w:rsid w:val="00216DD8"/>
    <w:rsid w:val="00217097"/>
    <w:rsid w:val="00217290"/>
    <w:rsid w:val="002174FF"/>
    <w:rsid w:val="00217C9B"/>
    <w:rsid w:val="00217F90"/>
    <w:rsid w:val="0022064A"/>
    <w:rsid w:val="002210EE"/>
    <w:rsid w:val="002218D5"/>
    <w:rsid w:val="00223F09"/>
    <w:rsid w:val="002246F5"/>
    <w:rsid w:val="0022480C"/>
    <w:rsid w:val="002250AB"/>
    <w:rsid w:val="002253FE"/>
    <w:rsid w:val="002254D5"/>
    <w:rsid w:val="0022611D"/>
    <w:rsid w:val="00226D06"/>
    <w:rsid w:val="00226F55"/>
    <w:rsid w:val="0022783D"/>
    <w:rsid w:val="0023087C"/>
    <w:rsid w:val="002310C0"/>
    <w:rsid w:val="0023124D"/>
    <w:rsid w:val="0023262A"/>
    <w:rsid w:val="002327CB"/>
    <w:rsid w:val="00232FA5"/>
    <w:rsid w:val="00233166"/>
    <w:rsid w:val="00234460"/>
    <w:rsid w:val="00234529"/>
    <w:rsid w:val="00234F1A"/>
    <w:rsid w:val="002358FE"/>
    <w:rsid w:val="002359BD"/>
    <w:rsid w:val="00235B1D"/>
    <w:rsid w:val="00235C4A"/>
    <w:rsid w:val="00236D0A"/>
    <w:rsid w:val="00236D95"/>
    <w:rsid w:val="00237D88"/>
    <w:rsid w:val="00240432"/>
    <w:rsid w:val="002408C7"/>
    <w:rsid w:val="0024221C"/>
    <w:rsid w:val="0024270A"/>
    <w:rsid w:val="00243707"/>
    <w:rsid w:val="00244610"/>
    <w:rsid w:val="00244A67"/>
    <w:rsid w:val="002452D8"/>
    <w:rsid w:val="00245DEB"/>
    <w:rsid w:val="00247806"/>
    <w:rsid w:val="00250EFB"/>
    <w:rsid w:val="00250FE3"/>
    <w:rsid w:val="002519AD"/>
    <w:rsid w:val="00252AD5"/>
    <w:rsid w:val="0025314A"/>
    <w:rsid w:val="0025347F"/>
    <w:rsid w:val="00253642"/>
    <w:rsid w:val="00253937"/>
    <w:rsid w:val="0025431D"/>
    <w:rsid w:val="002553A0"/>
    <w:rsid w:val="0025613C"/>
    <w:rsid w:val="0025667A"/>
    <w:rsid w:val="002570D3"/>
    <w:rsid w:val="00257112"/>
    <w:rsid w:val="00257D17"/>
    <w:rsid w:val="00257E51"/>
    <w:rsid w:val="00257E8E"/>
    <w:rsid w:val="00260248"/>
    <w:rsid w:val="002602D9"/>
    <w:rsid w:val="00261967"/>
    <w:rsid w:val="00262533"/>
    <w:rsid w:val="0026262B"/>
    <w:rsid w:val="00262774"/>
    <w:rsid w:val="00264085"/>
    <w:rsid w:val="0026447A"/>
    <w:rsid w:val="002647CB"/>
    <w:rsid w:val="002648F6"/>
    <w:rsid w:val="00264DD1"/>
    <w:rsid w:val="00266A6B"/>
    <w:rsid w:val="00266D31"/>
    <w:rsid w:val="00267050"/>
    <w:rsid w:val="002676E9"/>
    <w:rsid w:val="00267D10"/>
    <w:rsid w:val="00267F80"/>
    <w:rsid w:val="002702E9"/>
    <w:rsid w:val="00270A9B"/>
    <w:rsid w:val="00270B0C"/>
    <w:rsid w:val="002713B2"/>
    <w:rsid w:val="002721D5"/>
    <w:rsid w:val="0027221B"/>
    <w:rsid w:val="00274C1D"/>
    <w:rsid w:val="002769B2"/>
    <w:rsid w:val="00276ADF"/>
    <w:rsid w:val="00276BAF"/>
    <w:rsid w:val="00277958"/>
    <w:rsid w:val="00280224"/>
    <w:rsid w:val="002806E0"/>
    <w:rsid w:val="00280D43"/>
    <w:rsid w:val="00281135"/>
    <w:rsid w:val="00281D46"/>
    <w:rsid w:val="00281EAB"/>
    <w:rsid w:val="00283044"/>
    <w:rsid w:val="0028375E"/>
    <w:rsid w:val="00283BF1"/>
    <w:rsid w:val="00284164"/>
    <w:rsid w:val="00285C81"/>
    <w:rsid w:val="002864E8"/>
    <w:rsid w:val="00286E85"/>
    <w:rsid w:val="00287090"/>
    <w:rsid w:val="002903F2"/>
    <w:rsid w:val="002909BE"/>
    <w:rsid w:val="00290B3E"/>
    <w:rsid w:val="00291050"/>
    <w:rsid w:val="00291283"/>
    <w:rsid w:val="00292035"/>
    <w:rsid w:val="002943C4"/>
    <w:rsid w:val="002959AA"/>
    <w:rsid w:val="00295A55"/>
    <w:rsid w:val="00296A7B"/>
    <w:rsid w:val="002976DD"/>
    <w:rsid w:val="002A0467"/>
    <w:rsid w:val="002A0A2D"/>
    <w:rsid w:val="002A11B3"/>
    <w:rsid w:val="002A1355"/>
    <w:rsid w:val="002A3B31"/>
    <w:rsid w:val="002A3D59"/>
    <w:rsid w:val="002A496E"/>
    <w:rsid w:val="002A5B2E"/>
    <w:rsid w:val="002A5E64"/>
    <w:rsid w:val="002A624E"/>
    <w:rsid w:val="002A638C"/>
    <w:rsid w:val="002A6402"/>
    <w:rsid w:val="002A6769"/>
    <w:rsid w:val="002A6ABD"/>
    <w:rsid w:val="002A6D71"/>
    <w:rsid w:val="002A7D4A"/>
    <w:rsid w:val="002B0051"/>
    <w:rsid w:val="002B14A5"/>
    <w:rsid w:val="002B186C"/>
    <w:rsid w:val="002B24B8"/>
    <w:rsid w:val="002B30DC"/>
    <w:rsid w:val="002B3190"/>
    <w:rsid w:val="002B3569"/>
    <w:rsid w:val="002B43B2"/>
    <w:rsid w:val="002B44A7"/>
    <w:rsid w:val="002B4CDE"/>
    <w:rsid w:val="002B5004"/>
    <w:rsid w:val="002B52A7"/>
    <w:rsid w:val="002B5BC2"/>
    <w:rsid w:val="002B5D38"/>
    <w:rsid w:val="002B6956"/>
    <w:rsid w:val="002B6AC7"/>
    <w:rsid w:val="002B7197"/>
    <w:rsid w:val="002B7593"/>
    <w:rsid w:val="002B7608"/>
    <w:rsid w:val="002B78B6"/>
    <w:rsid w:val="002B7A71"/>
    <w:rsid w:val="002B7F4C"/>
    <w:rsid w:val="002C005B"/>
    <w:rsid w:val="002C00C8"/>
    <w:rsid w:val="002C1585"/>
    <w:rsid w:val="002C16EA"/>
    <w:rsid w:val="002C1AB0"/>
    <w:rsid w:val="002C24D8"/>
    <w:rsid w:val="002C28C3"/>
    <w:rsid w:val="002C2DEF"/>
    <w:rsid w:val="002C3B46"/>
    <w:rsid w:val="002C45C3"/>
    <w:rsid w:val="002C468F"/>
    <w:rsid w:val="002C4968"/>
    <w:rsid w:val="002C4C7B"/>
    <w:rsid w:val="002C5144"/>
    <w:rsid w:val="002C5726"/>
    <w:rsid w:val="002C6DA4"/>
    <w:rsid w:val="002C6F0A"/>
    <w:rsid w:val="002C7A8B"/>
    <w:rsid w:val="002D2CDF"/>
    <w:rsid w:val="002D3A3C"/>
    <w:rsid w:val="002D3DC4"/>
    <w:rsid w:val="002D4497"/>
    <w:rsid w:val="002D4A92"/>
    <w:rsid w:val="002D50A6"/>
    <w:rsid w:val="002D5567"/>
    <w:rsid w:val="002D5DB9"/>
    <w:rsid w:val="002D6115"/>
    <w:rsid w:val="002D623F"/>
    <w:rsid w:val="002D728F"/>
    <w:rsid w:val="002D7327"/>
    <w:rsid w:val="002D7457"/>
    <w:rsid w:val="002D7939"/>
    <w:rsid w:val="002D7DAD"/>
    <w:rsid w:val="002D7DE0"/>
    <w:rsid w:val="002D7F41"/>
    <w:rsid w:val="002E034E"/>
    <w:rsid w:val="002E0819"/>
    <w:rsid w:val="002E0FB6"/>
    <w:rsid w:val="002E117B"/>
    <w:rsid w:val="002E11CA"/>
    <w:rsid w:val="002E1ADA"/>
    <w:rsid w:val="002E23ED"/>
    <w:rsid w:val="002E26D3"/>
    <w:rsid w:val="002E2700"/>
    <w:rsid w:val="002E3026"/>
    <w:rsid w:val="002E371B"/>
    <w:rsid w:val="002E4553"/>
    <w:rsid w:val="002E45FD"/>
    <w:rsid w:val="002E506F"/>
    <w:rsid w:val="002E5BAB"/>
    <w:rsid w:val="002E67AF"/>
    <w:rsid w:val="002E67C4"/>
    <w:rsid w:val="002E7B9E"/>
    <w:rsid w:val="002F07C7"/>
    <w:rsid w:val="002F0F1B"/>
    <w:rsid w:val="002F16B9"/>
    <w:rsid w:val="002F23D2"/>
    <w:rsid w:val="002F3806"/>
    <w:rsid w:val="002F3BF4"/>
    <w:rsid w:val="002F497E"/>
    <w:rsid w:val="002F4A6E"/>
    <w:rsid w:val="002F4B37"/>
    <w:rsid w:val="002F5C2A"/>
    <w:rsid w:val="002F62AC"/>
    <w:rsid w:val="002F6354"/>
    <w:rsid w:val="002F651B"/>
    <w:rsid w:val="002F67B4"/>
    <w:rsid w:val="002F6E4D"/>
    <w:rsid w:val="002F6F94"/>
    <w:rsid w:val="002F73F6"/>
    <w:rsid w:val="003009EC"/>
    <w:rsid w:val="0030153A"/>
    <w:rsid w:val="00301BBC"/>
    <w:rsid w:val="00302773"/>
    <w:rsid w:val="00303B38"/>
    <w:rsid w:val="00303B5E"/>
    <w:rsid w:val="00303C47"/>
    <w:rsid w:val="00303FC6"/>
    <w:rsid w:val="00304CF3"/>
    <w:rsid w:val="00305061"/>
    <w:rsid w:val="00305F57"/>
    <w:rsid w:val="00306AC3"/>
    <w:rsid w:val="003071FF"/>
    <w:rsid w:val="00307EBF"/>
    <w:rsid w:val="003105E5"/>
    <w:rsid w:val="00310CFF"/>
    <w:rsid w:val="0031101D"/>
    <w:rsid w:val="003110AE"/>
    <w:rsid w:val="003113CC"/>
    <w:rsid w:val="00312DD8"/>
    <w:rsid w:val="00313785"/>
    <w:rsid w:val="003147B2"/>
    <w:rsid w:val="00314A68"/>
    <w:rsid w:val="0031530C"/>
    <w:rsid w:val="00315909"/>
    <w:rsid w:val="003159BB"/>
    <w:rsid w:val="00315F17"/>
    <w:rsid w:val="0031620E"/>
    <w:rsid w:val="003169E3"/>
    <w:rsid w:val="003176CC"/>
    <w:rsid w:val="0031778D"/>
    <w:rsid w:val="00317DB3"/>
    <w:rsid w:val="003204BB"/>
    <w:rsid w:val="00320E79"/>
    <w:rsid w:val="00320F71"/>
    <w:rsid w:val="00321738"/>
    <w:rsid w:val="00321C88"/>
    <w:rsid w:val="00321DEA"/>
    <w:rsid w:val="00321FEB"/>
    <w:rsid w:val="0032247F"/>
    <w:rsid w:val="00322F42"/>
    <w:rsid w:val="0032338C"/>
    <w:rsid w:val="0032380B"/>
    <w:rsid w:val="00323DD4"/>
    <w:rsid w:val="00323FF6"/>
    <w:rsid w:val="00325F77"/>
    <w:rsid w:val="003261CF"/>
    <w:rsid w:val="00326FD2"/>
    <w:rsid w:val="003278AB"/>
    <w:rsid w:val="00330B51"/>
    <w:rsid w:val="00332165"/>
    <w:rsid w:val="00332533"/>
    <w:rsid w:val="00332BB0"/>
    <w:rsid w:val="00332F16"/>
    <w:rsid w:val="00333D3D"/>
    <w:rsid w:val="0033432B"/>
    <w:rsid w:val="003343FD"/>
    <w:rsid w:val="003349C9"/>
    <w:rsid w:val="0033693C"/>
    <w:rsid w:val="00336C9C"/>
    <w:rsid w:val="00337076"/>
    <w:rsid w:val="003371E9"/>
    <w:rsid w:val="003377E1"/>
    <w:rsid w:val="00337B6B"/>
    <w:rsid w:val="00337E48"/>
    <w:rsid w:val="00340192"/>
    <w:rsid w:val="00341F44"/>
    <w:rsid w:val="00342AD4"/>
    <w:rsid w:val="00343261"/>
    <w:rsid w:val="003435D5"/>
    <w:rsid w:val="003447C3"/>
    <w:rsid w:val="00344B23"/>
    <w:rsid w:val="00344ED0"/>
    <w:rsid w:val="00345892"/>
    <w:rsid w:val="0034594D"/>
    <w:rsid w:val="0034596F"/>
    <w:rsid w:val="00346147"/>
    <w:rsid w:val="003461DF"/>
    <w:rsid w:val="00346A4A"/>
    <w:rsid w:val="00346C53"/>
    <w:rsid w:val="00347BC2"/>
    <w:rsid w:val="00350CF7"/>
    <w:rsid w:val="00351D69"/>
    <w:rsid w:val="00352039"/>
    <w:rsid w:val="00352150"/>
    <w:rsid w:val="0035251B"/>
    <w:rsid w:val="00352C22"/>
    <w:rsid w:val="0035326D"/>
    <w:rsid w:val="003532D8"/>
    <w:rsid w:val="00353E02"/>
    <w:rsid w:val="003546E2"/>
    <w:rsid w:val="00354A20"/>
    <w:rsid w:val="00355341"/>
    <w:rsid w:val="003556F5"/>
    <w:rsid w:val="003568E3"/>
    <w:rsid w:val="003568EF"/>
    <w:rsid w:val="003569A0"/>
    <w:rsid w:val="00357395"/>
    <w:rsid w:val="0036018B"/>
    <w:rsid w:val="00361000"/>
    <w:rsid w:val="0036145C"/>
    <w:rsid w:val="00361475"/>
    <w:rsid w:val="003618B8"/>
    <w:rsid w:val="003622D6"/>
    <w:rsid w:val="00362706"/>
    <w:rsid w:val="00362B9F"/>
    <w:rsid w:val="00363533"/>
    <w:rsid w:val="00363E28"/>
    <w:rsid w:val="003648C1"/>
    <w:rsid w:val="003655B7"/>
    <w:rsid w:val="003666D9"/>
    <w:rsid w:val="003673ED"/>
    <w:rsid w:val="00367FC3"/>
    <w:rsid w:val="00370071"/>
    <w:rsid w:val="003702DF"/>
    <w:rsid w:val="0037147A"/>
    <w:rsid w:val="00371CD5"/>
    <w:rsid w:val="00371F45"/>
    <w:rsid w:val="003720E9"/>
    <w:rsid w:val="00372C61"/>
    <w:rsid w:val="00373A8C"/>
    <w:rsid w:val="00373AC2"/>
    <w:rsid w:val="00373B08"/>
    <w:rsid w:val="00376448"/>
    <w:rsid w:val="00376756"/>
    <w:rsid w:val="003774A7"/>
    <w:rsid w:val="00377627"/>
    <w:rsid w:val="00377781"/>
    <w:rsid w:val="0038050E"/>
    <w:rsid w:val="0038137D"/>
    <w:rsid w:val="003814B3"/>
    <w:rsid w:val="003814C1"/>
    <w:rsid w:val="003822C7"/>
    <w:rsid w:val="00383596"/>
    <w:rsid w:val="00383A74"/>
    <w:rsid w:val="00383BCA"/>
    <w:rsid w:val="0038416E"/>
    <w:rsid w:val="003845DE"/>
    <w:rsid w:val="00384836"/>
    <w:rsid w:val="00386F60"/>
    <w:rsid w:val="00387E43"/>
    <w:rsid w:val="003904FD"/>
    <w:rsid w:val="00390513"/>
    <w:rsid w:val="00390E82"/>
    <w:rsid w:val="0039123B"/>
    <w:rsid w:val="003927CF"/>
    <w:rsid w:val="003934FC"/>
    <w:rsid w:val="0039389C"/>
    <w:rsid w:val="00393C1B"/>
    <w:rsid w:val="00393E1E"/>
    <w:rsid w:val="003940A2"/>
    <w:rsid w:val="003940FC"/>
    <w:rsid w:val="0039464C"/>
    <w:rsid w:val="00395CFD"/>
    <w:rsid w:val="003964D3"/>
    <w:rsid w:val="00396737"/>
    <w:rsid w:val="00397727"/>
    <w:rsid w:val="003A01CA"/>
    <w:rsid w:val="003A03B3"/>
    <w:rsid w:val="003A0938"/>
    <w:rsid w:val="003A0ECE"/>
    <w:rsid w:val="003A12AB"/>
    <w:rsid w:val="003A28CE"/>
    <w:rsid w:val="003A2E8A"/>
    <w:rsid w:val="003A4C6E"/>
    <w:rsid w:val="003A55BC"/>
    <w:rsid w:val="003A6AF0"/>
    <w:rsid w:val="003A6C76"/>
    <w:rsid w:val="003A6DFA"/>
    <w:rsid w:val="003A703A"/>
    <w:rsid w:val="003A71A0"/>
    <w:rsid w:val="003A759B"/>
    <w:rsid w:val="003A7899"/>
    <w:rsid w:val="003A7C7C"/>
    <w:rsid w:val="003B1B00"/>
    <w:rsid w:val="003B1B9F"/>
    <w:rsid w:val="003B3229"/>
    <w:rsid w:val="003B3572"/>
    <w:rsid w:val="003B3B11"/>
    <w:rsid w:val="003B3BA8"/>
    <w:rsid w:val="003B3CAF"/>
    <w:rsid w:val="003B3CEE"/>
    <w:rsid w:val="003B3F53"/>
    <w:rsid w:val="003B4612"/>
    <w:rsid w:val="003B6A5B"/>
    <w:rsid w:val="003B6F6A"/>
    <w:rsid w:val="003C036C"/>
    <w:rsid w:val="003C05BD"/>
    <w:rsid w:val="003C1B61"/>
    <w:rsid w:val="003C1D09"/>
    <w:rsid w:val="003C2841"/>
    <w:rsid w:val="003C35BD"/>
    <w:rsid w:val="003C4621"/>
    <w:rsid w:val="003C498E"/>
    <w:rsid w:val="003C5F16"/>
    <w:rsid w:val="003C6183"/>
    <w:rsid w:val="003C625A"/>
    <w:rsid w:val="003C6E25"/>
    <w:rsid w:val="003C7556"/>
    <w:rsid w:val="003D06DB"/>
    <w:rsid w:val="003D0FCB"/>
    <w:rsid w:val="003D112A"/>
    <w:rsid w:val="003D12DC"/>
    <w:rsid w:val="003D1945"/>
    <w:rsid w:val="003D1D68"/>
    <w:rsid w:val="003D31D1"/>
    <w:rsid w:val="003D3978"/>
    <w:rsid w:val="003D39A1"/>
    <w:rsid w:val="003D3D12"/>
    <w:rsid w:val="003D4751"/>
    <w:rsid w:val="003D4BF3"/>
    <w:rsid w:val="003D51BB"/>
    <w:rsid w:val="003D535D"/>
    <w:rsid w:val="003D5CC5"/>
    <w:rsid w:val="003D664B"/>
    <w:rsid w:val="003E0306"/>
    <w:rsid w:val="003E07F2"/>
    <w:rsid w:val="003E0BAB"/>
    <w:rsid w:val="003E0F31"/>
    <w:rsid w:val="003E1334"/>
    <w:rsid w:val="003E16AD"/>
    <w:rsid w:val="003E366B"/>
    <w:rsid w:val="003E4263"/>
    <w:rsid w:val="003E462C"/>
    <w:rsid w:val="003E5CD8"/>
    <w:rsid w:val="003E5D07"/>
    <w:rsid w:val="003E6110"/>
    <w:rsid w:val="003E69DD"/>
    <w:rsid w:val="003E6AC5"/>
    <w:rsid w:val="003E6D3F"/>
    <w:rsid w:val="003E70E9"/>
    <w:rsid w:val="003E7945"/>
    <w:rsid w:val="003E7D7C"/>
    <w:rsid w:val="003E7F89"/>
    <w:rsid w:val="003F0186"/>
    <w:rsid w:val="003F05F7"/>
    <w:rsid w:val="003F0701"/>
    <w:rsid w:val="003F0F5B"/>
    <w:rsid w:val="003F15A9"/>
    <w:rsid w:val="003F1FAA"/>
    <w:rsid w:val="003F2432"/>
    <w:rsid w:val="003F25FE"/>
    <w:rsid w:val="003F26D4"/>
    <w:rsid w:val="003F27FE"/>
    <w:rsid w:val="003F3954"/>
    <w:rsid w:val="003F4540"/>
    <w:rsid w:val="003F554A"/>
    <w:rsid w:val="003F58E6"/>
    <w:rsid w:val="003F6478"/>
    <w:rsid w:val="003F6F0F"/>
    <w:rsid w:val="003F775D"/>
    <w:rsid w:val="003F7E22"/>
    <w:rsid w:val="004008E4"/>
    <w:rsid w:val="00400C38"/>
    <w:rsid w:val="00401839"/>
    <w:rsid w:val="00401E64"/>
    <w:rsid w:val="00401FA9"/>
    <w:rsid w:val="004024AD"/>
    <w:rsid w:val="00402C98"/>
    <w:rsid w:val="004030CA"/>
    <w:rsid w:val="0040360B"/>
    <w:rsid w:val="004041C6"/>
    <w:rsid w:val="004042CD"/>
    <w:rsid w:val="004049D9"/>
    <w:rsid w:val="00404B97"/>
    <w:rsid w:val="004055EF"/>
    <w:rsid w:val="00405C31"/>
    <w:rsid w:val="0040606B"/>
    <w:rsid w:val="00406764"/>
    <w:rsid w:val="00406A12"/>
    <w:rsid w:val="00406D2F"/>
    <w:rsid w:val="00407B25"/>
    <w:rsid w:val="0041073A"/>
    <w:rsid w:val="0041183D"/>
    <w:rsid w:val="004118E1"/>
    <w:rsid w:val="004124EF"/>
    <w:rsid w:val="00414723"/>
    <w:rsid w:val="00414A2F"/>
    <w:rsid w:val="00414CED"/>
    <w:rsid w:val="0041514B"/>
    <w:rsid w:val="00415204"/>
    <w:rsid w:val="00415205"/>
    <w:rsid w:val="00415F03"/>
    <w:rsid w:val="00416244"/>
    <w:rsid w:val="0041631E"/>
    <w:rsid w:val="004163B6"/>
    <w:rsid w:val="004166F6"/>
    <w:rsid w:val="00417F55"/>
    <w:rsid w:val="0042001D"/>
    <w:rsid w:val="0042007A"/>
    <w:rsid w:val="0042093B"/>
    <w:rsid w:val="00420D55"/>
    <w:rsid w:val="00420F04"/>
    <w:rsid w:val="00421CAA"/>
    <w:rsid w:val="00422B9A"/>
    <w:rsid w:val="0042302E"/>
    <w:rsid w:val="00423FC6"/>
    <w:rsid w:val="00426895"/>
    <w:rsid w:val="004270D7"/>
    <w:rsid w:val="004271F1"/>
    <w:rsid w:val="004277F1"/>
    <w:rsid w:val="00427A0F"/>
    <w:rsid w:val="00427EBE"/>
    <w:rsid w:val="00430252"/>
    <w:rsid w:val="004306A9"/>
    <w:rsid w:val="00430D9F"/>
    <w:rsid w:val="00430FD0"/>
    <w:rsid w:val="004311D2"/>
    <w:rsid w:val="0043173E"/>
    <w:rsid w:val="00431AE9"/>
    <w:rsid w:val="00432692"/>
    <w:rsid w:val="00432DF7"/>
    <w:rsid w:val="00433E91"/>
    <w:rsid w:val="004345C7"/>
    <w:rsid w:val="00434E45"/>
    <w:rsid w:val="00436034"/>
    <w:rsid w:val="004363D2"/>
    <w:rsid w:val="00437E2B"/>
    <w:rsid w:val="0044238F"/>
    <w:rsid w:val="00442574"/>
    <w:rsid w:val="004425A8"/>
    <w:rsid w:val="00442A82"/>
    <w:rsid w:val="00442C30"/>
    <w:rsid w:val="00442FC7"/>
    <w:rsid w:val="00443158"/>
    <w:rsid w:val="0044329F"/>
    <w:rsid w:val="00443830"/>
    <w:rsid w:val="00443BE1"/>
    <w:rsid w:val="00443CCA"/>
    <w:rsid w:val="0044414C"/>
    <w:rsid w:val="004448A9"/>
    <w:rsid w:val="0044497C"/>
    <w:rsid w:val="00444A2D"/>
    <w:rsid w:val="00445D5D"/>
    <w:rsid w:val="004467AC"/>
    <w:rsid w:val="00447D59"/>
    <w:rsid w:val="00447EA5"/>
    <w:rsid w:val="00450297"/>
    <w:rsid w:val="0045061D"/>
    <w:rsid w:val="00450ADD"/>
    <w:rsid w:val="00451001"/>
    <w:rsid w:val="00451301"/>
    <w:rsid w:val="00452B58"/>
    <w:rsid w:val="00453E08"/>
    <w:rsid w:val="00453FBD"/>
    <w:rsid w:val="004549C2"/>
    <w:rsid w:val="004551C6"/>
    <w:rsid w:val="004555DD"/>
    <w:rsid w:val="004565F7"/>
    <w:rsid w:val="00457871"/>
    <w:rsid w:val="00457C84"/>
    <w:rsid w:val="00457EFC"/>
    <w:rsid w:val="00460106"/>
    <w:rsid w:val="004606CF"/>
    <w:rsid w:val="00460770"/>
    <w:rsid w:val="00460E05"/>
    <w:rsid w:val="00461615"/>
    <w:rsid w:val="0046337F"/>
    <w:rsid w:val="004653A4"/>
    <w:rsid w:val="00467477"/>
    <w:rsid w:val="004676CF"/>
    <w:rsid w:val="004703CF"/>
    <w:rsid w:val="004709E0"/>
    <w:rsid w:val="00470CEB"/>
    <w:rsid w:val="0047103E"/>
    <w:rsid w:val="004715C4"/>
    <w:rsid w:val="0047162F"/>
    <w:rsid w:val="0047168D"/>
    <w:rsid w:val="00471A4A"/>
    <w:rsid w:val="0047211C"/>
    <w:rsid w:val="004725A9"/>
    <w:rsid w:val="00472BC4"/>
    <w:rsid w:val="0047307A"/>
    <w:rsid w:val="00473961"/>
    <w:rsid w:val="00473D2A"/>
    <w:rsid w:val="00473D49"/>
    <w:rsid w:val="00474516"/>
    <w:rsid w:val="004749DA"/>
    <w:rsid w:val="004765DC"/>
    <w:rsid w:val="00477222"/>
    <w:rsid w:val="004772E6"/>
    <w:rsid w:val="00477E77"/>
    <w:rsid w:val="004826AB"/>
    <w:rsid w:val="004832B7"/>
    <w:rsid w:val="00483371"/>
    <w:rsid w:val="00483B08"/>
    <w:rsid w:val="00483D77"/>
    <w:rsid w:val="004841B0"/>
    <w:rsid w:val="0048457C"/>
    <w:rsid w:val="00484B2B"/>
    <w:rsid w:val="00484B5F"/>
    <w:rsid w:val="00485573"/>
    <w:rsid w:val="004871C1"/>
    <w:rsid w:val="00487F1C"/>
    <w:rsid w:val="00487FEF"/>
    <w:rsid w:val="00492C92"/>
    <w:rsid w:val="00492F07"/>
    <w:rsid w:val="00493389"/>
    <w:rsid w:val="004934AF"/>
    <w:rsid w:val="00493B1D"/>
    <w:rsid w:val="0049404F"/>
    <w:rsid w:val="00494C28"/>
    <w:rsid w:val="00494FFB"/>
    <w:rsid w:val="00495887"/>
    <w:rsid w:val="00496A94"/>
    <w:rsid w:val="00496B81"/>
    <w:rsid w:val="00496BF4"/>
    <w:rsid w:val="00496FA1"/>
    <w:rsid w:val="0049770E"/>
    <w:rsid w:val="004A057F"/>
    <w:rsid w:val="004A0E84"/>
    <w:rsid w:val="004A1EB1"/>
    <w:rsid w:val="004A1FAF"/>
    <w:rsid w:val="004A2A05"/>
    <w:rsid w:val="004A30B8"/>
    <w:rsid w:val="004A34D2"/>
    <w:rsid w:val="004A5311"/>
    <w:rsid w:val="004A6799"/>
    <w:rsid w:val="004A67E2"/>
    <w:rsid w:val="004A69AD"/>
    <w:rsid w:val="004A6C78"/>
    <w:rsid w:val="004A7732"/>
    <w:rsid w:val="004A7783"/>
    <w:rsid w:val="004A7F27"/>
    <w:rsid w:val="004B0F18"/>
    <w:rsid w:val="004B1C8C"/>
    <w:rsid w:val="004B1FA1"/>
    <w:rsid w:val="004B278B"/>
    <w:rsid w:val="004B3092"/>
    <w:rsid w:val="004B3690"/>
    <w:rsid w:val="004B444E"/>
    <w:rsid w:val="004B5088"/>
    <w:rsid w:val="004B559A"/>
    <w:rsid w:val="004B5759"/>
    <w:rsid w:val="004B5EBF"/>
    <w:rsid w:val="004B6EE8"/>
    <w:rsid w:val="004B7342"/>
    <w:rsid w:val="004B776C"/>
    <w:rsid w:val="004C0001"/>
    <w:rsid w:val="004C0165"/>
    <w:rsid w:val="004C0DBC"/>
    <w:rsid w:val="004C1151"/>
    <w:rsid w:val="004C17A2"/>
    <w:rsid w:val="004C2077"/>
    <w:rsid w:val="004C2246"/>
    <w:rsid w:val="004C2611"/>
    <w:rsid w:val="004C3624"/>
    <w:rsid w:val="004C395F"/>
    <w:rsid w:val="004C40D8"/>
    <w:rsid w:val="004C41D3"/>
    <w:rsid w:val="004C4CDC"/>
    <w:rsid w:val="004C5497"/>
    <w:rsid w:val="004C5B38"/>
    <w:rsid w:val="004C662F"/>
    <w:rsid w:val="004C74C7"/>
    <w:rsid w:val="004D0FDB"/>
    <w:rsid w:val="004D110C"/>
    <w:rsid w:val="004D12C6"/>
    <w:rsid w:val="004D1759"/>
    <w:rsid w:val="004D1D88"/>
    <w:rsid w:val="004D2B98"/>
    <w:rsid w:val="004D2BD8"/>
    <w:rsid w:val="004D31E2"/>
    <w:rsid w:val="004D3595"/>
    <w:rsid w:val="004D3622"/>
    <w:rsid w:val="004D3BE5"/>
    <w:rsid w:val="004D3C23"/>
    <w:rsid w:val="004D4397"/>
    <w:rsid w:val="004D47E4"/>
    <w:rsid w:val="004D492B"/>
    <w:rsid w:val="004D4AA6"/>
    <w:rsid w:val="004D5B88"/>
    <w:rsid w:val="004D63B7"/>
    <w:rsid w:val="004E01D6"/>
    <w:rsid w:val="004E0323"/>
    <w:rsid w:val="004E0724"/>
    <w:rsid w:val="004E0834"/>
    <w:rsid w:val="004E10E4"/>
    <w:rsid w:val="004E115A"/>
    <w:rsid w:val="004E15FF"/>
    <w:rsid w:val="004E1E4C"/>
    <w:rsid w:val="004E49F9"/>
    <w:rsid w:val="004E4B71"/>
    <w:rsid w:val="004E6C14"/>
    <w:rsid w:val="004E7359"/>
    <w:rsid w:val="004F026C"/>
    <w:rsid w:val="004F0642"/>
    <w:rsid w:val="004F16D0"/>
    <w:rsid w:val="004F3BF9"/>
    <w:rsid w:val="004F41A5"/>
    <w:rsid w:val="004F4A94"/>
    <w:rsid w:val="004F5564"/>
    <w:rsid w:val="004F675A"/>
    <w:rsid w:val="004F76B6"/>
    <w:rsid w:val="00500739"/>
    <w:rsid w:val="0050105C"/>
    <w:rsid w:val="00502812"/>
    <w:rsid w:val="00502AD3"/>
    <w:rsid w:val="00502E60"/>
    <w:rsid w:val="00502F3A"/>
    <w:rsid w:val="00502F43"/>
    <w:rsid w:val="00503257"/>
    <w:rsid w:val="00503261"/>
    <w:rsid w:val="005046F1"/>
    <w:rsid w:val="005057D2"/>
    <w:rsid w:val="00505B19"/>
    <w:rsid w:val="00505EF6"/>
    <w:rsid w:val="0050606E"/>
    <w:rsid w:val="005066BA"/>
    <w:rsid w:val="005100FD"/>
    <w:rsid w:val="005102DF"/>
    <w:rsid w:val="00510C24"/>
    <w:rsid w:val="00510F44"/>
    <w:rsid w:val="00511C3B"/>
    <w:rsid w:val="005127FB"/>
    <w:rsid w:val="00512ABF"/>
    <w:rsid w:val="0051385F"/>
    <w:rsid w:val="00513F0F"/>
    <w:rsid w:val="005141E1"/>
    <w:rsid w:val="00514931"/>
    <w:rsid w:val="005149E2"/>
    <w:rsid w:val="005165CD"/>
    <w:rsid w:val="00517184"/>
    <w:rsid w:val="005209CB"/>
    <w:rsid w:val="00520A56"/>
    <w:rsid w:val="005215D4"/>
    <w:rsid w:val="00522508"/>
    <w:rsid w:val="00523E9E"/>
    <w:rsid w:val="00524131"/>
    <w:rsid w:val="00524A6D"/>
    <w:rsid w:val="00525810"/>
    <w:rsid w:val="005300CF"/>
    <w:rsid w:val="00530671"/>
    <w:rsid w:val="005308A4"/>
    <w:rsid w:val="00530EB0"/>
    <w:rsid w:val="00530FE0"/>
    <w:rsid w:val="00531382"/>
    <w:rsid w:val="00531858"/>
    <w:rsid w:val="005344EE"/>
    <w:rsid w:val="00534814"/>
    <w:rsid w:val="00536B85"/>
    <w:rsid w:val="0053774D"/>
    <w:rsid w:val="00540148"/>
    <w:rsid w:val="00540F95"/>
    <w:rsid w:val="00541213"/>
    <w:rsid w:val="00541AA5"/>
    <w:rsid w:val="00542570"/>
    <w:rsid w:val="005425D7"/>
    <w:rsid w:val="00542B53"/>
    <w:rsid w:val="0054303B"/>
    <w:rsid w:val="005447BD"/>
    <w:rsid w:val="0054565B"/>
    <w:rsid w:val="005458DC"/>
    <w:rsid w:val="00546218"/>
    <w:rsid w:val="005464F7"/>
    <w:rsid w:val="00547078"/>
    <w:rsid w:val="005505F9"/>
    <w:rsid w:val="00550A4F"/>
    <w:rsid w:val="00550A89"/>
    <w:rsid w:val="005510C4"/>
    <w:rsid w:val="00551228"/>
    <w:rsid w:val="005512E7"/>
    <w:rsid w:val="005515F8"/>
    <w:rsid w:val="00551BED"/>
    <w:rsid w:val="005529BF"/>
    <w:rsid w:val="00552A2E"/>
    <w:rsid w:val="00552BD7"/>
    <w:rsid w:val="005533E1"/>
    <w:rsid w:val="00553750"/>
    <w:rsid w:val="00555B18"/>
    <w:rsid w:val="005571C4"/>
    <w:rsid w:val="0055741B"/>
    <w:rsid w:val="00560A3B"/>
    <w:rsid w:val="0056113C"/>
    <w:rsid w:val="005613D4"/>
    <w:rsid w:val="00561999"/>
    <w:rsid w:val="005619F7"/>
    <w:rsid w:val="00561D83"/>
    <w:rsid w:val="00562542"/>
    <w:rsid w:val="00562765"/>
    <w:rsid w:val="00562ABA"/>
    <w:rsid w:val="00562B18"/>
    <w:rsid w:val="00562D40"/>
    <w:rsid w:val="005637CE"/>
    <w:rsid w:val="0056381F"/>
    <w:rsid w:val="00563999"/>
    <w:rsid w:val="00564A8B"/>
    <w:rsid w:val="00564EAE"/>
    <w:rsid w:val="005657DD"/>
    <w:rsid w:val="00565DA0"/>
    <w:rsid w:val="0056655C"/>
    <w:rsid w:val="0056668B"/>
    <w:rsid w:val="0056796D"/>
    <w:rsid w:val="00570F43"/>
    <w:rsid w:val="005718FF"/>
    <w:rsid w:val="00572006"/>
    <w:rsid w:val="00572489"/>
    <w:rsid w:val="00572931"/>
    <w:rsid w:val="00572AE3"/>
    <w:rsid w:val="005730F0"/>
    <w:rsid w:val="00573FCC"/>
    <w:rsid w:val="0057489C"/>
    <w:rsid w:val="00574CF4"/>
    <w:rsid w:val="005753A9"/>
    <w:rsid w:val="005753F8"/>
    <w:rsid w:val="0057559C"/>
    <w:rsid w:val="005757ED"/>
    <w:rsid w:val="005760AB"/>
    <w:rsid w:val="00576AEE"/>
    <w:rsid w:val="00576C98"/>
    <w:rsid w:val="00580657"/>
    <w:rsid w:val="00580D0F"/>
    <w:rsid w:val="00580D46"/>
    <w:rsid w:val="00580D55"/>
    <w:rsid w:val="00580F00"/>
    <w:rsid w:val="005812D9"/>
    <w:rsid w:val="005819BD"/>
    <w:rsid w:val="00582044"/>
    <w:rsid w:val="00582832"/>
    <w:rsid w:val="005828E7"/>
    <w:rsid w:val="00582E2B"/>
    <w:rsid w:val="00583199"/>
    <w:rsid w:val="00583843"/>
    <w:rsid w:val="00583A0F"/>
    <w:rsid w:val="00583E58"/>
    <w:rsid w:val="00583F01"/>
    <w:rsid w:val="00583FFF"/>
    <w:rsid w:val="00584BE9"/>
    <w:rsid w:val="005859A5"/>
    <w:rsid w:val="005863E7"/>
    <w:rsid w:val="00586725"/>
    <w:rsid w:val="00586C54"/>
    <w:rsid w:val="005872F4"/>
    <w:rsid w:val="0059035C"/>
    <w:rsid w:val="005906DA"/>
    <w:rsid w:val="005912BE"/>
    <w:rsid w:val="00591360"/>
    <w:rsid w:val="005918A2"/>
    <w:rsid w:val="005927AA"/>
    <w:rsid w:val="00593A23"/>
    <w:rsid w:val="00593BC3"/>
    <w:rsid w:val="00593C2D"/>
    <w:rsid w:val="00594CB4"/>
    <w:rsid w:val="0059526E"/>
    <w:rsid w:val="0059549A"/>
    <w:rsid w:val="005954DB"/>
    <w:rsid w:val="00595EF9"/>
    <w:rsid w:val="0059636B"/>
    <w:rsid w:val="005964CD"/>
    <w:rsid w:val="00596709"/>
    <w:rsid w:val="00596830"/>
    <w:rsid w:val="00597019"/>
    <w:rsid w:val="005971DE"/>
    <w:rsid w:val="00597BD6"/>
    <w:rsid w:val="005A015A"/>
    <w:rsid w:val="005A03BD"/>
    <w:rsid w:val="005A071D"/>
    <w:rsid w:val="005A074D"/>
    <w:rsid w:val="005A07AC"/>
    <w:rsid w:val="005A09F8"/>
    <w:rsid w:val="005A0A1C"/>
    <w:rsid w:val="005A0A3F"/>
    <w:rsid w:val="005A0A91"/>
    <w:rsid w:val="005A1731"/>
    <w:rsid w:val="005A2233"/>
    <w:rsid w:val="005A26A5"/>
    <w:rsid w:val="005A3B81"/>
    <w:rsid w:val="005A467F"/>
    <w:rsid w:val="005A5564"/>
    <w:rsid w:val="005A5805"/>
    <w:rsid w:val="005A5872"/>
    <w:rsid w:val="005A5EA4"/>
    <w:rsid w:val="005A5FA1"/>
    <w:rsid w:val="005A6421"/>
    <w:rsid w:val="005A74BF"/>
    <w:rsid w:val="005B07B7"/>
    <w:rsid w:val="005B111E"/>
    <w:rsid w:val="005B115B"/>
    <w:rsid w:val="005B2116"/>
    <w:rsid w:val="005B2A57"/>
    <w:rsid w:val="005B3E11"/>
    <w:rsid w:val="005B4049"/>
    <w:rsid w:val="005B405D"/>
    <w:rsid w:val="005B52F7"/>
    <w:rsid w:val="005B53E9"/>
    <w:rsid w:val="005B69E2"/>
    <w:rsid w:val="005B6BEE"/>
    <w:rsid w:val="005B758B"/>
    <w:rsid w:val="005B7FCC"/>
    <w:rsid w:val="005C0744"/>
    <w:rsid w:val="005C0753"/>
    <w:rsid w:val="005C0AA1"/>
    <w:rsid w:val="005C0ED6"/>
    <w:rsid w:val="005C18CA"/>
    <w:rsid w:val="005C53BD"/>
    <w:rsid w:val="005C5A6E"/>
    <w:rsid w:val="005C68FC"/>
    <w:rsid w:val="005C72E8"/>
    <w:rsid w:val="005C7B23"/>
    <w:rsid w:val="005D0185"/>
    <w:rsid w:val="005D0919"/>
    <w:rsid w:val="005D10D7"/>
    <w:rsid w:val="005D1375"/>
    <w:rsid w:val="005D162D"/>
    <w:rsid w:val="005D1779"/>
    <w:rsid w:val="005D1D0D"/>
    <w:rsid w:val="005D21E9"/>
    <w:rsid w:val="005D223F"/>
    <w:rsid w:val="005D2249"/>
    <w:rsid w:val="005D22FA"/>
    <w:rsid w:val="005D234F"/>
    <w:rsid w:val="005D2866"/>
    <w:rsid w:val="005D3366"/>
    <w:rsid w:val="005D3DBD"/>
    <w:rsid w:val="005D44B8"/>
    <w:rsid w:val="005D4950"/>
    <w:rsid w:val="005D50A8"/>
    <w:rsid w:val="005D587A"/>
    <w:rsid w:val="005D6479"/>
    <w:rsid w:val="005D7016"/>
    <w:rsid w:val="005E08B8"/>
    <w:rsid w:val="005E1DD6"/>
    <w:rsid w:val="005E1FA1"/>
    <w:rsid w:val="005E24C3"/>
    <w:rsid w:val="005E29AD"/>
    <w:rsid w:val="005E2E77"/>
    <w:rsid w:val="005E2FA8"/>
    <w:rsid w:val="005E379A"/>
    <w:rsid w:val="005E3848"/>
    <w:rsid w:val="005E3DFD"/>
    <w:rsid w:val="005E4846"/>
    <w:rsid w:val="005E4A32"/>
    <w:rsid w:val="005E5A2E"/>
    <w:rsid w:val="005E5C9B"/>
    <w:rsid w:val="005E6AA4"/>
    <w:rsid w:val="005E7747"/>
    <w:rsid w:val="005E7E3D"/>
    <w:rsid w:val="005F1096"/>
    <w:rsid w:val="005F1C91"/>
    <w:rsid w:val="005F20D2"/>
    <w:rsid w:val="005F23C3"/>
    <w:rsid w:val="005F2921"/>
    <w:rsid w:val="005F2C63"/>
    <w:rsid w:val="005F33C1"/>
    <w:rsid w:val="005F33ED"/>
    <w:rsid w:val="005F3799"/>
    <w:rsid w:val="005F385B"/>
    <w:rsid w:val="005F4074"/>
    <w:rsid w:val="005F4A5B"/>
    <w:rsid w:val="005F5A5D"/>
    <w:rsid w:val="005F5B06"/>
    <w:rsid w:val="005F6EBA"/>
    <w:rsid w:val="005F6F58"/>
    <w:rsid w:val="005F793F"/>
    <w:rsid w:val="005F794B"/>
    <w:rsid w:val="00601A9A"/>
    <w:rsid w:val="00601C16"/>
    <w:rsid w:val="00601D09"/>
    <w:rsid w:val="006028B7"/>
    <w:rsid w:val="00602D3D"/>
    <w:rsid w:val="006032A5"/>
    <w:rsid w:val="00603432"/>
    <w:rsid w:val="006039EF"/>
    <w:rsid w:val="00603AC0"/>
    <w:rsid w:val="00604147"/>
    <w:rsid w:val="00604A5C"/>
    <w:rsid w:val="00604D9C"/>
    <w:rsid w:val="0060549E"/>
    <w:rsid w:val="00605533"/>
    <w:rsid w:val="00606F04"/>
    <w:rsid w:val="006070BD"/>
    <w:rsid w:val="006102F0"/>
    <w:rsid w:val="006126DF"/>
    <w:rsid w:val="006134A9"/>
    <w:rsid w:val="006136A6"/>
    <w:rsid w:val="00614374"/>
    <w:rsid w:val="00614D2D"/>
    <w:rsid w:val="006151F2"/>
    <w:rsid w:val="00615602"/>
    <w:rsid w:val="00615B91"/>
    <w:rsid w:val="006161FC"/>
    <w:rsid w:val="00616327"/>
    <w:rsid w:val="00616B01"/>
    <w:rsid w:val="00616BA3"/>
    <w:rsid w:val="00617715"/>
    <w:rsid w:val="00617C93"/>
    <w:rsid w:val="00617D36"/>
    <w:rsid w:val="006202AC"/>
    <w:rsid w:val="0062067E"/>
    <w:rsid w:val="00620770"/>
    <w:rsid w:val="00623B72"/>
    <w:rsid w:val="00623D1E"/>
    <w:rsid w:val="0062487F"/>
    <w:rsid w:val="00624A2D"/>
    <w:rsid w:val="00624B69"/>
    <w:rsid w:val="00625D10"/>
    <w:rsid w:val="00630679"/>
    <w:rsid w:val="006312A6"/>
    <w:rsid w:val="00631493"/>
    <w:rsid w:val="00631639"/>
    <w:rsid w:val="00632E03"/>
    <w:rsid w:val="00633124"/>
    <w:rsid w:val="006331FE"/>
    <w:rsid w:val="00633A35"/>
    <w:rsid w:val="00634656"/>
    <w:rsid w:val="00634D8C"/>
    <w:rsid w:val="00636EAE"/>
    <w:rsid w:val="00637112"/>
    <w:rsid w:val="0063721F"/>
    <w:rsid w:val="00637394"/>
    <w:rsid w:val="00637CF5"/>
    <w:rsid w:val="006403D4"/>
    <w:rsid w:val="00640FD2"/>
    <w:rsid w:val="006419F7"/>
    <w:rsid w:val="00642905"/>
    <w:rsid w:val="00642959"/>
    <w:rsid w:val="0064391F"/>
    <w:rsid w:val="00643D47"/>
    <w:rsid w:val="00643E94"/>
    <w:rsid w:val="00644128"/>
    <w:rsid w:val="006442A1"/>
    <w:rsid w:val="00644D6E"/>
    <w:rsid w:val="00644DFB"/>
    <w:rsid w:val="00644EE6"/>
    <w:rsid w:val="0064521C"/>
    <w:rsid w:val="006455CB"/>
    <w:rsid w:val="00646DDD"/>
    <w:rsid w:val="00647538"/>
    <w:rsid w:val="00647B0F"/>
    <w:rsid w:val="00647F84"/>
    <w:rsid w:val="0065065A"/>
    <w:rsid w:val="006506C5"/>
    <w:rsid w:val="006507A1"/>
    <w:rsid w:val="006539EC"/>
    <w:rsid w:val="00653EE5"/>
    <w:rsid w:val="00654055"/>
    <w:rsid w:val="00654C75"/>
    <w:rsid w:val="0065515A"/>
    <w:rsid w:val="006552BD"/>
    <w:rsid w:val="006554F6"/>
    <w:rsid w:val="00655AEE"/>
    <w:rsid w:val="00655C0B"/>
    <w:rsid w:val="006563A2"/>
    <w:rsid w:val="00656959"/>
    <w:rsid w:val="00656D2F"/>
    <w:rsid w:val="00657105"/>
    <w:rsid w:val="0065717C"/>
    <w:rsid w:val="00657808"/>
    <w:rsid w:val="0066010B"/>
    <w:rsid w:val="0066049C"/>
    <w:rsid w:val="006606E7"/>
    <w:rsid w:val="006614DD"/>
    <w:rsid w:val="00661EC3"/>
    <w:rsid w:val="00662BAD"/>
    <w:rsid w:val="00662D1A"/>
    <w:rsid w:val="00662FB3"/>
    <w:rsid w:val="0066363A"/>
    <w:rsid w:val="0066371F"/>
    <w:rsid w:val="00663979"/>
    <w:rsid w:val="00663F9E"/>
    <w:rsid w:val="00664B6E"/>
    <w:rsid w:val="0066500C"/>
    <w:rsid w:val="006657CD"/>
    <w:rsid w:val="00665A36"/>
    <w:rsid w:val="00666342"/>
    <w:rsid w:val="006666A7"/>
    <w:rsid w:val="0066695E"/>
    <w:rsid w:val="00667959"/>
    <w:rsid w:val="00667FE5"/>
    <w:rsid w:val="0067057A"/>
    <w:rsid w:val="00670E1B"/>
    <w:rsid w:val="006710AF"/>
    <w:rsid w:val="00671D84"/>
    <w:rsid w:val="006728EB"/>
    <w:rsid w:val="00672959"/>
    <w:rsid w:val="0067389C"/>
    <w:rsid w:val="00673FDB"/>
    <w:rsid w:val="006749B1"/>
    <w:rsid w:val="006750FF"/>
    <w:rsid w:val="006759EE"/>
    <w:rsid w:val="00675A1F"/>
    <w:rsid w:val="00675FF3"/>
    <w:rsid w:val="00676CA7"/>
    <w:rsid w:val="00677646"/>
    <w:rsid w:val="00677C75"/>
    <w:rsid w:val="00680230"/>
    <w:rsid w:val="006815F8"/>
    <w:rsid w:val="00681B89"/>
    <w:rsid w:val="006820A4"/>
    <w:rsid w:val="006822B1"/>
    <w:rsid w:val="00682405"/>
    <w:rsid w:val="00682422"/>
    <w:rsid w:val="00682FEF"/>
    <w:rsid w:val="00683140"/>
    <w:rsid w:val="00683401"/>
    <w:rsid w:val="0068370D"/>
    <w:rsid w:val="00683953"/>
    <w:rsid w:val="0068471B"/>
    <w:rsid w:val="00685EEE"/>
    <w:rsid w:val="00686208"/>
    <w:rsid w:val="00686C38"/>
    <w:rsid w:val="00686E27"/>
    <w:rsid w:val="006871B1"/>
    <w:rsid w:val="006878D5"/>
    <w:rsid w:val="00687E4F"/>
    <w:rsid w:val="00690A7B"/>
    <w:rsid w:val="00690EBC"/>
    <w:rsid w:val="0069133D"/>
    <w:rsid w:val="0069146A"/>
    <w:rsid w:val="0069165A"/>
    <w:rsid w:val="006924F2"/>
    <w:rsid w:val="00692FDE"/>
    <w:rsid w:val="006935A6"/>
    <w:rsid w:val="0069495D"/>
    <w:rsid w:val="00694A84"/>
    <w:rsid w:val="00694CA1"/>
    <w:rsid w:val="00697B2A"/>
    <w:rsid w:val="006A0067"/>
    <w:rsid w:val="006A0488"/>
    <w:rsid w:val="006A0795"/>
    <w:rsid w:val="006A0845"/>
    <w:rsid w:val="006A185E"/>
    <w:rsid w:val="006A19DB"/>
    <w:rsid w:val="006A1A13"/>
    <w:rsid w:val="006A24C4"/>
    <w:rsid w:val="006A3A32"/>
    <w:rsid w:val="006A4731"/>
    <w:rsid w:val="006A4EBE"/>
    <w:rsid w:val="006A6604"/>
    <w:rsid w:val="006A67FE"/>
    <w:rsid w:val="006A7209"/>
    <w:rsid w:val="006A754F"/>
    <w:rsid w:val="006B03E8"/>
    <w:rsid w:val="006B0EA5"/>
    <w:rsid w:val="006B208D"/>
    <w:rsid w:val="006B2325"/>
    <w:rsid w:val="006B3284"/>
    <w:rsid w:val="006B3DD0"/>
    <w:rsid w:val="006B4150"/>
    <w:rsid w:val="006B608A"/>
    <w:rsid w:val="006B6B4A"/>
    <w:rsid w:val="006B6DCA"/>
    <w:rsid w:val="006B708B"/>
    <w:rsid w:val="006B7116"/>
    <w:rsid w:val="006B7373"/>
    <w:rsid w:val="006B7AC9"/>
    <w:rsid w:val="006B7C78"/>
    <w:rsid w:val="006C080C"/>
    <w:rsid w:val="006C0BD8"/>
    <w:rsid w:val="006C1340"/>
    <w:rsid w:val="006C14F6"/>
    <w:rsid w:val="006C1D95"/>
    <w:rsid w:val="006C2AB9"/>
    <w:rsid w:val="006C2BCA"/>
    <w:rsid w:val="006C3071"/>
    <w:rsid w:val="006C31D9"/>
    <w:rsid w:val="006C39F6"/>
    <w:rsid w:val="006C3F0B"/>
    <w:rsid w:val="006C4A3D"/>
    <w:rsid w:val="006C4B80"/>
    <w:rsid w:val="006C5DB9"/>
    <w:rsid w:val="006C5E94"/>
    <w:rsid w:val="006C5F12"/>
    <w:rsid w:val="006C63B0"/>
    <w:rsid w:val="006C6ADE"/>
    <w:rsid w:val="006C6C12"/>
    <w:rsid w:val="006C6C4C"/>
    <w:rsid w:val="006C6CCB"/>
    <w:rsid w:val="006C7CDE"/>
    <w:rsid w:val="006C7E1C"/>
    <w:rsid w:val="006C7E58"/>
    <w:rsid w:val="006C7FE5"/>
    <w:rsid w:val="006D0BAA"/>
    <w:rsid w:val="006D1274"/>
    <w:rsid w:val="006D141B"/>
    <w:rsid w:val="006D332F"/>
    <w:rsid w:val="006D34B1"/>
    <w:rsid w:val="006D3CE3"/>
    <w:rsid w:val="006D3E4D"/>
    <w:rsid w:val="006D47E0"/>
    <w:rsid w:val="006D4F83"/>
    <w:rsid w:val="006D5006"/>
    <w:rsid w:val="006D5165"/>
    <w:rsid w:val="006D610D"/>
    <w:rsid w:val="006D6A09"/>
    <w:rsid w:val="006D7157"/>
    <w:rsid w:val="006D7376"/>
    <w:rsid w:val="006E07CD"/>
    <w:rsid w:val="006E1ECA"/>
    <w:rsid w:val="006E289D"/>
    <w:rsid w:val="006E2AC4"/>
    <w:rsid w:val="006E2E0E"/>
    <w:rsid w:val="006E37EF"/>
    <w:rsid w:val="006E38C3"/>
    <w:rsid w:val="006E4628"/>
    <w:rsid w:val="006E47F7"/>
    <w:rsid w:val="006E59BA"/>
    <w:rsid w:val="006E5B8F"/>
    <w:rsid w:val="006E7006"/>
    <w:rsid w:val="006E727B"/>
    <w:rsid w:val="006E7590"/>
    <w:rsid w:val="006E761F"/>
    <w:rsid w:val="006F0972"/>
    <w:rsid w:val="006F1595"/>
    <w:rsid w:val="006F2379"/>
    <w:rsid w:val="006F2400"/>
    <w:rsid w:val="006F274C"/>
    <w:rsid w:val="006F3778"/>
    <w:rsid w:val="006F3926"/>
    <w:rsid w:val="006F4297"/>
    <w:rsid w:val="006F42D3"/>
    <w:rsid w:val="006F44B3"/>
    <w:rsid w:val="006F45D2"/>
    <w:rsid w:val="006F535F"/>
    <w:rsid w:val="006F58BB"/>
    <w:rsid w:val="006F6683"/>
    <w:rsid w:val="006F7759"/>
    <w:rsid w:val="006F790F"/>
    <w:rsid w:val="007000C9"/>
    <w:rsid w:val="00700927"/>
    <w:rsid w:val="00700C2C"/>
    <w:rsid w:val="00701E01"/>
    <w:rsid w:val="00702250"/>
    <w:rsid w:val="00703914"/>
    <w:rsid w:val="007041C3"/>
    <w:rsid w:val="00704593"/>
    <w:rsid w:val="00704770"/>
    <w:rsid w:val="0070501A"/>
    <w:rsid w:val="00705486"/>
    <w:rsid w:val="007055E0"/>
    <w:rsid w:val="00705BC4"/>
    <w:rsid w:val="00705BD1"/>
    <w:rsid w:val="007062D8"/>
    <w:rsid w:val="00706329"/>
    <w:rsid w:val="007066A4"/>
    <w:rsid w:val="007067B3"/>
    <w:rsid w:val="00706D8A"/>
    <w:rsid w:val="00710009"/>
    <w:rsid w:val="00710136"/>
    <w:rsid w:val="00710A9C"/>
    <w:rsid w:val="007110D5"/>
    <w:rsid w:val="00711783"/>
    <w:rsid w:val="007127B3"/>
    <w:rsid w:val="00712F5A"/>
    <w:rsid w:val="00712FAB"/>
    <w:rsid w:val="007134DD"/>
    <w:rsid w:val="0071351B"/>
    <w:rsid w:val="00714CDD"/>
    <w:rsid w:val="00714D3D"/>
    <w:rsid w:val="007158F6"/>
    <w:rsid w:val="00715ED7"/>
    <w:rsid w:val="00717983"/>
    <w:rsid w:val="00717A6A"/>
    <w:rsid w:val="00720743"/>
    <w:rsid w:val="00721032"/>
    <w:rsid w:val="00721232"/>
    <w:rsid w:val="007213E4"/>
    <w:rsid w:val="007214CC"/>
    <w:rsid w:val="0072298C"/>
    <w:rsid w:val="00723284"/>
    <w:rsid w:val="00723A8C"/>
    <w:rsid w:val="00726783"/>
    <w:rsid w:val="00726BF0"/>
    <w:rsid w:val="00726E40"/>
    <w:rsid w:val="007279AC"/>
    <w:rsid w:val="00730A79"/>
    <w:rsid w:val="007311C0"/>
    <w:rsid w:val="00731C0C"/>
    <w:rsid w:val="00732533"/>
    <w:rsid w:val="0073429A"/>
    <w:rsid w:val="00735646"/>
    <w:rsid w:val="007356DD"/>
    <w:rsid w:val="007359D5"/>
    <w:rsid w:val="00735D96"/>
    <w:rsid w:val="00736D58"/>
    <w:rsid w:val="00740D47"/>
    <w:rsid w:val="00740E6A"/>
    <w:rsid w:val="00741492"/>
    <w:rsid w:val="00741591"/>
    <w:rsid w:val="00741BCE"/>
    <w:rsid w:val="00743007"/>
    <w:rsid w:val="00743982"/>
    <w:rsid w:val="00744221"/>
    <w:rsid w:val="00744DB3"/>
    <w:rsid w:val="00745A45"/>
    <w:rsid w:val="007469A6"/>
    <w:rsid w:val="00747079"/>
    <w:rsid w:val="00747117"/>
    <w:rsid w:val="00750184"/>
    <w:rsid w:val="0075073D"/>
    <w:rsid w:val="00750CD8"/>
    <w:rsid w:val="0075102B"/>
    <w:rsid w:val="0075188D"/>
    <w:rsid w:val="00752AEA"/>
    <w:rsid w:val="00752D44"/>
    <w:rsid w:val="00753F9D"/>
    <w:rsid w:val="00754043"/>
    <w:rsid w:val="0075534A"/>
    <w:rsid w:val="0075577F"/>
    <w:rsid w:val="00755E00"/>
    <w:rsid w:val="007562EF"/>
    <w:rsid w:val="00757135"/>
    <w:rsid w:val="00757490"/>
    <w:rsid w:val="007575A6"/>
    <w:rsid w:val="00757F15"/>
    <w:rsid w:val="00760331"/>
    <w:rsid w:val="007603A1"/>
    <w:rsid w:val="00760447"/>
    <w:rsid w:val="0076081E"/>
    <w:rsid w:val="007612FA"/>
    <w:rsid w:val="007618E2"/>
    <w:rsid w:val="007625B9"/>
    <w:rsid w:val="00762872"/>
    <w:rsid w:val="00762C29"/>
    <w:rsid w:val="00762CC1"/>
    <w:rsid w:val="00762DE0"/>
    <w:rsid w:val="007633AD"/>
    <w:rsid w:val="00763AAE"/>
    <w:rsid w:val="00764DF6"/>
    <w:rsid w:val="007655F3"/>
    <w:rsid w:val="007657A6"/>
    <w:rsid w:val="00766479"/>
    <w:rsid w:val="0076686E"/>
    <w:rsid w:val="0076730E"/>
    <w:rsid w:val="007673D3"/>
    <w:rsid w:val="00767B11"/>
    <w:rsid w:val="007710E0"/>
    <w:rsid w:val="0077120E"/>
    <w:rsid w:val="007718C0"/>
    <w:rsid w:val="0077201D"/>
    <w:rsid w:val="0077398A"/>
    <w:rsid w:val="0077403A"/>
    <w:rsid w:val="007740C1"/>
    <w:rsid w:val="007740F3"/>
    <w:rsid w:val="007743CE"/>
    <w:rsid w:val="007746E4"/>
    <w:rsid w:val="007749F2"/>
    <w:rsid w:val="00776492"/>
    <w:rsid w:val="00776BE7"/>
    <w:rsid w:val="00776F2B"/>
    <w:rsid w:val="00777C39"/>
    <w:rsid w:val="007809EA"/>
    <w:rsid w:val="007810F0"/>
    <w:rsid w:val="007813F4"/>
    <w:rsid w:val="00781597"/>
    <w:rsid w:val="007818CE"/>
    <w:rsid w:val="00781EC9"/>
    <w:rsid w:val="0078330E"/>
    <w:rsid w:val="007833DB"/>
    <w:rsid w:val="0078384C"/>
    <w:rsid w:val="007842EB"/>
    <w:rsid w:val="00784BB9"/>
    <w:rsid w:val="00784CC4"/>
    <w:rsid w:val="00785375"/>
    <w:rsid w:val="00785A42"/>
    <w:rsid w:val="00786281"/>
    <w:rsid w:val="00786546"/>
    <w:rsid w:val="0078661C"/>
    <w:rsid w:val="00786674"/>
    <w:rsid w:val="00787644"/>
    <w:rsid w:val="00787698"/>
    <w:rsid w:val="0079009A"/>
    <w:rsid w:val="007901FB"/>
    <w:rsid w:val="0079032E"/>
    <w:rsid w:val="00790338"/>
    <w:rsid w:val="007908D9"/>
    <w:rsid w:val="007908F8"/>
    <w:rsid w:val="00790BAB"/>
    <w:rsid w:val="007910E7"/>
    <w:rsid w:val="00792027"/>
    <w:rsid w:val="00792BC5"/>
    <w:rsid w:val="00792DD6"/>
    <w:rsid w:val="007936D3"/>
    <w:rsid w:val="00793A1E"/>
    <w:rsid w:val="007943C2"/>
    <w:rsid w:val="00794446"/>
    <w:rsid w:val="007944AD"/>
    <w:rsid w:val="0079519A"/>
    <w:rsid w:val="007963E4"/>
    <w:rsid w:val="00796800"/>
    <w:rsid w:val="00797466"/>
    <w:rsid w:val="00797F63"/>
    <w:rsid w:val="007A05BE"/>
    <w:rsid w:val="007A0949"/>
    <w:rsid w:val="007A0C88"/>
    <w:rsid w:val="007A2F64"/>
    <w:rsid w:val="007A3E05"/>
    <w:rsid w:val="007A3FD2"/>
    <w:rsid w:val="007A4371"/>
    <w:rsid w:val="007A47C9"/>
    <w:rsid w:val="007A4B96"/>
    <w:rsid w:val="007A5F77"/>
    <w:rsid w:val="007A631C"/>
    <w:rsid w:val="007A6D36"/>
    <w:rsid w:val="007A7E3D"/>
    <w:rsid w:val="007A7FB3"/>
    <w:rsid w:val="007B0719"/>
    <w:rsid w:val="007B07F5"/>
    <w:rsid w:val="007B0B44"/>
    <w:rsid w:val="007B2205"/>
    <w:rsid w:val="007B2D91"/>
    <w:rsid w:val="007B310D"/>
    <w:rsid w:val="007B3670"/>
    <w:rsid w:val="007B3A3D"/>
    <w:rsid w:val="007B3F74"/>
    <w:rsid w:val="007B46DF"/>
    <w:rsid w:val="007B5225"/>
    <w:rsid w:val="007B53DE"/>
    <w:rsid w:val="007B545C"/>
    <w:rsid w:val="007B69DB"/>
    <w:rsid w:val="007B6E69"/>
    <w:rsid w:val="007B6EB1"/>
    <w:rsid w:val="007C01D8"/>
    <w:rsid w:val="007C035A"/>
    <w:rsid w:val="007C0516"/>
    <w:rsid w:val="007C097D"/>
    <w:rsid w:val="007C1AC1"/>
    <w:rsid w:val="007C1ADE"/>
    <w:rsid w:val="007C205D"/>
    <w:rsid w:val="007C3381"/>
    <w:rsid w:val="007C3439"/>
    <w:rsid w:val="007C577C"/>
    <w:rsid w:val="007C5979"/>
    <w:rsid w:val="007C5DEA"/>
    <w:rsid w:val="007C6341"/>
    <w:rsid w:val="007C64C0"/>
    <w:rsid w:val="007C7262"/>
    <w:rsid w:val="007C747F"/>
    <w:rsid w:val="007C7524"/>
    <w:rsid w:val="007C7812"/>
    <w:rsid w:val="007D005C"/>
    <w:rsid w:val="007D00B0"/>
    <w:rsid w:val="007D1556"/>
    <w:rsid w:val="007D2C53"/>
    <w:rsid w:val="007D2F57"/>
    <w:rsid w:val="007D4899"/>
    <w:rsid w:val="007D4BF0"/>
    <w:rsid w:val="007D4F16"/>
    <w:rsid w:val="007D57A3"/>
    <w:rsid w:val="007D5908"/>
    <w:rsid w:val="007D74FF"/>
    <w:rsid w:val="007E0C3C"/>
    <w:rsid w:val="007E14E2"/>
    <w:rsid w:val="007E267D"/>
    <w:rsid w:val="007E2B56"/>
    <w:rsid w:val="007E3795"/>
    <w:rsid w:val="007E4C6B"/>
    <w:rsid w:val="007E70B2"/>
    <w:rsid w:val="007E7FEE"/>
    <w:rsid w:val="007F0F5C"/>
    <w:rsid w:val="007F2ABA"/>
    <w:rsid w:val="007F4D2F"/>
    <w:rsid w:val="007F4F5A"/>
    <w:rsid w:val="007F6C74"/>
    <w:rsid w:val="007F718A"/>
    <w:rsid w:val="007F74DC"/>
    <w:rsid w:val="007F7A33"/>
    <w:rsid w:val="00800050"/>
    <w:rsid w:val="008008B1"/>
    <w:rsid w:val="00800B2A"/>
    <w:rsid w:val="0080222D"/>
    <w:rsid w:val="00802918"/>
    <w:rsid w:val="00803971"/>
    <w:rsid w:val="00803A6C"/>
    <w:rsid w:val="00804AC9"/>
    <w:rsid w:val="00804E87"/>
    <w:rsid w:val="00805C43"/>
    <w:rsid w:val="0080609A"/>
    <w:rsid w:val="008062A9"/>
    <w:rsid w:val="008067A1"/>
    <w:rsid w:val="00806A90"/>
    <w:rsid w:val="0080729F"/>
    <w:rsid w:val="00807DD9"/>
    <w:rsid w:val="008100C1"/>
    <w:rsid w:val="008102BA"/>
    <w:rsid w:val="00810956"/>
    <w:rsid w:val="0081105A"/>
    <w:rsid w:val="00811478"/>
    <w:rsid w:val="008124AA"/>
    <w:rsid w:val="00812B5E"/>
    <w:rsid w:val="008130B1"/>
    <w:rsid w:val="00813B92"/>
    <w:rsid w:val="00814551"/>
    <w:rsid w:val="00814AD7"/>
    <w:rsid w:val="008151F6"/>
    <w:rsid w:val="0081523C"/>
    <w:rsid w:val="0081546B"/>
    <w:rsid w:val="00816145"/>
    <w:rsid w:val="0081629F"/>
    <w:rsid w:val="00816B35"/>
    <w:rsid w:val="00817470"/>
    <w:rsid w:val="00817C22"/>
    <w:rsid w:val="0082009E"/>
    <w:rsid w:val="008200FD"/>
    <w:rsid w:val="00820E63"/>
    <w:rsid w:val="00821111"/>
    <w:rsid w:val="00821E86"/>
    <w:rsid w:val="00821FAA"/>
    <w:rsid w:val="00822448"/>
    <w:rsid w:val="00823691"/>
    <w:rsid w:val="00823DDC"/>
    <w:rsid w:val="00823F9C"/>
    <w:rsid w:val="00824610"/>
    <w:rsid w:val="00825726"/>
    <w:rsid w:val="00826DAD"/>
    <w:rsid w:val="0082762D"/>
    <w:rsid w:val="008278F8"/>
    <w:rsid w:val="00830660"/>
    <w:rsid w:val="00830E11"/>
    <w:rsid w:val="00830E64"/>
    <w:rsid w:val="00831745"/>
    <w:rsid w:val="00831BAA"/>
    <w:rsid w:val="0083212C"/>
    <w:rsid w:val="0083336E"/>
    <w:rsid w:val="008341A2"/>
    <w:rsid w:val="00834540"/>
    <w:rsid w:val="0083460A"/>
    <w:rsid w:val="00834E59"/>
    <w:rsid w:val="008359BF"/>
    <w:rsid w:val="0083682B"/>
    <w:rsid w:val="00837BBB"/>
    <w:rsid w:val="00837D8F"/>
    <w:rsid w:val="0084160B"/>
    <w:rsid w:val="008418F7"/>
    <w:rsid w:val="00842227"/>
    <w:rsid w:val="008423AE"/>
    <w:rsid w:val="0084240B"/>
    <w:rsid w:val="0084287E"/>
    <w:rsid w:val="008432D8"/>
    <w:rsid w:val="0084376F"/>
    <w:rsid w:val="00843997"/>
    <w:rsid w:val="00843EC7"/>
    <w:rsid w:val="00844063"/>
    <w:rsid w:val="008444FB"/>
    <w:rsid w:val="008445F7"/>
    <w:rsid w:val="008456D5"/>
    <w:rsid w:val="00846006"/>
    <w:rsid w:val="0084634B"/>
    <w:rsid w:val="008465A8"/>
    <w:rsid w:val="00846EE6"/>
    <w:rsid w:val="008471BE"/>
    <w:rsid w:val="008471D1"/>
    <w:rsid w:val="00847F53"/>
    <w:rsid w:val="00850327"/>
    <w:rsid w:val="00850392"/>
    <w:rsid w:val="008509AA"/>
    <w:rsid w:val="00851252"/>
    <w:rsid w:val="00851772"/>
    <w:rsid w:val="00852C01"/>
    <w:rsid w:val="00852F3E"/>
    <w:rsid w:val="00854904"/>
    <w:rsid w:val="00854A01"/>
    <w:rsid w:val="0085546E"/>
    <w:rsid w:val="0086034B"/>
    <w:rsid w:val="00861252"/>
    <w:rsid w:val="0086139F"/>
    <w:rsid w:val="0086168A"/>
    <w:rsid w:val="00861978"/>
    <w:rsid w:val="00861B59"/>
    <w:rsid w:val="008621AD"/>
    <w:rsid w:val="00863996"/>
    <w:rsid w:val="00863E3C"/>
    <w:rsid w:val="00863E9A"/>
    <w:rsid w:val="00863F34"/>
    <w:rsid w:val="0086539A"/>
    <w:rsid w:val="008653F9"/>
    <w:rsid w:val="0086564C"/>
    <w:rsid w:val="00865CF2"/>
    <w:rsid w:val="0086657E"/>
    <w:rsid w:val="00867983"/>
    <w:rsid w:val="00870846"/>
    <w:rsid w:val="00871EF0"/>
    <w:rsid w:val="00872745"/>
    <w:rsid w:val="008728B7"/>
    <w:rsid w:val="00873EA6"/>
    <w:rsid w:val="008742A6"/>
    <w:rsid w:val="0087542A"/>
    <w:rsid w:val="00876F53"/>
    <w:rsid w:val="0087766C"/>
    <w:rsid w:val="00877803"/>
    <w:rsid w:val="00880973"/>
    <w:rsid w:val="008813BD"/>
    <w:rsid w:val="0088169A"/>
    <w:rsid w:val="008820F1"/>
    <w:rsid w:val="0088319F"/>
    <w:rsid w:val="00883BFB"/>
    <w:rsid w:val="008843BC"/>
    <w:rsid w:val="0088444C"/>
    <w:rsid w:val="008847D0"/>
    <w:rsid w:val="00887FE7"/>
    <w:rsid w:val="0089042C"/>
    <w:rsid w:val="0089093D"/>
    <w:rsid w:val="00891613"/>
    <w:rsid w:val="008916CF"/>
    <w:rsid w:val="00892579"/>
    <w:rsid w:val="00893230"/>
    <w:rsid w:val="00894AB1"/>
    <w:rsid w:val="0089525B"/>
    <w:rsid w:val="008960C5"/>
    <w:rsid w:val="00896453"/>
    <w:rsid w:val="00896802"/>
    <w:rsid w:val="00896C25"/>
    <w:rsid w:val="00897288"/>
    <w:rsid w:val="0089762D"/>
    <w:rsid w:val="008A04F6"/>
    <w:rsid w:val="008A0DBB"/>
    <w:rsid w:val="008A1887"/>
    <w:rsid w:val="008A18D7"/>
    <w:rsid w:val="008A2068"/>
    <w:rsid w:val="008A20C8"/>
    <w:rsid w:val="008A20D1"/>
    <w:rsid w:val="008A23AD"/>
    <w:rsid w:val="008A2546"/>
    <w:rsid w:val="008A4712"/>
    <w:rsid w:val="008A4826"/>
    <w:rsid w:val="008A4932"/>
    <w:rsid w:val="008A4C96"/>
    <w:rsid w:val="008A52A2"/>
    <w:rsid w:val="008A5EDB"/>
    <w:rsid w:val="008A7ABC"/>
    <w:rsid w:val="008A7CA4"/>
    <w:rsid w:val="008A7F0D"/>
    <w:rsid w:val="008A7F1D"/>
    <w:rsid w:val="008A7F3C"/>
    <w:rsid w:val="008B1350"/>
    <w:rsid w:val="008B1419"/>
    <w:rsid w:val="008B1541"/>
    <w:rsid w:val="008B1F32"/>
    <w:rsid w:val="008B20B2"/>
    <w:rsid w:val="008B22BD"/>
    <w:rsid w:val="008B23CA"/>
    <w:rsid w:val="008B31D3"/>
    <w:rsid w:val="008B3289"/>
    <w:rsid w:val="008B3450"/>
    <w:rsid w:val="008B3839"/>
    <w:rsid w:val="008B4BB5"/>
    <w:rsid w:val="008B4D75"/>
    <w:rsid w:val="008B52F3"/>
    <w:rsid w:val="008B5DB5"/>
    <w:rsid w:val="008B602A"/>
    <w:rsid w:val="008B6A81"/>
    <w:rsid w:val="008B76A8"/>
    <w:rsid w:val="008B7E1D"/>
    <w:rsid w:val="008C0753"/>
    <w:rsid w:val="008C084D"/>
    <w:rsid w:val="008C09E3"/>
    <w:rsid w:val="008C0A45"/>
    <w:rsid w:val="008C21AE"/>
    <w:rsid w:val="008C224F"/>
    <w:rsid w:val="008C262A"/>
    <w:rsid w:val="008C26B6"/>
    <w:rsid w:val="008C2EA1"/>
    <w:rsid w:val="008C33C8"/>
    <w:rsid w:val="008C3688"/>
    <w:rsid w:val="008C3B0A"/>
    <w:rsid w:val="008C3B33"/>
    <w:rsid w:val="008C4173"/>
    <w:rsid w:val="008C458D"/>
    <w:rsid w:val="008C56E5"/>
    <w:rsid w:val="008C6150"/>
    <w:rsid w:val="008C616F"/>
    <w:rsid w:val="008C6CF5"/>
    <w:rsid w:val="008C714D"/>
    <w:rsid w:val="008D0151"/>
    <w:rsid w:val="008D0786"/>
    <w:rsid w:val="008D0DA1"/>
    <w:rsid w:val="008D1081"/>
    <w:rsid w:val="008D2171"/>
    <w:rsid w:val="008D3038"/>
    <w:rsid w:val="008D4507"/>
    <w:rsid w:val="008D47AD"/>
    <w:rsid w:val="008D49D8"/>
    <w:rsid w:val="008D49EE"/>
    <w:rsid w:val="008D4D9B"/>
    <w:rsid w:val="008D4FF2"/>
    <w:rsid w:val="008D5D02"/>
    <w:rsid w:val="008D632A"/>
    <w:rsid w:val="008D6CD1"/>
    <w:rsid w:val="008D7007"/>
    <w:rsid w:val="008D71A3"/>
    <w:rsid w:val="008E07C6"/>
    <w:rsid w:val="008E1486"/>
    <w:rsid w:val="008E154D"/>
    <w:rsid w:val="008E1A8A"/>
    <w:rsid w:val="008E226D"/>
    <w:rsid w:val="008E2312"/>
    <w:rsid w:val="008E2A0D"/>
    <w:rsid w:val="008E3309"/>
    <w:rsid w:val="008E3C0C"/>
    <w:rsid w:val="008E4083"/>
    <w:rsid w:val="008E4AC7"/>
    <w:rsid w:val="008E4C72"/>
    <w:rsid w:val="008E5F5F"/>
    <w:rsid w:val="008E5FBA"/>
    <w:rsid w:val="008E616D"/>
    <w:rsid w:val="008E69F7"/>
    <w:rsid w:val="008E6D1F"/>
    <w:rsid w:val="008E79A6"/>
    <w:rsid w:val="008E7D81"/>
    <w:rsid w:val="008F04FD"/>
    <w:rsid w:val="008F06C3"/>
    <w:rsid w:val="008F13FE"/>
    <w:rsid w:val="008F1C3C"/>
    <w:rsid w:val="008F252A"/>
    <w:rsid w:val="008F3056"/>
    <w:rsid w:val="008F42D0"/>
    <w:rsid w:val="008F4A34"/>
    <w:rsid w:val="008F518A"/>
    <w:rsid w:val="008F5A83"/>
    <w:rsid w:val="008F6126"/>
    <w:rsid w:val="008F7FCA"/>
    <w:rsid w:val="0090057E"/>
    <w:rsid w:val="00900673"/>
    <w:rsid w:val="00900AAD"/>
    <w:rsid w:val="00903E65"/>
    <w:rsid w:val="00904B3B"/>
    <w:rsid w:val="0090552B"/>
    <w:rsid w:val="00905563"/>
    <w:rsid w:val="009062B0"/>
    <w:rsid w:val="00907208"/>
    <w:rsid w:val="00910F75"/>
    <w:rsid w:val="00911559"/>
    <w:rsid w:val="00911851"/>
    <w:rsid w:val="00911E08"/>
    <w:rsid w:val="009129AE"/>
    <w:rsid w:val="00913100"/>
    <w:rsid w:val="0091315A"/>
    <w:rsid w:val="009133CD"/>
    <w:rsid w:val="009148A5"/>
    <w:rsid w:val="0091594E"/>
    <w:rsid w:val="00916BFD"/>
    <w:rsid w:val="009178AC"/>
    <w:rsid w:val="00917B44"/>
    <w:rsid w:val="00917D76"/>
    <w:rsid w:val="00920065"/>
    <w:rsid w:val="00920E89"/>
    <w:rsid w:val="00921F58"/>
    <w:rsid w:val="00921FD9"/>
    <w:rsid w:val="00922031"/>
    <w:rsid w:val="00922405"/>
    <w:rsid w:val="00922A44"/>
    <w:rsid w:val="00922FBF"/>
    <w:rsid w:val="00923E06"/>
    <w:rsid w:val="00924465"/>
    <w:rsid w:val="00924941"/>
    <w:rsid w:val="009255D5"/>
    <w:rsid w:val="0092563A"/>
    <w:rsid w:val="00925ED6"/>
    <w:rsid w:val="009262E2"/>
    <w:rsid w:val="009275E7"/>
    <w:rsid w:val="009277D8"/>
    <w:rsid w:val="00930B20"/>
    <w:rsid w:val="00931498"/>
    <w:rsid w:val="00932203"/>
    <w:rsid w:val="0093261E"/>
    <w:rsid w:val="0093385A"/>
    <w:rsid w:val="00933B6B"/>
    <w:rsid w:val="00933DE6"/>
    <w:rsid w:val="009342D0"/>
    <w:rsid w:val="00934E33"/>
    <w:rsid w:val="00934FF1"/>
    <w:rsid w:val="0093529C"/>
    <w:rsid w:val="0093636A"/>
    <w:rsid w:val="00936788"/>
    <w:rsid w:val="00936BDA"/>
    <w:rsid w:val="00937A52"/>
    <w:rsid w:val="0094071C"/>
    <w:rsid w:val="009407BD"/>
    <w:rsid w:val="00940B2A"/>
    <w:rsid w:val="009420D1"/>
    <w:rsid w:val="00942962"/>
    <w:rsid w:val="00942DB1"/>
    <w:rsid w:val="009438FE"/>
    <w:rsid w:val="00944A94"/>
    <w:rsid w:val="00944BFC"/>
    <w:rsid w:val="00945710"/>
    <w:rsid w:val="00945CA6"/>
    <w:rsid w:val="00946172"/>
    <w:rsid w:val="0094780F"/>
    <w:rsid w:val="00947A42"/>
    <w:rsid w:val="00947E02"/>
    <w:rsid w:val="0095005E"/>
    <w:rsid w:val="009507E6"/>
    <w:rsid w:val="00950E38"/>
    <w:rsid w:val="00951A42"/>
    <w:rsid w:val="009527E8"/>
    <w:rsid w:val="00953EC4"/>
    <w:rsid w:val="009558F4"/>
    <w:rsid w:val="00955CFD"/>
    <w:rsid w:val="00956C03"/>
    <w:rsid w:val="00956EC3"/>
    <w:rsid w:val="009570CD"/>
    <w:rsid w:val="009576F6"/>
    <w:rsid w:val="0095775C"/>
    <w:rsid w:val="009579D8"/>
    <w:rsid w:val="00957B40"/>
    <w:rsid w:val="009611B7"/>
    <w:rsid w:val="0096248D"/>
    <w:rsid w:val="009629F8"/>
    <w:rsid w:val="00962F16"/>
    <w:rsid w:val="0096341F"/>
    <w:rsid w:val="00963BDE"/>
    <w:rsid w:val="00965007"/>
    <w:rsid w:val="00965B57"/>
    <w:rsid w:val="00966648"/>
    <w:rsid w:val="009705E8"/>
    <w:rsid w:val="009718A9"/>
    <w:rsid w:val="0097198A"/>
    <w:rsid w:val="00971E51"/>
    <w:rsid w:val="009720EB"/>
    <w:rsid w:val="00973040"/>
    <w:rsid w:val="00973603"/>
    <w:rsid w:val="00975B8E"/>
    <w:rsid w:val="0097687D"/>
    <w:rsid w:val="0097692D"/>
    <w:rsid w:val="009769B9"/>
    <w:rsid w:val="00976F3E"/>
    <w:rsid w:val="009774FA"/>
    <w:rsid w:val="00977CA5"/>
    <w:rsid w:val="00977DE9"/>
    <w:rsid w:val="00981172"/>
    <w:rsid w:val="00981C36"/>
    <w:rsid w:val="00981DD6"/>
    <w:rsid w:val="00982580"/>
    <w:rsid w:val="00982B6F"/>
    <w:rsid w:val="00982BDE"/>
    <w:rsid w:val="009830D8"/>
    <w:rsid w:val="00983309"/>
    <w:rsid w:val="0098344D"/>
    <w:rsid w:val="009836FD"/>
    <w:rsid w:val="00983E76"/>
    <w:rsid w:val="00984620"/>
    <w:rsid w:val="00985730"/>
    <w:rsid w:val="00985C00"/>
    <w:rsid w:val="0098632A"/>
    <w:rsid w:val="009868D3"/>
    <w:rsid w:val="009873B9"/>
    <w:rsid w:val="00987900"/>
    <w:rsid w:val="009879FE"/>
    <w:rsid w:val="00987EB2"/>
    <w:rsid w:val="009905BE"/>
    <w:rsid w:val="009906C1"/>
    <w:rsid w:val="00990B3E"/>
    <w:rsid w:val="00990E26"/>
    <w:rsid w:val="00992237"/>
    <w:rsid w:val="00992268"/>
    <w:rsid w:val="00992F55"/>
    <w:rsid w:val="00997804"/>
    <w:rsid w:val="00997B65"/>
    <w:rsid w:val="009A0137"/>
    <w:rsid w:val="009A1792"/>
    <w:rsid w:val="009A1CD9"/>
    <w:rsid w:val="009A2B7B"/>
    <w:rsid w:val="009A2F0A"/>
    <w:rsid w:val="009A2F3E"/>
    <w:rsid w:val="009A3817"/>
    <w:rsid w:val="009A4739"/>
    <w:rsid w:val="009A5D89"/>
    <w:rsid w:val="009A69F7"/>
    <w:rsid w:val="009A7B0F"/>
    <w:rsid w:val="009B00F2"/>
    <w:rsid w:val="009B023B"/>
    <w:rsid w:val="009B12E0"/>
    <w:rsid w:val="009B2BD0"/>
    <w:rsid w:val="009B353E"/>
    <w:rsid w:val="009B4048"/>
    <w:rsid w:val="009B41FB"/>
    <w:rsid w:val="009B4292"/>
    <w:rsid w:val="009B43E4"/>
    <w:rsid w:val="009B4485"/>
    <w:rsid w:val="009B4AFF"/>
    <w:rsid w:val="009B5E90"/>
    <w:rsid w:val="009B63A9"/>
    <w:rsid w:val="009B6B52"/>
    <w:rsid w:val="009B6DEB"/>
    <w:rsid w:val="009C19FD"/>
    <w:rsid w:val="009C1D0E"/>
    <w:rsid w:val="009C2101"/>
    <w:rsid w:val="009C21D5"/>
    <w:rsid w:val="009C2CCC"/>
    <w:rsid w:val="009C31BE"/>
    <w:rsid w:val="009C32B2"/>
    <w:rsid w:val="009C35E1"/>
    <w:rsid w:val="009C3624"/>
    <w:rsid w:val="009C37DE"/>
    <w:rsid w:val="009C45AB"/>
    <w:rsid w:val="009C51E5"/>
    <w:rsid w:val="009C580C"/>
    <w:rsid w:val="009C5BE2"/>
    <w:rsid w:val="009D0173"/>
    <w:rsid w:val="009D0EE2"/>
    <w:rsid w:val="009D166B"/>
    <w:rsid w:val="009D2AC4"/>
    <w:rsid w:val="009D3395"/>
    <w:rsid w:val="009D5E0C"/>
    <w:rsid w:val="009D6548"/>
    <w:rsid w:val="009D69DE"/>
    <w:rsid w:val="009D7181"/>
    <w:rsid w:val="009D7B2F"/>
    <w:rsid w:val="009D7D1D"/>
    <w:rsid w:val="009E00FA"/>
    <w:rsid w:val="009E025B"/>
    <w:rsid w:val="009E04E9"/>
    <w:rsid w:val="009E0BB3"/>
    <w:rsid w:val="009E0DF5"/>
    <w:rsid w:val="009E2C20"/>
    <w:rsid w:val="009E2F20"/>
    <w:rsid w:val="009E322A"/>
    <w:rsid w:val="009E34C2"/>
    <w:rsid w:val="009E717E"/>
    <w:rsid w:val="009E7727"/>
    <w:rsid w:val="009E7FD5"/>
    <w:rsid w:val="009F0300"/>
    <w:rsid w:val="009F14B1"/>
    <w:rsid w:val="009F174D"/>
    <w:rsid w:val="009F1B54"/>
    <w:rsid w:val="009F1F6C"/>
    <w:rsid w:val="009F2857"/>
    <w:rsid w:val="009F313A"/>
    <w:rsid w:val="009F3379"/>
    <w:rsid w:val="009F42D8"/>
    <w:rsid w:val="009F64D1"/>
    <w:rsid w:val="009F676B"/>
    <w:rsid w:val="009F7003"/>
    <w:rsid w:val="009F70C3"/>
    <w:rsid w:val="00A004E9"/>
    <w:rsid w:val="00A007B4"/>
    <w:rsid w:val="00A0278D"/>
    <w:rsid w:val="00A02F4B"/>
    <w:rsid w:val="00A03989"/>
    <w:rsid w:val="00A04822"/>
    <w:rsid w:val="00A04B46"/>
    <w:rsid w:val="00A062E4"/>
    <w:rsid w:val="00A06F54"/>
    <w:rsid w:val="00A070A2"/>
    <w:rsid w:val="00A07EBE"/>
    <w:rsid w:val="00A11244"/>
    <w:rsid w:val="00A12E2F"/>
    <w:rsid w:val="00A1332D"/>
    <w:rsid w:val="00A13F97"/>
    <w:rsid w:val="00A13FC1"/>
    <w:rsid w:val="00A146C1"/>
    <w:rsid w:val="00A149EF"/>
    <w:rsid w:val="00A14A51"/>
    <w:rsid w:val="00A14E0B"/>
    <w:rsid w:val="00A1656F"/>
    <w:rsid w:val="00A165C7"/>
    <w:rsid w:val="00A16892"/>
    <w:rsid w:val="00A17D76"/>
    <w:rsid w:val="00A20144"/>
    <w:rsid w:val="00A206D3"/>
    <w:rsid w:val="00A20E11"/>
    <w:rsid w:val="00A213F2"/>
    <w:rsid w:val="00A213F3"/>
    <w:rsid w:val="00A21426"/>
    <w:rsid w:val="00A21CDF"/>
    <w:rsid w:val="00A22043"/>
    <w:rsid w:val="00A226AE"/>
    <w:rsid w:val="00A2315E"/>
    <w:rsid w:val="00A23AAE"/>
    <w:rsid w:val="00A23BA0"/>
    <w:rsid w:val="00A24DF0"/>
    <w:rsid w:val="00A25716"/>
    <w:rsid w:val="00A268F5"/>
    <w:rsid w:val="00A27811"/>
    <w:rsid w:val="00A30083"/>
    <w:rsid w:val="00A30214"/>
    <w:rsid w:val="00A30434"/>
    <w:rsid w:val="00A304B3"/>
    <w:rsid w:val="00A30AF6"/>
    <w:rsid w:val="00A32057"/>
    <w:rsid w:val="00A333E7"/>
    <w:rsid w:val="00A3360B"/>
    <w:rsid w:val="00A3379A"/>
    <w:rsid w:val="00A339C2"/>
    <w:rsid w:val="00A34DBE"/>
    <w:rsid w:val="00A34E5E"/>
    <w:rsid w:val="00A3606A"/>
    <w:rsid w:val="00A36337"/>
    <w:rsid w:val="00A364A1"/>
    <w:rsid w:val="00A36EE5"/>
    <w:rsid w:val="00A37B11"/>
    <w:rsid w:val="00A40419"/>
    <w:rsid w:val="00A40480"/>
    <w:rsid w:val="00A409AB"/>
    <w:rsid w:val="00A41E6F"/>
    <w:rsid w:val="00A42052"/>
    <w:rsid w:val="00A42723"/>
    <w:rsid w:val="00A42C6E"/>
    <w:rsid w:val="00A42EB6"/>
    <w:rsid w:val="00A430AC"/>
    <w:rsid w:val="00A43F01"/>
    <w:rsid w:val="00A44545"/>
    <w:rsid w:val="00A448B6"/>
    <w:rsid w:val="00A45BEA"/>
    <w:rsid w:val="00A45CB4"/>
    <w:rsid w:val="00A45D35"/>
    <w:rsid w:val="00A46193"/>
    <w:rsid w:val="00A462B2"/>
    <w:rsid w:val="00A46493"/>
    <w:rsid w:val="00A4669B"/>
    <w:rsid w:val="00A47553"/>
    <w:rsid w:val="00A4772F"/>
    <w:rsid w:val="00A47A43"/>
    <w:rsid w:val="00A47F09"/>
    <w:rsid w:val="00A504C9"/>
    <w:rsid w:val="00A505AC"/>
    <w:rsid w:val="00A50857"/>
    <w:rsid w:val="00A51545"/>
    <w:rsid w:val="00A51A48"/>
    <w:rsid w:val="00A52A6A"/>
    <w:rsid w:val="00A52F74"/>
    <w:rsid w:val="00A53145"/>
    <w:rsid w:val="00A547AA"/>
    <w:rsid w:val="00A552FE"/>
    <w:rsid w:val="00A5707D"/>
    <w:rsid w:val="00A57C96"/>
    <w:rsid w:val="00A60DD6"/>
    <w:rsid w:val="00A623B2"/>
    <w:rsid w:val="00A62603"/>
    <w:rsid w:val="00A631E3"/>
    <w:rsid w:val="00A631FD"/>
    <w:rsid w:val="00A634C3"/>
    <w:rsid w:val="00A63DB0"/>
    <w:rsid w:val="00A65C10"/>
    <w:rsid w:val="00A66A41"/>
    <w:rsid w:val="00A671A8"/>
    <w:rsid w:val="00A67B00"/>
    <w:rsid w:val="00A67BEA"/>
    <w:rsid w:val="00A70107"/>
    <w:rsid w:val="00A703DC"/>
    <w:rsid w:val="00A72FBF"/>
    <w:rsid w:val="00A730D3"/>
    <w:rsid w:val="00A738BE"/>
    <w:rsid w:val="00A74BFB"/>
    <w:rsid w:val="00A75BD3"/>
    <w:rsid w:val="00A75FE5"/>
    <w:rsid w:val="00A7691C"/>
    <w:rsid w:val="00A76D9B"/>
    <w:rsid w:val="00A76F1D"/>
    <w:rsid w:val="00A77881"/>
    <w:rsid w:val="00A7788A"/>
    <w:rsid w:val="00A77C0E"/>
    <w:rsid w:val="00A803B0"/>
    <w:rsid w:val="00A81AF6"/>
    <w:rsid w:val="00A81EA1"/>
    <w:rsid w:val="00A82026"/>
    <w:rsid w:val="00A83013"/>
    <w:rsid w:val="00A8357C"/>
    <w:rsid w:val="00A83E0F"/>
    <w:rsid w:val="00A84860"/>
    <w:rsid w:val="00A8498D"/>
    <w:rsid w:val="00A85A74"/>
    <w:rsid w:val="00A85F48"/>
    <w:rsid w:val="00A86662"/>
    <w:rsid w:val="00A87853"/>
    <w:rsid w:val="00A90944"/>
    <w:rsid w:val="00A9120E"/>
    <w:rsid w:val="00A9151F"/>
    <w:rsid w:val="00A918F1"/>
    <w:rsid w:val="00A9207C"/>
    <w:rsid w:val="00A92263"/>
    <w:rsid w:val="00A92328"/>
    <w:rsid w:val="00A923CD"/>
    <w:rsid w:val="00A930E6"/>
    <w:rsid w:val="00A9359F"/>
    <w:rsid w:val="00A93839"/>
    <w:rsid w:val="00A93CA3"/>
    <w:rsid w:val="00A93D3F"/>
    <w:rsid w:val="00A93EBD"/>
    <w:rsid w:val="00A94051"/>
    <w:rsid w:val="00A95970"/>
    <w:rsid w:val="00A960E9"/>
    <w:rsid w:val="00A9632E"/>
    <w:rsid w:val="00A9641C"/>
    <w:rsid w:val="00A96562"/>
    <w:rsid w:val="00A96685"/>
    <w:rsid w:val="00A9727A"/>
    <w:rsid w:val="00A97355"/>
    <w:rsid w:val="00A9793F"/>
    <w:rsid w:val="00AA160D"/>
    <w:rsid w:val="00AA1EDE"/>
    <w:rsid w:val="00AA2EC5"/>
    <w:rsid w:val="00AA3690"/>
    <w:rsid w:val="00AA3897"/>
    <w:rsid w:val="00AA4482"/>
    <w:rsid w:val="00AA5BA5"/>
    <w:rsid w:val="00AA6EFB"/>
    <w:rsid w:val="00AA758C"/>
    <w:rsid w:val="00AA78F2"/>
    <w:rsid w:val="00AB02A3"/>
    <w:rsid w:val="00AB097A"/>
    <w:rsid w:val="00AB0CC1"/>
    <w:rsid w:val="00AB1885"/>
    <w:rsid w:val="00AB2450"/>
    <w:rsid w:val="00AB2A5B"/>
    <w:rsid w:val="00AB2FDD"/>
    <w:rsid w:val="00AB302E"/>
    <w:rsid w:val="00AB3647"/>
    <w:rsid w:val="00AB3CF5"/>
    <w:rsid w:val="00AB407E"/>
    <w:rsid w:val="00AB5345"/>
    <w:rsid w:val="00AB540B"/>
    <w:rsid w:val="00AB587F"/>
    <w:rsid w:val="00AB58C2"/>
    <w:rsid w:val="00AB5981"/>
    <w:rsid w:val="00AB5B7C"/>
    <w:rsid w:val="00AB6BB9"/>
    <w:rsid w:val="00AB7A94"/>
    <w:rsid w:val="00AB7B71"/>
    <w:rsid w:val="00AC01CD"/>
    <w:rsid w:val="00AC0FB3"/>
    <w:rsid w:val="00AC110B"/>
    <w:rsid w:val="00AC3A73"/>
    <w:rsid w:val="00AC404E"/>
    <w:rsid w:val="00AC4185"/>
    <w:rsid w:val="00AC6075"/>
    <w:rsid w:val="00AC65B3"/>
    <w:rsid w:val="00AC7DA2"/>
    <w:rsid w:val="00AD084C"/>
    <w:rsid w:val="00AD08D0"/>
    <w:rsid w:val="00AD1C9E"/>
    <w:rsid w:val="00AD2B2D"/>
    <w:rsid w:val="00AD2F57"/>
    <w:rsid w:val="00AD3485"/>
    <w:rsid w:val="00AD465A"/>
    <w:rsid w:val="00AD4997"/>
    <w:rsid w:val="00AD4C1A"/>
    <w:rsid w:val="00AD4FB1"/>
    <w:rsid w:val="00AD5702"/>
    <w:rsid w:val="00AD601F"/>
    <w:rsid w:val="00AD679F"/>
    <w:rsid w:val="00AD7398"/>
    <w:rsid w:val="00AD7703"/>
    <w:rsid w:val="00AE03CB"/>
    <w:rsid w:val="00AE07C7"/>
    <w:rsid w:val="00AE0862"/>
    <w:rsid w:val="00AE0B65"/>
    <w:rsid w:val="00AE1036"/>
    <w:rsid w:val="00AE1895"/>
    <w:rsid w:val="00AE1996"/>
    <w:rsid w:val="00AE2547"/>
    <w:rsid w:val="00AE2A8D"/>
    <w:rsid w:val="00AE33A0"/>
    <w:rsid w:val="00AE34CC"/>
    <w:rsid w:val="00AE3C20"/>
    <w:rsid w:val="00AE4063"/>
    <w:rsid w:val="00AE4CC8"/>
    <w:rsid w:val="00AE4D58"/>
    <w:rsid w:val="00AE4E0D"/>
    <w:rsid w:val="00AE55BF"/>
    <w:rsid w:val="00AE6164"/>
    <w:rsid w:val="00AE7364"/>
    <w:rsid w:val="00AE7680"/>
    <w:rsid w:val="00AF04A0"/>
    <w:rsid w:val="00AF09F1"/>
    <w:rsid w:val="00AF0F0F"/>
    <w:rsid w:val="00AF1281"/>
    <w:rsid w:val="00AF1EED"/>
    <w:rsid w:val="00AF21C4"/>
    <w:rsid w:val="00AF2958"/>
    <w:rsid w:val="00AF3413"/>
    <w:rsid w:val="00AF35BB"/>
    <w:rsid w:val="00AF36C5"/>
    <w:rsid w:val="00AF3A98"/>
    <w:rsid w:val="00AF3CA4"/>
    <w:rsid w:val="00AF4070"/>
    <w:rsid w:val="00AF42DB"/>
    <w:rsid w:val="00AF43B1"/>
    <w:rsid w:val="00AF4710"/>
    <w:rsid w:val="00AF472B"/>
    <w:rsid w:val="00AF5BBD"/>
    <w:rsid w:val="00AF63C7"/>
    <w:rsid w:val="00AF6729"/>
    <w:rsid w:val="00AF6FDE"/>
    <w:rsid w:val="00AF716C"/>
    <w:rsid w:val="00AF73DF"/>
    <w:rsid w:val="00AF74B6"/>
    <w:rsid w:val="00AF74C4"/>
    <w:rsid w:val="00B01207"/>
    <w:rsid w:val="00B01993"/>
    <w:rsid w:val="00B019A4"/>
    <w:rsid w:val="00B01FAF"/>
    <w:rsid w:val="00B027DC"/>
    <w:rsid w:val="00B02D64"/>
    <w:rsid w:val="00B02F7C"/>
    <w:rsid w:val="00B033B5"/>
    <w:rsid w:val="00B033F6"/>
    <w:rsid w:val="00B04937"/>
    <w:rsid w:val="00B04B1E"/>
    <w:rsid w:val="00B04B26"/>
    <w:rsid w:val="00B07685"/>
    <w:rsid w:val="00B10E9C"/>
    <w:rsid w:val="00B11BAC"/>
    <w:rsid w:val="00B12C07"/>
    <w:rsid w:val="00B12E29"/>
    <w:rsid w:val="00B1357D"/>
    <w:rsid w:val="00B13777"/>
    <w:rsid w:val="00B13CFA"/>
    <w:rsid w:val="00B13D57"/>
    <w:rsid w:val="00B14405"/>
    <w:rsid w:val="00B14F1F"/>
    <w:rsid w:val="00B14F96"/>
    <w:rsid w:val="00B16414"/>
    <w:rsid w:val="00B205BB"/>
    <w:rsid w:val="00B20687"/>
    <w:rsid w:val="00B217BF"/>
    <w:rsid w:val="00B222F0"/>
    <w:rsid w:val="00B23B09"/>
    <w:rsid w:val="00B23BDC"/>
    <w:rsid w:val="00B24191"/>
    <w:rsid w:val="00B24A1F"/>
    <w:rsid w:val="00B24ABC"/>
    <w:rsid w:val="00B24DD2"/>
    <w:rsid w:val="00B25928"/>
    <w:rsid w:val="00B25CED"/>
    <w:rsid w:val="00B26377"/>
    <w:rsid w:val="00B26A20"/>
    <w:rsid w:val="00B26A99"/>
    <w:rsid w:val="00B2704A"/>
    <w:rsid w:val="00B3083D"/>
    <w:rsid w:val="00B31B57"/>
    <w:rsid w:val="00B31F2D"/>
    <w:rsid w:val="00B336D2"/>
    <w:rsid w:val="00B34190"/>
    <w:rsid w:val="00B348A0"/>
    <w:rsid w:val="00B364B9"/>
    <w:rsid w:val="00B36FD1"/>
    <w:rsid w:val="00B37CD8"/>
    <w:rsid w:val="00B37D18"/>
    <w:rsid w:val="00B4084D"/>
    <w:rsid w:val="00B410E5"/>
    <w:rsid w:val="00B41FFF"/>
    <w:rsid w:val="00B42AC2"/>
    <w:rsid w:val="00B42D45"/>
    <w:rsid w:val="00B436FD"/>
    <w:rsid w:val="00B4462B"/>
    <w:rsid w:val="00B4465C"/>
    <w:rsid w:val="00B44940"/>
    <w:rsid w:val="00B45149"/>
    <w:rsid w:val="00B4565C"/>
    <w:rsid w:val="00B47893"/>
    <w:rsid w:val="00B501A5"/>
    <w:rsid w:val="00B50E95"/>
    <w:rsid w:val="00B51189"/>
    <w:rsid w:val="00B5134B"/>
    <w:rsid w:val="00B515C2"/>
    <w:rsid w:val="00B523DF"/>
    <w:rsid w:val="00B5297D"/>
    <w:rsid w:val="00B532F8"/>
    <w:rsid w:val="00B53C81"/>
    <w:rsid w:val="00B54022"/>
    <w:rsid w:val="00B54397"/>
    <w:rsid w:val="00B54776"/>
    <w:rsid w:val="00B550E8"/>
    <w:rsid w:val="00B5561B"/>
    <w:rsid w:val="00B55D55"/>
    <w:rsid w:val="00B55D63"/>
    <w:rsid w:val="00B564D9"/>
    <w:rsid w:val="00B57323"/>
    <w:rsid w:val="00B575AE"/>
    <w:rsid w:val="00B62F5B"/>
    <w:rsid w:val="00B62F87"/>
    <w:rsid w:val="00B630AF"/>
    <w:rsid w:val="00B63181"/>
    <w:rsid w:val="00B6485F"/>
    <w:rsid w:val="00B64FBE"/>
    <w:rsid w:val="00B6527E"/>
    <w:rsid w:val="00B673B1"/>
    <w:rsid w:val="00B677BF"/>
    <w:rsid w:val="00B677E8"/>
    <w:rsid w:val="00B67A1C"/>
    <w:rsid w:val="00B67A47"/>
    <w:rsid w:val="00B702A7"/>
    <w:rsid w:val="00B7037C"/>
    <w:rsid w:val="00B7049A"/>
    <w:rsid w:val="00B70D2E"/>
    <w:rsid w:val="00B70F41"/>
    <w:rsid w:val="00B71C36"/>
    <w:rsid w:val="00B72317"/>
    <w:rsid w:val="00B725D2"/>
    <w:rsid w:val="00B7301B"/>
    <w:rsid w:val="00B730AF"/>
    <w:rsid w:val="00B730BC"/>
    <w:rsid w:val="00B73D60"/>
    <w:rsid w:val="00B74502"/>
    <w:rsid w:val="00B7469F"/>
    <w:rsid w:val="00B74842"/>
    <w:rsid w:val="00B74E6F"/>
    <w:rsid w:val="00B751D4"/>
    <w:rsid w:val="00B75AD0"/>
    <w:rsid w:val="00B76846"/>
    <w:rsid w:val="00B77280"/>
    <w:rsid w:val="00B775C9"/>
    <w:rsid w:val="00B80052"/>
    <w:rsid w:val="00B81A98"/>
    <w:rsid w:val="00B81D76"/>
    <w:rsid w:val="00B82BDE"/>
    <w:rsid w:val="00B837C7"/>
    <w:rsid w:val="00B83EE3"/>
    <w:rsid w:val="00B841DD"/>
    <w:rsid w:val="00B85C41"/>
    <w:rsid w:val="00B86743"/>
    <w:rsid w:val="00B875F3"/>
    <w:rsid w:val="00B87B09"/>
    <w:rsid w:val="00B90410"/>
    <w:rsid w:val="00B909FF"/>
    <w:rsid w:val="00B91469"/>
    <w:rsid w:val="00B9347B"/>
    <w:rsid w:val="00B93ECC"/>
    <w:rsid w:val="00B940D1"/>
    <w:rsid w:val="00B946D9"/>
    <w:rsid w:val="00B94761"/>
    <w:rsid w:val="00B94B4E"/>
    <w:rsid w:val="00B94C72"/>
    <w:rsid w:val="00B961F5"/>
    <w:rsid w:val="00B96ABB"/>
    <w:rsid w:val="00B97317"/>
    <w:rsid w:val="00BA02B7"/>
    <w:rsid w:val="00BA041B"/>
    <w:rsid w:val="00BA1C46"/>
    <w:rsid w:val="00BA2B7D"/>
    <w:rsid w:val="00BA2BFE"/>
    <w:rsid w:val="00BA2EB9"/>
    <w:rsid w:val="00BA4744"/>
    <w:rsid w:val="00BA5245"/>
    <w:rsid w:val="00BA5AF3"/>
    <w:rsid w:val="00BA693D"/>
    <w:rsid w:val="00BA6BEC"/>
    <w:rsid w:val="00BA6C31"/>
    <w:rsid w:val="00BA7387"/>
    <w:rsid w:val="00BA7D7E"/>
    <w:rsid w:val="00BA7FBF"/>
    <w:rsid w:val="00BB03BD"/>
    <w:rsid w:val="00BB0E7E"/>
    <w:rsid w:val="00BB0F52"/>
    <w:rsid w:val="00BB1B9F"/>
    <w:rsid w:val="00BB21FF"/>
    <w:rsid w:val="00BB23F2"/>
    <w:rsid w:val="00BB28DD"/>
    <w:rsid w:val="00BB3331"/>
    <w:rsid w:val="00BB3464"/>
    <w:rsid w:val="00BB3AAC"/>
    <w:rsid w:val="00BB4565"/>
    <w:rsid w:val="00BB45BD"/>
    <w:rsid w:val="00BB4701"/>
    <w:rsid w:val="00BB48F0"/>
    <w:rsid w:val="00BB4E5B"/>
    <w:rsid w:val="00BB4F4C"/>
    <w:rsid w:val="00BB5083"/>
    <w:rsid w:val="00BB533C"/>
    <w:rsid w:val="00BB5FCF"/>
    <w:rsid w:val="00BB7EC6"/>
    <w:rsid w:val="00BC0408"/>
    <w:rsid w:val="00BC06A0"/>
    <w:rsid w:val="00BC09AE"/>
    <w:rsid w:val="00BC0EB4"/>
    <w:rsid w:val="00BC138B"/>
    <w:rsid w:val="00BC2016"/>
    <w:rsid w:val="00BC2511"/>
    <w:rsid w:val="00BC2949"/>
    <w:rsid w:val="00BC2E8B"/>
    <w:rsid w:val="00BC3154"/>
    <w:rsid w:val="00BC3DC9"/>
    <w:rsid w:val="00BC4301"/>
    <w:rsid w:val="00BC53D6"/>
    <w:rsid w:val="00BC58C5"/>
    <w:rsid w:val="00BC5B90"/>
    <w:rsid w:val="00BC66F2"/>
    <w:rsid w:val="00BC70A9"/>
    <w:rsid w:val="00BC7411"/>
    <w:rsid w:val="00BC79FE"/>
    <w:rsid w:val="00BD18F7"/>
    <w:rsid w:val="00BD194A"/>
    <w:rsid w:val="00BD224C"/>
    <w:rsid w:val="00BD27F0"/>
    <w:rsid w:val="00BD3478"/>
    <w:rsid w:val="00BD3882"/>
    <w:rsid w:val="00BD4740"/>
    <w:rsid w:val="00BD4A5D"/>
    <w:rsid w:val="00BD4E90"/>
    <w:rsid w:val="00BD4EF9"/>
    <w:rsid w:val="00BD5D4F"/>
    <w:rsid w:val="00BD6414"/>
    <w:rsid w:val="00BD6E54"/>
    <w:rsid w:val="00BD72C8"/>
    <w:rsid w:val="00BD7FD9"/>
    <w:rsid w:val="00BE0042"/>
    <w:rsid w:val="00BE08E1"/>
    <w:rsid w:val="00BE1F3D"/>
    <w:rsid w:val="00BE2852"/>
    <w:rsid w:val="00BE44F0"/>
    <w:rsid w:val="00BE4708"/>
    <w:rsid w:val="00BE471C"/>
    <w:rsid w:val="00BE5700"/>
    <w:rsid w:val="00BE6F5C"/>
    <w:rsid w:val="00BE6FF7"/>
    <w:rsid w:val="00BF05E5"/>
    <w:rsid w:val="00BF09DA"/>
    <w:rsid w:val="00BF128F"/>
    <w:rsid w:val="00BF130F"/>
    <w:rsid w:val="00BF1C8C"/>
    <w:rsid w:val="00BF3C99"/>
    <w:rsid w:val="00BF4002"/>
    <w:rsid w:val="00BF44CF"/>
    <w:rsid w:val="00BF489A"/>
    <w:rsid w:val="00BF4F73"/>
    <w:rsid w:val="00BF5447"/>
    <w:rsid w:val="00BF59C5"/>
    <w:rsid w:val="00BF6FCB"/>
    <w:rsid w:val="00C00417"/>
    <w:rsid w:val="00C004EF"/>
    <w:rsid w:val="00C01028"/>
    <w:rsid w:val="00C0108C"/>
    <w:rsid w:val="00C02289"/>
    <w:rsid w:val="00C0284F"/>
    <w:rsid w:val="00C028E5"/>
    <w:rsid w:val="00C02978"/>
    <w:rsid w:val="00C030CF"/>
    <w:rsid w:val="00C0350E"/>
    <w:rsid w:val="00C0365F"/>
    <w:rsid w:val="00C03807"/>
    <w:rsid w:val="00C053C5"/>
    <w:rsid w:val="00C06695"/>
    <w:rsid w:val="00C06C86"/>
    <w:rsid w:val="00C06EE5"/>
    <w:rsid w:val="00C108E8"/>
    <w:rsid w:val="00C10B15"/>
    <w:rsid w:val="00C10E06"/>
    <w:rsid w:val="00C11792"/>
    <w:rsid w:val="00C11A3B"/>
    <w:rsid w:val="00C12642"/>
    <w:rsid w:val="00C12912"/>
    <w:rsid w:val="00C13061"/>
    <w:rsid w:val="00C130A2"/>
    <w:rsid w:val="00C136F9"/>
    <w:rsid w:val="00C14C74"/>
    <w:rsid w:val="00C15309"/>
    <w:rsid w:val="00C1542C"/>
    <w:rsid w:val="00C157AE"/>
    <w:rsid w:val="00C163D7"/>
    <w:rsid w:val="00C1688A"/>
    <w:rsid w:val="00C17E9E"/>
    <w:rsid w:val="00C211E6"/>
    <w:rsid w:val="00C21DC9"/>
    <w:rsid w:val="00C21F3B"/>
    <w:rsid w:val="00C22FCA"/>
    <w:rsid w:val="00C23179"/>
    <w:rsid w:val="00C23DDF"/>
    <w:rsid w:val="00C240FD"/>
    <w:rsid w:val="00C24390"/>
    <w:rsid w:val="00C2534D"/>
    <w:rsid w:val="00C255C9"/>
    <w:rsid w:val="00C25775"/>
    <w:rsid w:val="00C268E4"/>
    <w:rsid w:val="00C270B6"/>
    <w:rsid w:val="00C306E6"/>
    <w:rsid w:val="00C31C6C"/>
    <w:rsid w:val="00C32008"/>
    <w:rsid w:val="00C32554"/>
    <w:rsid w:val="00C325B7"/>
    <w:rsid w:val="00C32741"/>
    <w:rsid w:val="00C32ED4"/>
    <w:rsid w:val="00C34E23"/>
    <w:rsid w:val="00C3531E"/>
    <w:rsid w:val="00C35C1B"/>
    <w:rsid w:val="00C35EF4"/>
    <w:rsid w:val="00C36785"/>
    <w:rsid w:val="00C36DD9"/>
    <w:rsid w:val="00C37011"/>
    <w:rsid w:val="00C407AF"/>
    <w:rsid w:val="00C4128C"/>
    <w:rsid w:val="00C420BE"/>
    <w:rsid w:val="00C421B1"/>
    <w:rsid w:val="00C4295D"/>
    <w:rsid w:val="00C42EC6"/>
    <w:rsid w:val="00C42FA6"/>
    <w:rsid w:val="00C4309C"/>
    <w:rsid w:val="00C4388D"/>
    <w:rsid w:val="00C43F7E"/>
    <w:rsid w:val="00C451A3"/>
    <w:rsid w:val="00C45516"/>
    <w:rsid w:val="00C45600"/>
    <w:rsid w:val="00C45EE7"/>
    <w:rsid w:val="00C46510"/>
    <w:rsid w:val="00C46BFC"/>
    <w:rsid w:val="00C475C0"/>
    <w:rsid w:val="00C47D1D"/>
    <w:rsid w:val="00C500AB"/>
    <w:rsid w:val="00C50BC9"/>
    <w:rsid w:val="00C50BD4"/>
    <w:rsid w:val="00C51D17"/>
    <w:rsid w:val="00C5239D"/>
    <w:rsid w:val="00C52C44"/>
    <w:rsid w:val="00C53609"/>
    <w:rsid w:val="00C53999"/>
    <w:rsid w:val="00C54F57"/>
    <w:rsid w:val="00C550B1"/>
    <w:rsid w:val="00C551D0"/>
    <w:rsid w:val="00C55CC5"/>
    <w:rsid w:val="00C56329"/>
    <w:rsid w:val="00C564D0"/>
    <w:rsid w:val="00C5678B"/>
    <w:rsid w:val="00C57631"/>
    <w:rsid w:val="00C57673"/>
    <w:rsid w:val="00C57F60"/>
    <w:rsid w:val="00C60087"/>
    <w:rsid w:val="00C60125"/>
    <w:rsid w:val="00C60D57"/>
    <w:rsid w:val="00C60DDD"/>
    <w:rsid w:val="00C616F3"/>
    <w:rsid w:val="00C62263"/>
    <w:rsid w:val="00C6254C"/>
    <w:rsid w:val="00C62831"/>
    <w:rsid w:val="00C62BD2"/>
    <w:rsid w:val="00C63384"/>
    <w:rsid w:val="00C63A7F"/>
    <w:rsid w:val="00C6432A"/>
    <w:rsid w:val="00C64C80"/>
    <w:rsid w:val="00C64F8C"/>
    <w:rsid w:val="00C65244"/>
    <w:rsid w:val="00C65550"/>
    <w:rsid w:val="00C65F56"/>
    <w:rsid w:val="00C66624"/>
    <w:rsid w:val="00C66D0C"/>
    <w:rsid w:val="00C6727B"/>
    <w:rsid w:val="00C6748A"/>
    <w:rsid w:val="00C7003B"/>
    <w:rsid w:val="00C70064"/>
    <w:rsid w:val="00C713AB"/>
    <w:rsid w:val="00C71AB5"/>
    <w:rsid w:val="00C72C63"/>
    <w:rsid w:val="00C72DAA"/>
    <w:rsid w:val="00C73581"/>
    <w:rsid w:val="00C73875"/>
    <w:rsid w:val="00C73BC7"/>
    <w:rsid w:val="00C74A83"/>
    <w:rsid w:val="00C74B6D"/>
    <w:rsid w:val="00C75086"/>
    <w:rsid w:val="00C75483"/>
    <w:rsid w:val="00C7560A"/>
    <w:rsid w:val="00C7561E"/>
    <w:rsid w:val="00C76566"/>
    <w:rsid w:val="00C766D1"/>
    <w:rsid w:val="00C76DFB"/>
    <w:rsid w:val="00C77288"/>
    <w:rsid w:val="00C77555"/>
    <w:rsid w:val="00C777C9"/>
    <w:rsid w:val="00C77E9F"/>
    <w:rsid w:val="00C77FDD"/>
    <w:rsid w:val="00C80843"/>
    <w:rsid w:val="00C81D06"/>
    <w:rsid w:val="00C8322A"/>
    <w:rsid w:val="00C83F75"/>
    <w:rsid w:val="00C843EA"/>
    <w:rsid w:val="00C8442E"/>
    <w:rsid w:val="00C85CB4"/>
    <w:rsid w:val="00C8610A"/>
    <w:rsid w:val="00C86172"/>
    <w:rsid w:val="00C86989"/>
    <w:rsid w:val="00C86BC6"/>
    <w:rsid w:val="00C86CCB"/>
    <w:rsid w:val="00C874C0"/>
    <w:rsid w:val="00C87EF3"/>
    <w:rsid w:val="00C90133"/>
    <w:rsid w:val="00C90F36"/>
    <w:rsid w:val="00C94010"/>
    <w:rsid w:val="00C9463A"/>
    <w:rsid w:val="00C9483C"/>
    <w:rsid w:val="00C94A25"/>
    <w:rsid w:val="00C9510B"/>
    <w:rsid w:val="00C9540A"/>
    <w:rsid w:val="00C95D31"/>
    <w:rsid w:val="00C96A81"/>
    <w:rsid w:val="00C97ACD"/>
    <w:rsid w:val="00CA04BF"/>
    <w:rsid w:val="00CA09CA"/>
    <w:rsid w:val="00CA1257"/>
    <w:rsid w:val="00CA24F3"/>
    <w:rsid w:val="00CA2CAB"/>
    <w:rsid w:val="00CA317D"/>
    <w:rsid w:val="00CA4174"/>
    <w:rsid w:val="00CA47B2"/>
    <w:rsid w:val="00CA5A7B"/>
    <w:rsid w:val="00CA68AC"/>
    <w:rsid w:val="00CA7255"/>
    <w:rsid w:val="00CA7487"/>
    <w:rsid w:val="00CA77E5"/>
    <w:rsid w:val="00CA79E2"/>
    <w:rsid w:val="00CB0342"/>
    <w:rsid w:val="00CB0459"/>
    <w:rsid w:val="00CB0804"/>
    <w:rsid w:val="00CB0D65"/>
    <w:rsid w:val="00CB10A8"/>
    <w:rsid w:val="00CB2B98"/>
    <w:rsid w:val="00CB47C0"/>
    <w:rsid w:val="00CB4A60"/>
    <w:rsid w:val="00CB55F4"/>
    <w:rsid w:val="00CB5A00"/>
    <w:rsid w:val="00CB6128"/>
    <w:rsid w:val="00CB76AD"/>
    <w:rsid w:val="00CB7D10"/>
    <w:rsid w:val="00CC25F1"/>
    <w:rsid w:val="00CC2B33"/>
    <w:rsid w:val="00CC2D2D"/>
    <w:rsid w:val="00CC3345"/>
    <w:rsid w:val="00CC3596"/>
    <w:rsid w:val="00CC3C76"/>
    <w:rsid w:val="00CC43DF"/>
    <w:rsid w:val="00CC4C26"/>
    <w:rsid w:val="00CC4EA2"/>
    <w:rsid w:val="00CC4F00"/>
    <w:rsid w:val="00CC54E2"/>
    <w:rsid w:val="00CC5A05"/>
    <w:rsid w:val="00CC6133"/>
    <w:rsid w:val="00CC66CC"/>
    <w:rsid w:val="00CC6E82"/>
    <w:rsid w:val="00CC6F65"/>
    <w:rsid w:val="00CC7358"/>
    <w:rsid w:val="00CC7C92"/>
    <w:rsid w:val="00CD0353"/>
    <w:rsid w:val="00CD1509"/>
    <w:rsid w:val="00CD1797"/>
    <w:rsid w:val="00CD1F99"/>
    <w:rsid w:val="00CD2002"/>
    <w:rsid w:val="00CD2331"/>
    <w:rsid w:val="00CD233E"/>
    <w:rsid w:val="00CD23A1"/>
    <w:rsid w:val="00CD2A59"/>
    <w:rsid w:val="00CD2C0D"/>
    <w:rsid w:val="00CD2D84"/>
    <w:rsid w:val="00CD2E1D"/>
    <w:rsid w:val="00CD56AB"/>
    <w:rsid w:val="00CD5F9D"/>
    <w:rsid w:val="00CD63D7"/>
    <w:rsid w:val="00CD64CC"/>
    <w:rsid w:val="00CD712B"/>
    <w:rsid w:val="00CD71B0"/>
    <w:rsid w:val="00CD74CE"/>
    <w:rsid w:val="00CE0727"/>
    <w:rsid w:val="00CE1830"/>
    <w:rsid w:val="00CE1F78"/>
    <w:rsid w:val="00CE208B"/>
    <w:rsid w:val="00CE3695"/>
    <w:rsid w:val="00CE3C65"/>
    <w:rsid w:val="00CE3D5E"/>
    <w:rsid w:val="00CE4140"/>
    <w:rsid w:val="00CE5E0A"/>
    <w:rsid w:val="00CE651F"/>
    <w:rsid w:val="00CE68AC"/>
    <w:rsid w:val="00CE6DB9"/>
    <w:rsid w:val="00CE7389"/>
    <w:rsid w:val="00CE7AF9"/>
    <w:rsid w:val="00CE7C57"/>
    <w:rsid w:val="00CF0004"/>
    <w:rsid w:val="00CF0842"/>
    <w:rsid w:val="00CF0D88"/>
    <w:rsid w:val="00CF0F52"/>
    <w:rsid w:val="00CF19B3"/>
    <w:rsid w:val="00CF1F6F"/>
    <w:rsid w:val="00CF2155"/>
    <w:rsid w:val="00CF2374"/>
    <w:rsid w:val="00CF267B"/>
    <w:rsid w:val="00CF329D"/>
    <w:rsid w:val="00CF3A37"/>
    <w:rsid w:val="00CF4FE2"/>
    <w:rsid w:val="00CF5551"/>
    <w:rsid w:val="00CF57BC"/>
    <w:rsid w:val="00CF5F6D"/>
    <w:rsid w:val="00CF6CFD"/>
    <w:rsid w:val="00CF7B5B"/>
    <w:rsid w:val="00CF7CFD"/>
    <w:rsid w:val="00CF7DE9"/>
    <w:rsid w:val="00D00325"/>
    <w:rsid w:val="00D00B81"/>
    <w:rsid w:val="00D00FAD"/>
    <w:rsid w:val="00D00FFC"/>
    <w:rsid w:val="00D01015"/>
    <w:rsid w:val="00D01623"/>
    <w:rsid w:val="00D029D2"/>
    <w:rsid w:val="00D030C1"/>
    <w:rsid w:val="00D03373"/>
    <w:rsid w:val="00D047AC"/>
    <w:rsid w:val="00D04FFE"/>
    <w:rsid w:val="00D05204"/>
    <w:rsid w:val="00D054DF"/>
    <w:rsid w:val="00D05786"/>
    <w:rsid w:val="00D05D90"/>
    <w:rsid w:val="00D064EE"/>
    <w:rsid w:val="00D06826"/>
    <w:rsid w:val="00D07167"/>
    <w:rsid w:val="00D0719C"/>
    <w:rsid w:val="00D0737B"/>
    <w:rsid w:val="00D07E4E"/>
    <w:rsid w:val="00D07FA8"/>
    <w:rsid w:val="00D103D7"/>
    <w:rsid w:val="00D11838"/>
    <w:rsid w:val="00D12A45"/>
    <w:rsid w:val="00D12D75"/>
    <w:rsid w:val="00D13588"/>
    <w:rsid w:val="00D13715"/>
    <w:rsid w:val="00D14966"/>
    <w:rsid w:val="00D161EB"/>
    <w:rsid w:val="00D1742E"/>
    <w:rsid w:val="00D17801"/>
    <w:rsid w:val="00D17970"/>
    <w:rsid w:val="00D17B53"/>
    <w:rsid w:val="00D20288"/>
    <w:rsid w:val="00D209BF"/>
    <w:rsid w:val="00D20A17"/>
    <w:rsid w:val="00D213F2"/>
    <w:rsid w:val="00D21627"/>
    <w:rsid w:val="00D21CB1"/>
    <w:rsid w:val="00D22481"/>
    <w:rsid w:val="00D231AF"/>
    <w:rsid w:val="00D2346F"/>
    <w:rsid w:val="00D2466A"/>
    <w:rsid w:val="00D24CEE"/>
    <w:rsid w:val="00D25C05"/>
    <w:rsid w:val="00D2678F"/>
    <w:rsid w:val="00D26BBE"/>
    <w:rsid w:val="00D26C32"/>
    <w:rsid w:val="00D276C9"/>
    <w:rsid w:val="00D27B8E"/>
    <w:rsid w:val="00D27C4C"/>
    <w:rsid w:val="00D30D0E"/>
    <w:rsid w:val="00D30DA7"/>
    <w:rsid w:val="00D30E19"/>
    <w:rsid w:val="00D3189B"/>
    <w:rsid w:val="00D318B6"/>
    <w:rsid w:val="00D331A6"/>
    <w:rsid w:val="00D337F2"/>
    <w:rsid w:val="00D33D17"/>
    <w:rsid w:val="00D33E0D"/>
    <w:rsid w:val="00D3520F"/>
    <w:rsid w:val="00D37BF1"/>
    <w:rsid w:val="00D37C29"/>
    <w:rsid w:val="00D40216"/>
    <w:rsid w:val="00D40861"/>
    <w:rsid w:val="00D41188"/>
    <w:rsid w:val="00D41486"/>
    <w:rsid w:val="00D416D7"/>
    <w:rsid w:val="00D42B8F"/>
    <w:rsid w:val="00D433F9"/>
    <w:rsid w:val="00D44DCC"/>
    <w:rsid w:val="00D451C6"/>
    <w:rsid w:val="00D46C6A"/>
    <w:rsid w:val="00D46F17"/>
    <w:rsid w:val="00D4706E"/>
    <w:rsid w:val="00D477C7"/>
    <w:rsid w:val="00D479B4"/>
    <w:rsid w:val="00D47D55"/>
    <w:rsid w:val="00D5008D"/>
    <w:rsid w:val="00D50827"/>
    <w:rsid w:val="00D509A5"/>
    <w:rsid w:val="00D50F83"/>
    <w:rsid w:val="00D5453B"/>
    <w:rsid w:val="00D54919"/>
    <w:rsid w:val="00D54E0F"/>
    <w:rsid w:val="00D551FF"/>
    <w:rsid w:val="00D5520C"/>
    <w:rsid w:val="00D5557F"/>
    <w:rsid w:val="00D55889"/>
    <w:rsid w:val="00D55B27"/>
    <w:rsid w:val="00D55FBA"/>
    <w:rsid w:val="00D5655E"/>
    <w:rsid w:val="00D5686F"/>
    <w:rsid w:val="00D57C0F"/>
    <w:rsid w:val="00D57C3B"/>
    <w:rsid w:val="00D57FC5"/>
    <w:rsid w:val="00D60DF7"/>
    <w:rsid w:val="00D61E5E"/>
    <w:rsid w:val="00D6220B"/>
    <w:rsid w:val="00D631AC"/>
    <w:rsid w:val="00D63AD3"/>
    <w:rsid w:val="00D6423B"/>
    <w:rsid w:val="00D6429D"/>
    <w:rsid w:val="00D64ED5"/>
    <w:rsid w:val="00D64F44"/>
    <w:rsid w:val="00D66300"/>
    <w:rsid w:val="00D67416"/>
    <w:rsid w:val="00D67D28"/>
    <w:rsid w:val="00D70041"/>
    <w:rsid w:val="00D70150"/>
    <w:rsid w:val="00D74AD5"/>
    <w:rsid w:val="00D757E9"/>
    <w:rsid w:val="00D75986"/>
    <w:rsid w:val="00D75BB3"/>
    <w:rsid w:val="00D762EA"/>
    <w:rsid w:val="00D7633A"/>
    <w:rsid w:val="00D76CCB"/>
    <w:rsid w:val="00D77C14"/>
    <w:rsid w:val="00D801E8"/>
    <w:rsid w:val="00D80B35"/>
    <w:rsid w:val="00D8167F"/>
    <w:rsid w:val="00D82C86"/>
    <w:rsid w:val="00D83250"/>
    <w:rsid w:val="00D83318"/>
    <w:rsid w:val="00D8384F"/>
    <w:rsid w:val="00D8452F"/>
    <w:rsid w:val="00D84D3A"/>
    <w:rsid w:val="00D85F9E"/>
    <w:rsid w:val="00D8651F"/>
    <w:rsid w:val="00D8676F"/>
    <w:rsid w:val="00D86806"/>
    <w:rsid w:val="00D86D55"/>
    <w:rsid w:val="00D87223"/>
    <w:rsid w:val="00D87AD8"/>
    <w:rsid w:val="00D90213"/>
    <w:rsid w:val="00D902A9"/>
    <w:rsid w:val="00D903D7"/>
    <w:rsid w:val="00D90629"/>
    <w:rsid w:val="00D90890"/>
    <w:rsid w:val="00D90BD0"/>
    <w:rsid w:val="00D9137E"/>
    <w:rsid w:val="00D91DB2"/>
    <w:rsid w:val="00D92559"/>
    <w:rsid w:val="00D926F1"/>
    <w:rsid w:val="00D92DD3"/>
    <w:rsid w:val="00D931BF"/>
    <w:rsid w:val="00D937D1"/>
    <w:rsid w:val="00D93806"/>
    <w:rsid w:val="00D93ED7"/>
    <w:rsid w:val="00D943CB"/>
    <w:rsid w:val="00D944FF"/>
    <w:rsid w:val="00D94E32"/>
    <w:rsid w:val="00D95D18"/>
    <w:rsid w:val="00D96A35"/>
    <w:rsid w:val="00D96EC3"/>
    <w:rsid w:val="00D9738E"/>
    <w:rsid w:val="00D97B92"/>
    <w:rsid w:val="00DA04D9"/>
    <w:rsid w:val="00DA0E8B"/>
    <w:rsid w:val="00DA2035"/>
    <w:rsid w:val="00DA2099"/>
    <w:rsid w:val="00DA29A0"/>
    <w:rsid w:val="00DA2B90"/>
    <w:rsid w:val="00DA32CD"/>
    <w:rsid w:val="00DA344A"/>
    <w:rsid w:val="00DA3E85"/>
    <w:rsid w:val="00DA428A"/>
    <w:rsid w:val="00DA5226"/>
    <w:rsid w:val="00DA60BA"/>
    <w:rsid w:val="00DA60D2"/>
    <w:rsid w:val="00DA6EC0"/>
    <w:rsid w:val="00DA7A80"/>
    <w:rsid w:val="00DB07D4"/>
    <w:rsid w:val="00DB0C8E"/>
    <w:rsid w:val="00DB0DCF"/>
    <w:rsid w:val="00DB2B5A"/>
    <w:rsid w:val="00DB2C5E"/>
    <w:rsid w:val="00DB2EE0"/>
    <w:rsid w:val="00DB3A55"/>
    <w:rsid w:val="00DB4550"/>
    <w:rsid w:val="00DB4B0B"/>
    <w:rsid w:val="00DB4B94"/>
    <w:rsid w:val="00DB5464"/>
    <w:rsid w:val="00DB5843"/>
    <w:rsid w:val="00DB5DC2"/>
    <w:rsid w:val="00DB7552"/>
    <w:rsid w:val="00DB7D0C"/>
    <w:rsid w:val="00DC0862"/>
    <w:rsid w:val="00DC0C3E"/>
    <w:rsid w:val="00DC0E26"/>
    <w:rsid w:val="00DC12FF"/>
    <w:rsid w:val="00DC29C7"/>
    <w:rsid w:val="00DC3CA1"/>
    <w:rsid w:val="00DC42A2"/>
    <w:rsid w:val="00DC48EF"/>
    <w:rsid w:val="00DC49FE"/>
    <w:rsid w:val="00DC503C"/>
    <w:rsid w:val="00DC56FF"/>
    <w:rsid w:val="00DC5B76"/>
    <w:rsid w:val="00DC691C"/>
    <w:rsid w:val="00DC6E57"/>
    <w:rsid w:val="00DC745E"/>
    <w:rsid w:val="00DC7772"/>
    <w:rsid w:val="00DD05A5"/>
    <w:rsid w:val="00DD0ADA"/>
    <w:rsid w:val="00DD1AF6"/>
    <w:rsid w:val="00DD208E"/>
    <w:rsid w:val="00DD21F3"/>
    <w:rsid w:val="00DD2E10"/>
    <w:rsid w:val="00DD3172"/>
    <w:rsid w:val="00DD31A2"/>
    <w:rsid w:val="00DD31F3"/>
    <w:rsid w:val="00DD463F"/>
    <w:rsid w:val="00DD4825"/>
    <w:rsid w:val="00DD5365"/>
    <w:rsid w:val="00DD56E3"/>
    <w:rsid w:val="00DD5E11"/>
    <w:rsid w:val="00DD5FDC"/>
    <w:rsid w:val="00DD6CD5"/>
    <w:rsid w:val="00DE05FD"/>
    <w:rsid w:val="00DE1EA6"/>
    <w:rsid w:val="00DE1F81"/>
    <w:rsid w:val="00DE2E22"/>
    <w:rsid w:val="00DE3DD5"/>
    <w:rsid w:val="00DE3EBA"/>
    <w:rsid w:val="00DE3FE4"/>
    <w:rsid w:val="00DE4362"/>
    <w:rsid w:val="00DE4FE2"/>
    <w:rsid w:val="00DE52E5"/>
    <w:rsid w:val="00DE57F0"/>
    <w:rsid w:val="00DE6B99"/>
    <w:rsid w:val="00DE71BA"/>
    <w:rsid w:val="00DE7FA3"/>
    <w:rsid w:val="00DF0CD0"/>
    <w:rsid w:val="00DF0F8C"/>
    <w:rsid w:val="00DF1079"/>
    <w:rsid w:val="00DF146B"/>
    <w:rsid w:val="00DF14D9"/>
    <w:rsid w:val="00DF1FA0"/>
    <w:rsid w:val="00DF2C99"/>
    <w:rsid w:val="00DF32E3"/>
    <w:rsid w:val="00DF39A4"/>
    <w:rsid w:val="00DF3F5B"/>
    <w:rsid w:val="00DF4399"/>
    <w:rsid w:val="00DF50AE"/>
    <w:rsid w:val="00DF62B5"/>
    <w:rsid w:val="00DF631F"/>
    <w:rsid w:val="00DF6491"/>
    <w:rsid w:val="00DF75B1"/>
    <w:rsid w:val="00DF7998"/>
    <w:rsid w:val="00E0001A"/>
    <w:rsid w:val="00E005A2"/>
    <w:rsid w:val="00E00A45"/>
    <w:rsid w:val="00E024FE"/>
    <w:rsid w:val="00E035C9"/>
    <w:rsid w:val="00E03716"/>
    <w:rsid w:val="00E03F5E"/>
    <w:rsid w:val="00E0408A"/>
    <w:rsid w:val="00E04908"/>
    <w:rsid w:val="00E05184"/>
    <w:rsid w:val="00E05D56"/>
    <w:rsid w:val="00E066EB"/>
    <w:rsid w:val="00E06B97"/>
    <w:rsid w:val="00E07B26"/>
    <w:rsid w:val="00E07EFE"/>
    <w:rsid w:val="00E110F7"/>
    <w:rsid w:val="00E13A9C"/>
    <w:rsid w:val="00E13D3A"/>
    <w:rsid w:val="00E1462D"/>
    <w:rsid w:val="00E14A0B"/>
    <w:rsid w:val="00E14AAA"/>
    <w:rsid w:val="00E14CF5"/>
    <w:rsid w:val="00E1642E"/>
    <w:rsid w:val="00E16B4E"/>
    <w:rsid w:val="00E16C80"/>
    <w:rsid w:val="00E17D0D"/>
    <w:rsid w:val="00E2145D"/>
    <w:rsid w:val="00E227B0"/>
    <w:rsid w:val="00E233BA"/>
    <w:rsid w:val="00E240F2"/>
    <w:rsid w:val="00E24177"/>
    <w:rsid w:val="00E24301"/>
    <w:rsid w:val="00E248BF"/>
    <w:rsid w:val="00E24BD9"/>
    <w:rsid w:val="00E26700"/>
    <w:rsid w:val="00E27B88"/>
    <w:rsid w:val="00E27C8A"/>
    <w:rsid w:val="00E27DE4"/>
    <w:rsid w:val="00E303D0"/>
    <w:rsid w:val="00E32027"/>
    <w:rsid w:val="00E3235F"/>
    <w:rsid w:val="00E32E27"/>
    <w:rsid w:val="00E3364A"/>
    <w:rsid w:val="00E336E5"/>
    <w:rsid w:val="00E33A23"/>
    <w:rsid w:val="00E35201"/>
    <w:rsid w:val="00E35A93"/>
    <w:rsid w:val="00E35FC7"/>
    <w:rsid w:val="00E3654F"/>
    <w:rsid w:val="00E3699B"/>
    <w:rsid w:val="00E36C71"/>
    <w:rsid w:val="00E36DFA"/>
    <w:rsid w:val="00E375ED"/>
    <w:rsid w:val="00E3797C"/>
    <w:rsid w:val="00E37CA8"/>
    <w:rsid w:val="00E40378"/>
    <w:rsid w:val="00E40773"/>
    <w:rsid w:val="00E40786"/>
    <w:rsid w:val="00E41099"/>
    <w:rsid w:val="00E41354"/>
    <w:rsid w:val="00E41754"/>
    <w:rsid w:val="00E420B7"/>
    <w:rsid w:val="00E436F3"/>
    <w:rsid w:val="00E445E7"/>
    <w:rsid w:val="00E4474A"/>
    <w:rsid w:val="00E45A6C"/>
    <w:rsid w:val="00E46178"/>
    <w:rsid w:val="00E47160"/>
    <w:rsid w:val="00E5089B"/>
    <w:rsid w:val="00E50D64"/>
    <w:rsid w:val="00E5146A"/>
    <w:rsid w:val="00E5263B"/>
    <w:rsid w:val="00E52A92"/>
    <w:rsid w:val="00E52AF1"/>
    <w:rsid w:val="00E52E85"/>
    <w:rsid w:val="00E53EFB"/>
    <w:rsid w:val="00E54146"/>
    <w:rsid w:val="00E54329"/>
    <w:rsid w:val="00E543B2"/>
    <w:rsid w:val="00E54F28"/>
    <w:rsid w:val="00E55928"/>
    <w:rsid w:val="00E55E7E"/>
    <w:rsid w:val="00E5640A"/>
    <w:rsid w:val="00E56DCD"/>
    <w:rsid w:val="00E57C9D"/>
    <w:rsid w:val="00E57EC7"/>
    <w:rsid w:val="00E608B3"/>
    <w:rsid w:val="00E618E6"/>
    <w:rsid w:val="00E61A07"/>
    <w:rsid w:val="00E624A6"/>
    <w:rsid w:val="00E630E6"/>
    <w:rsid w:val="00E6330B"/>
    <w:rsid w:val="00E63590"/>
    <w:rsid w:val="00E642C9"/>
    <w:rsid w:val="00E64482"/>
    <w:rsid w:val="00E6489A"/>
    <w:rsid w:val="00E64AD4"/>
    <w:rsid w:val="00E64D75"/>
    <w:rsid w:val="00E65FD5"/>
    <w:rsid w:val="00E66062"/>
    <w:rsid w:val="00E66CB6"/>
    <w:rsid w:val="00E670E7"/>
    <w:rsid w:val="00E67CD3"/>
    <w:rsid w:val="00E7160C"/>
    <w:rsid w:val="00E71781"/>
    <w:rsid w:val="00E71B86"/>
    <w:rsid w:val="00E71C68"/>
    <w:rsid w:val="00E7200A"/>
    <w:rsid w:val="00E72116"/>
    <w:rsid w:val="00E721DE"/>
    <w:rsid w:val="00E729F2"/>
    <w:rsid w:val="00E73E97"/>
    <w:rsid w:val="00E7445C"/>
    <w:rsid w:val="00E74785"/>
    <w:rsid w:val="00E74BBD"/>
    <w:rsid w:val="00E74BD1"/>
    <w:rsid w:val="00E74F4F"/>
    <w:rsid w:val="00E754F5"/>
    <w:rsid w:val="00E758AD"/>
    <w:rsid w:val="00E77416"/>
    <w:rsid w:val="00E800AA"/>
    <w:rsid w:val="00E80324"/>
    <w:rsid w:val="00E807D1"/>
    <w:rsid w:val="00E80CD2"/>
    <w:rsid w:val="00E81F59"/>
    <w:rsid w:val="00E82218"/>
    <w:rsid w:val="00E828EE"/>
    <w:rsid w:val="00E828F1"/>
    <w:rsid w:val="00E82F72"/>
    <w:rsid w:val="00E83477"/>
    <w:rsid w:val="00E8422E"/>
    <w:rsid w:val="00E8510E"/>
    <w:rsid w:val="00E856F5"/>
    <w:rsid w:val="00E859D9"/>
    <w:rsid w:val="00E86F19"/>
    <w:rsid w:val="00E87E35"/>
    <w:rsid w:val="00E87E48"/>
    <w:rsid w:val="00E9051B"/>
    <w:rsid w:val="00E905EF"/>
    <w:rsid w:val="00E90F37"/>
    <w:rsid w:val="00E92098"/>
    <w:rsid w:val="00E926D8"/>
    <w:rsid w:val="00E92C85"/>
    <w:rsid w:val="00E9334A"/>
    <w:rsid w:val="00E93872"/>
    <w:rsid w:val="00E940FA"/>
    <w:rsid w:val="00E94ADD"/>
    <w:rsid w:val="00E9551E"/>
    <w:rsid w:val="00E96FB1"/>
    <w:rsid w:val="00E9717F"/>
    <w:rsid w:val="00EA0737"/>
    <w:rsid w:val="00EA0F86"/>
    <w:rsid w:val="00EA1421"/>
    <w:rsid w:val="00EA1E17"/>
    <w:rsid w:val="00EA354A"/>
    <w:rsid w:val="00EA37B3"/>
    <w:rsid w:val="00EA4580"/>
    <w:rsid w:val="00EA4E3E"/>
    <w:rsid w:val="00EA66AC"/>
    <w:rsid w:val="00EA6912"/>
    <w:rsid w:val="00EA6B21"/>
    <w:rsid w:val="00EA7A28"/>
    <w:rsid w:val="00EB0C1E"/>
    <w:rsid w:val="00EB128F"/>
    <w:rsid w:val="00EB1507"/>
    <w:rsid w:val="00EB1659"/>
    <w:rsid w:val="00EB2934"/>
    <w:rsid w:val="00EB29FD"/>
    <w:rsid w:val="00EB2B42"/>
    <w:rsid w:val="00EB2F86"/>
    <w:rsid w:val="00EB3685"/>
    <w:rsid w:val="00EB40B5"/>
    <w:rsid w:val="00EB47F2"/>
    <w:rsid w:val="00EB504C"/>
    <w:rsid w:val="00EB5229"/>
    <w:rsid w:val="00EB5C80"/>
    <w:rsid w:val="00EB78CF"/>
    <w:rsid w:val="00EC08C1"/>
    <w:rsid w:val="00EC136D"/>
    <w:rsid w:val="00EC163E"/>
    <w:rsid w:val="00EC23DE"/>
    <w:rsid w:val="00EC2993"/>
    <w:rsid w:val="00EC2B4D"/>
    <w:rsid w:val="00EC3528"/>
    <w:rsid w:val="00EC371E"/>
    <w:rsid w:val="00EC504E"/>
    <w:rsid w:val="00EC5D19"/>
    <w:rsid w:val="00EC6AEA"/>
    <w:rsid w:val="00EC72D6"/>
    <w:rsid w:val="00EC72D8"/>
    <w:rsid w:val="00EC74F7"/>
    <w:rsid w:val="00EC792D"/>
    <w:rsid w:val="00ED009B"/>
    <w:rsid w:val="00ED0295"/>
    <w:rsid w:val="00ED06A3"/>
    <w:rsid w:val="00ED1084"/>
    <w:rsid w:val="00ED16E5"/>
    <w:rsid w:val="00ED1D29"/>
    <w:rsid w:val="00ED3D64"/>
    <w:rsid w:val="00ED4161"/>
    <w:rsid w:val="00ED4193"/>
    <w:rsid w:val="00ED432B"/>
    <w:rsid w:val="00ED4A57"/>
    <w:rsid w:val="00ED4E8A"/>
    <w:rsid w:val="00ED4F66"/>
    <w:rsid w:val="00ED51F0"/>
    <w:rsid w:val="00ED523D"/>
    <w:rsid w:val="00ED535E"/>
    <w:rsid w:val="00ED6C5F"/>
    <w:rsid w:val="00ED75FB"/>
    <w:rsid w:val="00EE01DF"/>
    <w:rsid w:val="00EE106A"/>
    <w:rsid w:val="00EE177E"/>
    <w:rsid w:val="00EE18DA"/>
    <w:rsid w:val="00EE1BED"/>
    <w:rsid w:val="00EE1F11"/>
    <w:rsid w:val="00EE4AC5"/>
    <w:rsid w:val="00EE4E5A"/>
    <w:rsid w:val="00EE5519"/>
    <w:rsid w:val="00EE5CB7"/>
    <w:rsid w:val="00EE61FF"/>
    <w:rsid w:val="00EE6A16"/>
    <w:rsid w:val="00EE6A8A"/>
    <w:rsid w:val="00EE76F0"/>
    <w:rsid w:val="00EF05FD"/>
    <w:rsid w:val="00EF1AB9"/>
    <w:rsid w:val="00EF22A9"/>
    <w:rsid w:val="00EF2465"/>
    <w:rsid w:val="00EF24EF"/>
    <w:rsid w:val="00EF2827"/>
    <w:rsid w:val="00EF2C7F"/>
    <w:rsid w:val="00EF3274"/>
    <w:rsid w:val="00EF3365"/>
    <w:rsid w:val="00EF35F2"/>
    <w:rsid w:val="00EF5156"/>
    <w:rsid w:val="00EF7AA9"/>
    <w:rsid w:val="00F00B9B"/>
    <w:rsid w:val="00F01498"/>
    <w:rsid w:val="00F01D76"/>
    <w:rsid w:val="00F01D89"/>
    <w:rsid w:val="00F04016"/>
    <w:rsid w:val="00F04321"/>
    <w:rsid w:val="00F045C5"/>
    <w:rsid w:val="00F046E3"/>
    <w:rsid w:val="00F04C0E"/>
    <w:rsid w:val="00F06010"/>
    <w:rsid w:val="00F066A2"/>
    <w:rsid w:val="00F10B3C"/>
    <w:rsid w:val="00F11D48"/>
    <w:rsid w:val="00F12928"/>
    <w:rsid w:val="00F13028"/>
    <w:rsid w:val="00F1337E"/>
    <w:rsid w:val="00F1428D"/>
    <w:rsid w:val="00F145FC"/>
    <w:rsid w:val="00F14D55"/>
    <w:rsid w:val="00F16D21"/>
    <w:rsid w:val="00F16D3C"/>
    <w:rsid w:val="00F20388"/>
    <w:rsid w:val="00F20572"/>
    <w:rsid w:val="00F20B00"/>
    <w:rsid w:val="00F20D91"/>
    <w:rsid w:val="00F21E81"/>
    <w:rsid w:val="00F2274C"/>
    <w:rsid w:val="00F249C8"/>
    <w:rsid w:val="00F24B8E"/>
    <w:rsid w:val="00F2517A"/>
    <w:rsid w:val="00F2542C"/>
    <w:rsid w:val="00F25AD9"/>
    <w:rsid w:val="00F26318"/>
    <w:rsid w:val="00F268D1"/>
    <w:rsid w:val="00F27032"/>
    <w:rsid w:val="00F2764E"/>
    <w:rsid w:val="00F3010A"/>
    <w:rsid w:val="00F3086A"/>
    <w:rsid w:val="00F311DF"/>
    <w:rsid w:val="00F31CA4"/>
    <w:rsid w:val="00F32D28"/>
    <w:rsid w:val="00F331F2"/>
    <w:rsid w:val="00F33352"/>
    <w:rsid w:val="00F33EC0"/>
    <w:rsid w:val="00F34ECE"/>
    <w:rsid w:val="00F351D5"/>
    <w:rsid w:val="00F35D1E"/>
    <w:rsid w:val="00F35D27"/>
    <w:rsid w:val="00F4024D"/>
    <w:rsid w:val="00F4063A"/>
    <w:rsid w:val="00F408E0"/>
    <w:rsid w:val="00F408FA"/>
    <w:rsid w:val="00F4178C"/>
    <w:rsid w:val="00F417B6"/>
    <w:rsid w:val="00F41877"/>
    <w:rsid w:val="00F41B09"/>
    <w:rsid w:val="00F42BCC"/>
    <w:rsid w:val="00F431E2"/>
    <w:rsid w:val="00F437C8"/>
    <w:rsid w:val="00F43BE6"/>
    <w:rsid w:val="00F43CC2"/>
    <w:rsid w:val="00F43D7B"/>
    <w:rsid w:val="00F4476F"/>
    <w:rsid w:val="00F460F0"/>
    <w:rsid w:val="00F4691A"/>
    <w:rsid w:val="00F47199"/>
    <w:rsid w:val="00F47A20"/>
    <w:rsid w:val="00F47C27"/>
    <w:rsid w:val="00F51399"/>
    <w:rsid w:val="00F514B5"/>
    <w:rsid w:val="00F515C3"/>
    <w:rsid w:val="00F515D4"/>
    <w:rsid w:val="00F52567"/>
    <w:rsid w:val="00F52AF4"/>
    <w:rsid w:val="00F532D7"/>
    <w:rsid w:val="00F53F14"/>
    <w:rsid w:val="00F546A2"/>
    <w:rsid w:val="00F54E96"/>
    <w:rsid w:val="00F54FED"/>
    <w:rsid w:val="00F55534"/>
    <w:rsid w:val="00F55805"/>
    <w:rsid w:val="00F55FD9"/>
    <w:rsid w:val="00F560FB"/>
    <w:rsid w:val="00F56E39"/>
    <w:rsid w:val="00F5704D"/>
    <w:rsid w:val="00F57184"/>
    <w:rsid w:val="00F576DB"/>
    <w:rsid w:val="00F60554"/>
    <w:rsid w:val="00F606E3"/>
    <w:rsid w:val="00F607CD"/>
    <w:rsid w:val="00F608BE"/>
    <w:rsid w:val="00F624BB"/>
    <w:rsid w:val="00F6347E"/>
    <w:rsid w:val="00F6376C"/>
    <w:rsid w:val="00F64C22"/>
    <w:rsid w:val="00F65BAA"/>
    <w:rsid w:val="00F67C96"/>
    <w:rsid w:val="00F67CDB"/>
    <w:rsid w:val="00F701BF"/>
    <w:rsid w:val="00F70728"/>
    <w:rsid w:val="00F70CA8"/>
    <w:rsid w:val="00F70D16"/>
    <w:rsid w:val="00F70D23"/>
    <w:rsid w:val="00F70F0D"/>
    <w:rsid w:val="00F71345"/>
    <w:rsid w:val="00F72D01"/>
    <w:rsid w:val="00F7312F"/>
    <w:rsid w:val="00F7314B"/>
    <w:rsid w:val="00F73153"/>
    <w:rsid w:val="00F73629"/>
    <w:rsid w:val="00F73F6F"/>
    <w:rsid w:val="00F73FBD"/>
    <w:rsid w:val="00F75DDA"/>
    <w:rsid w:val="00F763DD"/>
    <w:rsid w:val="00F80934"/>
    <w:rsid w:val="00F80D21"/>
    <w:rsid w:val="00F818A6"/>
    <w:rsid w:val="00F82529"/>
    <w:rsid w:val="00F82C1C"/>
    <w:rsid w:val="00F830FB"/>
    <w:rsid w:val="00F8369E"/>
    <w:rsid w:val="00F83979"/>
    <w:rsid w:val="00F83F07"/>
    <w:rsid w:val="00F844F2"/>
    <w:rsid w:val="00F84914"/>
    <w:rsid w:val="00F84948"/>
    <w:rsid w:val="00F84B43"/>
    <w:rsid w:val="00F85409"/>
    <w:rsid w:val="00F863AA"/>
    <w:rsid w:val="00F869CA"/>
    <w:rsid w:val="00F878D0"/>
    <w:rsid w:val="00F9197B"/>
    <w:rsid w:val="00F92D08"/>
    <w:rsid w:val="00F9302F"/>
    <w:rsid w:val="00F94708"/>
    <w:rsid w:val="00F94B17"/>
    <w:rsid w:val="00F951EF"/>
    <w:rsid w:val="00F9670E"/>
    <w:rsid w:val="00F96F6A"/>
    <w:rsid w:val="00F97573"/>
    <w:rsid w:val="00F9768D"/>
    <w:rsid w:val="00F97AAD"/>
    <w:rsid w:val="00FA00AC"/>
    <w:rsid w:val="00FA0416"/>
    <w:rsid w:val="00FA06BD"/>
    <w:rsid w:val="00FA0D3E"/>
    <w:rsid w:val="00FA1612"/>
    <w:rsid w:val="00FA31D8"/>
    <w:rsid w:val="00FA3ED6"/>
    <w:rsid w:val="00FA44C5"/>
    <w:rsid w:val="00FA474B"/>
    <w:rsid w:val="00FA4E9C"/>
    <w:rsid w:val="00FA50CF"/>
    <w:rsid w:val="00FA57DF"/>
    <w:rsid w:val="00FA5F1A"/>
    <w:rsid w:val="00FA5FCA"/>
    <w:rsid w:val="00FA6122"/>
    <w:rsid w:val="00FA6868"/>
    <w:rsid w:val="00FA68F2"/>
    <w:rsid w:val="00FA7005"/>
    <w:rsid w:val="00FA760A"/>
    <w:rsid w:val="00FA7B40"/>
    <w:rsid w:val="00FB0484"/>
    <w:rsid w:val="00FB0A25"/>
    <w:rsid w:val="00FB1623"/>
    <w:rsid w:val="00FB1DAC"/>
    <w:rsid w:val="00FB1EEE"/>
    <w:rsid w:val="00FB2ED7"/>
    <w:rsid w:val="00FB35E5"/>
    <w:rsid w:val="00FB3AEA"/>
    <w:rsid w:val="00FB3BFA"/>
    <w:rsid w:val="00FB3CD0"/>
    <w:rsid w:val="00FB3F0E"/>
    <w:rsid w:val="00FB4019"/>
    <w:rsid w:val="00FB43A0"/>
    <w:rsid w:val="00FB43DE"/>
    <w:rsid w:val="00FB45BB"/>
    <w:rsid w:val="00FB4CD1"/>
    <w:rsid w:val="00FB6173"/>
    <w:rsid w:val="00FB71FC"/>
    <w:rsid w:val="00FC2288"/>
    <w:rsid w:val="00FC29FA"/>
    <w:rsid w:val="00FC2E21"/>
    <w:rsid w:val="00FC2E86"/>
    <w:rsid w:val="00FC2EB9"/>
    <w:rsid w:val="00FC32B2"/>
    <w:rsid w:val="00FC34AF"/>
    <w:rsid w:val="00FC372D"/>
    <w:rsid w:val="00FC3B63"/>
    <w:rsid w:val="00FC3E58"/>
    <w:rsid w:val="00FC47BD"/>
    <w:rsid w:val="00FC69A6"/>
    <w:rsid w:val="00FC6F1C"/>
    <w:rsid w:val="00FC700A"/>
    <w:rsid w:val="00FC7E4A"/>
    <w:rsid w:val="00FD03FE"/>
    <w:rsid w:val="00FD0587"/>
    <w:rsid w:val="00FD0713"/>
    <w:rsid w:val="00FD17AC"/>
    <w:rsid w:val="00FD2B38"/>
    <w:rsid w:val="00FD2B9F"/>
    <w:rsid w:val="00FD2CC3"/>
    <w:rsid w:val="00FD3068"/>
    <w:rsid w:val="00FD318B"/>
    <w:rsid w:val="00FD320D"/>
    <w:rsid w:val="00FD3FF4"/>
    <w:rsid w:val="00FD45D7"/>
    <w:rsid w:val="00FD47DA"/>
    <w:rsid w:val="00FD4B7E"/>
    <w:rsid w:val="00FD6A9F"/>
    <w:rsid w:val="00FD6FE4"/>
    <w:rsid w:val="00FD75A0"/>
    <w:rsid w:val="00FD76C3"/>
    <w:rsid w:val="00FD79B3"/>
    <w:rsid w:val="00FD7E11"/>
    <w:rsid w:val="00FE00E4"/>
    <w:rsid w:val="00FE06C8"/>
    <w:rsid w:val="00FE0A97"/>
    <w:rsid w:val="00FE17D3"/>
    <w:rsid w:val="00FE1A84"/>
    <w:rsid w:val="00FE1B46"/>
    <w:rsid w:val="00FE21EA"/>
    <w:rsid w:val="00FE2D46"/>
    <w:rsid w:val="00FE2F57"/>
    <w:rsid w:val="00FE378D"/>
    <w:rsid w:val="00FE37DB"/>
    <w:rsid w:val="00FE3C30"/>
    <w:rsid w:val="00FE3E22"/>
    <w:rsid w:val="00FE5705"/>
    <w:rsid w:val="00FE5E6C"/>
    <w:rsid w:val="00FE6024"/>
    <w:rsid w:val="00FE6CF4"/>
    <w:rsid w:val="00FE7598"/>
    <w:rsid w:val="00FE7FBE"/>
    <w:rsid w:val="00FF0101"/>
    <w:rsid w:val="00FF0594"/>
    <w:rsid w:val="00FF0664"/>
    <w:rsid w:val="00FF0E4C"/>
    <w:rsid w:val="00FF27D8"/>
    <w:rsid w:val="00FF2A22"/>
    <w:rsid w:val="00FF3991"/>
    <w:rsid w:val="00FF44A9"/>
    <w:rsid w:val="00FF4665"/>
    <w:rsid w:val="00FF46B0"/>
    <w:rsid w:val="00FF5E60"/>
    <w:rsid w:val="00FF68C2"/>
    <w:rsid w:val="00FF6D1F"/>
    <w:rsid w:val="00FF6E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E3B693"/>
  <w14:defaultImageDpi w14:val="330"/>
  <w15:chartTrackingRefBased/>
  <w15:docId w15:val="{CBFFB6BB-DA7F-4009-8B64-B2B11FD9A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5" w:unhideWhenUsed="1" w:qFormat="1"/>
    <w:lsdException w:name="annotation text" w:semiHidden="1" w:unhideWhenUsed="1"/>
    <w:lsdException w:name="header" w:semiHidden="1" w:uiPriority="36" w:unhideWhenUsed="1"/>
    <w:lsdException w:name="footer" w:semiHidden="1" w:unhideWhenUsed="1" w:qFormat="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5" w:unhideWhenUsed="1"/>
    <w:lsdException w:name="annotation reference" w:semiHidden="1" w:unhideWhenUsed="1"/>
    <w:lsdException w:name="line number" w:semiHidden="1" w:unhideWhenUsed="1"/>
    <w:lsdException w:name="page number" w:semiHidden="1" w:uiPriority="34" w:unhideWhenUsed="1"/>
    <w:lsdException w:name="endnote reference" w:semiHidden="1" w:uiPriority="3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37"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98"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7D8F"/>
    <w:pPr>
      <w:suppressAutoHyphens/>
    </w:pPr>
    <w:rPr>
      <w:kern w:val="12"/>
    </w:rPr>
  </w:style>
  <w:style w:type="paragraph" w:styleId="Heading1">
    <w:name w:val="heading 1"/>
    <w:aliases w:val="ARRB Heading 1,±Head1"/>
    <w:basedOn w:val="Normal"/>
    <w:next w:val="Normal"/>
    <w:link w:val="Heading1Char"/>
    <w:uiPriority w:val="4"/>
    <w:qFormat/>
    <w:rsid w:val="00E13D3A"/>
    <w:pPr>
      <w:keepNext/>
      <w:keepLines/>
      <w:spacing w:before="0" w:after="160"/>
      <w:ind w:left="850" w:hanging="850"/>
      <w:contextualSpacing/>
      <w:outlineLvl w:val="0"/>
    </w:pPr>
    <w:rPr>
      <w:rFonts w:asciiTheme="majorHAnsi" w:eastAsiaTheme="majorEastAsia" w:hAnsiTheme="majorHAnsi" w:cstheme="majorBidi"/>
      <w:color w:val="081E3E" w:themeColor="text2"/>
      <w:sz w:val="44"/>
      <w:szCs w:val="32"/>
    </w:rPr>
  </w:style>
  <w:style w:type="paragraph" w:styleId="Heading2">
    <w:name w:val="heading 2"/>
    <w:aliases w:val="ARRB Heading 2,±Head2"/>
    <w:basedOn w:val="Normal"/>
    <w:next w:val="Normal"/>
    <w:link w:val="Heading2Char"/>
    <w:uiPriority w:val="4"/>
    <w:unhideWhenUsed/>
    <w:qFormat/>
    <w:rsid w:val="00E13D3A"/>
    <w:pPr>
      <w:keepNext/>
      <w:keepLines/>
      <w:spacing w:before="320" w:after="160"/>
      <w:ind w:left="992" w:hanging="992"/>
      <w:outlineLvl w:val="1"/>
    </w:pPr>
    <w:rPr>
      <w:rFonts w:asciiTheme="majorHAnsi" w:eastAsiaTheme="majorEastAsia" w:hAnsiTheme="majorHAnsi" w:cstheme="majorBidi"/>
      <w:color w:val="081E3E" w:themeColor="text2"/>
      <w:sz w:val="36"/>
      <w:szCs w:val="26"/>
      <w:lang w:val="en-US"/>
    </w:rPr>
  </w:style>
  <w:style w:type="paragraph" w:styleId="Heading3">
    <w:name w:val="heading 3"/>
    <w:aliases w:val="ARRB Heading 3,±Head3"/>
    <w:basedOn w:val="Normal"/>
    <w:next w:val="Normal"/>
    <w:link w:val="Heading3Char"/>
    <w:uiPriority w:val="4"/>
    <w:unhideWhenUsed/>
    <w:qFormat/>
    <w:rsid w:val="00A738BE"/>
    <w:pPr>
      <w:keepNext/>
      <w:keepLines/>
      <w:spacing w:before="240" w:after="160"/>
      <w:outlineLvl w:val="2"/>
    </w:pPr>
    <w:rPr>
      <w:rFonts w:asciiTheme="majorHAnsi" w:eastAsiaTheme="majorEastAsia" w:hAnsiTheme="majorHAnsi" w:cstheme="majorBidi"/>
      <w:color w:val="081E3E" w:themeColor="text2"/>
      <w:sz w:val="28"/>
      <w:szCs w:val="28"/>
      <w:lang w:val="en-US"/>
    </w:rPr>
  </w:style>
  <w:style w:type="paragraph" w:styleId="Heading4">
    <w:name w:val="heading 4"/>
    <w:aliases w:val="ARRB Heading 4,±Head4"/>
    <w:basedOn w:val="Heading3"/>
    <w:next w:val="Normal"/>
    <w:link w:val="Heading4Char"/>
    <w:uiPriority w:val="4"/>
    <w:unhideWhenUsed/>
    <w:qFormat/>
    <w:rsid w:val="00907208"/>
    <w:pPr>
      <w:outlineLvl w:val="3"/>
    </w:pPr>
    <w:rPr>
      <w:sz w:val="24"/>
      <w:szCs w:val="24"/>
    </w:rPr>
  </w:style>
  <w:style w:type="paragraph" w:styleId="Heading5">
    <w:name w:val="heading 5"/>
    <w:aliases w:val="ARRB Heading 5"/>
    <w:basedOn w:val="Heading4"/>
    <w:next w:val="Normal"/>
    <w:link w:val="Heading5Char"/>
    <w:uiPriority w:val="4"/>
    <w:unhideWhenUsed/>
    <w:qFormat/>
    <w:rsid w:val="00907208"/>
    <w:pPr>
      <w:outlineLvl w:val="4"/>
    </w:pPr>
    <w:rPr>
      <w:b/>
      <w:color w:val="auto"/>
      <w:sz w:val="20"/>
      <w:szCs w:val="20"/>
    </w:rPr>
  </w:style>
  <w:style w:type="paragraph" w:styleId="Heading6">
    <w:name w:val="heading 6"/>
    <w:aliases w:val="ARRB Heading 6"/>
    <w:basedOn w:val="Normal"/>
    <w:next w:val="Normal"/>
    <w:link w:val="Heading6Char"/>
    <w:uiPriority w:val="4"/>
    <w:unhideWhenUsed/>
    <w:qFormat/>
    <w:rsid w:val="005F794B"/>
    <w:pPr>
      <w:keepNext/>
      <w:keepLines/>
      <w:numPr>
        <w:ilvl w:val="5"/>
        <w:numId w:val="15"/>
      </w:numPr>
      <w:spacing w:before="240" w:after="160"/>
      <w:outlineLvl w:val="5"/>
    </w:pPr>
    <w:rPr>
      <w:rFonts w:asciiTheme="majorHAnsi" w:eastAsiaTheme="majorEastAsia" w:hAnsiTheme="majorHAnsi" w:cstheme="majorBidi"/>
      <w:i/>
      <w:color w:val="081E3E" w:themeColor="text2"/>
      <w:sz w:val="22"/>
    </w:rPr>
  </w:style>
  <w:style w:type="paragraph" w:styleId="Heading7">
    <w:name w:val="heading 7"/>
    <w:aliases w:val="ARRB Heading 7,±AppHead1"/>
    <w:basedOn w:val="Normal"/>
    <w:next w:val="Normal"/>
    <w:link w:val="Heading7Char"/>
    <w:uiPriority w:val="4"/>
    <w:unhideWhenUsed/>
    <w:qFormat/>
    <w:rsid w:val="00620770"/>
    <w:pPr>
      <w:keepNext/>
      <w:keepLines/>
      <w:numPr>
        <w:ilvl w:val="6"/>
        <w:numId w:val="15"/>
      </w:numPr>
      <w:spacing w:before="40" w:after="0"/>
      <w:outlineLvl w:val="6"/>
    </w:pPr>
    <w:rPr>
      <w:rFonts w:ascii="Cambria" w:eastAsia="Times New Roman" w:hAnsi="Cambria" w:cs="Times New Roman"/>
      <w:b/>
      <w:bCs/>
      <w:caps/>
      <w:kern w:val="0"/>
      <w:sz w:val="24"/>
      <w:szCs w:val="28"/>
    </w:rPr>
  </w:style>
  <w:style w:type="paragraph" w:styleId="Heading8">
    <w:name w:val="heading 8"/>
    <w:aliases w:val="ARRB Heading 8,±AppHead2"/>
    <w:basedOn w:val="Normal"/>
    <w:next w:val="Normal"/>
    <w:link w:val="Heading8Char"/>
    <w:uiPriority w:val="4"/>
    <w:unhideWhenUsed/>
    <w:qFormat/>
    <w:rsid w:val="00620770"/>
    <w:pPr>
      <w:keepNext/>
      <w:keepLines/>
      <w:numPr>
        <w:ilvl w:val="7"/>
        <w:numId w:val="15"/>
      </w:numPr>
      <w:tabs>
        <w:tab w:val="clear" w:pos="850"/>
        <w:tab w:val="left" w:pos="720"/>
        <w:tab w:val="left" w:pos="851"/>
      </w:tabs>
      <w:suppressAutoHyphens w:val="0"/>
      <w:spacing w:before="200" w:after="0" w:line="264" w:lineRule="auto"/>
      <w:outlineLvl w:val="7"/>
    </w:pPr>
    <w:rPr>
      <w:rFonts w:ascii="Cambria" w:eastAsia="Times New Roman" w:hAnsi="Cambria" w:cs="Times New Roman"/>
      <w:color w:val="404040"/>
      <w:kern w:val="0"/>
    </w:rPr>
  </w:style>
  <w:style w:type="paragraph" w:styleId="Heading9">
    <w:name w:val="heading 9"/>
    <w:aliases w:val="ARRB Heading 9,±AppHead3"/>
    <w:basedOn w:val="Normal"/>
    <w:next w:val="Normal"/>
    <w:link w:val="Heading9Char"/>
    <w:uiPriority w:val="4"/>
    <w:unhideWhenUsed/>
    <w:qFormat/>
    <w:rsid w:val="00620770"/>
    <w:pPr>
      <w:keepNext/>
      <w:keepLines/>
      <w:numPr>
        <w:ilvl w:val="8"/>
        <w:numId w:val="15"/>
      </w:numPr>
      <w:tabs>
        <w:tab w:val="clear" w:pos="850"/>
        <w:tab w:val="left" w:pos="720"/>
        <w:tab w:val="left" w:pos="851"/>
      </w:tabs>
      <w:suppressAutoHyphens w:val="0"/>
      <w:spacing w:before="200" w:after="0" w:line="264" w:lineRule="auto"/>
      <w:outlineLvl w:val="8"/>
    </w:pPr>
    <w:rPr>
      <w:rFonts w:ascii="Cambria" w:eastAsia="Times New Roman" w:hAnsi="Cambria" w:cs="Times New Roman"/>
      <w:i/>
      <w:iCs/>
      <w:color w:val="404040"/>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0"/>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0"/>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1"/>
    <w:qFormat/>
    <w:rsid w:val="003261CF"/>
    <w:pPr>
      <w:numPr>
        <w:ilvl w:val="1"/>
      </w:numPr>
      <w:spacing w:before="480" w:after="160"/>
    </w:pPr>
    <w:rPr>
      <w:rFonts w:asciiTheme="majorHAnsi" w:eastAsiaTheme="minorEastAsia" w:hAnsiTheme="majorHAnsi"/>
      <w:color w:val="377B88"/>
      <w:sz w:val="44"/>
      <w:szCs w:val="22"/>
    </w:rPr>
  </w:style>
  <w:style w:type="character" w:customStyle="1" w:styleId="SubtitleChar">
    <w:name w:val="Subtitle Char"/>
    <w:basedOn w:val="DefaultParagraphFont"/>
    <w:link w:val="Subtitle"/>
    <w:uiPriority w:val="11"/>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aliases w:val="±Header"/>
    <w:basedOn w:val="Normal"/>
    <w:link w:val="HeaderChar"/>
    <w:uiPriority w:val="36"/>
    <w:unhideWhenUsed/>
    <w:rsid w:val="005912BE"/>
    <w:pPr>
      <w:tabs>
        <w:tab w:val="center" w:pos="4513"/>
        <w:tab w:val="right" w:pos="9026"/>
      </w:tabs>
      <w:spacing w:before="0" w:after="0"/>
      <w:jc w:val="right"/>
    </w:pPr>
    <w:rPr>
      <w:sz w:val="16"/>
    </w:rPr>
  </w:style>
  <w:style w:type="character" w:customStyle="1" w:styleId="HeaderChar">
    <w:name w:val="Header Char"/>
    <w:aliases w:val="±Header Char"/>
    <w:basedOn w:val="DefaultParagraphFont"/>
    <w:link w:val="Header"/>
    <w:uiPriority w:val="36"/>
    <w:rsid w:val="005912BE"/>
    <w:rPr>
      <w:kern w:val="12"/>
      <w:sz w:val="16"/>
    </w:rPr>
  </w:style>
  <w:style w:type="paragraph" w:styleId="Footer">
    <w:name w:val="footer"/>
    <w:aliases w:val="±Footer"/>
    <w:basedOn w:val="Normal"/>
    <w:link w:val="FooterChar"/>
    <w:uiPriority w:val="99"/>
    <w:unhideWhenUsed/>
    <w:qFormat/>
    <w:rsid w:val="007A05BE"/>
    <w:pPr>
      <w:tabs>
        <w:tab w:val="center" w:pos="4513"/>
        <w:tab w:val="right" w:pos="9026"/>
      </w:tabs>
      <w:spacing w:before="0" w:after="0"/>
    </w:pPr>
    <w:rPr>
      <w:sz w:val="16"/>
    </w:rPr>
  </w:style>
  <w:style w:type="character" w:customStyle="1" w:styleId="FooterChar">
    <w:name w:val="Footer Char"/>
    <w:aliases w:val="±Footer Char"/>
    <w:basedOn w:val="DefaultParagraphFont"/>
    <w:link w:val="Footer"/>
    <w:uiPriority w:val="99"/>
    <w:rsid w:val="007A05BE"/>
    <w:rPr>
      <w:kern w:val="12"/>
      <w:sz w:val="16"/>
    </w:rPr>
  </w:style>
  <w:style w:type="character" w:styleId="PageNumber">
    <w:name w:val="page number"/>
    <w:basedOn w:val="DefaultParagraphFont"/>
    <w:uiPriority w:val="34"/>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aliases w:val="No Spacing ±BaseStyle"/>
    <w:link w:val="NoSpacingChar"/>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sz w:val="22"/>
      <w:szCs w:val="22"/>
      <w:lang w:val="x-none"/>
    </w:rPr>
  </w:style>
  <w:style w:type="character" w:styleId="Hyperlink">
    <w:name w:val="Hyperlink"/>
    <w:aliases w:val="ARRB Hyperlink,±HyperLink"/>
    <w:basedOn w:val="DefaultParagraphFont"/>
    <w:uiPriority w:val="99"/>
    <w:unhideWhenUsed/>
    <w:qFormat/>
    <w:rsid w:val="000E5674"/>
    <w:rPr>
      <w:color w:val="0046FF" w:themeColor="hyperlink"/>
      <w:u w:val="single"/>
    </w:rPr>
  </w:style>
  <w:style w:type="table" w:styleId="TableGrid">
    <w:name w:val="Table Grid"/>
    <w:aliases w:val="none,McLL Table General Text,SGS Numeric Table,GTA"/>
    <w:basedOn w:val="TableNormal"/>
    <w:uiPriority w:val="5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Text"/>
    <w:basedOn w:val="Normal"/>
    <w:link w:val="FootnoteTextChar"/>
    <w:uiPriority w:val="35"/>
    <w:qFormat/>
    <w:rsid w:val="005912BE"/>
    <w:pPr>
      <w:spacing w:before="0" w:after="0"/>
      <w:ind w:left="284" w:hanging="284"/>
    </w:pPr>
    <w:rPr>
      <w:sz w:val="18"/>
    </w:rPr>
  </w:style>
  <w:style w:type="character" w:customStyle="1" w:styleId="FootnoteTextChar">
    <w:name w:val="Footnote Text Char"/>
    <w:aliases w:val="±FootnoteText Char"/>
    <w:basedOn w:val="DefaultParagraphFont"/>
    <w:link w:val="FootnoteText"/>
    <w:uiPriority w:val="35"/>
    <w:rsid w:val="005912BE"/>
    <w:rPr>
      <w:kern w:val="12"/>
      <w:sz w:val="18"/>
    </w:rPr>
  </w:style>
  <w:style w:type="character" w:styleId="FootnoteReference">
    <w:name w:val="footnote reference"/>
    <w:basedOn w:val="DefaultParagraphFont"/>
    <w:uiPriority w:val="35"/>
    <w:unhideWhenUsed/>
    <w:rsid w:val="005F794B"/>
    <w:rPr>
      <w:vertAlign w:val="superscript"/>
    </w:rPr>
  </w:style>
  <w:style w:type="character" w:customStyle="1" w:styleId="Heading1Char">
    <w:name w:val="Heading 1 Char"/>
    <w:aliases w:val="ARRB Heading 1 Char,±Head1 Char"/>
    <w:basedOn w:val="DefaultParagraphFont"/>
    <w:link w:val="Heading1"/>
    <w:uiPriority w:val="4"/>
    <w:rsid w:val="00E13D3A"/>
    <w:rPr>
      <w:rFonts w:asciiTheme="majorHAnsi" w:eastAsiaTheme="majorEastAsia" w:hAnsiTheme="majorHAnsi" w:cstheme="majorBidi"/>
      <w:color w:val="081E3E" w:themeColor="text2"/>
      <w:kern w:val="12"/>
      <w:sz w:val="44"/>
      <w:szCs w:val="32"/>
    </w:rPr>
  </w:style>
  <w:style w:type="character" w:customStyle="1" w:styleId="Heading2Char">
    <w:name w:val="Heading 2 Char"/>
    <w:aliases w:val="ARRB Heading 2 Char,±Head2 Char"/>
    <w:basedOn w:val="DefaultParagraphFont"/>
    <w:link w:val="Heading2"/>
    <w:uiPriority w:val="4"/>
    <w:rsid w:val="00E13D3A"/>
    <w:rPr>
      <w:rFonts w:asciiTheme="majorHAnsi" w:eastAsiaTheme="majorEastAsia" w:hAnsiTheme="majorHAnsi" w:cstheme="majorBidi"/>
      <w:color w:val="081E3E" w:themeColor="text2"/>
      <w:kern w:val="12"/>
      <w:sz w:val="36"/>
      <w:szCs w:val="26"/>
      <w:lang w:val="en-US"/>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aliases w:val="ARRB Heading 3 Char,±Head3 Char"/>
    <w:basedOn w:val="DefaultParagraphFont"/>
    <w:link w:val="Heading3"/>
    <w:uiPriority w:val="4"/>
    <w:rsid w:val="00A738BE"/>
    <w:rPr>
      <w:rFonts w:asciiTheme="majorHAnsi" w:eastAsiaTheme="majorEastAsia" w:hAnsiTheme="majorHAnsi" w:cstheme="majorBidi"/>
      <w:color w:val="081E3E" w:themeColor="text2"/>
      <w:kern w:val="12"/>
      <w:sz w:val="28"/>
      <w:szCs w:val="28"/>
      <w:lang w:val="en-US"/>
    </w:rPr>
  </w:style>
  <w:style w:type="character" w:customStyle="1" w:styleId="Heading4Char">
    <w:name w:val="Heading 4 Char"/>
    <w:aliases w:val="ARRB Heading 4 Char,±Head4 Char"/>
    <w:basedOn w:val="DefaultParagraphFont"/>
    <w:link w:val="Heading4"/>
    <w:uiPriority w:val="4"/>
    <w:rsid w:val="00907208"/>
    <w:rPr>
      <w:rFonts w:asciiTheme="majorHAnsi" w:eastAsiaTheme="majorEastAsia" w:hAnsiTheme="majorHAnsi" w:cstheme="majorBidi"/>
      <w:color w:val="081E3E" w:themeColor="text2"/>
      <w:kern w:val="12"/>
      <w:sz w:val="24"/>
      <w:szCs w:val="24"/>
      <w:lang w:val="en-US"/>
    </w:rPr>
  </w:style>
  <w:style w:type="character" w:customStyle="1" w:styleId="Heading5Char">
    <w:name w:val="Heading 5 Char"/>
    <w:aliases w:val="ARRB Heading 5 Char"/>
    <w:basedOn w:val="DefaultParagraphFont"/>
    <w:link w:val="Heading5"/>
    <w:uiPriority w:val="4"/>
    <w:rsid w:val="00907208"/>
    <w:rPr>
      <w:rFonts w:asciiTheme="majorHAnsi" w:eastAsiaTheme="majorEastAsia" w:hAnsiTheme="majorHAnsi" w:cstheme="majorBidi"/>
      <w:b/>
      <w:color w:val="auto"/>
      <w:kern w:val="12"/>
      <w:lang w:val="en-US"/>
    </w:rPr>
  </w:style>
  <w:style w:type="character" w:customStyle="1" w:styleId="Heading6Char">
    <w:name w:val="Heading 6 Char"/>
    <w:aliases w:val="ARRB Heading 6 Char"/>
    <w:basedOn w:val="DefaultParagraphFont"/>
    <w:link w:val="Heading6"/>
    <w:uiPriority w:val="4"/>
    <w:rsid w:val="005F794B"/>
    <w:rPr>
      <w:rFonts w:asciiTheme="majorHAnsi" w:eastAsiaTheme="majorEastAsia" w:hAnsiTheme="majorHAnsi" w:cstheme="majorBidi"/>
      <w:i/>
      <w:color w:val="081E3E" w:themeColor="text2"/>
      <w:kern w:val="12"/>
      <w:sz w:val="22"/>
    </w:rPr>
  </w:style>
  <w:style w:type="paragraph" w:styleId="Caption">
    <w:name w:val="caption"/>
    <w:aliases w:val="ARRB Caption,±Table/Figure Caption,~Caption,±Caption"/>
    <w:basedOn w:val="Normal"/>
    <w:next w:val="Normal"/>
    <w:link w:val="CaptionChar"/>
    <w:uiPriority w:val="6"/>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4BB3B5" w:themeColor="accent2"/>
        <w:bottom w:val="single" w:sz="4" w:space="0" w:color="4BB3B5" w:themeColor="accent2"/>
        <w:insideH w:val="single" w:sz="4" w:space="0" w:color="4BB3B5"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2"/>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3"/>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next w:val="Normal"/>
    <w:uiPriority w:val="39"/>
    <w:qFormat/>
    <w:rsid w:val="00A45D35"/>
    <w:rPr>
      <w:rFonts w:asciiTheme="majorHAnsi" w:eastAsiaTheme="majorEastAsia" w:hAnsiTheme="majorHAnsi" w:cstheme="majorBidi"/>
      <w:color w:val="081E3E" w:themeColor="text2"/>
      <w:kern w:val="12"/>
      <w:sz w:val="44"/>
      <w:szCs w:val="32"/>
    </w:rPr>
  </w:style>
  <w:style w:type="paragraph" w:customStyle="1" w:styleId="Box1Text">
    <w:name w:val="Box 1 Text"/>
    <w:basedOn w:val="Normal"/>
    <w:uiPriority w:val="23"/>
    <w:qFormat/>
    <w:rsid w:val="00CF6CFD"/>
    <w:pPr>
      <w:pBdr>
        <w:top w:val="single" w:sz="4" w:space="14" w:color="4BB3B5" w:themeColor="accent2"/>
        <w:left w:val="single" w:sz="4" w:space="14" w:color="4BB3B5" w:themeColor="accent2"/>
        <w:bottom w:val="single" w:sz="4" w:space="14" w:color="4BB3B5" w:themeColor="accent2"/>
        <w:right w:val="single" w:sz="4" w:space="14" w:color="4BB3B5" w:themeColor="accent2"/>
      </w:pBdr>
      <w:ind w:left="284" w:right="284"/>
    </w:pPr>
    <w:rPr>
      <w:lang w:val="x-none"/>
    </w:rPr>
  </w:style>
  <w:style w:type="paragraph" w:customStyle="1" w:styleId="Box1Heading">
    <w:name w:val="Box 1 Heading"/>
    <w:basedOn w:val="Box1Text"/>
    <w:uiPriority w:val="23"/>
    <w:qFormat/>
    <w:rsid w:val="00CF6CFD"/>
    <w:rPr>
      <w:b/>
      <w:sz w:val="22"/>
      <w:szCs w:val="22"/>
    </w:rPr>
  </w:style>
  <w:style w:type="paragraph" w:customStyle="1" w:styleId="Box1Bullet1">
    <w:name w:val="Box 1 Bullet 1"/>
    <w:basedOn w:val="Box1Text"/>
    <w:uiPriority w:val="24"/>
    <w:qFormat/>
    <w:rsid w:val="00CF6CFD"/>
    <w:pPr>
      <w:spacing w:before="80"/>
    </w:pPr>
  </w:style>
  <w:style w:type="paragraph" w:customStyle="1" w:styleId="Box2Text">
    <w:name w:val="Box 2 Text"/>
    <w:basedOn w:val="Normal"/>
    <w:uiPriority w:val="24"/>
    <w:qFormat/>
    <w:rsid w:val="00CF6CFD"/>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3" w:right="283"/>
    </w:pPr>
    <w:rPr>
      <w:lang w:val="x-none"/>
    </w:rPr>
  </w:style>
  <w:style w:type="paragraph" w:customStyle="1" w:styleId="Box2Heading">
    <w:name w:val="Box 2 Heading"/>
    <w:basedOn w:val="Box2Text"/>
    <w:uiPriority w:val="24"/>
    <w:qFormat/>
    <w:rsid w:val="00541213"/>
    <w:rPr>
      <w:b/>
      <w:sz w:val="22"/>
    </w:rPr>
  </w:style>
  <w:style w:type="paragraph" w:customStyle="1" w:styleId="Box2Bullet1">
    <w:name w:val="Box 2 Bullet 1"/>
    <w:basedOn w:val="Box2Text"/>
    <w:uiPriority w:val="25"/>
    <w:qFormat/>
    <w:rsid w:val="00CF6CFD"/>
    <w:pPr>
      <w:spacing w:before="80"/>
    </w:p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2"/>
      </w:numPr>
    </w:pPr>
  </w:style>
  <w:style w:type="numbering" w:customStyle="1" w:styleId="ListNumbered">
    <w:name w:val="List Numbered"/>
    <w:uiPriority w:val="99"/>
    <w:rsid w:val="00477E77"/>
    <w:pPr>
      <w:numPr>
        <w:numId w:val="3"/>
      </w:numPr>
    </w:pPr>
  </w:style>
  <w:style w:type="paragraph" w:customStyle="1" w:styleId="Heading1Numbered">
    <w:name w:val="Heading 1 Numbered"/>
    <w:basedOn w:val="Heading1"/>
    <w:uiPriority w:val="10"/>
    <w:rsid w:val="003F775D"/>
    <w:pPr>
      <w:numPr>
        <w:numId w:val="5"/>
      </w:numPr>
    </w:pPr>
  </w:style>
  <w:style w:type="paragraph" w:customStyle="1" w:styleId="Heading2Numbered">
    <w:name w:val="Heading 2 Numbered"/>
    <w:basedOn w:val="Heading2"/>
    <w:uiPriority w:val="10"/>
    <w:rsid w:val="003F775D"/>
    <w:pPr>
      <w:numPr>
        <w:ilvl w:val="1"/>
        <w:numId w:val="5"/>
      </w:numPr>
    </w:pPr>
  </w:style>
  <w:style w:type="paragraph" w:customStyle="1" w:styleId="Heading3Numbered">
    <w:name w:val="Heading 3 Numbered"/>
    <w:basedOn w:val="Heading3"/>
    <w:uiPriority w:val="10"/>
    <w:rsid w:val="003F775D"/>
    <w:pPr>
      <w:numPr>
        <w:ilvl w:val="2"/>
        <w:numId w:val="5"/>
      </w:numPr>
    </w:pPr>
  </w:style>
  <w:style w:type="paragraph" w:customStyle="1" w:styleId="Heading4Numbered">
    <w:name w:val="Heading 4 Numbered"/>
    <w:basedOn w:val="Heading4"/>
    <w:uiPriority w:val="10"/>
    <w:rsid w:val="003F775D"/>
    <w:pPr>
      <w:ind w:left="567" w:hanging="567"/>
    </w:pPr>
  </w:style>
  <w:style w:type="paragraph" w:customStyle="1" w:styleId="Heading5Numbered">
    <w:name w:val="Heading 5 Numbered"/>
    <w:basedOn w:val="Heading5"/>
    <w:uiPriority w:val="10"/>
    <w:rsid w:val="003F775D"/>
    <w:pPr>
      <w:ind w:left="567" w:hanging="567"/>
    </w:pPr>
  </w:style>
  <w:style w:type="numbering" w:customStyle="1" w:styleId="NumberedHeadings">
    <w:name w:val="Numbered Headings"/>
    <w:uiPriority w:val="99"/>
    <w:rsid w:val="003F775D"/>
    <w:pPr>
      <w:numPr>
        <w:numId w:val="4"/>
      </w:numPr>
    </w:pPr>
  </w:style>
  <w:style w:type="paragraph" w:customStyle="1" w:styleId="AppendixHeading1">
    <w:name w:val="Appendix Heading 1"/>
    <w:basedOn w:val="Heading1"/>
    <w:uiPriority w:val="11"/>
    <w:qFormat/>
    <w:rsid w:val="00197BA7"/>
    <w:pPr>
      <w:spacing w:before="240" w:after="240"/>
      <w:ind w:left="0" w:firstLine="0"/>
    </w:pPr>
  </w:style>
  <w:style w:type="paragraph" w:customStyle="1" w:styleId="AppendixHeading2">
    <w:name w:val="Appendix Heading 2"/>
    <w:basedOn w:val="Heading2"/>
    <w:qFormat/>
    <w:rsid w:val="00EE18DA"/>
  </w:style>
  <w:style w:type="paragraph" w:customStyle="1" w:styleId="AttachmentHeading1">
    <w:name w:val="Attachment Heading 1"/>
    <w:basedOn w:val="Heading1"/>
    <w:uiPriority w:val="11"/>
    <w:qFormat/>
    <w:rsid w:val="0001430B"/>
    <w:pPr>
      <w:numPr>
        <w:numId w:val="7"/>
      </w:numPr>
    </w:pPr>
  </w:style>
  <w:style w:type="paragraph" w:customStyle="1" w:styleId="AttachmentHeading2">
    <w:name w:val="Attachment Heading 2"/>
    <w:basedOn w:val="Heading2"/>
    <w:uiPriority w:val="11"/>
    <w:rsid w:val="0001430B"/>
    <w:pPr>
      <w:numPr>
        <w:ilvl w:val="1"/>
        <w:numId w:val="7"/>
      </w:numPr>
    </w:pPr>
  </w:style>
  <w:style w:type="numbering" w:customStyle="1" w:styleId="AppendixNumbers">
    <w:name w:val="Appendix Numbers"/>
    <w:uiPriority w:val="99"/>
    <w:rsid w:val="0001430B"/>
    <w:pPr>
      <w:numPr>
        <w:numId w:val="6"/>
      </w:numPr>
    </w:pPr>
  </w:style>
  <w:style w:type="numbering" w:customStyle="1" w:styleId="AttachmentNumbers">
    <w:name w:val="Attachment Numbers"/>
    <w:uiPriority w:val="99"/>
    <w:rsid w:val="0001430B"/>
    <w:pPr>
      <w:numPr>
        <w:numId w:val="7"/>
      </w:numPr>
    </w:pPr>
  </w:style>
  <w:style w:type="paragraph" w:styleId="Quote">
    <w:name w:val="Quote"/>
    <w:basedOn w:val="Normal"/>
    <w:next w:val="Normal"/>
    <w:link w:val="QuoteChar"/>
    <w:uiPriority w:val="29"/>
    <w:qFormat/>
    <w:rsid w:val="00E04908"/>
    <w:pPr>
      <w:pBdr>
        <w:left w:val="single" w:sz="48" w:space="22" w:color="4BB3B5" w:themeColor="accent2"/>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E04908"/>
    <w:rPr>
      <w:b/>
      <w:iCs/>
      <w:color w:val="404040" w:themeColor="text1" w:themeTint="BF"/>
      <w:kern w:val="12"/>
    </w:rPr>
  </w:style>
  <w:style w:type="paragraph" w:styleId="TOC1">
    <w:name w:val="toc 1"/>
    <w:aliases w:val="Contents Level 1,ARRB TOC 1,±Heads1"/>
    <w:basedOn w:val="Normal"/>
    <w:next w:val="Normal"/>
    <w:autoRedefine/>
    <w:uiPriority w:val="39"/>
    <w:qFormat/>
    <w:rsid w:val="00DF631F"/>
    <w:pPr>
      <w:keepLines/>
      <w:tabs>
        <w:tab w:val="right" w:pos="9854"/>
      </w:tabs>
      <w:ind w:left="567" w:hanging="567"/>
    </w:pPr>
    <w:rPr>
      <w:b/>
      <w:sz w:val="24"/>
      <w:u w:val="single" w:color="4BB3B5" w:themeColor="accent2"/>
    </w:rPr>
  </w:style>
  <w:style w:type="paragraph" w:styleId="TOC2">
    <w:name w:val="toc 2"/>
    <w:aliases w:val="ARRB TOC 2,±Heads2"/>
    <w:basedOn w:val="Normal"/>
    <w:next w:val="Normal"/>
    <w:autoRedefine/>
    <w:uiPriority w:val="39"/>
    <w:qFormat/>
    <w:rsid w:val="00D95D18"/>
    <w:pPr>
      <w:keepLines/>
      <w:tabs>
        <w:tab w:val="left" w:pos="0"/>
        <w:tab w:val="right" w:pos="9854"/>
      </w:tabs>
      <w:spacing w:before="80"/>
      <w:ind w:left="567" w:hanging="567"/>
    </w:pPr>
  </w:style>
  <w:style w:type="paragraph" w:styleId="TOC3">
    <w:name w:val="toc 3"/>
    <w:aliases w:val="ARRB TOC 3,±Heads3"/>
    <w:basedOn w:val="Normal"/>
    <w:next w:val="Normal"/>
    <w:autoRedefine/>
    <w:uiPriority w:val="39"/>
    <w:qFormat/>
    <w:rsid w:val="00DB4B94"/>
    <w:pPr>
      <w:tabs>
        <w:tab w:val="right" w:pos="9854"/>
      </w:tabs>
      <w:spacing w:before="80"/>
      <w:ind w:left="1134" w:hanging="567"/>
    </w:pPr>
    <w:rPr>
      <w:noProof/>
    </w:rPr>
  </w:style>
  <w:style w:type="paragraph" w:styleId="TableofFigures">
    <w:name w:val="table of figures"/>
    <w:aliases w:val="ARRB Table of Figures"/>
    <w:basedOn w:val="Normal"/>
    <w:next w:val="Normal"/>
    <w:uiPriority w:val="99"/>
    <w:unhideWhenUsed/>
    <w:rsid w:val="006E1ECA"/>
    <w:pPr>
      <w:spacing w:before="80"/>
    </w:pPr>
  </w:style>
  <w:style w:type="paragraph" w:customStyle="1" w:styleId="AreaHeading">
    <w:name w:val="Area Heading"/>
    <w:basedOn w:val="Normal"/>
    <w:qFormat/>
    <w:rsid w:val="003261CF"/>
    <w:pPr>
      <w:spacing w:before="0"/>
      <w:ind w:left="-1020" w:firstLine="1020"/>
    </w:pPr>
    <w:rPr>
      <w:rFonts w:cs="Times New Roman (Body CS)"/>
      <w:caps/>
      <w:color w:val="6D7989" w:themeColor="accent4" w:themeShade="BF"/>
      <w:sz w:val="21"/>
    </w:rPr>
  </w:style>
  <w:style w:type="character" w:styleId="FollowedHyperlink">
    <w:name w:val="FollowedHyperlink"/>
    <w:aliases w:val="±FollowedHyperlink"/>
    <w:basedOn w:val="DefaultParagraphFont"/>
    <w:uiPriority w:val="37"/>
    <w:semiHidden/>
    <w:unhideWhenUsed/>
    <w:rsid w:val="001F3B10"/>
    <w:rPr>
      <w:color w:val="0046FF" w:themeColor="followedHyperlink"/>
      <w:u w:val="single"/>
    </w:rPr>
  </w:style>
  <w:style w:type="paragraph" w:customStyle="1" w:styleId="references">
    <w:name w:val="references"/>
    <w:basedOn w:val="Normal"/>
    <w:link w:val="referencesChar"/>
    <w:qFormat/>
    <w:rsid w:val="002F4B37"/>
    <w:pPr>
      <w:tabs>
        <w:tab w:val="left" w:pos="720"/>
        <w:tab w:val="left" w:pos="851"/>
      </w:tabs>
      <w:suppressAutoHyphens w:val="0"/>
      <w:spacing w:before="240" w:after="240" w:line="264" w:lineRule="auto"/>
      <w:ind w:left="720" w:hanging="720"/>
    </w:pPr>
    <w:rPr>
      <w:rFonts w:ascii="Times New Roman" w:eastAsia="Calibri" w:hAnsi="Times New Roman" w:cs="Times New Roman"/>
      <w:color w:val="auto"/>
      <w:kern w:val="0"/>
      <w:sz w:val="24"/>
      <w:szCs w:val="22"/>
    </w:rPr>
  </w:style>
  <w:style w:type="character" w:customStyle="1" w:styleId="referencesChar">
    <w:name w:val="references Char"/>
    <w:basedOn w:val="DefaultParagraphFont"/>
    <w:link w:val="references"/>
    <w:rsid w:val="002F4B37"/>
    <w:rPr>
      <w:rFonts w:ascii="Times New Roman" w:eastAsia="Calibri" w:hAnsi="Times New Roman" w:cs="Times New Roman"/>
      <w:color w:val="auto"/>
      <w:sz w:val="24"/>
      <w:szCs w:val="22"/>
    </w:rPr>
  </w:style>
  <w:style w:type="paragraph" w:customStyle="1" w:styleId="Glossarylist">
    <w:name w:val="Glossary list"/>
    <w:qFormat/>
    <w:rsid w:val="00EE18DA"/>
    <w:pPr>
      <w:tabs>
        <w:tab w:val="left" w:pos="3119"/>
      </w:tabs>
      <w:spacing w:before="0" w:after="0" w:line="300" w:lineRule="auto"/>
      <w:ind w:left="3119" w:hanging="3119"/>
    </w:pPr>
    <w:rPr>
      <w:rFonts w:eastAsia="Calibri" w:cstheme="minorHAnsi"/>
      <w:color w:val="auto"/>
    </w:rPr>
  </w:style>
  <w:style w:type="paragraph" w:customStyle="1" w:styleId="Table1">
    <w:name w:val="Table 1"/>
    <w:basedOn w:val="Normal"/>
    <w:next w:val="Normal"/>
    <w:link w:val="Table1Char"/>
    <w:qFormat/>
    <w:rsid w:val="00D509A5"/>
    <w:pPr>
      <w:tabs>
        <w:tab w:val="left" w:pos="720"/>
        <w:tab w:val="left" w:pos="851"/>
      </w:tabs>
      <w:suppressAutoHyphens w:val="0"/>
      <w:spacing w:before="30" w:after="30"/>
    </w:pPr>
    <w:rPr>
      <w:rFonts w:ascii="Times New Roman" w:eastAsia="Calibri" w:hAnsi="Times New Roman" w:cs="Times New Roman"/>
      <w:color w:val="auto"/>
      <w:kern w:val="0"/>
      <w:sz w:val="24"/>
      <w:szCs w:val="22"/>
    </w:rPr>
  </w:style>
  <w:style w:type="character" w:customStyle="1" w:styleId="Table1Char">
    <w:name w:val="Table 1 Char"/>
    <w:basedOn w:val="DefaultParagraphFont"/>
    <w:link w:val="Table1"/>
    <w:rsid w:val="00D509A5"/>
    <w:rPr>
      <w:rFonts w:ascii="Times New Roman" w:eastAsia="Calibri" w:hAnsi="Times New Roman" w:cs="Times New Roman"/>
      <w:color w:val="auto"/>
      <w:sz w:val="24"/>
      <w:szCs w:val="22"/>
    </w:rPr>
  </w:style>
  <w:style w:type="paragraph" w:styleId="ListParagraph">
    <w:name w:val="List Paragraph"/>
    <w:aliases w:val="ARRB List Paragraph"/>
    <w:basedOn w:val="Normal"/>
    <w:link w:val="ListParagraphChar"/>
    <w:uiPriority w:val="34"/>
    <w:qFormat/>
    <w:rsid w:val="005E1DD6"/>
    <w:pPr>
      <w:autoSpaceDE w:val="0"/>
      <w:autoSpaceDN w:val="0"/>
      <w:adjustRightInd w:val="0"/>
      <w:spacing w:before="120" w:after="120" w:line="264" w:lineRule="auto"/>
      <w:ind w:left="284" w:hanging="284"/>
      <w:textAlignment w:val="center"/>
    </w:pPr>
    <w:rPr>
      <w:rFonts w:cs="FranklinGothic-Book"/>
      <w:color w:val="000000"/>
      <w:kern w:val="0"/>
      <w:szCs w:val="22"/>
    </w:rPr>
  </w:style>
  <w:style w:type="character" w:customStyle="1" w:styleId="ListParagraphChar">
    <w:name w:val="List Paragraph Char"/>
    <w:aliases w:val="ARRB List Paragraph Char"/>
    <w:link w:val="ListParagraph"/>
    <w:uiPriority w:val="34"/>
    <w:rsid w:val="005E1DD6"/>
    <w:rPr>
      <w:rFonts w:cs="FranklinGothic-Book"/>
      <w:color w:val="000000"/>
      <w:szCs w:val="22"/>
    </w:rPr>
  </w:style>
  <w:style w:type="character" w:styleId="CommentReference">
    <w:name w:val="annotation reference"/>
    <w:basedOn w:val="DefaultParagraphFont"/>
    <w:uiPriority w:val="99"/>
    <w:semiHidden/>
    <w:unhideWhenUsed/>
    <w:rsid w:val="008130B1"/>
    <w:rPr>
      <w:sz w:val="16"/>
      <w:szCs w:val="16"/>
    </w:rPr>
  </w:style>
  <w:style w:type="paragraph" w:styleId="CommentText">
    <w:name w:val="annotation text"/>
    <w:aliases w:val="ARRB Comment Text"/>
    <w:basedOn w:val="Normal"/>
    <w:link w:val="CommentTextChar"/>
    <w:uiPriority w:val="99"/>
    <w:unhideWhenUsed/>
    <w:rsid w:val="008130B1"/>
  </w:style>
  <w:style w:type="character" w:customStyle="1" w:styleId="CommentTextChar">
    <w:name w:val="Comment Text Char"/>
    <w:aliases w:val="ARRB Comment Text Char"/>
    <w:basedOn w:val="DefaultParagraphFont"/>
    <w:link w:val="CommentText"/>
    <w:uiPriority w:val="99"/>
    <w:rsid w:val="008130B1"/>
    <w:rPr>
      <w:kern w:val="12"/>
    </w:rPr>
  </w:style>
  <w:style w:type="paragraph" w:styleId="CommentSubject">
    <w:name w:val="annotation subject"/>
    <w:basedOn w:val="CommentText"/>
    <w:next w:val="CommentText"/>
    <w:link w:val="CommentSubjectChar"/>
    <w:uiPriority w:val="99"/>
    <w:semiHidden/>
    <w:unhideWhenUsed/>
    <w:rsid w:val="008130B1"/>
    <w:rPr>
      <w:b/>
      <w:bCs/>
    </w:rPr>
  </w:style>
  <w:style w:type="character" w:customStyle="1" w:styleId="CommentSubjectChar">
    <w:name w:val="Comment Subject Char"/>
    <w:basedOn w:val="CommentTextChar"/>
    <w:link w:val="CommentSubject"/>
    <w:uiPriority w:val="99"/>
    <w:semiHidden/>
    <w:rsid w:val="008130B1"/>
    <w:rPr>
      <w:b/>
      <w:bCs/>
      <w:kern w:val="12"/>
    </w:rPr>
  </w:style>
  <w:style w:type="paragraph" w:styleId="BalloonText">
    <w:name w:val="Balloon Text"/>
    <w:basedOn w:val="Normal"/>
    <w:link w:val="BalloonTextChar"/>
    <w:uiPriority w:val="99"/>
    <w:semiHidden/>
    <w:unhideWhenUsed/>
    <w:rsid w:val="008130B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0B1"/>
    <w:rPr>
      <w:rFonts w:ascii="Segoe UI" w:hAnsi="Segoe UI" w:cs="Segoe UI"/>
      <w:kern w:val="12"/>
      <w:sz w:val="18"/>
      <w:szCs w:val="18"/>
    </w:rPr>
  </w:style>
  <w:style w:type="paragraph" w:customStyle="1" w:styleId="MainHeadding">
    <w:name w:val="Main Headding"/>
    <w:basedOn w:val="Normal"/>
    <w:next w:val="Normal"/>
    <w:rsid w:val="00A57C96"/>
    <w:pPr>
      <w:numPr>
        <w:numId w:val="10"/>
      </w:numPr>
      <w:suppressAutoHyphens w:val="0"/>
      <w:spacing w:before="240" w:after="120"/>
      <w:outlineLvl w:val="0"/>
    </w:pPr>
    <w:rPr>
      <w:rFonts w:ascii="Times New Roman" w:eastAsia="Times New Roman" w:hAnsi="Times New Roman" w:cs="Times New Roman"/>
      <w:b/>
      <w:caps/>
      <w:color w:val="auto"/>
      <w:kern w:val="0"/>
      <w:sz w:val="24"/>
      <w:szCs w:val="24"/>
      <w:lang w:eastAsia="en-AU"/>
    </w:rPr>
  </w:style>
  <w:style w:type="paragraph" w:customStyle="1" w:styleId="Subsection">
    <w:name w:val="Sub section"/>
    <w:basedOn w:val="Normal"/>
    <w:next w:val="Normal"/>
    <w:rsid w:val="00A57C96"/>
    <w:pPr>
      <w:numPr>
        <w:ilvl w:val="1"/>
        <w:numId w:val="10"/>
      </w:numPr>
      <w:suppressAutoHyphens w:val="0"/>
      <w:spacing w:before="120" w:after="120"/>
      <w:outlineLvl w:val="1"/>
    </w:pPr>
    <w:rPr>
      <w:rFonts w:ascii="Times New Roman" w:eastAsia="Times New Roman" w:hAnsi="Times New Roman" w:cs="Times New Roman"/>
      <w:color w:val="auto"/>
      <w:kern w:val="0"/>
      <w:sz w:val="24"/>
      <w:szCs w:val="24"/>
      <w:lang w:eastAsia="en-AU"/>
    </w:rPr>
  </w:style>
  <w:style w:type="paragraph" w:customStyle="1" w:styleId="Subsubsection">
    <w:name w:val="Subsub section"/>
    <w:basedOn w:val="Normal"/>
    <w:next w:val="Normal"/>
    <w:rsid w:val="00A57C96"/>
    <w:pPr>
      <w:numPr>
        <w:ilvl w:val="2"/>
        <w:numId w:val="10"/>
      </w:numPr>
      <w:suppressAutoHyphens w:val="0"/>
      <w:spacing w:before="120" w:after="120"/>
    </w:pPr>
    <w:rPr>
      <w:rFonts w:ascii="Times New Roman" w:eastAsia="Times New Roman" w:hAnsi="Times New Roman" w:cs="Times New Roman"/>
      <w:color w:val="auto"/>
      <w:kern w:val="0"/>
      <w:sz w:val="24"/>
      <w:szCs w:val="24"/>
      <w:lang w:eastAsia="en-AU"/>
    </w:rPr>
  </w:style>
  <w:style w:type="paragraph" w:customStyle="1" w:styleId="Subsubsubsection">
    <w:name w:val="Subsubsub section"/>
    <w:basedOn w:val="Normal"/>
    <w:next w:val="Normal"/>
    <w:rsid w:val="00A57C96"/>
    <w:pPr>
      <w:numPr>
        <w:ilvl w:val="3"/>
        <w:numId w:val="10"/>
      </w:numPr>
      <w:suppressAutoHyphens w:val="0"/>
      <w:spacing w:before="120" w:after="120"/>
    </w:pPr>
    <w:rPr>
      <w:rFonts w:ascii="Times New Roman" w:eastAsia="Times New Roman" w:hAnsi="Times New Roman" w:cs="Times New Roman"/>
      <w:color w:val="auto"/>
      <w:kern w:val="0"/>
      <w:sz w:val="24"/>
      <w:szCs w:val="24"/>
      <w:lang w:eastAsia="en-AU"/>
    </w:rPr>
  </w:style>
  <w:style w:type="paragraph" w:customStyle="1" w:styleId="Heading71">
    <w:name w:val="Heading 71"/>
    <w:basedOn w:val="Heading1"/>
    <w:next w:val="Normal"/>
    <w:uiPriority w:val="9"/>
    <w:unhideWhenUsed/>
    <w:rsid w:val="00620770"/>
    <w:pPr>
      <w:numPr>
        <w:numId w:val="14"/>
      </w:numPr>
      <w:tabs>
        <w:tab w:val="num" w:pos="643"/>
        <w:tab w:val="left" w:pos="720"/>
        <w:tab w:val="left" w:pos="851"/>
      </w:tabs>
      <w:suppressAutoHyphens w:val="0"/>
      <w:spacing w:before="240" w:after="240"/>
      <w:ind w:left="643" w:hanging="360"/>
      <w:contextualSpacing w:val="0"/>
      <w:outlineLvl w:val="6"/>
    </w:pPr>
    <w:rPr>
      <w:rFonts w:eastAsia="Times New Roman" w:cs="Times New Roman"/>
      <w:b/>
      <w:bCs/>
      <w:caps/>
      <w:color w:val="auto"/>
      <w:kern w:val="0"/>
      <w:sz w:val="24"/>
      <w:szCs w:val="28"/>
    </w:rPr>
  </w:style>
  <w:style w:type="character" w:customStyle="1" w:styleId="Heading8Char">
    <w:name w:val="Heading 8 Char"/>
    <w:aliases w:val="ARRB Heading 8 Char,±AppHead2 Char"/>
    <w:basedOn w:val="DefaultParagraphFont"/>
    <w:link w:val="Heading8"/>
    <w:uiPriority w:val="4"/>
    <w:rsid w:val="00620770"/>
    <w:rPr>
      <w:rFonts w:ascii="Cambria" w:eastAsia="Times New Roman" w:hAnsi="Cambria" w:cs="Times New Roman"/>
      <w:color w:val="404040"/>
    </w:rPr>
  </w:style>
  <w:style w:type="character" w:customStyle="1" w:styleId="Heading9Char">
    <w:name w:val="Heading 9 Char"/>
    <w:aliases w:val="ARRB Heading 9 Char,±AppHead3 Char"/>
    <w:basedOn w:val="DefaultParagraphFont"/>
    <w:link w:val="Heading9"/>
    <w:uiPriority w:val="4"/>
    <w:rsid w:val="00620770"/>
    <w:rPr>
      <w:rFonts w:ascii="Cambria" w:eastAsia="Times New Roman" w:hAnsi="Cambria" w:cs="Times New Roman"/>
      <w:i/>
      <w:iCs/>
      <w:color w:val="404040"/>
    </w:rPr>
  </w:style>
  <w:style w:type="numbering" w:customStyle="1" w:styleId="NoList1">
    <w:name w:val="No List1"/>
    <w:next w:val="NoList"/>
    <w:uiPriority w:val="99"/>
    <w:semiHidden/>
    <w:unhideWhenUsed/>
    <w:rsid w:val="00620770"/>
  </w:style>
  <w:style w:type="character" w:customStyle="1" w:styleId="Heading7Char">
    <w:name w:val="Heading 7 Char"/>
    <w:aliases w:val="ARRB Heading 7 Char,±AppHead1 Char"/>
    <w:basedOn w:val="DefaultParagraphFont"/>
    <w:link w:val="Heading7"/>
    <w:uiPriority w:val="4"/>
    <w:rsid w:val="00620770"/>
    <w:rPr>
      <w:rFonts w:ascii="Cambria" w:eastAsia="Times New Roman" w:hAnsi="Cambria" w:cs="Times New Roman"/>
      <w:b/>
      <w:bCs/>
      <w:caps/>
      <w:sz w:val="24"/>
      <w:szCs w:val="28"/>
    </w:rPr>
  </w:style>
  <w:style w:type="paragraph" w:customStyle="1" w:styleId="SubTitle1">
    <w:name w:val="SubTitle1"/>
    <w:basedOn w:val="Normal"/>
    <w:next w:val="Normal"/>
    <w:uiPriority w:val="99"/>
    <w:qFormat/>
    <w:rsid w:val="00620770"/>
    <w:pPr>
      <w:tabs>
        <w:tab w:val="left" w:pos="720"/>
        <w:tab w:val="left" w:pos="851"/>
      </w:tabs>
      <w:suppressAutoHyphens w:val="0"/>
      <w:spacing w:before="240" w:after="240" w:line="264" w:lineRule="auto"/>
      <w:jc w:val="center"/>
    </w:pPr>
    <w:rPr>
      <w:rFonts w:ascii="Cambria" w:eastAsia="Calibri" w:hAnsi="Cambria" w:cs="Times New Roman"/>
      <w:color w:val="auto"/>
      <w:kern w:val="0"/>
      <w:sz w:val="28"/>
      <w:szCs w:val="22"/>
    </w:rPr>
  </w:style>
  <w:style w:type="paragraph" w:customStyle="1" w:styleId="headertabs">
    <w:name w:val="header_tabs"/>
    <w:basedOn w:val="Header"/>
    <w:link w:val="headertabsChar"/>
    <w:rsid w:val="00620770"/>
    <w:pPr>
      <w:tabs>
        <w:tab w:val="clear" w:pos="4513"/>
        <w:tab w:val="clear" w:pos="9026"/>
        <w:tab w:val="left" w:pos="720"/>
        <w:tab w:val="left" w:leader="hyphen" w:pos="9027"/>
      </w:tabs>
      <w:suppressAutoHyphens w:val="0"/>
      <w:spacing w:after="240"/>
      <w:jc w:val="left"/>
    </w:pPr>
    <w:rPr>
      <w:rFonts w:ascii="Times New Roman" w:eastAsia="Calibri" w:hAnsi="Times New Roman" w:cs="Times New Roman"/>
      <w:color w:val="auto"/>
      <w:kern w:val="0"/>
      <w:sz w:val="20"/>
      <w:szCs w:val="22"/>
    </w:rPr>
  </w:style>
  <w:style w:type="character" w:customStyle="1" w:styleId="headertabsChar">
    <w:name w:val="header_tabs Char"/>
    <w:link w:val="headertabs"/>
    <w:rsid w:val="00620770"/>
    <w:rPr>
      <w:rFonts w:ascii="Times New Roman" w:eastAsia="Calibri" w:hAnsi="Times New Roman" w:cs="Times New Roman"/>
      <w:color w:val="auto"/>
      <w:szCs w:val="22"/>
    </w:rPr>
  </w:style>
  <w:style w:type="paragraph" w:customStyle="1" w:styleId="boldcentred">
    <w:name w:val="bold&amp;centred"/>
    <w:basedOn w:val="Normal"/>
    <w:next w:val="Normal"/>
    <w:link w:val="boldcentredChar"/>
    <w:qFormat/>
    <w:rsid w:val="00620770"/>
    <w:pPr>
      <w:tabs>
        <w:tab w:val="left" w:pos="720"/>
        <w:tab w:val="left" w:pos="851"/>
      </w:tabs>
      <w:suppressAutoHyphens w:val="0"/>
      <w:spacing w:before="240" w:after="240" w:line="264" w:lineRule="auto"/>
      <w:jc w:val="center"/>
    </w:pPr>
    <w:rPr>
      <w:rFonts w:ascii="Times New Roman" w:eastAsia="Calibri" w:hAnsi="Times New Roman" w:cs="Times New Roman"/>
      <w:b/>
      <w:color w:val="auto"/>
      <w:kern w:val="0"/>
      <w:sz w:val="24"/>
      <w:szCs w:val="22"/>
    </w:rPr>
  </w:style>
  <w:style w:type="character" w:customStyle="1" w:styleId="boldcentredChar">
    <w:name w:val="bold&amp;centred Char"/>
    <w:link w:val="boldcentred"/>
    <w:rsid w:val="00620770"/>
    <w:rPr>
      <w:rFonts w:ascii="Times New Roman" w:eastAsia="Calibri" w:hAnsi="Times New Roman" w:cs="Times New Roman"/>
      <w:b/>
      <w:color w:val="auto"/>
      <w:sz w:val="24"/>
      <w:szCs w:val="22"/>
    </w:rPr>
  </w:style>
  <w:style w:type="table" w:customStyle="1" w:styleId="TableGrid1">
    <w:name w:val="Table Grid1"/>
    <w:basedOn w:val="TableNormal"/>
    <w:next w:val="TableGrid"/>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pheadings">
    <w:name w:val="rdp_headings"/>
    <w:basedOn w:val="Normal"/>
    <w:link w:val="rdpheadingsChar"/>
    <w:qFormat/>
    <w:rsid w:val="00620770"/>
    <w:pPr>
      <w:tabs>
        <w:tab w:val="left" w:pos="720"/>
        <w:tab w:val="left" w:pos="851"/>
      </w:tabs>
      <w:suppressAutoHyphens w:val="0"/>
      <w:spacing w:before="60" w:after="0"/>
    </w:pPr>
    <w:rPr>
      <w:rFonts w:ascii="Times New Roman" w:eastAsia="Calibri" w:hAnsi="Times New Roman" w:cs="Times New Roman"/>
      <w:color w:val="auto"/>
      <w:kern w:val="0"/>
      <w:sz w:val="18"/>
      <w:szCs w:val="22"/>
    </w:rPr>
  </w:style>
  <w:style w:type="character" w:customStyle="1" w:styleId="rdpheadingsChar">
    <w:name w:val="rdp_headings Char"/>
    <w:link w:val="rdpheadings"/>
    <w:rsid w:val="00620770"/>
    <w:rPr>
      <w:rFonts w:ascii="Times New Roman" w:eastAsia="Calibri" w:hAnsi="Times New Roman" w:cs="Times New Roman"/>
      <w:color w:val="auto"/>
      <w:sz w:val="18"/>
      <w:szCs w:val="22"/>
    </w:rPr>
  </w:style>
  <w:style w:type="paragraph" w:customStyle="1" w:styleId="rdpcontent">
    <w:name w:val="rdp_content"/>
    <w:basedOn w:val="Normal"/>
    <w:next w:val="Normal"/>
    <w:link w:val="rdpcontentChar"/>
    <w:qFormat/>
    <w:rsid w:val="00620770"/>
    <w:pPr>
      <w:tabs>
        <w:tab w:val="left" w:pos="720"/>
        <w:tab w:val="left" w:pos="851"/>
      </w:tabs>
      <w:suppressAutoHyphens w:val="0"/>
      <w:spacing w:before="240" w:after="120"/>
    </w:pPr>
    <w:rPr>
      <w:rFonts w:ascii="Times New Roman" w:eastAsia="Calibri" w:hAnsi="Times New Roman" w:cs="Times New Roman"/>
      <w:color w:val="auto"/>
      <w:kern w:val="0"/>
      <w:sz w:val="24"/>
      <w:szCs w:val="22"/>
    </w:rPr>
  </w:style>
  <w:style w:type="character" w:customStyle="1" w:styleId="rdpcontentChar">
    <w:name w:val="rdp_content Char"/>
    <w:basedOn w:val="DefaultParagraphFont"/>
    <w:link w:val="rdpcontent"/>
    <w:rsid w:val="00620770"/>
    <w:rPr>
      <w:rFonts w:ascii="Times New Roman" w:eastAsia="Calibri" w:hAnsi="Times New Roman" w:cs="Times New Roman"/>
      <w:color w:val="auto"/>
      <w:sz w:val="24"/>
      <w:szCs w:val="22"/>
    </w:rPr>
  </w:style>
  <w:style w:type="character" w:styleId="Strong">
    <w:name w:val="Strong"/>
    <w:uiPriority w:val="22"/>
    <w:qFormat/>
    <w:rsid w:val="00620770"/>
    <w:rPr>
      <w:b/>
      <w:bCs/>
    </w:rPr>
  </w:style>
  <w:style w:type="paragraph" w:customStyle="1" w:styleId="HeadingContents">
    <w:name w:val="Heading_Contents"/>
    <w:basedOn w:val="Normal"/>
    <w:link w:val="HeadingContentsChar"/>
    <w:qFormat/>
    <w:rsid w:val="00620770"/>
    <w:pPr>
      <w:tabs>
        <w:tab w:val="left" w:pos="720"/>
        <w:tab w:val="left" w:pos="851"/>
      </w:tabs>
      <w:suppressAutoHyphens w:val="0"/>
      <w:spacing w:before="120" w:after="280"/>
      <w:jc w:val="center"/>
    </w:pPr>
    <w:rPr>
      <w:rFonts w:ascii="Cambria" w:eastAsia="Calibri" w:hAnsi="Cambria" w:cs="Times New Roman"/>
      <w:b/>
      <w:color w:val="auto"/>
      <w:kern w:val="0"/>
      <w:sz w:val="24"/>
      <w:szCs w:val="22"/>
    </w:rPr>
  </w:style>
  <w:style w:type="character" w:customStyle="1" w:styleId="HeadingContentsChar">
    <w:name w:val="Heading_Contents Char"/>
    <w:link w:val="HeadingContents"/>
    <w:rsid w:val="00620770"/>
    <w:rPr>
      <w:rFonts w:ascii="Cambria" w:eastAsia="Calibri" w:hAnsi="Cambria" w:cs="Times New Roman"/>
      <w:b/>
      <w:color w:val="auto"/>
      <w:sz w:val="24"/>
      <w:szCs w:val="22"/>
    </w:rPr>
  </w:style>
  <w:style w:type="paragraph" w:customStyle="1" w:styleId="Tableheading1">
    <w:name w:val="Table heading 1"/>
    <w:basedOn w:val="Normal"/>
    <w:next w:val="Normal"/>
    <w:link w:val="Tableheading1Char"/>
    <w:qFormat/>
    <w:rsid w:val="00620770"/>
    <w:pPr>
      <w:tabs>
        <w:tab w:val="left" w:pos="720"/>
        <w:tab w:val="left" w:pos="851"/>
      </w:tabs>
      <w:suppressAutoHyphens w:val="0"/>
      <w:spacing w:before="30" w:after="30"/>
      <w:jc w:val="center"/>
    </w:pPr>
    <w:rPr>
      <w:rFonts w:ascii="Times New Roman" w:eastAsia="Calibri" w:hAnsi="Times New Roman" w:cs="Times New Roman"/>
      <w:color w:val="auto"/>
      <w:kern w:val="0"/>
      <w:sz w:val="24"/>
      <w:szCs w:val="22"/>
    </w:rPr>
  </w:style>
  <w:style w:type="character" w:customStyle="1" w:styleId="Tableheading1Char">
    <w:name w:val="Table heading 1 Char"/>
    <w:basedOn w:val="DefaultParagraphFont"/>
    <w:link w:val="Tableheading1"/>
    <w:rsid w:val="00620770"/>
    <w:rPr>
      <w:rFonts w:ascii="Times New Roman" w:eastAsia="Calibri" w:hAnsi="Times New Roman" w:cs="Times New Roman"/>
      <w:color w:val="auto"/>
      <w:sz w:val="24"/>
      <w:szCs w:val="22"/>
    </w:rPr>
  </w:style>
  <w:style w:type="paragraph" w:customStyle="1" w:styleId="Tablesubheading1">
    <w:name w:val="Table sub heading 1"/>
    <w:basedOn w:val="Normal"/>
    <w:next w:val="Normal"/>
    <w:link w:val="Tablesubheading1Char"/>
    <w:qFormat/>
    <w:rsid w:val="00620770"/>
    <w:pPr>
      <w:tabs>
        <w:tab w:val="left" w:pos="720"/>
        <w:tab w:val="left" w:pos="851"/>
      </w:tabs>
      <w:suppressAutoHyphens w:val="0"/>
      <w:spacing w:before="30" w:after="30"/>
    </w:pPr>
    <w:rPr>
      <w:rFonts w:ascii="Times New Roman" w:eastAsia="Calibri" w:hAnsi="Times New Roman" w:cs="Times New Roman"/>
      <w:i/>
      <w:color w:val="auto"/>
      <w:kern w:val="0"/>
      <w:sz w:val="24"/>
      <w:szCs w:val="22"/>
    </w:rPr>
  </w:style>
  <w:style w:type="character" w:customStyle="1" w:styleId="Tablesubheading1Char">
    <w:name w:val="Table sub heading 1 Char"/>
    <w:link w:val="Tablesubheading1"/>
    <w:rsid w:val="00620770"/>
    <w:rPr>
      <w:rFonts w:ascii="Times New Roman" w:eastAsia="Calibri" w:hAnsi="Times New Roman" w:cs="Times New Roman"/>
      <w:i/>
      <w:color w:val="auto"/>
      <w:sz w:val="24"/>
      <w:szCs w:val="22"/>
    </w:rPr>
  </w:style>
  <w:style w:type="paragraph" w:customStyle="1" w:styleId="Subheading1">
    <w:name w:val="Subheading1"/>
    <w:basedOn w:val="Normal"/>
    <w:next w:val="Normal"/>
    <w:link w:val="Subheading1Char"/>
    <w:qFormat/>
    <w:rsid w:val="00620770"/>
    <w:pPr>
      <w:tabs>
        <w:tab w:val="left" w:pos="720"/>
        <w:tab w:val="left" w:pos="851"/>
      </w:tabs>
      <w:suppressAutoHyphens w:val="0"/>
      <w:spacing w:before="240" w:after="240" w:line="264" w:lineRule="auto"/>
    </w:pPr>
    <w:rPr>
      <w:rFonts w:ascii="Times New Roman" w:eastAsia="Calibri" w:hAnsi="Times New Roman" w:cs="Times New Roman"/>
      <w:caps/>
      <w:color w:val="auto"/>
      <w:kern w:val="0"/>
      <w:sz w:val="24"/>
      <w:szCs w:val="22"/>
    </w:rPr>
  </w:style>
  <w:style w:type="character" w:customStyle="1" w:styleId="Subheading1Char">
    <w:name w:val="Subheading1 Char"/>
    <w:link w:val="Subheading1"/>
    <w:rsid w:val="00620770"/>
    <w:rPr>
      <w:rFonts w:ascii="Times New Roman" w:eastAsia="Calibri" w:hAnsi="Times New Roman" w:cs="Times New Roman"/>
      <w:caps/>
      <w:color w:val="auto"/>
      <w:sz w:val="24"/>
      <w:szCs w:val="22"/>
    </w:rPr>
  </w:style>
  <w:style w:type="paragraph" w:customStyle="1" w:styleId="boldleftaligned">
    <w:name w:val="bold&amp;leftaligned"/>
    <w:basedOn w:val="boldcentred"/>
    <w:next w:val="Normal"/>
    <w:link w:val="boldleftalignedChar"/>
    <w:qFormat/>
    <w:rsid w:val="00620770"/>
    <w:pPr>
      <w:jc w:val="left"/>
    </w:pPr>
  </w:style>
  <w:style w:type="character" w:customStyle="1" w:styleId="boldleftalignedChar">
    <w:name w:val="bold&amp;leftaligned Char"/>
    <w:link w:val="boldleftaligned"/>
    <w:rsid w:val="00620770"/>
    <w:rPr>
      <w:rFonts w:ascii="Times New Roman" w:eastAsia="Calibri" w:hAnsi="Times New Roman" w:cs="Times New Roman"/>
      <w:b/>
      <w:color w:val="auto"/>
      <w:sz w:val="24"/>
      <w:szCs w:val="22"/>
    </w:rPr>
  </w:style>
  <w:style w:type="paragraph" w:customStyle="1" w:styleId="Table2">
    <w:name w:val="Table 2"/>
    <w:basedOn w:val="Normal"/>
    <w:link w:val="Table2Char"/>
    <w:qFormat/>
    <w:rsid w:val="00620770"/>
    <w:pPr>
      <w:tabs>
        <w:tab w:val="left" w:pos="720"/>
        <w:tab w:val="left" w:pos="851"/>
      </w:tabs>
      <w:suppressAutoHyphens w:val="0"/>
      <w:spacing w:before="30" w:after="30"/>
    </w:pPr>
    <w:rPr>
      <w:rFonts w:ascii="Times New Roman" w:eastAsia="Calibri" w:hAnsi="Times New Roman" w:cs="Times New Roman"/>
      <w:color w:val="auto"/>
      <w:kern w:val="0"/>
      <w:szCs w:val="22"/>
    </w:rPr>
  </w:style>
  <w:style w:type="character" w:customStyle="1" w:styleId="Table2Char">
    <w:name w:val="Table 2 Char"/>
    <w:link w:val="Table2"/>
    <w:rsid w:val="00620770"/>
    <w:rPr>
      <w:rFonts w:ascii="Times New Roman" w:eastAsia="Calibri" w:hAnsi="Times New Roman" w:cs="Times New Roman"/>
      <w:color w:val="auto"/>
      <w:szCs w:val="22"/>
    </w:rPr>
  </w:style>
  <w:style w:type="paragraph" w:styleId="BodyText">
    <w:name w:val="Body Text"/>
    <w:basedOn w:val="Normal"/>
    <w:link w:val="BodyTextChar"/>
    <w:uiPriority w:val="99"/>
    <w:rsid w:val="00620770"/>
    <w:pPr>
      <w:tabs>
        <w:tab w:val="left" w:pos="720"/>
        <w:tab w:val="left" w:pos="851"/>
      </w:tabs>
      <w:suppressAutoHyphens w:val="0"/>
      <w:spacing w:before="0" w:after="280" w:line="360" w:lineRule="auto"/>
    </w:pPr>
    <w:rPr>
      <w:rFonts w:ascii="Times New Roman" w:eastAsia="Times New Roman" w:hAnsi="Times New Roman" w:cs="Times New Roman"/>
      <w:color w:val="auto"/>
      <w:kern w:val="0"/>
      <w:sz w:val="24"/>
      <w:szCs w:val="24"/>
      <w:lang w:eastAsia="en-AU"/>
    </w:rPr>
  </w:style>
  <w:style w:type="character" w:customStyle="1" w:styleId="BodyTextChar">
    <w:name w:val="Body Text Char"/>
    <w:basedOn w:val="DefaultParagraphFont"/>
    <w:link w:val="BodyText"/>
    <w:uiPriority w:val="99"/>
    <w:rsid w:val="00620770"/>
    <w:rPr>
      <w:rFonts w:ascii="Times New Roman" w:eastAsia="Times New Roman" w:hAnsi="Times New Roman" w:cs="Times New Roman"/>
      <w:color w:val="auto"/>
      <w:sz w:val="24"/>
      <w:szCs w:val="24"/>
      <w:lang w:eastAsia="en-AU"/>
    </w:rPr>
  </w:style>
  <w:style w:type="paragraph" w:customStyle="1" w:styleId="Table2heading">
    <w:name w:val="Table 2 heading"/>
    <w:basedOn w:val="Table2"/>
    <w:link w:val="Table2headingChar"/>
    <w:qFormat/>
    <w:rsid w:val="00620770"/>
    <w:pPr>
      <w:jc w:val="center"/>
    </w:pPr>
    <w:rPr>
      <w:b/>
    </w:rPr>
  </w:style>
  <w:style w:type="character" w:customStyle="1" w:styleId="Table2headingChar">
    <w:name w:val="Table 2 heading Char"/>
    <w:link w:val="Table2heading"/>
    <w:rsid w:val="00620770"/>
    <w:rPr>
      <w:rFonts w:ascii="Times New Roman" w:eastAsia="Calibri" w:hAnsi="Times New Roman" w:cs="Times New Roman"/>
      <w:b/>
      <w:color w:val="auto"/>
      <w:szCs w:val="22"/>
    </w:rPr>
  </w:style>
  <w:style w:type="character" w:styleId="Emphasis">
    <w:name w:val="Emphasis"/>
    <w:uiPriority w:val="20"/>
    <w:qFormat/>
    <w:rsid w:val="00620770"/>
    <w:rPr>
      <w:rFonts w:ascii="Times New Roman" w:hAnsi="Times New Roman"/>
      <w:i/>
      <w:iCs/>
      <w:sz w:val="24"/>
    </w:rPr>
  </w:style>
  <w:style w:type="paragraph" w:customStyle="1" w:styleId="ListParagraphIndent1">
    <w:name w:val="List Paragraph Indent 1"/>
    <w:basedOn w:val="Normal"/>
    <w:link w:val="ListParagraphIndent1Char"/>
    <w:uiPriority w:val="99"/>
    <w:qFormat/>
    <w:rsid w:val="00620770"/>
    <w:pPr>
      <w:numPr>
        <w:numId w:val="11"/>
      </w:numPr>
      <w:tabs>
        <w:tab w:val="left" w:pos="720"/>
        <w:tab w:val="left" w:pos="851"/>
      </w:tabs>
      <w:suppressAutoHyphens w:val="0"/>
      <w:spacing w:before="240" w:after="240" w:line="264" w:lineRule="auto"/>
      <w:ind w:left="1797" w:hanging="720"/>
    </w:pPr>
    <w:rPr>
      <w:rFonts w:ascii="Times New Roman" w:eastAsia="Calibri" w:hAnsi="Times New Roman" w:cs="Times New Roman"/>
      <w:color w:val="auto"/>
      <w:kern w:val="0"/>
      <w:sz w:val="24"/>
      <w:szCs w:val="22"/>
    </w:rPr>
  </w:style>
  <w:style w:type="character" w:customStyle="1" w:styleId="ListParagraphIndent1Char">
    <w:name w:val="List Paragraph Indent 1 Char"/>
    <w:basedOn w:val="ListParagraphChar"/>
    <w:link w:val="ListParagraphIndent1"/>
    <w:uiPriority w:val="99"/>
    <w:rsid w:val="00620770"/>
    <w:rPr>
      <w:rFonts w:ascii="Times New Roman" w:eastAsia="Calibri" w:hAnsi="Times New Roman" w:cs="Times New Roman"/>
      <w:color w:val="auto"/>
      <w:sz w:val="24"/>
      <w:szCs w:val="22"/>
    </w:rPr>
  </w:style>
  <w:style w:type="paragraph" w:customStyle="1" w:styleId="AppendixHeading20">
    <w:name w:val="Appendix_Heading_2"/>
    <w:basedOn w:val="Heading3"/>
    <w:next w:val="Normal"/>
    <w:link w:val="AppendixHeading2Char"/>
    <w:qFormat/>
    <w:rsid w:val="00620770"/>
    <w:pPr>
      <w:tabs>
        <w:tab w:val="left" w:pos="720"/>
        <w:tab w:val="left" w:pos="851"/>
      </w:tabs>
      <w:suppressAutoHyphens w:val="0"/>
      <w:spacing w:before="200" w:after="0" w:line="264" w:lineRule="auto"/>
    </w:pPr>
    <w:rPr>
      <w:rFonts w:eastAsia="Times New Roman" w:cs="Times New Roman"/>
      <w:bCs/>
      <w:color w:val="auto"/>
      <w:kern w:val="0"/>
      <w:sz w:val="24"/>
      <w:szCs w:val="22"/>
    </w:rPr>
  </w:style>
  <w:style w:type="character" w:customStyle="1" w:styleId="AppendixHeading2Char">
    <w:name w:val="Appendix_Heading_2 Char"/>
    <w:link w:val="AppendixHeading20"/>
    <w:rsid w:val="00620770"/>
    <w:rPr>
      <w:rFonts w:asciiTheme="majorHAnsi" w:eastAsia="Times New Roman" w:hAnsiTheme="majorHAnsi" w:cs="Times New Roman"/>
      <w:b/>
      <w:bCs/>
      <w:color w:val="auto"/>
      <w:sz w:val="24"/>
      <w:szCs w:val="22"/>
    </w:rPr>
  </w:style>
  <w:style w:type="paragraph" w:customStyle="1" w:styleId="Table3">
    <w:name w:val="Table 3"/>
    <w:basedOn w:val="Table2"/>
    <w:link w:val="Table3Char"/>
    <w:qFormat/>
    <w:rsid w:val="00620770"/>
    <w:pPr>
      <w:spacing w:before="15" w:after="15"/>
    </w:pPr>
    <w:rPr>
      <w:sz w:val="16"/>
    </w:rPr>
  </w:style>
  <w:style w:type="character" w:customStyle="1" w:styleId="Table3Char">
    <w:name w:val="Table 3 Char"/>
    <w:link w:val="Table3"/>
    <w:rsid w:val="00620770"/>
    <w:rPr>
      <w:rFonts w:ascii="Times New Roman" w:eastAsia="Calibri" w:hAnsi="Times New Roman" w:cs="Times New Roman"/>
      <w:color w:val="auto"/>
      <w:sz w:val="16"/>
      <w:szCs w:val="22"/>
    </w:rPr>
  </w:style>
  <w:style w:type="paragraph" w:customStyle="1" w:styleId="Table3heading">
    <w:name w:val="Table 3 heading"/>
    <w:basedOn w:val="Table3"/>
    <w:link w:val="Table3headingChar"/>
    <w:qFormat/>
    <w:rsid w:val="00620770"/>
    <w:pPr>
      <w:spacing w:before="20" w:after="20"/>
    </w:pPr>
    <w:rPr>
      <w:sz w:val="18"/>
    </w:rPr>
  </w:style>
  <w:style w:type="character" w:customStyle="1" w:styleId="Table3headingChar">
    <w:name w:val="Table 3 heading Char"/>
    <w:link w:val="Table3heading"/>
    <w:rsid w:val="00620770"/>
    <w:rPr>
      <w:rFonts w:ascii="Times New Roman" w:eastAsia="Calibri" w:hAnsi="Times New Roman" w:cs="Times New Roman"/>
      <w:color w:val="auto"/>
      <w:sz w:val="18"/>
      <w:szCs w:val="22"/>
    </w:rPr>
  </w:style>
  <w:style w:type="paragraph" w:customStyle="1" w:styleId="Table4">
    <w:name w:val="Table 4"/>
    <w:basedOn w:val="Table2"/>
    <w:link w:val="Table4Char"/>
    <w:qFormat/>
    <w:rsid w:val="00620770"/>
    <w:rPr>
      <w:sz w:val="18"/>
    </w:rPr>
  </w:style>
  <w:style w:type="character" w:customStyle="1" w:styleId="Table4Char">
    <w:name w:val="Table 4 Char"/>
    <w:link w:val="Table4"/>
    <w:rsid w:val="00620770"/>
    <w:rPr>
      <w:rFonts w:ascii="Times New Roman" w:eastAsia="Calibri" w:hAnsi="Times New Roman" w:cs="Times New Roman"/>
      <w:color w:val="auto"/>
      <w:sz w:val="18"/>
      <w:szCs w:val="22"/>
    </w:rPr>
  </w:style>
  <w:style w:type="paragraph" w:customStyle="1" w:styleId="Alphabetlist">
    <w:name w:val="Alphabet list"/>
    <w:basedOn w:val="ListParagraph"/>
    <w:link w:val="AlphabetlistChar"/>
    <w:uiPriority w:val="99"/>
    <w:qFormat/>
    <w:rsid w:val="00620770"/>
    <w:pPr>
      <w:keepLines/>
      <w:tabs>
        <w:tab w:val="left" w:pos="720"/>
      </w:tabs>
      <w:suppressAutoHyphens w:val="0"/>
      <w:autoSpaceDE/>
      <w:autoSpaceDN/>
      <w:adjustRightInd/>
      <w:spacing w:before="240" w:after="240"/>
      <w:ind w:left="0"/>
      <w:textAlignment w:val="auto"/>
    </w:pPr>
    <w:rPr>
      <w:rFonts w:ascii="Times New Roman" w:eastAsia="Calibri" w:hAnsi="Times New Roman" w:cs="Times New Roman"/>
      <w:snapToGrid w:val="0"/>
      <w:color w:val="auto"/>
      <w:sz w:val="24"/>
    </w:rPr>
  </w:style>
  <w:style w:type="character" w:customStyle="1" w:styleId="AlphabetlistChar">
    <w:name w:val="Alphabet list Char"/>
    <w:link w:val="Alphabetlist"/>
    <w:uiPriority w:val="99"/>
    <w:rsid w:val="00620770"/>
    <w:rPr>
      <w:rFonts w:ascii="Times New Roman" w:eastAsia="Calibri" w:hAnsi="Times New Roman" w:cs="Times New Roman"/>
      <w:snapToGrid w:val="0"/>
      <w:color w:val="auto"/>
      <w:sz w:val="24"/>
      <w:szCs w:val="22"/>
    </w:rPr>
  </w:style>
  <w:style w:type="paragraph" w:customStyle="1" w:styleId="underlinedleft">
    <w:name w:val="underlined&amp;left"/>
    <w:basedOn w:val="Normal"/>
    <w:next w:val="Normal"/>
    <w:link w:val="underlinedleftChar"/>
    <w:qFormat/>
    <w:rsid w:val="00620770"/>
    <w:pPr>
      <w:tabs>
        <w:tab w:val="left" w:pos="720"/>
        <w:tab w:val="left" w:pos="851"/>
      </w:tabs>
      <w:suppressAutoHyphens w:val="0"/>
      <w:spacing w:before="240" w:after="240" w:line="264" w:lineRule="auto"/>
    </w:pPr>
    <w:rPr>
      <w:rFonts w:ascii="Times New Roman" w:eastAsia="Calibri" w:hAnsi="Times New Roman" w:cs="Times New Roman"/>
      <w:color w:val="auto"/>
      <w:kern w:val="0"/>
      <w:sz w:val="24"/>
      <w:szCs w:val="22"/>
      <w:u w:val="single"/>
    </w:rPr>
  </w:style>
  <w:style w:type="character" w:customStyle="1" w:styleId="underlinedleftChar">
    <w:name w:val="underlined&amp;left Char"/>
    <w:link w:val="underlinedleft"/>
    <w:rsid w:val="00620770"/>
    <w:rPr>
      <w:rFonts w:ascii="Times New Roman" w:eastAsia="Calibri" w:hAnsi="Times New Roman" w:cs="Times New Roman"/>
      <w:color w:val="auto"/>
      <w:sz w:val="24"/>
      <w:szCs w:val="22"/>
      <w:u w:val="single"/>
    </w:rPr>
  </w:style>
  <w:style w:type="paragraph" w:styleId="NormalWeb">
    <w:name w:val="Normal (Web)"/>
    <w:basedOn w:val="Normal"/>
    <w:uiPriority w:val="99"/>
    <w:unhideWhenUsed/>
    <w:qFormat/>
    <w:rsid w:val="00620770"/>
    <w:pPr>
      <w:tabs>
        <w:tab w:val="left" w:pos="720"/>
      </w:tabs>
      <w:suppressAutoHyphens w:val="0"/>
      <w:spacing w:before="0" w:after="100" w:afterAutospacing="1"/>
      <w:ind w:left="1800"/>
    </w:pPr>
    <w:rPr>
      <w:rFonts w:ascii="Times New Roman" w:eastAsia="Times New Roman" w:hAnsi="Times New Roman" w:cs="Times New Roman"/>
      <w:color w:val="auto"/>
      <w:kern w:val="0"/>
      <w:sz w:val="24"/>
      <w:szCs w:val="24"/>
      <w:lang w:eastAsia="en-AU"/>
    </w:rPr>
  </w:style>
  <w:style w:type="table" w:customStyle="1" w:styleId="LightShading1">
    <w:name w:val="Light Shading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99"/>
    <w:semiHidden/>
    <w:rsid w:val="00620770"/>
    <w:pPr>
      <w:spacing w:before="0" w:after="0"/>
    </w:pPr>
    <w:rPr>
      <w:rFonts w:ascii="Times New Roman" w:eastAsia="Calibri" w:hAnsi="Times New Roman" w:cs="Times New Roman"/>
      <w:color w:val="auto"/>
      <w:sz w:val="24"/>
      <w:szCs w:val="22"/>
    </w:rPr>
  </w:style>
  <w:style w:type="paragraph" w:styleId="EndnoteText">
    <w:name w:val="endnote text"/>
    <w:basedOn w:val="Normal"/>
    <w:link w:val="EndnoteTextChar"/>
    <w:uiPriority w:val="99"/>
    <w:semiHidden/>
    <w:unhideWhenUsed/>
    <w:rsid w:val="00620770"/>
    <w:pPr>
      <w:tabs>
        <w:tab w:val="left" w:pos="720"/>
        <w:tab w:val="left" w:pos="851"/>
      </w:tabs>
      <w:suppressAutoHyphens w:val="0"/>
      <w:spacing w:before="240" w:after="240" w:line="264" w:lineRule="auto"/>
    </w:pPr>
    <w:rPr>
      <w:rFonts w:ascii="Times New Roman" w:eastAsia="Calibri" w:hAnsi="Times New Roman" w:cs="Times New Roman"/>
      <w:color w:val="auto"/>
      <w:kern w:val="0"/>
    </w:rPr>
  </w:style>
  <w:style w:type="character" w:customStyle="1" w:styleId="EndnoteTextChar">
    <w:name w:val="Endnote Text Char"/>
    <w:basedOn w:val="DefaultParagraphFont"/>
    <w:link w:val="EndnoteText"/>
    <w:uiPriority w:val="99"/>
    <w:semiHidden/>
    <w:rsid w:val="00620770"/>
    <w:rPr>
      <w:rFonts w:ascii="Times New Roman" w:eastAsia="Calibri" w:hAnsi="Times New Roman" w:cs="Times New Roman"/>
      <w:color w:val="auto"/>
    </w:rPr>
  </w:style>
  <w:style w:type="character" w:styleId="EndnoteReference">
    <w:name w:val="endnote reference"/>
    <w:uiPriority w:val="31"/>
    <w:semiHidden/>
    <w:unhideWhenUsed/>
    <w:rsid w:val="00620770"/>
    <w:rPr>
      <w:vertAlign w:val="superscript"/>
    </w:rPr>
  </w:style>
  <w:style w:type="numbering" w:customStyle="1" w:styleId="NoList11">
    <w:name w:val="No List11"/>
    <w:next w:val="NoList"/>
    <w:uiPriority w:val="99"/>
    <w:semiHidden/>
    <w:unhideWhenUsed/>
    <w:rsid w:val="00620770"/>
  </w:style>
  <w:style w:type="table" w:customStyle="1" w:styleId="LightShading11">
    <w:name w:val="Light Shading1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
    <w:name w:val="Light Shading2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
    <w:name w:val="Light Shading3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Text">
    <w:name w:val="TableText"/>
    <w:basedOn w:val="Normal"/>
    <w:uiPriority w:val="99"/>
    <w:qFormat/>
    <w:rsid w:val="00620770"/>
    <w:pPr>
      <w:suppressAutoHyphens w:val="0"/>
      <w:spacing w:before="120" w:after="120"/>
    </w:pPr>
    <w:rPr>
      <w:rFonts w:ascii="Arial" w:eastAsia="Times New Roman" w:hAnsi="Arial" w:cs="Arial"/>
      <w:bCs/>
      <w:color w:val="auto"/>
      <w:kern w:val="0"/>
    </w:rPr>
  </w:style>
  <w:style w:type="table" w:customStyle="1" w:styleId="LightGrid-Accent21">
    <w:name w:val="Light Grid - Accent 21"/>
    <w:basedOn w:val="TableNormal"/>
    <w:next w:val="LightGrid-Accent2"/>
    <w:uiPriority w:val="62"/>
    <w:rsid w:val="00620770"/>
    <w:pPr>
      <w:spacing w:before="0" w:after="0"/>
    </w:pPr>
    <w:rPr>
      <w:rFonts w:eastAsia="Times New Roman"/>
      <w:color w:val="auto"/>
      <w:sz w:val="24"/>
      <w:szCs w:val="24"/>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shd w:val="clear" w:color="auto" w:fill="CD0920"/>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Tablefootnote">
    <w:name w:val="Table footnote"/>
    <w:basedOn w:val="Normal"/>
    <w:link w:val="TablefootnoteChar"/>
    <w:qFormat/>
    <w:rsid w:val="00620770"/>
    <w:pPr>
      <w:tabs>
        <w:tab w:val="left" w:pos="720"/>
        <w:tab w:val="left" w:pos="851"/>
      </w:tabs>
      <w:suppressAutoHyphens w:val="0"/>
      <w:spacing w:before="120" w:after="240"/>
    </w:pPr>
    <w:rPr>
      <w:rFonts w:ascii="Arial" w:eastAsia="Calibri" w:hAnsi="Arial" w:cs="Times New Roman"/>
      <w:color w:val="auto"/>
      <w:kern w:val="0"/>
      <w:sz w:val="18"/>
      <w:szCs w:val="22"/>
    </w:rPr>
  </w:style>
  <w:style w:type="character" w:customStyle="1" w:styleId="TablefootnoteChar">
    <w:name w:val="Table footnote Char"/>
    <w:basedOn w:val="DefaultParagraphFont"/>
    <w:link w:val="Tablefootnote"/>
    <w:rsid w:val="00620770"/>
    <w:rPr>
      <w:rFonts w:ascii="Arial" w:eastAsia="Calibri" w:hAnsi="Arial" w:cs="Times New Roman"/>
      <w:color w:val="auto"/>
      <w:sz w:val="18"/>
      <w:szCs w:val="22"/>
    </w:rPr>
  </w:style>
  <w:style w:type="table" w:customStyle="1" w:styleId="TableGrid2">
    <w:name w:val="Table Grid2"/>
    <w:basedOn w:val="TableNormal"/>
    <w:next w:val="TableGrid"/>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620770"/>
  </w:style>
  <w:style w:type="table" w:customStyle="1" w:styleId="TableGrid3">
    <w:name w:val="Table Grid3"/>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2">
    <w:name w:val="Light Shading12"/>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
    <w:name w:val="Light Shading22"/>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
    <w:name w:val="Light Shading32"/>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
    <w:name w:val="No List111"/>
    <w:next w:val="NoList"/>
    <w:uiPriority w:val="99"/>
    <w:semiHidden/>
    <w:unhideWhenUsed/>
    <w:rsid w:val="00620770"/>
  </w:style>
  <w:style w:type="table" w:customStyle="1" w:styleId="TableGrid11">
    <w:name w:val="Table Grid11"/>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
    <w:name w:val="Light Shading11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
    <w:name w:val="Light Shading21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1">
    <w:name w:val="Light Shading31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1">
    <w:name w:val="Table Grid21"/>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1">
    <w:name w:val="Body Text1"/>
    <w:basedOn w:val="Normal"/>
    <w:link w:val="BodytextChar0"/>
    <w:qFormat/>
    <w:rsid w:val="00620770"/>
    <w:pPr>
      <w:widowControl w:val="0"/>
      <w:suppressAutoHyphens w:val="0"/>
      <w:spacing w:before="240" w:after="240" w:line="264" w:lineRule="auto"/>
    </w:pPr>
    <w:rPr>
      <w:rFonts w:ascii="Times New Roman" w:eastAsia="Times New Roman" w:hAnsi="Times New Roman" w:cs="Times New Roman"/>
      <w:color w:val="auto"/>
      <w:kern w:val="0"/>
      <w:sz w:val="24"/>
      <w:szCs w:val="24"/>
      <w:lang w:val="x-none" w:eastAsia="x-none"/>
    </w:rPr>
  </w:style>
  <w:style w:type="character" w:customStyle="1" w:styleId="BodytextChar0">
    <w:name w:val="Body text Char"/>
    <w:link w:val="BodyText1"/>
    <w:rsid w:val="00620770"/>
    <w:rPr>
      <w:rFonts w:ascii="Times New Roman" w:eastAsia="Times New Roman" w:hAnsi="Times New Roman" w:cs="Times New Roman"/>
      <w:color w:val="auto"/>
      <w:sz w:val="24"/>
      <w:szCs w:val="24"/>
      <w:lang w:val="x-none" w:eastAsia="x-none"/>
    </w:rPr>
  </w:style>
  <w:style w:type="table" w:customStyle="1" w:styleId="RIStable">
    <w:name w:val="RIS_table"/>
    <w:basedOn w:val="TableNormal"/>
    <w:uiPriority w:val="99"/>
    <w:rsid w:val="00620770"/>
    <w:pPr>
      <w:spacing w:before="0" w:after="0"/>
    </w:pPr>
    <w:rPr>
      <w:color w:val="auto"/>
      <w:sz w:val="22"/>
      <w:szCs w:val="22"/>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85" w:type="dxa"/>
        <w:bottom w:w="28" w:type="dxa"/>
        <w:right w:w="85" w:type="dxa"/>
      </w:tblCellMar>
    </w:tblPr>
    <w:tcPr>
      <w:shd w:val="clear" w:color="auto" w:fill="auto"/>
    </w:tcPr>
    <w:tblStylePr w:type="firstRow">
      <w:tblPr/>
      <w:tcPr>
        <w:shd w:val="clear" w:color="auto" w:fill="DBE5F1"/>
      </w:tcPr>
    </w:tblStylePr>
  </w:style>
  <w:style w:type="table" w:customStyle="1" w:styleId="LightShading-Accent11">
    <w:name w:val="Light Shading - Accent 11"/>
    <w:basedOn w:val="TableNormal"/>
    <w:next w:val="LightShading-Accent1"/>
    <w:uiPriority w:val="60"/>
    <w:rsid w:val="00620770"/>
    <w:pPr>
      <w:spacing w:before="0" w:after="0"/>
    </w:pPr>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UBHEADING2">
    <w:name w:val="SUBHEADING2"/>
    <w:basedOn w:val="Subheading1"/>
    <w:link w:val="SUBHEADING2Char"/>
    <w:qFormat/>
    <w:rsid w:val="00620770"/>
    <w:pPr>
      <w:tabs>
        <w:tab w:val="clear" w:pos="720"/>
      </w:tabs>
    </w:pPr>
    <w:rPr>
      <w:b/>
      <w:u w:val="single"/>
    </w:rPr>
  </w:style>
  <w:style w:type="character" w:customStyle="1" w:styleId="SUBHEADING2Char">
    <w:name w:val="SUBHEADING2 Char"/>
    <w:basedOn w:val="Subheading1Char"/>
    <w:link w:val="SUBHEADING2"/>
    <w:rsid w:val="00620770"/>
    <w:rPr>
      <w:rFonts w:ascii="Times New Roman" w:eastAsia="Calibri" w:hAnsi="Times New Roman" w:cs="Times New Roman"/>
      <w:b/>
      <w:caps/>
      <w:color w:val="auto"/>
      <w:sz w:val="24"/>
      <w:szCs w:val="22"/>
      <w:u w:val="single"/>
    </w:rPr>
  </w:style>
  <w:style w:type="table" w:customStyle="1" w:styleId="LightShading4">
    <w:name w:val="Light Shading4"/>
    <w:basedOn w:val="TableNormal"/>
    <w:next w:val="LightShading"/>
    <w:uiPriority w:val="60"/>
    <w:rsid w:val="00620770"/>
    <w:pPr>
      <w:spacing w:before="0" w:after="0"/>
    </w:pPr>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Accent11">
    <w:name w:val="Medium List 2 - Accent 11"/>
    <w:basedOn w:val="TableNormal"/>
    <w:next w:val="MediumList2-Accent1"/>
    <w:uiPriority w:val="66"/>
    <w:rsid w:val="00620770"/>
    <w:pPr>
      <w:spacing w:before="0" w:after="0"/>
    </w:pPr>
    <w:rPr>
      <w:rFonts w:ascii="Cambria" w:eastAsia="Times New Roman" w:hAnsi="Cambria"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unicode">
    <w:name w:val="unicode"/>
    <w:basedOn w:val="DefaultParagraphFont"/>
    <w:rsid w:val="00620770"/>
  </w:style>
  <w:style w:type="paragraph" w:customStyle="1" w:styleId="TableText0">
    <w:name w:val="Table Text"/>
    <w:basedOn w:val="Normal"/>
    <w:uiPriority w:val="98"/>
    <w:qFormat/>
    <w:rsid w:val="00620770"/>
    <w:pPr>
      <w:suppressAutoHyphens w:val="0"/>
      <w:spacing w:before="0" w:after="0"/>
    </w:pPr>
    <w:rPr>
      <w:rFonts w:ascii="Calibri" w:eastAsia="Times New Roman" w:hAnsi="Calibri" w:cs="Microsoft Sans Serif"/>
      <w:kern w:val="0"/>
      <w:sz w:val="18"/>
      <w:szCs w:val="16"/>
      <w:lang w:eastAsia="en-AU"/>
    </w:rPr>
  </w:style>
  <w:style w:type="paragraph" w:customStyle="1" w:styleId="Comment">
    <w:name w:val="Comment"/>
    <w:basedOn w:val="Normal"/>
    <w:uiPriority w:val="99"/>
    <w:qFormat/>
    <w:rsid w:val="00620770"/>
    <w:pPr>
      <w:pBdr>
        <w:top w:val="single" w:sz="4" w:space="1" w:color="auto"/>
        <w:left w:val="single" w:sz="4" w:space="4" w:color="auto"/>
        <w:bottom w:val="single" w:sz="4" w:space="1" w:color="auto"/>
        <w:right w:val="single" w:sz="4" w:space="4" w:color="auto"/>
      </w:pBdr>
      <w:shd w:val="clear" w:color="auto" w:fill="F2F2F2"/>
      <w:suppressAutoHyphens w:val="0"/>
      <w:spacing w:before="0" w:after="240" w:line="300" w:lineRule="auto"/>
      <w:ind w:left="567" w:right="567"/>
    </w:pPr>
    <w:rPr>
      <w:color w:val="auto"/>
      <w:kern w:val="0"/>
      <w:sz w:val="22"/>
      <w:szCs w:val="22"/>
    </w:rPr>
  </w:style>
  <w:style w:type="paragraph" w:customStyle="1" w:styleId="Title1">
    <w:name w:val="Title 1"/>
    <w:uiPriority w:val="99"/>
    <w:qFormat/>
    <w:rsid w:val="00620770"/>
    <w:pPr>
      <w:spacing w:before="0" w:after="200" w:line="276" w:lineRule="auto"/>
    </w:pPr>
    <w:rPr>
      <w:rFonts w:ascii="Cambria" w:eastAsia="Times New Roman" w:hAnsi="Cambria" w:cs="Times New Roman"/>
      <w:b/>
      <w:bCs/>
      <w:color w:val="365F91"/>
      <w:sz w:val="28"/>
      <w:szCs w:val="28"/>
    </w:rPr>
  </w:style>
  <w:style w:type="paragraph" w:customStyle="1" w:styleId="Title2">
    <w:name w:val="Title 2"/>
    <w:uiPriority w:val="99"/>
    <w:qFormat/>
    <w:rsid w:val="00620770"/>
    <w:pPr>
      <w:spacing w:before="0" w:after="200" w:line="276" w:lineRule="auto"/>
    </w:pPr>
    <w:rPr>
      <w:rFonts w:ascii="Cambria" w:eastAsia="Times New Roman" w:hAnsi="Cambria" w:cs="Times New Roman"/>
      <w:b/>
      <w:bCs/>
      <w:color w:val="4F81BD"/>
      <w:sz w:val="26"/>
      <w:szCs w:val="26"/>
    </w:rPr>
  </w:style>
  <w:style w:type="paragraph" w:customStyle="1" w:styleId="SurveyHeading1">
    <w:name w:val="Survey Heading 1"/>
    <w:basedOn w:val="Heading1"/>
    <w:link w:val="SurveyHeading1Char"/>
    <w:uiPriority w:val="99"/>
    <w:qFormat/>
    <w:rsid w:val="00620770"/>
    <w:pPr>
      <w:suppressAutoHyphens w:val="0"/>
      <w:spacing w:after="0" w:line="300" w:lineRule="auto"/>
      <w:ind w:left="432" w:hanging="432"/>
      <w:contextualSpacing w:val="0"/>
    </w:pPr>
    <w:rPr>
      <w:b/>
      <w:bCs/>
      <w:color w:val="365F91"/>
      <w:sz w:val="28"/>
      <w:szCs w:val="28"/>
    </w:rPr>
  </w:style>
  <w:style w:type="paragraph" w:customStyle="1" w:styleId="SurveyHeading2">
    <w:name w:val="Survey Heading 2"/>
    <w:basedOn w:val="SurveyHeading1"/>
    <w:link w:val="SurveyHeading2Char"/>
    <w:uiPriority w:val="99"/>
    <w:qFormat/>
    <w:rsid w:val="00620770"/>
    <w:pPr>
      <w:ind w:left="431" w:hanging="431"/>
      <w:outlineLvl w:val="9"/>
    </w:pPr>
    <w:rPr>
      <w:sz w:val="24"/>
      <w:szCs w:val="24"/>
    </w:rPr>
  </w:style>
  <w:style w:type="character" w:customStyle="1" w:styleId="SurveyHeading1Char">
    <w:name w:val="Survey Heading 1 Char"/>
    <w:basedOn w:val="Heading1Char"/>
    <w:link w:val="SurveyHeading1"/>
    <w:uiPriority w:val="99"/>
    <w:rsid w:val="00620770"/>
    <w:rPr>
      <w:rFonts w:asciiTheme="majorHAnsi" w:eastAsiaTheme="majorEastAsia" w:hAnsiTheme="majorHAnsi" w:cstheme="majorBidi"/>
      <w:b/>
      <w:bCs/>
      <w:color w:val="365F91"/>
      <w:kern w:val="12"/>
      <w:sz w:val="28"/>
      <w:szCs w:val="28"/>
    </w:rPr>
  </w:style>
  <w:style w:type="character" w:customStyle="1" w:styleId="SurveyHeading2Char">
    <w:name w:val="Survey Heading 2 Char"/>
    <w:basedOn w:val="SurveyHeading1Char"/>
    <w:link w:val="SurveyHeading2"/>
    <w:uiPriority w:val="99"/>
    <w:rsid w:val="00620770"/>
    <w:rPr>
      <w:rFonts w:asciiTheme="majorHAnsi" w:eastAsiaTheme="majorEastAsia" w:hAnsiTheme="majorHAnsi" w:cstheme="majorBidi"/>
      <w:b/>
      <w:bCs/>
      <w:color w:val="365F91"/>
      <w:kern w:val="12"/>
      <w:sz w:val="24"/>
      <w:szCs w:val="24"/>
    </w:rPr>
  </w:style>
  <w:style w:type="paragraph" w:customStyle="1" w:styleId="Heading-ExecutiveSummary">
    <w:name w:val="Heading - Executive Summary"/>
    <w:basedOn w:val="Heading1"/>
    <w:uiPriority w:val="99"/>
    <w:qFormat/>
    <w:rsid w:val="00620770"/>
    <w:pPr>
      <w:tabs>
        <w:tab w:val="left" w:pos="720"/>
        <w:tab w:val="left" w:pos="851"/>
        <w:tab w:val="num" w:pos="926"/>
      </w:tabs>
      <w:suppressAutoHyphens w:val="0"/>
      <w:spacing w:before="240" w:after="240"/>
      <w:ind w:left="851" w:hanging="851"/>
      <w:contextualSpacing w:val="0"/>
    </w:pPr>
    <w:rPr>
      <w:rFonts w:eastAsia="Times New Roman" w:cs="Times New Roman"/>
      <w:b/>
      <w:bCs/>
      <w:caps/>
      <w:color w:val="auto"/>
      <w:kern w:val="0"/>
      <w:sz w:val="24"/>
      <w:szCs w:val="28"/>
    </w:rPr>
  </w:style>
  <w:style w:type="paragraph" w:customStyle="1" w:styleId="Appendix-Heading">
    <w:name w:val="Appendix - Heading"/>
    <w:basedOn w:val="Heading7"/>
    <w:next w:val="Normal"/>
    <w:link w:val="Appendix-HeadingChar"/>
    <w:uiPriority w:val="99"/>
    <w:qFormat/>
    <w:rsid w:val="00620770"/>
    <w:pPr>
      <w:numPr>
        <w:numId w:val="13"/>
      </w:numPr>
      <w:ind w:left="0" w:firstLine="0"/>
    </w:pPr>
    <w:rPr>
      <w:color w:val="081E3E" w:themeColor="text2"/>
      <w:kern w:val="12"/>
    </w:rPr>
  </w:style>
  <w:style w:type="numbering" w:customStyle="1" w:styleId="Appendices">
    <w:name w:val="Appendices"/>
    <w:uiPriority w:val="99"/>
    <w:rsid w:val="00620770"/>
    <w:pPr>
      <w:numPr>
        <w:numId w:val="12"/>
      </w:numPr>
    </w:pPr>
  </w:style>
  <w:style w:type="table" w:customStyle="1" w:styleId="LightShading-Accent61">
    <w:name w:val="Light Shading - Accent 61"/>
    <w:basedOn w:val="TableNormal"/>
    <w:next w:val="LightShading-Accent6"/>
    <w:uiPriority w:val="60"/>
    <w:rsid w:val="00620770"/>
    <w:pPr>
      <w:spacing w:before="0" w:after="0"/>
    </w:pPr>
    <w:rPr>
      <w:rFonts w:ascii="Times New Roman" w:eastAsia="Times New Roman" w:hAnsi="Times New Roman" w:cs="Times New Roman"/>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PlainTable21">
    <w:name w:val="Plain Table 21"/>
    <w:basedOn w:val="TableNormal"/>
    <w:uiPriority w:val="42"/>
    <w:rsid w:val="00620770"/>
    <w:pPr>
      <w:spacing w:before="0" w:after="0"/>
    </w:pPr>
    <w:rPr>
      <w:color w:val="auto"/>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Clauseheading">
    <w:name w:val="Clause heading"/>
    <w:basedOn w:val="Heading1"/>
    <w:next w:val="Normal"/>
    <w:uiPriority w:val="99"/>
    <w:rsid w:val="00620770"/>
    <w:pPr>
      <w:keepLines w:val="0"/>
      <w:tabs>
        <w:tab w:val="num" w:pos="1418"/>
      </w:tabs>
      <w:suppressAutoHyphens w:val="0"/>
      <w:spacing w:before="240" w:after="120"/>
      <w:ind w:left="1418" w:hanging="1418"/>
      <w:contextualSpacing w:val="0"/>
    </w:pPr>
    <w:rPr>
      <w:rFonts w:ascii="Times New Roman" w:eastAsia="Times New Roman" w:hAnsi="Times New Roman" w:cs="Arial"/>
      <w:b/>
      <w:bCs/>
      <w:caps/>
      <w:color w:val="auto"/>
      <w:kern w:val="32"/>
      <w:sz w:val="24"/>
      <w:lang w:eastAsia="en-AU"/>
    </w:rPr>
  </w:style>
  <w:style w:type="paragraph" w:customStyle="1" w:styleId="msonormal0">
    <w:name w:val="msonormal"/>
    <w:basedOn w:val="Normal"/>
    <w:rsid w:val="00620770"/>
    <w:pP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paragraph" w:customStyle="1" w:styleId="font5">
    <w:name w:val="font5"/>
    <w:basedOn w:val="Normal"/>
    <w:uiPriority w:val="99"/>
    <w:rsid w:val="00620770"/>
    <w:pPr>
      <w:suppressAutoHyphens w:val="0"/>
      <w:spacing w:before="100" w:beforeAutospacing="1" w:after="100" w:afterAutospacing="1"/>
    </w:pPr>
    <w:rPr>
      <w:rFonts w:ascii="Tahoma" w:eastAsia="Times New Roman" w:hAnsi="Tahoma" w:cs="Tahoma"/>
      <w:color w:val="000000"/>
      <w:kern w:val="0"/>
      <w:sz w:val="18"/>
      <w:szCs w:val="18"/>
      <w:lang w:eastAsia="en-AU"/>
    </w:rPr>
  </w:style>
  <w:style w:type="paragraph" w:customStyle="1" w:styleId="font6">
    <w:name w:val="font6"/>
    <w:basedOn w:val="Normal"/>
    <w:uiPriority w:val="99"/>
    <w:rsid w:val="00620770"/>
    <w:pPr>
      <w:suppressAutoHyphens w:val="0"/>
      <w:spacing w:before="100" w:beforeAutospacing="1" w:after="100" w:afterAutospacing="1"/>
    </w:pPr>
    <w:rPr>
      <w:rFonts w:ascii="Tahoma" w:eastAsia="Times New Roman" w:hAnsi="Tahoma" w:cs="Tahoma"/>
      <w:b/>
      <w:bCs/>
      <w:color w:val="000000"/>
      <w:kern w:val="0"/>
      <w:sz w:val="18"/>
      <w:szCs w:val="18"/>
      <w:lang w:eastAsia="en-AU"/>
    </w:rPr>
  </w:style>
  <w:style w:type="paragraph" w:customStyle="1" w:styleId="xl183">
    <w:name w:val="xl183"/>
    <w:basedOn w:val="Normal"/>
    <w:rsid w:val="00620770"/>
    <w:pPr>
      <w:pBdr>
        <w:top w:val="single" w:sz="8" w:space="0" w:color="auto"/>
        <w:left w:val="single" w:sz="8" w:space="0" w:color="auto"/>
        <w:bottom w:val="single" w:sz="4" w:space="0" w:color="auto"/>
      </w:pBd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paragraph" w:customStyle="1" w:styleId="xl184">
    <w:name w:val="xl184"/>
    <w:basedOn w:val="Normal"/>
    <w:rsid w:val="00620770"/>
    <w:pP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85">
    <w:name w:val="xl185"/>
    <w:basedOn w:val="Normal"/>
    <w:rsid w:val="00620770"/>
    <w:pPr>
      <w:pBdr>
        <w:right w:val="single" w:sz="4" w:space="0" w:color="auto"/>
      </w:pBd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86">
    <w:name w:val="xl186"/>
    <w:basedOn w:val="Normal"/>
    <w:rsid w:val="00620770"/>
    <w:pPr>
      <w:pBdr>
        <w:left w:val="single" w:sz="4" w:space="0" w:color="auto"/>
      </w:pBd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87">
    <w:name w:val="xl187"/>
    <w:basedOn w:val="Normal"/>
    <w:rsid w:val="00620770"/>
    <w:pP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88">
    <w:name w:val="xl188"/>
    <w:basedOn w:val="Normal"/>
    <w:rsid w:val="00620770"/>
    <w:pPr>
      <w:pBdr>
        <w:left w:val="single" w:sz="8" w:space="0" w:color="auto"/>
        <w:right w:val="single" w:sz="4" w:space="0" w:color="auto"/>
      </w:pBd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89">
    <w:name w:val="xl189"/>
    <w:basedOn w:val="Normal"/>
    <w:rsid w:val="00620770"/>
    <w:pPr>
      <w:pBdr>
        <w:left w:val="single" w:sz="8" w:space="0" w:color="auto"/>
        <w:right w:val="single" w:sz="4" w:space="0" w:color="auto"/>
      </w:pBdr>
      <w:suppressAutoHyphens w:val="0"/>
      <w:spacing w:before="100" w:beforeAutospacing="1" w:after="100" w:afterAutospacing="1"/>
      <w:jc w:val="right"/>
    </w:pPr>
    <w:rPr>
      <w:rFonts w:ascii="Arial" w:eastAsia="Times New Roman" w:hAnsi="Arial" w:cs="Arial"/>
      <w:color w:val="auto"/>
      <w:kern w:val="0"/>
      <w:lang w:eastAsia="en-AU"/>
    </w:rPr>
  </w:style>
  <w:style w:type="paragraph" w:customStyle="1" w:styleId="xl190">
    <w:name w:val="xl190"/>
    <w:basedOn w:val="Normal"/>
    <w:rsid w:val="00620770"/>
    <w:pPr>
      <w:pBdr>
        <w:left w:val="single" w:sz="8" w:space="0" w:color="auto"/>
        <w:bottom w:val="single" w:sz="8" w:space="0" w:color="auto"/>
        <w:right w:val="single" w:sz="4" w:space="0" w:color="auto"/>
      </w:pBd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91">
    <w:name w:val="xl191"/>
    <w:basedOn w:val="Normal"/>
    <w:rsid w:val="00620770"/>
    <w:pPr>
      <w:pBdr>
        <w:left w:val="single" w:sz="4" w:space="0" w:color="auto"/>
      </w:pBd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92">
    <w:name w:val="xl192"/>
    <w:basedOn w:val="Normal"/>
    <w:rsid w:val="00620770"/>
    <w:pPr>
      <w:pBdr>
        <w:left w:val="single" w:sz="4" w:space="0" w:color="auto"/>
      </w:pBd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93">
    <w:name w:val="xl193"/>
    <w:basedOn w:val="Normal"/>
    <w:rsid w:val="00620770"/>
    <w:pPr>
      <w:pBdr>
        <w:right w:val="single" w:sz="4" w:space="0" w:color="auto"/>
      </w:pBd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94">
    <w:name w:val="xl194"/>
    <w:basedOn w:val="Normal"/>
    <w:rsid w:val="00620770"/>
    <w:pP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95">
    <w:name w:val="xl195"/>
    <w:basedOn w:val="Normal"/>
    <w:rsid w:val="00620770"/>
    <w:pPr>
      <w:pBdr>
        <w:right w:val="single" w:sz="4" w:space="0" w:color="auto"/>
      </w:pBd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96">
    <w:name w:val="xl196"/>
    <w:basedOn w:val="Normal"/>
    <w:rsid w:val="00620770"/>
    <w:pPr>
      <w:pBdr>
        <w:right w:val="single" w:sz="8" w:space="0" w:color="auto"/>
      </w:pBd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97">
    <w:name w:val="xl197"/>
    <w:basedOn w:val="Normal"/>
    <w:uiPriority w:val="99"/>
    <w:rsid w:val="00620770"/>
    <w:pPr>
      <w:pBdr>
        <w:top w:val="single" w:sz="4" w:space="0" w:color="auto"/>
        <w:left w:val="single" w:sz="4" w:space="0" w:color="auto"/>
        <w:bottom w:val="single" w:sz="4" w:space="0" w:color="auto"/>
      </w:pBdr>
      <w:suppressAutoHyphens w:val="0"/>
      <w:spacing w:before="100" w:beforeAutospacing="1" w:after="100" w:afterAutospacing="1"/>
    </w:pPr>
    <w:rPr>
      <w:rFonts w:ascii="Arial" w:eastAsia="Times New Roman" w:hAnsi="Arial" w:cs="Arial"/>
      <w:color w:val="000000"/>
      <w:kern w:val="0"/>
      <w:sz w:val="16"/>
      <w:szCs w:val="16"/>
      <w:lang w:eastAsia="en-AU"/>
    </w:rPr>
  </w:style>
  <w:style w:type="paragraph" w:customStyle="1" w:styleId="xl198">
    <w:name w:val="xl198"/>
    <w:basedOn w:val="Normal"/>
    <w:uiPriority w:val="99"/>
    <w:rsid w:val="00620770"/>
    <w:pPr>
      <w:pBdr>
        <w:top w:val="single" w:sz="4" w:space="0" w:color="auto"/>
        <w:bottom w:val="single" w:sz="4" w:space="0" w:color="auto"/>
        <w:right w:val="single" w:sz="4" w:space="0" w:color="auto"/>
      </w:pBdr>
      <w:suppressAutoHyphens w:val="0"/>
      <w:spacing w:before="100" w:beforeAutospacing="1" w:after="100" w:afterAutospacing="1"/>
    </w:pPr>
    <w:rPr>
      <w:rFonts w:ascii="Arial" w:eastAsia="Times New Roman" w:hAnsi="Arial" w:cs="Arial"/>
      <w:color w:val="000000"/>
      <w:kern w:val="0"/>
      <w:sz w:val="16"/>
      <w:szCs w:val="16"/>
      <w:lang w:eastAsia="en-AU"/>
    </w:rPr>
  </w:style>
  <w:style w:type="paragraph" w:customStyle="1" w:styleId="xl199">
    <w:name w:val="xl199"/>
    <w:basedOn w:val="Normal"/>
    <w:uiPriority w:val="99"/>
    <w:rsid w:val="0062077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eastAsia="Times New Roman" w:hAnsi="Arial" w:cs="Arial"/>
      <w:color w:val="000000"/>
      <w:kern w:val="0"/>
      <w:sz w:val="16"/>
      <w:szCs w:val="16"/>
      <w:lang w:eastAsia="en-AU"/>
    </w:rPr>
  </w:style>
  <w:style w:type="paragraph" w:customStyle="1" w:styleId="xl200">
    <w:name w:val="xl200"/>
    <w:basedOn w:val="Normal"/>
    <w:uiPriority w:val="99"/>
    <w:rsid w:val="00620770"/>
    <w:pPr>
      <w:pBdr>
        <w:top w:val="single" w:sz="4" w:space="0" w:color="auto"/>
        <w:bottom w:val="single" w:sz="4" w:space="0" w:color="auto"/>
      </w:pBdr>
      <w:suppressAutoHyphens w:val="0"/>
      <w:spacing w:before="100" w:beforeAutospacing="1" w:after="100" w:afterAutospacing="1"/>
    </w:pPr>
    <w:rPr>
      <w:rFonts w:ascii="Arial" w:eastAsia="Times New Roman" w:hAnsi="Arial" w:cs="Arial"/>
      <w:color w:val="000000"/>
      <w:kern w:val="0"/>
      <w:sz w:val="16"/>
      <w:szCs w:val="16"/>
      <w:lang w:eastAsia="en-AU"/>
    </w:rPr>
  </w:style>
  <w:style w:type="paragraph" w:customStyle="1" w:styleId="xl201">
    <w:name w:val="xl201"/>
    <w:basedOn w:val="Normal"/>
    <w:uiPriority w:val="99"/>
    <w:rsid w:val="00620770"/>
    <w:pPr>
      <w:pBdr>
        <w:left w:val="single" w:sz="4" w:space="0" w:color="auto"/>
      </w:pBdr>
      <w:suppressAutoHyphens w:val="0"/>
      <w:spacing w:before="100" w:beforeAutospacing="1" w:after="100" w:afterAutospacing="1"/>
    </w:pPr>
    <w:rPr>
      <w:rFonts w:ascii="Arial" w:eastAsia="Times New Roman" w:hAnsi="Arial" w:cs="Arial"/>
      <w:i/>
      <w:iCs/>
      <w:color w:val="auto"/>
      <w:kern w:val="0"/>
      <w:lang w:eastAsia="en-AU"/>
    </w:rPr>
  </w:style>
  <w:style w:type="paragraph" w:customStyle="1" w:styleId="xl202">
    <w:name w:val="xl202"/>
    <w:basedOn w:val="Normal"/>
    <w:uiPriority w:val="99"/>
    <w:rsid w:val="00620770"/>
    <w:pP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03">
    <w:name w:val="xl203"/>
    <w:basedOn w:val="Normal"/>
    <w:uiPriority w:val="99"/>
    <w:rsid w:val="00620770"/>
    <w:pPr>
      <w:pBdr>
        <w:right w:val="single" w:sz="4" w:space="0" w:color="auto"/>
      </w:pBdr>
      <w:suppressAutoHyphens w:val="0"/>
      <w:spacing w:before="100" w:beforeAutospacing="1" w:after="100" w:afterAutospacing="1"/>
      <w:jc w:val="right"/>
    </w:pPr>
    <w:rPr>
      <w:rFonts w:ascii="Arial" w:eastAsia="Times New Roman" w:hAnsi="Arial" w:cs="Arial"/>
      <w:color w:val="1F497D"/>
      <w:kern w:val="0"/>
      <w:lang w:eastAsia="en-AU"/>
    </w:rPr>
  </w:style>
  <w:style w:type="paragraph" w:customStyle="1" w:styleId="xl204">
    <w:name w:val="xl204"/>
    <w:basedOn w:val="Normal"/>
    <w:uiPriority w:val="99"/>
    <w:rsid w:val="00620770"/>
    <w:pPr>
      <w:pBdr>
        <w:left w:val="single" w:sz="4"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05">
    <w:name w:val="xl205"/>
    <w:basedOn w:val="Normal"/>
    <w:uiPriority w:val="99"/>
    <w:rsid w:val="00620770"/>
    <w:pPr>
      <w:pBdr>
        <w:left w:val="single" w:sz="4" w:space="0" w:color="auto"/>
        <w:bottom w:val="single" w:sz="8"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06">
    <w:name w:val="xl206"/>
    <w:basedOn w:val="Normal"/>
    <w:uiPriority w:val="99"/>
    <w:rsid w:val="00620770"/>
    <w:pPr>
      <w:pBdr>
        <w:bottom w:val="single" w:sz="8"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07">
    <w:name w:val="xl207"/>
    <w:basedOn w:val="Normal"/>
    <w:uiPriority w:val="99"/>
    <w:rsid w:val="00620770"/>
    <w:pPr>
      <w:pBdr>
        <w:bottom w:val="single" w:sz="8" w:space="0" w:color="auto"/>
        <w:right w:val="single" w:sz="4" w:space="0" w:color="auto"/>
      </w:pBdr>
      <w:suppressAutoHyphens w:val="0"/>
      <w:spacing w:before="100" w:beforeAutospacing="1" w:after="100" w:afterAutospacing="1"/>
      <w:jc w:val="right"/>
    </w:pPr>
    <w:rPr>
      <w:rFonts w:ascii="Arial" w:eastAsia="Times New Roman" w:hAnsi="Arial" w:cs="Arial"/>
      <w:color w:val="1F497D"/>
      <w:kern w:val="0"/>
      <w:lang w:eastAsia="en-AU"/>
    </w:rPr>
  </w:style>
  <w:style w:type="paragraph" w:customStyle="1" w:styleId="xl208">
    <w:name w:val="xl208"/>
    <w:basedOn w:val="Normal"/>
    <w:uiPriority w:val="99"/>
    <w:rsid w:val="00620770"/>
    <w:pPr>
      <w:pBdr>
        <w:right w:val="single" w:sz="4"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09">
    <w:name w:val="xl209"/>
    <w:basedOn w:val="Normal"/>
    <w:uiPriority w:val="99"/>
    <w:rsid w:val="00620770"/>
    <w:pPr>
      <w:pBdr>
        <w:bottom w:val="single" w:sz="8" w:space="0" w:color="auto"/>
        <w:right w:val="single" w:sz="4"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10">
    <w:name w:val="xl210"/>
    <w:basedOn w:val="Normal"/>
    <w:uiPriority w:val="99"/>
    <w:rsid w:val="00620770"/>
    <w:pPr>
      <w:suppressAutoHyphens w:val="0"/>
      <w:spacing w:before="100" w:beforeAutospacing="1" w:after="100" w:afterAutospacing="1"/>
    </w:pPr>
    <w:rPr>
      <w:rFonts w:ascii="Times New Roman" w:eastAsia="Times New Roman" w:hAnsi="Times New Roman" w:cs="Times New Roman"/>
      <w:color w:val="1F497D"/>
      <w:kern w:val="0"/>
      <w:sz w:val="24"/>
      <w:szCs w:val="24"/>
      <w:lang w:eastAsia="en-AU"/>
    </w:rPr>
  </w:style>
  <w:style w:type="paragraph" w:customStyle="1" w:styleId="xl211">
    <w:name w:val="xl211"/>
    <w:basedOn w:val="Normal"/>
    <w:uiPriority w:val="99"/>
    <w:rsid w:val="00620770"/>
    <w:pPr>
      <w:pBdr>
        <w:right w:val="single" w:sz="8"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12">
    <w:name w:val="xl212"/>
    <w:basedOn w:val="Normal"/>
    <w:uiPriority w:val="99"/>
    <w:rsid w:val="00620770"/>
    <w:pPr>
      <w:pBdr>
        <w:bottom w:val="single" w:sz="8" w:space="0" w:color="auto"/>
        <w:right w:val="single" w:sz="8"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13">
    <w:name w:val="xl213"/>
    <w:basedOn w:val="Normal"/>
    <w:uiPriority w:val="99"/>
    <w:rsid w:val="00620770"/>
    <w:pPr>
      <w:pBdr>
        <w:top w:val="single" w:sz="4" w:space="0" w:color="auto"/>
        <w:bottom w:val="single" w:sz="4" w:space="0" w:color="auto"/>
        <w:right w:val="single" w:sz="8" w:space="0" w:color="auto"/>
      </w:pBdr>
      <w:suppressAutoHyphens w:val="0"/>
      <w:spacing w:before="100" w:beforeAutospacing="1" w:after="100" w:afterAutospacing="1"/>
    </w:pPr>
    <w:rPr>
      <w:rFonts w:ascii="Arial" w:eastAsia="Times New Roman" w:hAnsi="Arial" w:cs="Arial"/>
      <w:color w:val="000000"/>
      <w:kern w:val="0"/>
      <w:sz w:val="16"/>
      <w:szCs w:val="16"/>
      <w:lang w:eastAsia="en-AU"/>
    </w:rPr>
  </w:style>
  <w:style w:type="paragraph" w:customStyle="1" w:styleId="xl214">
    <w:name w:val="xl214"/>
    <w:basedOn w:val="Normal"/>
    <w:uiPriority w:val="99"/>
    <w:rsid w:val="00620770"/>
    <w:pPr>
      <w:pBdr>
        <w:top w:val="single" w:sz="8" w:space="0" w:color="auto"/>
        <w:bottom w:val="single" w:sz="4" w:space="0" w:color="auto"/>
      </w:pBdr>
      <w:suppressAutoHyphens w:val="0"/>
      <w:spacing w:before="100" w:beforeAutospacing="1" w:after="100" w:afterAutospacing="1"/>
      <w:jc w:val="center"/>
    </w:pPr>
    <w:rPr>
      <w:rFonts w:ascii="Arial" w:eastAsia="Times New Roman" w:hAnsi="Arial" w:cs="Arial"/>
      <w:b/>
      <w:bCs/>
      <w:color w:val="000000"/>
      <w:kern w:val="0"/>
      <w:sz w:val="16"/>
      <w:szCs w:val="16"/>
      <w:lang w:eastAsia="en-AU"/>
    </w:rPr>
  </w:style>
  <w:style w:type="paragraph" w:customStyle="1" w:styleId="xl215">
    <w:name w:val="xl215"/>
    <w:basedOn w:val="Normal"/>
    <w:uiPriority w:val="99"/>
    <w:rsid w:val="00620770"/>
    <w:pPr>
      <w:pBdr>
        <w:top w:val="single" w:sz="8" w:space="0" w:color="auto"/>
        <w:bottom w:val="single" w:sz="4" w:space="0" w:color="auto"/>
        <w:right w:val="single" w:sz="8" w:space="0" w:color="auto"/>
      </w:pBdr>
      <w:suppressAutoHyphens w:val="0"/>
      <w:spacing w:before="100" w:beforeAutospacing="1" w:after="100" w:afterAutospacing="1"/>
      <w:jc w:val="center"/>
    </w:pPr>
    <w:rPr>
      <w:rFonts w:ascii="Arial" w:eastAsia="Times New Roman" w:hAnsi="Arial" w:cs="Arial"/>
      <w:b/>
      <w:bCs/>
      <w:color w:val="000000"/>
      <w:kern w:val="0"/>
      <w:sz w:val="16"/>
      <w:szCs w:val="16"/>
      <w:lang w:eastAsia="en-AU"/>
    </w:rPr>
  </w:style>
  <w:style w:type="paragraph" w:customStyle="1" w:styleId="xl216">
    <w:name w:val="xl216"/>
    <w:basedOn w:val="Normal"/>
    <w:uiPriority w:val="99"/>
    <w:rsid w:val="00620770"/>
    <w:pPr>
      <w:pBdr>
        <w:top w:val="single" w:sz="8" w:space="0" w:color="auto"/>
        <w:left w:val="single" w:sz="4" w:space="0" w:color="auto"/>
        <w:bottom w:val="single" w:sz="4" w:space="0" w:color="auto"/>
      </w:pBdr>
      <w:suppressAutoHyphens w:val="0"/>
      <w:spacing w:before="100" w:beforeAutospacing="1" w:after="100" w:afterAutospacing="1"/>
      <w:jc w:val="center"/>
    </w:pPr>
    <w:rPr>
      <w:rFonts w:ascii="Arial" w:eastAsia="Times New Roman" w:hAnsi="Arial" w:cs="Arial"/>
      <w:b/>
      <w:bCs/>
      <w:color w:val="000000"/>
      <w:kern w:val="0"/>
      <w:sz w:val="16"/>
      <w:szCs w:val="16"/>
      <w:lang w:eastAsia="en-AU"/>
    </w:rPr>
  </w:style>
  <w:style w:type="paragraph" w:customStyle="1" w:styleId="xl217">
    <w:name w:val="xl217"/>
    <w:basedOn w:val="Normal"/>
    <w:uiPriority w:val="99"/>
    <w:rsid w:val="00620770"/>
    <w:pPr>
      <w:pBdr>
        <w:top w:val="single" w:sz="8"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color w:val="000000"/>
      <w:kern w:val="0"/>
      <w:sz w:val="16"/>
      <w:szCs w:val="16"/>
      <w:lang w:eastAsia="en-AU"/>
    </w:rPr>
  </w:style>
  <w:style w:type="table" w:customStyle="1" w:styleId="PlainTable211">
    <w:name w:val="Plain Table 211"/>
    <w:basedOn w:val="TableNormal"/>
    <w:uiPriority w:val="42"/>
    <w:rsid w:val="00620770"/>
    <w:pPr>
      <w:spacing w:before="0" w:after="0"/>
    </w:pPr>
    <w:rPr>
      <w:color w:val="auto"/>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AppendixHeading">
    <w:name w:val="Appendix Heading"/>
    <w:basedOn w:val="Appendix-Heading"/>
    <w:link w:val="AppendixHeadingChar"/>
    <w:rsid w:val="00620770"/>
  </w:style>
  <w:style w:type="character" w:customStyle="1" w:styleId="Appendix-HeadingChar">
    <w:name w:val="Appendix - Heading Char"/>
    <w:basedOn w:val="Heading1Char"/>
    <w:link w:val="Appendix-Heading"/>
    <w:uiPriority w:val="99"/>
    <w:rsid w:val="00620770"/>
    <w:rPr>
      <w:rFonts w:ascii="Cambria" w:eastAsia="Times New Roman" w:hAnsi="Cambria" w:cs="Times New Roman"/>
      <w:b/>
      <w:bCs/>
      <w:caps/>
      <w:color w:val="081E3E" w:themeColor="text2"/>
      <w:kern w:val="12"/>
      <w:sz w:val="24"/>
      <w:szCs w:val="28"/>
    </w:rPr>
  </w:style>
  <w:style w:type="character" w:customStyle="1" w:styleId="AppendixHeadingChar">
    <w:name w:val="Appendix Heading Char"/>
    <w:basedOn w:val="Appendix-HeadingChar"/>
    <w:link w:val="AppendixHeading"/>
    <w:rsid w:val="00620770"/>
    <w:rPr>
      <w:rFonts w:ascii="Cambria" w:eastAsia="Times New Roman" w:hAnsi="Cambria" w:cs="Times New Roman"/>
      <w:b/>
      <w:bCs/>
      <w:caps/>
      <w:color w:val="081E3E" w:themeColor="text2"/>
      <w:kern w:val="12"/>
      <w:sz w:val="24"/>
      <w:szCs w:val="28"/>
    </w:rPr>
  </w:style>
  <w:style w:type="paragraph" w:styleId="NoteHeading">
    <w:name w:val="Note Heading"/>
    <w:basedOn w:val="Normal"/>
    <w:next w:val="Normal"/>
    <w:link w:val="NoteHeadingChar"/>
    <w:uiPriority w:val="99"/>
    <w:unhideWhenUsed/>
    <w:rsid w:val="00620770"/>
    <w:pPr>
      <w:tabs>
        <w:tab w:val="left" w:pos="720"/>
        <w:tab w:val="left" w:pos="851"/>
      </w:tabs>
      <w:suppressAutoHyphens w:val="0"/>
      <w:spacing w:before="0" w:after="0"/>
    </w:pPr>
    <w:rPr>
      <w:rFonts w:ascii="Times New Roman" w:eastAsia="Calibri" w:hAnsi="Times New Roman" w:cs="Times New Roman"/>
      <w:color w:val="auto"/>
      <w:kern w:val="0"/>
      <w:sz w:val="24"/>
      <w:szCs w:val="22"/>
    </w:rPr>
  </w:style>
  <w:style w:type="character" w:customStyle="1" w:styleId="NoteHeadingChar">
    <w:name w:val="Note Heading Char"/>
    <w:basedOn w:val="DefaultParagraphFont"/>
    <w:link w:val="NoteHeading"/>
    <w:uiPriority w:val="99"/>
    <w:rsid w:val="00620770"/>
    <w:rPr>
      <w:rFonts w:ascii="Times New Roman" w:eastAsia="Calibri" w:hAnsi="Times New Roman" w:cs="Times New Roman"/>
      <w:color w:val="auto"/>
      <w:sz w:val="24"/>
      <w:szCs w:val="22"/>
    </w:rPr>
  </w:style>
  <w:style w:type="paragraph" w:styleId="BodyTextIndent">
    <w:name w:val="Body Text Indent"/>
    <w:basedOn w:val="Normal"/>
    <w:link w:val="BodyTextIndentChar"/>
    <w:uiPriority w:val="99"/>
    <w:unhideWhenUsed/>
    <w:rsid w:val="00620770"/>
    <w:pPr>
      <w:tabs>
        <w:tab w:val="left" w:pos="720"/>
        <w:tab w:val="left" w:pos="851"/>
      </w:tabs>
      <w:suppressAutoHyphens w:val="0"/>
      <w:spacing w:before="240" w:after="120" w:line="264" w:lineRule="auto"/>
      <w:ind w:left="283"/>
    </w:pPr>
    <w:rPr>
      <w:rFonts w:ascii="Times New Roman" w:eastAsia="Calibri" w:hAnsi="Times New Roman" w:cs="Times New Roman"/>
      <w:color w:val="auto"/>
      <w:kern w:val="0"/>
      <w:sz w:val="24"/>
      <w:szCs w:val="22"/>
    </w:rPr>
  </w:style>
  <w:style w:type="character" w:customStyle="1" w:styleId="BodyTextIndentChar">
    <w:name w:val="Body Text Indent Char"/>
    <w:basedOn w:val="DefaultParagraphFont"/>
    <w:link w:val="BodyTextIndent"/>
    <w:uiPriority w:val="99"/>
    <w:rsid w:val="00620770"/>
    <w:rPr>
      <w:rFonts w:ascii="Times New Roman" w:eastAsia="Calibri" w:hAnsi="Times New Roman" w:cs="Times New Roman"/>
      <w:color w:val="auto"/>
      <w:sz w:val="24"/>
      <w:szCs w:val="22"/>
    </w:rPr>
  </w:style>
  <w:style w:type="numbering" w:customStyle="1" w:styleId="NoList3">
    <w:name w:val="No List3"/>
    <w:next w:val="NoList"/>
    <w:uiPriority w:val="99"/>
    <w:semiHidden/>
    <w:unhideWhenUsed/>
    <w:rsid w:val="00620770"/>
  </w:style>
  <w:style w:type="table" w:customStyle="1" w:styleId="TableGrid4">
    <w:name w:val="Table Grid4"/>
    <w:basedOn w:val="TableNormal"/>
    <w:next w:val="TableGrid"/>
    <w:uiPriority w:val="5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20770"/>
    <w:pPr>
      <w:tabs>
        <w:tab w:val="left" w:pos="720"/>
        <w:tab w:val="left" w:pos="851"/>
      </w:tabs>
      <w:suppressAutoHyphens w:val="0"/>
      <w:spacing w:before="240" w:after="240" w:line="264" w:lineRule="auto"/>
    </w:pPr>
    <w:rPr>
      <w:rFonts w:ascii="Times New Roman" w:eastAsia="Calibri" w:hAnsi="Times New Roman" w:cs="Times New Roman"/>
      <w:color w:val="auto"/>
      <w:kern w:val="0"/>
      <w:sz w:val="24"/>
      <w:szCs w:val="22"/>
    </w:rPr>
  </w:style>
  <w:style w:type="paragraph" w:customStyle="1" w:styleId="BlockText1">
    <w:name w:val="Block Text1"/>
    <w:basedOn w:val="Normal"/>
    <w:next w:val="BlockText"/>
    <w:uiPriority w:val="99"/>
    <w:semiHidden/>
    <w:unhideWhenUsed/>
    <w:rsid w:val="00620770"/>
    <w:pPr>
      <w:pBdr>
        <w:top w:val="single" w:sz="2" w:space="10" w:color="4F81BD" w:shadow="1" w:frame="1"/>
        <w:left w:val="single" w:sz="2" w:space="10" w:color="4F81BD" w:shadow="1" w:frame="1"/>
        <w:bottom w:val="single" w:sz="2" w:space="10" w:color="4F81BD" w:shadow="1" w:frame="1"/>
        <w:right w:val="single" w:sz="2" w:space="10" w:color="4F81BD" w:shadow="1" w:frame="1"/>
      </w:pBdr>
      <w:tabs>
        <w:tab w:val="left" w:pos="720"/>
        <w:tab w:val="left" w:pos="851"/>
      </w:tabs>
      <w:suppressAutoHyphens w:val="0"/>
      <w:spacing w:before="240" w:after="240" w:line="264" w:lineRule="auto"/>
      <w:ind w:left="1152" w:right="1152"/>
    </w:pPr>
    <w:rPr>
      <w:rFonts w:eastAsia="Times New Roman"/>
      <w:i/>
      <w:iCs/>
      <w:color w:val="4F81BD"/>
      <w:kern w:val="0"/>
      <w:sz w:val="24"/>
      <w:szCs w:val="22"/>
    </w:rPr>
  </w:style>
  <w:style w:type="paragraph" w:styleId="BodyText2">
    <w:name w:val="Body Text 2"/>
    <w:basedOn w:val="Normal"/>
    <w:link w:val="BodyText2Char"/>
    <w:uiPriority w:val="99"/>
    <w:semiHidden/>
    <w:unhideWhenUsed/>
    <w:rsid w:val="00620770"/>
    <w:pPr>
      <w:tabs>
        <w:tab w:val="left" w:pos="720"/>
        <w:tab w:val="left" w:pos="851"/>
      </w:tabs>
      <w:suppressAutoHyphens w:val="0"/>
      <w:spacing w:before="240" w:after="120" w:line="480" w:lineRule="auto"/>
    </w:pPr>
    <w:rPr>
      <w:rFonts w:ascii="Times New Roman" w:eastAsia="Calibri" w:hAnsi="Times New Roman" w:cs="Times New Roman"/>
      <w:color w:val="auto"/>
      <w:kern w:val="0"/>
      <w:sz w:val="24"/>
      <w:szCs w:val="22"/>
    </w:rPr>
  </w:style>
  <w:style w:type="character" w:customStyle="1" w:styleId="BodyText2Char">
    <w:name w:val="Body Text 2 Char"/>
    <w:basedOn w:val="DefaultParagraphFont"/>
    <w:link w:val="BodyText2"/>
    <w:uiPriority w:val="99"/>
    <w:semiHidden/>
    <w:rsid w:val="00620770"/>
    <w:rPr>
      <w:rFonts w:ascii="Times New Roman" w:eastAsia="Calibri" w:hAnsi="Times New Roman" w:cs="Times New Roman"/>
      <w:color w:val="auto"/>
      <w:sz w:val="24"/>
      <w:szCs w:val="22"/>
    </w:rPr>
  </w:style>
  <w:style w:type="paragraph" w:styleId="BodyText3">
    <w:name w:val="Body Text 3"/>
    <w:basedOn w:val="Normal"/>
    <w:link w:val="BodyText3Char"/>
    <w:uiPriority w:val="99"/>
    <w:semiHidden/>
    <w:unhideWhenUsed/>
    <w:rsid w:val="00620770"/>
    <w:pPr>
      <w:tabs>
        <w:tab w:val="left" w:pos="720"/>
        <w:tab w:val="left" w:pos="851"/>
      </w:tabs>
      <w:suppressAutoHyphens w:val="0"/>
      <w:spacing w:before="240" w:after="120" w:line="264" w:lineRule="auto"/>
    </w:pPr>
    <w:rPr>
      <w:rFonts w:ascii="Times New Roman" w:eastAsia="Calibri" w:hAnsi="Times New Roman" w:cs="Times New Roman"/>
      <w:color w:val="auto"/>
      <w:kern w:val="0"/>
      <w:sz w:val="16"/>
      <w:szCs w:val="16"/>
    </w:rPr>
  </w:style>
  <w:style w:type="character" w:customStyle="1" w:styleId="BodyText3Char">
    <w:name w:val="Body Text 3 Char"/>
    <w:basedOn w:val="DefaultParagraphFont"/>
    <w:link w:val="BodyText3"/>
    <w:uiPriority w:val="99"/>
    <w:semiHidden/>
    <w:rsid w:val="00620770"/>
    <w:rPr>
      <w:rFonts w:ascii="Times New Roman" w:eastAsia="Calibri" w:hAnsi="Times New Roman" w:cs="Times New Roman"/>
      <w:color w:val="auto"/>
      <w:sz w:val="16"/>
      <w:szCs w:val="16"/>
    </w:rPr>
  </w:style>
  <w:style w:type="paragraph" w:styleId="BodyTextFirstIndent">
    <w:name w:val="Body Text First Indent"/>
    <w:basedOn w:val="BodyText"/>
    <w:link w:val="BodyTextFirstIndentChar"/>
    <w:uiPriority w:val="99"/>
    <w:semiHidden/>
    <w:unhideWhenUsed/>
    <w:rsid w:val="00620770"/>
    <w:pPr>
      <w:spacing w:before="240" w:after="240" w:line="264" w:lineRule="auto"/>
      <w:ind w:firstLine="360"/>
    </w:pPr>
    <w:rPr>
      <w:rFonts w:eastAsia="Calibri"/>
      <w:szCs w:val="22"/>
      <w:lang w:eastAsia="en-US"/>
    </w:rPr>
  </w:style>
  <w:style w:type="character" w:customStyle="1" w:styleId="BodyTextFirstIndentChar">
    <w:name w:val="Body Text First Indent Char"/>
    <w:basedOn w:val="BodyTextChar"/>
    <w:link w:val="BodyTextFirstIndent"/>
    <w:uiPriority w:val="99"/>
    <w:semiHidden/>
    <w:rsid w:val="00620770"/>
    <w:rPr>
      <w:rFonts w:ascii="Times New Roman" w:eastAsia="Calibri" w:hAnsi="Times New Roman" w:cs="Times New Roman"/>
      <w:color w:val="auto"/>
      <w:sz w:val="24"/>
      <w:szCs w:val="22"/>
      <w:lang w:eastAsia="en-AU"/>
    </w:rPr>
  </w:style>
  <w:style w:type="paragraph" w:styleId="BodyTextFirstIndent2">
    <w:name w:val="Body Text First Indent 2"/>
    <w:basedOn w:val="BodyTextIndent"/>
    <w:link w:val="BodyTextFirstIndent2Char"/>
    <w:uiPriority w:val="99"/>
    <w:semiHidden/>
    <w:unhideWhenUsed/>
    <w:rsid w:val="00620770"/>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620770"/>
    <w:rPr>
      <w:rFonts w:ascii="Times New Roman" w:eastAsia="Calibri" w:hAnsi="Times New Roman" w:cs="Times New Roman"/>
      <w:color w:val="auto"/>
      <w:sz w:val="24"/>
      <w:szCs w:val="22"/>
    </w:rPr>
  </w:style>
  <w:style w:type="paragraph" w:styleId="BodyTextIndent2">
    <w:name w:val="Body Text Indent 2"/>
    <w:basedOn w:val="Normal"/>
    <w:link w:val="BodyTextIndent2Char"/>
    <w:uiPriority w:val="99"/>
    <w:semiHidden/>
    <w:unhideWhenUsed/>
    <w:rsid w:val="00620770"/>
    <w:pPr>
      <w:tabs>
        <w:tab w:val="left" w:pos="720"/>
        <w:tab w:val="left" w:pos="851"/>
      </w:tabs>
      <w:suppressAutoHyphens w:val="0"/>
      <w:spacing w:before="240" w:after="120" w:line="480" w:lineRule="auto"/>
      <w:ind w:left="283"/>
    </w:pPr>
    <w:rPr>
      <w:rFonts w:ascii="Times New Roman" w:eastAsia="Calibri" w:hAnsi="Times New Roman" w:cs="Times New Roman"/>
      <w:color w:val="auto"/>
      <w:kern w:val="0"/>
      <w:sz w:val="24"/>
      <w:szCs w:val="22"/>
    </w:rPr>
  </w:style>
  <w:style w:type="character" w:customStyle="1" w:styleId="BodyTextIndent2Char">
    <w:name w:val="Body Text Indent 2 Char"/>
    <w:basedOn w:val="DefaultParagraphFont"/>
    <w:link w:val="BodyTextIndent2"/>
    <w:uiPriority w:val="99"/>
    <w:semiHidden/>
    <w:rsid w:val="00620770"/>
    <w:rPr>
      <w:rFonts w:ascii="Times New Roman" w:eastAsia="Calibri" w:hAnsi="Times New Roman" w:cs="Times New Roman"/>
      <w:color w:val="auto"/>
      <w:sz w:val="24"/>
      <w:szCs w:val="22"/>
    </w:rPr>
  </w:style>
  <w:style w:type="paragraph" w:styleId="BodyTextIndent3">
    <w:name w:val="Body Text Indent 3"/>
    <w:basedOn w:val="Normal"/>
    <w:link w:val="BodyTextIndent3Char"/>
    <w:uiPriority w:val="99"/>
    <w:semiHidden/>
    <w:unhideWhenUsed/>
    <w:rsid w:val="00620770"/>
    <w:pPr>
      <w:tabs>
        <w:tab w:val="left" w:pos="720"/>
        <w:tab w:val="left" w:pos="851"/>
      </w:tabs>
      <w:suppressAutoHyphens w:val="0"/>
      <w:spacing w:before="240" w:after="120" w:line="264" w:lineRule="auto"/>
      <w:ind w:left="283"/>
    </w:pPr>
    <w:rPr>
      <w:rFonts w:ascii="Times New Roman" w:eastAsia="Calibri" w:hAnsi="Times New Roman" w:cs="Times New Roman"/>
      <w:color w:val="auto"/>
      <w:kern w:val="0"/>
      <w:sz w:val="16"/>
      <w:szCs w:val="16"/>
    </w:rPr>
  </w:style>
  <w:style w:type="character" w:customStyle="1" w:styleId="BodyTextIndent3Char">
    <w:name w:val="Body Text Indent 3 Char"/>
    <w:basedOn w:val="DefaultParagraphFont"/>
    <w:link w:val="BodyTextIndent3"/>
    <w:uiPriority w:val="99"/>
    <w:semiHidden/>
    <w:rsid w:val="00620770"/>
    <w:rPr>
      <w:rFonts w:ascii="Times New Roman" w:eastAsia="Calibri" w:hAnsi="Times New Roman" w:cs="Times New Roman"/>
      <w:color w:val="auto"/>
      <w:sz w:val="16"/>
      <w:szCs w:val="16"/>
    </w:rPr>
  </w:style>
  <w:style w:type="paragraph" w:styleId="Closing">
    <w:name w:val="Closing"/>
    <w:basedOn w:val="Normal"/>
    <w:link w:val="ClosingChar"/>
    <w:uiPriority w:val="99"/>
    <w:semiHidden/>
    <w:unhideWhenUsed/>
    <w:rsid w:val="00620770"/>
    <w:pPr>
      <w:tabs>
        <w:tab w:val="left" w:pos="720"/>
        <w:tab w:val="left" w:pos="851"/>
      </w:tabs>
      <w:suppressAutoHyphens w:val="0"/>
      <w:spacing w:before="0" w:after="0"/>
      <w:ind w:left="4252"/>
    </w:pPr>
    <w:rPr>
      <w:rFonts w:ascii="Times New Roman" w:eastAsia="Calibri" w:hAnsi="Times New Roman" w:cs="Times New Roman"/>
      <w:color w:val="auto"/>
      <w:kern w:val="0"/>
      <w:sz w:val="24"/>
      <w:szCs w:val="22"/>
    </w:rPr>
  </w:style>
  <w:style w:type="character" w:customStyle="1" w:styleId="ClosingChar">
    <w:name w:val="Closing Char"/>
    <w:basedOn w:val="DefaultParagraphFont"/>
    <w:link w:val="Closing"/>
    <w:uiPriority w:val="99"/>
    <w:semiHidden/>
    <w:rsid w:val="00620770"/>
    <w:rPr>
      <w:rFonts w:ascii="Times New Roman" w:eastAsia="Calibri" w:hAnsi="Times New Roman" w:cs="Times New Roman"/>
      <w:color w:val="auto"/>
      <w:sz w:val="24"/>
      <w:szCs w:val="22"/>
    </w:rPr>
  </w:style>
  <w:style w:type="paragraph" w:styleId="Date">
    <w:name w:val="Date"/>
    <w:basedOn w:val="Normal"/>
    <w:next w:val="Normal"/>
    <w:link w:val="DateChar"/>
    <w:uiPriority w:val="99"/>
    <w:semiHidden/>
    <w:unhideWhenUsed/>
    <w:rsid w:val="00620770"/>
    <w:pPr>
      <w:tabs>
        <w:tab w:val="left" w:pos="720"/>
        <w:tab w:val="left" w:pos="851"/>
      </w:tabs>
      <w:suppressAutoHyphens w:val="0"/>
      <w:spacing w:before="240" w:after="240" w:line="264" w:lineRule="auto"/>
    </w:pPr>
    <w:rPr>
      <w:rFonts w:ascii="Times New Roman" w:eastAsia="Calibri" w:hAnsi="Times New Roman" w:cs="Times New Roman"/>
      <w:color w:val="auto"/>
      <w:kern w:val="0"/>
      <w:sz w:val="24"/>
      <w:szCs w:val="22"/>
    </w:rPr>
  </w:style>
  <w:style w:type="character" w:customStyle="1" w:styleId="DateChar">
    <w:name w:val="Date Char"/>
    <w:basedOn w:val="DefaultParagraphFont"/>
    <w:link w:val="Date"/>
    <w:uiPriority w:val="99"/>
    <w:semiHidden/>
    <w:rsid w:val="00620770"/>
    <w:rPr>
      <w:rFonts w:ascii="Times New Roman" w:eastAsia="Calibri" w:hAnsi="Times New Roman" w:cs="Times New Roman"/>
      <w:color w:val="auto"/>
      <w:sz w:val="24"/>
      <w:szCs w:val="22"/>
    </w:rPr>
  </w:style>
  <w:style w:type="paragraph" w:styleId="DocumentMap">
    <w:name w:val="Document Map"/>
    <w:basedOn w:val="Normal"/>
    <w:link w:val="DocumentMapChar"/>
    <w:uiPriority w:val="99"/>
    <w:semiHidden/>
    <w:unhideWhenUsed/>
    <w:rsid w:val="00620770"/>
    <w:pPr>
      <w:tabs>
        <w:tab w:val="left" w:pos="720"/>
        <w:tab w:val="left" w:pos="851"/>
      </w:tabs>
      <w:suppressAutoHyphens w:val="0"/>
      <w:spacing w:before="0" w:after="0"/>
    </w:pPr>
    <w:rPr>
      <w:rFonts w:ascii="Segoe UI" w:eastAsia="Calibri" w:hAnsi="Segoe UI" w:cs="Segoe UI"/>
      <w:color w:val="auto"/>
      <w:kern w:val="0"/>
      <w:sz w:val="16"/>
      <w:szCs w:val="16"/>
    </w:rPr>
  </w:style>
  <w:style w:type="character" w:customStyle="1" w:styleId="DocumentMapChar">
    <w:name w:val="Document Map Char"/>
    <w:basedOn w:val="DefaultParagraphFont"/>
    <w:link w:val="DocumentMap"/>
    <w:uiPriority w:val="99"/>
    <w:semiHidden/>
    <w:rsid w:val="00620770"/>
    <w:rPr>
      <w:rFonts w:ascii="Segoe UI" w:eastAsia="Calibri" w:hAnsi="Segoe UI" w:cs="Segoe UI"/>
      <w:color w:val="auto"/>
      <w:sz w:val="16"/>
      <w:szCs w:val="16"/>
    </w:rPr>
  </w:style>
  <w:style w:type="paragraph" w:styleId="E-mailSignature">
    <w:name w:val="E-mail Signature"/>
    <w:basedOn w:val="Normal"/>
    <w:link w:val="E-mailSignatureChar"/>
    <w:uiPriority w:val="99"/>
    <w:semiHidden/>
    <w:unhideWhenUsed/>
    <w:rsid w:val="00620770"/>
    <w:pPr>
      <w:tabs>
        <w:tab w:val="left" w:pos="720"/>
        <w:tab w:val="left" w:pos="851"/>
      </w:tabs>
      <w:suppressAutoHyphens w:val="0"/>
      <w:spacing w:before="0" w:after="0"/>
    </w:pPr>
    <w:rPr>
      <w:rFonts w:ascii="Times New Roman" w:eastAsia="Calibri" w:hAnsi="Times New Roman" w:cs="Times New Roman"/>
      <w:color w:val="auto"/>
      <w:kern w:val="0"/>
      <w:sz w:val="24"/>
      <w:szCs w:val="22"/>
    </w:rPr>
  </w:style>
  <w:style w:type="character" w:customStyle="1" w:styleId="E-mailSignatureChar">
    <w:name w:val="E-mail Signature Char"/>
    <w:basedOn w:val="DefaultParagraphFont"/>
    <w:link w:val="E-mailSignature"/>
    <w:uiPriority w:val="99"/>
    <w:semiHidden/>
    <w:rsid w:val="00620770"/>
    <w:rPr>
      <w:rFonts w:ascii="Times New Roman" w:eastAsia="Calibri" w:hAnsi="Times New Roman" w:cs="Times New Roman"/>
      <w:color w:val="auto"/>
      <w:sz w:val="24"/>
      <w:szCs w:val="22"/>
    </w:rPr>
  </w:style>
  <w:style w:type="paragraph" w:customStyle="1" w:styleId="EnvelopeAddress1">
    <w:name w:val="Envelope Address1"/>
    <w:basedOn w:val="Normal"/>
    <w:next w:val="EnvelopeAddress"/>
    <w:uiPriority w:val="99"/>
    <w:semiHidden/>
    <w:unhideWhenUsed/>
    <w:rsid w:val="00620770"/>
    <w:pPr>
      <w:framePr w:w="7920" w:h="1980" w:hRule="exact" w:hSpace="180" w:wrap="auto" w:hAnchor="page" w:xAlign="center" w:yAlign="bottom"/>
      <w:tabs>
        <w:tab w:val="left" w:pos="720"/>
        <w:tab w:val="left" w:pos="851"/>
      </w:tabs>
      <w:suppressAutoHyphens w:val="0"/>
      <w:spacing w:before="0" w:after="0"/>
      <w:ind w:left="2880"/>
    </w:pPr>
    <w:rPr>
      <w:rFonts w:ascii="Cambria" w:eastAsia="Times New Roman" w:hAnsi="Cambria" w:cs="Times New Roman"/>
      <w:color w:val="auto"/>
      <w:kern w:val="0"/>
      <w:sz w:val="24"/>
      <w:szCs w:val="24"/>
    </w:rPr>
  </w:style>
  <w:style w:type="paragraph" w:customStyle="1" w:styleId="EnvelopeReturn1">
    <w:name w:val="Envelope Return1"/>
    <w:basedOn w:val="Normal"/>
    <w:next w:val="EnvelopeReturn"/>
    <w:uiPriority w:val="99"/>
    <w:semiHidden/>
    <w:unhideWhenUsed/>
    <w:rsid w:val="00620770"/>
    <w:pPr>
      <w:tabs>
        <w:tab w:val="left" w:pos="720"/>
        <w:tab w:val="left" w:pos="851"/>
      </w:tabs>
      <w:suppressAutoHyphens w:val="0"/>
      <w:spacing w:before="0" w:after="0"/>
    </w:pPr>
    <w:rPr>
      <w:rFonts w:ascii="Cambria" w:eastAsia="Times New Roman" w:hAnsi="Cambria" w:cs="Times New Roman"/>
      <w:color w:val="auto"/>
      <w:kern w:val="0"/>
    </w:rPr>
  </w:style>
  <w:style w:type="paragraph" w:styleId="HTMLAddress">
    <w:name w:val="HTML Address"/>
    <w:basedOn w:val="Normal"/>
    <w:link w:val="HTMLAddressChar"/>
    <w:uiPriority w:val="99"/>
    <w:semiHidden/>
    <w:unhideWhenUsed/>
    <w:rsid w:val="00620770"/>
    <w:pPr>
      <w:tabs>
        <w:tab w:val="left" w:pos="720"/>
        <w:tab w:val="left" w:pos="851"/>
      </w:tabs>
      <w:suppressAutoHyphens w:val="0"/>
      <w:spacing w:before="0" w:after="0"/>
    </w:pPr>
    <w:rPr>
      <w:rFonts w:ascii="Times New Roman" w:eastAsia="Calibri" w:hAnsi="Times New Roman" w:cs="Times New Roman"/>
      <w:i/>
      <w:iCs/>
      <w:color w:val="auto"/>
      <w:kern w:val="0"/>
      <w:sz w:val="24"/>
      <w:szCs w:val="22"/>
    </w:rPr>
  </w:style>
  <w:style w:type="character" w:customStyle="1" w:styleId="HTMLAddressChar">
    <w:name w:val="HTML Address Char"/>
    <w:basedOn w:val="DefaultParagraphFont"/>
    <w:link w:val="HTMLAddress"/>
    <w:uiPriority w:val="99"/>
    <w:semiHidden/>
    <w:rsid w:val="00620770"/>
    <w:rPr>
      <w:rFonts w:ascii="Times New Roman" w:eastAsia="Calibri" w:hAnsi="Times New Roman" w:cs="Times New Roman"/>
      <w:i/>
      <w:iCs/>
      <w:color w:val="auto"/>
      <w:sz w:val="24"/>
      <w:szCs w:val="22"/>
    </w:rPr>
  </w:style>
  <w:style w:type="paragraph" w:styleId="HTMLPreformatted">
    <w:name w:val="HTML Preformatted"/>
    <w:basedOn w:val="Normal"/>
    <w:link w:val="HTMLPreformattedChar"/>
    <w:uiPriority w:val="99"/>
    <w:semiHidden/>
    <w:unhideWhenUsed/>
    <w:rsid w:val="00620770"/>
    <w:pPr>
      <w:tabs>
        <w:tab w:val="left" w:pos="720"/>
        <w:tab w:val="left" w:pos="851"/>
      </w:tabs>
      <w:suppressAutoHyphens w:val="0"/>
      <w:spacing w:before="0" w:after="0"/>
    </w:pPr>
    <w:rPr>
      <w:rFonts w:ascii="Consolas" w:eastAsia="Calibri" w:hAnsi="Consolas" w:cs="Times New Roman"/>
      <w:color w:val="auto"/>
      <w:kern w:val="0"/>
    </w:rPr>
  </w:style>
  <w:style w:type="character" w:customStyle="1" w:styleId="HTMLPreformattedChar">
    <w:name w:val="HTML Preformatted Char"/>
    <w:basedOn w:val="DefaultParagraphFont"/>
    <w:link w:val="HTMLPreformatted"/>
    <w:uiPriority w:val="99"/>
    <w:semiHidden/>
    <w:rsid w:val="00620770"/>
    <w:rPr>
      <w:rFonts w:ascii="Consolas" w:eastAsia="Calibri" w:hAnsi="Consolas" w:cs="Times New Roman"/>
      <w:color w:val="auto"/>
    </w:rPr>
  </w:style>
  <w:style w:type="paragraph" w:styleId="Index1">
    <w:name w:val="index 1"/>
    <w:basedOn w:val="Normal"/>
    <w:next w:val="Normal"/>
    <w:autoRedefine/>
    <w:uiPriority w:val="99"/>
    <w:semiHidden/>
    <w:unhideWhenUsed/>
    <w:rsid w:val="00620770"/>
    <w:pPr>
      <w:suppressAutoHyphens w:val="0"/>
      <w:spacing w:before="0" w:after="0"/>
      <w:ind w:left="240" w:hanging="240"/>
    </w:pPr>
    <w:rPr>
      <w:rFonts w:ascii="Times New Roman" w:eastAsia="Calibri" w:hAnsi="Times New Roman" w:cs="Times New Roman"/>
      <w:color w:val="auto"/>
      <w:kern w:val="0"/>
      <w:sz w:val="24"/>
      <w:szCs w:val="22"/>
    </w:rPr>
  </w:style>
  <w:style w:type="paragraph" w:styleId="Index2">
    <w:name w:val="index 2"/>
    <w:basedOn w:val="Normal"/>
    <w:next w:val="Normal"/>
    <w:autoRedefine/>
    <w:uiPriority w:val="99"/>
    <w:semiHidden/>
    <w:unhideWhenUsed/>
    <w:rsid w:val="00620770"/>
    <w:pPr>
      <w:suppressAutoHyphens w:val="0"/>
      <w:spacing w:before="0" w:after="0"/>
      <w:ind w:left="480" w:hanging="240"/>
    </w:pPr>
    <w:rPr>
      <w:rFonts w:ascii="Times New Roman" w:eastAsia="Calibri" w:hAnsi="Times New Roman" w:cs="Times New Roman"/>
      <w:color w:val="auto"/>
      <w:kern w:val="0"/>
      <w:sz w:val="24"/>
      <w:szCs w:val="22"/>
    </w:rPr>
  </w:style>
  <w:style w:type="paragraph" w:styleId="Index3">
    <w:name w:val="index 3"/>
    <w:basedOn w:val="Normal"/>
    <w:next w:val="Normal"/>
    <w:autoRedefine/>
    <w:uiPriority w:val="99"/>
    <w:semiHidden/>
    <w:unhideWhenUsed/>
    <w:rsid w:val="00620770"/>
    <w:pPr>
      <w:suppressAutoHyphens w:val="0"/>
      <w:spacing w:before="0" w:after="0"/>
      <w:ind w:left="720" w:hanging="240"/>
    </w:pPr>
    <w:rPr>
      <w:rFonts w:ascii="Times New Roman" w:eastAsia="Calibri" w:hAnsi="Times New Roman" w:cs="Times New Roman"/>
      <w:color w:val="auto"/>
      <w:kern w:val="0"/>
      <w:sz w:val="24"/>
      <w:szCs w:val="22"/>
    </w:rPr>
  </w:style>
  <w:style w:type="paragraph" w:styleId="Index4">
    <w:name w:val="index 4"/>
    <w:basedOn w:val="Normal"/>
    <w:next w:val="Normal"/>
    <w:autoRedefine/>
    <w:uiPriority w:val="99"/>
    <w:semiHidden/>
    <w:unhideWhenUsed/>
    <w:rsid w:val="00620770"/>
    <w:pPr>
      <w:suppressAutoHyphens w:val="0"/>
      <w:spacing w:before="0" w:after="0"/>
      <w:ind w:left="960" w:hanging="240"/>
    </w:pPr>
    <w:rPr>
      <w:rFonts w:ascii="Times New Roman" w:eastAsia="Calibri" w:hAnsi="Times New Roman" w:cs="Times New Roman"/>
      <w:color w:val="auto"/>
      <w:kern w:val="0"/>
      <w:sz w:val="24"/>
      <w:szCs w:val="22"/>
    </w:rPr>
  </w:style>
  <w:style w:type="paragraph" w:styleId="Index5">
    <w:name w:val="index 5"/>
    <w:basedOn w:val="Normal"/>
    <w:next w:val="Normal"/>
    <w:autoRedefine/>
    <w:uiPriority w:val="99"/>
    <w:semiHidden/>
    <w:unhideWhenUsed/>
    <w:rsid w:val="00620770"/>
    <w:pPr>
      <w:suppressAutoHyphens w:val="0"/>
      <w:spacing w:before="0" w:after="0"/>
      <w:ind w:left="1200" w:hanging="240"/>
    </w:pPr>
    <w:rPr>
      <w:rFonts w:ascii="Times New Roman" w:eastAsia="Calibri" w:hAnsi="Times New Roman" w:cs="Times New Roman"/>
      <w:color w:val="auto"/>
      <w:kern w:val="0"/>
      <w:sz w:val="24"/>
      <w:szCs w:val="22"/>
    </w:rPr>
  </w:style>
  <w:style w:type="paragraph" w:styleId="Index6">
    <w:name w:val="index 6"/>
    <w:basedOn w:val="Normal"/>
    <w:next w:val="Normal"/>
    <w:autoRedefine/>
    <w:uiPriority w:val="99"/>
    <w:semiHidden/>
    <w:unhideWhenUsed/>
    <w:rsid w:val="00620770"/>
    <w:pPr>
      <w:suppressAutoHyphens w:val="0"/>
      <w:spacing w:before="0" w:after="0"/>
      <w:ind w:left="1440" w:hanging="240"/>
    </w:pPr>
    <w:rPr>
      <w:rFonts w:ascii="Times New Roman" w:eastAsia="Calibri" w:hAnsi="Times New Roman" w:cs="Times New Roman"/>
      <w:color w:val="auto"/>
      <w:kern w:val="0"/>
      <w:sz w:val="24"/>
      <w:szCs w:val="22"/>
    </w:rPr>
  </w:style>
  <w:style w:type="paragraph" w:styleId="Index7">
    <w:name w:val="index 7"/>
    <w:basedOn w:val="Normal"/>
    <w:next w:val="Normal"/>
    <w:autoRedefine/>
    <w:uiPriority w:val="99"/>
    <w:semiHidden/>
    <w:unhideWhenUsed/>
    <w:rsid w:val="00620770"/>
    <w:pPr>
      <w:suppressAutoHyphens w:val="0"/>
      <w:spacing w:before="0" w:after="0"/>
      <w:ind w:left="1680" w:hanging="240"/>
    </w:pPr>
    <w:rPr>
      <w:rFonts w:ascii="Times New Roman" w:eastAsia="Calibri" w:hAnsi="Times New Roman" w:cs="Times New Roman"/>
      <w:color w:val="auto"/>
      <w:kern w:val="0"/>
      <w:sz w:val="24"/>
      <w:szCs w:val="22"/>
    </w:rPr>
  </w:style>
  <w:style w:type="paragraph" w:styleId="Index8">
    <w:name w:val="index 8"/>
    <w:basedOn w:val="Normal"/>
    <w:next w:val="Normal"/>
    <w:autoRedefine/>
    <w:uiPriority w:val="99"/>
    <w:semiHidden/>
    <w:unhideWhenUsed/>
    <w:rsid w:val="00620770"/>
    <w:pPr>
      <w:suppressAutoHyphens w:val="0"/>
      <w:spacing w:before="0" w:after="0"/>
      <w:ind w:left="1920" w:hanging="240"/>
    </w:pPr>
    <w:rPr>
      <w:rFonts w:ascii="Times New Roman" w:eastAsia="Calibri" w:hAnsi="Times New Roman" w:cs="Times New Roman"/>
      <w:color w:val="auto"/>
      <w:kern w:val="0"/>
      <w:sz w:val="24"/>
      <w:szCs w:val="22"/>
    </w:rPr>
  </w:style>
  <w:style w:type="paragraph" w:styleId="Index9">
    <w:name w:val="index 9"/>
    <w:basedOn w:val="Normal"/>
    <w:next w:val="Normal"/>
    <w:autoRedefine/>
    <w:uiPriority w:val="99"/>
    <w:semiHidden/>
    <w:unhideWhenUsed/>
    <w:rsid w:val="00620770"/>
    <w:pPr>
      <w:suppressAutoHyphens w:val="0"/>
      <w:spacing w:before="0" w:after="0"/>
      <w:ind w:left="2160" w:hanging="240"/>
    </w:pPr>
    <w:rPr>
      <w:rFonts w:ascii="Times New Roman" w:eastAsia="Calibri" w:hAnsi="Times New Roman" w:cs="Times New Roman"/>
      <w:color w:val="auto"/>
      <w:kern w:val="0"/>
      <w:sz w:val="24"/>
      <w:szCs w:val="22"/>
    </w:rPr>
  </w:style>
  <w:style w:type="paragraph" w:customStyle="1" w:styleId="IndexHeading1">
    <w:name w:val="Index Heading1"/>
    <w:basedOn w:val="Normal"/>
    <w:next w:val="Index1"/>
    <w:uiPriority w:val="99"/>
    <w:semiHidden/>
    <w:unhideWhenUsed/>
    <w:rsid w:val="00620770"/>
    <w:pPr>
      <w:tabs>
        <w:tab w:val="left" w:pos="720"/>
        <w:tab w:val="left" w:pos="851"/>
      </w:tabs>
      <w:suppressAutoHyphens w:val="0"/>
      <w:spacing w:before="240" w:after="240" w:line="264" w:lineRule="auto"/>
    </w:pPr>
    <w:rPr>
      <w:rFonts w:ascii="Cambria" w:eastAsia="Times New Roman" w:hAnsi="Cambria" w:cs="Times New Roman"/>
      <w:b/>
      <w:bCs/>
      <w:color w:val="auto"/>
      <w:kern w:val="0"/>
      <w:sz w:val="24"/>
      <w:szCs w:val="22"/>
    </w:rPr>
  </w:style>
  <w:style w:type="paragraph" w:customStyle="1" w:styleId="IntenseQuote1">
    <w:name w:val="Intense Quote1"/>
    <w:basedOn w:val="Normal"/>
    <w:next w:val="Normal"/>
    <w:uiPriority w:val="30"/>
    <w:qFormat/>
    <w:rsid w:val="00620770"/>
    <w:pPr>
      <w:pBdr>
        <w:top w:val="single" w:sz="4" w:space="10" w:color="4F81BD"/>
        <w:bottom w:val="single" w:sz="4" w:space="10" w:color="4F81BD"/>
      </w:pBdr>
      <w:tabs>
        <w:tab w:val="left" w:pos="720"/>
        <w:tab w:val="left" w:pos="851"/>
      </w:tabs>
      <w:suppressAutoHyphens w:val="0"/>
      <w:spacing w:before="360" w:after="360" w:line="264" w:lineRule="auto"/>
      <w:ind w:left="864" w:right="864"/>
      <w:jc w:val="center"/>
    </w:pPr>
    <w:rPr>
      <w:rFonts w:ascii="Times New Roman" w:eastAsia="Calibri" w:hAnsi="Times New Roman" w:cs="Times New Roman"/>
      <w:i/>
      <w:iCs/>
      <w:color w:val="4F81BD"/>
      <w:kern w:val="0"/>
      <w:sz w:val="24"/>
      <w:szCs w:val="22"/>
    </w:rPr>
  </w:style>
  <w:style w:type="character" w:customStyle="1" w:styleId="IntenseQuoteChar">
    <w:name w:val="Intense Quote Char"/>
    <w:basedOn w:val="DefaultParagraphFont"/>
    <w:link w:val="IntenseQuote"/>
    <w:uiPriority w:val="30"/>
    <w:rsid w:val="00620770"/>
    <w:rPr>
      <w:rFonts w:ascii="Times New Roman" w:eastAsia="Calibri" w:hAnsi="Times New Roman" w:cs="Times New Roman"/>
      <w:i/>
      <w:iCs/>
      <w:color w:val="4F81BD"/>
      <w:sz w:val="24"/>
    </w:rPr>
  </w:style>
  <w:style w:type="paragraph" w:styleId="List">
    <w:name w:val="List"/>
    <w:basedOn w:val="Normal"/>
    <w:uiPriority w:val="99"/>
    <w:semiHidden/>
    <w:unhideWhenUsed/>
    <w:rsid w:val="00620770"/>
    <w:pPr>
      <w:tabs>
        <w:tab w:val="left" w:pos="720"/>
        <w:tab w:val="left" w:pos="851"/>
      </w:tabs>
      <w:suppressAutoHyphens w:val="0"/>
      <w:spacing w:before="240" w:after="240" w:line="264" w:lineRule="auto"/>
      <w:ind w:left="283" w:hanging="283"/>
      <w:contextualSpacing/>
    </w:pPr>
    <w:rPr>
      <w:rFonts w:ascii="Times New Roman" w:eastAsia="Calibri" w:hAnsi="Times New Roman" w:cs="Times New Roman"/>
      <w:color w:val="auto"/>
      <w:kern w:val="0"/>
      <w:sz w:val="24"/>
      <w:szCs w:val="22"/>
    </w:rPr>
  </w:style>
  <w:style w:type="paragraph" w:styleId="List2">
    <w:name w:val="List 2"/>
    <w:basedOn w:val="Normal"/>
    <w:uiPriority w:val="99"/>
    <w:semiHidden/>
    <w:unhideWhenUsed/>
    <w:rsid w:val="00620770"/>
    <w:pPr>
      <w:tabs>
        <w:tab w:val="left" w:pos="720"/>
        <w:tab w:val="left" w:pos="851"/>
      </w:tabs>
      <w:suppressAutoHyphens w:val="0"/>
      <w:spacing w:before="240" w:after="240" w:line="264" w:lineRule="auto"/>
      <w:ind w:left="566" w:hanging="283"/>
      <w:contextualSpacing/>
    </w:pPr>
    <w:rPr>
      <w:rFonts w:ascii="Times New Roman" w:eastAsia="Calibri" w:hAnsi="Times New Roman" w:cs="Times New Roman"/>
      <w:color w:val="auto"/>
      <w:kern w:val="0"/>
      <w:sz w:val="24"/>
      <w:szCs w:val="22"/>
    </w:rPr>
  </w:style>
  <w:style w:type="paragraph" w:styleId="List3">
    <w:name w:val="List 3"/>
    <w:basedOn w:val="Normal"/>
    <w:uiPriority w:val="99"/>
    <w:semiHidden/>
    <w:unhideWhenUsed/>
    <w:rsid w:val="00620770"/>
    <w:pPr>
      <w:tabs>
        <w:tab w:val="left" w:pos="720"/>
        <w:tab w:val="left" w:pos="851"/>
      </w:tabs>
      <w:suppressAutoHyphens w:val="0"/>
      <w:spacing w:before="240" w:after="240" w:line="264" w:lineRule="auto"/>
      <w:ind w:left="849" w:hanging="283"/>
      <w:contextualSpacing/>
    </w:pPr>
    <w:rPr>
      <w:rFonts w:ascii="Times New Roman" w:eastAsia="Calibri" w:hAnsi="Times New Roman" w:cs="Times New Roman"/>
      <w:color w:val="auto"/>
      <w:kern w:val="0"/>
      <w:sz w:val="24"/>
      <w:szCs w:val="22"/>
    </w:rPr>
  </w:style>
  <w:style w:type="paragraph" w:styleId="List4">
    <w:name w:val="List 4"/>
    <w:basedOn w:val="Normal"/>
    <w:uiPriority w:val="99"/>
    <w:semiHidden/>
    <w:unhideWhenUsed/>
    <w:rsid w:val="00620770"/>
    <w:pPr>
      <w:tabs>
        <w:tab w:val="left" w:pos="720"/>
        <w:tab w:val="left" w:pos="851"/>
      </w:tabs>
      <w:suppressAutoHyphens w:val="0"/>
      <w:spacing w:before="240" w:after="240" w:line="264" w:lineRule="auto"/>
      <w:ind w:left="1132" w:hanging="283"/>
      <w:contextualSpacing/>
    </w:pPr>
    <w:rPr>
      <w:rFonts w:ascii="Times New Roman" w:eastAsia="Calibri" w:hAnsi="Times New Roman" w:cs="Times New Roman"/>
      <w:color w:val="auto"/>
      <w:kern w:val="0"/>
      <w:sz w:val="24"/>
      <w:szCs w:val="22"/>
    </w:rPr>
  </w:style>
  <w:style w:type="paragraph" w:styleId="List5">
    <w:name w:val="List 5"/>
    <w:basedOn w:val="Normal"/>
    <w:uiPriority w:val="99"/>
    <w:semiHidden/>
    <w:unhideWhenUsed/>
    <w:rsid w:val="00620770"/>
    <w:pPr>
      <w:tabs>
        <w:tab w:val="left" w:pos="720"/>
        <w:tab w:val="left" w:pos="851"/>
      </w:tabs>
      <w:suppressAutoHyphens w:val="0"/>
      <w:spacing w:before="240" w:after="240" w:line="264" w:lineRule="auto"/>
      <w:ind w:left="1415" w:hanging="283"/>
      <w:contextualSpacing/>
    </w:pPr>
    <w:rPr>
      <w:rFonts w:ascii="Times New Roman" w:eastAsia="Calibri" w:hAnsi="Times New Roman" w:cs="Times New Roman"/>
      <w:color w:val="auto"/>
      <w:kern w:val="0"/>
      <w:sz w:val="24"/>
      <w:szCs w:val="22"/>
    </w:rPr>
  </w:style>
  <w:style w:type="paragraph" w:styleId="ListBullet">
    <w:name w:val="List Bullet"/>
    <w:basedOn w:val="Normal"/>
    <w:uiPriority w:val="99"/>
    <w:semiHidden/>
    <w:unhideWhenUsed/>
    <w:rsid w:val="00620770"/>
    <w:pPr>
      <w:tabs>
        <w:tab w:val="num" w:pos="360"/>
        <w:tab w:val="left" w:pos="720"/>
        <w:tab w:val="left" w:pos="851"/>
      </w:tabs>
      <w:suppressAutoHyphens w:val="0"/>
      <w:spacing w:before="240" w:after="240" w:line="264" w:lineRule="auto"/>
      <w:ind w:left="360" w:hanging="360"/>
      <w:contextualSpacing/>
    </w:pPr>
    <w:rPr>
      <w:rFonts w:ascii="Times New Roman" w:eastAsia="Calibri" w:hAnsi="Times New Roman" w:cs="Times New Roman"/>
      <w:color w:val="auto"/>
      <w:kern w:val="0"/>
      <w:sz w:val="24"/>
      <w:szCs w:val="22"/>
    </w:rPr>
  </w:style>
  <w:style w:type="paragraph" w:styleId="ListBullet2">
    <w:name w:val="List Bullet 2"/>
    <w:basedOn w:val="Normal"/>
    <w:uiPriority w:val="99"/>
    <w:semiHidden/>
    <w:unhideWhenUsed/>
    <w:rsid w:val="00620770"/>
    <w:pPr>
      <w:tabs>
        <w:tab w:val="num" w:pos="643"/>
        <w:tab w:val="left" w:pos="720"/>
        <w:tab w:val="left" w:pos="851"/>
      </w:tabs>
      <w:suppressAutoHyphens w:val="0"/>
      <w:spacing w:before="240" w:after="240" w:line="264" w:lineRule="auto"/>
      <w:ind w:left="643" w:hanging="360"/>
      <w:contextualSpacing/>
    </w:pPr>
    <w:rPr>
      <w:rFonts w:ascii="Times New Roman" w:eastAsia="Calibri" w:hAnsi="Times New Roman" w:cs="Times New Roman"/>
      <w:color w:val="auto"/>
      <w:kern w:val="0"/>
      <w:sz w:val="24"/>
      <w:szCs w:val="22"/>
    </w:rPr>
  </w:style>
  <w:style w:type="paragraph" w:styleId="ListBullet3">
    <w:name w:val="List Bullet 3"/>
    <w:basedOn w:val="Normal"/>
    <w:uiPriority w:val="99"/>
    <w:semiHidden/>
    <w:unhideWhenUsed/>
    <w:rsid w:val="00620770"/>
    <w:pPr>
      <w:tabs>
        <w:tab w:val="left" w:pos="720"/>
        <w:tab w:val="left" w:pos="851"/>
        <w:tab w:val="num" w:pos="926"/>
      </w:tabs>
      <w:suppressAutoHyphens w:val="0"/>
      <w:spacing w:before="240" w:after="240" w:line="264" w:lineRule="auto"/>
      <w:ind w:left="926" w:hanging="360"/>
      <w:contextualSpacing/>
    </w:pPr>
    <w:rPr>
      <w:rFonts w:ascii="Times New Roman" w:eastAsia="Calibri" w:hAnsi="Times New Roman" w:cs="Times New Roman"/>
      <w:color w:val="auto"/>
      <w:kern w:val="0"/>
      <w:sz w:val="24"/>
      <w:szCs w:val="22"/>
    </w:rPr>
  </w:style>
  <w:style w:type="paragraph" w:styleId="ListBullet4">
    <w:name w:val="List Bullet 4"/>
    <w:basedOn w:val="Normal"/>
    <w:uiPriority w:val="99"/>
    <w:semiHidden/>
    <w:unhideWhenUsed/>
    <w:rsid w:val="00620770"/>
    <w:pPr>
      <w:tabs>
        <w:tab w:val="left" w:pos="720"/>
        <w:tab w:val="left" w:pos="851"/>
        <w:tab w:val="num" w:pos="1209"/>
      </w:tabs>
      <w:suppressAutoHyphens w:val="0"/>
      <w:spacing w:before="240" w:after="240" w:line="264" w:lineRule="auto"/>
      <w:ind w:left="1209" w:hanging="360"/>
      <w:contextualSpacing/>
    </w:pPr>
    <w:rPr>
      <w:rFonts w:ascii="Times New Roman" w:eastAsia="Calibri" w:hAnsi="Times New Roman" w:cs="Times New Roman"/>
      <w:color w:val="auto"/>
      <w:kern w:val="0"/>
      <w:sz w:val="24"/>
      <w:szCs w:val="22"/>
    </w:rPr>
  </w:style>
  <w:style w:type="paragraph" w:styleId="ListBullet5">
    <w:name w:val="List Bullet 5"/>
    <w:basedOn w:val="Normal"/>
    <w:uiPriority w:val="99"/>
    <w:semiHidden/>
    <w:unhideWhenUsed/>
    <w:rsid w:val="00620770"/>
    <w:pPr>
      <w:tabs>
        <w:tab w:val="left" w:pos="720"/>
        <w:tab w:val="left" w:pos="851"/>
        <w:tab w:val="num" w:pos="1492"/>
      </w:tabs>
      <w:suppressAutoHyphens w:val="0"/>
      <w:spacing w:before="240" w:after="240" w:line="264" w:lineRule="auto"/>
      <w:ind w:left="1492" w:hanging="360"/>
      <w:contextualSpacing/>
    </w:pPr>
    <w:rPr>
      <w:rFonts w:ascii="Times New Roman" w:eastAsia="Calibri" w:hAnsi="Times New Roman" w:cs="Times New Roman"/>
      <w:color w:val="auto"/>
      <w:kern w:val="0"/>
      <w:sz w:val="24"/>
      <w:szCs w:val="22"/>
    </w:rPr>
  </w:style>
  <w:style w:type="paragraph" w:styleId="ListContinue">
    <w:name w:val="List Continue"/>
    <w:basedOn w:val="Normal"/>
    <w:uiPriority w:val="99"/>
    <w:semiHidden/>
    <w:unhideWhenUsed/>
    <w:rsid w:val="00620770"/>
    <w:pPr>
      <w:tabs>
        <w:tab w:val="left" w:pos="720"/>
        <w:tab w:val="left" w:pos="851"/>
      </w:tabs>
      <w:suppressAutoHyphens w:val="0"/>
      <w:spacing w:before="240" w:after="120" w:line="264" w:lineRule="auto"/>
      <w:ind w:left="283"/>
      <w:contextualSpacing/>
    </w:pPr>
    <w:rPr>
      <w:rFonts w:ascii="Times New Roman" w:eastAsia="Calibri" w:hAnsi="Times New Roman" w:cs="Times New Roman"/>
      <w:color w:val="auto"/>
      <w:kern w:val="0"/>
      <w:sz w:val="24"/>
      <w:szCs w:val="22"/>
    </w:rPr>
  </w:style>
  <w:style w:type="paragraph" w:styleId="ListContinue2">
    <w:name w:val="List Continue 2"/>
    <w:basedOn w:val="Normal"/>
    <w:uiPriority w:val="99"/>
    <w:semiHidden/>
    <w:unhideWhenUsed/>
    <w:rsid w:val="00620770"/>
    <w:pPr>
      <w:tabs>
        <w:tab w:val="left" w:pos="720"/>
        <w:tab w:val="left" w:pos="851"/>
      </w:tabs>
      <w:suppressAutoHyphens w:val="0"/>
      <w:spacing w:before="240" w:after="120" w:line="264" w:lineRule="auto"/>
      <w:ind w:left="566"/>
      <w:contextualSpacing/>
    </w:pPr>
    <w:rPr>
      <w:rFonts w:ascii="Times New Roman" w:eastAsia="Calibri" w:hAnsi="Times New Roman" w:cs="Times New Roman"/>
      <w:color w:val="auto"/>
      <w:kern w:val="0"/>
      <w:sz w:val="24"/>
      <w:szCs w:val="22"/>
    </w:rPr>
  </w:style>
  <w:style w:type="paragraph" w:styleId="ListContinue3">
    <w:name w:val="List Continue 3"/>
    <w:basedOn w:val="Normal"/>
    <w:uiPriority w:val="99"/>
    <w:semiHidden/>
    <w:unhideWhenUsed/>
    <w:rsid w:val="00620770"/>
    <w:pPr>
      <w:tabs>
        <w:tab w:val="left" w:pos="720"/>
        <w:tab w:val="left" w:pos="851"/>
      </w:tabs>
      <w:suppressAutoHyphens w:val="0"/>
      <w:spacing w:before="240" w:after="120" w:line="264" w:lineRule="auto"/>
      <w:ind w:left="849"/>
      <w:contextualSpacing/>
    </w:pPr>
    <w:rPr>
      <w:rFonts w:ascii="Times New Roman" w:eastAsia="Calibri" w:hAnsi="Times New Roman" w:cs="Times New Roman"/>
      <w:color w:val="auto"/>
      <w:kern w:val="0"/>
      <w:sz w:val="24"/>
      <w:szCs w:val="22"/>
    </w:rPr>
  </w:style>
  <w:style w:type="paragraph" w:styleId="ListContinue4">
    <w:name w:val="List Continue 4"/>
    <w:basedOn w:val="Normal"/>
    <w:uiPriority w:val="99"/>
    <w:semiHidden/>
    <w:unhideWhenUsed/>
    <w:rsid w:val="00620770"/>
    <w:pPr>
      <w:tabs>
        <w:tab w:val="left" w:pos="720"/>
        <w:tab w:val="left" w:pos="851"/>
      </w:tabs>
      <w:suppressAutoHyphens w:val="0"/>
      <w:spacing w:before="240" w:after="120" w:line="264" w:lineRule="auto"/>
      <w:ind w:left="1132"/>
      <w:contextualSpacing/>
    </w:pPr>
    <w:rPr>
      <w:rFonts w:ascii="Times New Roman" w:eastAsia="Calibri" w:hAnsi="Times New Roman" w:cs="Times New Roman"/>
      <w:color w:val="auto"/>
      <w:kern w:val="0"/>
      <w:sz w:val="24"/>
      <w:szCs w:val="22"/>
    </w:rPr>
  </w:style>
  <w:style w:type="paragraph" w:styleId="ListContinue5">
    <w:name w:val="List Continue 5"/>
    <w:basedOn w:val="Normal"/>
    <w:uiPriority w:val="99"/>
    <w:semiHidden/>
    <w:unhideWhenUsed/>
    <w:rsid w:val="00620770"/>
    <w:pPr>
      <w:tabs>
        <w:tab w:val="left" w:pos="720"/>
        <w:tab w:val="left" w:pos="851"/>
      </w:tabs>
      <w:suppressAutoHyphens w:val="0"/>
      <w:spacing w:before="240" w:after="120" w:line="264" w:lineRule="auto"/>
      <w:ind w:left="1415"/>
      <w:contextualSpacing/>
    </w:pPr>
    <w:rPr>
      <w:rFonts w:ascii="Times New Roman" w:eastAsia="Calibri" w:hAnsi="Times New Roman" w:cs="Times New Roman"/>
      <w:color w:val="auto"/>
      <w:kern w:val="0"/>
      <w:sz w:val="24"/>
      <w:szCs w:val="22"/>
    </w:rPr>
  </w:style>
  <w:style w:type="paragraph" w:styleId="ListNumber">
    <w:name w:val="List Number"/>
    <w:basedOn w:val="Normal"/>
    <w:uiPriority w:val="99"/>
    <w:semiHidden/>
    <w:unhideWhenUsed/>
    <w:rsid w:val="00620770"/>
    <w:pPr>
      <w:tabs>
        <w:tab w:val="num" w:pos="360"/>
        <w:tab w:val="left" w:pos="720"/>
        <w:tab w:val="left" w:pos="851"/>
      </w:tabs>
      <w:suppressAutoHyphens w:val="0"/>
      <w:spacing w:before="240" w:after="240" w:line="264" w:lineRule="auto"/>
      <w:ind w:left="360" w:hanging="360"/>
      <w:contextualSpacing/>
    </w:pPr>
    <w:rPr>
      <w:rFonts w:ascii="Times New Roman" w:eastAsia="Calibri" w:hAnsi="Times New Roman" w:cs="Times New Roman"/>
      <w:color w:val="auto"/>
      <w:kern w:val="0"/>
      <w:sz w:val="24"/>
      <w:szCs w:val="22"/>
    </w:rPr>
  </w:style>
  <w:style w:type="paragraph" w:styleId="ListNumber2">
    <w:name w:val="List Number 2"/>
    <w:basedOn w:val="Normal"/>
    <w:uiPriority w:val="99"/>
    <w:semiHidden/>
    <w:unhideWhenUsed/>
    <w:rsid w:val="00620770"/>
    <w:pPr>
      <w:tabs>
        <w:tab w:val="num" w:pos="643"/>
        <w:tab w:val="left" w:pos="720"/>
        <w:tab w:val="left" w:pos="851"/>
      </w:tabs>
      <w:suppressAutoHyphens w:val="0"/>
      <w:spacing w:before="240" w:after="240" w:line="264" w:lineRule="auto"/>
      <w:ind w:left="643" w:hanging="360"/>
      <w:contextualSpacing/>
    </w:pPr>
    <w:rPr>
      <w:rFonts w:ascii="Times New Roman" w:eastAsia="Calibri" w:hAnsi="Times New Roman" w:cs="Times New Roman"/>
      <w:color w:val="auto"/>
      <w:kern w:val="0"/>
      <w:sz w:val="24"/>
      <w:szCs w:val="22"/>
    </w:rPr>
  </w:style>
  <w:style w:type="paragraph" w:styleId="ListNumber3">
    <w:name w:val="List Number 3"/>
    <w:basedOn w:val="Normal"/>
    <w:uiPriority w:val="99"/>
    <w:semiHidden/>
    <w:unhideWhenUsed/>
    <w:rsid w:val="00620770"/>
    <w:pPr>
      <w:tabs>
        <w:tab w:val="left" w:pos="720"/>
        <w:tab w:val="left" w:pos="851"/>
        <w:tab w:val="num" w:pos="926"/>
      </w:tabs>
      <w:suppressAutoHyphens w:val="0"/>
      <w:spacing w:before="240" w:after="240" w:line="264" w:lineRule="auto"/>
      <w:ind w:left="926" w:hanging="360"/>
      <w:contextualSpacing/>
    </w:pPr>
    <w:rPr>
      <w:rFonts w:ascii="Times New Roman" w:eastAsia="Calibri" w:hAnsi="Times New Roman" w:cs="Times New Roman"/>
      <w:color w:val="auto"/>
      <w:kern w:val="0"/>
      <w:sz w:val="24"/>
      <w:szCs w:val="22"/>
    </w:rPr>
  </w:style>
  <w:style w:type="paragraph" w:styleId="ListNumber4">
    <w:name w:val="List Number 4"/>
    <w:basedOn w:val="Normal"/>
    <w:uiPriority w:val="99"/>
    <w:semiHidden/>
    <w:unhideWhenUsed/>
    <w:rsid w:val="00620770"/>
    <w:pPr>
      <w:tabs>
        <w:tab w:val="left" w:pos="720"/>
        <w:tab w:val="left" w:pos="851"/>
        <w:tab w:val="num" w:pos="1209"/>
      </w:tabs>
      <w:suppressAutoHyphens w:val="0"/>
      <w:spacing w:before="240" w:after="240" w:line="264" w:lineRule="auto"/>
      <w:ind w:left="1209" w:hanging="360"/>
      <w:contextualSpacing/>
    </w:pPr>
    <w:rPr>
      <w:rFonts w:ascii="Times New Roman" w:eastAsia="Calibri" w:hAnsi="Times New Roman" w:cs="Times New Roman"/>
      <w:color w:val="auto"/>
      <w:kern w:val="0"/>
      <w:sz w:val="24"/>
      <w:szCs w:val="22"/>
    </w:rPr>
  </w:style>
  <w:style w:type="paragraph" w:styleId="ListNumber5">
    <w:name w:val="List Number 5"/>
    <w:basedOn w:val="Normal"/>
    <w:uiPriority w:val="99"/>
    <w:semiHidden/>
    <w:unhideWhenUsed/>
    <w:rsid w:val="00620770"/>
    <w:pPr>
      <w:tabs>
        <w:tab w:val="left" w:pos="720"/>
        <w:tab w:val="left" w:pos="851"/>
        <w:tab w:val="num" w:pos="1492"/>
      </w:tabs>
      <w:suppressAutoHyphens w:val="0"/>
      <w:spacing w:before="240" w:after="240" w:line="264" w:lineRule="auto"/>
      <w:ind w:left="1492" w:hanging="360"/>
      <w:contextualSpacing/>
    </w:pPr>
    <w:rPr>
      <w:rFonts w:ascii="Times New Roman" w:eastAsia="Calibri" w:hAnsi="Times New Roman" w:cs="Times New Roman"/>
      <w:color w:val="auto"/>
      <w:kern w:val="0"/>
      <w:sz w:val="24"/>
      <w:szCs w:val="22"/>
    </w:rPr>
  </w:style>
  <w:style w:type="paragraph" w:styleId="MacroText">
    <w:name w:val="macro"/>
    <w:link w:val="MacroTextChar"/>
    <w:uiPriority w:val="99"/>
    <w:semiHidden/>
    <w:unhideWhenUsed/>
    <w:rsid w:val="00620770"/>
    <w:pPr>
      <w:tabs>
        <w:tab w:val="left" w:pos="480"/>
        <w:tab w:val="left" w:pos="960"/>
        <w:tab w:val="left" w:pos="1440"/>
        <w:tab w:val="left" w:pos="1920"/>
        <w:tab w:val="left" w:pos="2400"/>
        <w:tab w:val="left" w:pos="2880"/>
        <w:tab w:val="left" w:pos="3360"/>
        <w:tab w:val="left" w:pos="3840"/>
        <w:tab w:val="left" w:pos="4320"/>
      </w:tabs>
      <w:spacing w:before="240" w:after="0" w:line="264" w:lineRule="auto"/>
    </w:pPr>
    <w:rPr>
      <w:rFonts w:ascii="Consolas" w:eastAsia="Calibri" w:hAnsi="Consolas" w:cs="Times New Roman"/>
      <w:color w:val="auto"/>
    </w:rPr>
  </w:style>
  <w:style w:type="character" w:customStyle="1" w:styleId="MacroTextChar">
    <w:name w:val="Macro Text Char"/>
    <w:basedOn w:val="DefaultParagraphFont"/>
    <w:link w:val="MacroText"/>
    <w:uiPriority w:val="99"/>
    <w:semiHidden/>
    <w:rsid w:val="00620770"/>
    <w:rPr>
      <w:rFonts w:ascii="Consolas" w:eastAsia="Calibri" w:hAnsi="Consolas" w:cs="Times New Roman"/>
      <w:color w:val="auto"/>
    </w:rPr>
  </w:style>
  <w:style w:type="paragraph" w:customStyle="1" w:styleId="MessageHeader1">
    <w:name w:val="Message Header1"/>
    <w:basedOn w:val="Normal"/>
    <w:next w:val="MessageHeader"/>
    <w:link w:val="MessageHeaderChar"/>
    <w:uiPriority w:val="99"/>
    <w:semiHidden/>
    <w:unhideWhenUsed/>
    <w:rsid w:val="00620770"/>
    <w:pPr>
      <w:pBdr>
        <w:top w:val="single" w:sz="6" w:space="1" w:color="auto"/>
        <w:left w:val="single" w:sz="6" w:space="1" w:color="auto"/>
        <w:bottom w:val="single" w:sz="6" w:space="1" w:color="auto"/>
        <w:right w:val="single" w:sz="6" w:space="1" w:color="auto"/>
      </w:pBdr>
      <w:shd w:val="pct20" w:color="auto" w:fill="auto"/>
      <w:tabs>
        <w:tab w:val="left" w:pos="720"/>
        <w:tab w:val="left" w:pos="851"/>
      </w:tabs>
      <w:suppressAutoHyphens w:val="0"/>
      <w:spacing w:before="0" w:after="0"/>
      <w:ind w:left="1134" w:hanging="1134"/>
    </w:pPr>
    <w:rPr>
      <w:rFonts w:ascii="Cambria" w:eastAsia="Times New Roman" w:hAnsi="Cambria" w:cs="Times New Roman"/>
      <w:kern w:val="0"/>
      <w:sz w:val="24"/>
      <w:szCs w:val="24"/>
    </w:rPr>
  </w:style>
  <w:style w:type="character" w:customStyle="1" w:styleId="MessageHeaderChar">
    <w:name w:val="Message Header Char"/>
    <w:aliases w:val="Boxed text Char"/>
    <w:basedOn w:val="DefaultParagraphFont"/>
    <w:link w:val="MessageHeader1"/>
    <w:uiPriority w:val="99"/>
    <w:rsid w:val="00620770"/>
    <w:rPr>
      <w:rFonts w:ascii="Cambria" w:eastAsia="Times New Roman" w:hAnsi="Cambria" w:cs="Times New Roman"/>
      <w:sz w:val="24"/>
      <w:szCs w:val="24"/>
      <w:shd w:val="pct20" w:color="auto" w:fill="auto"/>
    </w:rPr>
  </w:style>
  <w:style w:type="paragraph" w:styleId="NormalIndent">
    <w:name w:val="Normal Indent"/>
    <w:basedOn w:val="Normal"/>
    <w:uiPriority w:val="99"/>
    <w:semiHidden/>
    <w:unhideWhenUsed/>
    <w:rsid w:val="00620770"/>
    <w:pPr>
      <w:tabs>
        <w:tab w:val="left" w:pos="720"/>
        <w:tab w:val="left" w:pos="851"/>
      </w:tabs>
      <w:suppressAutoHyphens w:val="0"/>
      <w:spacing w:before="240" w:after="240" w:line="264" w:lineRule="auto"/>
      <w:ind w:left="720"/>
    </w:pPr>
    <w:rPr>
      <w:rFonts w:ascii="Times New Roman" w:eastAsia="Calibri" w:hAnsi="Times New Roman" w:cs="Times New Roman"/>
      <w:color w:val="auto"/>
      <w:kern w:val="0"/>
      <w:sz w:val="24"/>
      <w:szCs w:val="22"/>
    </w:rPr>
  </w:style>
  <w:style w:type="paragraph" w:styleId="PlainText">
    <w:name w:val="Plain Text"/>
    <w:basedOn w:val="Normal"/>
    <w:link w:val="PlainTextChar"/>
    <w:uiPriority w:val="99"/>
    <w:semiHidden/>
    <w:unhideWhenUsed/>
    <w:rsid w:val="00620770"/>
    <w:pPr>
      <w:tabs>
        <w:tab w:val="left" w:pos="720"/>
        <w:tab w:val="left" w:pos="851"/>
      </w:tabs>
      <w:suppressAutoHyphens w:val="0"/>
      <w:spacing w:before="0" w:after="0"/>
    </w:pPr>
    <w:rPr>
      <w:rFonts w:ascii="Consolas" w:eastAsia="Calibri" w:hAnsi="Consolas" w:cs="Times New Roman"/>
      <w:color w:val="auto"/>
      <w:kern w:val="0"/>
      <w:sz w:val="21"/>
      <w:szCs w:val="21"/>
    </w:rPr>
  </w:style>
  <w:style w:type="character" w:customStyle="1" w:styleId="PlainTextChar">
    <w:name w:val="Plain Text Char"/>
    <w:basedOn w:val="DefaultParagraphFont"/>
    <w:link w:val="PlainText"/>
    <w:uiPriority w:val="99"/>
    <w:semiHidden/>
    <w:rsid w:val="00620770"/>
    <w:rPr>
      <w:rFonts w:ascii="Consolas" w:eastAsia="Calibri" w:hAnsi="Consolas" w:cs="Times New Roman"/>
      <w:color w:val="auto"/>
      <w:sz w:val="21"/>
      <w:szCs w:val="21"/>
    </w:rPr>
  </w:style>
  <w:style w:type="paragraph" w:styleId="Salutation">
    <w:name w:val="Salutation"/>
    <w:basedOn w:val="Normal"/>
    <w:next w:val="Normal"/>
    <w:link w:val="SalutationChar"/>
    <w:uiPriority w:val="99"/>
    <w:semiHidden/>
    <w:unhideWhenUsed/>
    <w:rsid w:val="00620770"/>
    <w:pPr>
      <w:tabs>
        <w:tab w:val="left" w:pos="720"/>
        <w:tab w:val="left" w:pos="851"/>
      </w:tabs>
      <w:suppressAutoHyphens w:val="0"/>
      <w:spacing w:before="240" w:after="240" w:line="264" w:lineRule="auto"/>
    </w:pPr>
    <w:rPr>
      <w:rFonts w:ascii="Times New Roman" w:eastAsia="Calibri" w:hAnsi="Times New Roman" w:cs="Times New Roman"/>
      <w:color w:val="auto"/>
      <w:kern w:val="0"/>
      <w:sz w:val="24"/>
      <w:szCs w:val="22"/>
    </w:rPr>
  </w:style>
  <w:style w:type="character" w:customStyle="1" w:styleId="SalutationChar">
    <w:name w:val="Salutation Char"/>
    <w:basedOn w:val="DefaultParagraphFont"/>
    <w:link w:val="Salutation"/>
    <w:uiPriority w:val="99"/>
    <w:semiHidden/>
    <w:rsid w:val="00620770"/>
    <w:rPr>
      <w:rFonts w:ascii="Times New Roman" w:eastAsia="Calibri" w:hAnsi="Times New Roman" w:cs="Times New Roman"/>
      <w:color w:val="auto"/>
      <w:sz w:val="24"/>
      <w:szCs w:val="22"/>
    </w:rPr>
  </w:style>
  <w:style w:type="paragraph" w:styleId="Signature">
    <w:name w:val="Signature"/>
    <w:basedOn w:val="Normal"/>
    <w:link w:val="SignatureChar"/>
    <w:uiPriority w:val="99"/>
    <w:semiHidden/>
    <w:unhideWhenUsed/>
    <w:rsid w:val="00620770"/>
    <w:pPr>
      <w:tabs>
        <w:tab w:val="left" w:pos="720"/>
        <w:tab w:val="left" w:pos="851"/>
      </w:tabs>
      <w:suppressAutoHyphens w:val="0"/>
      <w:spacing w:before="0" w:after="0"/>
      <w:ind w:left="4252"/>
    </w:pPr>
    <w:rPr>
      <w:rFonts w:ascii="Times New Roman" w:eastAsia="Calibri" w:hAnsi="Times New Roman" w:cs="Times New Roman"/>
      <w:color w:val="auto"/>
      <w:kern w:val="0"/>
      <w:sz w:val="24"/>
      <w:szCs w:val="22"/>
    </w:rPr>
  </w:style>
  <w:style w:type="character" w:customStyle="1" w:styleId="SignatureChar">
    <w:name w:val="Signature Char"/>
    <w:basedOn w:val="DefaultParagraphFont"/>
    <w:link w:val="Signature"/>
    <w:uiPriority w:val="99"/>
    <w:semiHidden/>
    <w:rsid w:val="00620770"/>
    <w:rPr>
      <w:rFonts w:ascii="Times New Roman" w:eastAsia="Calibri" w:hAnsi="Times New Roman" w:cs="Times New Roman"/>
      <w:color w:val="auto"/>
      <w:sz w:val="24"/>
      <w:szCs w:val="22"/>
    </w:rPr>
  </w:style>
  <w:style w:type="paragraph" w:styleId="TableofAuthorities">
    <w:name w:val="table of authorities"/>
    <w:basedOn w:val="Normal"/>
    <w:next w:val="Normal"/>
    <w:uiPriority w:val="99"/>
    <w:semiHidden/>
    <w:unhideWhenUsed/>
    <w:rsid w:val="00620770"/>
    <w:pPr>
      <w:suppressAutoHyphens w:val="0"/>
      <w:spacing w:before="240" w:after="0" w:line="264" w:lineRule="auto"/>
      <w:ind w:left="240" w:hanging="240"/>
    </w:pPr>
    <w:rPr>
      <w:rFonts w:ascii="Times New Roman" w:eastAsia="Calibri" w:hAnsi="Times New Roman" w:cs="Times New Roman"/>
      <w:color w:val="auto"/>
      <w:kern w:val="0"/>
      <w:sz w:val="24"/>
      <w:szCs w:val="22"/>
    </w:rPr>
  </w:style>
  <w:style w:type="paragraph" w:customStyle="1" w:styleId="TOAHeading1">
    <w:name w:val="TOA Heading1"/>
    <w:basedOn w:val="Normal"/>
    <w:next w:val="Normal"/>
    <w:uiPriority w:val="99"/>
    <w:semiHidden/>
    <w:unhideWhenUsed/>
    <w:rsid w:val="00620770"/>
    <w:pPr>
      <w:tabs>
        <w:tab w:val="left" w:pos="720"/>
        <w:tab w:val="left" w:pos="851"/>
      </w:tabs>
      <w:suppressAutoHyphens w:val="0"/>
      <w:spacing w:before="120" w:after="240" w:line="264" w:lineRule="auto"/>
    </w:pPr>
    <w:rPr>
      <w:rFonts w:ascii="Cambria" w:eastAsia="Times New Roman" w:hAnsi="Cambria" w:cs="Times New Roman"/>
      <w:b/>
      <w:bCs/>
      <w:color w:val="auto"/>
      <w:kern w:val="0"/>
      <w:sz w:val="24"/>
      <w:szCs w:val="24"/>
    </w:rPr>
  </w:style>
  <w:style w:type="paragraph" w:styleId="TOC4">
    <w:name w:val="toc 4"/>
    <w:aliases w:val="±Heads4"/>
    <w:basedOn w:val="Normal"/>
    <w:next w:val="Normal"/>
    <w:autoRedefine/>
    <w:uiPriority w:val="39"/>
    <w:unhideWhenUsed/>
    <w:qFormat/>
    <w:rsid w:val="00620770"/>
    <w:pPr>
      <w:suppressAutoHyphens w:val="0"/>
      <w:spacing w:before="240" w:after="100" w:line="264" w:lineRule="auto"/>
      <w:ind w:left="720"/>
    </w:pPr>
    <w:rPr>
      <w:rFonts w:ascii="Times New Roman" w:eastAsia="Calibri" w:hAnsi="Times New Roman" w:cs="Times New Roman"/>
      <w:color w:val="auto"/>
      <w:kern w:val="0"/>
      <w:sz w:val="24"/>
      <w:szCs w:val="22"/>
    </w:rPr>
  </w:style>
  <w:style w:type="paragraph" w:styleId="TOC5">
    <w:name w:val="toc 5"/>
    <w:aliases w:val="ARRB TOC 5,±NoNumHeads"/>
    <w:basedOn w:val="Normal"/>
    <w:next w:val="Normal"/>
    <w:autoRedefine/>
    <w:uiPriority w:val="39"/>
    <w:unhideWhenUsed/>
    <w:rsid w:val="00620770"/>
    <w:pPr>
      <w:suppressAutoHyphens w:val="0"/>
      <w:spacing w:before="240" w:after="100" w:line="264" w:lineRule="auto"/>
      <w:ind w:left="960"/>
    </w:pPr>
    <w:rPr>
      <w:rFonts w:ascii="Times New Roman" w:eastAsia="Calibri" w:hAnsi="Times New Roman" w:cs="Times New Roman"/>
      <w:color w:val="auto"/>
      <w:kern w:val="0"/>
      <w:sz w:val="24"/>
      <w:szCs w:val="22"/>
    </w:rPr>
  </w:style>
  <w:style w:type="paragraph" w:styleId="TOC6">
    <w:name w:val="toc 6"/>
    <w:aliases w:val="±AppDiv"/>
    <w:basedOn w:val="Normal"/>
    <w:next w:val="Normal"/>
    <w:autoRedefine/>
    <w:uiPriority w:val="39"/>
    <w:unhideWhenUsed/>
    <w:rsid w:val="00620770"/>
    <w:pPr>
      <w:suppressAutoHyphens w:val="0"/>
      <w:spacing w:before="240" w:after="100" w:line="264" w:lineRule="auto"/>
      <w:ind w:left="1200"/>
    </w:pPr>
    <w:rPr>
      <w:rFonts w:ascii="Times New Roman" w:eastAsia="Calibri" w:hAnsi="Times New Roman" w:cs="Times New Roman"/>
      <w:color w:val="auto"/>
      <w:kern w:val="0"/>
      <w:sz w:val="24"/>
      <w:szCs w:val="22"/>
    </w:rPr>
  </w:style>
  <w:style w:type="paragraph" w:styleId="TOC7">
    <w:name w:val="toc 7"/>
    <w:aliases w:val="ARRB TOC 7,±AppHeads1"/>
    <w:basedOn w:val="Normal"/>
    <w:next w:val="Normal"/>
    <w:autoRedefine/>
    <w:uiPriority w:val="39"/>
    <w:unhideWhenUsed/>
    <w:rsid w:val="00620770"/>
    <w:pPr>
      <w:suppressAutoHyphens w:val="0"/>
      <w:spacing w:before="240" w:after="100" w:line="264" w:lineRule="auto"/>
      <w:ind w:left="1440"/>
    </w:pPr>
    <w:rPr>
      <w:rFonts w:ascii="Times New Roman" w:eastAsia="Calibri" w:hAnsi="Times New Roman" w:cs="Times New Roman"/>
      <w:color w:val="auto"/>
      <w:kern w:val="0"/>
      <w:sz w:val="24"/>
      <w:szCs w:val="22"/>
    </w:rPr>
  </w:style>
  <w:style w:type="paragraph" w:styleId="TOC8">
    <w:name w:val="toc 8"/>
    <w:aliases w:val="ARRB TOC 8,±AppHeads2"/>
    <w:basedOn w:val="Normal"/>
    <w:next w:val="Normal"/>
    <w:autoRedefine/>
    <w:uiPriority w:val="39"/>
    <w:unhideWhenUsed/>
    <w:rsid w:val="00620770"/>
    <w:pPr>
      <w:suppressAutoHyphens w:val="0"/>
      <w:spacing w:before="240" w:after="100" w:line="264" w:lineRule="auto"/>
      <w:ind w:left="1680"/>
    </w:pPr>
    <w:rPr>
      <w:rFonts w:ascii="Times New Roman" w:eastAsia="Calibri" w:hAnsi="Times New Roman" w:cs="Times New Roman"/>
      <w:color w:val="auto"/>
      <w:kern w:val="0"/>
      <w:sz w:val="24"/>
      <w:szCs w:val="22"/>
    </w:rPr>
  </w:style>
  <w:style w:type="paragraph" w:styleId="TOC9">
    <w:name w:val="toc 9"/>
    <w:aliases w:val="ARRB TOC 9,±AppHeads3"/>
    <w:basedOn w:val="Normal"/>
    <w:next w:val="Normal"/>
    <w:autoRedefine/>
    <w:uiPriority w:val="39"/>
    <w:unhideWhenUsed/>
    <w:rsid w:val="00620770"/>
    <w:pPr>
      <w:suppressAutoHyphens w:val="0"/>
      <w:spacing w:before="240" w:after="100" w:line="264" w:lineRule="auto"/>
      <w:ind w:left="1920"/>
    </w:pPr>
    <w:rPr>
      <w:rFonts w:ascii="Times New Roman" w:eastAsia="Calibri" w:hAnsi="Times New Roman" w:cs="Times New Roman"/>
      <w:color w:val="auto"/>
      <w:kern w:val="0"/>
      <w:sz w:val="24"/>
      <w:szCs w:val="22"/>
    </w:rPr>
  </w:style>
  <w:style w:type="paragraph" w:customStyle="1" w:styleId="Tablenotes">
    <w:name w:val="Table notes"/>
    <w:basedOn w:val="Table2heading"/>
    <w:qFormat/>
    <w:rsid w:val="00620770"/>
    <w:pPr>
      <w:keepNext/>
      <w:tabs>
        <w:tab w:val="clear" w:pos="720"/>
        <w:tab w:val="clear" w:pos="851"/>
        <w:tab w:val="left" w:pos="567"/>
      </w:tabs>
      <w:ind w:left="567" w:hanging="567"/>
      <w:jc w:val="left"/>
    </w:pPr>
    <w:rPr>
      <w:b w:val="0"/>
      <w:sz w:val="16"/>
      <w:szCs w:val="16"/>
    </w:rPr>
  </w:style>
  <w:style w:type="table" w:customStyle="1" w:styleId="GridTable2-Accent11">
    <w:name w:val="Grid Table 2 - Accent 11"/>
    <w:basedOn w:val="TableNormal"/>
    <w:uiPriority w:val="47"/>
    <w:rsid w:val="00620770"/>
    <w:pPr>
      <w:spacing w:before="0" w:after="0"/>
    </w:pPr>
    <w:rPr>
      <w:color w:val="auto"/>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5">
    <w:name w:val="Table Grid5"/>
    <w:basedOn w:val="TableNormal"/>
    <w:next w:val="TableGrid"/>
    <w:uiPriority w:val="3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ISAppendix">
    <w:name w:val="RIS Appendix"/>
    <w:basedOn w:val="Heading1"/>
    <w:link w:val="RISAppendixChar"/>
    <w:rsid w:val="00620770"/>
    <w:pPr>
      <w:tabs>
        <w:tab w:val="left" w:pos="720"/>
        <w:tab w:val="left" w:pos="851"/>
      </w:tabs>
      <w:suppressAutoHyphens w:val="0"/>
      <w:spacing w:before="240" w:after="240"/>
      <w:ind w:left="1474" w:hanging="1474"/>
      <w:contextualSpacing w:val="0"/>
    </w:pPr>
    <w:rPr>
      <w:rFonts w:eastAsia="Times New Roman" w:cs="Times New Roman"/>
      <w:b/>
      <w:bCs/>
      <w:caps/>
      <w:color w:val="auto"/>
      <w:sz w:val="24"/>
      <w:szCs w:val="28"/>
    </w:rPr>
  </w:style>
  <w:style w:type="paragraph" w:customStyle="1" w:styleId="RISAppendixHeading">
    <w:name w:val="RIS Appendix Heading"/>
    <w:basedOn w:val="Heading1"/>
    <w:next w:val="Normal"/>
    <w:link w:val="RISAppendixHeadingChar"/>
    <w:rsid w:val="00620770"/>
    <w:pPr>
      <w:tabs>
        <w:tab w:val="left" w:pos="720"/>
        <w:tab w:val="left" w:pos="851"/>
      </w:tabs>
      <w:suppressAutoHyphens w:val="0"/>
      <w:spacing w:before="240" w:after="240"/>
      <w:ind w:left="357" w:hanging="357"/>
      <w:contextualSpacing w:val="0"/>
    </w:pPr>
    <w:rPr>
      <w:rFonts w:eastAsia="Times New Roman" w:cs="Times New Roman"/>
      <w:b/>
      <w:bCs/>
      <w:caps/>
      <w:color w:val="auto"/>
      <w:sz w:val="24"/>
      <w:szCs w:val="28"/>
    </w:rPr>
  </w:style>
  <w:style w:type="character" w:customStyle="1" w:styleId="RISAppendixChar">
    <w:name w:val="RIS Appendix Char"/>
    <w:basedOn w:val="Appendix-HeadingChar"/>
    <w:link w:val="RISAppendix"/>
    <w:rsid w:val="00620770"/>
    <w:rPr>
      <w:rFonts w:asciiTheme="majorHAnsi" w:eastAsia="Times New Roman" w:hAnsiTheme="majorHAnsi" w:cs="Times New Roman"/>
      <w:b/>
      <w:bCs/>
      <w:caps/>
      <w:color w:val="auto"/>
      <w:kern w:val="12"/>
      <w:sz w:val="24"/>
      <w:szCs w:val="28"/>
    </w:rPr>
  </w:style>
  <w:style w:type="character" w:customStyle="1" w:styleId="RISAppendixHeadingChar">
    <w:name w:val="RIS Appendix Heading Char"/>
    <w:basedOn w:val="Heading1Char"/>
    <w:link w:val="RISAppendixHeading"/>
    <w:rsid w:val="00620770"/>
    <w:rPr>
      <w:rFonts w:asciiTheme="majorHAnsi" w:eastAsia="Times New Roman" w:hAnsiTheme="majorHAnsi" w:cs="Times New Roman"/>
      <w:b/>
      <w:bCs/>
      <w:caps/>
      <w:color w:val="auto"/>
      <w:kern w:val="12"/>
      <w:sz w:val="24"/>
      <w:szCs w:val="28"/>
    </w:rPr>
  </w:style>
  <w:style w:type="character" w:customStyle="1" w:styleId="Heading7Char1">
    <w:name w:val="Heading 7 Char1"/>
    <w:basedOn w:val="DefaultParagraphFont"/>
    <w:uiPriority w:val="9"/>
    <w:semiHidden/>
    <w:rsid w:val="00620770"/>
    <w:rPr>
      <w:rFonts w:asciiTheme="majorHAnsi" w:eastAsiaTheme="majorEastAsia" w:hAnsiTheme="majorHAnsi" w:cstheme="majorBidi"/>
      <w:i/>
      <w:iCs/>
      <w:color w:val="040E1E" w:themeColor="accent1" w:themeShade="7F"/>
      <w:kern w:val="12"/>
    </w:rPr>
  </w:style>
  <w:style w:type="table" w:styleId="LightGrid-Accent2">
    <w:name w:val="Light Grid Accent 2"/>
    <w:basedOn w:val="TableNormal"/>
    <w:uiPriority w:val="62"/>
    <w:unhideWhenUsed/>
    <w:rsid w:val="00620770"/>
    <w:pPr>
      <w:spacing w:before="0" w:after="0"/>
    </w:pPr>
    <w:tblPr>
      <w:tblStyleRowBandSize w:val="1"/>
      <w:tblStyleColBandSize w:val="1"/>
      <w:tblBorders>
        <w:top w:val="single" w:sz="8" w:space="0" w:color="4BB3B5" w:themeColor="accent2"/>
        <w:left w:val="single" w:sz="8" w:space="0" w:color="4BB3B5" w:themeColor="accent2"/>
        <w:bottom w:val="single" w:sz="8" w:space="0" w:color="4BB3B5" w:themeColor="accent2"/>
        <w:right w:val="single" w:sz="8" w:space="0" w:color="4BB3B5" w:themeColor="accent2"/>
        <w:insideH w:val="single" w:sz="8" w:space="0" w:color="4BB3B5" w:themeColor="accent2"/>
        <w:insideV w:val="single" w:sz="8" w:space="0" w:color="4BB3B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B3B5" w:themeColor="accent2"/>
          <w:left w:val="single" w:sz="8" w:space="0" w:color="4BB3B5" w:themeColor="accent2"/>
          <w:bottom w:val="single" w:sz="18" w:space="0" w:color="4BB3B5" w:themeColor="accent2"/>
          <w:right w:val="single" w:sz="8" w:space="0" w:color="4BB3B5" w:themeColor="accent2"/>
          <w:insideH w:val="nil"/>
          <w:insideV w:val="single" w:sz="8" w:space="0" w:color="4BB3B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B3B5" w:themeColor="accent2"/>
          <w:left w:val="single" w:sz="8" w:space="0" w:color="4BB3B5" w:themeColor="accent2"/>
          <w:bottom w:val="single" w:sz="8" w:space="0" w:color="4BB3B5" w:themeColor="accent2"/>
          <w:right w:val="single" w:sz="8" w:space="0" w:color="4BB3B5" w:themeColor="accent2"/>
          <w:insideH w:val="nil"/>
          <w:insideV w:val="single" w:sz="8" w:space="0" w:color="4BB3B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B3B5" w:themeColor="accent2"/>
          <w:left w:val="single" w:sz="8" w:space="0" w:color="4BB3B5" w:themeColor="accent2"/>
          <w:bottom w:val="single" w:sz="8" w:space="0" w:color="4BB3B5" w:themeColor="accent2"/>
          <w:right w:val="single" w:sz="8" w:space="0" w:color="4BB3B5" w:themeColor="accent2"/>
        </w:tcBorders>
      </w:tcPr>
    </w:tblStylePr>
    <w:tblStylePr w:type="band1Vert">
      <w:tblPr/>
      <w:tcPr>
        <w:tcBorders>
          <w:top w:val="single" w:sz="8" w:space="0" w:color="4BB3B5" w:themeColor="accent2"/>
          <w:left w:val="single" w:sz="8" w:space="0" w:color="4BB3B5" w:themeColor="accent2"/>
          <w:bottom w:val="single" w:sz="8" w:space="0" w:color="4BB3B5" w:themeColor="accent2"/>
          <w:right w:val="single" w:sz="8" w:space="0" w:color="4BB3B5" w:themeColor="accent2"/>
        </w:tcBorders>
        <w:shd w:val="clear" w:color="auto" w:fill="D2ECEC" w:themeFill="accent2" w:themeFillTint="3F"/>
      </w:tcPr>
    </w:tblStylePr>
    <w:tblStylePr w:type="band1Horz">
      <w:tblPr/>
      <w:tcPr>
        <w:tcBorders>
          <w:top w:val="single" w:sz="8" w:space="0" w:color="4BB3B5" w:themeColor="accent2"/>
          <w:left w:val="single" w:sz="8" w:space="0" w:color="4BB3B5" w:themeColor="accent2"/>
          <w:bottom w:val="single" w:sz="8" w:space="0" w:color="4BB3B5" w:themeColor="accent2"/>
          <w:right w:val="single" w:sz="8" w:space="0" w:color="4BB3B5" w:themeColor="accent2"/>
          <w:insideV w:val="single" w:sz="8" w:space="0" w:color="4BB3B5" w:themeColor="accent2"/>
        </w:tcBorders>
        <w:shd w:val="clear" w:color="auto" w:fill="D2ECEC" w:themeFill="accent2" w:themeFillTint="3F"/>
      </w:tcPr>
    </w:tblStylePr>
    <w:tblStylePr w:type="band2Horz">
      <w:tblPr/>
      <w:tcPr>
        <w:tcBorders>
          <w:top w:val="single" w:sz="8" w:space="0" w:color="4BB3B5" w:themeColor="accent2"/>
          <w:left w:val="single" w:sz="8" w:space="0" w:color="4BB3B5" w:themeColor="accent2"/>
          <w:bottom w:val="single" w:sz="8" w:space="0" w:color="4BB3B5" w:themeColor="accent2"/>
          <w:right w:val="single" w:sz="8" w:space="0" w:color="4BB3B5" w:themeColor="accent2"/>
          <w:insideV w:val="single" w:sz="8" w:space="0" w:color="4BB3B5" w:themeColor="accent2"/>
        </w:tcBorders>
      </w:tcPr>
    </w:tblStylePr>
  </w:style>
  <w:style w:type="table" w:styleId="LightShading-Accent1">
    <w:name w:val="Light Shading Accent 1"/>
    <w:basedOn w:val="TableNormal"/>
    <w:uiPriority w:val="60"/>
    <w:unhideWhenUsed/>
    <w:rsid w:val="00620770"/>
    <w:pPr>
      <w:spacing w:before="0" w:after="0"/>
    </w:pPr>
    <w:rPr>
      <w:color w:val="06162E" w:themeColor="accent1" w:themeShade="BF"/>
    </w:rPr>
    <w:tblPr>
      <w:tblStyleRowBandSize w:val="1"/>
      <w:tblStyleColBandSize w:val="1"/>
      <w:tblBorders>
        <w:top w:val="single" w:sz="8" w:space="0" w:color="081E3E" w:themeColor="accent1"/>
        <w:bottom w:val="single" w:sz="8" w:space="0" w:color="081E3E" w:themeColor="accent1"/>
      </w:tblBorders>
    </w:tblPr>
    <w:tblStylePr w:type="firstRow">
      <w:pPr>
        <w:spacing w:before="0" w:after="0" w:line="240" w:lineRule="auto"/>
      </w:pPr>
      <w:rPr>
        <w:b/>
        <w:bCs/>
      </w:rPr>
      <w:tblPr/>
      <w:tcPr>
        <w:tcBorders>
          <w:top w:val="single" w:sz="8" w:space="0" w:color="081E3E" w:themeColor="accent1"/>
          <w:left w:val="nil"/>
          <w:bottom w:val="single" w:sz="8" w:space="0" w:color="081E3E" w:themeColor="accent1"/>
          <w:right w:val="nil"/>
          <w:insideH w:val="nil"/>
          <w:insideV w:val="nil"/>
        </w:tcBorders>
      </w:tcPr>
    </w:tblStylePr>
    <w:tblStylePr w:type="lastRow">
      <w:pPr>
        <w:spacing w:before="0" w:after="0" w:line="240" w:lineRule="auto"/>
      </w:pPr>
      <w:rPr>
        <w:b/>
        <w:bCs/>
      </w:rPr>
      <w:tblPr/>
      <w:tcPr>
        <w:tcBorders>
          <w:top w:val="single" w:sz="8" w:space="0" w:color="081E3E" w:themeColor="accent1"/>
          <w:left w:val="nil"/>
          <w:bottom w:val="single" w:sz="8" w:space="0" w:color="081E3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C0F2" w:themeFill="accent1" w:themeFillTint="3F"/>
      </w:tcPr>
    </w:tblStylePr>
    <w:tblStylePr w:type="band1Horz">
      <w:tblPr/>
      <w:tcPr>
        <w:tcBorders>
          <w:left w:val="nil"/>
          <w:right w:val="nil"/>
          <w:insideH w:val="nil"/>
          <w:insideV w:val="nil"/>
        </w:tcBorders>
        <w:shd w:val="clear" w:color="auto" w:fill="9EC0F2" w:themeFill="accent1" w:themeFillTint="3F"/>
      </w:tcPr>
    </w:tblStylePr>
  </w:style>
  <w:style w:type="table" w:styleId="LightShading">
    <w:name w:val="Light Shading"/>
    <w:basedOn w:val="TableNormal"/>
    <w:uiPriority w:val="60"/>
    <w:unhideWhenUsed/>
    <w:rsid w:val="00620770"/>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Accent1">
    <w:name w:val="Medium List 2 Accent 1"/>
    <w:basedOn w:val="TableNormal"/>
    <w:uiPriority w:val="66"/>
    <w:unhideWhenUsed/>
    <w:rsid w:val="00620770"/>
    <w:pPr>
      <w:spacing w:before="0" w:after="0"/>
    </w:pPr>
    <w:rPr>
      <w:rFonts w:asciiTheme="majorHAnsi" w:eastAsiaTheme="majorEastAsia" w:hAnsiTheme="majorHAnsi" w:cstheme="majorBidi"/>
    </w:rPr>
    <w:tblPr>
      <w:tblStyleRowBandSize w:val="1"/>
      <w:tblStyleColBandSize w:val="1"/>
      <w:tblBorders>
        <w:top w:val="single" w:sz="8" w:space="0" w:color="081E3E" w:themeColor="accent1"/>
        <w:left w:val="single" w:sz="8" w:space="0" w:color="081E3E" w:themeColor="accent1"/>
        <w:bottom w:val="single" w:sz="8" w:space="0" w:color="081E3E" w:themeColor="accent1"/>
        <w:right w:val="single" w:sz="8" w:space="0" w:color="081E3E" w:themeColor="accent1"/>
      </w:tblBorders>
    </w:tblPr>
    <w:tblStylePr w:type="firstRow">
      <w:rPr>
        <w:sz w:val="24"/>
        <w:szCs w:val="24"/>
      </w:rPr>
      <w:tblPr/>
      <w:tcPr>
        <w:tcBorders>
          <w:top w:val="nil"/>
          <w:left w:val="nil"/>
          <w:bottom w:val="single" w:sz="24" w:space="0" w:color="081E3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81E3E" w:themeColor="accent1"/>
          <w:insideH w:val="nil"/>
          <w:insideV w:val="nil"/>
        </w:tcBorders>
        <w:shd w:val="clear" w:color="auto" w:fill="FFFFFF" w:themeFill="background1"/>
      </w:tcPr>
    </w:tblStylePr>
    <w:tblStylePr w:type="lastCol">
      <w:tblPr/>
      <w:tcPr>
        <w:tcBorders>
          <w:top w:val="nil"/>
          <w:left w:val="single" w:sz="8" w:space="0" w:color="081E3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C0F2" w:themeFill="accent1" w:themeFillTint="3F"/>
      </w:tcPr>
    </w:tblStylePr>
    <w:tblStylePr w:type="band1Horz">
      <w:tblPr/>
      <w:tcPr>
        <w:tcBorders>
          <w:top w:val="nil"/>
          <w:bottom w:val="nil"/>
          <w:insideH w:val="nil"/>
          <w:insideV w:val="nil"/>
        </w:tcBorders>
        <w:shd w:val="clear" w:color="auto" w:fill="9EC0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6">
    <w:name w:val="Light Shading Accent 6"/>
    <w:basedOn w:val="TableNormal"/>
    <w:uiPriority w:val="60"/>
    <w:unhideWhenUsed/>
    <w:rsid w:val="00620770"/>
    <w:pPr>
      <w:spacing w:before="0" w:after="0"/>
    </w:pPr>
    <w:rPr>
      <w:color w:val="449F70" w:themeColor="accent6" w:themeShade="BF"/>
    </w:rPr>
    <w:tblPr>
      <w:tblStyleRowBandSize w:val="1"/>
      <w:tblStyleColBandSize w:val="1"/>
      <w:tblBorders>
        <w:top w:val="single" w:sz="8" w:space="0" w:color="6FC197" w:themeColor="accent6"/>
        <w:bottom w:val="single" w:sz="8" w:space="0" w:color="6FC197" w:themeColor="accent6"/>
      </w:tblBorders>
    </w:tblPr>
    <w:tblStylePr w:type="firstRow">
      <w:pPr>
        <w:spacing w:before="0" w:after="0" w:line="240" w:lineRule="auto"/>
      </w:pPr>
      <w:rPr>
        <w:b/>
        <w:bCs/>
      </w:rPr>
      <w:tblPr/>
      <w:tcPr>
        <w:tcBorders>
          <w:top w:val="single" w:sz="8" w:space="0" w:color="6FC197" w:themeColor="accent6"/>
          <w:left w:val="nil"/>
          <w:bottom w:val="single" w:sz="8" w:space="0" w:color="6FC197" w:themeColor="accent6"/>
          <w:right w:val="nil"/>
          <w:insideH w:val="nil"/>
          <w:insideV w:val="nil"/>
        </w:tcBorders>
      </w:tcPr>
    </w:tblStylePr>
    <w:tblStylePr w:type="lastRow">
      <w:pPr>
        <w:spacing w:before="0" w:after="0" w:line="240" w:lineRule="auto"/>
      </w:pPr>
      <w:rPr>
        <w:b/>
        <w:bCs/>
      </w:rPr>
      <w:tblPr/>
      <w:tcPr>
        <w:tcBorders>
          <w:top w:val="single" w:sz="8" w:space="0" w:color="6FC197" w:themeColor="accent6"/>
          <w:left w:val="nil"/>
          <w:bottom w:val="single" w:sz="8" w:space="0" w:color="6FC19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FE5" w:themeFill="accent6" w:themeFillTint="3F"/>
      </w:tcPr>
    </w:tblStylePr>
    <w:tblStylePr w:type="band1Horz">
      <w:tblPr/>
      <w:tcPr>
        <w:tcBorders>
          <w:left w:val="nil"/>
          <w:right w:val="nil"/>
          <w:insideH w:val="nil"/>
          <w:insideV w:val="nil"/>
        </w:tcBorders>
        <w:shd w:val="clear" w:color="auto" w:fill="DBEFE5" w:themeFill="accent6" w:themeFillTint="3F"/>
      </w:tcPr>
    </w:tblStylePr>
  </w:style>
  <w:style w:type="paragraph" w:styleId="BlockText">
    <w:name w:val="Block Text"/>
    <w:basedOn w:val="Normal"/>
    <w:uiPriority w:val="99"/>
    <w:semiHidden/>
    <w:unhideWhenUsed/>
    <w:rsid w:val="00620770"/>
    <w:pPr>
      <w:pBdr>
        <w:top w:val="single" w:sz="2" w:space="10" w:color="081E3E" w:themeColor="accent1" w:shadow="1"/>
        <w:left w:val="single" w:sz="2" w:space="10" w:color="081E3E" w:themeColor="accent1" w:shadow="1"/>
        <w:bottom w:val="single" w:sz="2" w:space="10" w:color="081E3E" w:themeColor="accent1" w:shadow="1"/>
        <w:right w:val="single" w:sz="2" w:space="10" w:color="081E3E" w:themeColor="accent1" w:shadow="1"/>
      </w:pBdr>
      <w:ind w:left="1152" w:right="1152"/>
    </w:pPr>
    <w:rPr>
      <w:rFonts w:eastAsiaTheme="minorEastAsia"/>
      <w:i/>
      <w:iCs/>
      <w:color w:val="081E3E" w:themeColor="accent1"/>
    </w:rPr>
  </w:style>
  <w:style w:type="paragraph" w:styleId="EnvelopeAddress">
    <w:name w:val="envelope address"/>
    <w:basedOn w:val="Normal"/>
    <w:uiPriority w:val="99"/>
    <w:semiHidden/>
    <w:unhideWhenUsed/>
    <w:rsid w:val="00620770"/>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20770"/>
    <w:pPr>
      <w:spacing w:before="0" w:after="0"/>
    </w:pPr>
    <w:rPr>
      <w:rFonts w:asciiTheme="majorHAnsi" w:eastAsiaTheme="majorEastAsia" w:hAnsiTheme="majorHAnsi" w:cstheme="majorBidi"/>
    </w:rPr>
  </w:style>
  <w:style w:type="paragraph" w:styleId="IntenseQuote">
    <w:name w:val="Intense Quote"/>
    <w:basedOn w:val="Normal"/>
    <w:next w:val="Normal"/>
    <w:link w:val="IntenseQuoteChar"/>
    <w:uiPriority w:val="30"/>
    <w:qFormat/>
    <w:rsid w:val="00620770"/>
    <w:pPr>
      <w:pBdr>
        <w:top w:val="single" w:sz="4" w:space="10" w:color="081E3E" w:themeColor="accent1"/>
        <w:bottom w:val="single" w:sz="4" w:space="10" w:color="081E3E" w:themeColor="accent1"/>
      </w:pBdr>
      <w:spacing w:before="360" w:after="360"/>
      <w:ind w:left="864" w:right="864"/>
      <w:jc w:val="center"/>
    </w:pPr>
    <w:rPr>
      <w:rFonts w:ascii="Times New Roman" w:eastAsia="Calibri" w:hAnsi="Times New Roman" w:cs="Times New Roman"/>
      <w:i/>
      <w:iCs/>
      <w:color w:val="4F81BD"/>
      <w:kern w:val="0"/>
      <w:sz w:val="24"/>
    </w:rPr>
  </w:style>
  <w:style w:type="character" w:customStyle="1" w:styleId="IntenseQuoteChar1">
    <w:name w:val="Intense Quote Char1"/>
    <w:basedOn w:val="DefaultParagraphFont"/>
    <w:uiPriority w:val="30"/>
    <w:semiHidden/>
    <w:rsid w:val="00620770"/>
    <w:rPr>
      <w:i/>
      <w:iCs/>
      <w:color w:val="081E3E" w:themeColor="accent1"/>
      <w:kern w:val="12"/>
    </w:rPr>
  </w:style>
  <w:style w:type="paragraph" w:styleId="MessageHeader">
    <w:name w:val="Message Header"/>
    <w:aliases w:val="Boxed text"/>
    <w:basedOn w:val="Normal"/>
    <w:link w:val="MessageHeaderChar1"/>
    <w:uiPriority w:val="99"/>
    <w:unhideWhenUsed/>
    <w:qFormat/>
    <w:rsid w:val="00620770"/>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1">
    <w:name w:val="Message Header Char1"/>
    <w:aliases w:val="Boxed text Char1"/>
    <w:basedOn w:val="DefaultParagraphFont"/>
    <w:link w:val="MessageHeader"/>
    <w:uiPriority w:val="99"/>
    <w:semiHidden/>
    <w:rsid w:val="00620770"/>
    <w:rPr>
      <w:rFonts w:asciiTheme="majorHAnsi" w:eastAsiaTheme="majorEastAsia" w:hAnsiTheme="majorHAnsi" w:cstheme="majorBidi"/>
      <w:kern w:val="12"/>
      <w:sz w:val="24"/>
      <w:szCs w:val="24"/>
      <w:shd w:val="pct20" w:color="auto" w:fill="auto"/>
    </w:rPr>
  </w:style>
  <w:style w:type="paragraph" w:customStyle="1" w:styleId="citeboxright">
    <w:name w:val="citeboxright"/>
    <w:basedOn w:val="Normal"/>
    <w:rsid w:val="00352C22"/>
    <w:pP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character" w:styleId="SubtleEmphasis">
    <w:name w:val="Subtle Emphasis"/>
    <w:basedOn w:val="DefaultParagraphFont"/>
    <w:uiPriority w:val="19"/>
    <w:qFormat/>
    <w:rsid w:val="00223F09"/>
    <w:rPr>
      <w:i/>
      <w:iCs/>
      <w:color w:val="auto"/>
    </w:rPr>
  </w:style>
  <w:style w:type="character" w:styleId="SubtleReference">
    <w:name w:val="Subtle Reference"/>
    <w:basedOn w:val="DefaultParagraphFont"/>
    <w:uiPriority w:val="31"/>
    <w:qFormat/>
    <w:rsid w:val="00223F09"/>
    <w:rPr>
      <w:smallCaps/>
      <w:color w:val="auto"/>
    </w:rPr>
  </w:style>
  <w:style w:type="paragraph" w:customStyle="1" w:styleId="FootnoteMain">
    <w:name w:val="Footnote (Main)"/>
    <w:qFormat/>
    <w:rsid w:val="00223F09"/>
    <w:pPr>
      <w:suppressAutoHyphens/>
      <w:autoSpaceDE w:val="0"/>
      <w:autoSpaceDN w:val="0"/>
      <w:adjustRightInd w:val="0"/>
      <w:spacing w:before="0" w:after="60" w:line="276" w:lineRule="auto"/>
      <w:textAlignment w:val="center"/>
    </w:pPr>
    <w:rPr>
      <w:rFonts w:eastAsia="Times New Roman" w:cs="FranklinGothic-Book"/>
      <w:color w:val="000000"/>
      <w:sz w:val="16"/>
      <w:szCs w:val="22"/>
    </w:rPr>
  </w:style>
  <w:style w:type="character" w:styleId="IntenseEmphasis">
    <w:name w:val="Intense Emphasis"/>
    <w:basedOn w:val="DefaultParagraphFont"/>
    <w:uiPriority w:val="98"/>
    <w:qFormat/>
    <w:rsid w:val="00223F09"/>
    <w:rPr>
      <w:rFonts w:ascii="Arial" w:hAnsi="Arial"/>
      <w:b/>
      <w:bCs/>
      <w:i/>
      <w:iCs/>
      <w:color w:val="081E3E" w:themeColor="accent1"/>
      <w:sz w:val="20"/>
    </w:rPr>
  </w:style>
  <w:style w:type="paragraph" w:customStyle="1" w:styleId="COVERPUBLICATIONTITLE1">
    <w:name w:val="COVER_PUBLICATION_TITLE_1"/>
    <w:next w:val="Normal"/>
    <w:link w:val="COVERPUBLICATIONTITLE1Char"/>
    <w:qFormat/>
    <w:rsid w:val="00223F09"/>
    <w:pPr>
      <w:spacing w:before="1000" w:after="240"/>
    </w:pPr>
    <w:rPr>
      <w:rFonts w:ascii="Segoe UI" w:hAnsi="Segoe UI" w:cs="FranklinGothic-Book"/>
      <w:noProof/>
      <w:color w:val="FFFFFF" w:themeColor="background1"/>
      <w:sz w:val="40"/>
      <w:szCs w:val="22"/>
      <w:lang w:eastAsia="en-AU"/>
    </w:rPr>
  </w:style>
  <w:style w:type="character" w:customStyle="1" w:styleId="COVERPUBLICATIONTITLE1Char">
    <w:name w:val="COVER_PUBLICATION_TITLE_1 Char"/>
    <w:basedOn w:val="DefaultParagraphFont"/>
    <w:link w:val="COVERPUBLICATIONTITLE1"/>
    <w:rsid w:val="00223F09"/>
    <w:rPr>
      <w:rFonts w:ascii="Segoe UI" w:hAnsi="Segoe UI" w:cs="FranklinGothic-Book"/>
      <w:noProof/>
      <w:color w:val="FFFFFF" w:themeColor="background1"/>
      <w:sz w:val="40"/>
      <w:szCs w:val="22"/>
      <w:lang w:eastAsia="en-AU"/>
    </w:rPr>
  </w:style>
  <w:style w:type="paragraph" w:customStyle="1" w:styleId="Numberedheading2">
    <w:name w:val="Numbered heading 2"/>
    <w:basedOn w:val="Normal"/>
    <w:next w:val="Normal"/>
    <w:link w:val="Numberedheading2Char"/>
    <w:qFormat/>
    <w:rsid w:val="00223F09"/>
    <w:pPr>
      <w:keepLines/>
      <w:numPr>
        <w:ilvl w:val="1"/>
        <w:numId w:val="25"/>
      </w:numPr>
      <w:tabs>
        <w:tab w:val="left" w:pos="1134"/>
      </w:tabs>
      <w:suppressAutoHyphens w:val="0"/>
      <w:spacing w:before="200" w:after="120"/>
    </w:pPr>
    <w:rPr>
      <w:rFonts w:ascii="Segoe UI" w:eastAsiaTheme="majorEastAsia" w:hAnsi="Segoe UI" w:cs="FranklinGothic-BookCnd"/>
      <w:color w:val="081E3E" w:themeColor="accent1"/>
      <w:spacing w:val="-2"/>
      <w:sz w:val="32"/>
      <w:szCs w:val="32"/>
    </w:rPr>
  </w:style>
  <w:style w:type="paragraph" w:customStyle="1" w:styleId="NumberedHeading1">
    <w:name w:val="Numbered Heading 1"/>
    <w:basedOn w:val="Heading1"/>
    <w:next w:val="Normal"/>
    <w:link w:val="NumberedHeading1Char"/>
    <w:qFormat/>
    <w:rsid w:val="00223F09"/>
    <w:pPr>
      <w:pageBreakBefore/>
      <w:numPr>
        <w:numId w:val="25"/>
      </w:numPr>
      <w:suppressAutoHyphens w:val="0"/>
      <w:spacing w:before="200" w:after="120"/>
      <w:ind w:left="1134"/>
      <w:contextualSpacing w:val="0"/>
    </w:pPr>
    <w:rPr>
      <w:rFonts w:ascii="Segoe UI" w:hAnsi="Segoe UI" w:cs="FranklinGothic-BookCnd"/>
      <w:color w:val="000000"/>
      <w:spacing w:val="-2"/>
      <w:sz w:val="40"/>
      <w:szCs w:val="40"/>
    </w:rPr>
  </w:style>
  <w:style w:type="character" w:customStyle="1" w:styleId="Numberedheading2Char">
    <w:name w:val="Numbered heading 2 Char"/>
    <w:basedOn w:val="Heading2Char"/>
    <w:link w:val="Numberedheading2"/>
    <w:rsid w:val="00223F09"/>
    <w:rPr>
      <w:rFonts w:ascii="Segoe UI" w:eastAsiaTheme="majorEastAsia" w:hAnsi="Segoe UI" w:cs="FranklinGothic-BookCnd"/>
      <w:color w:val="081E3E" w:themeColor="accent1"/>
      <w:spacing w:val="-2"/>
      <w:kern w:val="12"/>
      <w:sz w:val="32"/>
      <w:szCs w:val="32"/>
      <w:lang w:val="en-US"/>
    </w:rPr>
  </w:style>
  <w:style w:type="character" w:customStyle="1" w:styleId="NumberedHeading1Char">
    <w:name w:val="Numbered Heading 1 Char"/>
    <w:basedOn w:val="Heading1Char"/>
    <w:link w:val="NumberedHeading1"/>
    <w:rsid w:val="00223F09"/>
    <w:rPr>
      <w:rFonts w:ascii="Segoe UI" w:eastAsiaTheme="majorEastAsia" w:hAnsi="Segoe UI" w:cs="FranklinGothic-BookCnd"/>
      <w:color w:val="000000"/>
      <w:spacing w:val="-2"/>
      <w:kern w:val="12"/>
      <w:sz w:val="40"/>
      <w:szCs w:val="40"/>
    </w:rPr>
  </w:style>
  <w:style w:type="paragraph" w:customStyle="1" w:styleId="ContentsLevel2">
    <w:name w:val="Contents Level 2"/>
    <w:basedOn w:val="Normal"/>
    <w:link w:val="ContentsLevel2Char"/>
    <w:qFormat/>
    <w:rsid w:val="00223F09"/>
    <w:pPr>
      <w:keepLines/>
      <w:tabs>
        <w:tab w:val="right" w:leader="dot" w:pos="9015"/>
      </w:tabs>
      <w:suppressAutoHyphens w:val="0"/>
      <w:spacing w:before="120" w:after="120" w:line="264" w:lineRule="auto"/>
      <w:ind w:left="709"/>
    </w:pPr>
    <w:rPr>
      <w:rFonts w:ascii="Segoe UI" w:eastAsia="Times New Roman" w:hAnsi="Segoe UI" w:cstheme="minorHAnsi"/>
      <w:color w:val="000000"/>
      <w:kern w:val="0"/>
      <w:szCs w:val="22"/>
    </w:rPr>
  </w:style>
  <w:style w:type="character" w:customStyle="1" w:styleId="ContentsLevel2Char">
    <w:name w:val="Contents Level 2 Char"/>
    <w:basedOn w:val="DefaultParagraphFont"/>
    <w:link w:val="ContentsLevel2"/>
    <w:locked/>
    <w:rsid w:val="00223F09"/>
    <w:rPr>
      <w:rFonts w:ascii="Segoe UI" w:eastAsia="Times New Roman" w:hAnsi="Segoe UI" w:cstheme="minorHAnsi"/>
      <w:color w:val="000000"/>
      <w:szCs w:val="22"/>
    </w:rPr>
  </w:style>
  <w:style w:type="paragraph" w:customStyle="1" w:styleId="NumberedHeading3">
    <w:name w:val="Numbered Heading 3"/>
    <w:next w:val="Normal"/>
    <w:link w:val="NumberedHeading3Char"/>
    <w:qFormat/>
    <w:rsid w:val="00223F09"/>
    <w:pPr>
      <w:keepNext/>
      <w:keepLines/>
      <w:numPr>
        <w:ilvl w:val="2"/>
        <w:numId w:val="25"/>
      </w:numPr>
      <w:tabs>
        <w:tab w:val="left" w:pos="1134"/>
        <w:tab w:val="left" w:pos="1701"/>
      </w:tabs>
      <w:spacing w:before="200" w:after="100"/>
      <w:outlineLvl w:val="0"/>
    </w:pPr>
    <w:rPr>
      <w:rFonts w:ascii="Segoe UI Semibold" w:eastAsia="Times New Roman" w:hAnsi="Segoe UI Semibold" w:cs="FranklinGothic-BookCnd"/>
      <w:color w:val="081E3E" w:themeColor="text2"/>
      <w:spacing w:val="1"/>
      <w:kern w:val="12"/>
      <w:sz w:val="28"/>
      <w:szCs w:val="28"/>
    </w:rPr>
  </w:style>
  <w:style w:type="character" w:customStyle="1" w:styleId="NumberedHeading3Char">
    <w:name w:val="Numbered Heading 3 Char"/>
    <w:basedOn w:val="Numberedheading2Char"/>
    <w:link w:val="NumberedHeading3"/>
    <w:locked/>
    <w:rsid w:val="00223F09"/>
    <w:rPr>
      <w:rFonts w:ascii="Segoe UI Semibold" w:eastAsia="Times New Roman" w:hAnsi="Segoe UI Semibold" w:cs="FranklinGothic-BookCnd"/>
      <w:color w:val="081E3E" w:themeColor="text2"/>
      <w:spacing w:val="1"/>
      <w:kern w:val="12"/>
      <w:sz w:val="28"/>
      <w:szCs w:val="28"/>
      <w:lang w:val="en-US"/>
    </w:rPr>
  </w:style>
  <w:style w:type="table" w:customStyle="1" w:styleId="Table-Style3">
    <w:name w:val="Table-Style3"/>
    <w:basedOn w:val="TableNormal"/>
    <w:rsid w:val="00223F09"/>
    <w:pPr>
      <w:spacing w:before="0" w:after="0"/>
    </w:pPr>
    <w:rPr>
      <w:rFonts w:ascii="Arial" w:eastAsia="Times New Roman" w:hAnsi="Arial" w:cs="Times New Roman"/>
      <w:color w:val="auto"/>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table" w:customStyle="1" w:styleId="Table-Style31">
    <w:name w:val="Table-Style31"/>
    <w:basedOn w:val="TableNormal"/>
    <w:rsid w:val="00223F09"/>
    <w:pPr>
      <w:spacing w:before="0" w:after="0"/>
    </w:pPr>
    <w:rPr>
      <w:rFonts w:ascii="Arial" w:eastAsia="Times New Roman" w:hAnsi="Arial" w:cs="Times New Roman"/>
      <w:color w:val="auto"/>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table" w:customStyle="1" w:styleId="Table-Style32">
    <w:name w:val="Table-Style32"/>
    <w:basedOn w:val="TableNormal"/>
    <w:rsid w:val="00223F09"/>
    <w:pPr>
      <w:spacing w:before="0" w:after="0"/>
    </w:pPr>
    <w:rPr>
      <w:rFonts w:ascii="Arial" w:eastAsia="Times New Roman" w:hAnsi="Arial" w:cs="Times New Roman"/>
      <w:color w:val="auto"/>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table" w:customStyle="1" w:styleId="Table-Style33">
    <w:name w:val="Table-Style33"/>
    <w:basedOn w:val="TableNormal"/>
    <w:rsid w:val="00223F09"/>
    <w:pPr>
      <w:spacing w:before="0" w:after="0"/>
    </w:pPr>
    <w:rPr>
      <w:rFonts w:ascii="Arial" w:eastAsia="Times New Roman" w:hAnsi="Arial" w:cs="Times New Roman"/>
      <w:color w:val="auto"/>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numbering" w:customStyle="1" w:styleId="TASTightbulletliststyle">
    <w:name w:val="TAS Tight bullet list style"/>
    <w:uiPriority w:val="99"/>
    <w:rsid w:val="00223F09"/>
    <w:pPr>
      <w:numPr>
        <w:numId w:val="16"/>
      </w:numPr>
    </w:pPr>
  </w:style>
  <w:style w:type="numbering" w:customStyle="1" w:styleId="TASBulletliststyle">
    <w:name w:val="TAS Bullet list style"/>
    <w:uiPriority w:val="99"/>
    <w:rsid w:val="00223F09"/>
    <w:pPr>
      <w:numPr>
        <w:numId w:val="15"/>
      </w:numPr>
    </w:pPr>
  </w:style>
  <w:style w:type="paragraph" w:customStyle="1" w:styleId="Numberedheading4">
    <w:name w:val="Numbered heading 4"/>
    <w:basedOn w:val="NumberedHeading3"/>
    <w:qFormat/>
    <w:rsid w:val="00223F09"/>
    <w:pPr>
      <w:numPr>
        <w:ilvl w:val="3"/>
      </w:numPr>
      <w:ind w:left="2880"/>
    </w:pPr>
    <w:rPr>
      <w:sz w:val="24"/>
      <w:szCs w:val="24"/>
    </w:rPr>
  </w:style>
  <w:style w:type="paragraph" w:customStyle="1" w:styleId="Numberedheading5">
    <w:name w:val="Numbered heading 5"/>
    <w:basedOn w:val="NumberedHeading3"/>
    <w:qFormat/>
    <w:rsid w:val="00223F09"/>
    <w:pPr>
      <w:numPr>
        <w:ilvl w:val="4"/>
      </w:numPr>
      <w:tabs>
        <w:tab w:val="clear" w:pos="1134"/>
        <w:tab w:val="clear" w:pos="1701"/>
        <w:tab w:val="left" w:pos="1418"/>
        <w:tab w:val="left" w:pos="1985"/>
      </w:tabs>
      <w:spacing w:before="100"/>
      <w:ind w:left="1134" w:hanging="1134"/>
    </w:pPr>
    <w:rPr>
      <w:rFonts w:asciiTheme="majorHAnsi" w:hAnsiTheme="majorHAnsi"/>
      <w:sz w:val="22"/>
      <w:szCs w:val="22"/>
    </w:rPr>
  </w:style>
  <w:style w:type="numbering" w:styleId="ArticleSection">
    <w:name w:val="Outline List 3"/>
    <w:basedOn w:val="NoList"/>
    <w:uiPriority w:val="99"/>
    <w:semiHidden/>
    <w:unhideWhenUsed/>
    <w:rsid w:val="00223F09"/>
    <w:pPr>
      <w:numPr>
        <w:numId w:val="17"/>
      </w:numPr>
    </w:pPr>
  </w:style>
  <w:style w:type="table" w:styleId="LightList-Accent1">
    <w:name w:val="Light List Accent 1"/>
    <w:basedOn w:val="TableNormal"/>
    <w:uiPriority w:val="61"/>
    <w:rsid w:val="00223F09"/>
    <w:pPr>
      <w:spacing w:before="0" w:after="0"/>
    </w:pPr>
    <w:rPr>
      <w:color w:val="auto"/>
      <w:sz w:val="22"/>
      <w:szCs w:val="22"/>
    </w:rPr>
    <w:tblPr>
      <w:tblStyleRowBandSize w:val="1"/>
      <w:tblStyleColBandSize w:val="1"/>
      <w:tblBorders>
        <w:top w:val="single" w:sz="8" w:space="0" w:color="081E3E" w:themeColor="accent1"/>
        <w:left w:val="single" w:sz="8" w:space="0" w:color="081E3E" w:themeColor="accent1"/>
        <w:bottom w:val="single" w:sz="8" w:space="0" w:color="081E3E" w:themeColor="accent1"/>
        <w:right w:val="single" w:sz="8" w:space="0" w:color="081E3E" w:themeColor="accent1"/>
      </w:tblBorders>
    </w:tblPr>
    <w:tblStylePr w:type="firstRow">
      <w:pPr>
        <w:spacing w:before="0" w:after="0" w:line="240" w:lineRule="auto"/>
      </w:pPr>
      <w:rPr>
        <w:b/>
        <w:bCs/>
        <w:color w:val="FFFFFF" w:themeColor="background1"/>
      </w:rPr>
      <w:tblPr/>
      <w:tcPr>
        <w:shd w:val="clear" w:color="auto" w:fill="081E3E" w:themeFill="accent1"/>
      </w:tcPr>
    </w:tblStylePr>
    <w:tblStylePr w:type="lastRow">
      <w:pPr>
        <w:spacing w:before="0" w:after="0" w:line="240" w:lineRule="auto"/>
      </w:pPr>
      <w:rPr>
        <w:b/>
        <w:bCs/>
      </w:rPr>
      <w:tblPr/>
      <w:tcPr>
        <w:tcBorders>
          <w:top w:val="double" w:sz="6" w:space="0" w:color="081E3E" w:themeColor="accent1"/>
          <w:left w:val="single" w:sz="8" w:space="0" w:color="081E3E" w:themeColor="accent1"/>
          <w:bottom w:val="single" w:sz="8" w:space="0" w:color="081E3E" w:themeColor="accent1"/>
          <w:right w:val="single" w:sz="8" w:space="0" w:color="081E3E" w:themeColor="accent1"/>
        </w:tcBorders>
      </w:tcPr>
    </w:tblStylePr>
    <w:tblStylePr w:type="firstCol">
      <w:rPr>
        <w:b/>
        <w:bCs/>
      </w:rPr>
    </w:tblStylePr>
    <w:tblStylePr w:type="lastCol">
      <w:rPr>
        <w:b/>
        <w:bCs/>
      </w:rPr>
    </w:tblStylePr>
    <w:tblStylePr w:type="band1Vert">
      <w:tblPr/>
      <w:tcPr>
        <w:tcBorders>
          <w:top w:val="single" w:sz="8" w:space="0" w:color="081E3E" w:themeColor="accent1"/>
          <w:left w:val="single" w:sz="8" w:space="0" w:color="081E3E" w:themeColor="accent1"/>
          <w:bottom w:val="single" w:sz="8" w:space="0" w:color="081E3E" w:themeColor="accent1"/>
          <w:right w:val="single" w:sz="8" w:space="0" w:color="081E3E" w:themeColor="accent1"/>
        </w:tcBorders>
      </w:tcPr>
    </w:tblStylePr>
    <w:tblStylePr w:type="band1Horz">
      <w:tblPr/>
      <w:tcPr>
        <w:tcBorders>
          <w:top w:val="single" w:sz="8" w:space="0" w:color="081E3E" w:themeColor="accent1"/>
          <w:left w:val="single" w:sz="8" w:space="0" w:color="081E3E" w:themeColor="accent1"/>
          <w:bottom w:val="single" w:sz="8" w:space="0" w:color="081E3E" w:themeColor="accent1"/>
          <w:right w:val="single" w:sz="8" w:space="0" w:color="081E3E" w:themeColor="accent1"/>
        </w:tcBorders>
      </w:tcPr>
    </w:tblStylePr>
  </w:style>
  <w:style w:type="paragraph" w:customStyle="1" w:styleId="Default">
    <w:name w:val="Default"/>
    <w:qFormat/>
    <w:rsid w:val="00223F09"/>
    <w:pPr>
      <w:autoSpaceDE w:val="0"/>
      <w:autoSpaceDN w:val="0"/>
      <w:adjustRightInd w:val="0"/>
      <w:spacing w:before="0" w:after="0"/>
    </w:pPr>
    <w:rPr>
      <w:rFonts w:cs="Times New Roman"/>
      <w:color w:val="000000"/>
      <w:sz w:val="22"/>
      <w:szCs w:val="24"/>
    </w:rPr>
  </w:style>
  <w:style w:type="table" w:customStyle="1" w:styleId="GTA1">
    <w:name w:val="GTA1"/>
    <w:basedOn w:val="TableNormal"/>
    <w:next w:val="TableGrid"/>
    <w:rsid w:val="00223F09"/>
    <w:pPr>
      <w:spacing w:before="0" w:after="0"/>
    </w:pPr>
    <w:rPr>
      <w:rFonts w:ascii="Times New Roman" w:eastAsia="Times New Roman" w:hAnsi="Times New Roman"/>
      <w:color w:val="auto"/>
      <w:sz w:val="24"/>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igure1">
    <w:name w:val="Figure 1"/>
    <w:basedOn w:val="Normal"/>
    <w:link w:val="Figure1Char"/>
    <w:autoRedefine/>
    <w:qFormat/>
    <w:rsid w:val="00223F09"/>
    <w:pPr>
      <w:keepLines/>
      <w:numPr>
        <w:ilvl w:val="5"/>
        <w:numId w:val="25"/>
      </w:numPr>
      <w:tabs>
        <w:tab w:val="left" w:pos="1134"/>
      </w:tabs>
      <w:suppressAutoHyphens w:val="0"/>
      <w:spacing w:before="300" w:after="200" w:line="276" w:lineRule="auto"/>
    </w:pPr>
    <w:rPr>
      <w:rFonts w:ascii="Segoe UI" w:hAnsi="Segoe UI" w:cs="Arial"/>
      <w:color w:val="081E3E" w:themeColor="accent1"/>
      <w:kern w:val="0"/>
      <w:sz w:val="22"/>
      <w:u w:color="1C68D9" w:themeColor="text2" w:themeTint="99"/>
    </w:rPr>
  </w:style>
  <w:style w:type="character" w:customStyle="1" w:styleId="Figure1Char">
    <w:name w:val="Figure 1 Char"/>
    <w:basedOn w:val="DefaultParagraphFont"/>
    <w:link w:val="Figure1"/>
    <w:rsid w:val="00223F09"/>
    <w:rPr>
      <w:rFonts w:ascii="Segoe UI" w:hAnsi="Segoe UI" w:cs="Arial"/>
      <w:color w:val="081E3E" w:themeColor="accent1"/>
      <w:sz w:val="22"/>
      <w:u w:color="1C68D9" w:themeColor="text2" w:themeTint="99"/>
    </w:rPr>
  </w:style>
  <w:style w:type="numbering" w:customStyle="1" w:styleId="ArticleSection1">
    <w:name w:val="Article / Section1"/>
    <w:basedOn w:val="NoList"/>
    <w:next w:val="ArticleSection"/>
    <w:uiPriority w:val="99"/>
    <w:semiHidden/>
    <w:unhideWhenUsed/>
    <w:rsid w:val="00223F09"/>
  </w:style>
  <w:style w:type="numbering" w:styleId="1ai">
    <w:name w:val="Outline List 1"/>
    <w:basedOn w:val="NoList"/>
    <w:uiPriority w:val="99"/>
    <w:semiHidden/>
    <w:unhideWhenUsed/>
    <w:rsid w:val="00223F09"/>
    <w:pPr>
      <w:numPr>
        <w:numId w:val="18"/>
      </w:numPr>
    </w:pPr>
  </w:style>
  <w:style w:type="paragraph" w:customStyle="1" w:styleId="NormalBase">
    <w:name w:val="Normal Base"/>
    <w:uiPriority w:val="37"/>
    <w:semiHidden/>
    <w:rsid w:val="00223F09"/>
    <w:pPr>
      <w:spacing w:before="140" w:after="140" w:line="280" w:lineRule="atLeast"/>
    </w:pPr>
    <w:rPr>
      <w:rFonts w:ascii="Arial" w:eastAsia="Times New Roman" w:hAnsi="Arial" w:cs="Arial"/>
      <w:color w:val="auto"/>
      <w:sz w:val="22"/>
      <w:szCs w:val="22"/>
      <w:lang w:eastAsia="en-AU"/>
    </w:rPr>
  </w:style>
  <w:style w:type="paragraph" w:customStyle="1" w:styleId="HeadingBase">
    <w:name w:val="Heading Base"/>
    <w:uiPriority w:val="98"/>
    <w:semiHidden/>
    <w:rsid w:val="00223F09"/>
    <w:pPr>
      <w:spacing w:before="200" w:after="0" w:line="280" w:lineRule="atLeast"/>
    </w:pPr>
    <w:rPr>
      <w:rFonts w:ascii="Arial" w:eastAsia="Times New Roman" w:hAnsi="Arial" w:cs="Arial"/>
      <w:color w:val="auto"/>
      <w:szCs w:val="22"/>
      <w:lang w:eastAsia="en-AU"/>
    </w:rPr>
  </w:style>
  <w:style w:type="paragraph" w:customStyle="1" w:styleId="HeaderBase">
    <w:name w:val="Header Base"/>
    <w:next w:val="Normal"/>
    <w:uiPriority w:val="37"/>
    <w:semiHidden/>
    <w:rsid w:val="00223F09"/>
    <w:pPr>
      <w:spacing w:before="0" w:after="0" w:line="200" w:lineRule="atLeast"/>
    </w:pPr>
    <w:rPr>
      <w:rFonts w:ascii="Arial" w:eastAsia="Times New Roman" w:hAnsi="Arial" w:cs="Arial"/>
      <w:color w:val="auto"/>
      <w:szCs w:val="22"/>
      <w:lang w:eastAsia="en-AU"/>
    </w:rPr>
  </w:style>
  <w:style w:type="paragraph" w:customStyle="1" w:styleId="FooterBase">
    <w:name w:val="Footer Base"/>
    <w:next w:val="Footer"/>
    <w:uiPriority w:val="37"/>
    <w:semiHidden/>
    <w:rsid w:val="00223F09"/>
    <w:pPr>
      <w:spacing w:before="0" w:after="0" w:line="200" w:lineRule="atLeast"/>
    </w:pPr>
    <w:rPr>
      <w:rFonts w:ascii="Arial" w:eastAsia="Times New Roman" w:hAnsi="Arial" w:cs="Arial"/>
      <w:color w:val="auto"/>
      <w:sz w:val="16"/>
      <w:szCs w:val="22"/>
      <w:lang w:eastAsia="en-AU"/>
    </w:rPr>
  </w:style>
  <w:style w:type="paragraph" w:customStyle="1" w:styleId="FooterSubject">
    <w:name w:val="Footer Subject"/>
    <w:basedOn w:val="FooterBase"/>
    <w:uiPriority w:val="37"/>
    <w:semiHidden/>
    <w:rsid w:val="00223F09"/>
    <w:pPr>
      <w:ind w:right="1417"/>
    </w:pPr>
  </w:style>
  <w:style w:type="paragraph" w:customStyle="1" w:styleId="FooterLandscape">
    <w:name w:val="Footer Landscape"/>
    <w:basedOn w:val="FooterBase"/>
    <w:uiPriority w:val="37"/>
    <w:semiHidden/>
    <w:rsid w:val="00223F09"/>
    <w:pPr>
      <w:tabs>
        <w:tab w:val="right" w:pos="13175"/>
      </w:tabs>
    </w:pPr>
  </w:style>
  <w:style w:type="paragraph" w:customStyle="1" w:styleId="DraftinHeader">
    <w:name w:val="Draft in Header"/>
    <w:basedOn w:val="HeaderBase"/>
    <w:uiPriority w:val="37"/>
    <w:semiHidden/>
    <w:rsid w:val="00223F09"/>
    <w:pPr>
      <w:tabs>
        <w:tab w:val="right" w:pos="8220"/>
      </w:tabs>
    </w:pPr>
  </w:style>
  <w:style w:type="paragraph" w:customStyle="1" w:styleId="ContentsHeading">
    <w:name w:val="Contents Heading"/>
    <w:basedOn w:val="Heading2"/>
    <w:next w:val="Normal"/>
    <w:uiPriority w:val="10"/>
    <w:qFormat/>
    <w:rsid w:val="00223F09"/>
    <w:pPr>
      <w:tabs>
        <w:tab w:val="left" w:pos="794"/>
        <w:tab w:val="left" w:pos="1020"/>
      </w:tabs>
      <w:suppressAutoHyphens w:val="0"/>
      <w:spacing w:before="240" w:after="240"/>
      <w:ind w:left="0" w:firstLine="0"/>
    </w:pPr>
    <w:rPr>
      <w:rFonts w:ascii="Segoe UI Semibold" w:eastAsiaTheme="minorHAnsi" w:hAnsi="Segoe UI Semibold" w:cs="FranklinGothic-BookCnd"/>
      <w:color w:val="000000" w:themeColor="text1"/>
      <w:spacing w:val="1"/>
      <w:kern w:val="0"/>
      <w:sz w:val="32"/>
      <w:szCs w:val="32"/>
    </w:rPr>
  </w:style>
  <w:style w:type="paragraph" w:customStyle="1" w:styleId="Instruction">
    <w:name w:val="Instruction"/>
    <w:basedOn w:val="Normal"/>
    <w:uiPriority w:val="37"/>
    <w:semiHidden/>
    <w:rsid w:val="00223F09"/>
    <w:pPr>
      <w:keepLines/>
      <w:suppressAutoHyphens w:val="0"/>
      <w:spacing w:before="140" w:after="140" w:line="264" w:lineRule="auto"/>
    </w:pPr>
    <w:rPr>
      <w:rFonts w:ascii="Segoe UI" w:eastAsia="Times New Roman" w:hAnsi="Segoe UI" w:cs="Arial"/>
      <w:vanish/>
      <w:color w:val="0000FF"/>
      <w:kern w:val="0"/>
      <w:szCs w:val="22"/>
      <w:lang w:eastAsia="en-AU"/>
    </w:rPr>
  </w:style>
  <w:style w:type="numbering" w:styleId="111111">
    <w:name w:val="Outline List 2"/>
    <w:basedOn w:val="NoList"/>
    <w:uiPriority w:val="99"/>
    <w:semiHidden/>
    <w:unhideWhenUsed/>
    <w:rsid w:val="00223F09"/>
    <w:pPr>
      <w:numPr>
        <w:numId w:val="19"/>
      </w:numPr>
    </w:pPr>
  </w:style>
  <w:style w:type="table" w:styleId="ColorfulGrid">
    <w:name w:val="Colorful Grid"/>
    <w:basedOn w:val="TableNormal"/>
    <w:uiPriority w:val="73"/>
    <w:rsid w:val="00223F09"/>
    <w:pPr>
      <w:spacing w:before="0" w:after="0"/>
    </w:pPr>
    <w:rPr>
      <w:rFonts w:ascii="Times New Roman" w:eastAsia="Times New Roman" w:hAnsi="Times New Roman" w:cs="Times New Roman"/>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223F09"/>
    <w:pPr>
      <w:spacing w:before="0" w:after="0"/>
    </w:pPr>
    <w:rPr>
      <w:rFonts w:ascii="Times New Roman" w:eastAsia="Times New Roman" w:hAnsi="Times New Roman" w:cs="Times New Roman"/>
      <w:lang w:eastAsia="en-AU"/>
    </w:rPr>
    <w:tblPr>
      <w:tblStyleRowBandSize w:val="1"/>
      <w:tblStyleColBandSize w:val="1"/>
      <w:tblBorders>
        <w:insideH w:val="single" w:sz="4" w:space="0" w:color="FFFFFF" w:themeColor="background1"/>
      </w:tblBorders>
    </w:tblPr>
    <w:tcPr>
      <w:shd w:val="clear" w:color="auto" w:fill="B1CCF5" w:themeFill="accent1" w:themeFillTint="33"/>
    </w:tcPr>
    <w:tblStylePr w:type="firstRow">
      <w:rPr>
        <w:b/>
        <w:bCs/>
      </w:rPr>
      <w:tblPr/>
      <w:tcPr>
        <w:shd w:val="clear" w:color="auto" w:fill="6399EB" w:themeFill="accent1" w:themeFillTint="66"/>
      </w:tcPr>
    </w:tblStylePr>
    <w:tblStylePr w:type="lastRow">
      <w:rPr>
        <w:b/>
        <w:bCs/>
        <w:color w:val="000000" w:themeColor="text1"/>
      </w:rPr>
      <w:tblPr/>
      <w:tcPr>
        <w:shd w:val="clear" w:color="auto" w:fill="6399EB" w:themeFill="accent1" w:themeFillTint="66"/>
      </w:tcPr>
    </w:tblStylePr>
    <w:tblStylePr w:type="firstCol">
      <w:rPr>
        <w:color w:val="FFFFFF" w:themeColor="background1"/>
      </w:rPr>
      <w:tblPr/>
      <w:tcPr>
        <w:shd w:val="clear" w:color="auto" w:fill="06162E" w:themeFill="accent1" w:themeFillShade="BF"/>
      </w:tcPr>
    </w:tblStylePr>
    <w:tblStylePr w:type="lastCol">
      <w:rPr>
        <w:color w:val="FFFFFF" w:themeColor="background1"/>
      </w:rPr>
      <w:tblPr/>
      <w:tcPr>
        <w:shd w:val="clear" w:color="auto" w:fill="06162E" w:themeFill="accent1" w:themeFillShade="BF"/>
      </w:tcPr>
    </w:tblStylePr>
    <w:tblStylePr w:type="band1Vert">
      <w:tblPr/>
      <w:tcPr>
        <w:shd w:val="clear" w:color="auto" w:fill="3C81E6" w:themeFill="accent1" w:themeFillTint="7F"/>
      </w:tcPr>
    </w:tblStylePr>
    <w:tblStylePr w:type="band1Horz">
      <w:tblPr/>
      <w:tcPr>
        <w:shd w:val="clear" w:color="auto" w:fill="3C81E6" w:themeFill="accent1" w:themeFillTint="7F"/>
      </w:tcPr>
    </w:tblStylePr>
  </w:style>
  <w:style w:type="table" w:styleId="ColorfulGrid-Accent2">
    <w:name w:val="Colorful Grid Accent 2"/>
    <w:basedOn w:val="TableNormal"/>
    <w:uiPriority w:val="73"/>
    <w:rsid w:val="00223F09"/>
    <w:pPr>
      <w:spacing w:before="0" w:after="0"/>
    </w:pPr>
    <w:rPr>
      <w:rFonts w:ascii="Times New Roman" w:eastAsia="Times New Roman" w:hAnsi="Times New Roman" w:cs="Times New Roman"/>
      <w:lang w:eastAsia="en-AU"/>
    </w:rPr>
    <w:tblPr>
      <w:tblStyleRowBandSize w:val="1"/>
      <w:tblStyleColBandSize w:val="1"/>
      <w:tblBorders>
        <w:insideH w:val="single" w:sz="4" w:space="0" w:color="FFFFFF" w:themeColor="background1"/>
      </w:tblBorders>
    </w:tblPr>
    <w:tcPr>
      <w:shd w:val="clear" w:color="auto" w:fill="DAEFF0" w:themeFill="accent2" w:themeFillTint="33"/>
    </w:tcPr>
    <w:tblStylePr w:type="firstRow">
      <w:rPr>
        <w:b/>
        <w:bCs/>
      </w:rPr>
      <w:tblPr/>
      <w:tcPr>
        <w:shd w:val="clear" w:color="auto" w:fill="B6E0E1" w:themeFill="accent2" w:themeFillTint="66"/>
      </w:tcPr>
    </w:tblStylePr>
    <w:tblStylePr w:type="lastRow">
      <w:rPr>
        <w:b/>
        <w:bCs/>
        <w:color w:val="000000" w:themeColor="text1"/>
      </w:rPr>
      <w:tblPr/>
      <w:tcPr>
        <w:shd w:val="clear" w:color="auto" w:fill="B6E0E1" w:themeFill="accent2" w:themeFillTint="66"/>
      </w:tcPr>
    </w:tblStylePr>
    <w:tblStylePr w:type="firstCol">
      <w:rPr>
        <w:color w:val="FFFFFF" w:themeColor="background1"/>
      </w:rPr>
      <w:tblPr/>
      <w:tcPr>
        <w:shd w:val="clear" w:color="auto" w:fill="388687" w:themeFill="accent2" w:themeFillShade="BF"/>
      </w:tcPr>
    </w:tblStylePr>
    <w:tblStylePr w:type="lastCol">
      <w:rPr>
        <w:color w:val="FFFFFF" w:themeColor="background1"/>
      </w:rPr>
      <w:tblPr/>
      <w:tcPr>
        <w:shd w:val="clear" w:color="auto" w:fill="388687" w:themeFill="accent2" w:themeFillShade="BF"/>
      </w:tcPr>
    </w:tblStylePr>
    <w:tblStylePr w:type="band1Vert">
      <w:tblPr/>
      <w:tcPr>
        <w:shd w:val="clear" w:color="auto" w:fill="A5D9DA" w:themeFill="accent2" w:themeFillTint="7F"/>
      </w:tcPr>
    </w:tblStylePr>
    <w:tblStylePr w:type="band1Horz">
      <w:tblPr/>
      <w:tcPr>
        <w:shd w:val="clear" w:color="auto" w:fill="A5D9DA" w:themeFill="accent2" w:themeFillTint="7F"/>
      </w:tcPr>
    </w:tblStylePr>
  </w:style>
  <w:style w:type="table" w:styleId="ColorfulGrid-Accent3">
    <w:name w:val="Colorful Grid Accent 3"/>
    <w:basedOn w:val="TableNormal"/>
    <w:uiPriority w:val="73"/>
    <w:rsid w:val="00223F09"/>
    <w:pPr>
      <w:spacing w:before="0" w:after="0"/>
    </w:pPr>
    <w:rPr>
      <w:rFonts w:ascii="Times New Roman" w:eastAsia="Times New Roman" w:hAnsi="Times New Roman" w:cs="Times New Roman"/>
      <w:lang w:eastAsia="en-AU"/>
    </w:rPr>
    <w:tblPr>
      <w:tblStyleRowBandSize w:val="1"/>
      <w:tblStyleColBandSize w:val="1"/>
      <w:tblBorders>
        <w:insideH w:val="single" w:sz="4" w:space="0" w:color="FFFFFF" w:themeColor="background1"/>
      </w:tblBorders>
    </w:tblPr>
    <w:tcPr>
      <w:shd w:val="clear" w:color="auto" w:fill="E3F5FC" w:themeFill="accent3" w:themeFillTint="33"/>
    </w:tcPr>
    <w:tblStylePr w:type="firstRow">
      <w:rPr>
        <w:b/>
        <w:bCs/>
      </w:rPr>
      <w:tblPr/>
      <w:tcPr>
        <w:shd w:val="clear" w:color="auto" w:fill="C8ECFA" w:themeFill="accent3" w:themeFillTint="66"/>
      </w:tcPr>
    </w:tblStylePr>
    <w:tblStylePr w:type="lastRow">
      <w:rPr>
        <w:b/>
        <w:bCs/>
        <w:color w:val="000000" w:themeColor="text1"/>
      </w:rPr>
      <w:tblPr/>
      <w:tcPr>
        <w:shd w:val="clear" w:color="auto" w:fill="C8ECFA" w:themeFill="accent3" w:themeFillTint="66"/>
      </w:tcPr>
    </w:tblStylePr>
    <w:tblStylePr w:type="firstCol">
      <w:rPr>
        <w:color w:val="FFFFFF" w:themeColor="background1"/>
      </w:rPr>
      <w:tblPr/>
      <w:tcPr>
        <w:shd w:val="clear" w:color="auto" w:fill="22B3ED" w:themeFill="accent3" w:themeFillShade="BF"/>
      </w:tcPr>
    </w:tblStylePr>
    <w:tblStylePr w:type="lastCol">
      <w:rPr>
        <w:color w:val="FFFFFF" w:themeColor="background1"/>
      </w:rPr>
      <w:tblPr/>
      <w:tcPr>
        <w:shd w:val="clear" w:color="auto" w:fill="22B3ED" w:themeFill="accent3" w:themeFillShade="BF"/>
      </w:tcPr>
    </w:tblStylePr>
    <w:tblStylePr w:type="band1Vert">
      <w:tblPr/>
      <w:tcPr>
        <w:shd w:val="clear" w:color="auto" w:fill="BBE7F9" w:themeFill="accent3" w:themeFillTint="7F"/>
      </w:tcPr>
    </w:tblStylePr>
    <w:tblStylePr w:type="band1Horz">
      <w:tblPr/>
      <w:tcPr>
        <w:shd w:val="clear" w:color="auto" w:fill="BBE7F9" w:themeFill="accent3" w:themeFillTint="7F"/>
      </w:tcPr>
    </w:tblStylePr>
  </w:style>
  <w:style w:type="table" w:styleId="ColorfulGrid-Accent4">
    <w:name w:val="Colorful Grid Accent 4"/>
    <w:basedOn w:val="TableNormal"/>
    <w:uiPriority w:val="73"/>
    <w:rsid w:val="00223F09"/>
    <w:pPr>
      <w:spacing w:before="0" w:after="0"/>
    </w:pPr>
    <w:rPr>
      <w:rFonts w:ascii="Times New Roman" w:eastAsia="Times New Roman" w:hAnsi="Times New Roman" w:cs="Times New Roman"/>
      <w:lang w:eastAsia="en-AU"/>
    </w:rPr>
    <w:tblPr>
      <w:tblStyleRowBandSize w:val="1"/>
      <w:tblStyleColBandSize w:val="1"/>
      <w:tblBorders>
        <w:insideH w:val="single" w:sz="4" w:space="0" w:color="FFFFFF" w:themeColor="background1"/>
      </w:tblBorders>
    </w:tblPr>
    <w:tcPr>
      <w:shd w:val="clear" w:color="auto" w:fill="EAECEF" w:themeFill="accent4" w:themeFillTint="33"/>
    </w:tcPr>
    <w:tblStylePr w:type="firstRow">
      <w:rPr>
        <w:b/>
        <w:bCs/>
      </w:rPr>
      <w:tblPr/>
      <w:tcPr>
        <w:shd w:val="clear" w:color="auto" w:fill="D6DADF" w:themeFill="accent4" w:themeFillTint="66"/>
      </w:tcPr>
    </w:tblStylePr>
    <w:tblStylePr w:type="lastRow">
      <w:rPr>
        <w:b/>
        <w:bCs/>
        <w:color w:val="000000" w:themeColor="text1"/>
      </w:rPr>
      <w:tblPr/>
      <w:tcPr>
        <w:shd w:val="clear" w:color="auto" w:fill="D6DADF" w:themeFill="accent4" w:themeFillTint="66"/>
      </w:tcPr>
    </w:tblStylePr>
    <w:tblStylePr w:type="firstCol">
      <w:rPr>
        <w:color w:val="FFFFFF" w:themeColor="background1"/>
      </w:rPr>
      <w:tblPr/>
      <w:tcPr>
        <w:shd w:val="clear" w:color="auto" w:fill="6D7989" w:themeFill="accent4" w:themeFillShade="BF"/>
      </w:tcPr>
    </w:tblStylePr>
    <w:tblStylePr w:type="lastCol">
      <w:rPr>
        <w:color w:val="FFFFFF" w:themeColor="background1"/>
      </w:rPr>
      <w:tblPr/>
      <w:tcPr>
        <w:shd w:val="clear" w:color="auto" w:fill="6D7989" w:themeFill="accent4" w:themeFillShade="BF"/>
      </w:tcPr>
    </w:tblStylePr>
    <w:tblStylePr w:type="band1Vert">
      <w:tblPr/>
      <w:tcPr>
        <w:shd w:val="clear" w:color="auto" w:fill="CCD1D7" w:themeFill="accent4" w:themeFillTint="7F"/>
      </w:tcPr>
    </w:tblStylePr>
    <w:tblStylePr w:type="band1Horz">
      <w:tblPr/>
      <w:tcPr>
        <w:shd w:val="clear" w:color="auto" w:fill="CCD1D7" w:themeFill="accent4" w:themeFillTint="7F"/>
      </w:tcPr>
    </w:tblStylePr>
  </w:style>
  <w:style w:type="table" w:styleId="ColorfulGrid-Accent5">
    <w:name w:val="Colorful Grid Accent 5"/>
    <w:basedOn w:val="TableNormal"/>
    <w:uiPriority w:val="73"/>
    <w:rsid w:val="00223F09"/>
    <w:pPr>
      <w:spacing w:before="0" w:after="0"/>
    </w:pPr>
    <w:rPr>
      <w:rFonts w:ascii="Times New Roman" w:eastAsia="Times New Roman" w:hAnsi="Times New Roman" w:cs="Times New Roman"/>
      <w:lang w:eastAsia="en-AU"/>
    </w:rPr>
    <w:tblPr>
      <w:tblStyleRowBandSize w:val="1"/>
      <w:tblStyleColBandSize w:val="1"/>
      <w:tblBorders>
        <w:insideH w:val="single" w:sz="4" w:space="0" w:color="FFFFFF" w:themeColor="background1"/>
      </w:tblBorders>
    </w:tblPr>
    <w:tcPr>
      <w:shd w:val="clear" w:color="auto" w:fill="F2F6E8" w:themeFill="accent5" w:themeFillTint="33"/>
    </w:tcPr>
    <w:tblStylePr w:type="firstRow">
      <w:rPr>
        <w:b/>
        <w:bCs/>
      </w:rPr>
      <w:tblPr/>
      <w:tcPr>
        <w:shd w:val="clear" w:color="auto" w:fill="E5EDD2" w:themeFill="accent5" w:themeFillTint="66"/>
      </w:tcPr>
    </w:tblStylePr>
    <w:tblStylePr w:type="lastRow">
      <w:rPr>
        <w:b/>
        <w:bCs/>
        <w:color w:val="000000" w:themeColor="text1"/>
      </w:rPr>
      <w:tblPr/>
      <w:tcPr>
        <w:shd w:val="clear" w:color="auto" w:fill="E5EDD2" w:themeFill="accent5" w:themeFillTint="66"/>
      </w:tcPr>
    </w:tblStylePr>
    <w:tblStylePr w:type="firstCol">
      <w:rPr>
        <w:color w:val="FFFFFF" w:themeColor="background1"/>
      </w:rPr>
      <w:tblPr/>
      <w:tcPr>
        <w:shd w:val="clear" w:color="auto" w:fill="9BBB4E" w:themeFill="accent5" w:themeFillShade="BF"/>
      </w:tcPr>
    </w:tblStylePr>
    <w:tblStylePr w:type="lastCol">
      <w:rPr>
        <w:color w:val="FFFFFF" w:themeColor="background1"/>
      </w:rPr>
      <w:tblPr/>
      <w:tcPr>
        <w:shd w:val="clear" w:color="auto" w:fill="9BBB4E" w:themeFill="accent5" w:themeFillShade="BF"/>
      </w:tcPr>
    </w:tblStylePr>
    <w:tblStylePr w:type="band1Vert">
      <w:tblPr/>
      <w:tcPr>
        <w:shd w:val="clear" w:color="auto" w:fill="DFE9C7" w:themeFill="accent5" w:themeFillTint="7F"/>
      </w:tcPr>
    </w:tblStylePr>
    <w:tblStylePr w:type="band1Horz">
      <w:tblPr/>
      <w:tcPr>
        <w:shd w:val="clear" w:color="auto" w:fill="DFE9C7" w:themeFill="accent5" w:themeFillTint="7F"/>
      </w:tcPr>
    </w:tblStylePr>
  </w:style>
  <w:style w:type="table" w:styleId="ColorfulGrid-Accent6">
    <w:name w:val="Colorful Grid Accent 6"/>
    <w:basedOn w:val="TableNormal"/>
    <w:uiPriority w:val="73"/>
    <w:rsid w:val="00223F09"/>
    <w:pPr>
      <w:spacing w:before="0" w:after="0"/>
    </w:pPr>
    <w:rPr>
      <w:rFonts w:ascii="Times New Roman" w:eastAsia="Times New Roman" w:hAnsi="Times New Roman" w:cs="Times New Roman"/>
      <w:lang w:eastAsia="en-AU"/>
    </w:rPr>
    <w:tblPr>
      <w:tblStyleRowBandSize w:val="1"/>
      <w:tblStyleColBandSize w:val="1"/>
      <w:tblBorders>
        <w:insideH w:val="single" w:sz="4" w:space="0" w:color="FFFFFF" w:themeColor="background1"/>
      </w:tblBorders>
    </w:tblPr>
    <w:tcPr>
      <w:shd w:val="clear" w:color="auto" w:fill="E2F2EA" w:themeFill="accent6" w:themeFillTint="33"/>
    </w:tcPr>
    <w:tblStylePr w:type="firstRow">
      <w:rPr>
        <w:b/>
        <w:bCs/>
      </w:rPr>
      <w:tblPr/>
      <w:tcPr>
        <w:shd w:val="clear" w:color="auto" w:fill="C5E6D5" w:themeFill="accent6" w:themeFillTint="66"/>
      </w:tcPr>
    </w:tblStylePr>
    <w:tblStylePr w:type="lastRow">
      <w:rPr>
        <w:b/>
        <w:bCs/>
        <w:color w:val="000000" w:themeColor="text1"/>
      </w:rPr>
      <w:tblPr/>
      <w:tcPr>
        <w:shd w:val="clear" w:color="auto" w:fill="C5E6D5" w:themeFill="accent6" w:themeFillTint="66"/>
      </w:tcPr>
    </w:tblStylePr>
    <w:tblStylePr w:type="firstCol">
      <w:rPr>
        <w:color w:val="FFFFFF" w:themeColor="background1"/>
      </w:rPr>
      <w:tblPr/>
      <w:tcPr>
        <w:shd w:val="clear" w:color="auto" w:fill="449F70" w:themeFill="accent6" w:themeFillShade="BF"/>
      </w:tcPr>
    </w:tblStylePr>
    <w:tblStylePr w:type="lastCol">
      <w:rPr>
        <w:color w:val="FFFFFF" w:themeColor="background1"/>
      </w:rPr>
      <w:tblPr/>
      <w:tcPr>
        <w:shd w:val="clear" w:color="auto" w:fill="449F70" w:themeFill="accent6" w:themeFillShade="BF"/>
      </w:tcPr>
    </w:tblStylePr>
    <w:tblStylePr w:type="band1Vert">
      <w:tblPr/>
      <w:tcPr>
        <w:shd w:val="clear" w:color="auto" w:fill="B7E0CB" w:themeFill="accent6" w:themeFillTint="7F"/>
      </w:tcPr>
    </w:tblStylePr>
    <w:tblStylePr w:type="band1Horz">
      <w:tblPr/>
      <w:tcPr>
        <w:shd w:val="clear" w:color="auto" w:fill="B7E0CB" w:themeFill="accent6" w:themeFillTint="7F"/>
      </w:tcPr>
    </w:tblStylePr>
  </w:style>
  <w:style w:type="table" w:styleId="ColorfulList">
    <w:name w:val="Colorful List"/>
    <w:basedOn w:val="TableNormal"/>
    <w:uiPriority w:val="72"/>
    <w:rsid w:val="00223F09"/>
    <w:pPr>
      <w:spacing w:before="0" w:after="0"/>
    </w:pPr>
    <w:rPr>
      <w:rFonts w:ascii="Times New Roman" w:eastAsia="Times New Roman" w:hAnsi="Times New Roman" w:cs="Times New Roman"/>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B8F91" w:themeFill="accent2" w:themeFillShade="CC"/>
      </w:tcPr>
    </w:tblStylePr>
    <w:tblStylePr w:type="lastRow">
      <w:rPr>
        <w:b/>
        <w:bCs/>
        <w:color w:val="3B8F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223F09"/>
    <w:pPr>
      <w:spacing w:before="0" w:after="0"/>
    </w:pPr>
    <w:rPr>
      <w:rFonts w:ascii="Times New Roman" w:eastAsia="Times New Roman" w:hAnsi="Times New Roman" w:cs="Times New Roman"/>
      <w:lang w:eastAsia="en-AU"/>
    </w:rPr>
    <w:tblPr>
      <w:tblStyleRowBandSize w:val="1"/>
      <w:tblStyleColBandSize w:val="1"/>
    </w:tblPr>
    <w:tcPr>
      <w:shd w:val="clear" w:color="auto" w:fill="D8E6FA" w:themeFill="accent1" w:themeFillTint="19"/>
    </w:tcPr>
    <w:tblStylePr w:type="firstRow">
      <w:rPr>
        <w:b/>
        <w:bCs/>
        <w:color w:val="FFFFFF" w:themeColor="background1"/>
      </w:rPr>
      <w:tblPr/>
      <w:tcPr>
        <w:tcBorders>
          <w:bottom w:val="single" w:sz="12" w:space="0" w:color="FFFFFF" w:themeColor="background1"/>
        </w:tcBorders>
        <w:shd w:val="clear" w:color="auto" w:fill="3B8F91" w:themeFill="accent2" w:themeFillShade="CC"/>
      </w:tcPr>
    </w:tblStylePr>
    <w:tblStylePr w:type="lastRow">
      <w:rPr>
        <w:b/>
        <w:bCs/>
        <w:color w:val="3B8F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EC0F2" w:themeFill="accent1" w:themeFillTint="3F"/>
      </w:tcPr>
    </w:tblStylePr>
    <w:tblStylePr w:type="band1Horz">
      <w:tblPr/>
      <w:tcPr>
        <w:shd w:val="clear" w:color="auto" w:fill="B1CCF5" w:themeFill="accent1" w:themeFillTint="33"/>
      </w:tcPr>
    </w:tblStylePr>
  </w:style>
  <w:style w:type="table" w:styleId="ColorfulList-Accent2">
    <w:name w:val="Colorful List Accent 2"/>
    <w:basedOn w:val="TableNormal"/>
    <w:uiPriority w:val="72"/>
    <w:rsid w:val="00223F09"/>
    <w:pPr>
      <w:spacing w:before="0" w:after="0"/>
    </w:pPr>
    <w:rPr>
      <w:rFonts w:ascii="Times New Roman" w:eastAsia="Times New Roman" w:hAnsi="Times New Roman" w:cs="Times New Roman"/>
      <w:lang w:eastAsia="en-AU"/>
    </w:rPr>
    <w:tblPr>
      <w:tblStyleRowBandSize w:val="1"/>
      <w:tblStyleColBandSize w:val="1"/>
    </w:tblPr>
    <w:tcPr>
      <w:shd w:val="clear" w:color="auto" w:fill="EDF7F7" w:themeFill="accent2" w:themeFillTint="19"/>
    </w:tcPr>
    <w:tblStylePr w:type="firstRow">
      <w:rPr>
        <w:b/>
        <w:bCs/>
        <w:color w:val="FFFFFF" w:themeColor="background1"/>
      </w:rPr>
      <w:tblPr/>
      <w:tcPr>
        <w:tcBorders>
          <w:bottom w:val="single" w:sz="12" w:space="0" w:color="FFFFFF" w:themeColor="background1"/>
        </w:tcBorders>
        <w:shd w:val="clear" w:color="auto" w:fill="3B8F91" w:themeFill="accent2" w:themeFillShade="CC"/>
      </w:tcPr>
    </w:tblStylePr>
    <w:tblStylePr w:type="lastRow">
      <w:rPr>
        <w:b/>
        <w:bCs/>
        <w:color w:val="3B8F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CEC" w:themeFill="accent2" w:themeFillTint="3F"/>
      </w:tcPr>
    </w:tblStylePr>
    <w:tblStylePr w:type="band1Horz">
      <w:tblPr/>
      <w:tcPr>
        <w:shd w:val="clear" w:color="auto" w:fill="DAEFF0" w:themeFill="accent2" w:themeFillTint="33"/>
      </w:tcPr>
    </w:tblStylePr>
  </w:style>
  <w:style w:type="table" w:styleId="ColorfulList-Accent3">
    <w:name w:val="Colorful List Accent 3"/>
    <w:basedOn w:val="TableNormal"/>
    <w:uiPriority w:val="72"/>
    <w:rsid w:val="00223F09"/>
    <w:pPr>
      <w:spacing w:before="0" w:after="0"/>
    </w:pPr>
    <w:rPr>
      <w:rFonts w:ascii="Times New Roman" w:eastAsia="Times New Roman" w:hAnsi="Times New Roman" w:cs="Times New Roman"/>
      <w:lang w:eastAsia="en-AU"/>
    </w:rPr>
    <w:tblPr>
      <w:tblStyleRowBandSize w:val="1"/>
      <w:tblStyleColBandSize w:val="1"/>
    </w:tblPr>
    <w:tcPr>
      <w:shd w:val="clear" w:color="auto" w:fill="F1FAFE" w:themeFill="accent3" w:themeFillTint="19"/>
    </w:tcPr>
    <w:tblStylePr w:type="firstRow">
      <w:rPr>
        <w:b/>
        <w:bCs/>
        <w:color w:val="FFFFFF" w:themeColor="background1"/>
      </w:rPr>
      <w:tblPr/>
      <w:tcPr>
        <w:tcBorders>
          <w:bottom w:val="single" w:sz="12" w:space="0" w:color="FFFFFF" w:themeColor="background1"/>
        </w:tcBorders>
        <w:shd w:val="clear" w:color="auto" w:fill="758191" w:themeFill="accent4" w:themeFillShade="CC"/>
      </w:tcPr>
    </w:tblStylePr>
    <w:tblStylePr w:type="lastRow">
      <w:rPr>
        <w:b/>
        <w:bCs/>
        <w:color w:val="75819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3FC" w:themeFill="accent3" w:themeFillTint="3F"/>
      </w:tcPr>
    </w:tblStylePr>
    <w:tblStylePr w:type="band1Horz">
      <w:tblPr/>
      <w:tcPr>
        <w:shd w:val="clear" w:color="auto" w:fill="E3F5FC" w:themeFill="accent3" w:themeFillTint="33"/>
      </w:tcPr>
    </w:tblStylePr>
  </w:style>
  <w:style w:type="table" w:styleId="ColorfulList-Accent4">
    <w:name w:val="Colorful List Accent 4"/>
    <w:basedOn w:val="TableNormal"/>
    <w:uiPriority w:val="72"/>
    <w:rsid w:val="00223F09"/>
    <w:pPr>
      <w:spacing w:before="0" w:after="0"/>
    </w:pPr>
    <w:rPr>
      <w:rFonts w:ascii="Times New Roman" w:eastAsia="Times New Roman" w:hAnsi="Times New Roman" w:cs="Times New Roman"/>
      <w:lang w:eastAsia="en-AU"/>
    </w:rPr>
    <w:tblPr>
      <w:tblStyleRowBandSize w:val="1"/>
      <w:tblStyleColBandSize w:val="1"/>
    </w:tblPr>
    <w:tcPr>
      <w:shd w:val="clear" w:color="auto" w:fill="F4F5F7" w:themeFill="accent4" w:themeFillTint="19"/>
    </w:tcPr>
    <w:tblStylePr w:type="firstRow">
      <w:rPr>
        <w:b/>
        <w:bCs/>
        <w:color w:val="FFFFFF" w:themeColor="background1"/>
      </w:rPr>
      <w:tblPr/>
      <w:tcPr>
        <w:tcBorders>
          <w:bottom w:val="single" w:sz="12" w:space="0" w:color="FFFFFF" w:themeColor="background1"/>
        </w:tcBorders>
        <w:shd w:val="clear" w:color="auto" w:fill="33B9EE" w:themeFill="accent3" w:themeFillShade="CC"/>
      </w:tcPr>
    </w:tblStylePr>
    <w:tblStylePr w:type="lastRow">
      <w:rPr>
        <w:b/>
        <w:bCs/>
        <w:color w:val="33B9EE"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8EB" w:themeFill="accent4" w:themeFillTint="3F"/>
      </w:tcPr>
    </w:tblStylePr>
    <w:tblStylePr w:type="band1Horz">
      <w:tblPr/>
      <w:tcPr>
        <w:shd w:val="clear" w:color="auto" w:fill="EAECEF" w:themeFill="accent4" w:themeFillTint="33"/>
      </w:tcPr>
    </w:tblStylePr>
  </w:style>
  <w:style w:type="table" w:styleId="ColorfulList-Accent5">
    <w:name w:val="Colorful List Accent 5"/>
    <w:basedOn w:val="TableNormal"/>
    <w:uiPriority w:val="72"/>
    <w:rsid w:val="00223F09"/>
    <w:pPr>
      <w:spacing w:before="0" w:after="0"/>
    </w:pPr>
    <w:rPr>
      <w:rFonts w:ascii="Times New Roman" w:eastAsia="Times New Roman" w:hAnsi="Times New Roman" w:cs="Times New Roman"/>
      <w:lang w:eastAsia="en-AU"/>
    </w:rPr>
    <w:tblPr>
      <w:tblStyleRowBandSize w:val="1"/>
      <w:tblStyleColBandSize w:val="1"/>
    </w:tblPr>
    <w:tcPr>
      <w:shd w:val="clear" w:color="auto" w:fill="F8FAF3" w:themeFill="accent5" w:themeFillTint="19"/>
    </w:tcPr>
    <w:tblStylePr w:type="firstRow">
      <w:rPr>
        <w:b/>
        <w:bCs/>
        <w:color w:val="FFFFFF" w:themeColor="background1"/>
      </w:rPr>
      <w:tblPr/>
      <w:tcPr>
        <w:tcBorders>
          <w:bottom w:val="single" w:sz="12" w:space="0" w:color="FFFFFF" w:themeColor="background1"/>
        </w:tcBorders>
        <w:shd w:val="clear" w:color="auto" w:fill="49A978" w:themeFill="accent6" w:themeFillShade="CC"/>
      </w:tcPr>
    </w:tblStylePr>
    <w:tblStylePr w:type="lastRow">
      <w:rPr>
        <w:b/>
        <w:bCs/>
        <w:color w:val="49A97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4E3" w:themeFill="accent5" w:themeFillTint="3F"/>
      </w:tcPr>
    </w:tblStylePr>
    <w:tblStylePr w:type="band1Horz">
      <w:tblPr/>
      <w:tcPr>
        <w:shd w:val="clear" w:color="auto" w:fill="F2F6E8" w:themeFill="accent5" w:themeFillTint="33"/>
      </w:tcPr>
    </w:tblStylePr>
  </w:style>
  <w:style w:type="table" w:styleId="ColorfulList-Accent6">
    <w:name w:val="Colorful List Accent 6"/>
    <w:basedOn w:val="TableNormal"/>
    <w:uiPriority w:val="72"/>
    <w:rsid w:val="00223F09"/>
    <w:pPr>
      <w:spacing w:before="0" w:after="0"/>
    </w:pPr>
    <w:rPr>
      <w:rFonts w:ascii="Times New Roman" w:eastAsia="Times New Roman" w:hAnsi="Times New Roman" w:cs="Times New Roman"/>
      <w:lang w:eastAsia="en-AU"/>
    </w:rPr>
    <w:tblPr>
      <w:tblStyleRowBandSize w:val="1"/>
      <w:tblStyleColBandSize w:val="1"/>
    </w:tblPr>
    <w:tcPr>
      <w:shd w:val="clear" w:color="auto" w:fill="F0F9F4" w:themeFill="accent6" w:themeFillTint="19"/>
    </w:tcPr>
    <w:tblStylePr w:type="firstRow">
      <w:rPr>
        <w:b/>
        <w:bCs/>
        <w:color w:val="FFFFFF" w:themeColor="background1"/>
      </w:rPr>
      <w:tblPr/>
      <w:tcPr>
        <w:tcBorders>
          <w:bottom w:val="single" w:sz="12" w:space="0" w:color="FFFFFF" w:themeColor="background1"/>
        </w:tcBorders>
        <w:shd w:val="clear" w:color="auto" w:fill="A3C05B" w:themeFill="accent5" w:themeFillShade="CC"/>
      </w:tcPr>
    </w:tblStylePr>
    <w:tblStylePr w:type="lastRow">
      <w:rPr>
        <w:b/>
        <w:bCs/>
        <w:color w:val="A3C05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FE5" w:themeFill="accent6" w:themeFillTint="3F"/>
      </w:tcPr>
    </w:tblStylePr>
    <w:tblStylePr w:type="band1Horz">
      <w:tblPr/>
      <w:tcPr>
        <w:shd w:val="clear" w:color="auto" w:fill="E2F2EA" w:themeFill="accent6" w:themeFillTint="33"/>
      </w:tcPr>
    </w:tblStylePr>
  </w:style>
  <w:style w:type="table" w:styleId="ColorfulShading">
    <w:name w:val="Colorful Shading"/>
    <w:basedOn w:val="TableNormal"/>
    <w:uiPriority w:val="71"/>
    <w:rsid w:val="00223F09"/>
    <w:pPr>
      <w:spacing w:before="0" w:after="0"/>
    </w:pPr>
    <w:rPr>
      <w:rFonts w:ascii="Times New Roman" w:eastAsia="Times New Roman" w:hAnsi="Times New Roman" w:cs="Times New Roman"/>
      <w:lang w:eastAsia="en-AU"/>
    </w:rPr>
    <w:tblPr>
      <w:tblStyleRowBandSize w:val="1"/>
      <w:tblStyleColBandSize w:val="1"/>
      <w:tblBorders>
        <w:top w:val="single" w:sz="24" w:space="0" w:color="4BB3B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BB3B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223F09"/>
    <w:pPr>
      <w:spacing w:before="0" w:after="0"/>
    </w:pPr>
    <w:rPr>
      <w:rFonts w:ascii="Times New Roman" w:eastAsia="Times New Roman" w:hAnsi="Times New Roman" w:cs="Times New Roman"/>
      <w:lang w:eastAsia="en-AU"/>
    </w:rPr>
    <w:tblPr>
      <w:tblStyleRowBandSize w:val="1"/>
      <w:tblStyleColBandSize w:val="1"/>
      <w:tblBorders>
        <w:top w:val="single" w:sz="24" w:space="0" w:color="4BB3B5" w:themeColor="accent2"/>
        <w:left w:val="single" w:sz="4" w:space="0" w:color="081E3E" w:themeColor="accent1"/>
        <w:bottom w:val="single" w:sz="4" w:space="0" w:color="081E3E" w:themeColor="accent1"/>
        <w:right w:val="single" w:sz="4" w:space="0" w:color="081E3E" w:themeColor="accent1"/>
        <w:insideH w:val="single" w:sz="4" w:space="0" w:color="FFFFFF" w:themeColor="background1"/>
        <w:insideV w:val="single" w:sz="4" w:space="0" w:color="FFFFFF" w:themeColor="background1"/>
      </w:tblBorders>
    </w:tblPr>
    <w:tcPr>
      <w:shd w:val="clear" w:color="auto" w:fill="D8E6FA" w:themeFill="accent1" w:themeFillTint="19"/>
    </w:tcPr>
    <w:tblStylePr w:type="firstRow">
      <w:rPr>
        <w:b/>
        <w:bCs/>
      </w:rPr>
      <w:tblPr/>
      <w:tcPr>
        <w:tcBorders>
          <w:top w:val="nil"/>
          <w:left w:val="nil"/>
          <w:bottom w:val="single" w:sz="24" w:space="0" w:color="4BB3B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41125" w:themeFill="accent1" w:themeFillShade="99"/>
      </w:tcPr>
    </w:tblStylePr>
    <w:tblStylePr w:type="firstCol">
      <w:rPr>
        <w:color w:val="FFFFFF" w:themeColor="background1"/>
      </w:rPr>
      <w:tblPr/>
      <w:tcPr>
        <w:tcBorders>
          <w:top w:val="nil"/>
          <w:left w:val="nil"/>
          <w:bottom w:val="nil"/>
          <w:right w:val="nil"/>
          <w:insideH w:val="single" w:sz="4" w:space="0" w:color="041125" w:themeColor="accent1" w:themeShade="99"/>
          <w:insideV w:val="nil"/>
        </w:tcBorders>
        <w:shd w:val="clear" w:color="auto" w:fill="04112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41125" w:themeFill="accent1" w:themeFillShade="99"/>
      </w:tcPr>
    </w:tblStylePr>
    <w:tblStylePr w:type="band1Vert">
      <w:tblPr/>
      <w:tcPr>
        <w:shd w:val="clear" w:color="auto" w:fill="6399EB" w:themeFill="accent1" w:themeFillTint="66"/>
      </w:tcPr>
    </w:tblStylePr>
    <w:tblStylePr w:type="band1Horz">
      <w:tblPr/>
      <w:tcPr>
        <w:shd w:val="clear" w:color="auto" w:fill="3C81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223F09"/>
    <w:pPr>
      <w:spacing w:before="0" w:after="0"/>
    </w:pPr>
    <w:rPr>
      <w:rFonts w:ascii="Times New Roman" w:eastAsia="Times New Roman" w:hAnsi="Times New Roman" w:cs="Times New Roman"/>
      <w:lang w:eastAsia="en-AU"/>
    </w:rPr>
    <w:tblPr>
      <w:tblStyleRowBandSize w:val="1"/>
      <w:tblStyleColBandSize w:val="1"/>
      <w:tblBorders>
        <w:top w:val="single" w:sz="24" w:space="0" w:color="4BB3B5" w:themeColor="accent2"/>
        <w:left w:val="single" w:sz="4" w:space="0" w:color="4BB3B5" w:themeColor="accent2"/>
        <w:bottom w:val="single" w:sz="4" w:space="0" w:color="4BB3B5" w:themeColor="accent2"/>
        <w:right w:val="single" w:sz="4" w:space="0" w:color="4BB3B5" w:themeColor="accent2"/>
        <w:insideH w:val="single" w:sz="4" w:space="0" w:color="FFFFFF" w:themeColor="background1"/>
        <w:insideV w:val="single" w:sz="4" w:space="0" w:color="FFFFFF" w:themeColor="background1"/>
      </w:tblBorders>
    </w:tblPr>
    <w:tcPr>
      <w:shd w:val="clear" w:color="auto" w:fill="EDF7F7" w:themeFill="accent2" w:themeFillTint="19"/>
    </w:tcPr>
    <w:tblStylePr w:type="firstRow">
      <w:rPr>
        <w:b/>
        <w:bCs/>
      </w:rPr>
      <w:tblPr/>
      <w:tcPr>
        <w:tcBorders>
          <w:top w:val="nil"/>
          <w:left w:val="nil"/>
          <w:bottom w:val="single" w:sz="24" w:space="0" w:color="4BB3B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6B6C" w:themeFill="accent2" w:themeFillShade="99"/>
      </w:tcPr>
    </w:tblStylePr>
    <w:tblStylePr w:type="firstCol">
      <w:rPr>
        <w:color w:val="FFFFFF" w:themeColor="background1"/>
      </w:rPr>
      <w:tblPr/>
      <w:tcPr>
        <w:tcBorders>
          <w:top w:val="nil"/>
          <w:left w:val="nil"/>
          <w:bottom w:val="nil"/>
          <w:right w:val="nil"/>
          <w:insideH w:val="single" w:sz="4" w:space="0" w:color="2C6B6C" w:themeColor="accent2" w:themeShade="99"/>
          <w:insideV w:val="nil"/>
        </w:tcBorders>
        <w:shd w:val="clear" w:color="auto" w:fill="2C6B6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C6B6C" w:themeFill="accent2" w:themeFillShade="99"/>
      </w:tcPr>
    </w:tblStylePr>
    <w:tblStylePr w:type="band1Vert">
      <w:tblPr/>
      <w:tcPr>
        <w:shd w:val="clear" w:color="auto" w:fill="B6E0E1" w:themeFill="accent2" w:themeFillTint="66"/>
      </w:tcPr>
    </w:tblStylePr>
    <w:tblStylePr w:type="band1Horz">
      <w:tblPr/>
      <w:tcPr>
        <w:shd w:val="clear" w:color="auto" w:fill="A5D9D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223F09"/>
    <w:pPr>
      <w:spacing w:before="0" w:after="0"/>
    </w:pPr>
    <w:rPr>
      <w:rFonts w:ascii="Times New Roman" w:eastAsia="Times New Roman" w:hAnsi="Times New Roman" w:cs="Times New Roman"/>
      <w:lang w:eastAsia="en-AU"/>
    </w:rPr>
    <w:tblPr>
      <w:tblStyleRowBandSize w:val="1"/>
      <w:tblStyleColBandSize w:val="1"/>
      <w:tblBorders>
        <w:top w:val="single" w:sz="24" w:space="0" w:color="9AA3AF" w:themeColor="accent4"/>
        <w:left w:val="single" w:sz="4" w:space="0" w:color="77D1F4" w:themeColor="accent3"/>
        <w:bottom w:val="single" w:sz="4" w:space="0" w:color="77D1F4" w:themeColor="accent3"/>
        <w:right w:val="single" w:sz="4" w:space="0" w:color="77D1F4" w:themeColor="accent3"/>
        <w:insideH w:val="single" w:sz="4" w:space="0" w:color="FFFFFF" w:themeColor="background1"/>
        <w:insideV w:val="single" w:sz="4" w:space="0" w:color="FFFFFF" w:themeColor="background1"/>
      </w:tblBorders>
    </w:tblPr>
    <w:tcPr>
      <w:shd w:val="clear" w:color="auto" w:fill="F1FAFE" w:themeFill="accent3" w:themeFillTint="19"/>
    </w:tcPr>
    <w:tblStylePr w:type="firstRow">
      <w:rPr>
        <w:b/>
        <w:bCs/>
      </w:rPr>
      <w:tblPr/>
      <w:tcPr>
        <w:tcBorders>
          <w:top w:val="nil"/>
          <w:left w:val="nil"/>
          <w:bottom w:val="single" w:sz="24" w:space="0" w:color="9AA3A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95C9" w:themeFill="accent3" w:themeFillShade="99"/>
      </w:tcPr>
    </w:tblStylePr>
    <w:tblStylePr w:type="firstCol">
      <w:rPr>
        <w:color w:val="FFFFFF" w:themeColor="background1"/>
      </w:rPr>
      <w:tblPr/>
      <w:tcPr>
        <w:tcBorders>
          <w:top w:val="nil"/>
          <w:left w:val="nil"/>
          <w:bottom w:val="nil"/>
          <w:right w:val="nil"/>
          <w:insideH w:val="single" w:sz="4" w:space="0" w:color="1095C9" w:themeColor="accent3" w:themeShade="99"/>
          <w:insideV w:val="nil"/>
        </w:tcBorders>
        <w:shd w:val="clear" w:color="auto" w:fill="1095C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95C9" w:themeFill="accent3" w:themeFillShade="99"/>
      </w:tcPr>
    </w:tblStylePr>
    <w:tblStylePr w:type="band1Vert">
      <w:tblPr/>
      <w:tcPr>
        <w:shd w:val="clear" w:color="auto" w:fill="C8ECFA" w:themeFill="accent3" w:themeFillTint="66"/>
      </w:tcPr>
    </w:tblStylePr>
    <w:tblStylePr w:type="band1Horz">
      <w:tblPr/>
      <w:tcPr>
        <w:shd w:val="clear" w:color="auto" w:fill="BBE7F9" w:themeFill="accent3" w:themeFillTint="7F"/>
      </w:tcPr>
    </w:tblStylePr>
  </w:style>
  <w:style w:type="table" w:styleId="ColorfulShading-Accent4">
    <w:name w:val="Colorful Shading Accent 4"/>
    <w:basedOn w:val="TableNormal"/>
    <w:uiPriority w:val="71"/>
    <w:rsid w:val="00223F09"/>
    <w:pPr>
      <w:spacing w:before="0" w:after="0"/>
    </w:pPr>
    <w:rPr>
      <w:rFonts w:ascii="Times New Roman" w:eastAsia="Times New Roman" w:hAnsi="Times New Roman" w:cs="Times New Roman"/>
      <w:lang w:eastAsia="en-AU"/>
    </w:rPr>
    <w:tblPr>
      <w:tblStyleRowBandSize w:val="1"/>
      <w:tblStyleColBandSize w:val="1"/>
      <w:tblBorders>
        <w:top w:val="single" w:sz="24" w:space="0" w:color="77D1F4" w:themeColor="accent3"/>
        <w:left w:val="single" w:sz="4" w:space="0" w:color="9AA3AF" w:themeColor="accent4"/>
        <w:bottom w:val="single" w:sz="4" w:space="0" w:color="9AA3AF" w:themeColor="accent4"/>
        <w:right w:val="single" w:sz="4" w:space="0" w:color="9AA3AF" w:themeColor="accent4"/>
        <w:insideH w:val="single" w:sz="4" w:space="0" w:color="FFFFFF" w:themeColor="background1"/>
        <w:insideV w:val="single" w:sz="4" w:space="0" w:color="FFFFFF" w:themeColor="background1"/>
      </w:tblBorders>
    </w:tblPr>
    <w:tcPr>
      <w:shd w:val="clear" w:color="auto" w:fill="F4F5F7" w:themeFill="accent4" w:themeFillTint="19"/>
    </w:tcPr>
    <w:tblStylePr w:type="firstRow">
      <w:rPr>
        <w:b/>
        <w:bCs/>
      </w:rPr>
      <w:tblPr/>
      <w:tcPr>
        <w:tcBorders>
          <w:top w:val="nil"/>
          <w:left w:val="nil"/>
          <w:bottom w:val="single" w:sz="24" w:space="0" w:color="77D1F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16E" w:themeFill="accent4" w:themeFillShade="99"/>
      </w:tcPr>
    </w:tblStylePr>
    <w:tblStylePr w:type="firstCol">
      <w:rPr>
        <w:color w:val="FFFFFF" w:themeColor="background1"/>
      </w:rPr>
      <w:tblPr/>
      <w:tcPr>
        <w:tcBorders>
          <w:top w:val="nil"/>
          <w:left w:val="nil"/>
          <w:bottom w:val="nil"/>
          <w:right w:val="nil"/>
          <w:insideH w:val="single" w:sz="4" w:space="0" w:color="57616E" w:themeColor="accent4" w:themeShade="99"/>
          <w:insideV w:val="nil"/>
        </w:tcBorders>
        <w:shd w:val="clear" w:color="auto" w:fill="57616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616E" w:themeFill="accent4" w:themeFillShade="99"/>
      </w:tcPr>
    </w:tblStylePr>
    <w:tblStylePr w:type="band1Vert">
      <w:tblPr/>
      <w:tcPr>
        <w:shd w:val="clear" w:color="auto" w:fill="D6DADF" w:themeFill="accent4" w:themeFillTint="66"/>
      </w:tcPr>
    </w:tblStylePr>
    <w:tblStylePr w:type="band1Horz">
      <w:tblPr/>
      <w:tcPr>
        <w:shd w:val="clear" w:color="auto" w:fill="CCD1D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223F09"/>
    <w:pPr>
      <w:spacing w:before="0" w:after="0"/>
    </w:pPr>
    <w:rPr>
      <w:rFonts w:ascii="Times New Roman" w:eastAsia="Times New Roman" w:hAnsi="Times New Roman" w:cs="Times New Roman"/>
      <w:lang w:eastAsia="en-AU"/>
    </w:rPr>
    <w:tblPr>
      <w:tblStyleRowBandSize w:val="1"/>
      <w:tblStyleColBandSize w:val="1"/>
      <w:tblBorders>
        <w:top w:val="single" w:sz="24" w:space="0" w:color="6FC197" w:themeColor="accent6"/>
        <w:left w:val="single" w:sz="4" w:space="0" w:color="C0D48F" w:themeColor="accent5"/>
        <w:bottom w:val="single" w:sz="4" w:space="0" w:color="C0D48F" w:themeColor="accent5"/>
        <w:right w:val="single" w:sz="4" w:space="0" w:color="C0D48F" w:themeColor="accent5"/>
        <w:insideH w:val="single" w:sz="4" w:space="0" w:color="FFFFFF" w:themeColor="background1"/>
        <w:insideV w:val="single" w:sz="4" w:space="0" w:color="FFFFFF" w:themeColor="background1"/>
      </w:tblBorders>
    </w:tblPr>
    <w:tcPr>
      <w:shd w:val="clear" w:color="auto" w:fill="F8FAF3" w:themeFill="accent5" w:themeFillTint="19"/>
    </w:tcPr>
    <w:tblStylePr w:type="firstRow">
      <w:rPr>
        <w:b/>
        <w:bCs/>
      </w:rPr>
      <w:tblPr/>
      <w:tcPr>
        <w:tcBorders>
          <w:top w:val="nil"/>
          <w:left w:val="nil"/>
          <w:bottom w:val="single" w:sz="24" w:space="0" w:color="6FC19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993B" w:themeFill="accent5" w:themeFillShade="99"/>
      </w:tcPr>
    </w:tblStylePr>
    <w:tblStylePr w:type="firstCol">
      <w:rPr>
        <w:color w:val="FFFFFF" w:themeColor="background1"/>
      </w:rPr>
      <w:tblPr/>
      <w:tcPr>
        <w:tcBorders>
          <w:top w:val="nil"/>
          <w:left w:val="nil"/>
          <w:bottom w:val="nil"/>
          <w:right w:val="nil"/>
          <w:insideH w:val="single" w:sz="4" w:space="0" w:color="7E993B" w:themeColor="accent5" w:themeShade="99"/>
          <w:insideV w:val="nil"/>
        </w:tcBorders>
        <w:shd w:val="clear" w:color="auto" w:fill="7E993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E993B" w:themeFill="accent5" w:themeFillShade="99"/>
      </w:tcPr>
    </w:tblStylePr>
    <w:tblStylePr w:type="band1Vert">
      <w:tblPr/>
      <w:tcPr>
        <w:shd w:val="clear" w:color="auto" w:fill="E5EDD2" w:themeFill="accent5" w:themeFillTint="66"/>
      </w:tcPr>
    </w:tblStylePr>
    <w:tblStylePr w:type="band1Horz">
      <w:tblPr/>
      <w:tcPr>
        <w:shd w:val="clear" w:color="auto" w:fill="DFE9C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223F09"/>
    <w:pPr>
      <w:spacing w:before="0" w:after="0"/>
    </w:pPr>
    <w:rPr>
      <w:rFonts w:ascii="Times New Roman" w:eastAsia="Times New Roman" w:hAnsi="Times New Roman" w:cs="Times New Roman"/>
      <w:lang w:eastAsia="en-AU"/>
    </w:rPr>
    <w:tblPr>
      <w:tblStyleRowBandSize w:val="1"/>
      <w:tblStyleColBandSize w:val="1"/>
      <w:tblBorders>
        <w:top w:val="single" w:sz="24" w:space="0" w:color="C0D48F" w:themeColor="accent5"/>
        <w:left w:val="single" w:sz="4" w:space="0" w:color="6FC197" w:themeColor="accent6"/>
        <w:bottom w:val="single" w:sz="4" w:space="0" w:color="6FC197" w:themeColor="accent6"/>
        <w:right w:val="single" w:sz="4" w:space="0" w:color="6FC197" w:themeColor="accent6"/>
        <w:insideH w:val="single" w:sz="4" w:space="0" w:color="FFFFFF" w:themeColor="background1"/>
        <w:insideV w:val="single" w:sz="4" w:space="0" w:color="FFFFFF" w:themeColor="background1"/>
      </w:tblBorders>
    </w:tblPr>
    <w:tcPr>
      <w:shd w:val="clear" w:color="auto" w:fill="F0F9F4" w:themeFill="accent6" w:themeFillTint="19"/>
    </w:tcPr>
    <w:tblStylePr w:type="firstRow">
      <w:rPr>
        <w:b/>
        <w:bCs/>
      </w:rPr>
      <w:tblPr/>
      <w:tcPr>
        <w:tcBorders>
          <w:top w:val="nil"/>
          <w:left w:val="nil"/>
          <w:bottom w:val="single" w:sz="24" w:space="0" w:color="C0D48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7F5A" w:themeFill="accent6" w:themeFillShade="99"/>
      </w:tcPr>
    </w:tblStylePr>
    <w:tblStylePr w:type="firstCol">
      <w:rPr>
        <w:color w:val="FFFFFF" w:themeColor="background1"/>
      </w:rPr>
      <w:tblPr/>
      <w:tcPr>
        <w:tcBorders>
          <w:top w:val="nil"/>
          <w:left w:val="nil"/>
          <w:bottom w:val="nil"/>
          <w:right w:val="nil"/>
          <w:insideH w:val="single" w:sz="4" w:space="0" w:color="377F5A" w:themeColor="accent6" w:themeShade="99"/>
          <w:insideV w:val="nil"/>
        </w:tcBorders>
        <w:shd w:val="clear" w:color="auto" w:fill="377F5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77F5A" w:themeFill="accent6" w:themeFillShade="99"/>
      </w:tcPr>
    </w:tblStylePr>
    <w:tblStylePr w:type="band1Vert">
      <w:tblPr/>
      <w:tcPr>
        <w:shd w:val="clear" w:color="auto" w:fill="C5E6D5" w:themeFill="accent6" w:themeFillTint="66"/>
      </w:tcPr>
    </w:tblStylePr>
    <w:tblStylePr w:type="band1Horz">
      <w:tblPr/>
      <w:tcPr>
        <w:shd w:val="clear" w:color="auto" w:fill="B7E0C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Pr>
    <w:tcPr>
      <w:shd w:val="clear" w:color="auto" w:fill="081E3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0E1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6162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6162E" w:themeFill="accent1" w:themeFillShade="BF"/>
      </w:tcPr>
    </w:tblStylePr>
    <w:tblStylePr w:type="band1Vert">
      <w:tblPr/>
      <w:tcPr>
        <w:tcBorders>
          <w:top w:val="nil"/>
          <w:left w:val="nil"/>
          <w:bottom w:val="nil"/>
          <w:right w:val="nil"/>
          <w:insideH w:val="nil"/>
          <w:insideV w:val="nil"/>
        </w:tcBorders>
        <w:shd w:val="clear" w:color="auto" w:fill="06162E" w:themeFill="accent1" w:themeFillShade="BF"/>
      </w:tcPr>
    </w:tblStylePr>
    <w:tblStylePr w:type="band1Horz">
      <w:tblPr/>
      <w:tcPr>
        <w:tcBorders>
          <w:top w:val="nil"/>
          <w:left w:val="nil"/>
          <w:bottom w:val="nil"/>
          <w:right w:val="nil"/>
          <w:insideH w:val="nil"/>
          <w:insideV w:val="nil"/>
        </w:tcBorders>
        <w:shd w:val="clear" w:color="auto" w:fill="06162E" w:themeFill="accent1" w:themeFillShade="BF"/>
      </w:tcPr>
    </w:tblStylePr>
  </w:style>
  <w:style w:type="table" w:styleId="DarkList-Accent2">
    <w:name w:val="Dark List Accent 2"/>
    <w:basedOn w:val="TableNormal"/>
    <w:uiPriority w:val="7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Pr>
    <w:tcPr>
      <w:shd w:val="clear" w:color="auto" w:fill="4BB3B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595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8868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88687" w:themeFill="accent2" w:themeFillShade="BF"/>
      </w:tcPr>
    </w:tblStylePr>
    <w:tblStylePr w:type="band1Vert">
      <w:tblPr/>
      <w:tcPr>
        <w:tcBorders>
          <w:top w:val="nil"/>
          <w:left w:val="nil"/>
          <w:bottom w:val="nil"/>
          <w:right w:val="nil"/>
          <w:insideH w:val="nil"/>
          <w:insideV w:val="nil"/>
        </w:tcBorders>
        <w:shd w:val="clear" w:color="auto" w:fill="388687" w:themeFill="accent2" w:themeFillShade="BF"/>
      </w:tcPr>
    </w:tblStylePr>
    <w:tblStylePr w:type="band1Horz">
      <w:tblPr/>
      <w:tcPr>
        <w:tcBorders>
          <w:top w:val="nil"/>
          <w:left w:val="nil"/>
          <w:bottom w:val="nil"/>
          <w:right w:val="nil"/>
          <w:insideH w:val="nil"/>
          <w:insideV w:val="nil"/>
        </w:tcBorders>
        <w:shd w:val="clear" w:color="auto" w:fill="388687" w:themeFill="accent2" w:themeFillShade="BF"/>
      </w:tcPr>
    </w:tblStylePr>
  </w:style>
  <w:style w:type="table" w:styleId="DarkList-Accent3">
    <w:name w:val="Dark List Accent 3"/>
    <w:basedOn w:val="TableNormal"/>
    <w:uiPriority w:val="7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Pr>
    <w:tcPr>
      <w:shd w:val="clear" w:color="auto" w:fill="77D1F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7BA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B3E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B3ED" w:themeFill="accent3" w:themeFillShade="BF"/>
      </w:tcPr>
    </w:tblStylePr>
    <w:tblStylePr w:type="band1Vert">
      <w:tblPr/>
      <w:tcPr>
        <w:tcBorders>
          <w:top w:val="nil"/>
          <w:left w:val="nil"/>
          <w:bottom w:val="nil"/>
          <w:right w:val="nil"/>
          <w:insideH w:val="nil"/>
          <w:insideV w:val="nil"/>
        </w:tcBorders>
        <w:shd w:val="clear" w:color="auto" w:fill="22B3ED" w:themeFill="accent3" w:themeFillShade="BF"/>
      </w:tcPr>
    </w:tblStylePr>
    <w:tblStylePr w:type="band1Horz">
      <w:tblPr/>
      <w:tcPr>
        <w:tcBorders>
          <w:top w:val="nil"/>
          <w:left w:val="nil"/>
          <w:bottom w:val="nil"/>
          <w:right w:val="nil"/>
          <w:insideH w:val="nil"/>
          <w:insideV w:val="nil"/>
        </w:tcBorders>
        <w:shd w:val="clear" w:color="auto" w:fill="22B3ED" w:themeFill="accent3" w:themeFillShade="BF"/>
      </w:tcPr>
    </w:tblStylePr>
  </w:style>
  <w:style w:type="table" w:styleId="DarkList-Accent4">
    <w:name w:val="Dark List Accent 4"/>
    <w:basedOn w:val="TableNormal"/>
    <w:uiPriority w:val="7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Pr>
    <w:tcPr>
      <w:shd w:val="clear" w:color="auto" w:fill="9AA3A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05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798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7989" w:themeFill="accent4" w:themeFillShade="BF"/>
      </w:tcPr>
    </w:tblStylePr>
    <w:tblStylePr w:type="band1Vert">
      <w:tblPr/>
      <w:tcPr>
        <w:tcBorders>
          <w:top w:val="nil"/>
          <w:left w:val="nil"/>
          <w:bottom w:val="nil"/>
          <w:right w:val="nil"/>
          <w:insideH w:val="nil"/>
          <w:insideV w:val="nil"/>
        </w:tcBorders>
        <w:shd w:val="clear" w:color="auto" w:fill="6D7989" w:themeFill="accent4" w:themeFillShade="BF"/>
      </w:tcPr>
    </w:tblStylePr>
    <w:tblStylePr w:type="band1Horz">
      <w:tblPr/>
      <w:tcPr>
        <w:tcBorders>
          <w:top w:val="nil"/>
          <w:left w:val="nil"/>
          <w:bottom w:val="nil"/>
          <w:right w:val="nil"/>
          <w:insideH w:val="nil"/>
          <w:insideV w:val="nil"/>
        </w:tcBorders>
        <w:shd w:val="clear" w:color="auto" w:fill="6D7989" w:themeFill="accent4" w:themeFillShade="BF"/>
      </w:tcPr>
    </w:tblStylePr>
  </w:style>
  <w:style w:type="table" w:styleId="DarkList-Accent5">
    <w:name w:val="Dark List Accent 5"/>
    <w:basedOn w:val="TableNormal"/>
    <w:uiPriority w:val="7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Pr>
    <w:tcPr>
      <w:shd w:val="clear" w:color="auto" w:fill="C0D48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7F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BBB4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BBB4E" w:themeFill="accent5" w:themeFillShade="BF"/>
      </w:tcPr>
    </w:tblStylePr>
    <w:tblStylePr w:type="band1Vert">
      <w:tblPr/>
      <w:tcPr>
        <w:tcBorders>
          <w:top w:val="nil"/>
          <w:left w:val="nil"/>
          <w:bottom w:val="nil"/>
          <w:right w:val="nil"/>
          <w:insideH w:val="nil"/>
          <w:insideV w:val="nil"/>
        </w:tcBorders>
        <w:shd w:val="clear" w:color="auto" w:fill="9BBB4E" w:themeFill="accent5" w:themeFillShade="BF"/>
      </w:tcPr>
    </w:tblStylePr>
    <w:tblStylePr w:type="band1Horz">
      <w:tblPr/>
      <w:tcPr>
        <w:tcBorders>
          <w:top w:val="nil"/>
          <w:left w:val="nil"/>
          <w:bottom w:val="nil"/>
          <w:right w:val="nil"/>
          <w:insideH w:val="nil"/>
          <w:insideV w:val="nil"/>
        </w:tcBorders>
        <w:shd w:val="clear" w:color="auto" w:fill="9BBB4E" w:themeFill="accent5" w:themeFillShade="BF"/>
      </w:tcPr>
    </w:tblStylePr>
  </w:style>
  <w:style w:type="table" w:styleId="DarkList-Accent6">
    <w:name w:val="Dark List Accent 6"/>
    <w:basedOn w:val="TableNormal"/>
    <w:uiPriority w:val="7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Pr>
    <w:tcPr>
      <w:shd w:val="clear" w:color="auto" w:fill="6FC19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694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49F7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49F70" w:themeFill="accent6" w:themeFillShade="BF"/>
      </w:tcPr>
    </w:tblStylePr>
    <w:tblStylePr w:type="band1Vert">
      <w:tblPr/>
      <w:tcPr>
        <w:tcBorders>
          <w:top w:val="nil"/>
          <w:left w:val="nil"/>
          <w:bottom w:val="nil"/>
          <w:right w:val="nil"/>
          <w:insideH w:val="nil"/>
          <w:insideV w:val="nil"/>
        </w:tcBorders>
        <w:shd w:val="clear" w:color="auto" w:fill="449F70" w:themeFill="accent6" w:themeFillShade="BF"/>
      </w:tcPr>
    </w:tblStylePr>
    <w:tblStylePr w:type="band1Horz">
      <w:tblPr/>
      <w:tcPr>
        <w:tcBorders>
          <w:top w:val="nil"/>
          <w:left w:val="nil"/>
          <w:bottom w:val="nil"/>
          <w:right w:val="nil"/>
          <w:insideH w:val="nil"/>
          <w:insideV w:val="nil"/>
        </w:tcBorders>
        <w:shd w:val="clear" w:color="auto" w:fill="449F70" w:themeFill="accent6" w:themeFillShade="BF"/>
      </w:tcPr>
    </w:tblStylePr>
  </w:style>
  <w:style w:type="table" w:customStyle="1" w:styleId="GridTable1Light1">
    <w:name w:val="Grid Table 1 Light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6399EB" w:themeColor="accent1" w:themeTint="66"/>
        <w:left w:val="single" w:sz="4" w:space="0" w:color="6399EB" w:themeColor="accent1" w:themeTint="66"/>
        <w:bottom w:val="single" w:sz="4" w:space="0" w:color="6399EB" w:themeColor="accent1" w:themeTint="66"/>
        <w:right w:val="single" w:sz="4" w:space="0" w:color="6399EB" w:themeColor="accent1" w:themeTint="66"/>
        <w:insideH w:val="single" w:sz="4" w:space="0" w:color="6399EB" w:themeColor="accent1" w:themeTint="66"/>
        <w:insideV w:val="single" w:sz="4" w:space="0" w:color="6399EB" w:themeColor="accent1" w:themeTint="66"/>
      </w:tblBorders>
    </w:tblPr>
    <w:tblStylePr w:type="firstRow">
      <w:rPr>
        <w:b/>
        <w:bCs/>
      </w:rPr>
      <w:tblPr/>
      <w:tcPr>
        <w:tcBorders>
          <w:bottom w:val="single" w:sz="12" w:space="0" w:color="1C68D9" w:themeColor="accent1" w:themeTint="99"/>
        </w:tcBorders>
      </w:tcPr>
    </w:tblStylePr>
    <w:tblStylePr w:type="lastRow">
      <w:rPr>
        <w:b/>
        <w:bCs/>
      </w:rPr>
      <w:tblPr/>
      <w:tcPr>
        <w:tcBorders>
          <w:top w:val="double" w:sz="2" w:space="0" w:color="1C68D9"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B6E0E1" w:themeColor="accent2" w:themeTint="66"/>
        <w:left w:val="single" w:sz="4" w:space="0" w:color="B6E0E1" w:themeColor="accent2" w:themeTint="66"/>
        <w:bottom w:val="single" w:sz="4" w:space="0" w:color="B6E0E1" w:themeColor="accent2" w:themeTint="66"/>
        <w:right w:val="single" w:sz="4" w:space="0" w:color="B6E0E1" w:themeColor="accent2" w:themeTint="66"/>
        <w:insideH w:val="single" w:sz="4" w:space="0" w:color="B6E0E1" w:themeColor="accent2" w:themeTint="66"/>
        <w:insideV w:val="single" w:sz="4" w:space="0" w:color="B6E0E1" w:themeColor="accent2" w:themeTint="66"/>
      </w:tblBorders>
    </w:tblPr>
    <w:tblStylePr w:type="firstRow">
      <w:rPr>
        <w:b/>
        <w:bCs/>
      </w:rPr>
      <w:tblPr/>
      <w:tcPr>
        <w:tcBorders>
          <w:bottom w:val="single" w:sz="12" w:space="0" w:color="92D1D2" w:themeColor="accent2" w:themeTint="99"/>
        </w:tcBorders>
      </w:tcPr>
    </w:tblStylePr>
    <w:tblStylePr w:type="lastRow">
      <w:rPr>
        <w:b/>
        <w:bCs/>
      </w:rPr>
      <w:tblPr/>
      <w:tcPr>
        <w:tcBorders>
          <w:top w:val="double" w:sz="2" w:space="0" w:color="92D1D2"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C8ECFA" w:themeColor="accent3" w:themeTint="66"/>
        <w:left w:val="single" w:sz="4" w:space="0" w:color="C8ECFA" w:themeColor="accent3" w:themeTint="66"/>
        <w:bottom w:val="single" w:sz="4" w:space="0" w:color="C8ECFA" w:themeColor="accent3" w:themeTint="66"/>
        <w:right w:val="single" w:sz="4" w:space="0" w:color="C8ECFA" w:themeColor="accent3" w:themeTint="66"/>
        <w:insideH w:val="single" w:sz="4" w:space="0" w:color="C8ECFA" w:themeColor="accent3" w:themeTint="66"/>
        <w:insideV w:val="single" w:sz="4" w:space="0" w:color="C8ECFA" w:themeColor="accent3" w:themeTint="66"/>
      </w:tblBorders>
    </w:tblPr>
    <w:tblStylePr w:type="firstRow">
      <w:rPr>
        <w:b/>
        <w:bCs/>
      </w:rPr>
      <w:tblPr/>
      <w:tcPr>
        <w:tcBorders>
          <w:bottom w:val="single" w:sz="12" w:space="0" w:color="ADE3F8" w:themeColor="accent3" w:themeTint="99"/>
        </w:tcBorders>
      </w:tcPr>
    </w:tblStylePr>
    <w:tblStylePr w:type="lastRow">
      <w:rPr>
        <w:b/>
        <w:bCs/>
      </w:rPr>
      <w:tblPr/>
      <w:tcPr>
        <w:tcBorders>
          <w:top w:val="double" w:sz="2" w:space="0" w:color="ADE3F8"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D6DADF" w:themeColor="accent4" w:themeTint="66"/>
        <w:left w:val="single" w:sz="4" w:space="0" w:color="D6DADF" w:themeColor="accent4" w:themeTint="66"/>
        <w:bottom w:val="single" w:sz="4" w:space="0" w:color="D6DADF" w:themeColor="accent4" w:themeTint="66"/>
        <w:right w:val="single" w:sz="4" w:space="0" w:color="D6DADF" w:themeColor="accent4" w:themeTint="66"/>
        <w:insideH w:val="single" w:sz="4" w:space="0" w:color="D6DADF" w:themeColor="accent4" w:themeTint="66"/>
        <w:insideV w:val="single" w:sz="4" w:space="0" w:color="D6DADF" w:themeColor="accent4" w:themeTint="66"/>
      </w:tblBorders>
    </w:tblPr>
    <w:tblStylePr w:type="firstRow">
      <w:rPr>
        <w:b/>
        <w:bCs/>
      </w:rPr>
      <w:tblPr/>
      <w:tcPr>
        <w:tcBorders>
          <w:bottom w:val="single" w:sz="12" w:space="0" w:color="C2C7CF" w:themeColor="accent4" w:themeTint="99"/>
        </w:tcBorders>
      </w:tcPr>
    </w:tblStylePr>
    <w:tblStylePr w:type="lastRow">
      <w:rPr>
        <w:b/>
        <w:bCs/>
      </w:rPr>
      <w:tblPr/>
      <w:tcPr>
        <w:tcBorders>
          <w:top w:val="double" w:sz="2" w:space="0" w:color="C2C7CF"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E5EDD2" w:themeColor="accent5" w:themeTint="66"/>
        <w:left w:val="single" w:sz="4" w:space="0" w:color="E5EDD2" w:themeColor="accent5" w:themeTint="66"/>
        <w:bottom w:val="single" w:sz="4" w:space="0" w:color="E5EDD2" w:themeColor="accent5" w:themeTint="66"/>
        <w:right w:val="single" w:sz="4" w:space="0" w:color="E5EDD2" w:themeColor="accent5" w:themeTint="66"/>
        <w:insideH w:val="single" w:sz="4" w:space="0" w:color="E5EDD2" w:themeColor="accent5" w:themeTint="66"/>
        <w:insideV w:val="single" w:sz="4" w:space="0" w:color="E5EDD2" w:themeColor="accent5" w:themeTint="66"/>
      </w:tblBorders>
    </w:tblPr>
    <w:tblStylePr w:type="firstRow">
      <w:rPr>
        <w:b/>
        <w:bCs/>
      </w:rPr>
      <w:tblPr/>
      <w:tcPr>
        <w:tcBorders>
          <w:bottom w:val="single" w:sz="12" w:space="0" w:color="D9E5BB" w:themeColor="accent5" w:themeTint="99"/>
        </w:tcBorders>
      </w:tcPr>
    </w:tblStylePr>
    <w:tblStylePr w:type="lastRow">
      <w:rPr>
        <w:b/>
        <w:bCs/>
      </w:rPr>
      <w:tblPr/>
      <w:tcPr>
        <w:tcBorders>
          <w:top w:val="double" w:sz="2" w:space="0" w:color="D9E5B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C5E6D5" w:themeColor="accent6" w:themeTint="66"/>
        <w:left w:val="single" w:sz="4" w:space="0" w:color="C5E6D5" w:themeColor="accent6" w:themeTint="66"/>
        <w:bottom w:val="single" w:sz="4" w:space="0" w:color="C5E6D5" w:themeColor="accent6" w:themeTint="66"/>
        <w:right w:val="single" w:sz="4" w:space="0" w:color="C5E6D5" w:themeColor="accent6" w:themeTint="66"/>
        <w:insideH w:val="single" w:sz="4" w:space="0" w:color="C5E6D5" w:themeColor="accent6" w:themeTint="66"/>
        <w:insideV w:val="single" w:sz="4" w:space="0" w:color="C5E6D5" w:themeColor="accent6" w:themeTint="66"/>
      </w:tblBorders>
    </w:tblPr>
    <w:tblStylePr w:type="firstRow">
      <w:rPr>
        <w:b/>
        <w:bCs/>
      </w:rPr>
      <w:tblPr/>
      <w:tcPr>
        <w:tcBorders>
          <w:bottom w:val="single" w:sz="12" w:space="0" w:color="A8D9C0" w:themeColor="accent6" w:themeTint="99"/>
        </w:tcBorders>
      </w:tcPr>
    </w:tblStylePr>
    <w:tblStylePr w:type="lastRow">
      <w:rPr>
        <w:b/>
        <w:bCs/>
      </w:rPr>
      <w:tblPr/>
      <w:tcPr>
        <w:tcBorders>
          <w:top w:val="double" w:sz="2" w:space="0" w:color="A8D9C0"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21">
    <w:name w:val="Grid Table 2 - Accent 2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2" w:space="0" w:color="92D1D2" w:themeColor="accent2" w:themeTint="99"/>
        <w:bottom w:val="single" w:sz="2" w:space="0" w:color="92D1D2" w:themeColor="accent2" w:themeTint="99"/>
        <w:insideH w:val="single" w:sz="2" w:space="0" w:color="92D1D2" w:themeColor="accent2" w:themeTint="99"/>
        <w:insideV w:val="single" w:sz="2" w:space="0" w:color="92D1D2" w:themeColor="accent2" w:themeTint="99"/>
      </w:tblBorders>
    </w:tblPr>
    <w:tblStylePr w:type="firstRow">
      <w:rPr>
        <w:b/>
        <w:bCs/>
      </w:rPr>
      <w:tblPr/>
      <w:tcPr>
        <w:tcBorders>
          <w:top w:val="nil"/>
          <w:bottom w:val="single" w:sz="12" w:space="0" w:color="92D1D2" w:themeColor="accent2" w:themeTint="99"/>
          <w:insideH w:val="nil"/>
          <w:insideV w:val="nil"/>
        </w:tcBorders>
        <w:shd w:val="clear" w:color="auto" w:fill="FFFFFF" w:themeFill="background1"/>
      </w:tcPr>
    </w:tblStylePr>
    <w:tblStylePr w:type="lastRow">
      <w:rPr>
        <w:b/>
        <w:bCs/>
      </w:rPr>
      <w:tblPr/>
      <w:tcPr>
        <w:tcBorders>
          <w:top w:val="double" w:sz="2" w:space="0" w:color="92D1D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F0" w:themeFill="accent2" w:themeFillTint="33"/>
      </w:tcPr>
    </w:tblStylePr>
    <w:tblStylePr w:type="band1Horz">
      <w:tblPr/>
      <w:tcPr>
        <w:shd w:val="clear" w:color="auto" w:fill="DAEFF0" w:themeFill="accent2" w:themeFillTint="33"/>
      </w:tcPr>
    </w:tblStylePr>
  </w:style>
  <w:style w:type="table" w:customStyle="1" w:styleId="GridTable2-Accent31">
    <w:name w:val="Grid Table 2 - Accent 3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2" w:space="0" w:color="ADE3F8" w:themeColor="accent3" w:themeTint="99"/>
        <w:bottom w:val="single" w:sz="2" w:space="0" w:color="ADE3F8" w:themeColor="accent3" w:themeTint="99"/>
        <w:insideH w:val="single" w:sz="2" w:space="0" w:color="ADE3F8" w:themeColor="accent3" w:themeTint="99"/>
        <w:insideV w:val="single" w:sz="2" w:space="0" w:color="ADE3F8" w:themeColor="accent3" w:themeTint="99"/>
      </w:tblBorders>
    </w:tblPr>
    <w:tblStylePr w:type="firstRow">
      <w:rPr>
        <w:b/>
        <w:bCs/>
      </w:rPr>
      <w:tblPr/>
      <w:tcPr>
        <w:tcBorders>
          <w:top w:val="nil"/>
          <w:bottom w:val="single" w:sz="12" w:space="0" w:color="ADE3F8" w:themeColor="accent3" w:themeTint="99"/>
          <w:insideH w:val="nil"/>
          <w:insideV w:val="nil"/>
        </w:tcBorders>
        <w:shd w:val="clear" w:color="auto" w:fill="FFFFFF" w:themeFill="background1"/>
      </w:tcPr>
    </w:tblStylePr>
    <w:tblStylePr w:type="lastRow">
      <w:rPr>
        <w:b/>
        <w:bCs/>
      </w:rPr>
      <w:tblPr/>
      <w:tcPr>
        <w:tcBorders>
          <w:top w:val="double" w:sz="2" w:space="0" w:color="ADE3F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customStyle="1" w:styleId="GridTable2-Accent41">
    <w:name w:val="Grid Table 2 - Accent 4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2" w:space="0" w:color="C2C7CF" w:themeColor="accent4" w:themeTint="99"/>
        <w:bottom w:val="single" w:sz="2" w:space="0" w:color="C2C7CF" w:themeColor="accent4" w:themeTint="99"/>
        <w:insideH w:val="single" w:sz="2" w:space="0" w:color="C2C7CF" w:themeColor="accent4" w:themeTint="99"/>
        <w:insideV w:val="single" w:sz="2" w:space="0" w:color="C2C7CF" w:themeColor="accent4" w:themeTint="99"/>
      </w:tblBorders>
    </w:tblPr>
    <w:tblStylePr w:type="firstRow">
      <w:rPr>
        <w:b/>
        <w:bCs/>
      </w:rPr>
      <w:tblPr/>
      <w:tcPr>
        <w:tcBorders>
          <w:top w:val="nil"/>
          <w:bottom w:val="single" w:sz="12" w:space="0" w:color="C2C7CF" w:themeColor="accent4" w:themeTint="99"/>
          <w:insideH w:val="nil"/>
          <w:insideV w:val="nil"/>
        </w:tcBorders>
        <w:shd w:val="clear" w:color="auto" w:fill="FFFFFF" w:themeFill="background1"/>
      </w:tcPr>
    </w:tblStylePr>
    <w:tblStylePr w:type="lastRow">
      <w:rPr>
        <w:b/>
        <w:bCs/>
      </w:rPr>
      <w:tblPr/>
      <w:tcPr>
        <w:tcBorders>
          <w:top w:val="double" w:sz="2" w:space="0" w:color="C2C7C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customStyle="1" w:styleId="GridTable2-Accent51">
    <w:name w:val="Grid Table 2 - Accent 5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2" w:space="0" w:color="D9E5BB" w:themeColor="accent5" w:themeTint="99"/>
        <w:bottom w:val="single" w:sz="2" w:space="0" w:color="D9E5BB" w:themeColor="accent5" w:themeTint="99"/>
        <w:insideH w:val="single" w:sz="2" w:space="0" w:color="D9E5BB" w:themeColor="accent5" w:themeTint="99"/>
        <w:insideV w:val="single" w:sz="2" w:space="0" w:color="D9E5BB" w:themeColor="accent5" w:themeTint="99"/>
      </w:tblBorders>
    </w:tblPr>
    <w:tblStylePr w:type="firstRow">
      <w:rPr>
        <w:b/>
        <w:bCs/>
      </w:rPr>
      <w:tblPr/>
      <w:tcPr>
        <w:tcBorders>
          <w:top w:val="nil"/>
          <w:bottom w:val="single" w:sz="12" w:space="0" w:color="D9E5BB" w:themeColor="accent5" w:themeTint="99"/>
          <w:insideH w:val="nil"/>
          <w:insideV w:val="nil"/>
        </w:tcBorders>
        <w:shd w:val="clear" w:color="auto" w:fill="FFFFFF" w:themeFill="background1"/>
      </w:tcPr>
    </w:tblStylePr>
    <w:tblStylePr w:type="lastRow">
      <w:rPr>
        <w:b/>
        <w:bCs/>
      </w:rPr>
      <w:tblPr/>
      <w:tcPr>
        <w:tcBorders>
          <w:top w:val="double" w:sz="2" w:space="0" w:color="D9E5B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customStyle="1" w:styleId="GridTable2-Accent61">
    <w:name w:val="Grid Table 2 - Accent 6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2" w:space="0" w:color="A8D9C0" w:themeColor="accent6" w:themeTint="99"/>
        <w:bottom w:val="single" w:sz="2" w:space="0" w:color="A8D9C0" w:themeColor="accent6" w:themeTint="99"/>
        <w:insideH w:val="single" w:sz="2" w:space="0" w:color="A8D9C0" w:themeColor="accent6" w:themeTint="99"/>
        <w:insideV w:val="single" w:sz="2" w:space="0" w:color="A8D9C0" w:themeColor="accent6" w:themeTint="99"/>
      </w:tblBorders>
    </w:tblPr>
    <w:tblStylePr w:type="firstRow">
      <w:rPr>
        <w:b/>
        <w:bCs/>
      </w:rPr>
      <w:tblPr/>
      <w:tcPr>
        <w:tcBorders>
          <w:top w:val="nil"/>
          <w:bottom w:val="single" w:sz="12" w:space="0" w:color="A8D9C0" w:themeColor="accent6" w:themeTint="99"/>
          <w:insideH w:val="nil"/>
          <w:insideV w:val="nil"/>
        </w:tcBorders>
        <w:shd w:val="clear" w:color="auto" w:fill="FFFFFF" w:themeFill="background1"/>
      </w:tcPr>
    </w:tblStylePr>
    <w:tblStylePr w:type="lastRow">
      <w:rPr>
        <w:b/>
        <w:bCs/>
      </w:rPr>
      <w:tblPr/>
      <w:tcPr>
        <w:tcBorders>
          <w:top w:val="double" w:sz="2" w:space="0" w:color="A8D9C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customStyle="1" w:styleId="GridTable31">
    <w:name w:val="Grid Table 3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1C68D9" w:themeColor="accent1" w:themeTint="99"/>
        <w:left w:val="single" w:sz="4" w:space="0" w:color="1C68D9" w:themeColor="accent1" w:themeTint="99"/>
        <w:bottom w:val="single" w:sz="4" w:space="0" w:color="1C68D9" w:themeColor="accent1" w:themeTint="99"/>
        <w:right w:val="single" w:sz="4" w:space="0" w:color="1C68D9" w:themeColor="accent1" w:themeTint="99"/>
        <w:insideH w:val="single" w:sz="4" w:space="0" w:color="1C68D9" w:themeColor="accent1" w:themeTint="99"/>
        <w:insideV w:val="single" w:sz="4" w:space="0" w:color="1C68D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CCF5" w:themeFill="accent1" w:themeFillTint="33"/>
      </w:tcPr>
    </w:tblStylePr>
    <w:tblStylePr w:type="band1Horz">
      <w:tblPr/>
      <w:tcPr>
        <w:shd w:val="clear" w:color="auto" w:fill="B1CCF5" w:themeFill="accent1" w:themeFillTint="33"/>
      </w:tcPr>
    </w:tblStylePr>
    <w:tblStylePr w:type="neCell">
      <w:tblPr/>
      <w:tcPr>
        <w:tcBorders>
          <w:bottom w:val="single" w:sz="4" w:space="0" w:color="1C68D9" w:themeColor="accent1" w:themeTint="99"/>
        </w:tcBorders>
      </w:tcPr>
    </w:tblStylePr>
    <w:tblStylePr w:type="nwCell">
      <w:tblPr/>
      <w:tcPr>
        <w:tcBorders>
          <w:bottom w:val="single" w:sz="4" w:space="0" w:color="1C68D9" w:themeColor="accent1" w:themeTint="99"/>
        </w:tcBorders>
      </w:tcPr>
    </w:tblStylePr>
    <w:tblStylePr w:type="seCell">
      <w:tblPr/>
      <w:tcPr>
        <w:tcBorders>
          <w:top w:val="single" w:sz="4" w:space="0" w:color="1C68D9" w:themeColor="accent1" w:themeTint="99"/>
        </w:tcBorders>
      </w:tcPr>
    </w:tblStylePr>
    <w:tblStylePr w:type="swCell">
      <w:tblPr/>
      <w:tcPr>
        <w:tcBorders>
          <w:top w:val="single" w:sz="4" w:space="0" w:color="1C68D9" w:themeColor="accent1" w:themeTint="99"/>
        </w:tcBorders>
      </w:tcPr>
    </w:tblStylePr>
  </w:style>
  <w:style w:type="table" w:customStyle="1" w:styleId="GridTable3-Accent21">
    <w:name w:val="Grid Table 3 - Accent 2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92D1D2" w:themeColor="accent2" w:themeTint="99"/>
        <w:left w:val="single" w:sz="4" w:space="0" w:color="92D1D2" w:themeColor="accent2" w:themeTint="99"/>
        <w:bottom w:val="single" w:sz="4" w:space="0" w:color="92D1D2" w:themeColor="accent2" w:themeTint="99"/>
        <w:right w:val="single" w:sz="4" w:space="0" w:color="92D1D2" w:themeColor="accent2" w:themeTint="99"/>
        <w:insideH w:val="single" w:sz="4" w:space="0" w:color="92D1D2" w:themeColor="accent2" w:themeTint="99"/>
        <w:insideV w:val="single" w:sz="4" w:space="0" w:color="92D1D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F0" w:themeFill="accent2" w:themeFillTint="33"/>
      </w:tcPr>
    </w:tblStylePr>
    <w:tblStylePr w:type="band1Horz">
      <w:tblPr/>
      <w:tcPr>
        <w:shd w:val="clear" w:color="auto" w:fill="DAEFF0" w:themeFill="accent2" w:themeFillTint="33"/>
      </w:tcPr>
    </w:tblStylePr>
    <w:tblStylePr w:type="neCell">
      <w:tblPr/>
      <w:tcPr>
        <w:tcBorders>
          <w:bottom w:val="single" w:sz="4" w:space="0" w:color="92D1D2" w:themeColor="accent2" w:themeTint="99"/>
        </w:tcBorders>
      </w:tcPr>
    </w:tblStylePr>
    <w:tblStylePr w:type="nwCell">
      <w:tblPr/>
      <w:tcPr>
        <w:tcBorders>
          <w:bottom w:val="single" w:sz="4" w:space="0" w:color="92D1D2" w:themeColor="accent2" w:themeTint="99"/>
        </w:tcBorders>
      </w:tcPr>
    </w:tblStylePr>
    <w:tblStylePr w:type="seCell">
      <w:tblPr/>
      <w:tcPr>
        <w:tcBorders>
          <w:top w:val="single" w:sz="4" w:space="0" w:color="92D1D2" w:themeColor="accent2" w:themeTint="99"/>
        </w:tcBorders>
      </w:tcPr>
    </w:tblStylePr>
    <w:tblStylePr w:type="swCell">
      <w:tblPr/>
      <w:tcPr>
        <w:tcBorders>
          <w:top w:val="single" w:sz="4" w:space="0" w:color="92D1D2" w:themeColor="accent2" w:themeTint="99"/>
        </w:tcBorders>
      </w:tcPr>
    </w:tblStylePr>
  </w:style>
  <w:style w:type="table" w:customStyle="1" w:styleId="GridTable3-Accent31">
    <w:name w:val="Grid Table 3 - Accent 3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ADE3F8" w:themeColor="accent3" w:themeTint="99"/>
        <w:left w:val="single" w:sz="4" w:space="0" w:color="ADE3F8" w:themeColor="accent3" w:themeTint="99"/>
        <w:bottom w:val="single" w:sz="4" w:space="0" w:color="ADE3F8" w:themeColor="accent3" w:themeTint="99"/>
        <w:right w:val="single" w:sz="4" w:space="0" w:color="ADE3F8" w:themeColor="accent3" w:themeTint="99"/>
        <w:insideH w:val="single" w:sz="4" w:space="0" w:color="ADE3F8" w:themeColor="accent3" w:themeTint="99"/>
        <w:insideV w:val="single" w:sz="4" w:space="0" w:color="ADE3F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5FC" w:themeFill="accent3" w:themeFillTint="33"/>
      </w:tcPr>
    </w:tblStylePr>
    <w:tblStylePr w:type="band1Horz">
      <w:tblPr/>
      <w:tcPr>
        <w:shd w:val="clear" w:color="auto" w:fill="E3F5FC" w:themeFill="accent3" w:themeFillTint="33"/>
      </w:tcPr>
    </w:tblStylePr>
    <w:tblStylePr w:type="neCell">
      <w:tblPr/>
      <w:tcPr>
        <w:tcBorders>
          <w:bottom w:val="single" w:sz="4" w:space="0" w:color="ADE3F8" w:themeColor="accent3" w:themeTint="99"/>
        </w:tcBorders>
      </w:tcPr>
    </w:tblStylePr>
    <w:tblStylePr w:type="nwCell">
      <w:tblPr/>
      <w:tcPr>
        <w:tcBorders>
          <w:bottom w:val="single" w:sz="4" w:space="0" w:color="ADE3F8" w:themeColor="accent3" w:themeTint="99"/>
        </w:tcBorders>
      </w:tcPr>
    </w:tblStylePr>
    <w:tblStylePr w:type="seCell">
      <w:tblPr/>
      <w:tcPr>
        <w:tcBorders>
          <w:top w:val="single" w:sz="4" w:space="0" w:color="ADE3F8" w:themeColor="accent3" w:themeTint="99"/>
        </w:tcBorders>
      </w:tcPr>
    </w:tblStylePr>
    <w:tblStylePr w:type="swCell">
      <w:tblPr/>
      <w:tcPr>
        <w:tcBorders>
          <w:top w:val="single" w:sz="4" w:space="0" w:color="ADE3F8" w:themeColor="accent3" w:themeTint="99"/>
        </w:tcBorders>
      </w:tcPr>
    </w:tblStylePr>
  </w:style>
  <w:style w:type="table" w:customStyle="1" w:styleId="GridTable3-Accent41">
    <w:name w:val="Grid Table 3 - Accent 4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C2C7CF" w:themeColor="accent4" w:themeTint="99"/>
        <w:left w:val="single" w:sz="4" w:space="0" w:color="C2C7CF" w:themeColor="accent4" w:themeTint="99"/>
        <w:bottom w:val="single" w:sz="4" w:space="0" w:color="C2C7CF" w:themeColor="accent4" w:themeTint="99"/>
        <w:right w:val="single" w:sz="4" w:space="0" w:color="C2C7CF" w:themeColor="accent4" w:themeTint="99"/>
        <w:insideH w:val="single" w:sz="4" w:space="0" w:color="C2C7CF" w:themeColor="accent4" w:themeTint="99"/>
        <w:insideV w:val="single" w:sz="4" w:space="0" w:color="C2C7C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CEF" w:themeFill="accent4" w:themeFillTint="33"/>
      </w:tcPr>
    </w:tblStylePr>
    <w:tblStylePr w:type="band1Horz">
      <w:tblPr/>
      <w:tcPr>
        <w:shd w:val="clear" w:color="auto" w:fill="EAECEF" w:themeFill="accent4" w:themeFillTint="33"/>
      </w:tcPr>
    </w:tblStylePr>
    <w:tblStylePr w:type="neCell">
      <w:tblPr/>
      <w:tcPr>
        <w:tcBorders>
          <w:bottom w:val="single" w:sz="4" w:space="0" w:color="C2C7CF" w:themeColor="accent4" w:themeTint="99"/>
        </w:tcBorders>
      </w:tcPr>
    </w:tblStylePr>
    <w:tblStylePr w:type="nwCell">
      <w:tblPr/>
      <w:tcPr>
        <w:tcBorders>
          <w:bottom w:val="single" w:sz="4" w:space="0" w:color="C2C7CF" w:themeColor="accent4" w:themeTint="99"/>
        </w:tcBorders>
      </w:tcPr>
    </w:tblStylePr>
    <w:tblStylePr w:type="seCell">
      <w:tblPr/>
      <w:tcPr>
        <w:tcBorders>
          <w:top w:val="single" w:sz="4" w:space="0" w:color="C2C7CF" w:themeColor="accent4" w:themeTint="99"/>
        </w:tcBorders>
      </w:tcPr>
    </w:tblStylePr>
    <w:tblStylePr w:type="swCell">
      <w:tblPr/>
      <w:tcPr>
        <w:tcBorders>
          <w:top w:val="single" w:sz="4" w:space="0" w:color="C2C7CF" w:themeColor="accent4" w:themeTint="99"/>
        </w:tcBorders>
      </w:tcPr>
    </w:tblStylePr>
  </w:style>
  <w:style w:type="table" w:customStyle="1" w:styleId="GridTable3-Accent51">
    <w:name w:val="Grid Table 3 - Accent 5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D9E5BB" w:themeColor="accent5" w:themeTint="99"/>
        <w:left w:val="single" w:sz="4" w:space="0" w:color="D9E5BB" w:themeColor="accent5" w:themeTint="99"/>
        <w:bottom w:val="single" w:sz="4" w:space="0" w:color="D9E5BB" w:themeColor="accent5" w:themeTint="99"/>
        <w:right w:val="single" w:sz="4" w:space="0" w:color="D9E5BB" w:themeColor="accent5" w:themeTint="99"/>
        <w:insideH w:val="single" w:sz="4" w:space="0" w:color="D9E5BB" w:themeColor="accent5" w:themeTint="99"/>
        <w:insideV w:val="single" w:sz="4" w:space="0" w:color="D9E5B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6E8" w:themeFill="accent5" w:themeFillTint="33"/>
      </w:tcPr>
    </w:tblStylePr>
    <w:tblStylePr w:type="band1Horz">
      <w:tblPr/>
      <w:tcPr>
        <w:shd w:val="clear" w:color="auto" w:fill="F2F6E8" w:themeFill="accent5" w:themeFillTint="33"/>
      </w:tcPr>
    </w:tblStylePr>
    <w:tblStylePr w:type="neCell">
      <w:tblPr/>
      <w:tcPr>
        <w:tcBorders>
          <w:bottom w:val="single" w:sz="4" w:space="0" w:color="D9E5BB" w:themeColor="accent5" w:themeTint="99"/>
        </w:tcBorders>
      </w:tcPr>
    </w:tblStylePr>
    <w:tblStylePr w:type="nwCell">
      <w:tblPr/>
      <w:tcPr>
        <w:tcBorders>
          <w:bottom w:val="single" w:sz="4" w:space="0" w:color="D9E5BB" w:themeColor="accent5" w:themeTint="99"/>
        </w:tcBorders>
      </w:tcPr>
    </w:tblStylePr>
    <w:tblStylePr w:type="seCell">
      <w:tblPr/>
      <w:tcPr>
        <w:tcBorders>
          <w:top w:val="single" w:sz="4" w:space="0" w:color="D9E5BB" w:themeColor="accent5" w:themeTint="99"/>
        </w:tcBorders>
      </w:tcPr>
    </w:tblStylePr>
    <w:tblStylePr w:type="swCell">
      <w:tblPr/>
      <w:tcPr>
        <w:tcBorders>
          <w:top w:val="single" w:sz="4" w:space="0" w:color="D9E5BB" w:themeColor="accent5" w:themeTint="99"/>
        </w:tcBorders>
      </w:tcPr>
    </w:tblStylePr>
  </w:style>
  <w:style w:type="table" w:customStyle="1" w:styleId="GridTable3-Accent61">
    <w:name w:val="Grid Table 3 - Accent 6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A8D9C0" w:themeColor="accent6" w:themeTint="99"/>
        <w:left w:val="single" w:sz="4" w:space="0" w:color="A8D9C0" w:themeColor="accent6" w:themeTint="99"/>
        <w:bottom w:val="single" w:sz="4" w:space="0" w:color="A8D9C0" w:themeColor="accent6" w:themeTint="99"/>
        <w:right w:val="single" w:sz="4" w:space="0" w:color="A8D9C0" w:themeColor="accent6" w:themeTint="99"/>
        <w:insideH w:val="single" w:sz="4" w:space="0" w:color="A8D9C0" w:themeColor="accent6" w:themeTint="99"/>
        <w:insideV w:val="single" w:sz="4" w:space="0" w:color="A8D9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2EA" w:themeFill="accent6" w:themeFillTint="33"/>
      </w:tcPr>
    </w:tblStylePr>
    <w:tblStylePr w:type="band1Horz">
      <w:tblPr/>
      <w:tcPr>
        <w:shd w:val="clear" w:color="auto" w:fill="E2F2EA" w:themeFill="accent6" w:themeFillTint="33"/>
      </w:tcPr>
    </w:tblStylePr>
    <w:tblStylePr w:type="neCell">
      <w:tblPr/>
      <w:tcPr>
        <w:tcBorders>
          <w:bottom w:val="single" w:sz="4" w:space="0" w:color="A8D9C0" w:themeColor="accent6" w:themeTint="99"/>
        </w:tcBorders>
      </w:tcPr>
    </w:tblStylePr>
    <w:tblStylePr w:type="nwCell">
      <w:tblPr/>
      <w:tcPr>
        <w:tcBorders>
          <w:bottom w:val="single" w:sz="4" w:space="0" w:color="A8D9C0" w:themeColor="accent6" w:themeTint="99"/>
        </w:tcBorders>
      </w:tcPr>
    </w:tblStylePr>
    <w:tblStylePr w:type="seCell">
      <w:tblPr/>
      <w:tcPr>
        <w:tcBorders>
          <w:top w:val="single" w:sz="4" w:space="0" w:color="A8D9C0" w:themeColor="accent6" w:themeTint="99"/>
        </w:tcBorders>
      </w:tcPr>
    </w:tblStylePr>
    <w:tblStylePr w:type="swCell">
      <w:tblPr/>
      <w:tcPr>
        <w:tcBorders>
          <w:top w:val="single" w:sz="4" w:space="0" w:color="A8D9C0" w:themeColor="accent6" w:themeTint="99"/>
        </w:tcBorders>
      </w:tcPr>
    </w:tblStylePr>
  </w:style>
  <w:style w:type="table" w:customStyle="1" w:styleId="GridTable41">
    <w:name w:val="Grid Table 4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1C68D9" w:themeColor="accent1" w:themeTint="99"/>
        <w:left w:val="single" w:sz="4" w:space="0" w:color="1C68D9" w:themeColor="accent1" w:themeTint="99"/>
        <w:bottom w:val="single" w:sz="4" w:space="0" w:color="1C68D9" w:themeColor="accent1" w:themeTint="99"/>
        <w:right w:val="single" w:sz="4" w:space="0" w:color="1C68D9" w:themeColor="accent1" w:themeTint="99"/>
        <w:insideH w:val="single" w:sz="4" w:space="0" w:color="1C68D9" w:themeColor="accent1" w:themeTint="99"/>
        <w:insideV w:val="single" w:sz="4" w:space="0" w:color="1C68D9" w:themeColor="accent1" w:themeTint="99"/>
      </w:tblBorders>
    </w:tblPr>
    <w:tblStylePr w:type="firstRow">
      <w:rPr>
        <w:b/>
        <w:bCs/>
        <w:color w:val="FFFFFF" w:themeColor="background1"/>
      </w:rPr>
      <w:tblPr/>
      <w:tcPr>
        <w:tcBorders>
          <w:top w:val="single" w:sz="4" w:space="0" w:color="081E3E" w:themeColor="accent1"/>
          <w:left w:val="single" w:sz="4" w:space="0" w:color="081E3E" w:themeColor="accent1"/>
          <w:bottom w:val="single" w:sz="4" w:space="0" w:color="081E3E" w:themeColor="accent1"/>
          <w:right w:val="single" w:sz="4" w:space="0" w:color="081E3E" w:themeColor="accent1"/>
          <w:insideH w:val="nil"/>
          <w:insideV w:val="nil"/>
        </w:tcBorders>
        <w:shd w:val="clear" w:color="auto" w:fill="081E3E" w:themeFill="accent1"/>
      </w:tcPr>
    </w:tblStylePr>
    <w:tblStylePr w:type="lastRow">
      <w:rPr>
        <w:b/>
        <w:bCs/>
      </w:rPr>
      <w:tblPr/>
      <w:tcPr>
        <w:tcBorders>
          <w:top w:val="double" w:sz="4" w:space="0" w:color="081E3E" w:themeColor="accent1"/>
        </w:tcBorders>
      </w:tc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table" w:customStyle="1" w:styleId="GridTable4-Accent21">
    <w:name w:val="Grid Table 4 - Accent 2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92D1D2" w:themeColor="accent2" w:themeTint="99"/>
        <w:left w:val="single" w:sz="4" w:space="0" w:color="92D1D2" w:themeColor="accent2" w:themeTint="99"/>
        <w:bottom w:val="single" w:sz="4" w:space="0" w:color="92D1D2" w:themeColor="accent2" w:themeTint="99"/>
        <w:right w:val="single" w:sz="4" w:space="0" w:color="92D1D2" w:themeColor="accent2" w:themeTint="99"/>
        <w:insideH w:val="single" w:sz="4" w:space="0" w:color="92D1D2" w:themeColor="accent2" w:themeTint="99"/>
        <w:insideV w:val="single" w:sz="4" w:space="0" w:color="92D1D2" w:themeColor="accent2" w:themeTint="99"/>
      </w:tblBorders>
    </w:tblPr>
    <w:tblStylePr w:type="firstRow">
      <w:rPr>
        <w:b/>
        <w:bCs/>
        <w:color w:val="FFFFFF" w:themeColor="background1"/>
      </w:rPr>
      <w:tblPr/>
      <w:tcPr>
        <w:tcBorders>
          <w:top w:val="single" w:sz="4" w:space="0" w:color="4BB3B5" w:themeColor="accent2"/>
          <w:left w:val="single" w:sz="4" w:space="0" w:color="4BB3B5" w:themeColor="accent2"/>
          <w:bottom w:val="single" w:sz="4" w:space="0" w:color="4BB3B5" w:themeColor="accent2"/>
          <w:right w:val="single" w:sz="4" w:space="0" w:color="4BB3B5" w:themeColor="accent2"/>
          <w:insideH w:val="nil"/>
          <w:insideV w:val="nil"/>
        </w:tcBorders>
        <w:shd w:val="clear" w:color="auto" w:fill="4BB3B5" w:themeFill="accent2"/>
      </w:tcPr>
    </w:tblStylePr>
    <w:tblStylePr w:type="lastRow">
      <w:rPr>
        <w:b/>
        <w:bCs/>
      </w:rPr>
      <w:tblPr/>
      <w:tcPr>
        <w:tcBorders>
          <w:top w:val="double" w:sz="4" w:space="0" w:color="4BB3B5" w:themeColor="accent2"/>
        </w:tcBorders>
      </w:tcPr>
    </w:tblStylePr>
    <w:tblStylePr w:type="firstCol">
      <w:rPr>
        <w:b/>
        <w:bCs/>
      </w:rPr>
    </w:tblStylePr>
    <w:tblStylePr w:type="lastCol">
      <w:rPr>
        <w:b/>
        <w:bCs/>
      </w:rPr>
    </w:tblStylePr>
    <w:tblStylePr w:type="band1Vert">
      <w:tblPr/>
      <w:tcPr>
        <w:shd w:val="clear" w:color="auto" w:fill="DAEFF0" w:themeFill="accent2" w:themeFillTint="33"/>
      </w:tcPr>
    </w:tblStylePr>
    <w:tblStylePr w:type="band1Horz">
      <w:tblPr/>
      <w:tcPr>
        <w:shd w:val="clear" w:color="auto" w:fill="DAEFF0" w:themeFill="accent2" w:themeFillTint="33"/>
      </w:tcPr>
    </w:tblStylePr>
  </w:style>
  <w:style w:type="table" w:customStyle="1" w:styleId="GridTable4-Accent31">
    <w:name w:val="Grid Table 4 - Accent 3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ADE3F8" w:themeColor="accent3" w:themeTint="99"/>
        <w:left w:val="single" w:sz="4" w:space="0" w:color="ADE3F8" w:themeColor="accent3" w:themeTint="99"/>
        <w:bottom w:val="single" w:sz="4" w:space="0" w:color="ADE3F8" w:themeColor="accent3" w:themeTint="99"/>
        <w:right w:val="single" w:sz="4" w:space="0" w:color="ADE3F8" w:themeColor="accent3" w:themeTint="99"/>
        <w:insideH w:val="single" w:sz="4" w:space="0" w:color="ADE3F8" w:themeColor="accent3" w:themeTint="99"/>
        <w:insideV w:val="single" w:sz="4" w:space="0" w:color="ADE3F8" w:themeColor="accent3" w:themeTint="99"/>
      </w:tblBorders>
    </w:tblPr>
    <w:tblStylePr w:type="firstRow">
      <w:rPr>
        <w:b/>
        <w:bCs/>
        <w:color w:val="FFFFFF" w:themeColor="background1"/>
      </w:rPr>
      <w:tblPr/>
      <w:tcPr>
        <w:tcBorders>
          <w:top w:val="single" w:sz="4" w:space="0" w:color="77D1F4" w:themeColor="accent3"/>
          <w:left w:val="single" w:sz="4" w:space="0" w:color="77D1F4" w:themeColor="accent3"/>
          <w:bottom w:val="single" w:sz="4" w:space="0" w:color="77D1F4" w:themeColor="accent3"/>
          <w:right w:val="single" w:sz="4" w:space="0" w:color="77D1F4" w:themeColor="accent3"/>
          <w:insideH w:val="nil"/>
          <w:insideV w:val="nil"/>
        </w:tcBorders>
        <w:shd w:val="clear" w:color="auto" w:fill="77D1F4" w:themeFill="accent3"/>
      </w:tcPr>
    </w:tblStylePr>
    <w:tblStylePr w:type="lastRow">
      <w:rPr>
        <w:b/>
        <w:bCs/>
      </w:rPr>
      <w:tblPr/>
      <w:tcPr>
        <w:tcBorders>
          <w:top w:val="double" w:sz="4" w:space="0" w:color="77D1F4" w:themeColor="accent3"/>
        </w:tcBorders>
      </w:tc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customStyle="1" w:styleId="GridTable4-Accent41">
    <w:name w:val="Grid Table 4 - Accent 4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C2C7CF" w:themeColor="accent4" w:themeTint="99"/>
        <w:left w:val="single" w:sz="4" w:space="0" w:color="C2C7CF" w:themeColor="accent4" w:themeTint="99"/>
        <w:bottom w:val="single" w:sz="4" w:space="0" w:color="C2C7CF" w:themeColor="accent4" w:themeTint="99"/>
        <w:right w:val="single" w:sz="4" w:space="0" w:color="C2C7CF" w:themeColor="accent4" w:themeTint="99"/>
        <w:insideH w:val="single" w:sz="4" w:space="0" w:color="C2C7CF" w:themeColor="accent4" w:themeTint="99"/>
        <w:insideV w:val="single" w:sz="4" w:space="0" w:color="C2C7CF" w:themeColor="accent4" w:themeTint="99"/>
      </w:tblBorders>
    </w:tblPr>
    <w:tblStylePr w:type="firstRow">
      <w:rPr>
        <w:b/>
        <w:bCs/>
        <w:color w:val="FFFFFF" w:themeColor="background1"/>
      </w:rPr>
      <w:tblPr/>
      <w:tcPr>
        <w:tcBorders>
          <w:top w:val="single" w:sz="4" w:space="0" w:color="9AA3AF" w:themeColor="accent4"/>
          <w:left w:val="single" w:sz="4" w:space="0" w:color="9AA3AF" w:themeColor="accent4"/>
          <w:bottom w:val="single" w:sz="4" w:space="0" w:color="9AA3AF" w:themeColor="accent4"/>
          <w:right w:val="single" w:sz="4" w:space="0" w:color="9AA3AF" w:themeColor="accent4"/>
          <w:insideH w:val="nil"/>
          <w:insideV w:val="nil"/>
        </w:tcBorders>
        <w:shd w:val="clear" w:color="auto" w:fill="9AA3AF" w:themeFill="accent4"/>
      </w:tcPr>
    </w:tblStylePr>
    <w:tblStylePr w:type="lastRow">
      <w:rPr>
        <w:b/>
        <w:bCs/>
      </w:rPr>
      <w:tblPr/>
      <w:tcPr>
        <w:tcBorders>
          <w:top w:val="double" w:sz="4" w:space="0" w:color="9AA3AF" w:themeColor="accent4"/>
        </w:tcBorders>
      </w:tc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customStyle="1" w:styleId="GridTable4-Accent51">
    <w:name w:val="Grid Table 4 - Accent 5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D9E5BB" w:themeColor="accent5" w:themeTint="99"/>
        <w:left w:val="single" w:sz="4" w:space="0" w:color="D9E5BB" w:themeColor="accent5" w:themeTint="99"/>
        <w:bottom w:val="single" w:sz="4" w:space="0" w:color="D9E5BB" w:themeColor="accent5" w:themeTint="99"/>
        <w:right w:val="single" w:sz="4" w:space="0" w:color="D9E5BB" w:themeColor="accent5" w:themeTint="99"/>
        <w:insideH w:val="single" w:sz="4" w:space="0" w:color="D9E5BB" w:themeColor="accent5" w:themeTint="99"/>
        <w:insideV w:val="single" w:sz="4" w:space="0" w:color="D9E5BB" w:themeColor="accent5" w:themeTint="99"/>
      </w:tblBorders>
    </w:tblPr>
    <w:tblStylePr w:type="firstRow">
      <w:rPr>
        <w:b/>
        <w:bCs/>
        <w:color w:val="FFFFFF" w:themeColor="background1"/>
      </w:rPr>
      <w:tblPr/>
      <w:tcPr>
        <w:tcBorders>
          <w:top w:val="single" w:sz="4" w:space="0" w:color="C0D48F" w:themeColor="accent5"/>
          <w:left w:val="single" w:sz="4" w:space="0" w:color="C0D48F" w:themeColor="accent5"/>
          <w:bottom w:val="single" w:sz="4" w:space="0" w:color="C0D48F" w:themeColor="accent5"/>
          <w:right w:val="single" w:sz="4" w:space="0" w:color="C0D48F" w:themeColor="accent5"/>
          <w:insideH w:val="nil"/>
          <w:insideV w:val="nil"/>
        </w:tcBorders>
        <w:shd w:val="clear" w:color="auto" w:fill="C0D48F" w:themeFill="accent5"/>
      </w:tcPr>
    </w:tblStylePr>
    <w:tblStylePr w:type="lastRow">
      <w:rPr>
        <w:b/>
        <w:bCs/>
      </w:rPr>
      <w:tblPr/>
      <w:tcPr>
        <w:tcBorders>
          <w:top w:val="double" w:sz="4" w:space="0" w:color="C0D48F" w:themeColor="accent5"/>
        </w:tcBorders>
      </w:tc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customStyle="1" w:styleId="GridTable4-Accent61">
    <w:name w:val="Grid Table 4 - Accent 6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A8D9C0" w:themeColor="accent6" w:themeTint="99"/>
        <w:left w:val="single" w:sz="4" w:space="0" w:color="A8D9C0" w:themeColor="accent6" w:themeTint="99"/>
        <w:bottom w:val="single" w:sz="4" w:space="0" w:color="A8D9C0" w:themeColor="accent6" w:themeTint="99"/>
        <w:right w:val="single" w:sz="4" w:space="0" w:color="A8D9C0" w:themeColor="accent6" w:themeTint="99"/>
        <w:insideH w:val="single" w:sz="4" w:space="0" w:color="A8D9C0" w:themeColor="accent6" w:themeTint="99"/>
        <w:insideV w:val="single" w:sz="4" w:space="0" w:color="A8D9C0" w:themeColor="accent6" w:themeTint="99"/>
      </w:tblBorders>
    </w:tblPr>
    <w:tblStylePr w:type="firstRow">
      <w:rPr>
        <w:b/>
        <w:bCs/>
        <w:color w:val="FFFFFF" w:themeColor="background1"/>
      </w:rPr>
      <w:tblPr/>
      <w:tcPr>
        <w:tcBorders>
          <w:top w:val="single" w:sz="4" w:space="0" w:color="6FC197" w:themeColor="accent6"/>
          <w:left w:val="single" w:sz="4" w:space="0" w:color="6FC197" w:themeColor="accent6"/>
          <w:bottom w:val="single" w:sz="4" w:space="0" w:color="6FC197" w:themeColor="accent6"/>
          <w:right w:val="single" w:sz="4" w:space="0" w:color="6FC197" w:themeColor="accent6"/>
          <w:insideH w:val="nil"/>
          <w:insideV w:val="nil"/>
        </w:tcBorders>
        <w:shd w:val="clear" w:color="auto" w:fill="6FC197" w:themeFill="accent6"/>
      </w:tcPr>
    </w:tblStylePr>
    <w:tblStylePr w:type="lastRow">
      <w:rPr>
        <w:b/>
        <w:bCs/>
      </w:rPr>
      <w:tblPr/>
      <w:tcPr>
        <w:tcBorders>
          <w:top w:val="double" w:sz="4" w:space="0" w:color="6FC197" w:themeColor="accent6"/>
        </w:tcBorders>
      </w:tc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customStyle="1" w:styleId="GridTable5Dark1">
    <w:name w:val="Grid Table 5 Dark1"/>
    <w:basedOn w:val="TableNormal"/>
    <w:uiPriority w:val="50"/>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CC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81E3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81E3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81E3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81E3E" w:themeFill="accent1"/>
      </w:tcPr>
    </w:tblStylePr>
    <w:tblStylePr w:type="band1Vert">
      <w:tblPr/>
      <w:tcPr>
        <w:shd w:val="clear" w:color="auto" w:fill="6399EB" w:themeFill="accent1" w:themeFillTint="66"/>
      </w:tcPr>
    </w:tblStylePr>
    <w:tblStylePr w:type="band1Horz">
      <w:tblPr/>
      <w:tcPr>
        <w:shd w:val="clear" w:color="auto" w:fill="6399EB" w:themeFill="accent1" w:themeFillTint="66"/>
      </w:tcPr>
    </w:tblStylePr>
  </w:style>
  <w:style w:type="table" w:customStyle="1" w:styleId="GridTable5Dark-Accent21">
    <w:name w:val="Grid Table 5 Dark - Accent 21"/>
    <w:basedOn w:val="TableNormal"/>
    <w:uiPriority w:val="50"/>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B3B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B3B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B3B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B3B5" w:themeFill="accent2"/>
      </w:tcPr>
    </w:tblStylePr>
    <w:tblStylePr w:type="band1Vert">
      <w:tblPr/>
      <w:tcPr>
        <w:shd w:val="clear" w:color="auto" w:fill="B6E0E1" w:themeFill="accent2" w:themeFillTint="66"/>
      </w:tcPr>
    </w:tblStylePr>
    <w:tblStylePr w:type="band1Horz">
      <w:tblPr/>
      <w:tcPr>
        <w:shd w:val="clear" w:color="auto" w:fill="B6E0E1" w:themeFill="accent2" w:themeFillTint="66"/>
      </w:tcPr>
    </w:tblStylePr>
  </w:style>
  <w:style w:type="table" w:customStyle="1" w:styleId="GridTable5Dark-Accent31">
    <w:name w:val="Grid Table 5 Dark - Accent 31"/>
    <w:basedOn w:val="TableNormal"/>
    <w:uiPriority w:val="50"/>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5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7D1F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7D1F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7D1F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7D1F4" w:themeFill="accent3"/>
      </w:tcPr>
    </w:tblStylePr>
    <w:tblStylePr w:type="band1Vert">
      <w:tblPr/>
      <w:tcPr>
        <w:shd w:val="clear" w:color="auto" w:fill="C8ECFA" w:themeFill="accent3" w:themeFillTint="66"/>
      </w:tcPr>
    </w:tblStylePr>
    <w:tblStylePr w:type="band1Horz">
      <w:tblPr/>
      <w:tcPr>
        <w:shd w:val="clear" w:color="auto" w:fill="C8ECFA" w:themeFill="accent3" w:themeFillTint="66"/>
      </w:tcPr>
    </w:tblStylePr>
  </w:style>
  <w:style w:type="table" w:customStyle="1" w:styleId="GridTable5Dark-Accent41">
    <w:name w:val="Grid Table 5 Dark - Accent 41"/>
    <w:basedOn w:val="TableNormal"/>
    <w:uiPriority w:val="50"/>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CE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A3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A3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A3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A3AF" w:themeFill="accent4"/>
      </w:tcPr>
    </w:tblStylePr>
    <w:tblStylePr w:type="band1Vert">
      <w:tblPr/>
      <w:tcPr>
        <w:shd w:val="clear" w:color="auto" w:fill="D6DADF" w:themeFill="accent4" w:themeFillTint="66"/>
      </w:tcPr>
    </w:tblStylePr>
    <w:tblStylePr w:type="band1Horz">
      <w:tblPr/>
      <w:tcPr>
        <w:shd w:val="clear" w:color="auto" w:fill="D6DADF" w:themeFill="accent4" w:themeFillTint="66"/>
      </w:tcPr>
    </w:tblStylePr>
  </w:style>
  <w:style w:type="table" w:customStyle="1" w:styleId="GridTable5Dark-Accent51">
    <w:name w:val="Grid Table 5 Dark - Accent 51"/>
    <w:basedOn w:val="TableNormal"/>
    <w:uiPriority w:val="50"/>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6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D48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D48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D48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D48F" w:themeFill="accent5"/>
      </w:tcPr>
    </w:tblStylePr>
    <w:tblStylePr w:type="band1Vert">
      <w:tblPr/>
      <w:tcPr>
        <w:shd w:val="clear" w:color="auto" w:fill="E5EDD2" w:themeFill="accent5" w:themeFillTint="66"/>
      </w:tcPr>
    </w:tblStylePr>
    <w:tblStylePr w:type="band1Horz">
      <w:tblPr/>
      <w:tcPr>
        <w:shd w:val="clear" w:color="auto" w:fill="E5EDD2" w:themeFill="accent5" w:themeFillTint="66"/>
      </w:tcPr>
    </w:tblStylePr>
  </w:style>
  <w:style w:type="table" w:customStyle="1" w:styleId="GridTable5Dark-Accent61">
    <w:name w:val="Grid Table 5 Dark - Accent 61"/>
    <w:basedOn w:val="TableNormal"/>
    <w:uiPriority w:val="50"/>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2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C19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C19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C19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C197" w:themeFill="accent6"/>
      </w:tcPr>
    </w:tblStylePr>
    <w:tblStylePr w:type="band1Vert">
      <w:tblPr/>
      <w:tcPr>
        <w:shd w:val="clear" w:color="auto" w:fill="C5E6D5" w:themeFill="accent6" w:themeFillTint="66"/>
      </w:tcPr>
    </w:tblStylePr>
    <w:tblStylePr w:type="band1Horz">
      <w:tblPr/>
      <w:tcPr>
        <w:shd w:val="clear" w:color="auto" w:fill="C5E6D5" w:themeFill="accent6" w:themeFillTint="66"/>
      </w:tcPr>
    </w:tblStylePr>
  </w:style>
  <w:style w:type="table" w:customStyle="1" w:styleId="GridTable6Colorful1">
    <w:name w:val="Grid Table 6 Colorful1"/>
    <w:basedOn w:val="TableNormal"/>
    <w:uiPriority w:val="51"/>
    <w:rsid w:val="00223F09"/>
    <w:pPr>
      <w:spacing w:before="0" w:after="0"/>
    </w:pPr>
    <w:rPr>
      <w:rFonts w:ascii="Times New Roman" w:eastAsia="Times New Roman" w:hAnsi="Times New Roman" w:cs="Times New Roman"/>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223F09"/>
    <w:pPr>
      <w:spacing w:before="0" w:after="0"/>
    </w:pPr>
    <w:rPr>
      <w:rFonts w:ascii="Times New Roman" w:eastAsia="Times New Roman" w:hAnsi="Times New Roman" w:cs="Times New Roman"/>
      <w:color w:val="06162E" w:themeColor="accent1" w:themeShade="BF"/>
      <w:lang w:eastAsia="en-AU"/>
    </w:rPr>
    <w:tblPr>
      <w:tblStyleRowBandSize w:val="1"/>
      <w:tblStyleColBandSize w:val="1"/>
      <w:tblBorders>
        <w:top w:val="single" w:sz="4" w:space="0" w:color="1C68D9" w:themeColor="accent1" w:themeTint="99"/>
        <w:left w:val="single" w:sz="4" w:space="0" w:color="1C68D9" w:themeColor="accent1" w:themeTint="99"/>
        <w:bottom w:val="single" w:sz="4" w:space="0" w:color="1C68D9" w:themeColor="accent1" w:themeTint="99"/>
        <w:right w:val="single" w:sz="4" w:space="0" w:color="1C68D9" w:themeColor="accent1" w:themeTint="99"/>
        <w:insideH w:val="single" w:sz="4" w:space="0" w:color="1C68D9" w:themeColor="accent1" w:themeTint="99"/>
        <w:insideV w:val="single" w:sz="4" w:space="0" w:color="1C68D9" w:themeColor="accent1" w:themeTint="99"/>
      </w:tblBorders>
    </w:tblPr>
    <w:tblStylePr w:type="firstRow">
      <w:rPr>
        <w:b/>
        <w:bCs/>
      </w:rPr>
      <w:tblPr/>
      <w:tcPr>
        <w:tcBorders>
          <w:bottom w:val="single" w:sz="12" w:space="0" w:color="1C68D9" w:themeColor="accent1" w:themeTint="99"/>
        </w:tcBorders>
      </w:tcPr>
    </w:tblStylePr>
    <w:tblStylePr w:type="lastRow">
      <w:rPr>
        <w:b/>
        <w:bCs/>
      </w:rPr>
      <w:tblPr/>
      <w:tcPr>
        <w:tcBorders>
          <w:top w:val="double" w:sz="4" w:space="0" w:color="1C68D9" w:themeColor="accent1" w:themeTint="99"/>
        </w:tcBorders>
      </w:tc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table" w:customStyle="1" w:styleId="GridTable6Colorful-Accent21">
    <w:name w:val="Grid Table 6 Colorful - Accent 21"/>
    <w:basedOn w:val="TableNormal"/>
    <w:uiPriority w:val="51"/>
    <w:rsid w:val="00223F09"/>
    <w:pPr>
      <w:spacing w:before="0" w:after="0"/>
    </w:pPr>
    <w:rPr>
      <w:rFonts w:ascii="Times New Roman" w:eastAsia="Times New Roman" w:hAnsi="Times New Roman" w:cs="Times New Roman"/>
      <w:color w:val="388687" w:themeColor="accent2" w:themeShade="BF"/>
      <w:lang w:eastAsia="en-AU"/>
    </w:rPr>
    <w:tblPr>
      <w:tblStyleRowBandSize w:val="1"/>
      <w:tblStyleColBandSize w:val="1"/>
      <w:tblBorders>
        <w:top w:val="single" w:sz="4" w:space="0" w:color="92D1D2" w:themeColor="accent2" w:themeTint="99"/>
        <w:left w:val="single" w:sz="4" w:space="0" w:color="92D1D2" w:themeColor="accent2" w:themeTint="99"/>
        <w:bottom w:val="single" w:sz="4" w:space="0" w:color="92D1D2" w:themeColor="accent2" w:themeTint="99"/>
        <w:right w:val="single" w:sz="4" w:space="0" w:color="92D1D2" w:themeColor="accent2" w:themeTint="99"/>
        <w:insideH w:val="single" w:sz="4" w:space="0" w:color="92D1D2" w:themeColor="accent2" w:themeTint="99"/>
        <w:insideV w:val="single" w:sz="4" w:space="0" w:color="92D1D2" w:themeColor="accent2" w:themeTint="99"/>
      </w:tblBorders>
    </w:tblPr>
    <w:tblStylePr w:type="firstRow">
      <w:rPr>
        <w:b/>
        <w:bCs/>
      </w:rPr>
      <w:tblPr/>
      <w:tcPr>
        <w:tcBorders>
          <w:bottom w:val="single" w:sz="12" w:space="0" w:color="92D1D2" w:themeColor="accent2" w:themeTint="99"/>
        </w:tcBorders>
      </w:tcPr>
    </w:tblStylePr>
    <w:tblStylePr w:type="lastRow">
      <w:rPr>
        <w:b/>
        <w:bCs/>
      </w:rPr>
      <w:tblPr/>
      <w:tcPr>
        <w:tcBorders>
          <w:top w:val="double" w:sz="4" w:space="0" w:color="92D1D2" w:themeColor="accent2" w:themeTint="99"/>
        </w:tcBorders>
      </w:tcPr>
    </w:tblStylePr>
    <w:tblStylePr w:type="firstCol">
      <w:rPr>
        <w:b/>
        <w:bCs/>
      </w:rPr>
    </w:tblStylePr>
    <w:tblStylePr w:type="lastCol">
      <w:rPr>
        <w:b/>
        <w:bCs/>
      </w:rPr>
    </w:tblStylePr>
    <w:tblStylePr w:type="band1Vert">
      <w:tblPr/>
      <w:tcPr>
        <w:shd w:val="clear" w:color="auto" w:fill="DAEFF0" w:themeFill="accent2" w:themeFillTint="33"/>
      </w:tcPr>
    </w:tblStylePr>
    <w:tblStylePr w:type="band1Horz">
      <w:tblPr/>
      <w:tcPr>
        <w:shd w:val="clear" w:color="auto" w:fill="DAEFF0" w:themeFill="accent2" w:themeFillTint="33"/>
      </w:tcPr>
    </w:tblStylePr>
  </w:style>
  <w:style w:type="table" w:customStyle="1" w:styleId="GridTable6Colorful-Accent31">
    <w:name w:val="Grid Table 6 Colorful - Accent 31"/>
    <w:basedOn w:val="TableNormal"/>
    <w:uiPriority w:val="51"/>
    <w:rsid w:val="00223F09"/>
    <w:pPr>
      <w:spacing w:before="0" w:after="0"/>
    </w:pPr>
    <w:rPr>
      <w:rFonts w:ascii="Times New Roman" w:eastAsia="Times New Roman" w:hAnsi="Times New Roman" w:cs="Times New Roman"/>
      <w:color w:val="22B3ED" w:themeColor="accent3" w:themeShade="BF"/>
      <w:lang w:eastAsia="en-AU"/>
    </w:rPr>
    <w:tblPr>
      <w:tblStyleRowBandSize w:val="1"/>
      <w:tblStyleColBandSize w:val="1"/>
      <w:tblBorders>
        <w:top w:val="single" w:sz="4" w:space="0" w:color="ADE3F8" w:themeColor="accent3" w:themeTint="99"/>
        <w:left w:val="single" w:sz="4" w:space="0" w:color="ADE3F8" w:themeColor="accent3" w:themeTint="99"/>
        <w:bottom w:val="single" w:sz="4" w:space="0" w:color="ADE3F8" w:themeColor="accent3" w:themeTint="99"/>
        <w:right w:val="single" w:sz="4" w:space="0" w:color="ADE3F8" w:themeColor="accent3" w:themeTint="99"/>
        <w:insideH w:val="single" w:sz="4" w:space="0" w:color="ADE3F8" w:themeColor="accent3" w:themeTint="99"/>
        <w:insideV w:val="single" w:sz="4" w:space="0" w:color="ADE3F8" w:themeColor="accent3" w:themeTint="99"/>
      </w:tblBorders>
    </w:tblPr>
    <w:tblStylePr w:type="firstRow">
      <w:rPr>
        <w:b/>
        <w:bCs/>
      </w:rPr>
      <w:tblPr/>
      <w:tcPr>
        <w:tcBorders>
          <w:bottom w:val="single" w:sz="12" w:space="0" w:color="ADE3F8" w:themeColor="accent3" w:themeTint="99"/>
        </w:tcBorders>
      </w:tcPr>
    </w:tblStylePr>
    <w:tblStylePr w:type="lastRow">
      <w:rPr>
        <w:b/>
        <w:bCs/>
      </w:rPr>
      <w:tblPr/>
      <w:tcPr>
        <w:tcBorders>
          <w:top w:val="double" w:sz="4" w:space="0" w:color="ADE3F8" w:themeColor="accent3" w:themeTint="99"/>
        </w:tcBorders>
      </w:tc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customStyle="1" w:styleId="GridTable6Colorful-Accent41">
    <w:name w:val="Grid Table 6 Colorful - Accent 41"/>
    <w:basedOn w:val="TableNormal"/>
    <w:uiPriority w:val="51"/>
    <w:rsid w:val="00223F09"/>
    <w:pPr>
      <w:spacing w:before="0" w:after="0"/>
    </w:pPr>
    <w:rPr>
      <w:rFonts w:ascii="Times New Roman" w:eastAsia="Times New Roman" w:hAnsi="Times New Roman" w:cs="Times New Roman"/>
      <w:color w:val="6D7989" w:themeColor="accent4" w:themeShade="BF"/>
      <w:lang w:eastAsia="en-AU"/>
    </w:rPr>
    <w:tblPr>
      <w:tblStyleRowBandSize w:val="1"/>
      <w:tblStyleColBandSize w:val="1"/>
      <w:tblBorders>
        <w:top w:val="single" w:sz="4" w:space="0" w:color="C2C7CF" w:themeColor="accent4" w:themeTint="99"/>
        <w:left w:val="single" w:sz="4" w:space="0" w:color="C2C7CF" w:themeColor="accent4" w:themeTint="99"/>
        <w:bottom w:val="single" w:sz="4" w:space="0" w:color="C2C7CF" w:themeColor="accent4" w:themeTint="99"/>
        <w:right w:val="single" w:sz="4" w:space="0" w:color="C2C7CF" w:themeColor="accent4" w:themeTint="99"/>
        <w:insideH w:val="single" w:sz="4" w:space="0" w:color="C2C7CF" w:themeColor="accent4" w:themeTint="99"/>
        <w:insideV w:val="single" w:sz="4" w:space="0" w:color="C2C7CF" w:themeColor="accent4" w:themeTint="99"/>
      </w:tblBorders>
    </w:tblPr>
    <w:tblStylePr w:type="firstRow">
      <w:rPr>
        <w:b/>
        <w:bCs/>
      </w:rPr>
      <w:tblPr/>
      <w:tcPr>
        <w:tcBorders>
          <w:bottom w:val="single" w:sz="12" w:space="0" w:color="C2C7CF" w:themeColor="accent4" w:themeTint="99"/>
        </w:tcBorders>
      </w:tcPr>
    </w:tblStylePr>
    <w:tblStylePr w:type="lastRow">
      <w:rPr>
        <w:b/>
        <w:bCs/>
      </w:rPr>
      <w:tblPr/>
      <w:tcPr>
        <w:tcBorders>
          <w:top w:val="double" w:sz="4" w:space="0" w:color="C2C7CF" w:themeColor="accent4" w:themeTint="99"/>
        </w:tcBorders>
      </w:tc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customStyle="1" w:styleId="GridTable6Colorful-Accent51">
    <w:name w:val="Grid Table 6 Colorful - Accent 51"/>
    <w:basedOn w:val="TableNormal"/>
    <w:uiPriority w:val="51"/>
    <w:rsid w:val="00223F09"/>
    <w:pPr>
      <w:spacing w:before="0" w:after="0"/>
    </w:pPr>
    <w:rPr>
      <w:rFonts w:ascii="Times New Roman" w:eastAsia="Times New Roman" w:hAnsi="Times New Roman" w:cs="Times New Roman"/>
      <w:color w:val="9BBB4E" w:themeColor="accent5" w:themeShade="BF"/>
      <w:lang w:eastAsia="en-AU"/>
    </w:rPr>
    <w:tblPr>
      <w:tblStyleRowBandSize w:val="1"/>
      <w:tblStyleColBandSize w:val="1"/>
      <w:tblBorders>
        <w:top w:val="single" w:sz="4" w:space="0" w:color="D9E5BB" w:themeColor="accent5" w:themeTint="99"/>
        <w:left w:val="single" w:sz="4" w:space="0" w:color="D9E5BB" w:themeColor="accent5" w:themeTint="99"/>
        <w:bottom w:val="single" w:sz="4" w:space="0" w:color="D9E5BB" w:themeColor="accent5" w:themeTint="99"/>
        <w:right w:val="single" w:sz="4" w:space="0" w:color="D9E5BB" w:themeColor="accent5" w:themeTint="99"/>
        <w:insideH w:val="single" w:sz="4" w:space="0" w:color="D9E5BB" w:themeColor="accent5" w:themeTint="99"/>
        <w:insideV w:val="single" w:sz="4" w:space="0" w:color="D9E5BB" w:themeColor="accent5" w:themeTint="99"/>
      </w:tblBorders>
    </w:tblPr>
    <w:tblStylePr w:type="firstRow">
      <w:rPr>
        <w:b/>
        <w:bCs/>
      </w:rPr>
      <w:tblPr/>
      <w:tcPr>
        <w:tcBorders>
          <w:bottom w:val="single" w:sz="12" w:space="0" w:color="D9E5BB" w:themeColor="accent5" w:themeTint="99"/>
        </w:tcBorders>
      </w:tcPr>
    </w:tblStylePr>
    <w:tblStylePr w:type="lastRow">
      <w:rPr>
        <w:b/>
        <w:bCs/>
      </w:rPr>
      <w:tblPr/>
      <w:tcPr>
        <w:tcBorders>
          <w:top w:val="double" w:sz="4" w:space="0" w:color="D9E5BB" w:themeColor="accent5" w:themeTint="99"/>
        </w:tcBorders>
      </w:tc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customStyle="1" w:styleId="GridTable6Colorful-Accent61">
    <w:name w:val="Grid Table 6 Colorful - Accent 61"/>
    <w:basedOn w:val="TableNormal"/>
    <w:uiPriority w:val="51"/>
    <w:rsid w:val="00223F09"/>
    <w:pPr>
      <w:spacing w:before="0" w:after="0"/>
    </w:pPr>
    <w:rPr>
      <w:rFonts w:ascii="Times New Roman" w:eastAsia="Times New Roman" w:hAnsi="Times New Roman" w:cs="Times New Roman"/>
      <w:color w:val="449F70" w:themeColor="accent6" w:themeShade="BF"/>
      <w:lang w:eastAsia="en-AU"/>
    </w:rPr>
    <w:tblPr>
      <w:tblStyleRowBandSize w:val="1"/>
      <w:tblStyleColBandSize w:val="1"/>
      <w:tblBorders>
        <w:top w:val="single" w:sz="4" w:space="0" w:color="A8D9C0" w:themeColor="accent6" w:themeTint="99"/>
        <w:left w:val="single" w:sz="4" w:space="0" w:color="A8D9C0" w:themeColor="accent6" w:themeTint="99"/>
        <w:bottom w:val="single" w:sz="4" w:space="0" w:color="A8D9C0" w:themeColor="accent6" w:themeTint="99"/>
        <w:right w:val="single" w:sz="4" w:space="0" w:color="A8D9C0" w:themeColor="accent6" w:themeTint="99"/>
        <w:insideH w:val="single" w:sz="4" w:space="0" w:color="A8D9C0" w:themeColor="accent6" w:themeTint="99"/>
        <w:insideV w:val="single" w:sz="4" w:space="0" w:color="A8D9C0" w:themeColor="accent6" w:themeTint="99"/>
      </w:tblBorders>
    </w:tblPr>
    <w:tblStylePr w:type="firstRow">
      <w:rPr>
        <w:b/>
        <w:bCs/>
      </w:rPr>
      <w:tblPr/>
      <w:tcPr>
        <w:tcBorders>
          <w:bottom w:val="single" w:sz="12" w:space="0" w:color="A8D9C0" w:themeColor="accent6" w:themeTint="99"/>
        </w:tcBorders>
      </w:tcPr>
    </w:tblStylePr>
    <w:tblStylePr w:type="lastRow">
      <w:rPr>
        <w:b/>
        <w:bCs/>
      </w:rPr>
      <w:tblPr/>
      <w:tcPr>
        <w:tcBorders>
          <w:top w:val="double" w:sz="4" w:space="0" w:color="A8D9C0" w:themeColor="accent6" w:themeTint="99"/>
        </w:tcBorders>
      </w:tc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customStyle="1" w:styleId="GridTable7Colorful1">
    <w:name w:val="Grid Table 7 Colorful1"/>
    <w:basedOn w:val="TableNormal"/>
    <w:uiPriority w:val="52"/>
    <w:rsid w:val="00223F09"/>
    <w:pPr>
      <w:spacing w:before="0" w:after="0"/>
    </w:pPr>
    <w:rPr>
      <w:rFonts w:ascii="Times New Roman" w:eastAsia="Times New Roman" w:hAnsi="Times New Roman" w:cs="Times New Roman"/>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223F09"/>
    <w:pPr>
      <w:spacing w:before="0" w:after="0"/>
    </w:pPr>
    <w:rPr>
      <w:rFonts w:ascii="Times New Roman" w:eastAsia="Times New Roman" w:hAnsi="Times New Roman" w:cs="Times New Roman"/>
      <w:color w:val="06162E" w:themeColor="accent1" w:themeShade="BF"/>
      <w:lang w:eastAsia="en-AU"/>
    </w:rPr>
    <w:tblPr>
      <w:tblStyleRowBandSize w:val="1"/>
      <w:tblStyleColBandSize w:val="1"/>
      <w:tblBorders>
        <w:top w:val="single" w:sz="4" w:space="0" w:color="1C68D9" w:themeColor="accent1" w:themeTint="99"/>
        <w:left w:val="single" w:sz="4" w:space="0" w:color="1C68D9" w:themeColor="accent1" w:themeTint="99"/>
        <w:bottom w:val="single" w:sz="4" w:space="0" w:color="1C68D9" w:themeColor="accent1" w:themeTint="99"/>
        <w:right w:val="single" w:sz="4" w:space="0" w:color="1C68D9" w:themeColor="accent1" w:themeTint="99"/>
        <w:insideH w:val="single" w:sz="4" w:space="0" w:color="1C68D9" w:themeColor="accent1" w:themeTint="99"/>
        <w:insideV w:val="single" w:sz="4" w:space="0" w:color="1C68D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CCF5" w:themeFill="accent1" w:themeFillTint="33"/>
      </w:tcPr>
    </w:tblStylePr>
    <w:tblStylePr w:type="band1Horz">
      <w:tblPr/>
      <w:tcPr>
        <w:shd w:val="clear" w:color="auto" w:fill="B1CCF5" w:themeFill="accent1" w:themeFillTint="33"/>
      </w:tcPr>
    </w:tblStylePr>
    <w:tblStylePr w:type="neCell">
      <w:tblPr/>
      <w:tcPr>
        <w:tcBorders>
          <w:bottom w:val="single" w:sz="4" w:space="0" w:color="1C68D9" w:themeColor="accent1" w:themeTint="99"/>
        </w:tcBorders>
      </w:tcPr>
    </w:tblStylePr>
    <w:tblStylePr w:type="nwCell">
      <w:tblPr/>
      <w:tcPr>
        <w:tcBorders>
          <w:bottom w:val="single" w:sz="4" w:space="0" w:color="1C68D9" w:themeColor="accent1" w:themeTint="99"/>
        </w:tcBorders>
      </w:tcPr>
    </w:tblStylePr>
    <w:tblStylePr w:type="seCell">
      <w:tblPr/>
      <w:tcPr>
        <w:tcBorders>
          <w:top w:val="single" w:sz="4" w:space="0" w:color="1C68D9" w:themeColor="accent1" w:themeTint="99"/>
        </w:tcBorders>
      </w:tcPr>
    </w:tblStylePr>
    <w:tblStylePr w:type="swCell">
      <w:tblPr/>
      <w:tcPr>
        <w:tcBorders>
          <w:top w:val="single" w:sz="4" w:space="0" w:color="1C68D9" w:themeColor="accent1" w:themeTint="99"/>
        </w:tcBorders>
      </w:tcPr>
    </w:tblStylePr>
  </w:style>
  <w:style w:type="table" w:customStyle="1" w:styleId="GridTable7Colorful-Accent21">
    <w:name w:val="Grid Table 7 Colorful - Accent 21"/>
    <w:basedOn w:val="TableNormal"/>
    <w:uiPriority w:val="52"/>
    <w:rsid w:val="00223F09"/>
    <w:pPr>
      <w:spacing w:before="0" w:after="0"/>
    </w:pPr>
    <w:rPr>
      <w:rFonts w:ascii="Times New Roman" w:eastAsia="Times New Roman" w:hAnsi="Times New Roman" w:cs="Times New Roman"/>
      <w:color w:val="388687" w:themeColor="accent2" w:themeShade="BF"/>
      <w:lang w:eastAsia="en-AU"/>
    </w:rPr>
    <w:tblPr>
      <w:tblStyleRowBandSize w:val="1"/>
      <w:tblStyleColBandSize w:val="1"/>
      <w:tblBorders>
        <w:top w:val="single" w:sz="4" w:space="0" w:color="92D1D2" w:themeColor="accent2" w:themeTint="99"/>
        <w:left w:val="single" w:sz="4" w:space="0" w:color="92D1D2" w:themeColor="accent2" w:themeTint="99"/>
        <w:bottom w:val="single" w:sz="4" w:space="0" w:color="92D1D2" w:themeColor="accent2" w:themeTint="99"/>
        <w:right w:val="single" w:sz="4" w:space="0" w:color="92D1D2" w:themeColor="accent2" w:themeTint="99"/>
        <w:insideH w:val="single" w:sz="4" w:space="0" w:color="92D1D2" w:themeColor="accent2" w:themeTint="99"/>
        <w:insideV w:val="single" w:sz="4" w:space="0" w:color="92D1D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F0" w:themeFill="accent2" w:themeFillTint="33"/>
      </w:tcPr>
    </w:tblStylePr>
    <w:tblStylePr w:type="band1Horz">
      <w:tblPr/>
      <w:tcPr>
        <w:shd w:val="clear" w:color="auto" w:fill="DAEFF0" w:themeFill="accent2" w:themeFillTint="33"/>
      </w:tcPr>
    </w:tblStylePr>
    <w:tblStylePr w:type="neCell">
      <w:tblPr/>
      <w:tcPr>
        <w:tcBorders>
          <w:bottom w:val="single" w:sz="4" w:space="0" w:color="92D1D2" w:themeColor="accent2" w:themeTint="99"/>
        </w:tcBorders>
      </w:tcPr>
    </w:tblStylePr>
    <w:tblStylePr w:type="nwCell">
      <w:tblPr/>
      <w:tcPr>
        <w:tcBorders>
          <w:bottom w:val="single" w:sz="4" w:space="0" w:color="92D1D2" w:themeColor="accent2" w:themeTint="99"/>
        </w:tcBorders>
      </w:tcPr>
    </w:tblStylePr>
    <w:tblStylePr w:type="seCell">
      <w:tblPr/>
      <w:tcPr>
        <w:tcBorders>
          <w:top w:val="single" w:sz="4" w:space="0" w:color="92D1D2" w:themeColor="accent2" w:themeTint="99"/>
        </w:tcBorders>
      </w:tcPr>
    </w:tblStylePr>
    <w:tblStylePr w:type="swCell">
      <w:tblPr/>
      <w:tcPr>
        <w:tcBorders>
          <w:top w:val="single" w:sz="4" w:space="0" w:color="92D1D2" w:themeColor="accent2" w:themeTint="99"/>
        </w:tcBorders>
      </w:tcPr>
    </w:tblStylePr>
  </w:style>
  <w:style w:type="table" w:customStyle="1" w:styleId="GridTable7Colorful-Accent31">
    <w:name w:val="Grid Table 7 Colorful - Accent 31"/>
    <w:basedOn w:val="TableNormal"/>
    <w:uiPriority w:val="52"/>
    <w:rsid w:val="00223F09"/>
    <w:pPr>
      <w:spacing w:before="0" w:after="0"/>
    </w:pPr>
    <w:rPr>
      <w:rFonts w:ascii="Times New Roman" w:eastAsia="Times New Roman" w:hAnsi="Times New Roman" w:cs="Times New Roman"/>
      <w:color w:val="22B3ED" w:themeColor="accent3" w:themeShade="BF"/>
      <w:lang w:eastAsia="en-AU"/>
    </w:rPr>
    <w:tblPr>
      <w:tblStyleRowBandSize w:val="1"/>
      <w:tblStyleColBandSize w:val="1"/>
      <w:tblBorders>
        <w:top w:val="single" w:sz="4" w:space="0" w:color="ADE3F8" w:themeColor="accent3" w:themeTint="99"/>
        <w:left w:val="single" w:sz="4" w:space="0" w:color="ADE3F8" w:themeColor="accent3" w:themeTint="99"/>
        <w:bottom w:val="single" w:sz="4" w:space="0" w:color="ADE3F8" w:themeColor="accent3" w:themeTint="99"/>
        <w:right w:val="single" w:sz="4" w:space="0" w:color="ADE3F8" w:themeColor="accent3" w:themeTint="99"/>
        <w:insideH w:val="single" w:sz="4" w:space="0" w:color="ADE3F8" w:themeColor="accent3" w:themeTint="99"/>
        <w:insideV w:val="single" w:sz="4" w:space="0" w:color="ADE3F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5FC" w:themeFill="accent3" w:themeFillTint="33"/>
      </w:tcPr>
    </w:tblStylePr>
    <w:tblStylePr w:type="band1Horz">
      <w:tblPr/>
      <w:tcPr>
        <w:shd w:val="clear" w:color="auto" w:fill="E3F5FC" w:themeFill="accent3" w:themeFillTint="33"/>
      </w:tcPr>
    </w:tblStylePr>
    <w:tblStylePr w:type="neCell">
      <w:tblPr/>
      <w:tcPr>
        <w:tcBorders>
          <w:bottom w:val="single" w:sz="4" w:space="0" w:color="ADE3F8" w:themeColor="accent3" w:themeTint="99"/>
        </w:tcBorders>
      </w:tcPr>
    </w:tblStylePr>
    <w:tblStylePr w:type="nwCell">
      <w:tblPr/>
      <w:tcPr>
        <w:tcBorders>
          <w:bottom w:val="single" w:sz="4" w:space="0" w:color="ADE3F8" w:themeColor="accent3" w:themeTint="99"/>
        </w:tcBorders>
      </w:tcPr>
    </w:tblStylePr>
    <w:tblStylePr w:type="seCell">
      <w:tblPr/>
      <w:tcPr>
        <w:tcBorders>
          <w:top w:val="single" w:sz="4" w:space="0" w:color="ADE3F8" w:themeColor="accent3" w:themeTint="99"/>
        </w:tcBorders>
      </w:tcPr>
    </w:tblStylePr>
    <w:tblStylePr w:type="swCell">
      <w:tblPr/>
      <w:tcPr>
        <w:tcBorders>
          <w:top w:val="single" w:sz="4" w:space="0" w:color="ADE3F8" w:themeColor="accent3" w:themeTint="99"/>
        </w:tcBorders>
      </w:tcPr>
    </w:tblStylePr>
  </w:style>
  <w:style w:type="table" w:customStyle="1" w:styleId="GridTable7Colorful-Accent41">
    <w:name w:val="Grid Table 7 Colorful - Accent 41"/>
    <w:basedOn w:val="TableNormal"/>
    <w:uiPriority w:val="52"/>
    <w:rsid w:val="00223F09"/>
    <w:pPr>
      <w:spacing w:before="0" w:after="0"/>
    </w:pPr>
    <w:rPr>
      <w:rFonts w:ascii="Times New Roman" w:eastAsia="Times New Roman" w:hAnsi="Times New Roman" w:cs="Times New Roman"/>
      <w:color w:val="6D7989" w:themeColor="accent4" w:themeShade="BF"/>
      <w:lang w:eastAsia="en-AU"/>
    </w:rPr>
    <w:tblPr>
      <w:tblStyleRowBandSize w:val="1"/>
      <w:tblStyleColBandSize w:val="1"/>
      <w:tblBorders>
        <w:top w:val="single" w:sz="4" w:space="0" w:color="C2C7CF" w:themeColor="accent4" w:themeTint="99"/>
        <w:left w:val="single" w:sz="4" w:space="0" w:color="C2C7CF" w:themeColor="accent4" w:themeTint="99"/>
        <w:bottom w:val="single" w:sz="4" w:space="0" w:color="C2C7CF" w:themeColor="accent4" w:themeTint="99"/>
        <w:right w:val="single" w:sz="4" w:space="0" w:color="C2C7CF" w:themeColor="accent4" w:themeTint="99"/>
        <w:insideH w:val="single" w:sz="4" w:space="0" w:color="C2C7CF" w:themeColor="accent4" w:themeTint="99"/>
        <w:insideV w:val="single" w:sz="4" w:space="0" w:color="C2C7C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CEF" w:themeFill="accent4" w:themeFillTint="33"/>
      </w:tcPr>
    </w:tblStylePr>
    <w:tblStylePr w:type="band1Horz">
      <w:tblPr/>
      <w:tcPr>
        <w:shd w:val="clear" w:color="auto" w:fill="EAECEF" w:themeFill="accent4" w:themeFillTint="33"/>
      </w:tcPr>
    </w:tblStylePr>
    <w:tblStylePr w:type="neCell">
      <w:tblPr/>
      <w:tcPr>
        <w:tcBorders>
          <w:bottom w:val="single" w:sz="4" w:space="0" w:color="C2C7CF" w:themeColor="accent4" w:themeTint="99"/>
        </w:tcBorders>
      </w:tcPr>
    </w:tblStylePr>
    <w:tblStylePr w:type="nwCell">
      <w:tblPr/>
      <w:tcPr>
        <w:tcBorders>
          <w:bottom w:val="single" w:sz="4" w:space="0" w:color="C2C7CF" w:themeColor="accent4" w:themeTint="99"/>
        </w:tcBorders>
      </w:tcPr>
    </w:tblStylePr>
    <w:tblStylePr w:type="seCell">
      <w:tblPr/>
      <w:tcPr>
        <w:tcBorders>
          <w:top w:val="single" w:sz="4" w:space="0" w:color="C2C7CF" w:themeColor="accent4" w:themeTint="99"/>
        </w:tcBorders>
      </w:tcPr>
    </w:tblStylePr>
    <w:tblStylePr w:type="swCell">
      <w:tblPr/>
      <w:tcPr>
        <w:tcBorders>
          <w:top w:val="single" w:sz="4" w:space="0" w:color="C2C7CF" w:themeColor="accent4" w:themeTint="99"/>
        </w:tcBorders>
      </w:tcPr>
    </w:tblStylePr>
  </w:style>
  <w:style w:type="table" w:customStyle="1" w:styleId="GridTable7Colorful-Accent51">
    <w:name w:val="Grid Table 7 Colorful - Accent 51"/>
    <w:basedOn w:val="TableNormal"/>
    <w:uiPriority w:val="52"/>
    <w:rsid w:val="00223F09"/>
    <w:pPr>
      <w:spacing w:before="0" w:after="0"/>
    </w:pPr>
    <w:rPr>
      <w:rFonts w:ascii="Times New Roman" w:eastAsia="Times New Roman" w:hAnsi="Times New Roman" w:cs="Times New Roman"/>
      <w:color w:val="9BBB4E" w:themeColor="accent5" w:themeShade="BF"/>
      <w:lang w:eastAsia="en-AU"/>
    </w:rPr>
    <w:tblPr>
      <w:tblStyleRowBandSize w:val="1"/>
      <w:tblStyleColBandSize w:val="1"/>
      <w:tblBorders>
        <w:top w:val="single" w:sz="4" w:space="0" w:color="D9E5BB" w:themeColor="accent5" w:themeTint="99"/>
        <w:left w:val="single" w:sz="4" w:space="0" w:color="D9E5BB" w:themeColor="accent5" w:themeTint="99"/>
        <w:bottom w:val="single" w:sz="4" w:space="0" w:color="D9E5BB" w:themeColor="accent5" w:themeTint="99"/>
        <w:right w:val="single" w:sz="4" w:space="0" w:color="D9E5BB" w:themeColor="accent5" w:themeTint="99"/>
        <w:insideH w:val="single" w:sz="4" w:space="0" w:color="D9E5BB" w:themeColor="accent5" w:themeTint="99"/>
        <w:insideV w:val="single" w:sz="4" w:space="0" w:color="D9E5B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6E8" w:themeFill="accent5" w:themeFillTint="33"/>
      </w:tcPr>
    </w:tblStylePr>
    <w:tblStylePr w:type="band1Horz">
      <w:tblPr/>
      <w:tcPr>
        <w:shd w:val="clear" w:color="auto" w:fill="F2F6E8" w:themeFill="accent5" w:themeFillTint="33"/>
      </w:tcPr>
    </w:tblStylePr>
    <w:tblStylePr w:type="neCell">
      <w:tblPr/>
      <w:tcPr>
        <w:tcBorders>
          <w:bottom w:val="single" w:sz="4" w:space="0" w:color="D9E5BB" w:themeColor="accent5" w:themeTint="99"/>
        </w:tcBorders>
      </w:tcPr>
    </w:tblStylePr>
    <w:tblStylePr w:type="nwCell">
      <w:tblPr/>
      <w:tcPr>
        <w:tcBorders>
          <w:bottom w:val="single" w:sz="4" w:space="0" w:color="D9E5BB" w:themeColor="accent5" w:themeTint="99"/>
        </w:tcBorders>
      </w:tcPr>
    </w:tblStylePr>
    <w:tblStylePr w:type="seCell">
      <w:tblPr/>
      <w:tcPr>
        <w:tcBorders>
          <w:top w:val="single" w:sz="4" w:space="0" w:color="D9E5BB" w:themeColor="accent5" w:themeTint="99"/>
        </w:tcBorders>
      </w:tcPr>
    </w:tblStylePr>
    <w:tblStylePr w:type="swCell">
      <w:tblPr/>
      <w:tcPr>
        <w:tcBorders>
          <w:top w:val="single" w:sz="4" w:space="0" w:color="D9E5BB" w:themeColor="accent5" w:themeTint="99"/>
        </w:tcBorders>
      </w:tcPr>
    </w:tblStylePr>
  </w:style>
  <w:style w:type="table" w:customStyle="1" w:styleId="GridTable7Colorful-Accent61">
    <w:name w:val="Grid Table 7 Colorful - Accent 61"/>
    <w:basedOn w:val="TableNormal"/>
    <w:uiPriority w:val="52"/>
    <w:rsid w:val="00223F09"/>
    <w:pPr>
      <w:spacing w:before="0" w:after="0"/>
    </w:pPr>
    <w:rPr>
      <w:rFonts w:ascii="Times New Roman" w:eastAsia="Times New Roman" w:hAnsi="Times New Roman" w:cs="Times New Roman"/>
      <w:color w:val="449F70" w:themeColor="accent6" w:themeShade="BF"/>
      <w:lang w:eastAsia="en-AU"/>
    </w:rPr>
    <w:tblPr>
      <w:tblStyleRowBandSize w:val="1"/>
      <w:tblStyleColBandSize w:val="1"/>
      <w:tblBorders>
        <w:top w:val="single" w:sz="4" w:space="0" w:color="A8D9C0" w:themeColor="accent6" w:themeTint="99"/>
        <w:left w:val="single" w:sz="4" w:space="0" w:color="A8D9C0" w:themeColor="accent6" w:themeTint="99"/>
        <w:bottom w:val="single" w:sz="4" w:space="0" w:color="A8D9C0" w:themeColor="accent6" w:themeTint="99"/>
        <w:right w:val="single" w:sz="4" w:space="0" w:color="A8D9C0" w:themeColor="accent6" w:themeTint="99"/>
        <w:insideH w:val="single" w:sz="4" w:space="0" w:color="A8D9C0" w:themeColor="accent6" w:themeTint="99"/>
        <w:insideV w:val="single" w:sz="4" w:space="0" w:color="A8D9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2EA" w:themeFill="accent6" w:themeFillTint="33"/>
      </w:tcPr>
    </w:tblStylePr>
    <w:tblStylePr w:type="band1Horz">
      <w:tblPr/>
      <w:tcPr>
        <w:shd w:val="clear" w:color="auto" w:fill="E2F2EA" w:themeFill="accent6" w:themeFillTint="33"/>
      </w:tcPr>
    </w:tblStylePr>
    <w:tblStylePr w:type="neCell">
      <w:tblPr/>
      <w:tcPr>
        <w:tcBorders>
          <w:bottom w:val="single" w:sz="4" w:space="0" w:color="A8D9C0" w:themeColor="accent6" w:themeTint="99"/>
        </w:tcBorders>
      </w:tcPr>
    </w:tblStylePr>
    <w:tblStylePr w:type="nwCell">
      <w:tblPr/>
      <w:tcPr>
        <w:tcBorders>
          <w:bottom w:val="single" w:sz="4" w:space="0" w:color="A8D9C0" w:themeColor="accent6" w:themeTint="99"/>
        </w:tcBorders>
      </w:tcPr>
    </w:tblStylePr>
    <w:tblStylePr w:type="seCell">
      <w:tblPr/>
      <w:tcPr>
        <w:tcBorders>
          <w:top w:val="single" w:sz="4" w:space="0" w:color="A8D9C0" w:themeColor="accent6" w:themeTint="99"/>
        </w:tcBorders>
      </w:tcPr>
    </w:tblStylePr>
    <w:tblStylePr w:type="swCell">
      <w:tblPr/>
      <w:tcPr>
        <w:tcBorders>
          <w:top w:val="single" w:sz="4" w:space="0" w:color="A8D9C0" w:themeColor="accent6" w:themeTint="99"/>
        </w:tcBorders>
      </w:tcPr>
    </w:tblStylePr>
  </w:style>
  <w:style w:type="character" w:styleId="HTMLAcronym">
    <w:name w:val="HTML Acronym"/>
    <w:basedOn w:val="DefaultParagraphFont"/>
    <w:uiPriority w:val="99"/>
    <w:semiHidden/>
    <w:unhideWhenUsed/>
    <w:rsid w:val="00223F09"/>
  </w:style>
  <w:style w:type="character" w:styleId="HTMLCite">
    <w:name w:val="HTML Cite"/>
    <w:basedOn w:val="DefaultParagraphFont"/>
    <w:uiPriority w:val="99"/>
    <w:semiHidden/>
    <w:unhideWhenUsed/>
    <w:rsid w:val="00223F09"/>
    <w:rPr>
      <w:i/>
      <w:iCs/>
    </w:rPr>
  </w:style>
  <w:style w:type="character" w:styleId="HTMLCode">
    <w:name w:val="HTML Code"/>
    <w:basedOn w:val="DefaultParagraphFont"/>
    <w:uiPriority w:val="99"/>
    <w:semiHidden/>
    <w:unhideWhenUsed/>
    <w:rsid w:val="00223F09"/>
    <w:rPr>
      <w:rFonts w:ascii="Courier New" w:hAnsi="Courier New" w:cs="Courier New"/>
      <w:sz w:val="20"/>
      <w:szCs w:val="20"/>
    </w:rPr>
  </w:style>
  <w:style w:type="character" w:styleId="HTMLDefinition">
    <w:name w:val="HTML Definition"/>
    <w:basedOn w:val="DefaultParagraphFont"/>
    <w:uiPriority w:val="99"/>
    <w:semiHidden/>
    <w:unhideWhenUsed/>
    <w:rsid w:val="00223F09"/>
    <w:rPr>
      <w:i/>
      <w:iCs/>
    </w:rPr>
  </w:style>
  <w:style w:type="character" w:styleId="HTMLKeyboard">
    <w:name w:val="HTML Keyboard"/>
    <w:basedOn w:val="DefaultParagraphFont"/>
    <w:uiPriority w:val="99"/>
    <w:semiHidden/>
    <w:unhideWhenUsed/>
    <w:rsid w:val="00223F09"/>
    <w:rPr>
      <w:rFonts w:ascii="Courier New" w:hAnsi="Courier New" w:cs="Courier New"/>
      <w:sz w:val="20"/>
      <w:szCs w:val="20"/>
    </w:rPr>
  </w:style>
  <w:style w:type="character" w:styleId="HTMLSample">
    <w:name w:val="HTML Sample"/>
    <w:basedOn w:val="DefaultParagraphFont"/>
    <w:uiPriority w:val="99"/>
    <w:semiHidden/>
    <w:unhideWhenUsed/>
    <w:rsid w:val="00223F09"/>
    <w:rPr>
      <w:rFonts w:ascii="Courier New" w:hAnsi="Courier New" w:cs="Courier New"/>
    </w:rPr>
  </w:style>
  <w:style w:type="character" w:styleId="HTMLTypewriter">
    <w:name w:val="HTML Typewriter"/>
    <w:basedOn w:val="DefaultParagraphFont"/>
    <w:uiPriority w:val="99"/>
    <w:semiHidden/>
    <w:unhideWhenUsed/>
    <w:rsid w:val="00223F09"/>
    <w:rPr>
      <w:rFonts w:ascii="Courier New" w:hAnsi="Courier New" w:cs="Courier New"/>
      <w:sz w:val="20"/>
      <w:szCs w:val="20"/>
    </w:rPr>
  </w:style>
  <w:style w:type="character" w:styleId="HTMLVariable">
    <w:name w:val="HTML Variable"/>
    <w:basedOn w:val="DefaultParagraphFont"/>
    <w:uiPriority w:val="99"/>
    <w:semiHidden/>
    <w:unhideWhenUsed/>
    <w:rsid w:val="00223F09"/>
    <w:rPr>
      <w:i/>
      <w:iCs/>
    </w:rPr>
  </w:style>
  <w:style w:type="paragraph" w:styleId="IndexHeading">
    <w:name w:val="index heading"/>
    <w:basedOn w:val="Normal"/>
    <w:next w:val="Normal"/>
    <w:uiPriority w:val="99"/>
    <w:semiHidden/>
    <w:unhideWhenUsed/>
    <w:rsid w:val="00223F09"/>
    <w:pPr>
      <w:keepLines/>
      <w:suppressAutoHyphens w:val="0"/>
      <w:spacing w:before="120" w:after="120" w:line="264" w:lineRule="auto"/>
    </w:pPr>
    <w:rPr>
      <w:rFonts w:asciiTheme="majorHAnsi" w:eastAsiaTheme="majorEastAsia" w:hAnsiTheme="majorHAnsi" w:cstheme="majorBidi"/>
      <w:b/>
      <w:bCs/>
      <w:color w:val="000000"/>
      <w:kern w:val="0"/>
      <w:szCs w:val="22"/>
    </w:rPr>
  </w:style>
  <w:style w:type="table" w:styleId="LightGrid">
    <w:name w:val="Light Grid"/>
    <w:basedOn w:val="TableNormal"/>
    <w:uiPriority w:val="62"/>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081E3E" w:themeColor="accent1"/>
        <w:left w:val="single" w:sz="8" w:space="0" w:color="081E3E" w:themeColor="accent1"/>
        <w:bottom w:val="single" w:sz="8" w:space="0" w:color="081E3E" w:themeColor="accent1"/>
        <w:right w:val="single" w:sz="8" w:space="0" w:color="081E3E" w:themeColor="accent1"/>
        <w:insideH w:val="single" w:sz="8" w:space="0" w:color="081E3E" w:themeColor="accent1"/>
        <w:insideV w:val="single" w:sz="8" w:space="0" w:color="081E3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81E3E" w:themeColor="accent1"/>
          <w:left w:val="single" w:sz="8" w:space="0" w:color="081E3E" w:themeColor="accent1"/>
          <w:bottom w:val="single" w:sz="18" w:space="0" w:color="081E3E" w:themeColor="accent1"/>
          <w:right w:val="single" w:sz="8" w:space="0" w:color="081E3E" w:themeColor="accent1"/>
          <w:insideH w:val="nil"/>
          <w:insideV w:val="single" w:sz="8" w:space="0" w:color="081E3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81E3E" w:themeColor="accent1"/>
          <w:left w:val="single" w:sz="8" w:space="0" w:color="081E3E" w:themeColor="accent1"/>
          <w:bottom w:val="single" w:sz="8" w:space="0" w:color="081E3E" w:themeColor="accent1"/>
          <w:right w:val="single" w:sz="8" w:space="0" w:color="081E3E" w:themeColor="accent1"/>
          <w:insideH w:val="nil"/>
          <w:insideV w:val="single" w:sz="8" w:space="0" w:color="081E3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81E3E" w:themeColor="accent1"/>
          <w:left w:val="single" w:sz="8" w:space="0" w:color="081E3E" w:themeColor="accent1"/>
          <w:bottom w:val="single" w:sz="8" w:space="0" w:color="081E3E" w:themeColor="accent1"/>
          <w:right w:val="single" w:sz="8" w:space="0" w:color="081E3E" w:themeColor="accent1"/>
        </w:tcBorders>
      </w:tcPr>
    </w:tblStylePr>
    <w:tblStylePr w:type="band1Vert">
      <w:tblPr/>
      <w:tcPr>
        <w:tcBorders>
          <w:top w:val="single" w:sz="8" w:space="0" w:color="081E3E" w:themeColor="accent1"/>
          <w:left w:val="single" w:sz="8" w:space="0" w:color="081E3E" w:themeColor="accent1"/>
          <w:bottom w:val="single" w:sz="8" w:space="0" w:color="081E3E" w:themeColor="accent1"/>
          <w:right w:val="single" w:sz="8" w:space="0" w:color="081E3E" w:themeColor="accent1"/>
        </w:tcBorders>
        <w:shd w:val="clear" w:color="auto" w:fill="9EC0F2" w:themeFill="accent1" w:themeFillTint="3F"/>
      </w:tcPr>
    </w:tblStylePr>
    <w:tblStylePr w:type="band1Horz">
      <w:tblPr/>
      <w:tcPr>
        <w:tcBorders>
          <w:top w:val="single" w:sz="8" w:space="0" w:color="081E3E" w:themeColor="accent1"/>
          <w:left w:val="single" w:sz="8" w:space="0" w:color="081E3E" w:themeColor="accent1"/>
          <w:bottom w:val="single" w:sz="8" w:space="0" w:color="081E3E" w:themeColor="accent1"/>
          <w:right w:val="single" w:sz="8" w:space="0" w:color="081E3E" w:themeColor="accent1"/>
          <w:insideV w:val="single" w:sz="8" w:space="0" w:color="081E3E" w:themeColor="accent1"/>
        </w:tcBorders>
        <w:shd w:val="clear" w:color="auto" w:fill="9EC0F2" w:themeFill="accent1" w:themeFillTint="3F"/>
      </w:tcPr>
    </w:tblStylePr>
    <w:tblStylePr w:type="band2Horz">
      <w:tblPr/>
      <w:tcPr>
        <w:tcBorders>
          <w:top w:val="single" w:sz="8" w:space="0" w:color="081E3E" w:themeColor="accent1"/>
          <w:left w:val="single" w:sz="8" w:space="0" w:color="081E3E" w:themeColor="accent1"/>
          <w:bottom w:val="single" w:sz="8" w:space="0" w:color="081E3E" w:themeColor="accent1"/>
          <w:right w:val="single" w:sz="8" w:space="0" w:color="081E3E" w:themeColor="accent1"/>
          <w:insideV w:val="single" w:sz="8" w:space="0" w:color="081E3E" w:themeColor="accent1"/>
        </w:tcBorders>
      </w:tcPr>
    </w:tblStylePr>
  </w:style>
  <w:style w:type="table" w:styleId="LightGrid-Accent3">
    <w:name w:val="Light Grid Accent 3"/>
    <w:basedOn w:val="TableNormal"/>
    <w:uiPriority w:val="62"/>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77D1F4" w:themeColor="accent3"/>
        <w:left w:val="single" w:sz="8" w:space="0" w:color="77D1F4" w:themeColor="accent3"/>
        <w:bottom w:val="single" w:sz="8" w:space="0" w:color="77D1F4" w:themeColor="accent3"/>
        <w:right w:val="single" w:sz="8" w:space="0" w:color="77D1F4" w:themeColor="accent3"/>
        <w:insideH w:val="single" w:sz="8" w:space="0" w:color="77D1F4" w:themeColor="accent3"/>
        <w:insideV w:val="single" w:sz="8" w:space="0" w:color="77D1F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7D1F4" w:themeColor="accent3"/>
          <w:left w:val="single" w:sz="8" w:space="0" w:color="77D1F4" w:themeColor="accent3"/>
          <w:bottom w:val="single" w:sz="18" w:space="0" w:color="77D1F4" w:themeColor="accent3"/>
          <w:right w:val="single" w:sz="8" w:space="0" w:color="77D1F4" w:themeColor="accent3"/>
          <w:insideH w:val="nil"/>
          <w:insideV w:val="single" w:sz="8" w:space="0" w:color="77D1F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7D1F4" w:themeColor="accent3"/>
          <w:left w:val="single" w:sz="8" w:space="0" w:color="77D1F4" w:themeColor="accent3"/>
          <w:bottom w:val="single" w:sz="8" w:space="0" w:color="77D1F4" w:themeColor="accent3"/>
          <w:right w:val="single" w:sz="8" w:space="0" w:color="77D1F4" w:themeColor="accent3"/>
          <w:insideH w:val="nil"/>
          <w:insideV w:val="single" w:sz="8" w:space="0" w:color="77D1F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7D1F4" w:themeColor="accent3"/>
          <w:left w:val="single" w:sz="8" w:space="0" w:color="77D1F4" w:themeColor="accent3"/>
          <w:bottom w:val="single" w:sz="8" w:space="0" w:color="77D1F4" w:themeColor="accent3"/>
          <w:right w:val="single" w:sz="8" w:space="0" w:color="77D1F4" w:themeColor="accent3"/>
        </w:tcBorders>
      </w:tcPr>
    </w:tblStylePr>
    <w:tblStylePr w:type="band1Vert">
      <w:tblPr/>
      <w:tcPr>
        <w:tcBorders>
          <w:top w:val="single" w:sz="8" w:space="0" w:color="77D1F4" w:themeColor="accent3"/>
          <w:left w:val="single" w:sz="8" w:space="0" w:color="77D1F4" w:themeColor="accent3"/>
          <w:bottom w:val="single" w:sz="8" w:space="0" w:color="77D1F4" w:themeColor="accent3"/>
          <w:right w:val="single" w:sz="8" w:space="0" w:color="77D1F4" w:themeColor="accent3"/>
        </w:tcBorders>
        <w:shd w:val="clear" w:color="auto" w:fill="DDF3FC" w:themeFill="accent3" w:themeFillTint="3F"/>
      </w:tcPr>
    </w:tblStylePr>
    <w:tblStylePr w:type="band1Horz">
      <w:tblPr/>
      <w:tcPr>
        <w:tcBorders>
          <w:top w:val="single" w:sz="8" w:space="0" w:color="77D1F4" w:themeColor="accent3"/>
          <w:left w:val="single" w:sz="8" w:space="0" w:color="77D1F4" w:themeColor="accent3"/>
          <w:bottom w:val="single" w:sz="8" w:space="0" w:color="77D1F4" w:themeColor="accent3"/>
          <w:right w:val="single" w:sz="8" w:space="0" w:color="77D1F4" w:themeColor="accent3"/>
          <w:insideV w:val="single" w:sz="8" w:space="0" w:color="77D1F4" w:themeColor="accent3"/>
        </w:tcBorders>
        <w:shd w:val="clear" w:color="auto" w:fill="DDF3FC" w:themeFill="accent3" w:themeFillTint="3F"/>
      </w:tcPr>
    </w:tblStylePr>
    <w:tblStylePr w:type="band2Horz">
      <w:tblPr/>
      <w:tcPr>
        <w:tcBorders>
          <w:top w:val="single" w:sz="8" w:space="0" w:color="77D1F4" w:themeColor="accent3"/>
          <w:left w:val="single" w:sz="8" w:space="0" w:color="77D1F4" w:themeColor="accent3"/>
          <w:bottom w:val="single" w:sz="8" w:space="0" w:color="77D1F4" w:themeColor="accent3"/>
          <w:right w:val="single" w:sz="8" w:space="0" w:color="77D1F4" w:themeColor="accent3"/>
          <w:insideV w:val="single" w:sz="8" w:space="0" w:color="77D1F4" w:themeColor="accent3"/>
        </w:tcBorders>
      </w:tcPr>
    </w:tblStylePr>
  </w:style>
  <w:style w:type="table" w:styleId="LightGrid-Accent4">
    <w:name w:val="Light Grid Accent 4"/>
    <w:basedOn w:val="TableNormal"/>
    <w:uiPriority w:val="62"/>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9AA3AF" w:themeColor="accent4"/>
        <w:left w:val="single" w:sz="8" w:space="0" w:color="9AA3AF" w:themeColor="accent4"/>
        <w:bottom w:val="single" w:sz="8" w:space="0" w:color="9AA3AF" w:themeColor="accent4"/>
        <w:right w:val="single" w:sz="8" w:space="0" w:color="9AA3AF" w:themeColor="accent4"/>
        <w:insideH w:val="single" w:sz="8" w:space="0" w:color="9AA3AF" w:themeColor="accent4"/>
        <w:insideV w:val="single" w:sz="8" w:space="0" w:color="9AA3A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A3AF" w:themeColor="accent4"/>
          <w:left w:val="single" w:sz="8" w:space="0" w:color="9AA3AF" w:themeColor="accent4"/>
          <w:bottom w:val="single" w:sz="18" w:space="0" w:color="9AA3AF" w:themeColor="accent4"/>
          <w:right w:val="single" w:sz="8" w:space="0" w:color="9AA3AF" w:themeColor="accent4"/>
          <w:insideH w:val="nil"/>
          <w:insideV w:val="single" w:sz="8" w:space="0" w:color="9AA3A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A3AF" w:themeColor="accent4"/>
          <w:left w:val="single" w:sz="8" w:space="0" w:color="9AA3AF" w:themeColor="accent4"/>
          <w:bottom w:val="single" w:sz="8" w:space="0" w:color="9AA3AF" w:themeColor="accent4"/>
          <w:right w:val="single" w:sz="8" w:space="0" w:color="9AA3AF" w:themeColor="accent4"/>
          <w:insideH w:val="nil"/>
          <w:insideV w:val="single" w:sz="8" w:space="0" w:color="9AA3A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A3AF" w:themeColor="accent4"/>
          <w:left w:val="single" w:sz="8" w:space="0" w:color="9AA3AF" w:themeColor="accent4"/>
          <w:bottom w:val="single" w:sz="8" w:space="0" w:color="9AA3AF" w:themeColor="accent4"/>
          <w:right w:val="single" w:sz="8" w:space="0" w:color="9AA3AF" w:themeColor="accent4"/>
        </w:tcBorders>
      </w:tcPr>
    </w:tblStylePr>
    <w:tblStylePr w:type="band1Vert">
      <w:tblPr/>
      <w:tcPr>
        <w:tcBorders>
          <w:top w:val="single" w:sz="8" w:space="0" w:color="9AA3AF" w:themeColor="accent4"/>
          <w:left w:val="single" w:sz="8" w:space="0" w:color="9AA3AF" w:themeColor="accent4"/>
          <w:bottom w:val="single" w:sz="8" w:space="0" w:color="9AA3AF" w:themeColor="accent4"/>
          <w:right w:val="single" w:sz="8" w:space="0" w:color="9AA3AF" w:themeColor="accent4"/>
        </w:tcBorders>
        <w:shd w:val="clear" w:color="auto" w:fill="E5E8EB" w:themeFill="accent4" w:themeFillTint="3F"/>
      </w:tcPr>
    </w:tblStylePr>
    <w:tblStylePr w:type="band1Horz">
      <w:tblPr/>
      <w:tcPr>
        <w:tcBorders>
          <w:top w:val="single" w:sz="8" w:space="0" w:color="9AA3AF" w:themeColor="accent4"/>
          <w:left w:val="single" w:sz="8" w:space="0" w:color="9AA3AF" w:themeColor="accent4"/>
          <w:bottom w:val="single" w:sz="8" w:space="0" w:color="9AA3AF" w:themeColor="accent4"/>
          <w:right w:val="single" w:sz="8" w:space="0" w:color="9AA3AF" w:themeColor="accent4"/>
          <w:insideV w:val="single" w:sz="8" w:space="0" w:color="9AA3AF" w:themeColor="accent4"/>
        </w:tcBorders>
        <w:shd w:val="clear" w:color="auto" w:fill="E5E8EB" w:themeFill="accent4" w:themeFillTint="3F"/>
      </w:tcPr>
    </w:tblStylePr>
    <w:tblStylePr w:type="band2Horz">
      <w:tblPr/>
      <w:tcPr>
        <w:tcBorders>
          <w:top w:val="single" w:sz="8" w:space="0" w:color="9AA3AF" w:themeColor="accent4"/>
          <w:left w:val="single" w:sz="8" w:space="0" w:color="9AA3AF" w:themeColor="accent4"/>
          <w:bottom w:val="single" w:sz="8" w:space="0" w:color="9AA3AF" w:themeColor="accent4"/>
          <w:right w:val="single" w:sz="8" w:space="0" w:color="9AA3AF" w:themeColor="accent4"/>
          <w:insideV w:val="single" w:sz="8" w:space="0" w:color="9AA3AF" w:themeColor="accent4"/>
        </w:tcBorders>
      </w:tcPr>
    </w:tblStylePr>
  </w:style>
  <w:style w:type="table" w:styleId="LightGrid-Accent5">
    <w:name w:val="Light Grid Accent 5"/>
    <w:basedOn w:val="TableNormal"/>
    <w:uiPriority w:val="62"/>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C0D48F" w:themeColor="accent5"/>
        <w:left w:val="single" w:sz="8" w:space="0" w:color="C0D48F" w:themeColor="accent5"/>
        <w:bottom w:val="single" w:sz="8" w:space="0" w:color="C0D48F" w:themeColor="accent5"/>
        <w:right w:val="single" w:sz="8" w:space="0" w:color="C0D48F" w:themeColor="accent5"/>
        <w:insideH w:val="single" w:sz="8" w:space="0" w:color="C0D48F" w:themeColor="accent5"/>
        <w:insideV w:val="single" w:sz="8" w:space="0" w:color="C0D48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D48F" w:themeColor="accent5"/>
          <w:left w:val="single" w:sz="8" w:space="0" w:color="C0D48F" w:themeColor="accent5"/>
          <w:bottom w:val="single" w:sz="18" w:space="0" w:color="C0D48F" w:themeColor="accent5"/>
          <w:right w:val="single" w:sz="8" w:space="0" w:color="C0D48F" w:themeColor="accent5"/>
          <w:insideH w:val="nil"/>
          <w:insideV w:val="single" w:sz="8" w:space="0" w:color="C0D48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D48F" w:themeColor="accent5"/>
          <w:left w:val="single" w:sz="8" w:space="0" w:color="C0D48F" w:themeColor="accent5"/>
          <w:bottom w:val="single" w:sz="8" w:space="0" w:color="C0D48F" w:themeColor="accent5"/>
          <w:right w:val="single" w:sz="8" w:space="0" w:color="C0D48F" w:themeColor="accent5"/>
          <w:insideH w:val="nil"/>
          <w:insideV w:val="single" w:sz="8" w:space="0" w:color="C0D48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D48F" w:themeColor="accent5"/>
          <w:left w:val="single" w:sz="8" w:space="0" w:color="C0D48F" w:themeColor="accent5"/>
          <w:bottom w:val="single" w:sz="8" w:space="0" w:color="C0D48F" w:themeColor="accent5"/>
          <w:right w:val="single" w:sz="8" w:space="0" w:color="C0D48F" w:themeColor="accent5"/>
        </w:tcBorders>
      </w:tcPr>
    </w:tblStylePr>
    <w:tblStylePr w:type="band1Vert">
      <w:tblPr/>
      <w:tcPr>
        <w:tcBorders>
          <w:top w:val="single" w:sz="8" w:space="0" w:color="C0D48F" w:themeColor="accent5"/>
          <w:left w:val="single" w:sz="8" w:space="0" w:color="C0D48F" w:themeColor="accent5"/>
          <w:bottom w:val="single" w:sz="8" w:space="0" w:color="C0D48F" w:themeColor="accent5"/>
          <w:right w:val="single" w:sz="8" w:space="0" w:color="C0D48F" w:themeColor="accent5"/>
        </w:tcBorders>
        <w:shd w:val="clear" w:color="auto" w:fill="EFF4E3" w:themeFill="accent5" w:themeFillTint="3F"/>
      </w:tcPr>
    </w:tblStylePr>
    <w:tblStylePr w:type="band1Horz">
      <w:tblPr/>
      <w:tcPr>
        <w:tcBorders>
          <w:top w:val="single" w:sz="8" w:space="0" w:color="C0D48F" w:themeColor="accent5"/>
          <w:left w:val="single" w:sz="8" w:space="0" w:color="C0D48F" w:themeColor="accent5"/>
          <w:bottom w:val="single" w:sz="8" w:space="0" w:color="C0D48F" w:themeColor="accent5"/>
          <w:right w:val="single" w:sz="8" w:space="0" w:color="C0D48F" w:themeColor="accent5"/>
          <w:insideV w:val="single" w:sz="8" w:space="0" w:color="C0D48F" w:themeColor="accent5"/>
        </w:tcBorders>
        <w:shd w:val="clear" w:color="auto" w:fill="EFF4E3" w:themeFill="accent5" w:themeFillTint="3F"/>
      </w:tcPr>
    </w:tblStylePr>
    <w:tblStylePr w:type="band2Horz">
      <w:tblPr/>
      <w:tcPr>
        <w:tcBorders>
          <w:top w:val="single" w:sz="8" w:space="0" w:color="C0D48F" w:themeColor="accent5"/>
          <w:left w:val="single" w:sz="8" w:space="0" w:color="C0D48F" w:themeColor="accent5"/>
          <w:bottom w:val="single" w:sz="8" w:space="0" w:color="C0D48F" w:themeColor="accent5"/>
          <w:right w:val="single" w:sz="8" w:space="0" w:color="C0D48F" w:themeColor="accent5"/>
          <w:insideV w:val="single" w:sz="8" w:space="0" w:color="C0D48F" w:themeColor="accent5"/>
        </w:tcBorders>
      </w:tcPr>
    </w:tblStylePr>
  </w:style>
  <w:style w:type="table" w:styleId="LightGrid-Accent6">
    <w:name w:val="Light Grid Accent 6"/>
    <w:basedOn w:val="TableNormal"/>
    <w:uiPriority w:val="62"/>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6FC197" w:themeColor="accent6"/>
        <w:left w:val="single" w:sz="8" w:space="0" w:color="6FC197" w:themeColor="accent6"/>
        <w:bottom w:val="single" w:sz="8" w:space="0" w:color="6FC197" w:themeColor="accent6"/>
        <w:right w:val="single" w:sz="8" w:space="0" w:color="6FC197" w:themeColor="accent6"/>
        <w:insideH w:val="single" w:sz="8" w:space="0" w:color="6FC197" w:themeColor="accent6"/>
        <w:insideV w:val="single" w:sz="8" w:space="0" w:color="6FC19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197" w:themeColor="accent6"/>
          <w:left w:val="single" w:sz="8" w:space="0" w:color="6FC197" w:themeColor="accent6"/>
          <w:bottom w:val="single" w:sz="18" w:space="0" w:color="6FC197" w:themeColor="accent6"/>
          <w:right w:val="single" w:sz="8" w:space="0" w:color="6FC197" w:themeColor="accent6"/>
          <w:insideH w:val="nil"/>
          <w:insideV w:val="single" w:sz="8" w:space="0" w:color="6FC19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197" w:themeColor="accent6"/>
          <w:left w:val="single" w:sz="8" w:space="0" w:color="6FC197" w:themeColor="accent6"/>
          <w:bottom w:val="single" w:sz="8" w:space="0" w:color="6FC197" w:themeColor="accent6"/>
          <w:right w:val="single" w:sz="8" w:space="0" w:color="6FC197" w:themeColor="accent6"/>
          <w:insideH w:val="nil"/>
          <w:insideV w:val="single" w:sz="8" w:space="0" w:color="6FC19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197" w:themeColor="accent6"/>
          <w:left w:val="single" w:sz="8" w:space="0" w:color="6FC197" w:themeColor="accent6"/>
          <w:bottom w:val="single" w:sz="8" w:space="0" w:color="6FC197" w:themeColor="accent6"/>
          <w:right w:val="single" w:sz="8" w:space="0" w:color="6FC197" w:themeColor="accent6"/>
        </w:tcBorders>
      </w:tcPr>
    </w:tblStylePr>
    <w:tblStylePr w:type="band1Vert">
      <w:tblPr/>
      <w:tcPr>
        <w:tcBorders>
          <w:top w:val="single" w:sz="8" w:space="0" w:color="6FC197" w:themeColor="accent6"/>
          <w:left w:val="single" w:sz="8" w:space="0" w:color="6FC197" w:themeColor="accent6"/>
          <w:bottom w:val="single" w:sz="8" w:space="0" w:color="6FC197" w:themeColor="accent6"/>
          <w:right w:val="single" w:sz="8" w:space="0" w:color="6FC197" w:themeColor="accent6"/>
        </w:tcBorders>
        <w:shd w:val="clear" w:color="auto" w:fill="DBEFE5" w:themeFill="accent6" w:themeFillTint="3F"/>
      </w:tcPr>
    </w:tblStylePr>
    <w:tblStylePr w:type="band1Horz">
      <w:tblPr/>
      <w:tcPr>
        <w:tcBorders>
          <w:top w:val="single" w:sz="8" w:space="0" w:color="6FC197" w:themeColor="accent6"/>
          <w:left w:val="single" w:sz="8" w:space="0" w:color="6FC197" w:themeColor="accent6"/>
          <w:bottom w:val="single" w:sz="8" w:space="0" w:color="6FC197" w:themeColor="accent6"/>
          <w:right w:val="single" w:sz="8" w:space="0" w:color="6FC197" w:themeColor="accent6"/>
          <w:insideV w:val="single" w:sz="8" w:space="0" w:color="6FC197" w:themeColor="accent6"/>
        </w:tcBorders>
        <w:shd w:val="clear" w:color="auto" w:fill="DBEFE5" w:themeFill="accent6" w:themeFillTint="3F"/>
      </w:tcPr>
    </w:tblStylePr>
    <w:tblStylePr w:type="band2Horz">
      <w:tblPr/>
      <w:tcPr>
        <w:tcBorders>
          <w:top w:val="single" w:sz="8" w:space="0" w:color="6FC197" w:themeColor="accent6"/>
          <w:left w:val="single" w:sz="8" w:space="0" w:color="6FC197" w:themeColor="accent6"/>
          <w:bottom w:val="single" w:sz="8" w:space="0" w:color="6FC197" w:themeColor="accent6"/>
          <w:right w:val="single" w:sz="8" w:space="0" w:color="6FC197" w:themeColor="accent6"/>
          <w:insideV w:val="single" w:sz="8" w:space="0" w:color="6FC197" w:themeColor="accent6"/>
        </w:tcBorders>
      </w:tcPr>
    </w:tblStylePr>
  </w:style>
  <w:style w:type="table" w:styleId="LightList">
    <w:name w:val="Light List"/>
    <w:basedOn w:val="TableNormal"/>
    <w:uiPriority w:val="61"/>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4BB3B5" w:themeColor="accent2"/>
        <w:left w:val="single" w:sz="8" w:space="0" w:color="4BB3B5" w:themeColor="accent2"/>
        <w:bottom w:val="single" w:sz="8" w:space="0" w:color="4BB3B5" w:themeColor="accent2"/>
        <w:right w:val="single" w:sz="8" w:space="0" w:color="4BB3B5" w:themeColor="accent2"/>
      </w:tblBorders>
    </w:tblPr>
    <w:tblStylePr w:type="firstRow">
      <w:pPr>
        <w:spacing w:before="0" w:after="0" w:line="240" w:lineRule="auto"/>
      </w:pPr>
      <w:rPr>
        <w:b/>
        <w:bCs/>
        <w:color w:val="FFFFFF" w:themeColor="background1"/>
      </w:rPr>
      <w:tblPr/>
      <w:tcPr>
        <w:shd w:val="clear" w:color="auto" w:fill="4BB3B5" w:themeFill="accent2"/>
      </w:tcPr>
    </w:tblStylePr>
    <w:tblStylePr w:type="lastRow">
      <w:pPr>
        <w:spacing w:before="0" w:after="0" w:line="240" w:lineRule="auto"/>
      </w:pPr>
      <w:rPr>
        <w:b/>
        <w:bCs/>
      </w:rPr>
      <w:tblPr/>
      <w:tcPr>
        <w:tcBorders>
          <w:top w:val="double" w:sz="6" w:space="0" w:color="4BB3B5" w:themeColor="accent2"/>
          <w:left w:val="single" w:sz="8" w:space="0" w:color="4BB3B5" w:themeColor="accent2"/>
          <w:bottom w:val="single" w:sz="8" w:space="0" w:color="4BB3B5" w:themeColor="accent2"/>
          <w:right w:val="single" w:sz="8" w:space="0" w:color="4BB3B5" w:themeColor="accent2"/>
        </w:tcBorders>
      </w:tcPr>
    </w:tblStylePr>
    <w:tblStylePr w:type="firstCol">
      <w:rPr>
        <w:b/>
        <w:bCs/>
      </w:rPr>
    </w:tblStylePr>
    <w:tblStylePr w:type="lastCol">
      <w:rPr>
        <w:b/>
        <w:bCs/>
      </w:rPr>
    </w:tblStylePr>
    <w:tblStylePr w:type="band1Vert">
      <w:tblPr/>
      <w:tcPr>
        <w:tcBorders>
          <w:top w:val="single" w:sz="8" w:space="0" w:color="4BB3B5" w:themeColor="accent2"/>
          <w:left w:val="single" w:sz="8" w:space="0" w:color="4BB3B5" w:themeColor="accent2"/>
          <w:bottom w:val="single" w:sz="8" w:space="0" w:color="4BB3B5" w:themeColor="accent2"/>
          <w:right w:val="single" w:sz="8" w:space="0" w:color="4BB3B5" w:themeColor="accent2"/>
        </w:tcBorders>
      </w:tcPr>
    </w:tblStylePr>
    <w:tblStylePr w:type="band1Horz">
      <w:tblPr/>
      <w:tcPr>
        <w:tcBorders>
          <w:top w:val="single" w:sz="8" w:space="0" w:color="4BB3B5" w:themeColor="accent2"/>
          <w:left w:val="single" w:sz="8" w:space="0" w:color="4BB3B5" w:themeColor="accent2"/>
          <w:bottom w:val="single" w:sz="8" w:space="0" w:color="4BB3B5" w:themeColor="accent2"/>
          <w:right w:val="single" w:sz="8" w:space="0" w:color="4BB3B5" w:themeColor="accent2"/>
        </w:tcBorders>
      </w:tcPr>
    </w:tblStylePr>
  </w:style>
  <w:style w:type="table" w:styleId="LightList-Accent3">
    <w:name w:val="Light List Accent 3"/>
    <w:basedOn w:val="TableNormal"/>
    <w:uiPriority w:val="61"/>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77D1F4" w:themeColor="accent3"/>
        <w:left w:val="single" w:sz="8" w:space="0" w:color="77D1F4" w:themeColor="accent3"/>
        <w:bottom w:val="single" w:sz="8" w:space="0" w:color="77D1F4" w:themeColor="accent3"/>
        <w:right w:val="single" w:sz="8" w:space="0" w:color="77D1F4" w:themeColor="accent3"/>
      </w:tblBorders>
    </w:tblPr>
    <w:tblStylePr w:type="firstRow">
      <w:pPr>
        <w:spacing w:before="0" w:after="0" w:line="240" w:lineRule="auto"/>
      </w:pPr>
      <w:rPr>
        <w:b/>
        <w:bCs/>
        <w:color w:val="FFFFFF" w:themeColor="background1"/>
      </w:rPr>
      <w:tblPr/>
      <w:tcPr>
        <w:shd w:val="clear" w:color="auto" w:fill="77D1F4" w:themeFill="accent3"/>
      </w:tcPr>
    </w:tblStylePr>
    <w:tblStylePr w:type="lastRow">
      <w:pPr>
        <w:spacing w:before="0" w:after="0" w:line="240" w:lineRule="auto"/>
      </w:pPr>
      <w:rPr>
        <w:b/>
        <w:bCs/>
      </w:rPr>
      <w:tblPr/>
      <w:tcPr>
        <w:tcBorders>
          <w:top w:val="double" w:sz="6" w:space="0" w:color="77D1F4" w:themeColor="accent3"/>
          <w:left w:val="single" w:sz="8" w:space="0" w:color="77D1F4" w:themeColor="accent3"/>
          <w:bottom w:val="single" w:sz="8" w:space="0" w:color="77D1F4" w:themeColor="accent3"/>
          <w:right w:val="single" w:sz="8" w:space="0" w:color="77D1F4" w:themeColor="accent3"/>
        </w:tcBorders>
      </w:tcPr>
    </w:tblStylePr>
    <w:tblStylePr w:type="firstCol">
      <w:rPr>
        <w:b/>
        <w:bCs/>
      </w:rPr>
    </w:tblStylePr>
    <w:tblStylePr w:type="lastCol">
      <w:rPr>
        <w:b/>
        <w:bCs/>
      </w:rPr>
    </w:tblStylePr>
    <w:tblStylePr w:type="band1Vert">
      <w:tblPr/>
      <w:tcPr>
        <w:tcBorders>
          <w:top w:val="single" w:sz="8" w:space="0" w:color="77D1F4" w:themeColor="accent3"/>
          <w:left w:val="single" w:sz="8" w:space="0" w:color="77D1F4" w:themeColor="accent3"/>
          <w:bottom w:val="single" w:sz="8" w:space="0" w:color="77D1F4" w:themeColor="accent3"/>
          <w:right w:val="single" w:sz="8" w:space="0" w:color="77D1F4" w:themeColor="accent3"/>
        </w:tcBorders>
      </w:tcPr>
    </w:tblStylePr>
    <w:tblStylePr w:type="band1Horz">
      <w:tblPr/>
      <w:tcPr>
        <w:tcBorders>
          <w:top w:val="single" w:sz="8" w:space="0" w:color="77D1F4" w:themeColor="accent3"/>
          <w:left w:val="single" w:sz="8" w:space="0" w:color="77D1F4" w:themeColor="accent3"/>
          <w:bottom w:val="single" w:sz="8" w:space="0" w:color="77D1F4" w:themeColor="accent3"/>
          <w:right w:val="single" w:sz="8" w:space="0" w:color="77D1F4" w:themeColor="accent3"/>
        </w:tcBorders>
      </w:tcPr>
    </w:tblStylePr>
  </w:style>
  <w:style w:type="table" w:styleId="LightList-Accent4">
    <w:name w:val="Light List Accent 4"/>
    <w:basedOn w:val="TableNormal"/>
    <w:uiPriority w:val="61"/>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9AA3AF" w:themeColor="accent4"/>
        <w:left w:val="single" w:sz="8" w:space="0" w:color="9AA3AF" w:themeColor="accent4"/>
        <w:bottom w:val="single" w:sz="8" w:space="0" w:color="9AA3AF" w:themeColor="accent4"/>
        <w:right w:val="single" w:sz="8" w:space="0" w:color="9AA3AF" w:themeColor="accent4"/>
      </w:tblBorders>
    </w:tblPr>
    <w:tblStylePr w:type="firstRow">
      <w:pPr>
        <w:spacing w:before="0" w:after="0" w:line="240" w:lineRule="auto"/>
      </w:pPr>
      <w:rPr>
        <w:b/>
        <w:bCs/>
        <w:color w:val="FFFFFF" w:themeColor="background1"/>
      </w:rPr>
      <w:tblPr/>
      <w:tcPr>
        <w:shd w:val="clear" w:color="auto" w:fill="9AA3AF" w:themeFill="accent4"/>
      </w:tcPr>
    </w:tblStylePr>
    <w:tblStylePr w:type="lastRow">
      <w:pPr>
        <w:spacing w:before="0" w:after="0" w:line="240" w:lineRule="auto"/>
      </w:pPr>
      <w:rPr>
        <w:b/>
        <w:bCs/>
      </w:rPr>
      <w:tblPr/>
      <w:tcPr>
        <w:tcBorders>
          <w:top w:val="double" w:sz="6" w:space="0" w:color="9AA3AF" w:themeColor="accent4"/>
          <w:left w:val="single" w:sz="8" w:space="0" w:color="9AA3AF" w:themeColor="accent4"/>
          <w:bottom w:val="single" w:sz="8" w:space="0" w:color="9AA3AF" w:themeColor="accent4"/>
          <w:right w:val="single" w:sz="8" w:space="0" w:color="9AA3AF" w:themeColor="accent4"/>
        </w:tcBorders>
      </w:tcPr>
    </w:tblStylePr>
    <w:tblStylePr w:type="firstCol">
      <w:rPr>
        <w:b/>
        <w:bCs/>
      </w:rPr>
    </w:tblStylePr>
    <w:tblStylePr w:type="lastCol">
      <w:rPr>
        <w:b/>
        <w:bCs/>
      </w:rPr>
    </w:tblStylePr>
    <w:tblStylePr w:type="band1Vert">
      <w:tblPr/>
      <w:tcPr>
        <w:tcBorders>
          <w:top w:val="single" w:sz="8" w:space="0" w:color="9AA3AF" w:themeColor="accent4"/>
          <w:left w:val="single" w:sz="8" w:space="0" w:color="9AA3AF" w:themeColor="accent4"/>
          <w:bottom w:val="single" w:sz="8" w:space="0" w:color="9AA3AF" w:themeColor="accent4"/>
          <w:right w:val="single" w:sz="8" w:space="0" w:color="9AA3AF" w:themeColor="accent4"/>
        </w:tcBorders>
      </w:tcPr>
    </w:tblStylePr>
    <w:tblStylePr w:type="band1Horz">
      <w:tblPr/>
      <w:tcPr>
        <w:tcBorders>
          <w:top w:val="single" w:sz="8" w:space="0" w:color="9AA3AF" w:themeColor="accent4"/>
          <w:left w:val="single" w:sz="8" w:space="0" w:color="9AA3AF" w:themeColor="accent4"/>
          <w:bottom w:val="single" w:sz="8" w:space="0" w:color="9AA3AF" w:themeColor="accent4"/>
          <w:right w:val="single" w:sz="8" w:space="0" w:color="9AA3AF" w:themeColor="accent4"/>
        </w:tcBorders>
      </w:tcPr>
    </w:tblStylePr>
  </w:style>
  <w:style w:type="table" w:styleId="LightList-Accent5">
    <w:name w:val="Light List Accent 5"/>
    <w:basedOn w:val="TableNormal"/>
    <w:uiPriority w:val="61"/>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C0D48F" w:themeColor="accent5"/>
        <w:left w:val="single" w:sz="8" w:space="0" w:color="C0D48F" w:themeColor="accent5"/>
        <w:bottom w:val="single" w:sz="8" w:space="0" w:color="C0D48F" w:themeColor="accent5"/>
        <w:right w:val="single" w:sz="8" w:space="0" w:color="C0D48F" w:themeColor="accent5"/>
      </w:tblBorders>
    </w:tblPr>
    <w:tblStylePr w:type="firstRow">
      <w:pPr>
        <w:spacing w:before="0" w:after="0" w:line="240" w:lineRule="auto"/>
      </w:pPr>
      <w:rPr>
        <w:b/>
        <w:bCs/>
        <w:color w:val="FFFFFF" w:themeColor="background1"/>
      </w:rPr>
      <w:tblPr/>
      <w:tcPr>
        <w:shd w:val="clear" w:color="auto" w:fill="C0D48F" w:themeFill="accent5"/>
      </w:tcPr>
    </w:tblStylePr>
    <w:tblStylePr w:type="lastRow">
      <w:pPr>
        <w:spacing w:before="0" w:after="0" w:line="240" w:lineRule="auto"/>
      </w:pPr>
      <w:rPr>
        <w:b/>
        <w:bCs/>
      </w:rPr>
      <w:tblPr/>
      <w:tcPr>
        <w:tcBorders>
          <w:top w:val="double" w:sz="6" w:space="0" w:color="C0D48F" w:themeColor="accent5"/>
          <w:left w:val="single" w:sz="8" w:space="0" w:color="C0D48F" w:themeColor="accent5"/>
          <w:bottom w:val="single" w:sz="8" w:space="0" w:color="C0D48F" w:themeColor="accent5"/>
          <w:right w:val="single" w:sz="8" w:space="0" w:color="C0D48F" w:themeColor="accent5"/>
        </w:tcBorders>
      </w:tcPr>
    </w:tblStylePr>
    <w:tblStylePr w:type="firstCol">
      <w:rPr>
        <w:b/>
        <w:bCs/>
      </w:rPr>
    </w:tblStylePr>
    <w:tblStylePr w:type="lastCol">
      <w:rPr>
        <w:b/>
        <w:bCs/>
      </w:rPr>
    </w:tblStylePr>
    <w:tblStylePr w:type="band1Vert">
      <w:tblPr/>
      <w:tcPr>
        <w:tcBorders>
          <w:top w:val="single" w:sz="8" w:space="0" w:color="C0D48F" w:themeColor="accent5"/>
          <w:left w:val="single" w:sz="8" w:space="0" w:color="C0D48F" w:themeColor="accent5"/>
          <w:bottom w:val="single" w:sz="8" w:space="0" w:color="C0D48F" w:themeColor="accent5"/>
          <w:right w:val="single" w:sz="8" w:space="0" w:color="C0D48F" w:themeColor="accent5"/>
        </w:tcBorders>
      </w:tcPr>
    </w:tblStylePr>
    <w:tblStylePr w:type="band1Horz">
      <w:tblPr/>
      <w:tcPr>
        <w:tcBorders>
          <w:top w:val="single" w:sz="8" w:space="0" w:color="C0D48F" w:themeColor="accent5"/>
          <w:left w:val="single" w:sz="8" w:space="0" w:color="C0D48F" w:themeColor="accent5"/>
          <w:bottom w:val="single" w:sz="8" w:space="0" w:color="C0D48F" w:themeColor="accent5"/>
          <w:right w:val="single" w:sz="8" w:space="0" w:color="C0D48F" w:themeColor="accent5"/>
        </w:tcBorders>
      </w:tcPr>
    </w:tblStylePr>
  </w:style>
  <w:style w:type="table" w:styleId="LightList-Accent6">
    <w:name w:val="Light List Accent 6"/>
    <w:basedOn w:val="TableNormal"/>
    <w:uiPriority w:val="61"/>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6FC197" w:themeColor="accent6"/>
        <w:left w:val="single" w:sz="8" w:space="0" w:color="6FC197" w:themeColor="accent6"/>
        <w:bottom w:val="single" w:sz="8" w:space="0" w:color="6FC197" w:themeColor="accent6"/>
        <w:right w:val="single" w:sz="8" w:space="0" w:color="6FC197" w:themeColor="accent6"/>
      </w:tblBorders>
    </w:tblPr>
    <w:tblStylePr w:type="firstRow">
      <w:pPr>
        <w:spacing w:before="0" w:after="0" w:line="240" w:lineRule="auto"/>
      </w:pPr>
      <w:rPr>
        <w:b/>
        <w:bCs/>
        <w:color w:val="FFFFFF" w:themeColor="background1"/>
      </w:rPr>
      <w:tblPr/>
      <w:tcPr>
        <w:shd w:val="clear" w:color="auto" w:fill="6FC197" w:themeFill="accent6"/>
      </w:tcPr>
    </w:tblStylePr>
    <w:tblStylePr w:type="lastRow">
      <w:pPr>
        <w:spacing w:before="0" w:after="0" w:line="240" w:lineRule="auto"/>
      </w:pPr>
      <w:rPr>
        <w:b/>
        <w:bCs/>
      </w:rPr>
      <w:tblPr/>
      <w:tcPr>
        <w:tcBorders>
          <w:top w:val="double" w:sz="6" w:space="0" w:color="6FC197" w:themeColor="accent6"/>
          <w:left w:val="single" w:sz="8" w:space="0" w:color="6FC197" w:themeColor="accent6"/>
          <w:bottom w:val="single" w:sz="8" w:space="0" w:color="6FC197" w:themeColor="accent6"/>
          <w:right w:val="single" w:sz="8" w:space="0" w:color="6FC197" w:themeColor="accent6"/>
        </w:tcBorders>
      </w:tcPr>
    </w:tblStylePr>
    <w:tblStylePr w:type="firstCol">
      <w:rPr>
        <w:b/>
        <w:bCs/>
      </w:rPr>
    </w:tblStylePr>
    <w:tblStylePr w:type="lastCol">
      <w:rPr>
        <w:b/>
        <w:bCs/>
      </w:rPr>
    </w:tblStylePr>
    <w:tblStylePr w:type="band1Vert">
      <w:tblPr/>
      <w:tcPr>
        <w:tcBorders>
          <w:top w:val="single" w:sz="8" w:space="0" w:color="6FC197" w:themeColor="accent6"/>
          <w:left w:val="single" w:sz="8" w:space="0" w:color="6FC197" w:themeColor="accent6"/>
          <w:bottom w:val="single" w:sz="8" w:space="0" w:color="6FC197" w:themeColor="accent6"/>
          <w:right w:val="single" w:sz="8" w:space="0" w:color="6FC197" w:themeColor="accent6"/>
        </w:tcBorders>
      </w:tcPr>
    </w:tblStylePr>
    <w:tblStylePr w:type="band1Horz">
      <w:tblPr/>
      <w:tcPr>
        <w:tcBorders>
          <w:top w:val="single" w:sz="8" w:space="0" w:color="6FC197" w:themeColor="accent6"/>
          <w:left w:val="single" w:sz="8" w:space="0" w:color="6FC197" w:themeColor="accent6"/>
          <w:bottom w:val="single" w:sz="8" w:space="0" w:color="6FC197" w:themeColor="accent6"/>
          <w:right w:val="single" w:sz="8" w:space="0" w:color="6FC197" w:themeColor="accent6"/>
        </w:tcBorders>
      </w:tcPr>
    </w:tblStylePr>
  </w:style>
  <w:style w:type="table" w:styleId="LightShading-Accent2">
    <w:name w:val="Light Shading Accent 2"/>
    <w:basedOn w:val="TableNormal"/>
    <w:uiPriority w:val="60"/>
    <w:rsid w:val="00223F09"/>
    <w:pPr>
      <w:spacing w:before="0" w:after="0"/>
    </w:pPr>
    <w:rPr>
      <w:rFonts w:ascii="Times New Roman" w:eastAsia="Times New Roman" w:hAnsi="Times New Roman" w:cs="Times New Roman"/>
      <w:color w:val="388687" w:themeColor="accent2" w:themeShade="BF"/>
      <w:lang w:eastAsia="en-AU"/>
    </w:rPr>
    <w:tblPr>
      <w:tblStyleRowBandSize w:val="1"/>
      <w:tblStyleColBandSize w:val="1"/>
      <w:tblBorders>
        <w:top w:val="single" w:sz="8" w:space="0" w:color="4BB3B5" w:themeColor="accent2"/>
        <w:bottom w:val="single" w:sz="8" w:space="0" w:color="4BB3B5" w:themeColor="accent2"/>
      </w:tblBorders>
    </w:tblPr>
    <w:tblStylePr w:type="firstRow">
      <w:pPr>
        <w:spacing w:before="0" w:after="0" w:line="240" w:lineRule="auto"/>
      </w:pPr>
      <w:rPr>
        <w:b/>
        <w:bCs/>
      </w:rPr>
      <w:tblPr/>
      <w:tcPr>
        <w:tcBorders>
          <w:top w:val="single" w:sz="8" w:space="0" w:color="4BB3B5" w:themeColor="accent2"/>
          <w:left w:val="nil"/>
          <w:bottom w:val="single" w:sz="8" w:space="0" w:color="4BB3B5" w:themeColor="accent2"/>
          <w:right w:val="nil"/>
          <w:insideH w:val="nil"/>
          <w:insideV w:val="nil"/>
        </w:tcBorders>
      </w:tcPr>
    </w:tblStylePr>
    <w:tblStylePr w:type="lastRow">
      <w:pPr>
        <w:spacing w:before="0" w:after="0" w:line="240" w:lineRule="auto"/>
      </w:pPr>
      <w:rPr>
        <w:b/>
        <w:bCs/>
      </w:rPr>
      <w:tblPr/>
      <w:tcPr>
        <w:tcBorders>
          <w:top w:val="single" w:sz="8" w:space="0" w:color="4BB3B5" w:themeColor="accent2"/>
          <w:left w:val="nil"/>
          <w:bottom w:val="single" w:sz="8" w:space="0" w:color="4BB3B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CEC" w:themeFill="accent2" w:themeFillTint="3F"/>
      </w:tcPr>
    </w:tblStylePr>
    <w:tblStylePr w:type="band1Horz">
      <w:tblPr/>
      <w:tcPr>
        <w:tcBorders>
          <w:left w:val="nil"/>
          <w:right w:val="nil"/>
          <w:insideH w:val="nil"/>
          <w:insideV w:val="nil"/>
        </w:tcBorders>
        <w:shd w:val="clear" w:color="auto" w:fill="D2ECEC" w:themeFill="accent2" w:themeFillTint="3F"/>
      </w:tcPr>
    </w:tblStylePr>
  </w:style>
  <w:style w:type="table" w:styleId="LightShading-Accent3">
    <w:name w:val="Light Shading Accent 3"/>
    <w:basedOn w:val="TableNormal"/>
    <w:uiPriority w:val="60"/>
    <w:rsid w:val="00223F09"/>
    <w:pPr>
      <w:spacing w:before="0" w:after="0"/>
    </w:pPr>
    <w:rPr>
      <w:rFonts w:ascii="Times New Roman" w:eastAsia="Times New Roman" w:hAnsi="Times New Roman" w:cs="Times New Roman"/>
      <w:color w:val="22B3ED" w:themeColor="accent3" w:themeShade="BF"/>
      <w:lang w:eastAsia="en-AU"/>
    </w:rPr>
    <w:tblPr>
      <w:tblStyleRowBandSize w:val="1"/>
      <w:tblStyleColBandSize w:val="1"/>
      <w:tblBorders>
        <w:top w:val="single" w:sz="8" w:space="0" w:color="77D1F4" w:themeColor="accent3"/>
        <w:bottom w:val="single" w:sz="8" w:space="0" w:color="77D1F4" w:themeColor="accent3"/>
      </w:tblBorders>
    </w:tblPr>
    <w:tblStylePr w:type="firstRow">
      <w:pPr>
        <w:spacing w:before="0" w:after="0" w:line="240" w:lineRule="auto"/>
      </w:pPr>
      <w:rPr>
        <w:b/>
        <w:bCs/>
      </w:rPr>
      <w:tblPr/>
      <w:tcPr>
        <w:tcBorders>
          <w:top w:val="single" w:sz="8" w:space="0" w:color="77D1F4" w:themeColor="accent3"/>
          <w:left w:val="nil"/>
          <w:bottom w:val="single" w:sz="8" w:space="0" w:color="77D1F4" w:themeColor="accent3"/>
          <w:right w:val="nil"/>
          <w:insideH w:val="nil"/>
          <w:insideV w:val="nil"/>
        </w:tcBorders>
      </w:tcPr>
    </w:tblStylePr>
    <w:tblStylePr w:type="lastRow">
      <w:pPr>
        <w:spacing w:before="0" w:after="0" w:line="240" w:lineRule="auto"/>
      </w:pPr>
      <w:rPr>
        <w:b/>
        <w:bCs/>
      </w:rPr>
      <w:tblPr/>
      <w:tcPr>
        <w:tcBorders>
          <w:top w:val="single" w:sz="8" w:space="0" w:color="77D1F4" w:themeColor="accent3"/>
          <w:left w:val="nil"/>
          <w:bottom w:val="single" w:sz="8" w:space="0" w:color="77D1F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3FC" w:themeFill="accent3" w:themeFillTint="3F"/>
      </w:tcPr>
    </w:tblStylePr>
    <w:tblStylePr w:type="band1Horz">
      <w:tblPr/>
      <w:tcPr>
        <w:tcBorders>
          <w:left w:val="nil"/>
          <w:right w:val="nil"/>
          <w:insideH w:val="nil"/>
          <w:insideV w:val="nil"/>
        </w:tcBorders>
        <w:shd w:val="clear" w:color="auto" w:fill="DDF3FC" w:themeFill="accent3" w:themeFillTint="3F"/>
      </w:tcPr>
    </w:tblStylePr>
  </w:style>
  <w:style w:type="table" w:styleId="LightShading-Accent4">
    <w:name w:val="Light Shading Accent 4"/>
    <w:basedOn w:val="TableNormal"/>
    <w:uiPriority w:val="60"/>
    <w:rsid w:val="00223F09"/>
    <w:pPr>
      <w:spacing w:before="0" w:after="0"/>
    </w:pPr>
    <w:rPr>
      <w:rFonts w:ascii="Times New Roman" w:eastAsia="Times New Roman" w:hAnsi="Times New Roman" w:cs="Times New Roman"/>
      <w:color w:val="6D7989" w:themeColor="accent4" w:themeShade="BF"/>
      <w:lang w:eastAsia="en-AU"/>
    </w:rPr>
    <w:tblPr>
      <w:tblStyleRowBandSize w:val="1"/>
      <w:tblStyleColBandSize w:val="1"/>
      <w:tblBorders>
        <w:top w:val="single" w:sz="8" w:space="0" w:color="9AA3AF" w:themeColor="accent4"/>
        <w:bottom w:val="single" w:sz="8" w:space="0" w:color="9AA3AF" w:themeColor="accent4"/>
      </w:tblBorders>
    </w:tblPr>
    <w:tblStylePr w:type="firstRow">
      <w:pPr>
        <w:spacing w:before="0" w:after="0" w:line="240" w:lineRule="auto"/>
      </w:pPr>
      <w:rPr>
        <w:b/>
        <w:bCs/>
      </w:rPr>
      <w:tblPr/>
      <w:tcPr>
        <w:tcBorders>
          <w:top w:val="single" w:sz="8" w:space="0" w:color="9AA3AF" w:themeColor="accent4"/>
          <w:left w:val="nil"/>
          <w:bottom w:val="single" w:sz="8" w:space="0" w:color="9AA3AF" w:themeColor="accent4"/>
          <w:right w:val="nil"/>
          <w:insideH w:val="nil"/>
          <w:insideV w:val="nil"/>
        </w:tcBorders>
      </w:tcPr>
    </w:tblStylePr>
    <w:tblStylePr w:type="lastRow">
      <w:pPr>
        <w:spacing w:before="0" w:after="0" w:line="240" w:lineRule="auto"/>
      </w:pPr>
      <w:rPr>
        <w:b/>
        <w:bCs/>
      </w:rPr>
      <w:tblPr/>
      <w:tcPr>
        <w:tcBorders>
          <w:top w:val="single" w:sz="8" w:space="0" w:color="9AA3AF" w:themeColor="accent4"/>
          <w:left w:val="nil"/>
          <w:bottom w:val="single" w:sz="8" w:space="0" w:color="9AA3A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8EB" w:themeFill="accent4" w:themeFillTint="3F"/>
      </w:tcPr>
    </w:tblStylePr>
    <w:tblStylePr w:type="band1Horz">
      <w:tblPr/>
      <w:tcPr>
        <w:tcBorders>
          <w:left w:val="nil"/>
          <w:right w:val="nil"/>
          <w:insideH w:val="nil"/>
          <w:insideV w:val="nil"/>
        </w:tcBorders>
        <w:shd w:val="clear" w:color="auto" w:fill="E5E8EB" w:themeFill="accent4" w:themeFillTint="3F"/>
      </w:tcPr>
    </w:tblStylePr>
  </w:style>
  <w:style w:type="table" w:styleId="LightShading-Accent5">
    <w:name w:val="Light Shading Accent 5"/>
    <w:basedOn w:val="TableNormal"/>
    <w:uiPriority w:val="60"/>
    <w:rsid w:val="00223F09"/>
    <w:pPr>
      <w:spacing w:before="0" w:after="0"/>
    </w:pPr>
    <w:rPr>
      <w:rFonts w:ascii="Times New Roman" w:eastAsia="Times New Roman" w:hAnsi="Times New Roman" w:cs="Times New Roman"/>
      <w:color w:val="9BBB4E" w:themeColor="accent5" w:themeShade="BF"/>
      <w:lang w:eastAsia="en-AU"/>
    </w:rPr>
    <w:tblPr>
      <w:tblStyleRowBandSize w:val="1"/>
      <w:tblStyleColBandSize w:val="1"/>
      <w:tblBorders>
        <w:top w:val="single" w:sz="8" w:space="0" w:color="C0D48F" w:themeColor="accent5"/>
        <w:bottom w:val="single" w:sz="8" w:space="0" w:color="C0D48F" w:themeColor="accent5"/>
      </w:tblBorders>
    </w:tblPr>
    <w:tblStylePr w:type="firstRow">
      <w:pPr>
        <w:spacing w:before="0" w:after="0" w:line="240" w:lineRule="auto"/>
      </w:pPr>
      <w:rPr>
        <w:b/>
        <w:bCs/>
      </w:rPr>
      <w:tblPr/>
      <w:tcPr>
        <w:tcBorders>
          <w:top w:val="single" w:sz="8" w:space="0" w:color="C0D48F" w:themeColor="accent5"/>
          <w:left w:val="nil"/>
          <w:bottom w:val="single" w:sz="8" w:space="0" w:color="C0D48F" w:themeColor="accent5"/>
          <w:right w:val="nil"/>
          <w:insideH w:val="nil"/>
          <w:insideV w:val="nil"/>
        </w:tcBorders>
      </w:tcPr>
    </w:tblStylePr>
    <w:tblStylePr w:type="lastRow">
      <w:pPr>
        <w:spacing w:before="0" w:after="0" w:line="240" w:lineRule="auto"/>
      </w:pPr>
      <w:rPr>
        <w:b/>
        <w:bCs/>
      </w:rPr>
      <w:tblPr/>
      <w:tcPr>
        <w:tcBorders>
          <w:top w:val="single" w:sz="8" w:space="0" w:color="C0D48F" w:themeColor="accent5"/>
          <w:left w:val="nil"/>
          <w:bottom w:val="single" w:sz="8" w:space="0" w:color="C0D48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4E3" w:themeFill="accent5" w:themeFillTint="3F"/>
      </w:tcPr>
    </w:tblStylePr>
    <w:tblStylePr w:type="band1Horz">
      <w:tblPr/>
      <w:tcPr>
        <w:tcBorders>
          <w:left w:val="nil"/>
          <w:right w:val="nil"/>
          <w:insideH w:val="nil"/>
          <w:insideV w:val="nil"/>
        </w:tcBorders>
        <w:shd w:val="clear" w:color="auto" w:fill="EFF4E3" w:themeFill="accent5" w:themeFillTint="3F"/>
      </w:tcPr>
    </w:tblStylePr>
  </w:style>
  <w:style w:type="character" w:styleId="LineNumber">
    <w:name w:val="line number"/>
    <w:basedOn w:val="DefaultParagraphFont"/>
    <w:uiPriority w:val="99"/>
    <w:semiHidden/>
    <w:unhideWhenUsed/>
    <w:rsid w:val="00223F09"/>
  </w:style>
  <w:style w:type="table" w:customStyle="1" w:styleId="ListTable1Light1">
    <w:name w:val="List Table 1 Light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rPr>
      <w:tblPr/>
      <w:tcPr>
        <w:tcBorders>
          <w:bottom w:val="single" w:sz="4" w:space="0" w:color="1C68D9" w:themeColor="accent1" w:themeTint="99"/>
        </w:tcBorders>
      </w:tcPr>
    </w:tblStylePr>
    <w:tblStylePr w:type="lastRow">
      <w:rPr>
        <w:b/>
        <w:bCs/>
      </w:rPr>
      <w:tblPr/>
      <w:tcPr>
        <w:tcBorders>
          <w:top w:val="single" w:sz="4" w:space="0" w:color="1C68D9" w:themeColor="accent1" w:themeTint="99"/>
        </w:tcBorders>
      </w:tc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table" w:customStyle="1" w:styleId="ListTable1Light-Accent21">
    <w:name w:val="List Table 1 Light - Accent 2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rPr>
      <w:tblPr/>
      <w:tcPr>
        <w:tcBorders>
          <w:bottom w:val="single" w:sz="4" w:space="0" w:color="92D1D2" w:themeColor="accent2" w:themeTint="99"/>
        </w:tcBorders>
      </w:tcPr>
    </w:tblStylePr>
    <w:tblStylePr w:type="lastRow">
      <w:rPr>
        <w:b/>
        <w:bCs/>
      </w:rPr>
      <w:tblPr/>
      <w:tcPr>
        <w:tcBorders>
          <w:top w:val="single" w:sz="4" w:space="0" w:color="92D1D2" w:themeColor="accent2" w:themeTint="99"/>
        </w:tcBorders>
      </w:tcPr>
    </w:tblStylePr>
    <w:tblStylePr w:type="firstCol">
      <w:rPr>
        <w:b/>
        <w:bCs/>
      </w:rPr>
    </w:tblStylePr>
    <w:tblStylePr w:type="lastCol">
      <w:rPr>
        <w:b/>
        <w:bCs/>
      </w:rPr>
    </w:tblStylePr>
    <w:tblStylePr w:type="band1Vert">
      <w:tblPr/>
      <w:tcPr>
        <w:shd w:val="clear" w:color="auto" w:fill="DAEFF0" w:themeFill="accent2" w:themeFillTint="33"/>
      </w:tcPr>
    </w:tblStylePr>
    <w:tblStylePr w:type="band1Horz">
      <w:tblPr/>
      <w:tcPr>
        <w:shd w:val="clear" w:color="auto" w:fill="DAEFF0" w:themeFill="accent2" w:themeFillTint="33"/>
      </w:tcPr>
    </w:tblStylePr>
  </w:style>
  <w:style w:type="table" w:customStyle="1" w:styleId="ListTable1Light-Accent31">
    <w:name w:val="List Table 1 Light - Accent 3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rPr>
      <w:tblPr/>
      <w:tcPr>
        <w:tcBorders>
          <w:bottom w:val="single" w:sz="4" w:space="0" w:color="ADE3F8" w:themeColor="accent3" w:themeTint="99"/>
        </w:tcBorders>
      </w:tcPr>
    </w:tblStylePr>
    <w:tblStylePr w:type="lastRow">
      <w:rPr>
        <w:b/>
        <w:bCs/>
      </w:rPr>
      <w:tblPr/>
      <w:tcPr>
        <w:tcBorders>
          <w:top w:val="single" w:sz="4" w:space="0" w:color="ADE3F8" w:themeColor="accent3" w:themeTint="99"/>
        </w:tcBorders>
      </w:tc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customStyle="1" w:styleId="ListTable1Light-Accent41">
    <w:name w:val="List Table 1 Light - Accent 4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rPr>
      <w:tblPr/>
      <w:tcPr>
        <w:tcBorders>
          <w:bottom w:val="single" w:sz="4" w:space="0" w:color="C2C7CF" w:themeColor="accent4" w:themeTint="99"/>
        </w:tcBorders>
      </w:tcPr>
    </w:tblStylePr>
    <w:tblStylePr w:type="lastRow">
      <w:rPr>
        <w:b/>
        <w:bCs/>
      </w:rPr>
      <w:tblPr/>
      <w:tcPr>
        <w:tcBorders>
          <w:top w:val="single" w:sz="4" w:space="0" w:color="C2C7CF" w:themeColor="accent4" w:themeTint="99"/>
        </w:tcBorders>
      </w:tc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customStyle="1" w:styleId="ListTable1Light-Accent51">
    <w:name w:val="List Table 1 Light - Accent 5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rPr>
      <w:tblPr/>
      <w:tcPr>
        <w:tcBorders>
          <w:bottom w:val="single" w:sz="4" w:space="0" w:color="D9E5BB" w:themeColor="accent5" w:themeTint="99"/>
        </w:tcBorders>
      </w:tcPr>
    </w:tblStylePr>
    <w:tblStylePr w:type="lastRow">
      <w:rPr>
        <w:b/>
        <w:bCs/>
      </w:rPr>
      <w:tblPr/>
      <w:tcPr>
        <w:tcBorders>
          <w:top w:val="single" w:sz="4" w:space="0" w:color="D9E5BB" w:themeColor="accent5" w:themeTint="99"/>
        </w:tcBorders>
      </w:tc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customStyle="1" w:styleId="ListTable1Light-Accent61">
    <w:name w:val="List Table 1 Light - Accent 61"/>
    <w:basedOn w:val="TableNormal"/>
    <w:uiPriority w:val="46"/>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rPr>
      <w:tblPr/>
      <w:tcPr>
        <w:tcBorders>
          <w:bottom w:val="single" w:sz="4" w:space="0" w:color="A8D9C0" w:themeColor="accent6" w:themeTint="99"/>
        </w:tcBorders>
      </w:tcPr>
    </w:tblStylePr>
    <w:tblStylePr w:type="lastRow">
      <w:rPr>
        <w:b/>
        <w:bCs/>
      </w:rPr>
      <w:tblPr/>
      <w:tcPr>
        <w:tcBorders>
          <w:top w:val="single" w:sz="4" w:space="0" w:color="A8D9C0" w:themeColor="accent6" w:themeTint="99"/>
        </w:tcBorders>
      </w:tc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customStyle="1" w:styleId="ListTable21">
    <w:name w:val="List Table 2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1C68D9" w:themeColor="accent1" w:themeTint="99"/>
        <w:bottom w:val="single" w:sz="4" w:space="0" w:color="1C68D9" w:themeColor="accent1" w:themeTint="99"/>
        <w:insideH w:val="single" w:sz="4" w:space="0" w:color="1C68D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table" w:customStyle="1" w:styleId="ListTable2-Accent21">
    <w:name w:val="List Table 2 - Accent 2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92D1D2" w:themeColor="accent2" w:themeTint="99"/>
        <w:bottom w:val="single" w:sz="4" w:space="0" w:color="92D1D2" w:themeColor="accent2" w:themeTint="99"/>
        <w:insideH w:val="single" w:sz="4" w:space="0" w:color="92D1D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F0" w:themeFill="accent2" w:themeFillTint="33"/>
      </w:tcPr>
    </w:tblStylePr>
    <w:tblStylePr w:type="band1Horz">
      <w:tblPr/>
      <w:tcPr>
        <w:shd w:val="clear" w:color="auto" w:fill="DAEFF0" w:themeFill="accent2" w:themeFillTint="33"/>
      </w:tcPr>
    </w:tblStylePr>
  </w:style>
  <w:style w:type="table" w:customStyle="1" w:styleId="ListTable2-Accent31">
    <w:name w:val="List Table 2 - Accent 3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ADE3F8" w:themeColor="accent3" w:themeTint="99"/>
        <w:bottom w:val="single" w:sz="4" w:space="0" w:color="ADE3F8" w:themeColor="accent3" w:themeTint="99"/>
        <w:insideH w:val="single" w:sz="4" w:space="0" w:color="ADE3F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customStyle="1" w:styleId="ListTable2-Accent41">
    <w:name w:val="List Table 2 - Accent 4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C2C7CF" w:themeColor="accent4" w:themeTint="99"/>
        <w:bottom w:val="single" w:sz="4" w:space="0" w:color="C2C7CF" w:themeColor="accent4" w:themeTint="99"/>
        <w:insideH w:val="single" w:sz="4" w:space="0" w:color="C2C7C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customStyle="1" w:styleId="ListTable2-Accent51">
    <w:name w:val="List Table 2 - Accent 5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D9E5BB" w:themeColor="accent5" w:themeTint="99"/>
        <w:bottom w:val="single" w:sz="4" w:space="0" w:color="D9E5BB" w:themeColor="accent5" w:themeTint="99"/>
        <w:insideH w:val="single" w:sz="4" w:space="0" w:color="D9E5B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customStyle="1" w:styleId="ListTable2-Accent61">
    <w:name w:val="List Table 2 - Accent 61"/>
    <w:basedOn w:val="TableNormal"/>
    <w:uiPriority w:val="4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A8D9C0" w:themeColor="accent6" w:themeTint="99"/>
        <w:bottom w:val="single" w:sz="4" w:space="0" w:color="A8D9C0" w:themeColor="accent6" w:themeTint="99"/>
        <w:insideH w:val="single" w:sz="4" w:space="0" w:color="A8D9C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customStyle="1" w:styleId="ListTable31">
    <w:name w:val="List Table 3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081E3E" w:themeColor="accent1"/>
        <w:left w:val="single" w:sz="4" w:space="0" w:color="081E3E" w:themeColor="accent1"/>
        <w:bottom w:val="single" w:sz="4" w:space="0" w:color="081E3E" w:themeColor="accent1"/>
        <w:right w:val="single" w:sz="4" w:space="0" w:color="081E3E" w:themeColor="accent1"/>
      </w:tblBorders>
    </w:tblPr>
    <w:tblStylePr w:type="firstRow">
      <w:rPr>
        <w:b/>
        <w:bCs/>
        <w:color w:val="FFFFFF" w:themeColor="background1"/>
      </w:rPr>
      <w:tblPr/>
      <w:tcPr>
        <w:shd w:val="clear" w:color="auto" w:fill="081E3E" w:themeFill="accent1"/>
      </w:tcPr>
    </w:tblStylePr>
    <w:tblStylePr w:type="lastRow">
      <w:rPr>
        <w:b/>
        <w:bCs/>
      </w:rPr>
      <w:tblPr/>
      <w:tcPr>
        <w:tcBorders>
          <w:top w:val="double" w:sz="4" w:space="0" w:color="081E3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81E3E" w:themeColor="accent1"/>
          <w:right w:val="single" w:sz="4" w:space="0" w:color="081E3E" w:themeColor="accent1"/>
        </w:tcBorders>
      </w:tcPr>
    </w:tblStylePr>
    <w:tblStylePr w:type="band1Horz">
      <w:tblPr/>
      <w:tcPr>
        <w:tcBorders>
          <w:top w:val="single" w:sz="4" w:space="0" w:color="081E3E" w:themeColor="accent1"/>
          <w:bottom w:val="single" w:sz="4" w:space="0" w:color="081E3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81E3E" w:themeColor="accent1"/>
          <w:left w:val="nil"/>
        </w:tcBorders>
      </w:tcPr>
    </w:tblStylePr>
    <w:tblStylePr w:type="swCell">
      <w:tblPr/>
      <w:tcPr>
        <w:tcBorders>
          <w:top w:val="double" w:sz="4" w:space="0" w:color="081E3E" w:themeColor="accent1"/>
          <w:right w:val="nil"/>
        </w:tcBorders>
      </w:tcPr>
    </w:tblStylePr>
  </w:style>
  <w:style w:type="table" w:customStyle="1" w:styleId="ListTable3-Accent21">
    <w:name w:val="List Table 3 - Accent 2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4BB3B5" w:themeColor="accent2"/>
        <w:left w:val="single" w:sz="4" w:space="0" w:color="4BB3B5" w:themeColor="accent2"/>
        <w:bottom w:val="single" w:sz="4" w:space="0" w:color="4BB3B5" w:themeColor="accent2"/>
        <w:right w:val="single" w:sz="4" w:space="0" w:color="4BB3B5" w:themeColor="accent2"/>
      </w:tblBorders>
    </w:tblPr>
    <w:tblStylePr w:type="firstRow">
      <w:rPr>
        <w:b/>
        <w:bCs/>
        <w:color w:val="FFFFFF" w:themeColor="background1"/>
      </w:rPr>
      <w:tblPr/>
      <w:tcPr>
        <w:shd w:val="clear" w:color="auto" w:fill="4BB3B5" w:themeFill="accent2"/>
      </w:tcPr>
    </w:tblStylePr>
    <w:tblStylePr w:type="lastRow">
      <w:rPr>
        <w:b/>
        <w:bCs/>
      </w:rPr>
      <w:tblPr/>
      <w:tcPr>
        <w:tcBorders>
          <w:top w:val="double" w:sz="4" w:space="0" w:color="4BB3B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B3B5" w:themeColor="accent2"/>
          <w:right w:val="single" w:sz="4" w:space="0" w:color="4BB3B5" w:themeColor="accent2"/>
        </w:tcBorders>
      </w:tcPr>
    </w:tblStylePr>
    <w:tblStylePr w:type="band1Horz">
      <w:tblPr/>
      <w:tcPr>
        <w:tcBorders>
          <w:top w:val="single" w:sz="4" w:space="0" w:color="4BB3B5" w:themeColor="accent2"/>
          <w:bottom w:val="single" w:sz="4" w:space="0" w:color="4BB3B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B3B5" w:themeColor="accent2"/>
          <w:left w:val="nil"/>
        </w:tcBorders>
      </w:tcPr>
    </w:tblStylePr>
    <w:tblStylePr w:type="swCell">
      <w:tblPr/>
      <w:tcPr>
        <w:tcBorders>
          <w:top w:val="double" w:sz="4" w:space="0" w:color="4BB3B5" w:themeColor="accent2"/>
          <w:right w:val="nil"/>
        </w:tcBorders>
      </w:tcPr>
    </w:tblStylePr>
  </w:style>
  <w:style w:type="table" w:customStyle="1" w:styleId="ListTable3-Accent31">
    <w:name w:val="List Table 3 - Accent 3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77D1F4" w:themeColor="accent3"/>
        <w:left w:val="single" w:sz="4" w:space="0" w:color="77D1F4" w:themeColor="accent3"/>
        <w:bottom w:val="single" w:sz="4" w:space="0" w:color="77D1F4" w:themeColor="accent3"/>
        <w:right w:val="single" w:sz="4" w:space="0" w:color="77D1F4" w:themeColor="accent3"/>
      </w:tblBorders>
    </w:tblPr>
    <w:tblStylePr w:type="firstRow">
      <w:rPr>
        <w:b/>
        <w:bCs/>
        <w:color w:val="FFFFFF" w:themeColor="background1"/>
      </w:rPr>
      <w:tblPr/>
      <w:tcPr>
        <w:shd w:val="clear" w:color="auto" w:fill="77D1F4" w:themeFill="accent3"/>
      </w:tcPr>
    </w:tblStylePr>
    <w:tblStylePr w:type="lastRow">
      <w:rPr>
        <w:b/>
        <w:bCs/>
      </w:rPr>
      <w:tblPr/>
      <w:tcPr>
        <w:tcBorders>
          <w:top w:val="double" w:sz="4" w:space="0" w:color="77D1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7D1F4" w:themeColor="accent3"/>
          <w:right w:val="single" w:sz="4" w:space="0" w:color="77D1F4" w:themeColor="accent3"/>
        </w:tcBorders>
      </w:tcPr>
    </w:tblStylePr>
    <w:tblStylePr w:type="band1Horz">
      <w:tblPr/>
      <w:tcPr>
        <w:tcBorders>
          <w:top w:val="single" w:sz="4" w:space="0" w:color="77D1F4" w:themeColor="accent3"/>
          <w:bottom w:val="single" w:sz="4" w:space="0" w:color="77D1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D1F4" w:themeColor="accent3"/>
          <w:left w:val="nil"/>
        </w:tcBorders>
      </w:tcPr>
    </w:tblStylePr>
    <w:tblStylePr w:type="swCell">
      <w:tblPr/>
      <w:tcPr>
        <w:tcBorders>
          <w:top w:val="double" w:sz="4" w:space="0" w:color="77D1F4" w:themeColor="accent3"/>
          <w:right w:val="nil"/>
        </w:tcBorders>
      </w:tcPr>
    </w:tblStylePr>
  </w:style>
  <w:style w:type="table" w:customStyle="1" w:styleId="ListTable3-Accent41">
    <w:name w:val="List Table 3 - Accent 4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9AA3AF" w:themeColor="accent4"/>
        <w:left w:val="single" w:sz="4" w:space="0" w:color="9AA3AF" w:themeColor="accent4"/>
        <w:bottom w:val="single" w:sz="4" w:space="0" w:color="9AA3AF" w:themeColor="accent4"/>
        <w:right w:val="single" w:sz="4" w:space="0" w:color="9AA3AF" w:themeColor="accent4"/>
      </w:tblBorders>
    </w:tblPr>
    <w:tblStylePr w:type="firstRow">
      <w:rPr>
        <w:b/>
        <w:bCs/>
        <w:color w:val="FFFFFF" w:themeColor="background1"/>
      </w:rPr>
      <w:tblPr/>
      <w:tcPr>
        <w:shd w:val="clear" w:color="auto" w:fill="9AA3AF" w:themeFill="accent4"/>
      </w:tcPr>
    </w:tblStylePr>
    <w:tblStylePr w:type="lastRow">
      <w:rPr>
        <w:b/>
        <w:bCs/>
      </w:rPr>
      <w:tblPr/>
      <w:tcPr>
        <w:tcBorders>
          <w:top w:val="double" w:sz="4" w:space="0" w:color="9AA3A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A3AF" w:themeColor="accent4"/>
          <w:right w:val="single" w:sz="4" w:space="0" w:color="9AA3AF" w:themeColor="accent4"/>
        </w:tcBorders>
      </w:tcPr>
    </w:tblStylePr>
    <w:tblStylePr w:type="band1Horz">
      <w:tblPr/>
      <w:tcPr>
        <w:tcBorders>
          <w:top w:val="single" w:sz="4" w:space="0" w:color="9AA3AF" w:themeColor="accent4"/>
          <w:bottom w:val="single" w:sz="4" w:space="0" w:color="9AA3A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A3AF" w:themeColor="accent4"/>
          <w:left w:val="nil"/>
        </w:tcBorders>
      </w:tcPr>
    </w:tblStylePr>
    <w:tblStylePr w:type="swCell">
      <w:tblPr/>
      <w:tcPr>
        <w:tcBorders>
          <w:top w:val="double" w:sz="4" w:space="0" w:color="9AA3AF" w:themeColor="accent4"/>
          <w:right w:val="nil"/>
        </w:tcBorders>
      </w:tcPr>
    </w:tblStylePr>
  </w:style>
  <w:style w:type="table" w:customStyle="1" w:styleId="ListTable3-Accent51">
    <w:name w:val="List Table 3 - Accent 5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C0D48F" w:themeColor="accent5"/>
        <w:left w:val="single" w:sz="4" w:space="0" w:color="C0D48F" w:themeColor="accent5"/>
        <w:bottom w:val="single" w:sz="4" w:space="0" w:color="C0D48F" w:themeColor="accent5"/>
        <w:right w:val="single" w:sz="4" w:space="0" w:color="C0D48F" w:themeColor="accent5"/>
      </w:tblBorders>
    </w:tblPr>
    <w:tblStylePr w:type="firstRow">
      <w:rPr>
        <w:b/>
        <w:bCs/>
        <w:color w:val="FFFFFF" w:themeColor="background1"/>
      </w:rPr>
      <w:tblPr/>
      <w:tcPr>
        <w:shd w:val="clear" w:color="auto" w:fill="C0D48F" w:themeFill="accent5"/>
      </w:tcPr>
    </w:tblStylePr>
    <w:tblStylePr w:type="lastRow">
      <w:rPr>
        <w:b/>
        <w:bCs/>
      </w:rPr>
      <w:tblPr/>
      <w:tcPr>
        <w:tcBorders>
          <w:top w:val="double" w:sz="4" w:space="0" w:color="C0D48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D48F" w:themeColor="accent5"/>
          <w:right w:val="single" w:sz="4" w:space="0" w:color="C0D48F" w:themeColor="accent5"/>
        </w:tcBorders>
      </w:tcPr>
    </w:tblStylePr>
    <w:tblStylePr w:type="band1Horz">
      <w:tblPr/>
      <w:tcPr>
        <w:tcBorders>
          <w:top w:val="single" w:sz="4" w:space="0" w:color="C0D48F" w:themeColor="accent5"/>
          <w:bottom w:val="single" w:sz="4" w:space="0" w:color="C0D48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D48F" w:themeColor="accent5"/>
          <w:left w:val="nil"/>
        </w:tcBorders>
      </w:tcPr>
    </w:tblStylePr>
    <w:tblStylePr w:type="swCell">
      <w:tblPr/>
      <w:tcPr>
        <w:tcBorders>
          <w:top w:val="double" w:sz="4" w:space="0" w:color="C0D48F" w:themeColor="accent5"/>
          <w:right w:val="nil"/>
        </w:tcBorders>
      </w:tcPr>
    </w:tblStylePr>
  </w:style>
  <w:style w:type="table" w:customStyle="1" w:styleId="ListTable3-Accent61">
    <w:name w:val="List Table 3 - Accent 61"/>
    <w:basedOn w:val="TableNormal"/>
    <w:uiPriority w:val="48"/>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6FC197" w:themeColor="accent6"/>
        <w:left w:val="single" w:sz="4" w:space="0" w:color="6FC197" w:themeColor="accent6"/>
        <w:bottom w:val="single" w:sz="4" w:space="0" w:color="6FC197" w:themeColor="accent6"/>
        <w:right w:val="single" w:sz="4" w:space="0" w:color="6FC197" w:themeColor="accent6"/>
      </w:tblBorders>
    </w:tblPr>
    <w:tblStylePr w:type="firstRow">
      <w:rPr>
        <w:b/>
        <w:bCs/>
        <w:color w:val="FFFFFF" w:themeColor="background1"/>
      </w:rPr>
      <w:tblPr/>
      <w:tcPr>
        <w:shd w:val="clear" w:color="auto" w:fill="6FC197" w:themeFill="accent6"/>
      </w:tcPr>
    </w:tblStylePr>
    <w:tblStylePr w:type="lastRow">
      <w:rPr>
        <w:b/>
        <w:bCs/>
      </w:rPr>
      <w:tblPr/>
      <w:tcPr>
        <w:tcBorders>
          <w:top w:val="double" w:sz="4" w:space="0" w:color="6FC19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C197" w:themeColor="accent6"/>
          <w:right w:val="single" w:sz="4" w:space="0" w:color="6FC197" w:themeColor="accent6"/>
        </w:tcBorders>
      </w:tcPr>
    </w:tblStylePr>
    <w:tblStylePr w:type="band1Horz">
      <w:tblPr/>
      <w:tcPr>
        <w:tcBorders>
          <w:top w:val="single" w:sz="4" w:space="0" w:color="6FC197" w:themeColor="accent6"/>
          <w:bottom w:val="single" w:sz="4" w:space="0" w:color="6FC19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C197" w:themeColor="accent6"/>
          <w:left w:val="nil"/>
        </w:tcBorders>
      </w:tcPr>
    </w:tblStylePr>
    <w:tblStylePr w:type="swCell">
      <w:tblPr/>
      <w:tcPr>
        <w:tcBorders>
          <w:top w:val="double" w:sz="4" w:space="0" w:color="6FC197" w:themeColor="accent6"/>
          <w:right w:val="nil"/>
        </w:tcBorders>
      </w:tcPr>
    </w:tblStylePr>
  </w:style>
  <w:style w:type="table" w:customStyle="1" w:styleId="ListTable41">
    <w:name w:val="List Table 4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1C68D9" w:themeColor="accent1" w:themeTint="99"/>
        <w:left w:val="single" w:sz="4" w:space="0" w:color="1C68D9" w:themeColor="accent1" w:themeTint="99"/>
        <w:bottom w:val="single" w:sz="4" w:space="0" w:color="1C68D9" w:themeColor="accent1" w:themeTint="99"/>
        <w:right w:val="single" w:sz="4" w:space="0" w:color="1C68D9" w:themeColor="accent1" w:themeTint="99"/>
        <w:insideH w:val="single" w:sz="4" w:space="0" w:color="1C68D9" w:themeColor="accent1" w:themeTint="99"/>
      </w:tblBorders>
    </w:tblPr>
    <w:tblStylePr w:type="firstRow">
      <w:rPr>
        <w:b/>
        <w:bCs/>
        <w:color w:val="FFFFFF" w:themeColor="background1"/>
      </w:rPr>
      <w:tblPr/>
      <w:tcPr>
        <w:tcBorders>
          <w:top w:val="single" w:sz="4" w:space="0" w:color="081E3E" w:themeColor="accent1"/>
          <w:left w:val="single" w:sz="4" w:space="0" w:color="081E3E" w:themeColor="accent1"/>
          <w:bottom w:val="single" w:sz="4" w:space="0" w:color="081E3E" w:themeColor="accent1"/>
          <w:right w:val="single" w:sz="4" w:space="0" w:color="081E3E" w:themeColor="accent1"/>
          <w:insideH w:val="nil"/>
        </w:tcBorders>
        <w:shd w:val="clear" w:color="auto" w:fill="081E3E" w:themeFill="accent1"/>
      </w:tcPr>
    </w:tblStylePr>
    <w:tblStylePr w:type="lastRow">
      <w:rPr>
        <w:b/>
        <w:bCs/>
      </w:rPr>
      <w:tblPr/>
      <w:tcPr>
        <w:tcBorders>
          <w:top w:val="double" w:sz="4" w:space="0" w:color="1C68D9" w:themeColor="accent1" w:themeTint="99"/>
        </w:tcBorders>
      </w:tc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table" w:customStyle="1" w:styleId="ListTable4-Accent21">
    <w:name w:val="List Table 4 - Accent 2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92D1D2" w:themeColor="accent2" w:themeTint="99"/>
        <w:left w:val="single" w:sz="4" w:space="0" w:color="92D1D2" w:themeColor="accent2" w:themeTint="99"/>
        <w:bottom w:val="single" w:sz="4" w:space="0" w:color="92D1D2" w:themeColor="accent2" w:themeTint="99"/>
        <w:right w:val="single" w:sz="4" w:space="0" w:color="92D1D2" w:themeColor="accent2" w:themeTint="99"/>
        <w:insideH w:val="single" w:sz="4" w:space="0" w:color="92D1D2" w:themeColor="accent2" w:themeTint="99"/>
      </w:tblBorders>
    </w:tblPr>
    <w:tblStylePr w:type="firstRow">
      <w:rPr>
        <w:b/>
        <w:bCs/>
        <w:color w:val="FFFFFF" w:themeColor="background1"/>
      </w:rPr>
      <w:tblPr/>
      <w:tcPr>
        <w:tcBorders>
          <w:top w:val="single" w:sz="4" w:space="0" w:color="4BB3B5" w:themeColor="accent2"/>
          <w:left w:val="single" w:sz="4" w:space="0" w:color="4BB3B5" w:themeColor="accent2"/>
          <w:bottom w:val="single" w:sz="4" w:space="0" w:color="4BB3B5" w:themeColor="accent2"/>
          <w:right w:val="single" w:sz="4" w:space="0" w:color="4BB3B5" w:themeColor="accent2"/>
          <w:insideH w:val="nil"/>
        </w:tcBorders>
        <w:shd w:val="clear" w:color="auto" w:fill="4BB3B5" w:themeFill="accent2"/>
      </w:tcPr>
    </w:tblStylePr>
    <w:tblStylePr w:type="lastRow">
      <w:rPr>
        <w:b/>
        <w:bCs/>
      </w:rPr>
      <w:tblPr/>
      <w:tcPr>
        <w:tcBorders>
          <w:top w:val="double" w:sz="4" w:space="0" w:color="92D1D2" w:themeColor="accent2" w:themeTint="99"/>
        </w:tcBorders>
      </w:tcPr>
    </w:tblStylePr>
    <w:tblStylePr w:type="firstCol">
      <w:rPr>
        <w:b/>
        <w:bCs/>
      </w:rPr>
    </w:tblStylePr>
    <w:tblStylePr w:type="lastCol">
      <w:rPr>
        <w:b/>
        <w:bCs/>
      </w:rPr>
    </w:tblStylePr>
    <w:tblStylePr w:type="band1Vert">
      <w:tblPr/>
      <w:tcPr>
        <w:shd w:val="clear" w:color="auto" w:fill="DAEFF0" w:themeFill="accent2" w:themeFillTint="33"/>
      </w:tcPr>
    </w:tblStylePr>
    <w:tblStylePr w:type="band1Horz">
      <w:tblPr/>
      <w:tcPr>
        <w:shd w:val="clear" w:color="auto" w:fill="DAEFF0" w:themeFill="accent2" w:themeFillTint="33"/>
      </w:tcPr>
    </w:tblStylePr>
  </w:style>
  <w:style w:type="table" w:customStyle="1" w:styleId="ListTable4-Accent31">
    <w:name w:val="List Table 4 - Accent 3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ADE3F8" w:themeColor="accent3" w:themeTint="99"/>
        <w:left w:val="single" w:sz="4" w:space="0" w:color="ADE3F8" w:themeColor="accent3" w:themeTint="99"/>
        <w:bottom w:val="single" w:sz="4" w:space="0" w:color="ADE3F8" w:themeColor="accent3" w:themeTint="99"/>
        <w:right w:val="single" w:sz="4" w:space="0" w:color="ADE3F8" w:themeColor="accent3" w:themeTint="99"/>
        <w:insideH w:val="single" w:sz="4" w:space="0" w:color="ADE3F8" w:themeColor="accent3" w:themeTint="99"/>
      </w:tblBorders>
    </w:tblPr>
    <w:tblStylePr w:type="firstRow">
      <w:rPr>
        <w:b/>
        <w:bCs/>
        <w:color w:val="FFFFFF" w:themeColor="background1"/>
      </w:rPr>
      <w:tblPr/>
      <w:tcPr>
        <w:tcBorders>
          <w:top w:val="single" w:sz="4" w:space="0" w:color="77D1F4" w:themeColor="accent3"/>
          <w:left w:val="single" w:sz="4" w:space="0" w:color="77D1F4" w:themeColor="accent3"/>
          <w:bottom w:val="single" w:sz="4" w:space="0" w:color="77D1F4" w:themeColor="accent3"/>
          <w:right w:val="single" w:sz="4" w:space="0" w:color="77D1F4" w:themeColor="accent3"/>
          <w:insideH w:val="nil"/>
        </w:tcBorders>
        <w:shd w:val="clear" w:color="auto" w:fill="77D1F4" w:themeFill="accent3"/>
      </w:tcPr>
    </w:tblStylePr>
    <w:tblStylePr w:type="lastRow">
      <w:rPr>
        <w:b/>
        <w:bCs/>
      </w:rPr>
      <w:tblPr/>
      <w:tcPr>
        <w:tcBorders>
          <w:top w:val="double" w:sz="4" w:space="0" w:color="ADE3F8" w:themeColor="accent3" w:themeTint="99"/>
        </w:tcBorders>
      </w:tc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customStyle="1" w:styleId="ListTable4-Accent41">
    <w:name w:val="List Table 4 - Accent 4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C2C7CF" w:themeColor="accent4" w:themeTint="99"/>
        <w:left w:val="single" w:sz="4" w:space="0" w:color="C2C7CF" w:themeColor="accent4" w:themeTint="99"/>
        <w:bottom w:val="single" w:sz="4" w:space="0" w:color="C2C7CF" w:themeColor="accent4" w:themeTint="99"/>
        <w:right w:val="single" w:sz="4" w:space="0" w:color="C2C7CF" w:themeColor="accent4" w:themeTint="99"/>
        <w:insideH w:val="single" w:sz="4" w:space="0" w:color="C2C7CF" w:themeColor="accent4" w:themeTint="99"/>
      </w:tblBorders>
    </w:tblPr>
    <w:tblStylePr w:type="firstRow">
      <w:rPr>
        <w:b/>
        <w:bCs/>
        <w:color w:val="FFFFFF" w:themeColor="background1"/>
      </w:rPr>
      <w:tblPr/>
      <w:tcPr>
        <w:tcBorders>
          <w:top w:val="single" w:sz="4" w:space="0" w:color="9AA3AF" w:themeColor="accent4"/>
          <w:left w:val="single" w:sz="4" w:space="0" w:color="9AA3AF" w:themeColor="accent4"/>
          <w:bottom w:val="single" w:sz="4" w:space="0" w:color="9AA3AF" w:themeColor="accent4"/>
          <w:right w:val="single" w:sz="4" w:space="0" w:color="9AA3AF" w:themeColor="accent4"/>
          <w:insideH w:val="nil"/>
        </w:tcBorders>
        <w:shd w:val="clear" w:color="auto" w:fill="9AA3AF" w:themeFill="accent4"/>
      </w:tcPr>
    </w:tblStylePr>
    <w:tblStylePr w:type="lastRow">
      <w:rPr>
        <w:b/>
        <w:bCs/>
      </w:rPr>
      <w:tblPr/>
      <w:tcPr>
        <w:tcBorders>
          <w:top w:val="double" w:sz="4" w:space="0" w:color="C2C7CF" w:themeColor="accent4" w:themeTint="99"/>
        </w:tcBorders>
      </w:tc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customStyle="1" w:styleId="ListTable4-Accent51">
    <w:name w:val="List Table 4 - Accent 5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D9E5BB" w:themeColor="accent5" w:themeTint="99"/>
        <w:left w:val="single" w:sz="4" w:space="0" w:color="D9E5BB" w:themeColor="accent5" w:themeTint="99"/>
        <w:bottom w:val="single" w:sz="4" w:space="0" w:color="D9E5BB" w:themeColor="accent5" w:themeTint="99"/>
        <w:right w:val="single" w:sz="4" w:space="0" w:color="D9E5BB" w:themeColor="accent5" w:themeTint="99"/>
        <w:insideH w:val="single" w:sz="4" w:space="0" w:color="D9E5BB" w:themeColor="accent5" w:themeTint="99"/>
      </w:tblBorders>
    </w:tblPr>
    <w:tblStylePr w:type="firstRow">
      <w:rPr>
        <w:b/>
        <w:bCs/>
        <w:color w:val="FFFFFF" w:themeColor="background1"/>
      </w:rPr>
      <w:tblPr/>
      <w:tcPr>
        <w:tcBorders>
          <w:top w:val="single" w:sz="4" w:space="0" w:color="C0D48F" w:themeColor="accent5"/>
          <w:left w:val="single" w:sz="4" w:space="0" w:color="C0D48F" w:themeColor="accent5"/>
          <w:bottom w:val="single" w:sz="4" w:space="0" w:color="C0D48F" w:themeColor="accent5"/>
          <w:right w:val="single" w:sz="4" w:space="0" w:color="C0D48F" w:themeColor="accent5"/>
          <w:insideH w:val="nil"/>
        </w:tcBorders>
        <w:shd w:val="clear" w:color="auto" w:fill="C0D48F" w:themeFill="accent5"/>
      </w:tcPr>
    </w:tblStylePr>
    <w:tblStylePr w:type="lastRow">
      <w:rPr>
        <w:b/>
        <w:bCs/>
      </w:rPr>
      <w:tblPr/>
      <w:tcPr>
        <w:tcBorders>
          <w:top w:val="double" w:sz="4" w:space="0" w:color="D9E5BB" w:themeColor="accent5" w:themeTint="99"/>
        </w:tcBorders>
      </w:tc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customStyle="1" w:styleId="ListTable4-Accent61">
    <w:name w:val="List Table 4 - Accent 61"/>
    <w:basedOn w:val="TableNormal"/>
    <w:uiPriority w:val="4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A8D9C0" w:themeColor="accent6" w:themeTint="99"/>
        <w:left w:val="single" w:sz="4" w:space="0" w:color="A8D9C0" w:themeColor="accent6" w:themeTint="99"/>
        <w:bottom w:val="single" w:sz="4" w:space="0" w:color="A8D9C0" w:themeColor="accent6" w:themeTint="99"/>
        <w:right w:val="single" w:sz="4" w:space="0" w:color="A8D9C0" w:themeColor="accent6" w:themeTint="99"/>
        <w:insideH w:val="single" w:sz="4" w:space="0" w:color="A8D9C0" w:themeColor="accent6" w:themeTint="99"/>
      </w:tblBorders>
    </w:tblPr>
    <w:tblStylePr w:type="firstRow">
      <w:rPr>
        <w:b/>
        <w:bCs/>
        <w:color w:val="FFFFFF" w:themeColor="background1"/>
      </w:rPr>
      <w:tblPr/>
      <w:tcPr>
        <w:tcBorders>
          <w:top w:val="single" w:sz="4" w:space="0" w:color="6FC197" w:themeColor="accent6"/>
          <w:left w:val="single" w:sz="4" w:space="0" w:color="6FC197" w:themeColor="accent6"/>
          <w:bottom w:val="single" w:sz="4" w:space="0" w:color="6FC197" w:themeColor="accent6"/>
          <w:right w:val="single" w:sz="4" w:space="0" w:color="6FC197" w:themeColor="accent6"/>
          <w:insideH w:val="nil"/>
        </w:tcBorders>
        <w:shd w:val="clear" w:color="auto" w:fill="6FC197" w:themeFill="accent6"/>
      </w:tcPr>
    </w:tblStylePr>
    <w:tblStylePr w:type="lastRow">
      <w:rPr>
        <w:b/>
        <w:bCs/>
      </w:rPr>
      <w:tblPr/>
      <w:tcPr>
        <w:tcBorders>
          <w:top w:val="double" w:sz="4" w:space="0" w:color="A8D9C0" w:themeColor="accent6" w:themeTint="99"/>
        </w:tcBorders>
      </w:tc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customStyle="1" w:styleId="ListTable5Dark1">
    <w:name w:val="List Table 5 Dark1"/>
    <w:basedOn w:val="TableNormal"/>
    <w:uiPriority w:val="5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Borders>
        <w:top w:val="single" w:sz="24" w:space="0" w:color="081E3E" w:themeColor="accent1"/>
        <w:left w:val="single" w:sz="24" w:space="0" w:color="081E3E" w:themeColor="accent1"/>
        <w:bottom w:val="single" w:sz="24" w:space="0" w:color="081E3E" w:themeColor="accent1"/>
        <w:right w:val="single" w:sz="24" w:space="0" w:color="081E3E" w:themeColor="accent1"/>
      </w:tblBorders>
    </w:tblPr>
    <w:tcPr>
      <w:shd w:val="clear" w:color="auto" w:fill="081E3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Borders>
        <w:top w:val="single" w:sz="24" w:space="0" w:color="4BB3B5" w:themeColor="accent2"/>
        <w:left w:val="single" w:sz="24" w:space="0" w:color="4BB3B5" w:themeColor="accent2"/>
        <w:bottom w:val="single" w:sz="24" w:space="0" w:color="4BB3B5" w:themeColor="accent2"/>
        <w:right w:val="single" w:sz="24" w:space="0" w:color="4BB3B5" w:themeColor="accent2"/>
      </w:tblBorders>
    </w:tblPr>
    <w:tcPr>
      <w:shd w:val="clear" w:color="auto" w:fill="4BB3B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Borders>
        <w:top w:val="single" w:sz="24" w:space="0" w:color="77D1F4" w:themeColor="accent3"/>
        <w:left w:val="single" w:sz="24" w:space="0" w:color="77D1F4" w:themeColor="accent3"/>
        <w:bottom w:val="single" w:sz="24" w:space="0" w:color="77D1F4" w:themeColor="accent3"/>
        <w:right w:val="single" w:sz="24" w:space="0" w:color="77D1F4" w:themeColor="accent3"/>
      </w:tblBorders>
    </w:tblPr>
    <w:tcPr>
      <w:shd w:val="clear" w:color="auto" w:fill="77D1F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Borders>
        <w:top w:val="single" w:sz="24" w:space="0" w:color="9AA3AF" w:themeColor="accent4"/>
        <w:left w:val="single" w:sz="24" w:space="0" w:color="9AA3AF" w:themeColor="accent4"/>
        <w:bottom w:val="single" w:sz="24" w:space="0" w:color="9AA3AF" w:themeColor="accent4"/>
        <w:right w:val="single" w:sz="24" w:space="0" w:color="9AA3AF" w:themeColor="accent4"/>
      </w:tblBorders>
    </w:tblPr>
    <w:tcPr>
      <w:shd w:val="clear" w:color="auto" w:fill="9AA3A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Borders>
        <w:top w:val="single" w:sz="24" w:space="0" w:color="C0D48F" w:themeColor="accent5"/>
        <w:left w:val="single" w:sz="24" w:space="0" w:color="C0D48F" w:themeColor="accent5"/>
        <w:bottom w:val="single" w:sz="24" w:space="0" w:color="C0D48F" w:themeColor="accent5"/>
        <w:right w:val="single" w:sz="24" w:space="0" w:color="C0D48F" w:themeColor="accent5"/>
      </w:tblBorders>
    </w:tblPr>
    <w:tcPr>
      <w:shd w:val="clear" w:color="auto" w:fill="C0D48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223F09"/>
    <w:pPr>
      <w:spacing w:before="0" w:after="0"/>
    </w:pPr>
    <w:rPr>
      <w:rFonts w:ascii="Times New Roman" w:eastAsia="Times New Roman" w:hAnsi="Times New Roman" w:cs="Times New Roman"/>
      <w:color w:val="FFFFFF" w:themeColor="background1"/>
      <w:lang w:eastAsia="en-AU"/>
    </w:rPr>
    <w:tblPr>
      <w:tblStyleRowBandSize w:val="1"/>
      <w:tblStyleColBandSize w:val="1"/>
      <w:tblBorders>
        <w:top w:val="single" w:sz="24" w:space="0" w:color="6FC197" w:themeColor="accent6"/>
        <w:left w:val="single" w:sz="24" w:space="0" w:color="6FC197" w:themeColor="accent6"/>
        <w:bottom w:val="single" w:sz="24" w:space="0" w:color="6FC197" w:themeColor="accent6"/>
        <w:right w:val="single" w:sz="24" w:space="0" w:color="6FC197" w:themeColor="accent6"/>
      </w:tblBorders>
    </w:tblPr>
    <w:tcPr>
      <w:shd w:val="clear" w:color="auto" w:fill="6FC19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223F09"/>
    <w:pPr>
      <w:spacing w:before="0" w:after="0"/>
    </w:pPr>
    <w:rPr>
      <w:rFonts w:ascii="Times New Roman" w:eastAsia="Times New Roman" w:hAnsi="Times New Roman" w:cs="Times New Roman"/>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223F09"/>
    <w:pPr>
      <w:spacing w:before="0" w:after="0"/>
    </w:pPr>
    <w:rPr>
      <w:rFonts w:ascii="Times New Roman" w:eastAsia="Times New Roman" w:hAnsi="Times New Roman" w:cs="Times New Roman"/>
      <w:color w:val="06162E" w:themeColor="accent1" w:themeShade="BF"/>
      <w:lang w:eastAsia="en-AU"/>
    </w:rPr>
    <w:tblPr>
      <w:tblStyleRowBandSize w:val="1"/>
      <w:tblStyleColBandSize w:val="1"/>
      <w:tblBorders>
        <w:top w:val="single" w:sz="4" w:space="0" w:color="081E3E" w:themeColor="accent1"/>
        <w:bottom w:val="single" w:sz="4" w:space="0" w:color="081E3E" w:themeColor="accent1"/>
      </w:tblBorders>
    </w:tblPr>
    <w:tblStylePr w:type="firstRow">
      <w:rPr>
        <w:b/>
        <w:bCs/>
      </w:rPr>
      <w:tblPr/>
      <w:tcPr>
        <w:tcBorders>
          <w:bottom w:val="single" w:sz="4" w:space="0" w:color="081E3E" w:themeColor="accent1"/>
        </w:tcBorders>
      </w:tcPr>
    </w:tblStylePr>
    <w:tblStylePr w:type="lastRow">
      <w:rPr>
        <w:b/>
        <w:bCs/>
      </w:rPr>
      <w:tblPr/>
      <w:tcPr>
        <w:tcBorders>
          <w:top w:val="double" w:sz="4" w:space="0" w:color="081E3E" w:themeColor="accent1"/>
        </w:tcBorders>
      </w:tc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table" w:customStyle="1" w:styleId="ListTable6Colorful-Accent21">
    <w:name w:val="List Table 6 Colorful - Accent 21"/>
    <w:basedOn w:val="TableNormal"/>
    <w:uiPriority w:val="51"/>
    <w:rsid w:val="00223F09"/>
    <w:pPr>
      <w:spacing w:before="0" w:after="0"/>
    </w:pPr>
    <w:rPr>
      <w:rFonts w:ascii="Times New Roman" w:eastAsia="Times New Roman" w:hAnsi="Times New Roman" w:cs="Times New Roman"/>
      <w:color w:val="388687" w:themeColor="accent2" w:themeShade="BF"/>
      <w:lang w:eastAsia="en-AU"/>
    </w:rPr>
    <w:tblPr>
      <w:tblStyleRowBandSize w:val="1"/>
      <w:tblStyleColBandSize w:val="1"/>
      <w:tblBorders>
        <w:top w:val="single" w:sz="4" w:space="0" w:color="4BB3B5" w:themeColor="accent2"/>
        <w:bottom w:val="single" w:sz="4" w:space="0" w:color="4BB3B5" w:themeColor="accent2"/>
      </w:tblBorders>
    </w:tblPr>
    <w:tblStylePr w:type="firstRow">
      <w:rPr>
        <w:b/>
        <w:bCs/>
      </w:rPr>
      <w:tblPr/>
      <w:tcPr>
        <w:tcBorders>
          <w:bottom w:val="single" w:sz="4" w:space="0" w:color="4BB3B5" w:themeColor="accent2"/>
        </w:tcBorders>
      </w:tcPr>
    </w:tblStylePr>
    <w:tblStylePr w:type="lastRow">
      <w:rPr>
        <w:b/>
        <w:bCs/>
      </w:rPr>
      <w:tblPr/>
      <w:tcPr>
        <w:tcBorders>
          <w:top w:val="double" w:sz="4" w:space="0" w:color="4BB3B5" w:themeColor="accent2"/>
        </w:tcBorders>
      </w:tcPr>
    </w:tblStylePr>
    <w:tblStylePr w:type="firstCol">
      <w:rPr>
        <w:b/>
        <w:bCs/>
      </w:rPr>
    </w:tblStylePr>
    <w:tblStylePr w:type="lastCol">
      <w:rPr>
        <w:b/>
        <w:bCs/>
      </w:rPr>
    </w:tblStylePr>
    <w:tblStylePr w:type="band1Vert">
      <w:tblPr/>
      <w:tcPr>
        <w:shd w:val="clear" w:color="auto" w:fill="DAEFF0" w:themeFill="accent2" w:themeFillTint="33"/>
      </w:tcPr>
    </w:tblStylePr>
    <w:tblStylePr w:type="band1Horz">
      <w:tblPr/>
      <w:tcPr>
        <w:shd w:val="clear" w:color="auto" w:fill="DAEFF0" w:themeFill="accent2" w:themeFillTint="33"/>
      </w:tcPr>
    </w:tblStylePr>
  </w:style>
  <w:style w:type="table" w:customStyle="1" w:styleId="ListTable6Colorful-Accent31">
    <w:name w:val="List Table 6 Colorful - Accent 31"/>
    <w:basedOn w:val="TableNormal"/>
    <w:uiPriority w:val="51"/>
    <w:rsid w:val="00223F09"/>
    <w:pPr>
      <w:spacing w:before="0" w:after="0"/>
    </w:pPr>
    <w:rPr>
      <w:rFonts w:ascii="Times New Roman" w:eastAsia="Times New Roman" w:hAnsi="Times New Roman" w:cs="Times New Roman"/>
      <w:color w:val="22B3ED" w:themeColor="accent3" w:themeShade="BF"/>
      <w:lang w:eastAsia="en-AU"/>
    </w:rPr>
    <w:tblPr>
      <w:tblStyleRowBandSize w:val="1"/>
      <w:tblStyleColBandSize w:val="1"/>
      <w:tblBorders>
        <w:top w:val="single" w:sz="4" w:space="0" w:color="77D1F4" w:themeColor="accent3"/>
        <w:bottom w:val="single" w:sz="4" w:space="0" w:color="77D1F4" w:themeColor="accent3"/>
      </w:tblBorders>
    </w:tblPr>
    <w:tblStylePr w:type="firstRow">
      <w:rPr>
        <w:b/>
        <w:bCs/>
      </w:rPr>
      <w:tblPr/>
      <w:tcPr>
        <w:tcBorders>
          <w:bottom w:val="single" w:sz="4" w:space="0" w:color="77D1F4" w:themeColor="accent3"/>
        </w:tcBorders>
      </w:tcPr>
    </w:tblStylePr>
    <w:tblStylePr w:type="lastRow">
      <w:rPr>
        <w:b/>
        <w:bCs/>
      </w:rPr>
      <w:tblPr/>
      <w:tcPr>
        <w:tcBorders>
          <w:top w:val="double" w:sz="4" w:space="0" w:color="77D1F4" w:themeColor="accent3"/>
        </w:tcBorders>
      </w:tc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customStyle="1" w:styleId="ListTable6Colorful-Accent41">
    <w:name w:val="List Table 6 Colorful - Accent 41"/>
    <w:basedOn w:val="TableNormal"/>
    <w:uiPriority w:val="51"/>
    <w:rsid w:val="00223F09"/>
    <w:pPr>
      <w:spacing w:before="0" w:after="0"/>
    </w:pPr>
    <w:rPr>
      <w:rFonts w:ascii="Times New Roman" w:eastAsia="Times New Roman" w:hAnsi="Times New Roman" w:cs="Times New Roman"/>
      <w:color w:val="6D7989" w:themeColor="accent4" w:themeShade="BF"/>
      <w:lang w:eastAsia="en-AU"/>
    </w:rPr>
    <w:tblPr>
      <w:tblStyleRowBandSize w:val="1"/>
      <w:tblStyleColBandSize w:val="1"/>
      <w:tblBorders>
        <w:top w:val="single" w:sz="4" w:space="0" w:color="9AA3AF" w:themeColor="accent4"/>
        <w:bottom w:val="single" w:sz="4" w:space="0" w:color="9AA3AF" w:themeColor="accent4"/>
      </w:tblBorders>
    </w:tblPr>
    <w:tblStylePr w:type="firstRow">
      <w:rPr>
        <w:b/>
        <w:bCs/>
      </w:rPr>
      <w:tblPr/>
      <w:tcPr>
        <w:tcBorders>
          <w:bottom w:val="single" w:sz="4" w:space="0" w:color="9AA3AF" w:themeColor="accent4"/>
        </w:tcBorders>
      </w:tcPr>
    </w:tblStylePr>
    <w:tblStylePr w:type="lastRow">
      <w:rPr>
        <w:b/>
        <w:bCs/>
      </w:rPr>
      <w:tblPr/>
      <w:tcPr>
        <w:tcBorders>
          <w:top w:val="double" w:sz="4" w:space="0" w:color="9AA3AF" w:themeColor="accent4"/>
        </w:tcBorders>
      </w:tc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customStyle="1" w:styleId="ListTable6Colorful-Accent51">
    <w:name w:val="List Table 6 Colorful - Accent 51"/>
    <w:basedOn w:val="TableNormal"/>
    <w:uiPriority w:val="51"/>
    <w:rsid w:val="00223F09"/>
    <w:pPr>
      <w:spacing w:before="0" w:after="0"/>
    </w:pPr>
    <w:rPr>
      <w:rFonts w:ascii="Times New Roman" w:eastAsia="Times New Roman" w:hAnsi="Times New Roman" w:cs="Times New Roman"/>
      <w:color w:val="9BBB4E" w:themeColor="accent5" w:themeShade="BF"/>
      <w:lang w:eastAsia="en-AU"/>
    </w:rPr>
    <w:tblPr>
      <w:tblStyleRowBandSize w:val="1"/>
      <w:tblStyleColBandSize w:val="1"/>
      <w:tblBorders>
        <w:top w:val="single" w:sz="4" w:space="0" w:color="C0D48F" w:themeColor="accent5"/>
        <w:bottom w:val="single" w:sz="4" w:space="0" w:color="C0D48F" w:themeColor="accent5"/>
      </w:tblBorders>
    </w:tblPr>
    <w:tblStylePr w:type="firstRow">
      <w:rPr>
        <w:b/>
        <w:bCs/>
      </w:rPr>
      <w:tblPr/>
      <w:tcPr>
        <w:tcBorders>
          <w:bottom w:val="single" w:sz="4" w:space="0" w:color="C0D48F" w:themeColor="accent5"/>
        </w:tcBorders>
      </w:tcPr>
    </w:tblStylePr>
    <w:tblStylePr w:type="lastRow">
      <w:rPr>
        <w:b/>
        <w:bCs/>
      </w:rPr>
      <w:tblPr/>
      <w:tcPr>
        <w:tcBorders>
          <w:top w:val="double" w:sz="4" w:space="0" w:color="C0D48F" w:themeColor="accent5"/>
        </w:tcBorders>
      </w:tc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table" w:customStyle="1" w:styleId="ListTable6Colorful-Accent61">
    <w:name w:val="List Table 6 Colorful - Accent 61"/>
    <w:basedOn w:val="TableNormal"/>
    <w:uiPriority w:val="51"/>
    <w:rsid w:val="00223F09"/>
    <w:pPr>
      <w:spacing w:before="0" w:after="0"/>
    </w:pPr>
    <w:rPr>
      <w:rFonts w:ascii="Times New Roman" w:eastAsia="Times New Roman" w:hAnsi="Times New Roman" w:cs="Times New Roman"/>
      <w:color w:val="449F70" w:themeColor="accent6" w:themeShade="BF"/>
      <w:lang w:eastAsia="en-AU"/>
    </w:rPr>
    <w:tblPr>
      <w:tblStyleRowBandSize w:val="1"/>
      <w:tblStyleColBandSize w:val="1"/>
      <w:tblBorders>
        <w:top w:val="single" w:sz="4" w:space="0" w:color="6FC197" w:themeColor="accent6"/>
        <w:bottom w:val="single" w:sz="4" w:space="0" w:color="6FC197" w:themeColor="accent6"/>
      </w:tblBorders>
    </w:tblPr>
    <w:tblStylePr w:type="firstRow">
      <w:rPr>
        <w:b/>
        <w:bCs/>
      </w:rPr>
      <w:tblPr/>
      <w:tcPr>
        <w:tcBorders>
          <w:bottom w:val="single" w:sz="4" w:space="0" w:color="6FC197" w:themeColor="accent6"/>
        </w:tcBorders>
      </w:tcPr>
    </w:tblStylePr>
    <w:tblStylePr w:type="lastRow">
      <w:rPr>
        <w:b/>
        <w:bCs/>
      </w:rPr>
      <w:tblPr/>
      <w:tcPr>
        <w:tcBorders>
          <w:top w:val="double" w:sz="4" w:space="0" w:color="6FC197" w:themeColor="accent6"/>
        </w:tcBorders>
      </w:tcPr>
    </w:tblStylePr>
    <w:tblStylePr w:type="firstCol">
      <w:rPr>
        <w:b/>
        <w:bCs/>
      </w:rPr>
    </w:tblStylePr>
    <w:tblStylePr w:type="lastCol">
      <w:rPr>
        <w:b/>
        <w:bCs/>
      </w:rPr>
    </w:tblStylePr>
    <w:tblStylePr w:type="band1Vert">
      <w:tblPr/>
      <w:tcPr>
        <w:shd w:val="clear" w:color="auto" w:fill="E2F2EA" w:themeFill="accent6" w:themeFillTint="33"/>
      </w:tcPr>
    </w:tblStylePr>
    <w:tblStylePr w:type="band1Horz">
      <w:tblPr/>
      <w:tcPr>
        <w:shd w:val="clear" w:color="auto" w:fill="E2F2EA" w:themeFill="accent6" w:themeFillTint="33"/>
      </w:tcPr>
    </w:tblStylePr>
  </w:style>
  <w:style w:type="table" w:customStyle="1" w:styleId="ListTable7Colorful1">
    <w:name w:val="List Table 7 Colorful1"/>
    <w:basedOn w:val="TableNormal"/>
    <w:uiPriority w:val="52"/>
    <w:rsid w:val="00223F09"/>
    <w:pPr>
      <w:spacing w:before="0" w:after="0"/>
    </w:pPr>
    <w:rPr>
      <w:rFonts w:ascii="Times New Roman" w:eastAsia="Times New Roman" w:hAnsi="Times New Roman" w:cs="Times New Roman"/>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223F09"/>
    <w:pPr>
      <w:spacing w:before="0" w:after="0"/>
    </w:pPr>
    <w:rPr>
      <w:rFonts w:ascii="Times New Roman" w:eastAsia="Times New Roman" w:hAnsi="Times New Roman" w:cs="Times New Roman"/>
      <w:color w:val="06162E" w:themeColor="accent1"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81E3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81E3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81E3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81E3E" w:themeColor="accent1"/>
        </w:tcBorders>
        <w:shd w:val="clear" w:color="auto" w:fill="FFFFFF" w:themeFill="background1"/>
      </w:tcPr>
    </w:tblStylePr>
    <w:tblStylePr w:type="band1Vert">
      <w:tblPr/>
      <w:tcPr>
        <w:shd w:val="clear" w:color="auto" w:fill="B1CCF5" w:themeFill="accent1" w:themeFillTint="33"/>
      </w:tcPr>
    </w:tblStylePr>
    <w:tblStylePr w:type="band1Horz">
      <w:tblPr/>
      <w:tcPr>
        <w:shd w:val="clear" w:color="auto" w:fill="B1CC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223F09"/>
    <w:pPr>
      <w:spacing w:before="0" w:after="0"/>
    </w:pPr>
    <w:rPr>
      <w:rFonts w:ascii="Times New Roman" w:eastAsia="Times New Roman" w:hAnsi="Times New Roman" w:cs="Times New Roman"/>
      <w:color w:val="388687" w:themeColor="accent2"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B3B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B3B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B3B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B3B5" w:themeColor="accent2"/>
        </w:tcBorders>
        <w:shd w:val="clear" w:color="auto" w:fill="FFFFFF" w:themeFill="background1"/>
      </w:tcPr>
    </w:tblStylePr>
    <w:tblStylePr w:type="band1Vert">
      <w:tblPr/>
      <w:tcPr>
        <w:shd w:val="clear" w:color="auto" w:fill="DAEFF0" w:themeFill="accent2" w:themeFillTint="33"/>
      </w:tcPr>
    </w:tblStylePr>
    <w:tblStylePr w:type="band1Horz">
      <w:tblPr/>
      <w:tcPr>
        <w:shd w:val="clear" w:color="auto" w:fill="DAEFF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223F09"/>
    <w:pPr>
      <w:spacing w:before="0" w:after="0"/>
    </w:pPr>
    <w:rPr>
      <w:rFonts w:ascii="Times New Roman" w:eastAsia="Times New Roman" w:hAnsi="Times New Roman" w:cs="Times New Roman"/>
      <w:color w:val="22B3ED" w:themeColor="accent3"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7D1F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7D1F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7D1F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7D1F4" w:themeColor="accent3"/>
        </w:tcBorders>
        <w:shd w:val="clear" w:color="auto" w:fill="FFFFFF" w:themeFill="background1"/>
      </w:tcPr>
    </w:tblStylePr>
    <w:tblStylePr w:type="band1Vert">
      <w:tblPr/>
      <w:tcPr>
        <w:shd w:val="clear" w:color="auto" w:fill="E3F5FC" w:themeFill="accent3" w:themeFillTint="33"/>
      </w:tcPr>
    </w:tblStylePr>
    <w:tblStylePr w:type="band1Horz">
      <w:tblPr/>
      <w:tcPr>
        <w:shd w:val="clear" w:color="auto" w:fill="E3F5F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223F09"/>
    <w:pPr>
      <w:spacing w:before="0" w:after="0"/>
    </w:pPr>
    <w:rPr>
      <w:rFonts w:ascii="Times New Roman" w:eastAsia="Times New Roman" w:hAnsi="Times New Roman" w:cs="Times New Roman"/>
      <w:color w:val="6D7989" w:themeColor="accent4"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A3A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A3A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A3A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A3AF" w:themeColor="accent4"/>
        </w:tcBorders>
        <w:shd w:val="clear" w:color="auto" w:fill="FFFFFF" w:themeFill="background1"/>
      </w:tcPr>
    </w:tblStylePr>
    <w:tblStylePr w:type="band1Vert">
      <w:tblPr/>
      <w:tcPr>
        <w:shd w:val="clear" w:color="auto" w:fill="EAECEF" w:themeFill="accent4" w:themeFillTint="33"/>
      </w:tcPr>
    </w:tblStylePr>
    <w:tblStylePr w:type="band1Horz">
      <w:tblPr/>
      <w:tcPr>
        <w:shd w:val="clear" w:color="auto" w:fill="EAECE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223F09"/>
    <w:pPr>
      <w:spacing w:before="0" w:after="0"/>
    </w:pPr>
    <w:rPr>
      <w:rFonts w:ascii="Times New Roman" w:eastAsia="Times New Roman" w:hAnsi="Times New Roman" w:cs="Times New Roman"/>
      <w:color w:val="9BBB4E" w:themeColor="accent5"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D48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D48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D48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D48F" w:themeColor="accent5"/>
        </w:tcBorders>
        <w:shd w:val="clear" w:color="auto" w:fill="FFFFFF" w:themeFill="background1"/>
      </w:tcPr>
    </w:tblStylePr>
    <w:tblStylePr w:type="band1Vert">
      <w:tblPr/>
      <w:tcPr>
        <w:shd w:val="clear" w:color="auto" w:fill="F2F6E8" w:themeFill="accent5" w:themeFillTint="33"/>
      </w:tcPr>
    </w:tblStylePr>
    <w:tblStylePr w:type="band1Horz">
      <w:tblPr/>
      <w:tcPr>
        <w:shd w:val="clear" w:color="auto" w:fill="F2F6E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223F09"/>
    <w:pPr>
      <w:spacing w:before="0" w:after="0"/>
    </w:pPr>
    <w:rPr>
      <w:rFonts w:ascii="Times New Roman" w:eastAsia="Times New Roman" w:hAnsi="Times New Roman" w:cs="Times New Roman"/>
      <w:color w:val="449F70" w:themeColor="accent6"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C19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C19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C19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C197" w:themeColor="accent6"/>
        </w:tcBorders>
        <w:shd w:val="clear" w:color="auto" w:fill="FFFFFF" w:themeFill="background1"/>
      </w:tcPr>
    </w:tblStylePr>
    <w:tblStylePr w:type="band1Vert">
      <w:tblPr/>
      <w:tcPr>
        <w:shd w:val="clear" w:color="auto" w:fill="E2F2EA" w:themeFill="accent6" w:themeFillTint="33"/>
      </w:tcPr>
    </w:tblStylePr>
    <w:tblStylePr w:type="band1Horz">
      <w:tblPr/>
      <w:tcPr>
        <w:shd w:val="clear" w:color="auto" w:fill="E2F2E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144C9F" w:themeColor="accent1" w:themeTint="BF"/>
        <w:left w:val="single" w:sz="8" w:space="0" w:color="144C9F" w:themeColor="accent1" w:themeTint="BF"/>
        <w:bottom w:val="single" w:sz="8" w:space="0" w:color="144C9F" w:themeColor="accent1" w:themeTint="BF"/>
        <w:right w:val="single" w:sz="8" w:space="0" w:color="144C9F" w:themeColor="accent1" w:themeTint="BF"/>
        <w:insideH w:val="single" w:sz="8" w:space="0" w:color="144C9F" w:themeColor="accent1" w:themeTint="BF"/>
        <w:insideV w:val="single" w:sz="8" w:space="0" w:color="144C9F" w:themeColor="accent1" w:themeTint="BF"/>
      </w:tblBorders>
    </w:tblPr>
    <w:tcPr>
      <w:shd w:val="clear" w:color="auto" w:fill="9EC0F2" w:themeFill="accent1" w:themeFillTint="3F"/>
    </w:tcPr>
    <w:tblStylePr w:type="firstRow">
      <w:rPr>
        <w:b/>
        <w:bCs/>
      </w:rPr>
    </w:tblStylePr>
    <w:tblStylePr w:type="lastRow">
      <w:rPr>
        <w:b/>
        <w:bCs/>
      </w:rPr>
      <w:tblPr/>
      <w:tcPr>
        <w:tcBorders>
          <w:top w:val="single" w:sz="18" w:space="0" w:color="144C9F" w:themeColor="accent1" w:themeTint="BF"/>
        </w:tcBorders>
      </w:tcPr>
    </w:tblStylePr>
    <w:tblStylePr w:type="firstCol">
      <w:rPr>
        <w:b/>
        <w:bCs/>
      </w:rPr>
    </w:tblStylePr>
    <w:tblStylePr w:type="lastCol">
      <w:rPr>
        <w:b/>
        <w:bCs/>
      </w:rPr>
    </w:tblStylePr>
    <w:tblStylePr w:type="band1Vert">
      <w:tblPr/>
      <w:tcPr>
        <w:shd w:val="clear" w:color="auto" w:fill="3C81E6" w:themeFill="accent1" w:themeFillTint="7F"/>
      </w:tcPr>
    </w:tblStylePr>
    <w:tblStylePr w:type="band1Horz">
      <w:tblPr/>
      <w:tcPr>
        <w:shd w:val="clear" w:color="auto" w:fill="3C81E6" w:themeFill="accent1" w:themeFillTint="7F"/>
      </w:tcPr>
    </w:tblStylePr>
  </w:style>
  <w:style w:type="table" w:styleId="MediumGrid1-Accent2">
    <w:name w:val="Medium Grid 1 Accent 2"/>
    <w:basedOn w:val="TableNormal"/>
    <w:uiPriority w:val="6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78C6C7" w:themeColor="accent2" w:themeTint="BF"/>
        <w:left w:val="single" w:sz="8" w:space="0" w:color="78C6C7" w:themeColor="accent2" w:themeTint="BF"/>
        <w:bottom w:val="single" w:sz="8" w:space="0" w:color="78C6C7" w:themeColor="accent2" w:themeTint="BF"/>
        <w:right w:val="single" w:sz="8" w:space="0" w:color="78C6C7" w:themeColor="accent2" w:themeTint="BF"/>
        <w:insideH w:val="single" w:sz="8" w:space="0" w:color="78C6C7" w:themeColor="accent2" w:themeTint="BF"/>
        <w:insideV w:val="single" w:sz="8" w:space="0" w:color="78C6C7" w:themeColor="accent2" w:themeTint="BF"/>
      </w:tblBorders>
    </w:tblPr>
    <w:tcPr>
      <w:shd w:val="clear" w:color="auto" w:fill="D2ECEC" w:themeFill="accent2" w:themeFillTint="3F"/>
    </w:tcPr>
    <w:tblStylePr w:type="firstRow">
      <w:rPr>
        <w:b/>
        <w:bCs/>
      </w:rPr>
    </w:tblStylePr>
    <w:tblStylePr w:type="lastRow">
      <w:rPr>
        <w:b/>
        <w:bCs/>
      </w:rPr>
      <w:tblPr/>
      <w:tcPr>
        <w:tcBorders>
          <w:top w:val="single" w:sz="18" w:space="0" w:color="78C6C7" w:themeColor="accent2" w:themeTint="BF"/>
        </w:tcBorders>
      </w:tcPr>
    </w:tblStylePr>
    <w:tblStylePr w:type="firstCol">
      <w:rPr>
        <w:b/>
        <w:bCs/>
      </w:rPr>
    </w:tblStylePr>
    <w:tblStylePr w:type="lastCol">
      <w:rPr>
        <w:b/>
        <w:bCs/>
      </w:rPr>
    </w:tblStylePr>
    <w:tblStylePr w:type="band1Vert">
      <w:tblPr/>
      <w:tcPr>
        <w:shd w:val="clear" w:color="auto" w:fill="A5D9DA" w:themeFill="accent2" w:themeFillTint="7F"/>
      </w:tcPr>
    </w:tblStylePr>
    <w:tblStylePr w:type="band1Horz">
      <w:tblPr/>
      <w:tcPr>
        <w:shd w:val="clear" w:color="auto" w:fill="A5D9DA" w:themeFill="accent2" w:themeFillTint="7F"/>
      </w:tcPr>
    </w:tblStylePr>
  </w:style>
  <w:style w:type="table" w:styleId="MediumGrid1-Accent3">
    <w:name w:val="Medium Grid 1 Accent 3"/>
    <w:basedOn w:val="TableNormal"/>
    <w:uiPriority w:val="6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98DCF6" w:themeColor="accent3" w:themeTint="BF"/>
        <w:left w:val="single" w:sz="8" w:space="0" w:color="98DCF6" w:themeColor="accent3" w:themeTint="BF"/>
        <w:bottom w:val="single" w:sz="8" w:space="0" w:color="98DCF6" w:themeColor="accent3" w:themeTint="BF"/>
        <w:right w:val="single" w:sz="8" w:space="0" w:color="98DCF6" w:themeColor="accent3" w:themeTint="BF"/>
        <w:insideH w:val="single" w:sz="8" w:space="0" w:color="98DCF6" w:themeColor="accent3" w:themeTint="BF"/>
        <w:insideV w:val="single" w:sz="8" w:space="0" w:color="98DCF6" w:themeColor="accent3" w:themeTint="BF"/>
      </w:tblBorders>
    </w:tblPr>
    <w:tcPr>
      <w:shd w:val="clear" w:color="auto" w:fill="DDF3FC" w:themeFill="accent3" w:themeFillTint="3F"/>
    </w:tcPr>
    <w:tblStylePr w:type="firstRow">
      <w:rPr>
        <w:b/>
        <w:bCs/>
      </w:rPr>
    </w:tblStylePr>
    <w:tblStylePr w:type="lastRow">
      <w:rPr>
        <w:b/>
        <w:bCs/>
      </w:rPr>
      <w:tblPr/>
      <w:tcPr>
        <w:tcBorders>
          <w:top w:val="single" w:sz="18" w:space="0" w:color="98DCF6" w:themeColor="accent3" w:themeTint="BF"/>
        </w:tcBorders>
      </w:tcPr>
    </w:tblStylePr>
    <w:tblStylePr w:type="firstCol">
      <w:rPr>
        <w:b/>
        <w:bCs/>
      </w:rPr>
    </w:tblStylePr>
    <w:tblStylePr w:type="lastCol">
      <w:rPr>
        <w:b/>
        <w:bCs/>
      </w:rPr>
    </w:tblStylePr>
    <w:tblStylePr w:type="band1Vert">
      <w:tblPr/>
      <w:tcPr>
        <w:shd w:val="clear" w:color="auto" w:fill="BBE7F9" w:themeFill="accent3" w:themeFillTint="7F"/>
      </w:tcPr>
    </w:tblStylePr>
    <w:tblStylePr w:type="band1Horz">
      <w:tblPr/>
      <w:tcPr>
        <w:shd w:val="clear" w:color="auto" w:fill="BBE7F9" w:themeFill="accent3" w:themeFillTint="7F"/>
      </w:tcPr>
    </w:tblStylePr>
  </w:style>
  <w:style w:type="table" w:styleId="MediumGrid1-Accent4">
    <w:name w:val="Medium Grid 1 Accent 4"/>
    <w:basedOn w:val="TableNormal"/>
    <w:uiPriority w:val="6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B3BAC3" w:themeColor="accent4" w:themeTint="BF"/>
        <w:left w:val="single" w:sz="8" w:space="0" w:color="B3BAC3" w:themeColor="accent4" w:themeTint="BF"/>
        <w:bottom w:val="single" w:sz="8" w:space="0" w:color="B3BAC3" w:themeColor="accent4" w:themeTint="BF"/>
        <w:right w:val="single" w:sz="8" w:space="0" w:color="B3BAC3" w:themeColor="accent4" w:themeTint="BF"/>
        <w:insideH w:val="single" w:sz="8" w:space="0" w:color="B3BAC3" w:themeColor="accent4" w:themeTint="BF"/>
        <w:insideV w:val="single" w:sz="8" w:space="0" w:color="B3BAC3" w:themeColor="accent4" w:themeTint="BF"/>
      </w:tblBorders>
    </w:tblPr>
    <w:tcPr>
      <w:shd w:val="clear" w:color="auto" w:fill="E5E8EB" w:themeFill="accent4" w:themeFillTint="3F"/>
    </w:tcPr>
    <w:tblStylePr w:type="firstRow">
      <w:rPr>
        <w:b/>
        <w:bCs/>
      </w:rPr>
    </w:tblStylePr>
    <w:tblStylePr w:type="lastRow">
      <w:rPr>
        <w:b/>
        <w:bCs/>
      </w:rPr>
      <w:tblPr/>
      <w:tcPr>
        <w:tcBorders>
          <w:top w:val="single" w:sz="18" w:space="0" w:color="B3BAC3" w:themeColor="accent4" w:themeTint="BF"/>
        </w:tcBorders>
      </w:tcPr>
    </w:tblStylePr>
    <w:tblStylePr w:type="firstCol">
      <w:rPr>
        <w:b/>
        <w:bCs/>
      </w:rPr>
    </w:tblStylePr>
    <w:tblStylePr w:type="lastCol">
      <w:rPr>
        <w:b/>
        <w:bCs/>
      </w:rPr>
    </w:tblStylePr>
    <w:tblStylePr w:type="band1Vert">
      <w:tblPr/>
      <w:tcPr>
        <w:shd w:val="clear" w:color="auto" w:fill="CCD1D7" w:themeFill="accent4" w:themeFillTint="7F"/>
      </w:tcPr>
    </w:tblStylePr>
    <w:tblStylePr w:type="band1Horz">
      <w:tblPr/>
      <w:tcPr>
        <w:shd w:val="clear" w:color="auto" w:fill="CCD1D7" w:themeFill="accent4" w:themeFillTint="7F"/>
      </w:tcPr>
    </w:tblStylePr>
  </w:style>
  <w:style w:type="table" w:styleId="MediumGrid1-Accent5">
    <w:name w:val="Medium Grid 1 Accent 5"/>
    <w:basedOn w:val="TableNormal"/>
    <w:uiPriority w:val="6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CFDEAA" w:themeColor="accent5" w:themeTint="BF"/>
        <w:left w:val="single" w:sz="8" w:space="0" w:color="CFDEAA" w:themeColor="accent5" w:themeTint="BF"/>
        <w:bottom w:val="single" w:sz="8" w:space="0" w:color="CFDEAA" w:themeColor="accent5" w:themeTint="BF"/>
        <w:right w:val="single" w:sz="8" w:space="0" w:color="CFDEAA" w:themeColor="accent5" w:themeTint="BF"/>
        <w:insideH w:val="single" w:sz="8" w:space="0" w:color="CFDEAA" w:themeColor="accent5" w:themeTint="BF"/>
        <w:insideV w:val="single" w:sz="8" w:space="0" w:color="CFDEAA" w:themeColor="accent5" w:themeTint="BF"/>
      </w:tblBorders>
    </w:tblPr>
    <w:tcPr>
      <w:shd w:val="clear" w:color="auto" w:fill="EFF4E3" w:themeFill="accent5" w:themeFillTint="3F"/>
    </w:tcPr>
    <w:tblStylePr w:type="firstRow">
      <w:rPr>
        <w:b/>
        <w:bCs/>
      </w:rPr>
    </w:tblStylePr>
    <w:tblStylePr w:type="lastRow">
      <w:rPr>
        <w:b/>
        <w:bCs/>
      </w:rPr>
      <w:tblPr/>
      <w:tcPr>
        <w:tcBorders>
          <w:top w:val="single" w:sz="18" w:space="0" w:color="CFDEAA" w:themeColor="accent5" w:themeTint="BF"/>
        </w:tcBorders>
      </w:tcPr>
    </w:tblStylePr>
    <w:tblStylePr w:type="firstCol">
      <w:rPr>
        <w:b/>
        <w:bCs/>
      </w:rPr>
    </w:tblStylePr>
    <w:tblStylePr w:type="lastCol">
      <w:rPr>
        <w:b/>
        <w:bCs/>
      </w:rPr>
    </w:tblStylePr>
    <w:tblStylePr w:type="band1Vert">
      <w:tblPr/>
      <w:tcPr>
        <w:shd w:val="clear" w:color="auto" w:fill="DFE9C7" w:themeFill="accent5" w:themeFillTint="7F"/>
      </w:tcPr>
    </w:tblStylePr>
    <w:tblStylePr w:type="band1Horz">
      <w:tblPr/>
      <w:tcPr>
        <w:shd w:val="clear" w:color="auto" w:fill="DFE9C7" w:themeFill="accent5" w:themeFillTint="7F"/>
      </w:tcPr>
    </w:tblStylePr>
  </w:style>
  <w:style w:type="table" w:styleId="MediumGrid1-Accent6">
    <w:name w:val="Medium Grid 1 Accent 6"/>
    <w:basedOn w:val="TableNormal"/>
    <w:uiPriority w:val="67"/>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93D0B0" w:themeColor="accent6" w:themeTint="BF"/>
        <w:left w:val="single" w:sz="8" w:space="0" w:color="93D0B0" w:themeColor="accent6" w:themeTint="BF"/>
        <w:bottom w:val="single" w:sz="8" w:space="0" w:color="93D0B0" w:themeColor="accent6" w:themeTint="BF"/>
        <w:right w:val="single" w:sz="8" w:space="0" w:color="93D0B0" w:themeColor="accent6" w:themeTint="BF"/>
        <w:insideH w:val="single" w:sz="8" w:space="0" w:color="93D0B0" w:themeColor="accent6" w:themeTint="BF"/>
        <w:insideV w:val="single" w:sz="8" w:space="0" w:color="93D0B0" w:themeColor="accent6" w:themeTint="BF"/>
      </w:tblBorders>
    </w:tblPr>
    <w:tcPr>
      <w:shd w:val="clear" w:color="auto" w:fill="DBEFE5" w:themeFill="accent6" w:themeFillTint="3F"/>
    </w:tcPr>
    <w:tblStylePr w:type="firstRow">
      <w:rPr>
        <w:b/>
        <w:bCs/>
      </w:rPr>
    </w:tblStylePr>
    <w:tblStylePr w:type="lastRow">
      <w:rPr>
        <w:b/>
        <w:bCs/>
      </w:rPr>
      <w:tblPr/>
      <w:tcPr>
        <w:tcBorders>
          <w:top w:val="single" w:sz="18" w:space="0" w:color="93D0B0" w:themeColor="accent6" w:themeTint="BF"/>
        </w:tcBorders>
      </w:tcPr>
    </w:tblStylePr>
    <w:tblStylePr w:type="firstCol">
      <w:rPr>
        <w:b/>
        <w:bCs/>
      </w:rPr>
    </w:tblStylePr>
    <w:tblStylePr w:type="lastCol">
      <w:rPr>
        <w:b/>
        <w:bCs/>
      </w:rPr>
    </w:tblStylePr>
    <w:tblStylePr w:type="band1Vert">
      <w:tblPr/>
      <w:tcPr>
        <w:shd w:val="clear" w:color="auto" w:fill="B7E0CB" w:themeFill="accent6" w:themeFillTint="7F"/>
      </w:tcPr>
    </w:tblStylePr>
    <w:tblStylePr w:type="band1Horz">
      <w:tblPr/>
      <w:tcPr>
        <w:shd w:val="clear" w:color="auto" w:fill="B7E0CB" w:themeFill="accent6" w:themeFillTint="7F"/>
      </w:tcPr>
    </w:tblStylePr>
  </w:style>
  <w:style w:type="table" w:styleId="MediumGrid2">
    <w:name w:val="Medium Grid 2"/>
    <w:basedOn w:val="TableNormal"/>
    <w:uiPriority w:val="68"/>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081E3E" w:themeColor="accent1"/>
        <w:left w:val="single" w:sz="8" w:space="0" w:color="081E3E" w:themeColor="accent1"/>
        <w:bottom w:val="single" w:sz="8" w:space="0" w:color="081E3E" w:themeColor="accent1"/>
        <w:right w:val="single" w:sz="8" w:space="0" w:color="081E3E" w:themeColor="accent1"/>
        <w:insideH w:val="single" w:sz="8" w:space="0" w:color="081E3E" w:themeColor="accent1"/>
        <w:insideV w:val="single" w:sz="8" w:space="0" w:color="081E3E" w:themeColor="accent1"/>
      </w:tblBorders>
    </w:tblPr>
    <w:tcPr>
      <w:shd w:val="clear" w:color="auto" w:fill="9EC0F2" w:themeFill="accent1" w:themeFillTint="3F"/>
    </w:tcPr>
    <w:tblStylePr w:type="firstRow">
      <w:rPr>
        <w:b/>
        <w:bCs/>
        <w:color w:val="000000" w:themeColor="text1"/>
      </w:rPr>
      <w:tblPr/>
      <w:tcPr>
        <w:shd w:val="clear" w:color="auto" w:fill="D8E6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CCF5" w:themeFill="accent1" w:themeFillTint="33"/>
      </w:tcPr>
    </w:tblStylePr>
    <w:tblStylePr w:type="band1Vert">
      <w:tblPr/>
      <w:tcPr>
        <w:shd w:val="clear" w:color="auto" w:fill="3C81E6" w:themeFill="accent1" w:themeFillTint="7F"/>
      </w:tcPr>
    </w:tblStylePr>
    <w:tblStylePr w:type="band1Horz">
      <w:tblPr/>
      <w:tcPr>
        <w:tcBorders>
          <w:insideH w:val="single" w:sz="6" w:space="0" w:color="081E3E" w:themeColor="accent1"/>
          <w:insideV w:val="single" w:sz="6" w:space="0" w:color="081E3E" w:themeColor="accent1"/>
        </w:tcBorders>
        <w:shd w:val="clear" w:color="auto" w:fill="3C81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4BB3B5" w:themeColor="accent2"/>
        <w:left w:val="single" w:sz="8" w:space="0" w:color="4BB3B5" w:themeColor="accent2"/>
        <w:bottom w:val="single" w:sz="8" w:space="0" w:color="4BB3B5" w:themeColor="accent2"/>
        <w:right w:val="single" w:sz="8" w:space="0" w:color="4BB3B5" w:themeColor="accent2"/>
        <w:insideH w:val="single" w:sz="8" w:space="0" w:color="4BB3B5" w:themeColor="accent2"/>
        <w:insideV w:val="single" w:sz="8" w:space="0" w:color="4BB3B5" w:themeColor="accent2"/>
      </w:tblBorders>
    </w:tblPr>
    <w:tcPr>
      <w:shd w:val="clear" w:color="auto" w:fill="D2ECEC" w:themeFill="accent2" w:themeFillTint="3F"/>
    </w:tcPr>
    <w:tblStylePr w:type="firstRow">
      <w:rPr>
        <w:b/>
        <w:bCs/>
        <w:color w:val="000000" w:themeColor="text1"/>
      </w:rPr>
      <w:tblPr/>
      <w:tcPr>
        <w:shd w:val="clear" w:color="auto" w:fill="ED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FF0" w:themeFill="accent2" w:themeFillTint="33"/>
      </w:tcPr>
    </w:tblStylePr>
    <w:tblStylePr w:type="band1Vert">
      <w:tblPr/>
      <w:tcPr>
        <w:shd w:val="clear" w:color="auto" w:fill="A5D9DA" w:themeFill="accent2" w:themeFillTint="7F"/>
      </w:tcPr>
    </w:tblStylePr>
    <w:tblStylePr w:type="band1Horz">
      <w:tblPr/>
      <w:tcPr>
        <w:tcBorders>
          <w:insideH w:val="single" w:sz="6" w:space="0" w:color="4BB3B5" w:themeColor="accent2"/>
          <w:insideV w:val="single" w:sz="6" w:space="0" w:color="4BB3B5" w:themeColor="accent2"/>
        </w:tcBorders>
        <w:shd w:val="clear" w:color="auto" w:fill="A5D9D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77D1F4" w:themeColor="accent3"/>
        <w:left w:val="single" w:sz="8" w:space="0" w:color="77D1F4" w:themeColor="accent3"/>
        <w:bottom w:val="single" w:sz="8" w:space="0" w:color="77D1F4" w:themeColor="accent3"/>
        <w:right w:val="single" w:sz="8" w:space="0" w:color="77D1F4" w:themeColor="accent3"/>
        <w:insideH w:val="single" w:sz="8" w:space="0" w:color="77D1F4" w:themeColor="accent3"/>
        <w:insideV w:val="single" w:sz="8" w:space="0" w:color="77D1F4" w:themeColor="accent3"/>
      </w:tblBorders>
    </w:tblPr>
    <w:tcPr>
      <w:shd w:val="clear" w:color="auto" w:fill="DDF3FC" w:themeFill="accent3" w:themeFillTint="3F"/>
    </w:tcPr>
    <w:tblStylePr w:type="firstRow">
      <w:rPr>
        <w:b/>
        <w:bCs/>
        <w:color w:val="000000" w:themeColor="text1"/>
      </w:rPr>
      <w:tblPr/>
      <w:tcPr>
        <w:shd w:val="clear" w:color="auto" w:fill="F1FAF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5FC" w:themeFill="accent3" w:themeFillTint="33"/>
      </w:tcPr>
    </w:tblStylePr>
    <w:tblStylePr w:type="band1Vert">
      <w:tblPr/>
      <w:tcPr>
        <w:shd w:val="clear" w:color="auto" w:fill="BBE7F9" w:themeFill="accent3" w:themeFillTint="7F"/>
      </w:tcPr>
    </w:tblStylePr>
    <w:tblStylePr w:type="band1Horz">
      <w:tblPr/>
      <w:tcPr>
        <w:tcBorders>
          <w:insideH w:val="single" w:sz="6" w:space="0" w:color="77D1F4" w:themeColor="accent3"/>
          <w:insideV w:val="single" w:sz="6" w:space="0" w:color="77D1F4" w:themeColor="accent3"/>
        </w:tcBorders>
        <w:shd w:val="clear" w:color="auto" w:fill="BBE7F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9AA3AF" w:themeColor="accent4"/>
        <w:left w:val="single" w:sz="8" w:space="0" w:color="9AA3AF" w:themeColor="accent4"/>
        <w:bottom w:val="single" w:sz="8" w:space="0" w:color="9AA3AF" w:themeColor="accent4"/>
        <w:right w:val="single" w:sz="8" w:space="0" w:color="9AA3AF" w:themeColor="accent4"/>
        <w:insideH w:val="single" w:sz="8" w:space="0" w:color="9AA3AF" w:themeColor="accent4"/>
        <w:insideV w:val="single" w:sz="8" w:space="0" w:color="9AA3AF" w:themeColor="accent4"/>
      </w:tblBorders>
    </w:tblPr>
    <w:tcPr>
      <w:shd w:val="clear" w:color="auto" w:fill="E5E8EB" w:themeFill="accent4" w:themeFillTint="3F"/>
    </w:tcPr>
    <w:tblStylePr w:type="firstRow">
      <w:rPr>
        <w:b/>
        <w:bCs/>
        <w:color w:val="000000" w:themeColor="text1"/>
      </w:rPr>
      <w:tblPr/>
      <w:tcPr>
        <w:shd w:val="clear" w:color="auto" w:fill="F4F5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CEF" w:themeFill="accent4" w:themeFillTint="33"/>
      </w:tcPr>
    </w:tblStylePr>
    <w:tblStylePr w:type="band1Vert">
      <w:tblPr/>
      <w:tcPr>
        <w:shd w:val="clear" w:color="auto" w:fill="CCD1D7" w:themeFill="accent4" w:themeFillTint="7F"/>
      </w:tcPr>
    </w:tblStylePr>
    <w:tblStylePr w:type="band1Horz">
      <w:tblPr/>
      <w:tcPr>
        <w:tcBorders>
          <w:insideH w:val="single" w:sz="6" w:space="0" w:color="9AA3AF" w:themeColor="accent4"/>
          <w:insideV w:val="single" w:sz="6" w:space="0" w:color="9AA3AF" w:themeColor="accent4"/>
        </w:tcBorders>
        <w:shd w:val="clear" w:color="auto" w:fill="CCD1D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C0D48F" w:themeColor="accent5"/>
        <w:left w:val="single" w:sz="8" w:space="0" w:color="C0D48F" w:themeColor="accent5"/>
        <w:bottom w:val="single" w:sz="8" w:space="0" w:color="C0D48F" w:themeColor="accent5"/>
        <w:right w:val="single" w:sz="8" w:space="0" w:color="C0D48F" w:themeColor="accent5"/>
        <w:insideH w:val="single" w:sz="8" w:space="0" w:color="C0D48F" w:themeColor="accent5"/>
        <w:insideV w:val="single" w:sz="8" w:space="0" w:color="C0D48F" w:themeColor="accent5"/>
      </w:tblBorders>
    </w:tblPr>
    <w:tcPr>
      <w:shd w:val="clear" w:color="auto" w:fill="EFF4E3" w:themeFill="accent5" w:themeFillTint="3F"/>
    </w:tcPr>
    <w:tblStylePr w:type="firstRow">
      <w:rPr>
        <w:b/>
        <w:bCs/>
        <w:color w:val="000000" w:themeColor="text1"/>
      </w:rPr>
      <w:tblPr/>
      <w:tcPr>
        <w:shd w:val="clear" w:color="auto" w:fill="F8FA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6E8" w:themeFill="accent5" w:themeFillTint="33"/>
      </w:tcPr>
    </w:tblStylePr>
    <w:tblStylePr w:type="band1Vert">
      <w:tblPr/>
      <w:tcPr>
        <w:shd w:val="clear" w:color="auto" w:fill="DFE9C7" w:themeFill="accent5" w:themeFillTint="7F"/>
      </w:tcPr>
    </w:tblStylePr>
    <w:tblStylePr w:type="band1Horz">
      <w:tblPr/>
      <w:tcPr>
        <w:tcBorders>
          <w:insideH w:val="single" w:sz="6" w:space="0" w:color="C0D48F" w:themeColor="accent5"/>
          <w:insideV w:val="single" w:sz="6" w:space="0" w:color="C0D48F" w:themeColor="accent5"/>
        </w:tcBorders>
        <w:shd w:val="clear" w:color="auto" w:fill="DFE9C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6FC197" w:themeColor="accent6"/>
        <w:left w:val="single" w:sz="8" w:space="0" w:color="6FC197" w:themeColor="accent6"/>
        <w:bottom w:val="single" w:sz="8" w:space="0" w:color="6FC197" w:themeColor="accent6"/>
        <w:right w:val="single" w:sz="8" w:space="0" w:color="6FC197" w:themeColor="accent6"/>
        <w:insideH w:val="single" w:sz="8" w:space="0" w:color="6FC197" w:themeColor="accent6"/>
        <w:insideV w:val="single" w:sz="8" w:space="0" w:color="6FC197" w:themeColor="accent6"/>
      </w:tblBorders>
    </w:tblPr>
    <w:tcPr>
      <w:shd w:val="clear" w:color="auto" w:fill="DBEFE5" w:themeFill="accent6" w:themeFillTint="3F"/>
    </w:tcPr>
    <w:tblStylePr w:type="firstRow">
      <w:rPr>
        <w:b/>
        <w:bCs/>
        <w:color w:val="000000" w:themeColor="text1"/>
      </w:rPr>
      <w:tblPr/>
      <w:tcPr>
        <w:shd w:val="clear" w:color="auto" w:fill="F0F9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2EA" w:themeFill="accent6" w:themeFillTint="33"/>
      </w:tcPr>
    </w:tblStylePr>
    <w:tblStylePr w:type="band1Vert">
      <w:tblPr/>
      <w:tcPr>
        <w:shd w:val="clear" w:color="auto" w:fill="B7E0CB" w:themeFill="accent6" w:themeFillTint="7F"/>
      </w:tcPr>
    </w:tblStylePr>
    <w:tblStylePr w:type="band1Horz">
      <w:tblPr/>
      <w:tcPr>
        <w:tcBorders>
          <w:insideH w:val="single" w:sz="6" w:space="0" w:color="6FC197" w:themeColor="accent6"/>
          <w:insideV w:val="single" w:sz="6" w:space="0" w:color="6FC197" w:themeColor="accent6"/>
        </w:tcBorders>
        <w:shd w:val="clear" w:color="auto" w:fill="B7E0C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EC0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81E3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81E3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81E3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81E3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C81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C81E6" w:themeFill="accent1" w:themeFillTint="7F"/>
      </w:tcPr>
    </w:tblStylePr>
  </w:style>
  <w:style w:type="table" w:styleId="MediumGrid3-Accent2">
    <w:name w:val="Medium Grid 3 Accent 2"/>
    <w:basedOn w:val="TableNormal"/>
    <w:uiPriority w:val="6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CE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B3B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B3B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B3B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B3B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9D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9DA" w:themeFill="accent2" w:themeFillTint="7F"/>
      </w:tcPr>
    </w:tblStylePr>
  </w:style>
  <w:style w:type="table" w:styleId="MediumGrid3-Accent3">
    <w:name w:val="Medium Grid 3 Accent 3"/>
    <w:basedOn w:val="TableNormal"/>
    <w:uiPriority w:val="6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3F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7D1F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7D1F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7D1F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7D1F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E7F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E7F9" w:themeFill="accent3" w:themeFillTint="7F"/>
      </w:tcPr>
    </w:tblStylePr>
  </w:style>
  <w:style w:type="table" w:styleId="MediumGrid3-Accent4">
    <w:name w:val="Medium Grid 3 Accent 4"/>
    <w:basedOn w:val="TableNormal"/>
    <w:uiPriority w:val="6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8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A3A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A3A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A3A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A3A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D1D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D1D7" w:themeFill="accent4" w:themeFillTint="7F"/>
      </w:tcPr>
    </w:tblStylePr>
  </w:style>
  <w:style w:type="table" w:styleId="MediumGrid3-Accent5">
    <w:name w:val="Medium Grid 3 Accent 5"/>
    <w:basedOn w:val="TableNormal"/>
    <w:uiPriority w:val="6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4E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D48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D48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D48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D48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9C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9C7" w:themeFill="accent5" w:themeFillTint="7F"/>
      </w:tcPr>
    </w:tblStylePr>
  </w:style>
  <w:style w:type="table" w:styleId="MediumGrid3-Accent6">
    <w:name w:val="Medium Grid 3 Accent 6"/>
    <w:basedOn w:val="TableNormal"/>
    <w:uiPriority w:val="69"/>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FE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C19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C19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C19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C19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E0C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E0CB" w:themeFill="accent6" w:themeFillTint="7F"/>
      </w:tcPr>
    </w:tblStylePr>
  </w:style>
  <w:style w:type="table" w:styleId="MediumList1">
    <w:name w:val="Medium List 1"/>
    <w:basedOn w:val="TableNormal"/>
    <w:uiPriority w:val="65"/>
    <w:rsid w:val="00223F09"/>
    <w:pPr>
      <w:spacing w:before="0" w:after="0"/>
    </w:pPr>
    <w:rPr>
      <w:rFonts w:ascii="Times New Roman" w:eastAsia="Times New Roman" w:hAnsi="Times New Roman" w:cs="Times New Roman"/>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81E3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223F09"/>
    <w:pPr>
      <w:spacing w:before="0" w:after="0"/>
    </w:pPr>
    <w:rPr>
      <w:rFonts w:ascii="Times New Roman" w:eastAsia="Times New Roman" w:hAnsi="Times New Roman" w:cs="Times New Roman"/>
      <w:lang w:eastAsia="en-AU"/>
    </w:rPr>
    <w:tblPr>
      <w:tblStyleRowBandSize w:val="1"/>
      <w:tblStyleColBandSize w:val="1"/>
      <w:tblBorders>
        <w:top w:val="single" w:sz="8" w:space="0" w:color="081E3E" w:themeColor="accent1"/>
        <w:bottom w:val="single" w:sz="8" w:space="0" w:color="081E3E" w:themeColor="accent1"/>
      </w:tblBorders>
    </w:tblPr>
    <w:tblStylePr w:type="firstRow">
      <w:rPr>
        <w:rFonts w:asciiTheme="majorHAnsi" w:eastAsiaTheme="majorEastAsia" w:hAnsiTheme="majorHAnsi" w:cstheme="majorBidi"/>
      </w:rPr>
      <w:tblPr/>
      <w:tcPr>
        <w:tcBorders>
          <w:top w:val="nil"/>
          <w:bottom w:val="single" w:sz="8" w:space="0" w:color="081E3E" w:themeColor="accent1"/>
        </w:tcBorders>
      </w:tcPr>
    </w:tblStylePr>
    <w:tblStylePr w:type="lastRow">
      <w:rPr>
        <w:b/>
        <w:bCs/>
        <w:color w:val="081E3E" w:themeColor="text2"/>
      </w:rPr>
      <w:tblPr/>
      <w:tcPr>
        <w:tcBorders>
          <w:top w:val="single" w:sz="8" w:space="0" w:color="081E3E" w:themeColor="accent1"/>
          <w:bottom w:val="single" w:sz="8" w:space="0" w:color="081E3E" w:themeColor="accent1"/>
        </w:tcBorders>
      </w:tcPr>
    </w:tblStylePr>
    <w:tblStylePr w:type="firstCol">
      <w:rPr>
        <w:b/>
        <w:bCs/>
      </w:rPr>
    </w:tblStylePr>
    <w:tblStylePr w:type="lastCol">
      <w:rPr>
        <w:b/>
        <w:bCs/>
      </w:rPr>
      <w:tblPr/>
      <w:tcPr>
        <w:tcBorders>
          <w:top w:val="single" w:sz="8" w:space="0" w:color="081E3E" w:themeColor="accent1"/>
          <w:bottom w:val="single" w:sz="8" w:space="0" w:color="081E3E" w:themeColor="accent1"/>
        </w:tcBorders>
      </w:tcPr>
    </w:tblStylePr>
    <w:tblStylePr w:type="band1Vert">
      <w:tblPr/>
      <w:tcPr>
        <w:shd w:val="clear" w:color="auto" w:fill="9EC0F2" w:themeFill="accent1" w:themeFillTint="3F"/>
      </w:tcPr>
    </w:tblStylePr>
    <w:tblStylePr w:type="band1Horz">
      <w:tblPr/>
      <w:tcPr>
        <w:shd w:val="clear" w:color="auto" w:fill="9EC0F2" w:themeFill="accent1" w:themeFillTint="3F"/>
      </w:tcPr>
    </w:tblStylePr>
  </w:style>
  <w:style w:type="table" w:styleId="MediumList1-Accent2">
    <w:name w:val="Medium List 1 Accent 2"/>
    <w:basedOn w:val="TableNormal"/>
    <w:uiPriority w:val="65"/>
    <w:rsid w:val="00223F09"/>
    <w:pPr>
      <w:spacing w:before="0" w:after="0"/>
    </w:pPr>
    <w:rPr>
      <w:rFonts w:ascii="Times New Roman" w:eastAsia="Times New Roman" w:hAnsi="Times New Roman" w:cs="Times New Roman"/>
      <w:lang w:eastAsia="en-AU"/>
    </w:rPr>
    <w:tblPr>
      <w:tblStyleRowBandSize w:val="1"/>
      <w:tblStyleColBandSize w:val="1"/>
      <w:tblBorders>
        <w:top w:val="single" w:sz="8" w:space="0" w:color="4BB3B5" w:themeColor="accent2"/>
        <w:bottom w:val="single" w:sz="8" w:space="0" w:color="4BB3B5" w:themeColor="accent2"/>
      </w:tblBorders>
    </w:tblPr>
    <w:tblStylePr w:type="firstRow">
      <w:rPr>
        <w:rFonts w:asciiTheme="majorHAnsi" w:eastAsiaTheme="majorEastAsia" w:hAnsiTheme="majorHAnsi" w:cstheme="majorBidi"/>
      </w:rPr>
      <w:tblPr/>
      <w:tcPr>
        <w:tcBorders>
          <w:top w:val="nil"/>
          <w:bottom w:val="single" w:sz="8" w:space="0" w:color="4BB3B5" w:themeColor="accent2"/>
        </w:tcBorders>
      </w:tcPr>
    </w:tblStylePr>
    <w:tblStylePr w:type="lastRow">
      <w:rPr>
        <w:b/>
        <w:bCs/>
        <w:color w:val="081E3E" w:themeColor="text2"/>
      </w:rPr>
      <w:tblPr/>
      <w:tcPr>
        <w:tcBorders>
          <w:top w:val="single" w:sz="8" w:space="0" w:color="4BB3B5" w:themeColor="accent2"/>
          <w:bottom w:val="single" w:sz="8" w:space="0" w:color="4BB3B5" w:themeColor="accent2"/>
        </w:tcBorders>
      </w:tcPr>
    </w:tblStylePr>
    <w:tblStylePr w:type="firstCol">
      <w:rPr>
        <w:b/>
        <w:bCs/>
      </w:rPr>
    </w:tblStylePr>
    <w:tblStylePr w:type="lastCol">
      <w:rPr>
        <w:b/>
        <w:bCs/>
      </w:rPr>
      <w:tblPr/>
      <w:tcPr>
        <w:tcBorders>
          <w:top w:val="single" w:sz="8" w:space="0" w:color="4BB3B5" w:themeColor="accent2"/>
          <w:bottom w:val="single" w:sz="8" w:space="0" w:color="4BB3B5" w:themeColor="accent2"/>
        </w:tcBorders>
      </w:tcPr>
    </w:tblStylePr>
    <w:tblStylePr w:type="band1Vert">
      <w:tblPr/>
      <w:tcPr>
        <w:shd w:val="clear" w:color="auto" w:fill="D2ECEC" w:themeFill="accent2" w:themeFillTint="3F"/>
      </w:tcPr>
    </w:tblStylePr>
    <w:tblStylePr w:type="band1Horz">
      <w:tblPr/>
      <w:tcPr>
        <w:shd w:val="clear" w:color="auto" w:fill="D2ECEC" w:themeFill="accent2" w:themeFillTint="3F"/>
      </w:tcPr>
    </w:tblStylePr>
  </w:style>
  <w:style w:type="table" w:styleId="MediumList1-Accent3">
    <w:name w:val="Medium List 1 Accent 3"/>
    <w:basedOn w:val="TableNormal"/>
    <w:uiPriority w:val="65"/>
    <w:rsid w:val="00223F09"/>
    <w:pPr>
      <w:spacing w:before="0" w:after="0"/>
    </w:pPr>
    <w:rPr>
      <w:rFonts w:ascii="Times New Roman" w:eastAsia="Times New Roman" w:hAnsi="Times New Roman" w:cs="Times New Roman"/>
      <w:lang w:eastAsia="en-AU"/>
    </w:rPr>
    <w:tblPr>
      <w:tblStyleRowBandSize w:val="1"/>
      <w:tblStyleColBandSize w:val="1"/>
      <w:tblBorders>
        <w:top w:val="single" w:sz="8" w:space="0" w:color="77D1F4" w:themeColor="accent3"/>
        <w:bottom w:val="single" w:sz="8" w:space="0" w:color="77D1F4" w:themeColor="accent3"/>
      </w:tblBorders>
    </w:tblPr>
    <w:tblStylePr w:type="firstRow">
      <w:rPr>
        <w:rFonts w:asciiTheme="majorHAnsi" w:eastAsiaTheme="majorEastAsia" w:hAnsiTheme="majorHAnsi" w:cstheme="majorBidi"/>
      </w:rPr>
      <w:tblPr/>
      <w:tcPr>
        <w:tcBorders>
          <w:top w:val="nil"/>
          <w:bottom w:val="single" w:sz="8" w:space="0" w:color="77D1F4" w:themeColor="accent3"/>
        </w:tcBorders>
      </w:tcPr>
    </w:tblStylePr>
    <w:tblStylePr w:type="lastRow">
      <w:rPr>
        <w:b/>
        <w:bCs/>
        <w:color w:val="081E3E" w:themeColor="text2"/>
      </w:rPr>
      <w:tblPr/>
      <w:tcPr>
        <w:tcBorders>
          <w:top w:val="single" w:sz="8" w:space="0" w:color="77D1F4" w:themeColor="accent3"/>
          <w:bottom w:val="single" w:sz="8" w:space="0" w:color="77D1F4" w:themeColor="accent3"/>
        </w:tcBorders>
      </w:tcPr>
    </w:tblStylePr>
    <w:tblStylePr w:type="firstCol">
      <w:rPr>
        <w:b/>
        <w:bCs/>
      </w:rPr>
    </w:tblStylePr>
    <w:tblStylePr w:type="lastCol">
      <w:rPr>
        <w:b/>
        <w:bCs/>
      </w:rPr>
      <w:tblPr/>
      <w:tcPr>
        <w:tcBorders>
          <w:top w:val="single" w:sz="8" w:space="0" w:color="77D1F4" w:themeColor="accent3"/>
          <w:bottom w:val="single" w:sz="8" w:space="0" w:color="77D1F4" w:themeColor="accent3"/>
        </w:tcBorders>
      </w:tcPr>
    </w:tblStylePr>
    <w:tblStylePr w:type="band1Vert">
      <w:tblPr/>
      <w:tcPr>
        <w:shd w:val="clear" w:color="auto" w:fill="DDF3FC" w:themeFill="accent3" w:themeFillTint="3F"/>
      </w:tcPr>
    </w:tblStylePr>
    <w:tblStylePr w:type="band1Horz">
      <w:tblPr/>
      <w:tcPr>
        <w:shd w:val="clear" w:color="auto" w:fill="DDF3FC" w:themeFill="accent3" w:themeFillTint="3F"/>
      </w:tcPr>
    </w:tblStylePr>
  </w:style>
  <w:style w:type="table" w:styleId="MediumList1-Accent4">
    <w:name w:val="Medium List 1 Accent 4"/>
    <w:basedOn w:val="TableNormal"/>
    <w:uiPriority w:val="65"/>
    <w:rsid w:val="00223F09"/>
    <w:pPr>
      <w:spacing w:before="0" w:after="0"/>
    </w:pPr>
    <w:rPr>
      <w:rFonts w:ascii="Times New Roman" w:eastAsia="Times New Roman" w:hAnsi="Times New Roman" w:cs="Times New Roman"/>
      <w:lang w:eastAsia="en-AU"/>
    </w:rPr>
    <w:tblPr>
      <w:tblStyleRowBandSize w:val="1"/>
      <w:tblStyleColBandSize w:val="1"/>
      <w:tblBorders>
        <w:top w:val="single" w:sz="8" w:space="0" w:color="9AA3AF" w:themeColor="accent4"/>
        <w:bottom w:val="single" w:sz="8" w:space="0" w:color="9AA3AF" w:themeColor="accent4"/>
      </w:tblBorders>
    </w:tblPr>
    <w:tblStylePr w:type="firstRow">
      <w:rPr>
        <w:rFonts w:asciiTheme="majorHAnsi" w:eastAsiaTheme="majorEastAsia" w:hAnsiTheme="majorHAnsi" w:cstheme="majorBidi"/>
      </w:rPr>
      <w:tblPr/>
      <w:tcPr>
        <w:tcBorders>
          <w:top w:val="nil"/>
          <w:bottom w:val="single" w:sz="8" w:space="0" w:color="9AA3AF" w:themeColor="accent4"/>
        </w:tcBorders>
      </w:tcPr>
    </w:tblStylePr>
    <w:tblStylePr w:type="lastRow">
      <w:rPr>
        <w:b/>
        <w:bCs/>
        <w:color w:val="081E3E" w:themeColor="text2"/>
      </w:rPr>
      <w:tblPr/>
      <w:tcPr>
        <w:tcBorders>
          <w:top w:val="single" w:sz="8" w:space="0" w:color="9AA3AF" w:themeColor="accent4"/>
          <w:bottom w:val="single" w:sz="8" w:space="0" w:color="9AA3AF" w:themeColor="accent4"/>
        </w:tcBorders>
      </w:tcPr>
    </w:tblStylePr>
    <w:tblStylePr w:type="firstCol">
      <w:rPr>
        <w:b/>
        <w:bCs/>
      </w:rPr>
    </w:tblStylePr>
    <w:tblStylePr w:type="lastCol">
      <w:rPr>
        <w:b/>
        <w:bCs/>
      </w:rPr>
      <w:tblPr/>
      <w:tcPr>
        <w:tcBorders>
          <w:top w:val="single" w:sz="8" w:space="0" w:color="9AA3AF" w:themeColor="accent4"/>
          <w:bottom w:val="single" w:sz="8" w:space="0" w:color="9AA3AF" w:themeColor="accent4"/>
        </w:tcBorders>
      </w:tcPr>
    </w:tblStylePr>
    <w:tblStylePr w:type="band1Vert">
      <w:tblPr/>
      <w:tcPr>
        <w:shd w:val="clear" w:color="auto" w:fill="E5E8EB" w:themeFill="accent4" w:themeFillTint="3F"/>
      </w:tcPr>
    </w:tblStylePr>
    <w:tblStylePr w:type="band1Horz">
      <w:tblPr/>
      <w:tcPr>
        <w:shd w:val="clear" w:color="auto" w:fill="E5E8EB" w:themeFill="accent4" w:themeFillTint="3F"/>
      </w:tcPr>
    </w:tblStylePr>
  </w:style>
  <w:style w:type="table" w:styleId="MediumList1-Accent5">
    <w:name w:val="Medium List 1 Accent 5"/>
    <w:basedOn w:val="TableNormal"/>
    <w:uiPriority w:val="65"/>
    <w:rsid w:val="00223F09"/>
    <w:pPr>
      <w:spacing w:before="0" w:after="0"/>
    </w:pPr>
    <w:rPr>
      <w:rFonts w:ascii="Times New Roman" w:eastAsia="Times New Roman" w:hAnsi="Times New Roman" w:cs="Times New Roman"/>
      <w:lang w:eastAsia="en-AU"/>
    </w:rPr>
    <w:tblPr>
      <w:tblStyleRowBandSize w:val="1"/>
      <w:tblStyleColBandSize w:val="1"/>
      <w:tblBorders>
        <w:top w:val="single" w:sz="8" w:space="0" w:color="C0D48F" w:themeColor="accent5"/>
        <w:bottom w:val="single" w:sz="8" w:space="0" w:color="C0D48F" w:themeColor="accent5"/>
      </w:tblBorders>
    </w:tblPr>
    <w:tblStylePr w:type="firstRow">
      <w:rPr>
        <w:rFonts w:asciiTheme="majorHAnsi" w:eastAsiaTheme="majorEastAsia" w:hAnsiTheme="majorHAnsi" w:cstheme="majorBidi"/>
      </w:rPr>
      <w:tblPr/>
      <w:tcPr>
        <w:tcBorders>
          <w:top w:val="nil"/>
          <w:bottom w:val="single" w:sz="8" w:space="0" w:color="C0D48F" w:themeColor="accent5"/>
        </w:tcBorders>
      </w:tcPr>
    </w:tblStylePr>
    <w:tblStylePr w:type="lastRow">
      <w:rPr>
        <w:b/>
        <w:bCs/>
        <w:color w:val="081E3E" w:themeColor="text2"/>
      </w:rPr>
      <w:tblPr/>
      <w:tcPr>
        <w:tcBorders>
          <w:top w:val="single" w:sz="8" w:space="0" w:color="C0D48F" w:themeColor="accent5"/>
          <w:bottom w:val="single" w:sz="8" w:space="0" w:color="C0D48F" w:themeColor="accent5"/>
        </w:tcBorders>
      </w:tcPr>
    </w:tblStylePr>
    <w:tblStylePr w:type="firstCol">
      <w:rPr>
        <w:b/>
        <w:bCs/>
      </w:rPr>
    </w:tblStylePr>
    <w:tblStylePr w:type="lastCol">
      <w:rPr>
        <w:b/>
        <w:bCs/>
      </w:rPr>
      <w:tblPr/>
      <w:tcPr>
        <w:tcBorders>
          <w:top w:val="single" w:sz="8" w:space="0" w:color="C0D48F" w:themeColor="accent5"/>
          <w:bottom w:val="single" w:sz="8" w:space="0" w:color="C0D48F" w:themeColor="accent5"/>
        </w:tcBorders>
      </w:tcPr>
    </w:tblStylePr>
    <w:tblStylePr w:type="band1Vert">
      <w:tblPr/>
      <w:tcPr>
        <w:shd w:val="clear" w:color="auto" w:fill="EFF4E3" w:themeFill="accent5" w:themeFillTint="3F"/>
      </w:tcPr>
    </w:tblStylePr>
    <w:tblStylePr w:type="band1Horz">
      <w:tblPr/>
      <w:tcPr>
        <w:shd w:val="clear" w:color="auto" w:fill="EFF4E3" w:themeFill="accent5" w:themeFillTint="3F"/>
      </w:tcPr>
    </w:tblStylePr>
  </w:style>
  <w:style w:type="table" w:styleId="MediumList1-Accent6">
    <w:name w:val="Medium List 1 Accent 6"/>
    <w:basedOn w:val="TableNormal"/>
    <w:uiPriority w:val="65"/>
    <w:rsid w:val="00223F09"/>
    <w:pPr>
      <w:spacing w:before="0" w:after="0"/>
    </w:pPr>
    <w:rPr>
      <w:rFonts w:ascii="Times New Roman" w:eastAsia="Times New Roman" w:hAnsi="Times New Roman" w:cs="Times New Roman"/>
      <w:lang w:eastAsia="en-AU"/>
    </w:rPr>
    <w:tblPr>
      <w:tblStyleRowBandSize w:val="1"/>
      <w:tblStyleColBandSize w:val="1"/>
      <w:tblBorders>
        <w:top w:val="single" w:sz="8" w:space="0" w:color="6FC197" w:themeColor="accent6"/>
        <w:bottom w:val="single" w:sz="8" w:space="0" w:color="6FC197" w:themeColor="accent6"/>
      </w:tblBorders>
    </w:tblPr>
    <w:tblStylePr w:type="firstRow">
      <w:rPr>
        <w:rFonts w:asciiTheme="majorHAnsi" w:eastAsiaTheme="majorEastAsia" w:hAnsiTheme="majorHAnsi" w:cstheme="majorBidi"/>
      </w:rPr>
      <w:tblPr/>
      <w:tcPr>
        <w:tcBorders>
          <w:top w:val="nil"/>
          <w:bottom w:val="single" w:sz="8" w:space="0" w:color="6FC197" w:themeColor="accent6"/>
        </w:tcBorders>
      </w:tcPr>
    </w:tblStylePr>
    <w:tblStylePr w:type="lastRow">
      <w:rPr>
        <w:b/>
        <w:bCs/>
        <w:color w:val="081E3E" w:themeColor="text2"/>
      </w:rPr>
      <w:tblPr/>
      <w:tcPr>
        <w:tcBorders>
          <w:top w:val="single" w:sz="8" w:space="0" w:color="6FC197" w:themeColor="accent6"/>
          <w:bottom w:val="single" w:sz="8" w:space="0" w:color="6FC197" w:themeColor="accent6"/>
        </w:tcBorders>
      </w:tcPr>
    </w:tblStylePr>
    <w:tblStylePr w:type="firstCol">
      <w:rPr>
        <w:b/>
        <w:bCs/>
      </w:rPr>
    </w:tblStylePr>
    <w:tblStylePr w:type="lastCol">
      <w:rPr>
        <w:b/>
        <w:bCs/>
      </w:rPr>
      <w:tblPr/>
      <w:tcPr>
        <w:tcBorders>
          <w:top w:val="single" w:sz="8" w:space="0" w:color="6FC197" w:themeColor="accent6"/>
          <w:bottom w:val="single" w:sz="8" w:space="0" w:color="6FC197" w:themeColor="accent6"/>
        </w:tcBorders>
      </w:tcPr>
    </w:tblStylePr>
    <w:tblStylePr w:type="band1Vert">
      <w:tblPr/>
      <w:tcPr>
        <w:shd w:val="clear" w:color="auto" w:fill="DBEFE5" w:themeFill="accent6" w:themeFillTint="3F"/>
      </w:tcPr>
    </w:tblStylePr>
    <w:tblStylePr w:type="band1Horz">
      <w:tblPr/>
      <w:tcPr>
        <w:shd w:val="clear" w:color="auto" w:fill="DBEFE5" w:themeFill="accent6" w:themeFillTint="3F"/>
      </w:tcPr>
    </w:tblStylePr>
  </w:style>
  <w:style w:type="table" w:styleId="MediumList2">
    <w:name w:val="Medium List 2"/>
    <w:basedOn w:val="TableNormal"/>
    <w:uiPriority w:val="66"/>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4BB3B5" w:themeColor="accent2"/>
        <w:left w:val="single" w:sz="8" w:space="0" w:color="4BB3B5" w:themeColor="accent2"/>
        <w:bottom w:val="single" w:sz="8" w:space="0" w:color="4BB3B5" w:themeColor="accent2"/>
        <w:right w:val="single" w:sz="8" w:space="0" w:color="4BB3B5" w:themeColor="accent2"/>
      </w:tblBorders>
    </w:tblPr>
    <w:tblStylePr w:type="firstRow">
      <w:rPr>
        <w:sz w:val="24"/>
        <w:szCs w:val="24"/>
      </w:rPr>
      <w:tblPr/>
      <w:tcPr>
        <w:tcBorders>
          <w:top w:val="nil"/>
          <w:left w:val="nil"/>
          <w:bottom w:val="single" w:sz="24" w:space="0" w:color="4BB3B5" w:themeColor="accent2"/>
          <w:right w:val="nil"/>
          <w:insideH w:val="nil"/>
          <w:insideV w:val="nil"/>
        </w:tcBorders>
        <w:shd w:val="clear" w:color="auto" w:fill="FFFFFF" w:themeFill="background1"/>
      </w:tcPr>
    </w:tblStylePr>
    <w:tblStylePr w:type="lastRow">
      <w:tblPr/>
      <w:tcPr>
        <w:tcBorders>
          <w:top w:val="single" w:sz="8" w:space="0" w:color="4BB3B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B3B5" w:themeColor="accent2"/>
          <w:insideH w:val="nil"/>
          <w:insideV w:val="nil"/>
        </w:tcBorders>
        <w:shd w:val="clear" w:color="auto" w:fill="FFFFFF" w:themeFill="background1"/>
      </w:tcPr>
    </w:tblStylePr>
    <w:tblStylePr w:type="lastCol">
      <w:tblPr/>
      <w:tcPr>
        <w:tcBorders>
          <w:top w:val="nil"/>
          <w:left w:val="single" w:sz="8" w:space="0" w:color="4BB3B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CEC" w:themeFill="accent2" w:themeFillTint="3F"/>
      </w:tcPr>
    </w:tblStylePr>
    <w:tblStylePr w:type="band1Horz">
      <w:tblPr/>
      <w:tcPr>
        <w:tcBorders>
          <w:top w:val="nil"/>
          <w:bottom w:val="nil"/>
          <w:insideH w:val="nil"/>
          <w:insideV w:val="nil"/>
        </w:tcBorders>
        <w:shd w:val="clear" w:color="auto" w:fill="D2ECE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77D1F4" w:themeColor="accent3"/>
        <w:left w:val="single" w:sz="8" w:space="0" w:color="77D1F4" w:themeColor="accent3"/>
        <w:bottom w:val="single" w:sz="8" w:space="0" w:color="77D1F4" w:themeColor="accent3"/>
        <w:right w:val="single" w:sz="8" w:space="0" w:color="77D1F4" w:themeColor="accent3"/>
      </w:tblBorders>
    </w:tblPr>
    <w:tblStylePr w:type="firstRow">
      <w:rPr>
        <w:sz w:val="24"/>
        <w:szCs w:val="24"/>
      </w:rPr>
      <w:tblPr/>
      <w:tcPr>
        <w:tcBorders>
          <w:top w:val="nil"/>
          <w:left w:val="nil"/>
          <w:bottom w:val="single" w:sz="24" w:space="0" w:color="77D1F4" w:themeColor="accent3"/>
          <w:right w:val="nil"/>
          <w:insideH w:val="nil"/>
          <w:insideV w:val="nil"/>
        </w:tcBorders>
        <w:shd w:val="clear" w:color="auto" w:fill="FFFFFF" w:themeFill="background1"/>
      </w:tcPr>
    </w:tblStylePr>
    <w:tblStylePr w:type="lastRow">
      <w:tblPr/>
      <w:tcPr>
        <w:tcBorders>
          <w:top w:val="single" w:sz="8" w:space="0" w:color="77D1F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7D1F4" w:themeColor="accent3"/>
          <w:insideH w:val="nil"/>
          <w:insideV w:val="nil"/>
        </w:tcBorders>
        <w:shd w:val="clear" w:color="auto" w:fill="FFFFFF" w:themeFill="background1"/>
      </w:tcPr>
    </w:tblStylePr>
    <w:tblStylePr w:type="lastCol">
      <w:tblPr/>
      <w:tcPr>
        <w:tcBorders>
          <w:top w:val="nil"/>
          <w:left w:val="single" w:sz="8" w:space="0" w:color="77D1F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3FC" w:themeFill="accent3" w:themeFillTint="3F"/>
      </w:tcPr>
    </w:tblStylePr>
    <w:tblStylePr w:type="band1Horz">
      <w:tblPr/>
      <w:tcPr>
        <w:tcBorders>
          <w:top w:val="nil"/>
          <w:bottom w:val="nil"/>
          <w:insideH w:val="nil"/>
          <w:insideV w:val="nil"/>
        </w:tcBorders>
        <w:shd w:val="clear" w:color="auto" w:fill="DDF3F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9AA3AF" w:themeColor="accent4"/>
        <w:left w:val="single" w:sz="8" w:space="0" w:color="9AA3AF" w:themeColor="accent4"/>
        <w:bottom w:val="single" w:sz="8" w:space="0" w:color="9AA3AF" w:themeColor="accent4"/>
        <w:right w:val="single" w:sz="8" w:space="0" w:color="9AA3AF" w:themeColor="accent4"/>
      </w:tblBorders>
    </w:tblPr>
    <w:tblStylePr w:type="firstRow">
      <w:rPr>
        <w:sz w:val="24"/>
        <w:szCs w:val="24"/>
      </w:rPr>
      <w:tblPr/>
      <w:tcPr>
        <w:tcBorders>
          <w:top w:val="nil"/>
          <w:left w:val="nil"/>
          <w:bottom w:val="single" w:sz="24" w:space="0" w:color="9AA3AF" w:themeColor="accent4"/>
          <w:right w:val="nil"/>
          <w:insideH w:val="nil"/>
          <w:insideV w:val="nil"/>
        </w:tcBorders>
        <w:shd w:val="clear" w:color="auto" w:fill="FFFFFF" w:themeFill="background1"/>
      </w:tcPr>
    </w:tblStylePr>
    <w:tblStylePr w:type="lastRow">
      <w:tblPr/>
      <w:tcPr>
        <w:tcBorders>
          <w:top w:val="single" w:sz="8" w:space="0" w:color="9AA3A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A3AF" w:themeColor="accent4"/>
          <w:insideH w:val="nil"/>
          <w:insideV w:val="nil"/>
        </w:tcBorders>
        <w:shd w:val="clear" w:color="auto" w:fill="FFFFFF" w:themeFill="background1"/>
      </w:tcPr>
    </w:tblStylePr>
    <w:tblStylePr w:type="lastCol">
      <w:tblPr/>
      <w:tcPr>
        <w:tcBorders>
          <w:top w:val="nil"/>
          <w:left w:val="single" w:sz="8" w:space="0" w:color="9AA3A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8EB" w:themeFill="accent4" w:themeFillTint="3F"/>
      </w:tcPr>
    </w:tblStylePr>
    <w:tblStylePr w:type="band1Horz">
      <w:tblPr/>
      <w:tcPr>
        <w:tcBorders>
          <w:top w:val="nil"/>
          <w:bottom w:val="nil"/>
          <w:insideH w:val="nil"/>
          <w:insideV w:val="nil"/>
        </w:tcBorders>
        <w:shd w:val="clear" w:color="auto" w:fill="E5E8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C0D48F" w:themeColor="accent5"/>
        <w:left w:val="single" w:sz="8" w:space="0" w:color="C0D48F" w:themeColor="accent5"/>
        <w:bottom w:val="single" w:sz="8" w:space="0" w:color="C0D48F" w:themeColor="accent5"/>
        <w:right w:val="single" w:sz="8" w:space="0" w:color="C0D48F" w:themeColor="accent5"/>
      </w:tblBorders>
    </w:tblPr>
    <w:tblStylePr w:type="firstRow">
      <w:rPr>
        <w:sz w:val="24"/>
        <w:szCs w:val="24"/>
      </w:rPr>
      <w:tblPr/>
      <w:tcPr>
        <w:tcBorders>
          <w:top w:val="nil"/>
          <w:left w:val="nil"/>
          <w:bottom w:val="single" w:sz="24" w:space="0" w:color="C0D48F" w:themeColor="accent5"/>
          <w:right w:val="nil"/>
          <w:insideH w:val="nil"/>
          <w:insideV w:val="nil"/>
        </w:tcBorders>
        <w:shd w:val="clear" w:color="auto" w:fill="FFFFFF" w:themeFill="background1"/>
      </w:tcPr>
    </w:tblStylePr>
    <w:tblStylePr w:type="lastRow">
      <w:tblPr/>
      <w:tcPr>
        <w:tcBorders>
          <w:top w:val="single" w:sz="8" w:space="0" w:color="C0D48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D48F" w:themeColor="accent5"/>
          <w:insideH w:val="nil"/>
          <w:insideV w:val="nil"/>
        </w:tcBorders>
        <w:shd w:val="clear" w:color="auto" w:fill="FFFFFF" w:themeFill="background1"/>
      </w:tcPr>
    </w:tblStylePr>
    <w:tblStylePr w:type="lastCol">
      <w:tblPr/>
      <w:tcPr>
        <w:tcBorders>
          <w:top w:val="nil"/>
          <w:left w:val="single" w:sz="8" w:space="0" w:color="C0D48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4E3" w:themeFill="accent5" w:themeFillTint="3F"/>
      </w:tcPr>
    </w:tblStylePr>
    <w:tblStylePr w:type="band1Horz">
      <w:tblPr/>
      <w:tcPr>
        <w:tcBorders>
          <w:top w:val="nil"/>
          <w:bottom w:val="nil"/>
          <w:insideH w:val="nil"/>
          <w:insideV w:val="nil"/>
        </w:tcBorders>
        <w:shd w:val="clear" w:color="auto" w:fill="EFF4E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223F09"/>
    <w:pPr>
      <w:spacing w:before="0" w:after="0"/>
    </w:pPr>
    <w:rPr>
      <w:rFonts w:asciiTheme="majorHAnsi" w:eastAsiaTheme="majorEastAsia" w:hAnsiTheme="majorHAnsi" w:cstheme="majorBidi"/>
      <w:lang w:eastAsia="en-AU"/>
    </w:rPr>
    <w:tblPr>
      <w:tblStyleRowBandSize w:val="1"/>
      <w:tblStyleColBandSize w:val="1"/>
      <w:tblBorders>
        <w:top w:val="single" w:sz="8" w:space="0" w:color="6FC197" w:themeColor="accent6"/>
        <w:left w:val="single" w:sz="8" w:space="0" w:color="6FC197" w:themeColor="accent6"/>
        <w:bottom w:val="single" w:sz="8" w:space="0" w:color="6FC197" w:themeColor="accent6"/>
        <w:right w:val="single" w:sz="8" w:space="0" w:color="6FC197" w:themeColor="accent6"/>
      </w:tblBorders>
    </w:tblPr>
    <w:tblStylePr w:type="firstRow">
      <w:rPr>
        <w:sz w:val="24"/>
        <w:szCs w:val="24"/>
      </w:rPr>
      <w:tblPr/>
      <w:tcPr>
        <w:tcBorders>
          <w:top w:val="nil"/>
          <w:left w:val="nil"/>
          <w:bottom w:val="single" w:sz="24" w:space="0" w:color="6FC197" w:themeColor="accent6"/>
          <w:right w:val="nil"/>
          <w:insideH w:val="nil"/>
          <w:insideV w:val="nil"/>
        </w:tcBorders>
        <w:shd w:val="clear" w:color="auto" w:fill="FFFFFF" w:themeFill="background1"/>
      </w:tcPr>
    </w:tblStylePr>
    <w:tblStylePr w:type="lastRow">
      <w:tblPr/>
      <w:tcPr>
        <w:tcBorders>
          <w:top w:val="single" w:sz="8" w:space="0" w:color="6FC19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C197" w:themeColor="accent6"/>
          <w:insideH w:val="nil"/>
          <w:insideV w:val="nil"/>
        </w:tcBorders>
        <w:shd w:val="clear" w:color="auto" w:fill="FFFFFF" w:themeFill="background1"/>
      </w:tcPr>
    </w:tblStylePr>
    <w:tblStylePr w:type="lastCol">
      <w:tblPr/>
      <w:tcPr>
        <w:tcBorders>
          <w:top w:val="nil"/>
          <w:left w:val="single" w:sz="8" w:space="0" w:color="6FC19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FE5" w:themeFill="accent6" w:themeFillTint="3F"/>
      </w:tcPr>
    </w:tblStylePr>
    <w:tblStylePr w:type="band1Horz">
      <w:tblPr/>
      <w:tcPr>
        <w:tcBorders>
          <w:top w:val="nil"/>
          <w:bottom w:val="nil"/>
          <w:insideH w:val="nil"/>
          <w:insideV w:val="nil"/>
        </w:tcBorders>
        <w:shd w:val="clear" w:color="auto" w:fill="DBEF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144C9F" w:themeColor="accent1" w:themeTint="BF"/>
        <w:left w:val="single" w:sz="8" w:space="0" w:color="144C9F" w:themeColor="accent1" w:themeTint="BF"/>
        <w:bottom w:val="single" w:sz="8" w:space="0" w:color="144C9F" w:themeColor="accent1" w:themeTint="BF"/>
        <w:right w:val="single" w:sz="8" w:space="0" w:color="144C9F" w:themeColor="accent1" w:themeTint="BF"/>
        <w:insideH w:val="single" w:sz="8" w:space="0" w:color="144C9F" w:themeColor="accent1" w:themeTint="BF"/>
      </w:tblBorders>
    </w:tblPr>
    <w:tblStylePr w:type="firstRow">
      <w:pPr>
        <w:spacing w:before="0" w:after="0" w:line="240" w:lineRule="auto"/>
      </w:pPr>
      <w:rPr>
        <w:b/>
        <w:bCs/>
        <w:color w:val="FFFFFF" w:themeColor="background1"/>
      </w:rPr>
      <w:tblPr/>
      <w:tcPr>
        <w:tcBorders>
          <w:top w:val="single" w:sz="8" w:space="0" w:color="144C9F" w:themeColor="accent1" w:themeTint="BF"/>
          <w:left w:val="single" w:sz="8" w:space="0" w:color="144C9F" w:themeColor="accent1" w:themeTint="BF"/>
          <w:bottom w:val="single" w:sz="8" w:space="0" w:color="144C9F" w:themeColor="accent1" w:themeTint="BF"/>
          <w:right w:val="single" w:sz="8" w:space="0" w:color="144C9F" w:themeColor="accent1" w:themeTint="BF"/>
          <w:insideH w:val="nil"/>
          <w:insideV w:val="nil"/>
        </w:tcBorders>
        <w:shd w:val="clear" w:color="auto" w:fill="081E3E" w:themeFill="accent1"/>
      </w:tcPr>
    </w:tblStylePr>
    <w:tblStylePr w:type="lastRow">
      <w:pPr>
        <w:spacing w:before="0" w:after="0" w:line="240" w:lineRule="auto"/>
      </w:pPr>
      <w:rPr>
        <w:b/>
        <w:bCs/>
      </w:rPr>
      <w:tblPr/>
      <w:tcPr>
        <w:tcBorders>
          <w:top w:val="double" w:sz="6" w:space="0" w:color="144C9F" w:themeColor="accent1" w:themeTint="BF"/>
          <w:left w:val="single" w:sz="8" w:space="0" w:color="144C9F" w:themeColor="accent1" w:themeTint="BF"/>
          <w:bottom w:val="single" w:sz="8" w:space="0" w:color="144C9F" w:themeColor="accent1" w:themeTint="BF"/>
          <w:right w:val="single" w:sz="8" w:space="0" w:color="144C9F"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C0F2" w:themeFill="accent1" w:themeFillTint="3F"/>
      </w:tcPr>
    </w:tblStylePr>
    <w:tblStylePr w:type="band1Horz">
      <w:tblPr/>
      <w:tcPr>
        <w:tcBorders>
          <w:insideH w:val="nil"/>
          <w:insideV w:val="nil"/>
        </w:tcBorders>
        <w:shd w:val="clear" w:color="auto" w:fill="9EC0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78C6C7" w:themeColor="accent2" w:themeTint="BF"/>
        <w:left w:val="single" w:sz="8" w:space="0" w:color="78C6C7" w:themeColor="accent2" w:themeTint="BF"/>
        <w:bottom w:val="single" w:sz="8" w:space="0" w:color="78C6C7" w:themeColor="accent2" w:themeTint="BF"/>
        <w:right w:val="single" w:sz="8" w:space="0" w:color="78C6C7" w:themeColor="accent2" w:themeTint="BF"/>
        <w:insideH w:val="single" w:sz="8" w:space="0" w:color="78C6C7" w:themeColor="accent2" w:themeTint="BF"/>
      </w:tblBorders>
    </w:tblPr>
    <w:tblStylePr w:type="firstRow">
      <w:pPr>
        <w:spacing w:before="0" w:after="0" w:line="240" w:lineRule="auto"/>
      </w:pPr>
      <w:rPr>
        <w:b/>
        <w:bCs/>
        <w:color w:val="FFFFFF" w:themeColor="background1"/>
      </w:rPr>
      <w:tblPr/>
      <w:tcPr>
        <w:tcBorders>
          <w:top w:val="single" w:sz="8" w:space="0" w:color="78C6C7" w:themeColor="accent2" w:themeTint="BF"/>
          <w:left w:val="single" w:sz="8" w:space="0" w:color="78C6C7" w:themeColor="accent2" w:themeTint="BF"/>
          <w:bottom w:val="single" w:sz="8" w:space="0" w:color="78C6C7" w:themeColor="accent2" w:themeTint="BF"/>
          <w:right w:val="single" w:sz="8" w:space="0" w:color="78C6C7" w:themeColor="accent2" w:themeTint="BF"/>
          <w:insideH w:val="nil"/>
          <w:insideV w:val="nil"/>
        </w:tcBorders>
        <w:shd w:val="clear" w:color="auto" w:fill="4BB3B5" w:themeFill="accent2"/>
      </w:tcPr>
    </w:tblStylePr>
    <w:tblStylePr w:type="lastRow">
      <w:pPr>
        <w:spacing w:before="0" w:after="0" w:line="240" w:lineRule="auto"/>
      </w:pPr>
      <w:rPr>
        <w:b/>
        <w:bCs/>
      </w:rPr>
      <w:tblPr/>
      <w:tcPr>
        <w:tcBorders>
          <w:top w:val="double" w:sz="6" w:space="0" w:color="78C6C7" w:themeColor="accent2" w:themeTint="BF"/>
          <w:left w:val="single" w:sz="8" w:space="0" w:color="78C6C7" w:themeColor="accent2" w:themeTint="BF"/>
          <w:bottom w:val="single" w:sz="8" w:space="0" w:color="78C6C7" w:themeColor="accent2" w:themeTint="BF"/>
          <w:right w:val="single" w:sz="8" w:space="0" w:color="78C6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2ECEC" w:themeFill="accent2" w:themeFillTint="3F"/>
      </w:tcPr>
    </w:tblStylePr>
    <w:tblStylePr w:type="band1Horz">
      <w:tblPr/>
      <w:tcPr>
        <w:tcBorders>
          <w:insideH w:val="nil"/>
          <w:insideV w:val="nil"/>
        </w:tcBorders>
        <w:shd w:val="clear" w:color="auto" w:fill="D2ECE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98DCF6" w:themeColor="accent3" w:themeTint="BF"/>
        <w:left w:val="single" w:sz="8" w:space="0" w:color="98DCF6" w:themeColor="accent3" w:themeTint="BF"/>
        <w:bottom w:val="single" w:sz="8" w:space="0" w:color="98DCF6" w:themeColor="accent3" w:themeTint="BF"/>
        <w:right w:val="single" w:sz="8" w:space="0" w:color="98DCF6" w:themeColor="accent3" w:themeTint="BF"/>
        <w:insideH w:val="single" w:sz="8" w:space="0" w:color="98DCF6" w:themeColor="accent3" w:themeTint="BF"/>
      </w:tblBorders>
    </w:tblPr>
    <w:tblStylePr w:type="firstRow">
      <w:pPr>
        <w:spacing w:before="0" w:after="0" w:line="240" w:lineRule="auto"/>
      </w:pPr>
      <w:rPr>
        <w:b/>
        <w:bCs/>
        <w:color w:val="FFFFFF" w:themeColor="background1"/>
      </w:rPr>
      <w:tblPr/>
      <w:tcPr>
        <w:tcBorders>
          <w:top w:val="single" w:sz="8" w:space="0" w:color="98DCF6" w:themeColor="accent3" w:themeTint="BF"/>
          <w:left w:val="single" w:sz="8" w:space="0" w:color="98DCF6" w:themeColor="accent3" w:themeTint="BF"/>
          <w:bottom w:val="single" w:sz="8" w:space="0" w:color="98DCF6" w:themeColor="accent3" w:themeTint="BF"/>
          <w:right w:val="single" w:sz="8" w:space="0" w:color="98DCF6" w:themeColor="accent3" w:themeTint="BF"/>
          <w:insideH w:val="nil"/>
          <w:insideV w:val="nil"/>
        </w:tcBorders>
        <w:shd w:val="clear" w:color="auto" w:fill="77D1F4" w:themeFill="accent3"/>
      </w:tcPr>
    </w:tblStylePr>
    <w:tblStylePr w:type="lastRow">
      <w:pPr>
        <w:spacing w:before="0" w:after="0" w:line="240" w:lineRule="auto"/>
      </w:pPr>
      <w:rPr>
        <w:b/>
        <w:bCs/>
      </w:rPr>
      <w:tblPr/>
      <w:tcPr>
        <w:tcBorders>
          <w:top w:val="double" w:sz="6" w:space="0" w:color="98DCF6" w:themeColor="accent3" w:themeTint="BF"/>
          <w:left w:val="single" w:sz="8" w:space="0" w:color="98DCF6" w:themeColor="accent3" w:themeTint="BF"/>
          <w:bottom w:val="single" w:sz="8" w:space="0" w:color="98DCF6" w:themeColor="accent3" w:themeTint="BF"/>
          <w:right w:val="single" w:sz="8" w:space="0" w:color="98DCF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DF3FC" w:themeFill="accent3" w:themeFillTint="3F"/>
      </w:tcPr>
    </w:tblStylePr>
    <w:tblStylePr w:type="band1Horz">
      <w:tblPr/>
      <w:tcPr>
        <w:tcBorders>
          <w:insideH w:val="nil"/>
          <w:insideV w:val="nil"/>
        </w:tcBorders>
        <w:shd w:val="clear" w:color="auto" w:fill="DDF3F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B3BAC3" w:themeColor="accent4" w:themeTint="BF"/>
        <w:left w:val="single" w:sz="8" w:space="0" w:color="B3BAC3" w:themeColor="accent4" w:themeTint="BF"/>
        <w:bottom w:val="single" w:sz="8" w:space="0" w:color="B3BAC3" w:themeColor="accent4" w:themeTint="BF"/>
        <w:right w:val="single" w:sz="8" w:space="0" w:color="B3BAC3" w:themeColor="accent4" w:themeTint="BF"/>
        <w:insideH w:val="single" w:sz="8" w:space="0" w:color="B3BAC3" w:themeColor="accent4" w:themeTint="BF"/>
      </w:tblBorders>
    </w:tblPr>
    <w:tblStylePr w:type="firstRow">
      <w:pPr>
        <w:spacing w:before="0" w:after="0" w:line="240" w:lineRule="auto"/>
      </w:pPr>
      <w:rPr>
        <w:b/>
        <w:bCs/>
        <w:color w:val="FFFFFF" w:themeColor="background1"/>
      </w:rPr>
      <w:tblPr/>
      <w:tcPr>
        <w:tcBorders>
          <w:top w:val="single" w:sz="8" w:space="0" w:color="B3BAC3" w:themeColor="accent4" w:themeTint="BF"/>
          <w:left w:val="single" w:sz="8" w:space="0" w:color="B3BAC3" w:themeColor="accent4" w:themeTint="BF"/>
          <w:bottom w:val="single" w:sz="8" w:space="0" w:color="B3BAC3" w:themeColor="accent4" w:themeTint="BF"/>
          <w:right w:val="single" w:sz="8" w:space="0" w:color="B3BAC3" w:themeColor="accent4" w:themeTint="BF"/>
          <w:insideH w:val="nil"/>
          <w:insideV w:val="nil"/>
        </w:tcBorders>
        <w:shd w:val="clear" w:color="auto" w:fill="9AA3AF" w:themeFill="accent4"/>
      </w:tcPr>
    </w:tblStylePr>
    <w:tblStylePr w:type="lastRow">
      <w:pPr>
        <w:spacing w:before="0" w:after="0" w:line="240" w:lineRule="auto"/>
      </w:pPr>
      <w:rPr>
        <w:b/>
        <w:bCs/>
      </w:rPr>
      <w:tblPr/>
      <w:tcPr>
        <w:tcBorders>
          <w:top w:val="double" w:sz="6" w:space="0" w:color="B3BAC3" w:themeColor="accent4" w:themeTint="BF"/>
          <w:left w:val="single" w:sz="8" w:space="0" w:color="B3BAC3" w:themeColor="accent4" w:themeTint="BF"/>
          <w:bottom w:val="single" w:sz="8" w:space="0" w:color="B3BAC3" w:themeColor="accent4" w:themeTint="BF"/>
          <w:right w:val="single" w:sz="8" w:space="0" w:color="B3B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E8EB" w:themeFill="accent4" w:themeFillTint="3F"/>
      </w:tcPr>
    </w:tblStylePr>
    <w:tblStylePr w:type="band1Horz">
      <w:tblPr/>
      <w:tcPr>
        <w:tcBorders>
          <w:insideH w:val="nil"/>
          <w:insideV w:val="nil"/>
        </w:tcBorders>
        <w:shd w:val="clear" w:color="auto" w:fill="E5E8E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CFDEAA" w:themeColor="accent5" w:themeTint="BF"/>
        <w:left w:val="single" w:sz="8" w:space="0" w:color="CFDEAA" w:themeColor="accent5" w:themeTint="BF"/>
        <w:bottom w:val="single" w:sz="8" w:space="0" w:color="CFDEAA" w:themeColor="accent5" w:themeTint="BF"/>
        <w:right w:val="single" w:sz="8" w:space="0" w:color="CFDEAA" w:themeColor="accent5" w:themeTint="BF"/>
        <w:insideH w:val="single" w:sz="8" w:space="0" w:color="CFDEAA" w:themeColor="accent5" w:themeTint="BF"/>
      </w:tblBorders>
    </w:tblPr>
    <w:tblStylePr w:type="firstRow">
      <w:pPr>
        <w:spacing w:before="0" w:after="0" w:line="240" w:lineRule="auto"/>
      </w:pPr>
      <w:rPr>
        <w:b/>
        <w:bCs/>
        <w:color w:val="FFFFFF" w:themeColor="background1"/>
      </w:rPr>
      <w:tblPr/>
      <w:tcPr>
        <w:tcBorders>
          <w:top w:val="single" w:sz="8" w:space="0" w:color="CFDEAA" w:themeColor="accent5" w:themeTint="BF"/>
          <w:left w:val="single" w:sz="8" w:space="0" w:color="CFDEAA" w:themeColor="accent5" w:themeTint="BF"/>
          <w:bottom w:val="single" w:sz="8" w:space="0" w:color="CFDEAA" w:themeColor="accent5" w:themeTint="BF"/>
          <w:right w:val="single" w:sz="8" w:space="0" w:color="CFDEAA" w:themeColor="accent5" w:themeTint="BF"/>
          <w:insideH w:val="nil"/>
          <w:insideV w:val="nil"/>
        </w:tcBorders>
        <w:shd w:val="clear" w:color="auto" w:fill="C0D48F" w:themeFill="accent5"/>
      </w:tcPr>
    </w:tblStylePr>
    <w:tblStylePr w:type="lastRow">
      <w:pPr>
        <w:spacing w:before="0" w:after="0" w:line="240" w:lineRule="auto"/>
      </w:pPr>
      <w:rPr>
        <w:b/>
        <w:bCs/>
      </w:rPr>
      <w:tblPr/>
      <w:tcPr>
        <w:tcBorders>
          <w:top w:val="double" w:sz="6" w:space="0" w:color="CFDEAA" w:themeColor="accent5" w:themeTint="BF"/>
          <w:left w:val="single" w:sz="8" w:space="0" w:color="CFDEAA" w:themeColor="accent5" w:themeTint="BF"/>
          <w:bottom w:val="single" w:sz="8" w:space="0" w:color="CFDEAA" w:themeColor="accent5" w:themeTint="BF"/>
          <w:right w:val="single" w:sz="8" w:space="0" w:color="CFDEAA"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4E3" w:themeFill="accent5" w:themeFillTint="3F"/>
      </w:tcPr>
    </w:tblStylePr>
    <w:tblStylePr w:type="band1Horz">
      <w:tblPr/>
      <w:tcPr>
        <w:tcBorders>
          <w:insideH w:val="nil"/>
          <w:insideV w:val="nil"/>
        </w:tcBorders>
        <w:shd w:val="clear" w:color="auto" w:fill="EFF4E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8" w:space="0" w:color="93D0B0" w:themeColor="accent6" w:themeTint="BF"/>
        <w:left w:val="single" w:sz="8" w:space="0" w:color="93D0B0" w:themeColor="accent6" w:themeTint="BF"/>
        <w:bottom w:val="single" w:sz="8" w:space="0" w:color="93D0B0" w:themeColor="accent6" w:themeTint="BF"/>
        <w:right w:val="single" w:sz="8" w:space="0" w:color="93D0B0" w:themeColor="accent6" w:themeTint="BF"/>
        <w:insideH w:val="single" w:sz="8" w:space="0" w:color="93D0B0" w:themeColor="accent6" w:themeTint="BF"/>
      </w:tblBorders>
    </w:tblPr>
    <w:tblStylePr w:type="firstRow">
      <w:pPr>
        <w:spacing w:before="0" w:after="0" w:line="240" w:lineRule="auto"/>
      </w:pPr>
      <w:rPr>
        <w:b/>
        <w:bCs/>
        <w:color w:val="FFFFFF" w:themeColor="background1"/>
      </w:rPr>
      <w:tblPr/>
      <w:tcPr>
        <w:tcBorders>
          <w:top w:val="single" w:sz="8" w:space="0" w:color="93D0B0" w:themeColor="accent6" w:themeTint="BF"/>
          <w:left w:val="single" w:sz="8" w:space="0" w:color="93D0B0" w:themeColor="accent6" w:themeTint="BF"/>
          <w:bottom w:val="single" w:sz="8" w:space="0" w:color="93D0B0" w:themeColor="accent6" w:themeTint="BF"/>
          <w:right w:val="single" w:sz="8" w:space="0" w:color="93D0B0" w:themeColor="accent6" w:themeTint="BF"/>
          <w:insideH w:val="nil"/>
          <w:insideV w:val="nil"/>
        </w:tcBorders>
        <w:shd w:val="clear" w:color="auto" w:fill="6FC197" w:themeFill="accent6"/>
      </w:tcPr>
    </w:tblStylePr>
    <w:tblStylePr w:type="lastRow">
      <w:pPr>
        <w:spacing w:before="0" w:after="0" w:line="240" w:lineRule="auto"/>
      </w:pPr>
      <w:rPr>
        <w:b/>
        <w:bCs/>
      </w:rPr>
      <w:tblPr/>
      <w:tcPr>
        <w:tcBorders>
          <w:top w:val="double" w:sz="6" w:space="0" w:color="93D0B0" w:themeColor="accent6" w:themeTint="BF"/>
          <w:left w:val="single" w:sz="8" w:space="0" w:color="93D0B0" w:themeColor="accent6" w:themeTint="BF"/>
          <w:bottom w:val="single" w:sz="8" w:space="0" w:color="93D0B0" w:themeColor="accent6" w:themeTint="BF"/>
          <w:right w:val="single" w:sz="8" w:space="0" w:color="93D0B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FE5" w:themeFill="accent6" w:themeFillTint="3F"/>
      </w:tcPr>
    </w:tblStylePr>
    <w:tblStylePr w:type="band1Horz">
      <w:tblPr/>
      <w:tcPr>
        <w:tcBorders>
          <w:insideH w:val="nil"/>
          <w:insideV w:val="nil"/>
        </w:tcBorders>
        <w:shd w:val="clear" w:color="auto" w:fill="DBEFE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81E3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81E3E" w:themeFill="accent1"/>
      </w:tcPr>
    </w:tblStylePr>
    <w:tblStylePr w:type="lastCol">
      <w:rPr>
        <w:b/>
        <w:bCs/>
        <w:color w:val="FFFFFF" w:themeColor="background1"/>
      </w:rPr>
      <w:tblPr/>
      <w:tcPr>
        <w:tcBorders>
          <w:left w:val="nil"/>
          <w:right w:val="nil"/>
          <w:insideH w:val="nil"/>
          <w:insideV w:val="nil"/>
        </w:tcBorders>
        <w:shd w:val="clear" w:color="auto" w:fill="081E3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B3B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B3B5" w:themeFill="accent2"/>
      </w:tcPr>
    </w:tblStylePr>
    <w:tblStylePr w:type="lastCol">
      <w:rPr>
        <w:b/>
        <w:bCs/>
        <w:color w:val="FFFFFF" w:themeColor="background1"/>
      </w:rPr>
      <w:tblPr/>
      <w:tcPr>
        <w:tcBorders>
          <w:left w:val="nil"/>
          <w:right w:val="nil"/>
          <w:insideH w:val="nil"/>
          <w:insideV w:val="nil"/>
        </w:tcBorders>
        <w:shd w:val="clear" w:color="auto" w:fill="4BB3B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7D1F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7D1F4" w:themeFill="accent3"/>
      </w:tcPr>
    </w:tblStylePr>
    <w:tblStylePr w:type="lastCol">
      <w:rPr>
        <w:b/>
        <w:bCs/>
        <w:color w:val="FFFFFF" w:themeColor="background1"/>
      </w:rPr>
      <w:tblPr/>
      <w:tcPr>
        <w:tcBorders>
          <w:left w:val="nil"/>
          <w:right w:val="nil"/>
          <w:insideH w:val="nil"/>
          <w:insideV w:val="nil"/>
        </w:tcBorders>
        <w:shd w:val="clear" w:color="auto" w:fill="77D1F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A3A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A3AF" w:themeFill="accent4"/>
      </w:tcPr>
    </w:tblStylePr>
    <w:tblStylePr w:type="lastCol">
      <w:rPr>
        <w:b/>
        <w:bCs/>
        <w:color w:val="FFFFFF" w:themeColor="background1"/>
      </w:rPr>
      <w:tblPr/>
      <w:tcPr>
        <w:tcBorders>
          <w:left w:val="nil"/>
          <w:right w:val="nil"/>
          <w:insideH w:val="nil"/>
          <w:insideV w:val="nil"/>
        </w:tcBorders>
        <w:shd w:val="clear" w:color="auto" w:fill="9AA3A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D48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D48F" w:themeFill="accent5"/>
      </w:tcPr>
    </w:tblStylePr>
    <w:tblStylePr w:type="lastCol">
      <w:rPr>
        <w:b/>
        <w:bCs/>
        <w:color w:val="FFFFFF" w:themeColor="background1"/>
      </w:rPr>
      <w:tblPr/>
      <w:tcPr>
        <w:tcBorders>
          <w:left w:val="nil"/>
          <w:right w:val="nil"/>
          <w:insideH w:val="nil"/>
          <w:insideV w:val="nil"/>
        </w:tcBorders>
        <w:shd w:val="clear" w:color="auto" w:fill="C0D48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C19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C197" w:themeFill="accent6"/>
      </w:tcPr>
    </w:tblStylePr>
    <w:tblStylePr w:type="lastCol">
      <w:rPr>
        <w:b/>
        <w:bCs/>
        <w:color w:val="FFFFFF" w:themeColor="background1"/>
      </w:rPr>
      <w:tblPr/>
      <w:tcPr>
        <w:tcBorders>
          <w:left w:val="nil"/>
          <w:right w:val="nil"/>
          <w:insideH w:val="nil"/>
          <w:insideV w:val="nil"/>
        </w:tcBorders>
        <w:shd w:val="clear" w:color="auto" w:fill="6FC19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rsid w:val="00223F09"/>
    <w:pPr>
      <w:spacing w:before="0" w:after="0"/>
    </w:pPr>
    <w:rPr>
      <w:rFonts w:ascii="Times New Roman" w:eastAsia="Times New Roman" w:hAnsi="Times New Roman" w:cs="Times New Roman"/>
      <w:color w:val="auto"/>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223F09"/>
    <w:pPr>
      <w:spacing w:before="0" w:after="0"/>
    </w:pPr>
    <w:rPr>
      <w:rFonts w:ascii="Times New Roman" w:eastAsia="Times New Roman" w:hAnsi="Times New Roman" w:cs="Times New Roman"/>
      <w:color w:val="auto"/>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23F09"/>
    <w:pPr>
      <w:spacing w:before="0" w:after="0"/>
    </w:pPr>
    <w:rPr>
      <w:rFonts w:ascii="Times New Roman" w:eastAsia="Times New Roman" w:hAnsi="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23F09"/>
    <w:pPr>
      <w:spacing w:before="0" w:after="0"/>
    </w:pPr>
    <w:rPr>
      <w:rFonts w:ascii="Times New Roman" w:eastAsia="Times New Roman" w:hAnsi="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23F09"/>
    <w:pPr>
      <w:spacing w:before="0" w:after="0"/>
    </w:pPr>
    <w:rPr>
      <w:rFonts w:ascii="Times New Roman" w:eastAsia="Times New Roman" w:hAnsi="Times New Roman" w:cs="Times New Roman"/>
      <w:b/>
      <w:bCs/>
      <w:color w:val="auto"/>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23F09"/>
    <w:pPr>
      <w:spacing w:before="0" w:after="0"/>
    </w:pPr>
    <w:rPr>
      <w:rFonts w:ascii="Times New Roman" w:eastAsia="Times New Roman" w:hAnsi="Times New Roman" w:cs="Times New Roman"/>
      <w:b/>
      <w:bCs/>
      <w:color w:val="auto"/>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23F09"/>
    <w:pPr>
      <w:spacing w:before="0" w:after="0"/>
    </w:pPr>
    <w:rPr>
      <w:rFonts w:ascii="Times New Roman" w:eastAsia="Times New Roman" w:hAnsi="Times New Roman" w:cs="Times New Roman"/>
      <w:b/>
      <w:bCs/>
      <w:color w:val="auto"/>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2">
    <w:name w:val="Table Grid 1"/>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uiPriority w:val="99"/>
    <w:semiHidden/>
    <w:unhideWhenUsed/>
    <w:rsid w:val="00223F09"/>
    <w:pPr>
      <w:spacing w:before="0" w:after="0"/>
    </w:pPr>
    <w:rPr>
      <w:rFonts w:ascii="Times New Roman" w:eastAsia="Times New Roman" w:hAnsi="Times New Roman" w:cs="Times New Roman"/>
      <w:b/>
      <w:bCs/>
      <w:color w:val="auto"/>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223F09"/>
    <w:pPr>
      <w:spacing w:before="0" w:after="0"/>
    </w:pPr>
    <w:rPr>
      <w:rFonts w:ascii="Times New Roman" w:eastAsia="Times New Roman" w:hAnsi="Times New Roman" w:cs="Times New Roman"/>
      <w:color w:val="auto"/>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223F09"/>
    <w:pPr>
      <w:spacing w:before="0" w:after="0"/>
    </w:pPr>
    <w:rPr>
      <w:rFonts w:ascii="Times New Roman" w:eastAsia="Times New Roman" w:hAnsi="Times New Roman" w:cs="Times New Roman"/>
      <w:color w:val="auto"/>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23F09"/>
    <w:pPr>
      <w:spacing w:before="0" w:after="0"/>
    </w:pPr>
    <w:rPr>
      <w:rFonts w:ascii="Times New Roman" w:eastAsia="Times New Roman" w:hAnsi="Times New Roman" w:cs="Times New Roman"/>
      <w:color w:val="auto"/>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223F09"/>
    <w:pPr>
      <w:spacing w:before="0" w:after="0"/>
    </w:pPr>
    <w:rPr>
      <w:rFonts w:ascii="Times New Roman" w:eastAsia="Times New Roman" w:hAnsi="Times New Roman" w:cs="Times New Roman"/>
      <w:color w:val="auto"/>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header">
    <w:name w:val="Table header"/>
    <w:next w:val="Normal"/>
    <w:qFormat/>
    <w:rsid w:val="00223F09"/>
    <w:pPr>
      <w:numPr>
        <w:ilvl w:val="7"/>
        <w:numId w:val="25"/>
      </w:numPr>
      <w:tabs>
        <w:tab w:val="left" w:pos="1134"/>
        <w:tab w:val="left" w:pos="1418"/>
      </w:tabs>
      <w:spacing w:before="300" w:after="200"/>
    </w:pPr>
    <w:rPr>
      <w:rFonts w:ascii="Arial" w:hAnsi="Arial" w:cs="Arial"/>
      <w:color w:val="081E3E" w:themeColor="accent1"/>
      <w:sz w:val="22"/>
      <w:u w:color="1C68D9" w:themeColor="text2" w:themeTint="99"/>
    </w:rPr>
  </w:style>
  <w:style w:type="numbering" w:customStyle="1" w:styleId="Listoftables">
    <w:name w:val="List of tables"/>
    <w:uiPriority w:val="99"/>
    <w:rsid w:val="00223F09"/>
    <w:pPr>
      <w:numPr>
        <w:numId w:val="20"/>
      </w:numPr>
    </w:pPr>
  </w:style>
  <w:style w:type="numbering" w:customStyle="1" w:styleId="ListofMaps">
    <w:name w:val="List of Maps"/>
    <w:uiPriority w:val="99"/>
    <w:rsid w:val="00223F09"/>
    <w:pPr>
      <w:numPr>
        <w:numId w:val="21"/>
      </w:numPr>
    </w:pPr>
  </w:style>
  <w:style w:type="numbering" w:customStyle="1" w:styleId="ListofFigures">
    <w:name w:val="List of Figures"/>
    <w:uiPriority w:val="99"/>
    <w:rsid w:val="00223F09"/>
    <w:pPr>
      <w:numPr>
        <w:numId w:val="22"/>
      </w:numPr>
    </w:pPr>
  </w:style>
  <w:style w:type="paragraph" w:customStyle="1" w:styleId="MapHeading">
    <w:name w:val="Map Heading"/>
    <w:qFormat/>
    <w:rsid w:val="00223F09"/>
    <w:pPr>
      <w:numPr>
        <w:ilvl w:val="6"/>
        <w:numId w:val="25"/>
      </w:numPr>
      <w:tabs>
        <w:tab w:val="left" w:pos="1134"/>
        <w:tab w:val="left" w:pos="1418"/>
      </w:tabs>
      <w:spacing w:before="300" w:after="200"/>
    </w:pPr>
    <w:rPr>
      <w:rFonts w:asciiTheme="majorHAnsi" w:hAnsiTheme="majorHAnsi" w:cs="Arial"/>
      <w:sz w:val="22"/>
      <w:u w:color="1C68D9" w:themeColor="text2" w:themeTint="99"/>
    </w:rPr>
  </w:style>
  <w:style w:type="numbering" w:customStyle="1" w:styleId="DepartmentChapterHeadersNumbered">
    <w:name w:val="Department Chapter Headers Numbered"/>
    <w:uiPriority w:val="99"/>
    <w:rsid w:val="00223F09"/>
    <w:pPr>
      <w:numPr>
        <w:numId w:val="23"/>
      </w:numPr>
    </w:pPr>
  </w:style>
  <w:style w:type="paragraph" w:customStyle="1" w:styleId="Monthyearsubtitle">
    <w:name w:val="Month year subtitle"/>
    <w:next w:val="Normal"/>
    <w:qFormat/>
    <w:rsid w:val="00223F09"/>
    <w:pPr>
      <w:spacing w:before="120" w:after="120"/>
    </w:pPr>
    <w:rPr>
      <w:rFonts w:ascii="Segoe UI" w:hAnsi="Segoe UI" w:cs="FranklinGothic-Book"/>
      <w:noProof/>
      <w:color w:val="FFFFFF" w:themeColor="background1"/>
      <w:sz w:val="32"/>
      <w:szCs w:val="32"/>
      <w:lang w:eastAsia="en-AU"/>
    </w:rPr>
  </w:style>
  <w:style w:type="table" w:customStyle="1" w:styleId="PlainTable12">
    <w:name w:val="Plain Table 12"/>
    <w:basedOn w:val="TableNormal"/>
    <w:uiPriority w:val="41"/>
    <w:rsid w:val="00223F09"/>
    <w:pPr>
      <w:spacing w:before="0" w:after="0"/>
    </w:pPr>
    <w:rPr>
      <w:color w:val="auto"/>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ulletdot">
    <w:name w:val="Bullet dot"/>
    <w:basedOn w:val="Normal"/>
    <w:link w:val="BulletdotChar"/>
    <w:qFormat/>
    <w:rsid w:val="000F530A"/>
    <w:pPr>
      <w:spacing w:before="120" w:after="120"/>
      <w:ind w:left="680" w:right="170" w:hanging="340"/>
    </w:pPr>
    <w:rPr>
      <w:lang w:val="en-US"/>
    </w:rPr>
  </w:style>
  <w:style w:type="paragraph" w:customStyle="1" w:styleId="Bulletdotlast">
    <w:name w:val="Bullet dot last"/>
    <w:basedOn w:val="Normal"/>
    <w:link w:val="BulletdotlastChar"/>
    <w:qFormat/>
    <w:rsid w:val="00223F09"/>
    <w:pPr>
      <w:keepLines/>
      <w:numPr>
        <w:numId w:val="24"/>
      </w:numPr>
      <w:suppressAutoHyphens w:val="0"/>
      <w:spacing w:before="120" w:after="120" w:line="264" w:lineRule="auto"/>
      <w:ind w:left="284" w:hanging="284"/>
    </w:pPr>
    <w:rPr>
      <w:rFonts w:ascii="Segoe UI" w:hAnsi="Segoe UI" w:cstheme="minorHAnsi"/>
      <w:color w:val="000000"/>
      <w:kern w:val="0"/>
      <w:szCs w:val="22"/>
    </w:rPr>
  </w:style>
  <w:style w:type="character" w:customStyle="1" w:styleId="BulletdotChar">
    <w:name w:val="Bullet dot Char"/>
    <w:basedOn w:val="DefaultParagraphFont"/>
    <w:link w:val="Bulletdot"/>
    <w:rsid w:val="000F530A"/>
    <w:rPr>
      <w:kern w:val="12"/>
      <w:lang w:val="en-US"/>
    </w:rPr>
  </w:style>
  <w:style w:type="character" w:customStyle="1" w:styleId="BulletdotlastChar">
    <w:name w:val="Bullet dot last Char"/>
    <w:basedOn w:val="DefaultParagraphFont"/>
    <w:link w:val="Bulletdotlast"/>
    <w:rsid w:val="00223F09"/>
    <w:rPr>
      <w:rFonts w:ascii="Segoe UI" w:hAnsi="Segoe UI" w:cstheme="minorHAnsi"/>
      <w:color w:val="000000"/>
      <w:szCs w:val="22"/>
    </w:rPr>
  </w:style>
  <w:style w:type="paragraph" w:customStyle="1" w:styleId="Tabletext1">
    <w:name w:val="Table text"/>
    <w:basedOn w:val="Normal"/>
    <w:qFormat/>
    <w:rsid w:val="00223F09"/>
    <w:pPr>
      <w:keepLines/>
      <w:suppressAutoHyphens w:val="0"/>
      <w:spacing w:before="80" w:after="40"/>
    </w:pPr>
    <w:rPr>
      <w:bCs/>
      <w:color w:val="auto"/>
      <w:kern w:val="0"/>
      <w:sz w:val="18"/>
      <w:szCs w:val="22"/>
    </w:rPr>
  </w:style>
  <w:style w:type="paragraph" w:customStyle="1" w:styleId="TableHeading">
    <w:name w:val="Table Heading"/>
    <w:basedOn w:val="Tabletext1"/>
    <w:qFormat/>
    <w:rsid w:val="00223F09"/>
    <w:rPr>
      <w:b/>
      <w:bCs w:val="0"/>
      <w:color w:val="002D72"/>
    </w:rPr>
  </w:style>
  <w:style w:type="paragraph" w:customStyle="1" w:styleId="Listfiguretableheading">
    <w:name w:val="List/figure/table heading"/>
    <w:next w:val="Normal"/>
    <w:qFormat/>
    <w:rsid w:val="00223F09"/>
    <w:pPr>
      <w:spacing w:before="200" w:after="100" w:line="276" w:lineRule="auto"/>
    </w:pPr>
    <w:rPr>
      <w:rFonts w:asciiTheme="majorHAnsi" w:eastAsiaTheme="majorEastAsia" w:hAnsiTheme="majorHAnsi" w:cstheme="majorBidi"/>
      <w:bCs/>
      <w:color w:val="002D72"/>
      <w:sz w:val="22"/>
      <w:szCs w:val="26"/>
    </w:rPr>
  </w:style>
  <w:style w:type="paragraph" w:customStyle="1" w:styleId="Header3">
    <w:name w:val="Header3"/>
    <w:link w:val="Header3Char"/>
    <w:qFormat/>
    <w:rsid w:val="00223F09"/>
    <w:pPr>
      <w:spacing w:before="240" w:after="200" w:line="276" w:lineRule="auto"/>
    </w:pPr>
    <w:rPr>
      <w:rFonts w:ascii="Arial" w:eastAsia="Times New Roman" w:hAnsi="Arial" w:cs="Arial"/>
      <w:color w:val="081E3E" w:themeColor="text2"/>
      <w:spacing w:val="2"/>
      <w:sz w:val="28"/>
      <w:szCs w:val="36"/>
      <w:u w:color="1C68D9" w:themeColor="text2" w:themeTint="99"/>
    </w:rPr>
  </w:style>
  <w:style w:type="character" w:customStyle="1" w:styleId="Header3Char">
    <w:name w:val="Header3 Char"/>
    <w:basedOn w:val="DefaultParagraphFont"/>
    <w:link w:val="Header3"/>
    <w:locked/>
    <w:rsid w:val="00223F09"/>
    <w:rPr>
      <w:rFonts w:ascii="Arial" w:eastAsia="Times New Roman" w:hAnsi="Arial" w:cs="Arial"/>
      <w:color w:val="081E3E" w:themeColor="text2"/>
      <w:spacing w:val="2"/>
      <w:sz w:val="28"/>
      <w:szCs w:val="36"/>
      <w:u w:color="1C68D9" w:themeColor="text2" w:themeTint="99"/>
    </w:rPr>
  </w:style>
  <w:style w:type="paragraph" w:customStyle="1" w:styleId="ULAHeading">
    <w:name w:val="ULA Heading"/>
    <w:qFormat/>
    <w:rsid w:val="00223F09"/>
    <w:pPr>
      <w:spacing w:before="200" w:after="100"/>
    </w:pPr>
    <w:rPr>
      <w:rFonts w:ascii="Segoe UI Semibold" w:hAnsi="Segoe UI Semibold" w:cs="Arial"/>
      <w:bCs/>
      <w:iCs/>
      <w:sz w:val="22"/>
      <w:szCs w:val="22"/>
    </w:rPr>
  </w:style>
  <w:style w:type="character" w:customStyle="1" w:styleId="UnresolvedMention1">
    <w:name w:val="Unresolved Mention1"/>
    <w:basedOn w:val="DefaultParagraphFont"/>
    <w:uiPriority w:val="99"/>
    <w:semiHidden/>
    <w:unhideWhenUsed/>
    <w:rsid w:val="00223F09"/>
    <w:rPr>
      <w:color w:val="605E5C"/>
      <w:shd w:val="clear" w:color="auto" w:fill="E1DFDD"/>
    </w:rPr>
  </w:style>
  <w:style w:type="paragraph" w:customStyle="1" w:styleId="ULANormal">
    <w:name w:val="ULA Normal"/>
    <w:basedOn w:val="Normal"/>
    <w:qFormat/>
    <w:rsid w:val="00223F09"/>
    <w:pPr>
      <w:keepLines/>
      <w:suppressAutoHyphens w:val="0"/>
      <w:spacing w:before="120" w:after="120" w:line="264" w:lineRule="auto"/>
    </w:pPr>
    <w:rPr>
      <w:rFonts w:ascii="Segoe UI" w:hAnsi="Segoe UI" w:cstheme="minorHAnsi"/>
      <w:color w:val="000000"/>
      <w:kern w:val="0"/>
      <w:sz w:val="16"/>
      <w:szCs w:val="16"/>
    </w:rPr>
  </w:style>
  <w:style w:type="paragraph" w:customStyle="1" w:styleId="AppendixHeading3">
    <w:name w:val="Appendix Heading 3"/>
    <w:basedOn w:val="Heading3"/>
    <w:next w:val="Normal"/>
    <w:qFormat/>
    <w:rsid w:val="00223F09"/>
    <w:pPr>
      <w:tabs>
        <w:tab w:val="left" w:pos="794"/>
        <w:tab w:val="left" w:pos="1020"/>
      </w:tabs>
      <w:suppressAutoHyphens w:val="0"/>
      <w:spacing w:before="180" w:after="180"/>
    </w:pPr>
    <w:rPr>
      <w:rFonts w:ascii="Segoe UI" w:eastAsiaTheme="minorHAnsi" w:hAnsi="Segoe UI" w:cs="FranklinGothic-BookCnd"/>
      <w:b/>
      <w:color w:val="000000" w:themeColor="text1"/>
      <w:spacing w:val="1"/>
      <w:kern w:val="0"/>
      <w:sz w:val="26"/>
      <w:szCs w:val="26"/>
    </w:rPr>
  </w:style>
  <w:style w:type="paragraph" w:customStyle="1" w:styleId="Scheduleitem">
    <w:name w:val="Schedule item"/>
    <w:basedOn w:val="Normal"/>
    <w:link w:val="ScheduleitemChar"/>
    <w:rsid w:val="00223F09"/>
    <w:pPr>
      <w:keepNext/>
      <w:numPr>
        <w:numId w:val="26"/>
      </w:numPr>
      <w:suppressAutoHyphens w:val="0"/>
      <w:spacing w:before="120" w:after="120"/>
    </w:pPr>
    <w:rPr>
      <w:rFonts w:ascii="Times New Roman" w:eastAsia="Times New Roman" w:hAnsi="Times New Roman" w:cs="Times New Roman"/>
      <w:color w:val="auto"/>
      <w:kern w:val="0"/>
      <w:sz w:val="24"/>
      <w:szCs w:val="24"/>
      <w:lang w:eastAsia="en-AU"/>
    </w:rPr>
  </w:style>
  <w:style w:type="character" w:customStyle="1" w:styleId="ScheduleitemChar">
    <w:name w:val="Schedule item Char"/>
    <w:basedOn w:val="DefaultParagraphFont"/>
    <w:link w:val="Scheduleitem"/>
    <w:rsid w:val="00223F09"/>
    <w:rPr>
      <w:rFonts w:ascii="Times New Roman" w:eastAsia="Times New Roman" w:hAnsi="Times New Roman" w:cs="Times New Roman"/>
      <w:color w:val="auto"/>
      <w:sz w:val="24"/>
      <w:szCs w:val="24"/>
      <w:lang w:eastAsia="en-AU"/>
    </w:rPr>
  </w:style>
  <w:style w:type="paragraph" w:customStyle="1" w:styleId="References0">
    <w:name w:val="References"/>
    <w:basedOn w:val="Normal"/>
    <w:qFormat/>
    <w:rsid w:val="00223F09"/>
    <w:pPr>
      <w:keepLines/>
      <w:suppressAutoHyphens w:val="0"/>
      <w:spacing w:before="240" w:after="240" w:line="264" w:lineRule="auto"/>
      <w:ind w:left="567" w:hanging="567"/>
    </w:pPr>
    <w:rPr>
      <w:rFonts w:ascii="Segoe UI" w:hAnsi="Segoe UI" w:cstheme="minorHAnsi"/>
      <w:color w:val="000000"/>
      <w:kern w:val="0"/>
      <w:szCs w:val="22"/>
    </w:rPr>
  </w:style>
  <w:style w:type="paragraph" w:customStyle="1" w:styleId="COVERPUBLICATIONTITLE2">
    <w:name w:val="COVER_PUBLICATION_TITLE_2"/>
    <w:basedOn w:val="COVERPUBLICATIONTITLE1"/>
    <w:qFormat/>
    <w:rsid w:val="00223F09"/>
    <w:pPr>
      <w:spacing w:before="240"/>
    </w:pPr>
    <w:rPr>
      <w:sz w:val="56"/>
    </w:rPr>
  </w:style>
  <w:style w:type="character" w:customStyle="1" w:styleId="UnresolvedMention2">
    <w:name w:val="Unresolved Mention2"/>
    <w:basedOn w:val="DefaultParagraphFont"/>
    <w:uiPriority w:val="99"/>
    <w:semiHidden/>
    <w:unhideWhenUsed/>
    <w:rsid w:val="005510C4"/>
    <w:rPr>
      <w:color w:val="605E5C"/>
      <w:shd w:val="clear" w:color="auto" w:fill="E1DFDD"/>
    </w:rPr>
  </w:style>
  <w:style w:type="paragraph" w:customStyle="1" w:styleId="NumberList1">
    <w:name w:val="±NumberList 1"/>
    <w:basedOn w:val="Normal"/>
    <w:uiPriority w:val="1"/>
    <w:qFormat/>
    <w:rsid w:val="003556F5"/>
    <w:pPr>
      <w:suppressAutoHyphens w:val="0"/>
      <w:spacing w:before="0" w:after="60" w:line="264" w:lineRule="auto"/>
      <w:contextualSpacing/>
    </w:pPr>
    <w:rPr>
      <w:rFonts w:ascii="Arial" w:hAnsi="Arial" w:cs="Arial"/>
      <w:kern w:val="0"/>
    </w:rPr>
  </w:style>
  <w:style w:type="paragraph" w:customStyle="1" w:styleId="NumberLista">
    <w:name w:val="±NumberList a"/>
    <w:basedOn w:val="Normal"/>
    <w:uiPriority w:val="1"/>
    <w:qFormat/>
    <w:rsid w:val="003556F5"/>
    <w:pPr>
      <w:suppressAutoHyphens w:val="0"/>
      <w:spacing w:before="0" w:after="60" w:line="264" w:lineRule="auto"/>
      <w:contextualSpacing/>
    </w:pPr>
    <w:rPr>
      <w:rFonts w:ascii="Arial" w:hAnsi="Arial" w:cs="Arial"/>
      <w:kern w:val="0"/>
    </w:rPr>
  </w:style>
  <w:style w:type="paragraph" w:customStyle="1" w:styleId="NumberListi">
    <w:name w:val="±NumberList i"/>
    <w:basedOn w:val="Normal"/>
    <w:uiPriority w:val="1"/>
    <w:qFormat/>
    <w:rsid w:val="003556F5"/>
    <w:pPr>
      <w:suppressAutoHyphens w:val="0"/>
      <w:spacing w:before="0" w:after="60" w:line="264" w:lineRule="auto"/>
      <w:contextualSpacing/>
    </w:pPr>
    <w:rPr>
      <w:rFonts w:ascii="Arial" w:hAnsi="Arial" w:cs="Arial"/>
      <w:kern w:val="0"/>
    </w:rPr>
  </w:style>
  <w:style w:type="table" w:customStyle="1" w:styleId="ARRBTable">
    <w:name w:val="±ARRB_Table"/>
    <w:basedOn w:val="TableNormal"/>
    <w:uiPriority w:val="99"/>
    <w:rsid w:val="003556F5"/>
    <w:pPr>
      <w:spacing w:before="120" w:after="60"/>
    </w:pPr>
    <w:rPr>
      <w:rFonts w:ascii="Arial Narrow" w:hAnsi="Arial Narrow" w:cs="System"/>
      <w:sz w:val="18"/>
      <w:lang w:val="en-GB"/>
    </w:rPr>
    <w:tblPr>
      <w:tblBorders>
        <w:top w:val="single" w:sz="4" w:space="0" w:color="E7E7E7" w:themeColor="background2"/>
        <w:left w:val="single" w:sz="4" w:space="0" w:color="E7E7E7" w:themeColor="background2"/>
        <w:bottom w:val="single" w:sz="4" w:space="0" w:color="E7E7E7" w:themeColor="background2"/>
        <w:right w:val="single" w:sz="4" w:space="0" w:color="E7E7E7" w:themeColor="background2"/>
        <w:insideH w:val="single" w:sz="6" w:space="0" w:color="E7E7E7" w:themeColor="background2"/>
        <w:insideV w:val="single" w:sz="6" w:space="0" w:color="E7E7E7" w:themeColor="background2"/>
      </w:tblBorders>
    </w:tblPr>
    <w:tblStylePr w:type="firstRow">
      <w:pPr>
        <w:keepNext/>
        <w:wordWrap/>
        <w:spacing w:beforeLines="0" w:before="80" w:beforeAutospacing="0" w:afterLines="0" w:after="80" w:afterAutospacing="0"/>
        <w:jc w:val="left"/>
      </w:pPr>
      <w:rPr>
        <w:rFonts w:ascii="Arial Narrow" w:hAnsi="Arial Narrow"/>
        <w:b/>
        <w:caps w:val="0"/>
        <w:smallCaps w:val="0"/>
        <w:color w:val="FFFFFF" w:themeColor="background1"/>
        <w:sz w:val="18"/>
      </w:rPr>
      <w:tblPr/>
      <w:tcPr>
        <w:tcBorders>
          <w:top w:val="single" w:sz="4" w:space="0" w:color="081E3E" w:themeColor="text2"/>
          <w:left w:val="nil"/>
          <w:bottom w:val="single" w:sz="4" w:space="0" w:color="081E3E" w:themeColor="text2"/>
          <w:right w:val="nil"/>
          <w:insideH w:val="nil"/>
          <w:insideV w:val="single" w:sz="12" w:space="0" w:color="FFFFFF" w:themeColor="background1"/>
          <w:tl2br w:val="nil"/>
          <w:tr2bl w:val="nil"/>
        </w:tcBorders>
        <w:shd w:val="clear" w:color="auto" w:fill="081E3E" w:themeFill="text2"/>
      </w:tcPr>
    </w:tblStylePr>
    <w:tblStylePr w:type="lastRow">
      <w:rPr>
        <w:b/>
        <w:color w:val="081E3E" w:themeColor="text2"/>
      </w:rPr>
      <w:tblPr/>
      <w:tcPr>
        <w:tcBorders>
          <w:top w:val="single" w:sz="2" w:space="0" w:color="081E3E" w:themeColor="text2"/>
          <w:left w:val="nil"/>
          <w:bottom w:val="single" w:sz="12" w:space="0" w:color="081E3E" w:themeColor="text2"/>
          <w:right w:val="nil"/>
          <w:insideH w:val="nil"/>
          <w:insideV w:val="single" w:sz="12" w:space="0" w:color="FFFFFF" w:themeColor="background1"/>
          <w:tl2br w:val="nil"/>
          <w:tr2bl w:val="nil"/>
        </w:tcBorders>
      </w:tcPr>
    </w:tblStylePr>
  </w:style>
  <w:style w:type="paragraph" w:customStyle="1" w:styleId="TableTextLeft">
    <w:name w:val="±TableTextLeft"/>
    <w:basedOn w:val="Normal"/>
    <w:uiPriority w:val="31"/>
    <w:qFormat/>
    <w:rsid w:val="003556F5"/>
    <w:pPr>
      <w:suppressAutoHyphens w:val="0"/>
      <w:spacing w:before="40" w:after="40"/>
    </w:pPr>
    <w:rPr>
      <w:rFonts w:ascii="Arial Narrow" w:hAnsi="Arial Narrow" w:cs="Arial"/>
      <w:kern w:val="0"/>
      <w:sz w:val="18"/>
    </w:rPr>
  </w:style>
  <w:style w:type="paragraph" w:customStyle="1" w:styleId="BulletLevel1">
    <w:name w:val="±BulletLevel 1"/>
    <w:basedOn w:val="Normal"/>
    <w:uiPriority w:val="1"/>
    <w:qFormat/>
    <w:rsid w:val="00442FC7"/>
    <w:pPr>
      <w:numPr>
        <w:numId w:val="72"/>
      </w:numPr>
      <w:suppressAutoHyphens w:val="0"/>
      <w:spacing w:before="0" w:after="60" w:line="264" w:lineRule="auto"/>
      <w:contextualSpacing/>
    </w:pPr>
    <w:rPr>
      <w:rFonts w:ascii="Arial" w:eastAsia="Calibri" w:hAnsi="Arial" w:cs="Arial"/>
      <w:kern w:val="0"/>
    </w:rPr>
  </w:style>
  <w:style w:type="paragraph" w:customStyle="1" w:styleId="BulletLevel2">
    <w:name w:val="±BulletLevel 2"/>
    <w:basedOn w:val="Normal"/>
    <w:uiPriority w:val="1"/>
    <w:rsid w:val="00442FC7"/>
    <w:pPr>
      <w:numPr>
        <w:ilvl w:val="1"/>
        <w:numId w:val="72"/>
      </w:numPr>
      <w:suppressAutoHyphens w:val="0"/>
      <w:spacing w:before="0" w:after="60" w:line="264" w:lineRule="auto"/>
      <w:contextualSpacing/>
    </w:pPr>
    <w:rPr>
      <w:rFonts w:ascii="Arial" w:hAnsi="Arial" w:cs="Arial"/>
      <w:kern w:val="0"/>
    </w:rPr>
  </w:style>
  <w:style w:type="paragraph" w:customStyle="1" w:styleId="BulletLevel3">
    <w:name w:val="±BulletLevel 3"/>
    <w:basedOn w:val="Normal"/>
    <w:uiPriority w:val="1"/>
    <w:rsid w:val="00442FC7"/>
    <w:pPr>
      <w:numPr>
        <w:ilvl w:val="2"/>
        <w:numId w:val="72"/>
      </w:numPr>
      <w:suppressAutoHyphens w:val="0"/>
      <w:spacing w:before="0" w:after="60" w:line="264" w:lineRule="auto"/>
      <w:contextualSpacing/>
    </w:pPr>
    <w:rPr>
      <w:rFonts w:ascii="Arial" w:hAnsi="Arial" w:cs="Arial"/>
      <w:kern w:val="0"/>
    </w:rPr>
  </w:style>
  <w:style w:type="numbering" w:customStyle="1" w:styleId="NoList4">
    <w:name w:val="No List4"/>
    <w:next w:val="NoList"/>
    <w:uiPriority w:val="99"/>
    <w:semiHidden/>
    <w:unhideWhenUsed/>
    <w:rsid w:val="00452B58"/>
  </w:style>
  <w:style w:type="paragraph" w:customStyle="1" w:styleId="AppBodyTextNum">
    <w:name w:val="±AppBodyTextNum"/>
    <w:basedOn w:val="ARRBBase"/>
    <w:uiPriority w:val="28"/>
    <w:semiHidden/>
    <w:qFormat/>
    <w:rsid w:val="00452B58"/>
  </w:style>
  <w:style w:type="paragraph" w:customStyle="1" w:styleId="ARRBHeadNonToc">
    <w:name w:val="ARRB ±HeadNonToc"/>
    <w:basedOn w:val="ARRBBaseNoSpacing"/>
    <w:next w:val="ARRBBase"/>
    <w:link w:val="ARRBHeadNonTocChar"/>
    <w:uiPriority w:val="3"/>
    <w:rsid w:val="00452B58"/>
    <w:pPr>
      <w:keepNext/>
      <w:pageBreakBefore/>
      <w:spacing w:after="360" w:line="240" w:lineRule="auto"/>
    </w:pPr>
    <w:rPr>
      <w:rFonts w:ascii="Arial Bold" w:hAnsi="Arial Bold"/>
      <w:b/>
      <w:color w:val="00A1DE"/>
      <w:kern w:val="12"/>
      <w:sz w:val="40"/>
    </w:rPr>
  </w:style>
  <w:style w:type="paragraph" w:customStyle="1" w:styleId="ARRBDivider">
    <w:name w:val="ARRB ±Divider"/>
    <w:basedOn w:val="ARRBHeadNonToc"/>
    <w:next w:val="Normal"/>
    <w:uiPriority w:val="5"/>
    <w:rsid w:val="00452B58"/>
    <w:pPr>
      <w:spacing w:after="0"/>
      <w:jc w:val="center"/>
      <w:outlineLvl w:val="0"/>
    </w:pPr>
    <w:rPr>
      <w:sz w:val="56"/>
    </w:rPr>
  </w:style>
  <w:style w:type="numbering" w:customStyle="1" w:styleId="AppListStyle">
    <w:name w:val="~AppListStyle"/>
    <w:uiPriority w:val="99"/>
    <w:rsid w:val="00452B58"/>
    <w:pPr>
      <w:numPr>
        <w:numId w:val="77"/>
      </w:numPr>
    </w:pPr>
  </w:style>
  <w:style w:type="paragraph" w:customStyle="1" w:styleId="AppAlphaNumBullet1">
    <w:name w:val="±AppAlphaNumBullet1"/>
    <w:basedOn w:val="AppBodyTextNum"/>
    <w:uiPriority w:val="28"/>
    <w:semiHidden/>
    <w:qFormat/>
    <w:rsid w:val="00452B58"/>
  </w:style>
  <w:style w:type="paragraph" w:customStyle="1" w:styleId="AppAlphaNumBullet2">
    <w:name w:val="±AppAlphaNumBullet2"/>
    <w:basedOn w:val="AppBodyTextNum"/>
    <w:uiPriority w:val="28"/>
    <w:semiHidden/>
    <w:qFormat/>
    <w:rsid w:val="00452B58"/>
  </w:style>
  <w:style w:type="paragraph" w:customStyle="1" w:styleId="AppAlphaNumBullet3">
    <w:name w:val="±AppAlphaNumBullet3"/>
    <w:basedOn w:val="AppBodyTextNum"/>
    <w:uiPriority w:val="28"/>
    <w:semiHidden/>
    <w:qFormat/>
    <w:rsid w:val="00452B58"/>
  </w:style>
  <w:style w:type="paragraph" w:customStyle="1" w:styleId="ARRBBodyHeading">
    <w:name w:val="ARRB ±BodyHeading"/>
    <w:basedOn w:val="ARRBBase"/>
    <w:next w:val="ARRBBase"/>
    <w:link w:val="ARRBBodyHeadingChar"/>
    <w:uiPriority w:val="2"/>
    <w:qFormat/>
    <w:rsid w:val="00452B58"/>
    <w:pPr>
      <w:keepNext/>
      <w:spacing w:after="0" w:line="240" w:lineRule="auto"/>
    </w:pPr>
    <w:rPr>
      <w:b/>
      <w:color w:val="00A1DE"/>
    </w:rPr>
  </w:style>
  <w:style w:type="paragraph" w:customStyle="1" w:styleId="BodyTextNum">
    <w:name w:val="±BodyTextNum"/>
    <w:basedOn w:val="ARRBBase"/>
    <w:uiPriority w:val="28"/>
    <w:semiHidden/>
    <w:rsid w:val="00452B58"/>
  </w:style>
  <w:style w:type="paragraph" w:customStyle="1" w:styleId="ARRBBulletLevel10">
    <w:name w:val="ARRB ±BulletLevel 1"/>
    <w:basedOn w:val="ARRBBase"/>
    <w:uiPriority w:val="1"/>
    <w:qFormat/>
    <w:rsid w:val="00452B58"/>
    <w:pPr>
      <w:ind w:left="284" w:hanging="284"/>
      <w:contextualSpacing/>
    </w:pPr>
    <w:rPr>
      <w:rFonts w:ascii="Calibri" w:eastAsia="Calibri" w:hAnsi="Calibri"/>
    </w:rPr>
  </w:style>
  <w:style w:type="paragraph" w:customStyle="1" w:styleId="ARRBBulletLevel20">
    <w:name w:val="ARRB ±BulletLevel 2"/>
    <w:basedOn w:val="ARRBBase"/>
    <w:uiPriority w:val="1"/>
    <w:rsid w:val="00452B58"/>
    <w:pPr>
      <w:ind w:left="568" w:hanging="284"/>
      <w:contextualSpacing/>
    </w:pPr>
    <w:rPr>
      <w:rFonts w:ascii="Calibri" w:hAnsi="Calibri"/>
    </w:rPr>
  </w:style>
  <w:style w:type="paragraph" w:customStyle="1" w:styleId="ARRBBulletLevel3">
    <w:name w:val="ARRB ±BulletLevel 3"/>
    <w:basedOn w:val="ARRBBase"/>
    <w:uiPriority w:val="1"/>
    <w:rsid w:val="00452B58"/>
    <w:pPr>
      <w:contextualSpacing/>
    </w:pPr>
  </w:style>
  <w:style w:type="character" w:customStyle="1" w:styleId="CaptionChar">
    <w:name w:val="Caption Char"/>
    <w:aliases w:val="ARRB Caption Char,±Table/Figure Caption Char,~Caption Char,±Caption Char"/>
    <w:basedOn w:val="DefaultParagraphFont"/>
    <w:link w:val="Caption"/>
    <w:uiPriority w:val="6"/>
    <w:rsid w:val="00452B58"/>
    <w:rPr>
      <w:b/>
      <w:iCs/>
      <w:kern w:val="12"/>
      <w:szCs w:val="18"/>
    </w:rPr>
  </w:style>
  <w:style w:type="paragraph" w:customStyle="1" w:styleId="CoverConfi">
    <w:name w:val="±CoverConfi"/>
    <w:basedOn w:val="ARRBBaseNoSpacing"/>
    <w:uiPriority w:val="34"/>
    <w:semiHidden/>
    <w:rsid w:val="00452B58"/>
  </w:style>
  <w:style w:type="paragraph" w:customStyle="1" w:styleId="CoverSubtitle">
    <w:name w:val="±CoverSubtitle"/>
    <w:basedOn w:val="ARRBBaseNoSpacing"/>
    <w:uiPriority w:val="34"/>
    <w:semiHidden/>
    <w:rsid w:val="00452B58"/>
  </w:style>
  <w:style w:type="paragraph" w:customStyle="1" w:styleId="CoverDate0">
    <w:name w:val="±CoverDate"/>
    <w:basedOn w:val="ARRBBaseNoSpacing"/>
    <w:uiPriority w:val="34"/>
    <w:semiHidden/>
    <w:rsid w:val="00452B58"/>
    <w:pPr>
      <w:spacing w:after="120"/>
      <w:jc w:val="right"/>
    </w:pPr>
    <w:rPr>
      <w:rFonts w:ascii="Calibri" w:hAnsi="Calibri"/>
      <w:sz w:val="28"/>
    </w:rPr>
  </w:style>
  <w:style w:type="paragraph" w:customStyle="1" w:styleId="CoverClient">
    <w:name w:val="±CoverClient"/>
    <w:basedOn w:val="ARRBBaseNoSpacing"/>
    <w:uiPriority w:val="34"/>
    <w:semiHidden/>
    <w:rsid w:val="00452B58"/>
    <w:pPr>
      <w:spacing w:before="240"/>
    </w:pPr>
    <w:rPr>
      <w:rFonts w:ascii="Calibri" w:hAnsi="Calibri"/>
      <w:sz w:val="28"/>
    </w:rPr>
  </w:style>
  <w:style w:type="paragraph" w:customStyle="1" w:styleId="CoverTitle">
    <w:name w:val="±CoverTitle"/>
    <w:basedOn w:val="ARRBBaseNoSpacing"/>
    <w:uiPriority w:val="34"/>
    <w:semiHidden/>
    <w:rsid w:val="00452B58"/>
    <w:pPr>
      <w:spacing w:after="120"/>
    </w:pPr>
    <w:rPr>
      <w:rFonts w:ascii="Calibri" w:hAnsi="Calibri"/>
      <w:b/>
      <w:sz w:val="36"/>
    </w:rPr>
  </w:style>
  <w:style w:type="paragraph" w:customStyle="1" w:styleId="CoverAuthor">
    <w:name w:val="±CoverAuthor"/>
    <w:basedOn w:val="ARRBBaseNoSpacing"/>
    <w:uiPriority w:val="34"/>
    <w:semiHidden/>
    <w:rsid w:val="00452B58"/>
    <w:pPr>
      <w:spacing w:before="240"/>
    </w:pPr>
    <w:rPr>
      <w:rFonts w:ascii="Calibri" w:hAnsi="Calibri"/>
      <w:sz w:val="28"/>
    </w:rPr>
  </w:style>
  <w:style w:type="paragraph" w:customStyle="1" w:styleId="CoverVersion">
    <w:name w:val="±CoverVersion"/>
    <w:basedOn w:val="ARRBBaseNoSpacing"/>
    <w:uiPriority w:val="34"/>
    <w:semiHidden/>
    <w:rsid w:val="00452B58"/>
    <w:pPr>
      <w:jc w:val="right"/>
    </w:pPr>
    <w:rPr>
      <w:rFonts w:ascii="Calibri" w:hAnsi="Calibri"/>
      <w:sz w:val="28"/>
    </w:rPr>
  </w:style>
  <w:style w:type="paragraph" w:customStyle="1" w:styleId="ARRBReferenceHead">
    <w:name w:val="ARRB ±ReferenceHead"/>
    <w:basedOn w:val="ARRBHeadNonToc"/>
    <w:next w:val="Normal"/>
    <w:link w:val="ARRBReferenceHeadChar"/>
    <w:autoRedefine/>
    <w:uiPriority w:val="3"/>
    <w:rsid w:val="00452B58"/>
    <w:pPr>
      <w:pageBreakBefore w:val="0"/>
      <w:outlineLvl w:val="0"/>
    </w:pPr>
  </w:style>
  <w:style w:type="paragraph" w:customStyle="1" w:styleId="ARRBReferenceSubHead">
    <w:name w:val="ARRB ±ReferenceSubHead"/>
    <w:basedOn w:val="ARRBReferenceHead"/>
    <w:next w:val="ARRBBase"/>
    <w:link w:val="ARRBReferenceSubHeadChar"/>
    <w:autoRedefine/>
    <w:uiPriority w:val="3"/>
    <w:rsid w:val="00452B58"/>
    <w:pPr>
      <w:spacing w:before="360" w:after="120"/>
    </w:pPr>
    <w:rPr>
      <w:sz w:val="28"/>
    </w:rPr>
  </w:style>
  <w:style w:type="paragraph" w:customStyle="1" w:styleId="ARRBIllustrateLeft">
    <w:name w:val="ARRB ±IllustrateLeft"/>
    <w:basedOn w:val="ARRBBaseNoSpacing"/>
    <w:uiPriority w:val="33"/>
    <w:rsid w:val="00452B58"/>
  </w:style>
  <w:style w:type="paragraph" w:customStyle="1" w:styleId="ARRBIllustrateCentre">
    <w:name w:val="ARRB ±IllustrateCentre"/>
    <w:basedOn w:val="ARRBIllustrateLeft"/>
    <w:uiPriority w:val="33"/>
    <w:rsid w:val="00452B58"/>
    <w:pPr>
      <w:jc w:val="center"/>
    </w:pPr>
  </w:style>
  <w:style w:type="paragraph" w:customStyle="1" w:styleId="ARRBIllustrateRight">
    <w:name w:val="ARRB ±IllustrateRight"/>
    <w:basedOn w:val="ARRBIllustrateLeft"/>
    <w:uiPriority w:val="33"/>
    <w:rsid w:val="00452B58"/>
    <w:pPr>
      <w:jc w:val="right"/>
    </w:pPr>
  </w:style>
  <w:style w:type="paragraph" w:customStyle="1" w:styleId="Hidden">
    <w:name w:val="±Hidden"/>
    <w:basedOn w:val="ARRBBaseNoSpacing"/>
    <w:uiPriority w:val="33"/>
    <w:semiHidden/>
    <w:rsid w:val="00452B58"/>
    <w:pPr>
      <w:framePr w:wrap="around" w:vAnchor="page" w:hAnchor="page" w:xAlign="right" w:yAlign="bottom"/>
    </w:pPr>
    <w:rPr>
      <w:color w:val="C00000"/>
    </w:rPr>
  </w:style>
  <w:style w:type="paragraph" w:customStyle="1" w:styleId="ARRBSummaryText">
    <w:name w:val="ARRB ±SummaryText"/>
    <w:basedOn w:val="ARRBBase"/>
    <w:next w:val="ARRBBase"/>
    <w:rsid w:val="00452B58"/>
    <w:pPr>
      <w:spacing w:after="0"/>
    </w:pPr>
    <w:rPr>
      <w:color w:val="00A1DE"/>
    </w:rPr>
  </w:style>
  <w:style w:type="paragraph" w:customStyle="1" w:styleId="ARRBKeyMsgText">
    <w:name w:val="ARRB ±KeyMsgText"/>
    <w:basedOn w:val="ARRBBase"/>
    <w:uiPriority w:val="32"/>
    <w:qFormat/>
    <w:rsid w:val="00452B58"/>
    <w:pPr>
      <w:spacing w:before="320" w:after="240"/>
    </w:pPr>
    <w:rPr>
      <w:b/>
      <w:color w:val="00B299"/>
      <w:sz w:val="32"/>
    </w:rPr>
  </w:style>
  <w:style w:type="paragraph" w:customStyle="1" w:styleId="KeyMsgHead">
    <w:name w:val="±KeyMsgHead"/>
    <w:basedOn w:val="ARRBKeyMsgText"/>
    <w:uiPriority w:val="32"/>
    <w:semiHidden/>
    <w:qFormat/>
    <w:rsid w:val="00452B58"/>
    <w:pPr>
      <w:keepNext/>
      <w:spacing w:before="60" w:line="240" w:lineRule="auto"/>
    </w:pPr>
    <w:rPr>
      <w:b w:val="0"/>
    </w:rPr>
  </w:style>
  <w:style w:type="paragraph" w:customStyle="1" w:styleId="ARRBNumberList1">
    <w:name w:val="ARRB ±NumberList 1"/>
    <w:basedOn w:val="ARRBBase"/>
    <w:uiPriority w:val="1"/>
    <w:qFormat/>
    <w:rsid w:val="00452B58"/>
    <w:pPr>
      <w:ind w:left="284" w:hanging="284"/>
      <w:contextualSpacing/>
    </w:pPr>
  </w:style>
  <w:style w:type="paragraph" w:customStyle="1" w:styleId="ARRBNumberLista">
    <w:name w:val="ARRB ±NumberList a"/>
    <w:basedOn w:val="ARRBBase"/>
    <w:uiPriority w:val="1"/>
    <w:qFormat/>
    <w:rsid w:val="00452B58"/>
    <w:pPr>
      <w:ind w:left="851" w:hanging="567"/>
      <w:contextualSpacing/>
    </w:pPr>
  </w:style>
  <w:style w:type="paragraph" w:customStyle="1" w:styleId="ARRBNumberListi">
    <w:name w:val="ARRB ±NumberList i"/>
    <w:basedOn w:val="ARRBBase"/>
    <w:uiPriority w:val="1"/>
    <w:qFormat/>
    <w:rsid w:val="00452B58"/>
    <w:pPr>
      <w:ind w:left="1020" w:hanging="340"/>
      <w:contextualSpacing/>
    </w:pPr>
  </w:style>
  <w:style w:type="table" w:customStyle="1" w:styleId="ARRBTable1">
    <w:name w:val="±ARRB_Table1"/>
    <w:basedOn w:val="TableNormal"/>
    <w:uiPriority w:val="99"/>
    <w:rsid w:val="00452B58"/>
    <w:pPr>
      <w:spacing w:before="120" w:after="60"/>
    </w:pPr>
    <w:rPr>
      <w:rFonts w:ascii="Arial Narrow" w:hAnsi="Arial Narrow" w:cs="System"/>
      <w:sz w:val="18"/>
      <w:szCs w:val="18"/>
      <w:lang w:val="en-GB"/>
    </w:rPr>
    <w:tblPr>
      <w:tblStyleRowBandSize w:val="1"/>
      <w:tblStyleColBandSize w:val="1"/>
      <w:tblBorders>
        <w:top w:val="single" w:sz="4" w:space="0" w:color="8B8D8E"/>
        <w:left w:val="single" w:sz="4" w:space="0" w:color="8B8D8E"/>
        <w:bottom w:val="single" w:sz="4" w:space="0" w:color="8B8D8E"/>
        <w:right w:val="single" w:sz="4" w:space="0" w:color="8B8D8E"/>
        <w:insideH w:val="single" w:sz="6" w:space="0" w:color="8B8D8E"/>
        <w:insideV w:val="single" w:sz="6" w:space="0" w:color="8B8D8E"/>
      </w:tblBorders>
    </w:tblPr>
    <w:tblStylePr w:type="firstRow">
      <w:pPr>
        <w:keepNext/>
        <w:wordWrap/>
        <w:spacing w:beforeLines="0" w:before="80" w:beforeAutospacing="0" w:afterLines="0" w:after="80" w:afterAutospacing="0"/>
        <w:jc w:val="left"/>
      </w:pPr>
      <w:rPr>
        <w:rFonts w:ascii="Arial Narrow" w:hAnsi="Arial Narrow"/>
        <w:b/>
        <w:caps w:val="0"/>
        <w:smallCaps w:val="0"/>
        <w:color w:val="FFFFFF"/>
        <w:sz w:val="18"/>
      </w:rPr>
      <w:tblPr/>
      <w:tcPr>
        <w:tcBorders>
          <w:top w:val="single" w:sz="4" w:space="0" w:color="00A1DE"/>
          <w:left w:val="nil"/>
          <w:bottom w:val="single" w:sz="4" w:space="0" w:color="00A1DE"/>
          <w:right w:val="nil"/>
          <w:insideH w:val="nil"/>
          <w:insideV w:val="single" w:sz="12" w:space="0" w:color="FFFFFF"/>
          <w:tl2br w:val="nil"/>
          <w:tr2bl w:val="nil"/>
        </w:tcBorders>
        <w:shd w:val="clear" w:color="auto" w:fill="00A1DE"/>
      </w:tcPr>
    </w:tblStylePr>
    <w:tblStylePr w:type="lastRow">
      <w:rPr>
        <w:b/>
        <w:color w:val="00A1DE"/>
      </w:rPr>
      <w:tblPr/>
      <w:tcPr>
        <w:tcBorders>
          <w:top w:val="single" w:sz="2" w:space="0" w:color="00A1DE"/>
          <w:left w:val="nil"/>
          <w:bottom w:val="single" w:sz="12" w:space="0" w:color="00A1DE"/>
          <w:right w:val="nil"/>
          <w:insideH w:val="nil"/>
          <w:insideV w:val="single" w:sz="12" w:space="0" w:color="FFFFFF"/>
          <w:tl2br w:val="nil"/>
          <w:tr2bl w:val="nil"/>
        </w:tcBorders>
      </w:tcPr>
    </w:tblStylePr>
  </w:style>
  <w:style w:type="paragraph" w:customStyle="1" w:styleId="ARRBQuoteText">
    <w:name w:val="ARRB ±QuoteText"/>
    <w:basedOn w:val="ARRBBase"/>
    <w:uiPriority w:val="32"/>
    <w:qFormat/>
    <w:rsid w:val="00452B58"/>
    <w:pPr>
      <w:keepNext/>
      <w:spacing w:before="320" w:after="240"/>
    </w:pPr>
    <w:rPr>
      <w:b/>
      <w:i/>
      <w:color w:val="CA005D"/>
      <w:sz w:val="32"/>
    </w:rPr>
  </w:style>
  <w:style w:type="numbering" w:customStyle="1" w:styleId="SecListStyle">
    <w:name w:val="~SecListStyle"/>
    <w:uiPriority w:val="99"/>
    <w:rsid w:val="00452B58"/>
    <w:pPr>
      <w:numPr>
        <w:numId w:val="78"/>
      </w:numPr>
    </w:pPr>
  </w:style>
  <w:style w:type="paragraph" w:customStyle="1" w:styleId="ARRBTableFigureNotesorSource">
    <w:name w:val="ARRB ±Table/Figure Notes or Source"/>
    <w:basedOn w:val="ARRBBase"/>
    <w:next w:val="ARRBBase"/>
    <w:uiPriority w:val="6"/>
    <w:qFormat/>
    <w:rsid w:val="00452B58"/>
    <w:pPr>
      <w:tabs>
        <w:tab w:val="left" w:pos="709"/>
      </w:tabs>
      <w:spacing w:before="60" w:line="240" w:lineRule="auto"/>
      <w:ind w:left="709" w:hanging="709"/>
    </w:pPr>
    <w:rPr>
      <w:rFonts w:eastAsia="Calibri"/>
      <w:iCs/>
      <w:color w:val="454647"/>
      <w:sz w:val="18"/>
    </w:rPr>
  </w:style>
  <w:style w:type="paragraph" w:customStyle="1" w:styleId="Spacer">
    <w:name w:val="±Spacer"/>
    <w:basedOn w:val="ARRBBaseNoSpacing"/>
    <w:semiHidden/>
    <w:rsid w:val="00452B58"/>
    <w:rPr>
      <w:sz w:val="2"/>
    </w:rPr>
  </w:style>
  <w:style w:type="paragraph" w:customStyle="1" w:styleId="ARRBTableTextLeft">
    <w:name w:val="ARRB ±TableTextLeft"/>
    <w:basedOn w:val="ARRBBase"/>
    <w:uiPriority w:val="31"/>
    <w:qFormat/>
    <w:rsid w:val="00452B58"/>
    <w:pPr>
      <w:spacing w:before="40" w:after="40" w:line="240" w:lineRule="auto"/>
    </w:pPr>
    <w:rPr>
      <w:sz w:val="18"/>
    </w:rPr>
  </w:style>
  <w:style w:type="paragraph" w:customStyle="1" w:styleId="ARRBTableBullet1">
    <w:name w:val="ARRB ±TableBullet1"/>
    <w:basedOn w:val="ARRBTableTextLeft"/>
    <w:uiPriority w:val="7"/>
    <w:qFormat/>
    <w:rsid w:val="00452B58"/>
    <w:pPr>
      <w:contextualSpacing/>
    </w:pPr>
    <w:rPr>
      <w:rFonts w:eastAsia="Calibri"/>
    </w:rPr>
  </w:style>
  <w:style w:type="paragraph" w:customStyle="1" w:styleId="ARRBTableBullet2">
    <w:name w:val="ARRB ±TableBullet2"/>
    <w:basedOn w:val="ARRBTableTextLeft"/>
    <w:uiPriority w:val="7"/>
    <w:qFormat/>
    <w:rsid w:val="00452B58"/>
    <w:pPr>
      <w:contextualSpacing/>
    </w:pPr>
  </w:style>
  <w:style w:type="paragraph" w:customStyle="1" w:styleId="ARRBTableBullet3">
    <w:name w:val="ARRB ±TableBullet3"/>
    <w:basedOn w:val="ARRBTableTextLeft"/>
    <w:uiPriority w:val="7"/>
    <w:qFormat/>
    <w:rsid w:val="00452B58"/>
    <w:pPr>
      <w:contextualSpacing/>
    </w:pPr>
  </w:style>
  <w:style w:type="paragraph" w:customStyle="1" w:styleId="ARRBTableHeadingLeft">
    <w:name w:val="ARRB ±TableHeadingLeft"/>
    <w:basedOn w:val="ARRBTableTextLeft"/>
    <w:uiPriority w:val="7"/>
    <w:semiHidden/>
    <w:rsid w:val="00452B58"/>
    <w:pPr>
      <w:keepNext/>
    </w:pPr>
    <w:rPr>
      <w:b/>
      <w:szCs w:val="26"/>
    </w:rPr>
  </w:style>
  <w:style w:type="paragraph" w:customStyle="1" w:styleId="ARRBTableHeadingCentre">
    <w:name w:val="ARRB ±TableHeadingCentre"/>
    <w:basedOn w:val="ARRBTableHeadingLeft"/>
    <w:uiPriority w:val="7"/>
    <w:semiHidden/>
    <w:rsid w:val="00452B58"/>
    <w:pPr>
      <w:jc w:val="center"/>
    </w:pPr>
  </w:style>
  <w:style w:type="paragraph" w:customStyle="1" w:styleId="ARRBTableHeadingRight">
    <w:name w:val="ARRB ±TableHeadingRight"/>
    <w:basedOn w:val="ARRBTableHeadingLeft"/>
    <w:uiPriority w:val="7"/>
    <w:semiHidden/>
    <w:rsid w:val="00452B58"/>
    <w:pPr>
      <w:jc w:val="right"/>
    </w:pPr>
  </w:style>
  <w:style w:type="table" w:customStyle="1" w:styleId="TableNormal0">
    <w:name w:val="~TableNormal"/>
    <w:basedOn w:val="TableNormal"/>
    <w:semiHidden/>
    <w:rsid w:val="00452B58"/>
    <w:pPr>
      <w:spacing w:before="120" w:after="0"/>
    </w:pPr>
    <w:rPr>
      <w:rFonts w:ascii="Arial Narrow" w:hAnsi="Arial Narrow" w:cs="Arial"/>
      <w:color w:val="3572BB"/>
      <w:sz w:val="18"/>
      <w:szCs w:val="18"/>
      <w:lang w:val="en-GB"/>
    </w:rPr>
    <w:tblPr/>
  </w:style>
  <w:style w:type="paragraph" w:customStyle="1" w:styleId="ARRBTableTextCentre">
    <w:name w:val="ARRB ±TableTextCentre"/>
    <w:basedOn w:val="ARRBTableTextLeft"/>
    <w:uiPriority w:val="7"/>
    <w:rsid w:val="00452B58"/>
    <w:pPr>
      <w:jc w:val="center"/>
    </w:pPr>
  </w:style>
  <w:style w:type="paragraph" w:customStyle="1" w:styleId="ARRBTableTextRight">
    <w:name w:val="ARRB ±TableTextRight"/>
    <w:basedOn w:val="ARRBTableTextLeft"/>
    <w:uiPriority w:val="7"/>
    <w:rsid w:val="00452B58"/>
    <w:pPr>
      <w:jc w:val="right"/>
    </w:pPr>
  </w:style>
  <w:style w:type="paragraph" w:customStyle="1" w:styleId="TableTotalLeft">
    <w:name w:val="±TableTotalLeft"/>
    <w:basedOn w:val="ARRBTableTextLeft"/>
    <w:uiPriority w:val="7"/>
    <w:semiHidden/>
    <w:rsid w:val="00452B58"/>
    <w:rPr>
      <w:b/>
    </w:rPr>
  </w:style>
  <w:style w:type="paragraph" w:customStyle="1" w:styleId="ARRBTableTotalCentre">
    <w:name w:val="ARRB ±TableTotalCentre"/>
    <w:basedOn w:val="TableTotalLeft"/>
    <w:uiPriority w:val="7"/>
    <w:semiHidden/>
    <w:rsid w:val="00452B58"/>
    <w:pPr>
      <w:framePr w:wrap="around" w:vAnchor="page" w:hAnchor="margin" w:y="1135"/>
      <w:suppressOverlap/>
      <w:jc w:val="center"/>
    </w:pPr>
  </w:style>
  <w:style w:type="paragraph" w:customStyle="1" w:styleId="TableTotalRight">
    <w:name w:val="±TableTotalRight"/>
    <w:basedOn w:val="TableTotalLeft"/>
    <w:uiPriority w:val="7"/>
    <w:semiHidden/>
    <w:rsid w:val="00452B58"/>
    <w:pPr>
      <w:framePr w:wrap="around" w:vAnchor="page" w:hAnchor="margin" w:y="1135"/>
      <w:suppressOverlap/>
      <w:jc w:val="right"/>
    </w:pPr>
  </w:style>
  <w:style w:type="table" w:customStyle="1" w:styleId="MediumShading2-Accent11">
    <w:name w:val="Medium Shading 2 - Accent 11"/>
    <w:basedOn w:val="TableNormal"/>
    <w:next w:val="MediumShading2-Accent1"/>
    <w:uiPriority w:val="64"/>
    <w:rsid w:val="00452B58"/>
    <w:pPr>
      <w:spacing w:before="120" w:after="0"/>
    </w:pPr>
    <w:rPr>
      <w:rFonts w:ascii="Arial Narrow" w:hAnsi="Arial Narrow" w:cs="Arial"/>
      <w:color w:val="808080"/>
      <w:sz w:val="18"/>
      <w:szCs w:val="18"/>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CDC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CDC00"/>
      </w:tcPr>
    </w:tblStylePr>
    <w:tblStylePr w:type="lastCol">
      <w:rPr>
        <w:b/>
        <w:bCs/>
        <w:color w:val="FFFFFF"/>
      </w:rPr>
      <w:tblPr/>
      <w:tcPr>
        <w:tcBorders>
          <w:left w:val="nil"/>
          <w:right w:val="nil"/>
          <w:insideH w:val="nil"/>
          <w:insideV w:val="nil"/>
        </w:tcBorders>
        <w:shd w:val="clear" w:color="auto" w:fill="CCDC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20">
    <w:name w:val="Table Grid12"/>
    <w:basedOn w:val="TableNormal"/>
    <w:next w:val="TableGrid"/>
    <w:uiPriority w:val="39"/>
    <w:rsid w:val="00452B58"/>
    <w:pPr>
      <w:spacing w:before="120" w:after="0"/>
    </w:pPr>
    <w:rPr>
      <w:rFonts w:ascii="Arial Narrow" w:hAnsi="Arial Narrow" w:cs="System"/>
      <w:sz w:val="18"/>
      <w:szCs w:val="1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RBContactName">
    <w:name w:val="ARRB ±Contact_Name"/>
    <w:basedOn w:val="ARRBBase"/>
    <w:next w:val="ARRBContactTitle"/>
    <w:uiPriority w:val="9"/>
    <w:semiHidden/>
    <w:qFormat/>
    <w:rsid w:val="00452B58"/>
    <w:rPr>
      <w:b/>
      <w:color w:val="00A1DE"/>
    </w:rPr>
  </w:style>
  <w:style w:type="paragraph" w:customStyle="1" w:styleId="ARRBContactTitle">
    <w:name w:val="ARRB ±Contact_Title"/>
    <w:basedOn w:val="ARRBBaseNoSpacing"/>
    <w:uiPriority w:val="9"/>
    <w:semiHidden/>
    <w:qFormat/>
    <w:rsid w:val="00452B58"/>
    <w:rPr>
      <w:color w:val="8B8D8E"/>
    </w:rPr>
  </w:style>
  <w:style w:type="paragraph" w:customStyle="1" w:styleId="ARRBFooterText">
    <w:name w:val="ARRB ±Footer_Text"/>
    <w:basedOn w:val="ARRBBaseNoSpacing"/>
    <w:uiPriority w:val="9"/>
    <w:semiHidden/>
    <w:qFormat/>
    <w:rsid w:val="00452B58"/>
    <w:pPr>
      <w:spacing w:line="240" w:lineRule="auto"/>
      <w:jc w:val="center"/>
    </w:pPr>
    <w:rPr>
      <w:color w:val="8B8D8E"/>
      <w:sz w:val="14"/>
    </w:rPr>
  </w:style>
  <w:style w:type="paragraph" w:customStyle="1" w:styleId="ARRBFooterHead">
    <w:name w:val="ARRB ±Footer_Head"/>
    <w:basedOn w:val="ARRBFooterText"/>
    <w:next w:val="ARRBFooterText"/>
    <w:uiPriority w:val="9"/>
    <w:semiHidden/>
    <w:qFormat/>
    <w:rsid w:val="00452B58"/>
    <w:pPr>
      <w:spacing w:after="120"/>
    </w:pPr>
    <w:rPr>
      <w:b/>
      <w:color w:val="00A1DE"/>
    </w:rPr>
  </w:style>
  <w:style w:type="paragraph" w:customStyle="1" w:styleId="ARRBReferenceMinorSubHead">
    <w:name w:val="ARRB ±ReferenceMinorSubHead"/>
    <w:basedOn w:val="ARRBReferenceSubHead"/>
    <w:next w:val="Normal"/>
    <w:link w:val="ARRBReferenceMinorSubHeadChar"/>
    <w:uiPriority w:val="3"/>
    <w:rsid w:val="00452B58"/>
  </w:style>
  <w:style w:type="character" w:styleId="UnresolvedMention">
    <w:name w:val="Unresolved Mention"/>
    <w:basedOn w:val="DefaultParagraphFont"/>
    <w:uiPriority w:val="99"/>
    <w:semiHidden/>
    <w:rsid w:val="00452B58"/>
    <w:rPr>
      <w:color w:val="605E5C"/>
      <w:shd w:val="clear" w:color="auto" w:fill="E1DFDD"/>
    </w:rPr>
  </w:style>
  <w:style w:type="paragraph" w:customStyle="1" w:styleId="ARRBTCTitle">
    <w:name w:val="ARRB ±TC_Title"/>
    <w:basedOn w:val="ARRBBase"/>
    <w:next w:val="ARRBBase"/>
    <w:uiPriority w:val="8"/>
    <w:semiHidden/>
    <w:rsid w:val="00452B58"/>
    <w:pPr>
      <w:keepNext/>
      <w:pageBreakBefore/>
      <w:framePr w:w="9639" w:vSpace="425" w:wrap="around" w:vAnchor="text" w:hAnchor="text" w:y="1"/>
      <w:pBdr>
        <w:top w:val="single" w:sz="24" w:space="1" w:color="00A1DE"/>
        <w:left w:val="single" w:sz="24" w:space="4" w:color="00A1DE"/>
        <w:bottom w:val="single" w:sz="24" w:space="1" w:color="00A1DE"/>
        <w:right w:val="single" w:sz="24" w:space="4" w:color="00A1DE"/>
      </w:pBdr>
      <w:shd w:val="clear" w:color="auto" w:fill="00A1DE"/>
      <w:spacing w:after="0" w:line="240" w:lineRule="auto"/>
      <w:ind w:left="142" w:right="142"/>
    </w:pPr>
    <w:rPr>
      <w:b/>
      <w:caps/>
      <w:color w:val="FFFFFF"/>
      <w:sz w:val="28"/>
    </w:rPr>
  </w:style>
  <w:style w:type="paragraph" w:customStyle="1" w:styleId="ARRBTCAlphaNumBullet1">
    <w:name w:val="ARRB ±TC_AlphaNumBullet1"/>
    <w:basedOn w:val="ARRBBase"/>
    <w:uiPriority w:val="8"/>
    <w:semiHidden/>
    <w:rsid w:val="00452B58"/>
    <w:pPr>
      <w:numPr>
        <w:numId w:val="80"/>
      </w:numPr>
      <w:tabs>
        <w:tab w:val="clear" w:pos="284"/>
        <w:tab w:val="num" w:pos="288"/>
      </w:tabs>
      <w:spacing w:after="0" w:line="240" w:lineRule="auto"/>
      <w:ind w:left="288" w:hanging="288"/>
      <w:jc w:val="both"/>
    </w:pPr>
    <w:rPr>
      <w:sz w:val="12"/>
    </w:rPr>
  </w:style>
  <w:style w:type="paragraph" w:customStyle="1" w:styleId="ARRBTCAlphaNumBullet2">
    <w:name w:val="ARRB ±TC_AlphaNumBullet2"/>
    <w:basedOn w:val="ARRBNumberLista"/>
    <w:uiPriority w:val="8"/>
    <w:semiHidden/>
    <w:rsid w:val="00452B58"/>
    <w:pPr>
      <w:numPr>
        <w:ilvl w:val="1"/>
        <w:numId w:val="80"/>
      </w:numPr>
      <w:tabs>
        <w:tab w:val="clear" w:pos="567"/>
        <w:tab w:val="num" w:pos="576"/>
      </w:tabs>
      <w:spacing w:after="0" w:line="240" w:lineRule="auto"/>
      <w:ind w:left="568" w:hanging="284"/>
      <w:jc w:val="both"/>
    </w:pPr>
    <w:rPr>
      <w:sz w:val="12"/>
    </w:rPr>
  </w:style>
  <w:style w:type="paragraph" w:customStyle="1" w:styleId="ARRBTCAlphaNumBullet3">
    <w:name w:val="ARRB ±TC_AlphaNumBullet3"/>
    <w:basedOn w:val="ARRBNumberListi"/>
    <w:uiPriority w:val="8"/>
    <w:semiHidden/>
    <w:rsid w:val="00452B58"/>
    <w:pPr>
      <w:numPr>
        <w:ilvl w:val="2"/>
        <w:numId w:val="80"/>
      </w:numPr>
      <w:tabs>
        <w:tab w:val="clear" w:pos="851"/>
        <w:tab w:val="num" w:pos="864"/>
      </w:tabs>
      <w:spacing w:after="0" w:line="240" w:lineRule="auto"/>
      <w:ind w:left="864" w:hanging="288"/>
      <w:jc w:val="both"/>
    </w:pPr>
    <w:rPr>
      <w:sz w:val="12"/>
    </w:rPr>
  </w:style>
  <w:style w:type="numbering" w:customStyle="1" w:styleId="TCAlphaNumBullet">
    <w:name w:val="±TC_AlphaNumBullet"/>
    <w:uiPriority w:val="99"/>
    <w:rsid w:val="00452B58"/>
    <w:pPr>
      <w:numPr>
        <w:numId w:val="80"/>
      </w:numPr>
    </w:pPr>
  </w:style>
  <w:style w:type="paragraph" w:customStyle="1" w:styleId="ARRBEquationLeft">
    <w:name w:val="ARRB ±EquationLeft"/>
    <w:basedOn w:val="ARRBBase"/>
    <w:next w:val="ARRBBase"/>
    <w:uiPriority w:val="1"/>
    <w:rsid w:val="00452B58"/>
    <w:pPr>
      <w:spacing w:before="60"/>
    </w:pPr>
    <w:rPr>
      <w:rFonts w:eastAsia="Times New Roman" w:cs="Times New Roman"/>
      <w:szCs w:val="18"/>
      <w:lang w:eastAsia="en-AU"/>
    </w:rPr>
  </w:style>
  <w:style w:type="paragraph" w:customStyle="1" w:styleId="ARRBEquationRight">
    <w:name w:val="ARRB ±EquationRight"/>
    <w:basedOn w:val="ARRBEquationLeft"/>
    <w:next w:val="ARRBBase"/>
    <w:uiPriority w:val="1"/>
    <w:rsid w:val="00452B58"/>
    <w:pPr>
      <w:jc w:val="right"/>
    </w:pPr>
  </w:style>
  <w:style w:type="paragraph" w:customStyle="1" w:styleId="ARRBEquationCentre">
    <w:name w:val="ARRB ±EquationCentre"/>
    <w:basedOn w:val="ARRBEquationLeft"/>
    <w:next w:val="ARRBBase"/>
    <w:uiPriority w:val="1"/>
    <w:rsid w:val="00452B58"/>
    <w:pPr>
      <w:jc w:val="center"/>
    </w:pPr>
  </w:style>
  <w:style w:type="numbering" w:customStyle="1" w:styleId="CommListStyle">
    <w:name w:val="~CommListStyle"/>
    <w:basedOn w:val="NoList"/>
    <w:uiPriority w:val="99"/>
    <w:rsid w:val="00452B58"/>
    <w:pPr>
      <w:numPr>
        <w:numId w:val="81"/>
      </w:numPr>
    </w:pPr>
  </w:style>
  <w:style w:type="paragraph" w:customStyle="1" w:styleId="ARRBTableNumberList1">
    <w:name w:val="ARRB ±TableNumberList 1"/>
    <w:basedOn w:val="ARRBTableTextLeft"/>
    <w:uiPriority w:val="7"/>
    <w:rsid w:val="00452B58"/>
    <w:pPr>
      <w:numPr>
        <w:numId w:val="82"/>
      </w:numPr>
      <w:tabs>
        <w:tab w:val="clear" w:pos="284"/>
      </w:tabs>
      <w:ind w:left="720" w:hanging="360"/>
      <w:contextualSpacing/>
    </w:pPr>
  </w:style>
  <w:style w:type="paragraph" w:customStyle="1" w:styleId="ARRBTableNumberLista">
    <w:name w:val="ARRB ±TableNumberList a"/>
    <w:basedOn w:val="ARRBTableTextLeft"/>
    <w:uiPriority w:val="7"/>
    <w:qFormat/>
    <w:rsid w:val="00452B58"/>
    <w:pPr>
      <w:numPr>
        <w:ilvl w:val="1"/>
        <w:numId w:val="82"/>
      </w:numPr>
      <w:tabs>
        <w:tab w:val="clear" w:pos="567"/>
      </w:tabs>
      <w:ind w:left="568" w:hanging="284"/>
      <w:contextualSpacing/>
    </w:pPr>
  </w:style>
  <w:style w:type="paragraph" w:customStyle="1" w:styleId="ARRBTableNumberListi">
    <w:name w:val="ARRB ±TableNumberList i"/>
    <w:basedOn w:val="ARRBTableTextLeft"/>
    <w:uiPriority w:val="7"/>
    <w:qFormat/>
    <w:rsid w:val="00452B58"/>
    <w:pPr>
      <w:numPr>
        <w:ilvl w:val="2"/>
        <w:numId w:val="82"/>
      </w:numPr>
      <w:tabs>
        <w:tab w:val="clear" w:pos="851"/>
      </w:tabs>
      <w:ind w:left="2160" w:hanging="360"/>
      <w:contextualSpacing/>
    </w:pPr>
  </w:style>
  <w:style w:type="paragraph" w:customStyle="1" w:styleId="ARRBTableFigureKeyedNotesList">
    <w:name w:val="ARRB ±Table/Figure Keyed Notes List"/>
    <w:basedOn w:val="ARRBTableFigureNotesorSource"/>
    <w:uiPriority w:val="6"/>
    <w:rsid w:val="00452B58"/>
    <w:pPr>
      <w:numPr>
        <w:numId w:val="83"/>
      </w:numPr>
      <w:tabs>
        <w:tab w:val="clear" w:pos="709"/>
        <w:tab w:val="left" w:pos="284"/>
        <w:tab w:val="num" w:pos="851"/>
      </w:tabs>
      <w:ind w:left="284" w:hanging="284"/>
      <w:contextualSpacing/>
    </w:pPr>
  </w:style>
  <w:style w:type="paragraph" w:customStyle="1" w:styleId="ARRBQuotation">
    <w:name w:val="ARRB ±Quotation"/>
    <w:basedOn w:val="ARRBBaseNoSpacing"/>
    <w:next w:val="Normal"/>
    <w:uiPriority w:val="32"/>
    <w:rsid w:val="00452B58"/>
    <w:pPr>
      <w:spacing w:before="120" w:after="60"/>
      <w:ind w:left="567" w:right="567"/>
    </w:pPr>
  </w:style>
  <w:style w:type="paragraph" w:customStyle="1" w:styleId="ARRBReferenceText">
    <w:name w:val="ARRB ±ReferenceText"/>
    <w:basedOn w:val="ARRBBase"/>
    <w:rsid w:val="00452B58"/>
    <w:pPr>
      <w:tabs>
        <w:tab w:val="left" w:pos="567"/>
      </w:tabs>
      <w:spacing w:before="60" w:after="240"/>
      <w:ind w:left="567" w:hanging="567"/>
    </w:pPr>
  </w:style>
  <w:style w:type="paragraph" w:customStyle="1" w:styleId="ARRBTableFigureNotesBullet">
    <w:name w:val="ARRB ±Table/Figure Notes Bullet"/>
    <w:basedOn w:val="ARRBTableFigureNotesorSource"/>
    <w:uiPriority w:val="6"/>
    <w:rsid w:val="00452B58"/>
    <w:pPr>
      <w:numPr>
        <w:numId w:val="84"/>
      </w:numPr>
      <w:tabs>
        <w:tab w:val="clear" w:pos="709"/>
        <w:tab w:val="left" w:pos="170"/>
      </w:tabs>
      <w:spacing w:before="0"/>
      <w:ind w:left="170" w:hanging="170"/>
      <w:contextualSpacing/>
    </w:pPr>
  </w:style>
  <w:style w:type="paragraph" w:customStyle="1" w:styleId="CoverText">
    <w:name w:val="±CoverText"/>
    <w:basedOn w:val="CoverAuthor"/>
    <w:uiPriority w:val="34"/>
    <w:semiHidden/>
    <w:qFormat/>
    <w:rsid w:val="00452B58"/>
  </w:style>
  <w:style w:type="paragraph" w:customStyle="1" w:styleId="CoverNumber">
    <w:name w:val="±CoverNumber"/>
    <w:basedOn w:val="CoverTitle"/>
    <w:uiPriority w:val="34"/>
    <w:semiHidden/>
    <w:qFormat/>
    <w:rsid w:val="00452B58"/>
    <w:pPr>
      <w:spacing w:after="0"/>
    </w:pPr>
    <w:rPr>
      <w:b w:val="0"/>
    </w:rPr>
  </w:style>
  <w:style w:type="paragraph" w:customStyle="1" w:styleId="ARRBHeading9a">
    <w:name w:val="ARRB Heading 9a"/>
    <w:aliases w:val="±AppHead4"/>
    <w:basedOn w:val="ARRBReferenceMinorSubHead"/>
    <w:next w:val="Normal"/>
    <w:link w:val="ARRBHeading9aChar"/>
    <w:uiPriority w:val="4"/>
    <w:qFormat/>
    <w:rsid w:val="00452B58"/>
    <w:pPr>
      <w:spacing w:before="240" w:after="60"/>
    </w:pPr>
    <w:rPr>
      <w:caps/>
    </w:rPr>
  </w:style>
  <w:style w:type="paragraph" w:customStyle="1" w:styleId="ARRBHeading9b">
    <w:name w:val="ARRB Heading 9b"/>
    <w:aliases w:val="±AppHead5"/>
    <w:basedOn w:val="ARRBReferenceMinorSubHead"/>
    <w:next w:val="Normal"/>
    <w:link w:val="ARRBHeading9bChar"/>
    <w:uiPriority w:val="4"/>
    <w:qFormat/>
    <w:rsid w:val="00452B58"/>
    <w:pPr>
      <w:spacing w:before="240" w:after="60"/>
    </w:pPr>
    <w:rPr>
      <w:rFonts w:cs="Calibri"/>
      <w:i/>
      <w:caps/>
      <w:color w:val="8B8D8E"/>
    </w:rPr>
  </w:style>
  <w:style w:type="character" w:customStyle="1" w:styleId="NoSpacingChar">
    <w:name w:val="No Spacing Char"/>
    <w:aliases w:val="No Spacing ±BaseStyle Char"/>
    <w:basedOn w:val="DefaultParagraphFont"/>
    <w:link w:val="NoSpacing"/>
    <w:uiPriority w:val="1"/>
    <w:rsid w:val="00452B58"/>
    <w:rPr>
      <w:kern w:val="12"/>
    </w:rPr>
  </w:style>
  <w:style w:type="character" w:customStyle="1" w:styleId="ARRBHeadNonTocChar">
    <w:name w:val="ARRB ±HeadNonToc Char"/>
    <w:basedOn w:val="NoSpacingChar"/>
    <w:link w:val="ARRBHeadNonToc"/>
    <w:uiPriority w:val="3"/>
    <w:rsid w:val="00452B58"/>
    <w:rPr>
      <w:rFonts w:ascii="Arial Bold" w:hAnsi="Arial Bold"/>
      <w:b/>
      <w:color w:val="00A1DE"/>
      <w:kern w:val="12"/>
      <w:sz w:val="40"/>
      <w:szCs w:val="22"/>
    </w:rPr>
  </w:style>
  <w:style w:type="character" w:customStyle="1" w:styleId="ARRBReferenceHeadChar">
    <w:name w:val="ARRB ±ReferenceHead Char"/>
    <w:basedOn w:val="ARRBHeadNonTocChar"/>
    <w:link w:val="ARRBReferenceHead"/>
    <w:uiPriority w:val="3"/>
    <w:rsid w:val="00452B58"/>
    <w:rPr>
      <w:rFonts w:ascii="Arial Bold" w:hAnsi="Arial Bold"/>
      <w:b/>
      <w:color w:val="00A1DE"/>
      <w:kern w:val="12"/>
      <w:sz w:val="40"/>
      <w:szCs w:val="22"/>
    </w:rPr>
  </w:style>
  <w:style w:type="character" w:customStyle="1" w:styleId="ARRBReferenceSubHeadChar">
    <w:name w:val="ARRB ±ReferenceSubHead Char"/>
    <w:basedOn w:val="ARRBReferenceHeadChar"/>
    <w:link w:val="ARRBReferenceSubHead"/>
    <w:uiPriority w:val="3"/>
    <w:rsid w:val="00452B58"/>
    <w:rPr>
      <w:rFonts w:ascii="Arial Bold" w:hAnsi="Arial Bold"/>
      <w:b/>
      <w:color w:val="00A1DE"/>
      <w:kern w:val="12"/>
      <w:sz w:val="28"/>
      <w:szCs w:val="22"/>
    </w:rPr>
  </w:style>
  <w:style w:type="character" w:customStyle="1" w:styleId="ARRBReferenceMinorSubHeadChar">
    <w:name w:val="ARRB ±ReferenceMinorSubHead Char"/>
    <w:basedOn w:val="ARRBReferenceSubHeadChar"/>
    <w:link w:val="ARRBReferenceMinorSubHead"/>
    <w:uiPriority w:val="3"/>
    <w:rsid w:val="00452B58"/>
    <w:rPr>
      <w:rFonts w:ascii="Arial Bold" w:hAnsi="Arial Bold"/>
      <w:b/>
      <w:color w:val="00A1DE"/>
      <w:kern w:val="12"/>
      <w:sz w:val="28"/>
      <w:szCs w:val="22"/>
    </w:rPr>
  </w:style>
  <w:style w:type="character" w:customStyle="1" w:styleId="ARRBHeading9aChar">
    <w:name w:val="ARRB Heading 9a Char"/>
    <w:aliases w:val="±AppHead4 Char"/>
    <w:basedOn w:val="ARRBReferenceMinorSubHeadChar"/>
    <w:link w:val="ARRBHeading9a"/>
    <w:uiPriority w:val="4"/>
    <w:rsid w:val="00452B58"/>
    <w:rPr>
      <w:rFonts w:ascii="Arial Bold" w:hAnsi="Arial Bold"/>
      <w:b/>
      <w:caps/>
      <w:color w:val="00A1DE"/>
      <w:kern w:val="12"/>
      <w:sz w:val="28"/>
      <w:szCs w:val="22"/>
    </w:rPr>
  </w:style>
  <w:style w:type="paragraph" w:customStyle="1" w:styleId="ARRBHeading9c">
    <w:name w:val="ARRB Heading 9c"/>
    <w:aliases w:val="±AppHead6"/>
    <w:basedOn w:val="ARRBReferenceMinorSubHead"/>
    <w:next w:val="Normal"/>
    <w:link w:val="ARRBHeading9cChar"/>
    <w:uiPriority w:val="4"/>
    <w:qFormat/>
    <w:rsid w:val="00452B58"/>
    <w:pPr>
      <w:spacing w:before="240" w:after="60"/>
    </w:pPr>
    <w:rPr>
      <w:i/>
      <w:caps/>
      <w:color w:val="00B299"/>
    </w:rPr>
  </w:style>
  <w:style w:type="character" w:customStyle="1" w:styleId="ARRBHeading9bChar">
    <w:name w:val="ARRB Heading 9b Char"/>
    <w:aliases w:val="±AppHead5 Char"/>
    <w:basedOn w:val="ARRBReferenceMinorSubHeadChar"/>
    <w:link w:val="ARRBHeading9b"/>
    <w:uiPriority w:val="4"/>
    <w:rsid w:val="00452B58"/>
    <w:rPr>
      <w:rFonts w:ascii="Arial Bold" w:hAnsi="Arial Bold" w:cs="Calibri"/>
      <w:b/>
      <w:i/>
      <w:caps/>
      <w:color w:val="8B8D8E"/>
      <w:kern w:val="12"/>
      <w:sz w:val="28"/>
      <w:szCs w:val="22"/>
    </w:rPr>
  </w:style>
  <w:style w:type="character" w:customStyle="1" w:styleId="ARRBHeading9cChar">
    <w:name w:val="ARRB Heading 9c Char"/>
    <w:aliases w:val="±AppHead6 Char"/>
    <w:basedOn w:val="ARRBReferenceMinorSubHeadChar"/>
    <w:link w:val="ARRBHeading9c"/>
    <w:uiPriority w:val="4"/>
    <w:rsid w:val="00452B58"/>
    <w:rPr>
      <w:rFonts w:ascii="Arial Bold" w:hAnsi="Arial Bold"/>
      <w:b/>
      <w:i/>
      <w:caps/>
      <w:color w:val="00B299"/>
      <w:kern w:val="12"/>
      <w:sz w:val="28"/>
      <w:szCs w:val="22"/>
    </w:rPr>
  </w:style>
  <w:style w:type="paragraph" w:customStyle="1" w:styleId="TableFigureNotesorSource">
    <w:name w:val="Table / Figure Notes or Source"/>
    <w:basedOn w:val="ARRBBase"/>
    <w:next w:val="ARRBBase"/>
    <w:semiHidden/>
    <w:rsid w:val="00452B58"/>
    <w:pPr>
      <w:keepLines/>
      <w:spacing w:before="60" w:after="240" w:line="240" w:lineRule="atLeast"/>
    </w:pPr>
    <w:rPr>
      <w:rFonts w:eastAsia="SimSun"/>
      <w:i/>
      <w:color w:val="6F7C87"/>
      <w:sz w:val="18"/>
      <w:lang w:eastAsia="ja-JP"/>
    </w:rPr>
  </w:style>
  <w:style w:type="paragraph" w:customStyle="1" w:styleId="ARRBTableCaption">
    <w:name w:val="ARRB Table Caption"/>
    <w:next w:val="ARRBBase"/>
    <w:link w:val="ARRBTableCaptionChar"/>
    <w:rsid w:val="00452B58"/>
    <w:pPr>
      <w:keepNext/>
      <w:tabs>
        <w:tab w:val="left" w:pos="1134"/>
      </w:tabs>
      <w:spacing w:before="0" w:after="60"/>
    </w:pPr>
    <w:rPr>
      <w:rFonts w:eastAsia="Calibri"/>
      <w:b/>
      <w:bCs/>
      <w:color w:val="67696A"/>
      <w:sz w:val="18"/>
      <w:szCs w:val="22"/>
    </w:rPr>
  </w:style>
  <w:style w:type="paragraph" w:customStyle="1" w:styleId="ARRBTableTextLeft0">
    <w:name w:val="ARRB Table Text Left"/>
    <w:basedOn w:val="ARRBBase"/>
    <w:link w:val="ARRBTableTextLeftChar"/>
    <w:uiPriority w:val="99"/>
    <w:qFormat/>
    <w:rsid w:val="00452B58"/>
    <w:pPr>
      <w:spacing w:before="40" w:after="40" w:line="240" w:lineRule="auto"/>
    </w:pPr>
    <w:rPr>
      <w:rFonts w:eastAsia="Calibri"/>
      <w:sz w:val="18"/>
      <w:szCs w:val="18"/>
    </w:rPr>
  </w:style>
  <w:style w:type="table" w:customStyle="1" w:styleId="MainTableStyle">
    <w:name w:val="Main Table Style"/>
    <w:basedOn w:val="TableNormal"/>
    <w:uiPriority w:val="99"/>
    <w:rsid w:val="00452B58"/>
    <w:pPr>
      <w:spacing w:before="80"/>
    </w:pPr>
    <w:rPr>
      <w:rFonts w:ascii="Arial" w:eastAsia="Calibri" w:hAnsi="Arial" w:cs="Times New Roman"/>
      <w:color w:val="auto"/>
      <w:sz w:val="18"/>
      <w:szCs w:val="22"/>
      <w:lang w:eastAsia="en-AU"/>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AEA"/>
    </w:tcPr>
    <w:tblStylePr w:type="firstRow">
      <w:pPr>
        <w:keepNext/>
        <w:keepLines/>
        <w:widowControl/>
        <w:wordWrap/>
        <w:spacing w:beforeLines="0" w:before="80" w:beforeAutospacing="0" w:afterLines="0" w:after="80" w:afterAutospacing="0" w:line="240" w:lineRule="auto"/>
        <w:jc w:val="left"/>
      </w:pPr>
      <w:rPr>
        <w:rFonts w:ascii="Arial" w:hAnsi="Arial"/>
        <w:b w:val="0"/>
        <w:i w:val="0"/>
        <w:color w:val="FFFFFF"/>
        <w:sz w:val="18"/>
      </w:rPr>
      <w:tblPr/>
      <w:tcPr>
        <w:shd w:val="clear" w:color="auto" w:fill="00A1DE"/>
      </w:tcPr>
    </w:tblStylePr>
    <w:tblStylePr w:type="lastRow">
      <w:pPr>
        <w:keepLines/>
        <w:widowControl/>
        <w:wordWrap/>
        <w:jc w:val="left"/>
      </w:pPr>
      <w:rPr>
        <w:rFonts w:ascii="Sitka Display" w:hAnsi="Sitka Display"/>
        <w:b/>
        <w:i w:val="0"/>
        <w:color w:val="FFFFFF"/>
      </w:rPr>
      <w:tblPr/>
      <w:tcPr>
        <w:tcBorders>
          <w:top w:val="nil"/>
          <w:left w:val="nil"/>
          <w:bottom w:val="single" w:sz="4" w:space="0" w:color="44546A"/>
          <w:right w:val="nil"/>
          <w:insideH w:val="nil"/>
          <w:insideV w:val="nil"/>
          <w:tl2br w:val="nil"/>
          <w:tr2bl w:val="nil"/>
        </w:tcBorders>
        <w:shd w:val="clear" w:color="auto" w:fill="323232"/>
      </w:tcPr>
    </w:tblStylePr>
    <w:tblStylePr w:type="band1Horz">
      <w:tblPr/>
      <w:tcPr>
        <w:shd w:val="clear" w:color="auto" w:fill="FFFFFF"/>
      </w:tcPr>
    </w:tblStylePr>
    <w:tblStylePr w:type="band2Horz">
      <w:tblPr/>
      <w:tcPr>
        <w:shd w:val="clear" w:color="auto" w:fill="E7E8E8"/>
      </w:tcPr>
    </w:tblStylePr>
  </w:style>
  <w:style w:type="paragraph" w:customStyle="1" w:styleId="ARRBTableHeadingLeft0">
    <w:name w:val="ARRB Table Heading Left"/>
    <w:basedOn w:val="BodyText"/>
    <w:qFormat/>
    <w:rsid w:val="00452B58"/>
    <w:pPr>
      <w:keepNext/>
      <w:keepLines/>
      <w:tabs>
        <w:tab w:val="clear" w:pos="720"/>
        <w:tab w:val="clear" w:pos="851"/>
      </w:tabs>
      <w:spacing w:before="80" w:after="80" w:line="240" w:lineRule="atLeast"/>
    </w:pPr>
    <w:rPr>
      <w:rFonts w:ascii="Calibri" w:eastAsia="Calibri" w:hAnsi="Calibri"/>
      <w:b/>
      <w:color w:val="FFFFFF"/>
      <w:sz w:val="18"/>
      <w:szCs w:val="18"/>
      <w:lang w:eastAsia="en-US"/>
    </w:rPr>
  </w:style>
  <w:style w:type="character" w:customStyle="1" w:styleId="ARRBTableTextLeftChar">
    <w:name w:val="ARRB Table Text Left Char"/>
    <w:basedOn w:val="DefaultParagraphFont"/>
    <w:link w:val="ARRBTableTextLeft0"/>
    <w:uiPriority w:val="99"/>
    <w:rsid w:val="00452B58"/>
    <w:rPr>
      <w:rFonts w:eastAsia="Calibri"/>
      <w:color w:val="auto"/>
      <w:sz w:val="18"/>
      <w:szCs w:val="18"/>
    </w:rPr>
  </w:style>
  <w:style w:type="character" w:customStyle="1" w:styleId="ARRBTableCaptionChar">
    <w:name w:val="ARRB Table Caption Char"/>
    <w:link w:val="ARRBTableCaption"/>
    <w:rsid w:val="00452B58"/>
    <w:rPr>
      <w:rFonts w:eastAsia="Calibri"/>
      <w:b/>
      <w:bCs/>
      <w:color w:val="67696A"/>
      <w:sz w:val="18"/>
      <w:szCs w:val="22"/>
    </w:rPr>
  </w:style>
  <w:style w:type="paragraph" w:customStyle="1" w:styleId="ARRBBulletLevel1">
    <w:name w:val="ARRB Bullet Level 1"/>
    <w:rsid w:val="00452B58"/>
    <w:pPr>
      <w:numPr>
        <w:numId w:val="85"/>
      </w:numPr>
      <w:spacing w:before="0" w:after="160" w:line="259" w:lineRule="auto"/>
      <w:contextualSpacing/>
    </w:pPr>
    <w:rPr>
      <w:rFonts w:eastAsia="Times New Roman" w:cs="Times New Roman"/>
      <w:color w:val="auto"/>
      <w:sz w:val="22"/>
      <w:szCs w:val="22"/>
      <w:lang w:eastAsia="en-AU"/>
    </w:rPr>
  </w:style>
  <w:style w:type="paragraph" w:customStyle="1" w:styleId="ARRBFigureCaption">
    <w:name w:val="ARRB Figure Caption"/>
    <w:next w:val="ARRBBase"/>
    <w:link w:val="ARRBFigureCaptionChar"/>
    <w:rsid w:val="00452B58"/>
    <w:pPr>
      <w:keepNext/>
      <w:keepLines/>
      <w:spacing w:before="360" w:after="120" w:line="240" w:lineRule="atLeast"/>
    </w:pPr>
    <w:rPr>
      <w:rFonts w:ascii="Arial Bold" w:eastAsia="Times New Roman" w:hAnsi="Arial Bold" w:cs="Times New Roman"/>
      <w:b/>
      <w:color w:val="6F7C87"/>
      <w:sz w:val="18"/>
      <w:szCs w:val="22"/>
      <w:lang w:eastAsia="en-AU"/>
    </w:rPr>
  </w:style>
  <w:style w:type="paragraph" w:customStyle="1" w:styleId="ARRBPicture">
    <w:name w:val="ARRB Picture"/>
    <w:next w:val="ARRBBase"/>
    <w:rsid w:val="00452B58"/>
    <w:pPr>
      <w:keepNext/>
      <w:keepLines/>
      <w:spacing w:before="120" w:after="0"/>
    </w:pPr>
    <w:rPr>
      <w:rFonts w:ascii="Arial" w:eastAsia="Times New Roman" w:hAnsi="Arial" w:cs="Times New Roman"/>
      <w:color w:val="auto"/>
      <w:sz w:val="22"/>
      <w:szCs w:val="22"/>
      <w:lang w:eastAsia="en-AU"/>
    </w:rPr>
  </w:style>
  <w:style w:type="character" w:customStyle="1" w:styleId="ARRBFigureCaptionChar">
    <w:name w:val="ARRB Figure Caption Char"/>
    <w:basedOn w:val="DefaultParagraphFont"/>
    <w:link w:val="ARRBFigureCaption"/>
    <w:rsid w:val="00452B58"/>
    <w:rPr>
      <w:rFonts w:ascii="Arial Bold" w:eastAsia="Times New Roman" w:hAnsi="Arial Bold" w:cs="Times New Roman"/>
      <w:b/>
      <w:color w:val="6F7C87"/>
      <w:sz w:val="18"/>
      <w:szCs w:val="22"/>
      <w:lang w:eastAsia="en-AU"/>
    </w:rPr>
  </w:style>
  <w:style w:type="table" w:customStyle="1" w:styleId="PlainTable42">
    <w:name w:val="Plain Table 42"/>
    <w:basedOn w:val="TableNormal"/>
    <w:next w:val="PlainTable4"/>
    <w:uiPriority w:val="44"/>
    <w:rsid w:val="00452B58"/>
    <w:pPr>
      <w:spacing w:before="120" w:after="0"/>
    </w:pPr>
    <w:rPr>
      <w:rFonts w:ascii="Arial Narrow" w:hAnsi="Arial Narrow" w:cs="System"/>
      <w:sz w:val="18"/>
      <w:szCs w:val="18"/>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Mention">
    <w:name w:val="Mention"/>
    <w:aliases w:val="ARRB Mention"/>
    <w:basedOn w:val="DefaultParagraphFont"/>
    <w:uiPriority w:val="99"/>
    <w:unhideWhenUsed/>
    <w:rsid w:val="00452B58"/>
    <w:rPr>
      <w:color w:val="2B579A"/>
      <w:shd w:val="clear" w:color="auto" w:fill="E1DFDD"/>
    </w:rPr>
  </w:style>
  <w:style w:type="character" w:customStyle="1" w:styleId="ARRBcf01">
    <w:name w:val="ARRB cf01"/>
    <w:basedOn w:val="DefaultParagraphFont"/>
    <w:rsid w:val="00452B58"/>
    <w:rPr>
      <w:rFonts w:ascii="Segoe UI" w:hAnsi="Segoe UI" w:cs="Segoe UI" w:hint="default"/>
      <w:sz w:val="18"/>
      <w:szCs w:val="18"/>
    </w:rPr>
  </w:style>
  <w:style w:type="paragraph" w:customStyle="1" w:styleId="ARRBPlainHeading">
    <w:name w:val="ARRB Plain Heading"/>
    <w:basedOn w:val="ARRBBase"/>
    <w:link w:val="ARRBPlainHeadingChar"/>
    <w:qFormat/>
    <w:rsid w:val="00452B58"/>
    <w:rPr>
      <w:b/>
      <w:bCs/>
      <w:color w:val="00A1DE"/>
      <w:sz w:val="40"/>
      <w:szCs w:val="40"/>
    </w:rPr>
  </w:style>
  <w:style w:type="character" w:customStyle="1" w:styleId="ARRBPlainHeadingChar">
    <w:name w:val="ARRB Plain Heading Char"/>
    <w:basedOn w:val="DefaultParagraphFont"/>
    <w:link w:val="ARRBPlainHeading"/>
    <w:rsid w:val="00452B58"/>
    <w:rPr>
      <w:b/>
      <w:bCs/>
      <w:color w:val="00A1DE"/>
      <w:sz w:val="40"/>
      <w:szCs w:val="40"/>
    </w:rPr>
  </w:style>
  <w:style w:type="table" w:customStyle="1" w:styleId="GridTable1Light-Accent42">
    <w:name w:val="Grid Table 1 Light - Accent 42"/>
    <w:basedOn w:val="TableNormal"/>
    <w:next w:val="GridTable1Light-Accent4"/>
    <w:uiPriority w:val="46"/>
    <w:rsid w:val="00452B58"/>
    <w:pPr>
      <w:spacing w:before="120" w:after="0"/>
    </w:pPr>
    <w:rPr>
      <w:rFonts w:ascii="Arial Narrow" w:hAnsi="Arial Narrow" w:cs="System"/>
      <w:sz w:val="18"/>
      <w:szCs w:val="18"/>
      <w:lang w:val="en-GB"/>
    </w:rPr>
    <w:tblPr>
      <w:tblStyleRowBandSize w:val="1"/>
      <w:tblStyleColBandSize w:val="1"/>
      <w:tblBorders>
        <w:top w:val="single" w:sz="4" w:space="0" w:color="FF83BC"/>
        <w:left w:val="single" w:sz="4" w:space="0" w:color="FF83BC"/>
        <w:bottom w:val="single" w:sz="4" w:space="0" w:color="FF83BC"/>
        <w:right w:val="single" w:sz="4" w:space="0" w:color="FF83BC"/>
        <w:insideH w:val="single" w:sz="4" w:space="0" w:color="FF83BC"/>
        <w:insideV w:val="single" w:sz="4" w:space="0" w:color="FF83BC"/>
      </w:tblBorders>
    </w:tblPr>
    <w:tblStylePr w:type="firstRow">
      <w:rPr>
        <w:b/>
        <w:bCs/>
      </w:rPr>
      <w:tblPr/>
      <w:tcPr>
        <w:tcBorders>
          <w:bottom w:val="single" w:sz="12" w:space="0" w:color="FF469A"/>
        </w:tcBorders>
      </w:tcPr>
    </w:tblStylePr>
    <w:tblStylePr w:type="lastRow">
      <w:rPr>
        <w:b/>
        <w:bCs/>
      </w:rPr>
      <w:tblPr/>
      <w:tcPr>
        <w:tcBorders>
          <w:top w:val="double" w:sz="2" w:space="0" w:color="FF469A"/>
        </w:tcBorders>
      </w:tcPr>
    </w:tblStylePr>
    <w:tblStylePr w:type="firstCol">
      <w:rPr>
        <w:b/>
        <w:bCs/>
      </w:rPr>
    </w:tblStylePr>
    <w:tblStylePr w:type="lastCol">
      <w:rPr>
        <w:b/>
        <w:bCs/>
      </w:rPr>
    </w:tblStylePr>
  </w:style>
  <w:style w:type="table" w:customStyle="1" w:styleId="ARRBTableStyle">
    <w:name w:val="ARRB Table Style"/>
    <w:basedOn w:val="TableNormal"/>
    <w:uiPriority w:val="99"/>
    <w:rsid w:val="00452B58"/>
    <w:pPr>
      <w:spacing w:before="0" w:after="0"/>
    </w:pPr>
    <w:rPr>
      <w:rFonts w:ascii="Arial Narrow" w:hAnsi="Arial Narrow" w:cs="System"/>
      <w:sz w:val="18"/>
      <w:szCs w:val="18"/>
      <w:lang w:val="en-GB"/>
    </w:rPr>
    <w:tblPr>
      <w:tblBorders>
        <w:top w:val="single" w:sz="4" w:space="0" w:color="8B8D8E"/>
        <w:left w:val="single" w:sz="4" w:space="0" w:color="8B8D8E"/>
        <w:bottom w:val="single" w:sz="4" w:space="0" w:color="8B8D8E"/>
        <w:right w:val="single" w:sz="4" w:space="0" w:color="8B8D8E"/>
        <w:insideH w:val="single" w:sz="4" w:space="0" w:color="8B8D8E"/>
        <w:insideV w:val="single" w:sz="4" w:space="0" w:color="8B8D8E"/>
      </w:tblBorders>
    </w:tblPr>
    <w:tblStylePr w:type="firstRow">
      <w:rPr>
        <w:rFonts w:ascii="Arial Narrow" w:hAnsi="Arial Narrow"/>
        <w:b/>
        <w:color w:val="FFFFFF"/>
        <w:sz w:val="18"/>
      </w:rPr>
      <w:tblPr/>
      <w:tcPr>
        <w:tcBorders>
          <w:insideH w:val="nil"/>
          <w:insideV w:val="single" w:sz="4" w:space="0" w:color="FFFFFF"/>
        </w:tcBorders>
        <w:shd w:val="clear" w:color="auto" w:fill="00A1DE"/>
        <w:vAlign w:val="center"/>
      </w:tcPr>
    </w:tblStylePr>
  </w:style>
  <w:style w:type="paragraph" w:customStyle="1" w:styleId="ARRBBase">
    <w:name w:val="ARRB Base"/>
    <w:link w:val="ARRBBaseChar"/>
    <w:qFormat/>
    <w:rsid w:val="00452B58"/>
    <w:pPr>
      <w:spacing w:before="0" w:after="160" w:line="259" w:lineRule="auto"/>
    </w:pPr>
    <w:rPr>
      <w:color w:val="auto"/>
      <w:sz w:val="22"/>
      <w:szCs w:val="22"/>
    </w:rPr>
  </w:style>
  <w:style w:type="paragraph" w:customStyle="1" w:styleId="TOAHeading2">
    <w:name w:val="TOA Heading2"/>
    <w:basedOn w:val="ARRBBase"/>
    <w:next w:val="ARRBBase"/>
    <w:uiPriority w:val="99"/>
    <w:semiHidden/>
    <w:rsid w:val="00452B58"/>
    <w:pPr>
      <w:spacing w:before="120"/>
    </w:pPr>
    <w:rPr>
      <w:rFonts w:ascii="Calibri" w:eastAsia="SimHei" w:hAnsi="Calibri" w:cs="Times New Roman"/>
      <w:b/>
      <w:bCs/>
      <w:sz w:val="24"/>
      <w:szCs w:val="24"/>
    </w:rPr>
  </w:style>
  <w:style w:type="paragraph" w:customStyle="1" w:styleId="ARRBBaseNoSpacing">
    <w:name w:val="ARRB Base No Spacing"/>
    <w:link w:val="ARRBBaseNoSpacingChar"/>
    <w:qFormat/>
    <w:rsid w:val="00452B58"/>
    <w:pPr>
      <w:spacing w:before="0" w:after="0" w:line="288" w:lineRule="auto"/>
    </w:pPr>
    <w:rPr>
      <w:rFonts w:ascii="Arial" w:hAnsi="Arial"/>
      <w:color w:val="auto"/>
      <w:sz w:val="18"/>
      <w:szCs w:val="22"/>
    </w:rPr>
  </w:style>
  <w:style w:type="character" w:customStyle="1" w:styleId="ARRBBaseNoSpacingChar">
    <w:name w:val="ARRB Base No Spacing Char"/>
    <w:basedOn w:val="DefaultParagraphFont"/>
    <w:link w:val="ARRBBaseNoSpacing"/>
    <w:rsid w:val="00452B58"/>
    <w:rPr>
      <w:rFonts w:ascii="Arial" w:hAnsi="Arial"/>
      <w:color w:val="auto"/>
      <w:sz w:val="18"/>
      <w:szCs w:val="22"/>
    </w:rPr>
  </w:style>
  <w:style w:type="paragraph" w:customStyle="1" w:styleId="ARRBBaseTitle">
    <w:name w:val="ARRB Base Title"/>
    <w:basedOn w:val="ARRBBase"/>
    <w:next w:val="ARRBBase"/>
    <w:link w:val="ARRBBaseTitleChar"/>
    <w:qFormat/>
    <w:rsid w:val="00452B58"/>
    <w:pPr>
      <w:spacing w:after="0" w:line="240" w:lineRule="auto"/>
      <w:contextualSpacing/>
    </w:pPr>
    <w:rPr>
      <w:rFonts w:ascii="Calibri" w:hAnsi="Calibri"/>
      <w:sz w:val="56"/>
    </w:rPr>
  </w:style>
  <w:style w:type="character" w:customStyle="1" w:styleId="ARRBBaseChar">
    <w:name w:val="ARRB Base Char"/>
    <w:basedOn w:val="DefaultParagraphFont"/>
    <w:link w:val="ARRBBase"/>
    <w:rsid w:val="00452B58"/>
    <w:rPr>
      <w:color w:val="auto"/>
      <w:sz w:val="22"/>
      <w:szCs w:val="22"/>
    </w:rPr>
  </w:style>
  <w:style w:type="character" w:customStyle="1" w:styleId="ARRBBaseTitleChar">
    <w:name w:val="ARRB Base Title Char"/>
    <w:basedOn w:val="ARRBBaseChar"/>
    <w:link w:val="ARRBBaseTitle"/>
    <w:rsid w:val="00452B58"/>
    <w:rPr>
      <w:rFonts w:ascii="Calibri" w:hAnsi="Calibri"/>
      <w:color w:val="auto"/>
      <w:sz w:val="56"/>
      <w:szCs w:val="22"/>
    </w:rPr>
  </w:style>
  <w:style w:type="paragraph" w:customStyle="1" w:styleId="ARRBBaseBodyText">
    <w:name w:val="ARRB Base Body Text"/>
    <w:basedOn w:val="ARRBBase"/>
    <w:next w:val="ARRBBase"/>
    <w:qFormat/>
    <w:rsid w:val="00452B58"/>
    <w:rPr>
      <w:rFonts w:cs="Calibri"/>
    </w:rPr>
  </w:style>
  <w:style w:type="paragraph" w:customStyle="1" w:styleId="ARRBBaseCaption">
    <w:name w:val="ARRB Base Caption"/>
    <w:basedOn w:val="ARRBBodyHeading"/>
    <w:next w:val="ARRBBase"/>
    <w:link w:val="ARRBBaseCaptionChar"/>
    <w:qFormat/>
    <w:rsid w:val="00452B58"/>
    <w:pPr>
      <w:tabs>
        <w:tab w:val="left" w:pos="1134"/>
      </w:tabs>
      <w:spacing w:after="60"/>
      <w:ind w:firstLine="1134"/>
    </w:pPr>
    <w:rPr>
      <w:color w:val="67696A"/>
      <w:sz w:val="18"/>
    </w:rPr>
  </w:style>
  <w:style w:type="character" w:customStyle="1" w:styleId="ARRBBodyHeadingChar">
    <w:name w:val="ARRB ±BodyHeading Char"/>
    <w:basedOn w:val="ARRBBaseChar"/>
    <w:link w:val="ARRBBodyHeading"/>
    <w:uiPriority w:val="2"/>
    <w:rsid w:val="00452B58"/>
    <w:rPr>
      <w:b/>
      <w:color w:val="00A1DE"/>
      <w:sz w:val="22"/>
      <w:szCs w:val="22"/>
    </w:rPr>
  </w:style>
  <w:style w:type="character" w:customStyle="1" w:styleId="ARRBBaseCaptionChar">
    <w:name w:val="ARRB Base Caption Char"/>
    <w:basedOn w:val="ARRBBodyHeadingChar"/>
    <w:link w:val="ARRBBaseCaption"/>
    <w:rsid w:val="00452B58"/>
    <w:rPr>
      <w:b/>
      <w:color w:val="67696A"/>
      <w:sz w:val="18"/>
      <w:szCs w:val="22"/>
    </w:rPr>
  </w:style>
  <w:style w:type="paragraph" w:customStyle="1" w:styleId="ARRBBaseTableTitle">
    <w:name w:val="ARRB Base Table Title"/>
    <w:qFormat/>
    <w:rsid w:val="00452B58"/>
    <w:pPr>
      <w:keepNext/>
      <w:spacing w:before="40" w:after="40"/>
    </w:pPr>
    <w:rPr>
      <w:rFonts w:ascii="Arial Narrow" w:hAnsi="Arial Narrow"/>
      <w:color w:val="FFFFFF"/>
      <w:sz w:val="18"/>
      <w:szCs w:val="22"/>
    </w:rPr>
  </w:style>
  <w:style w:type="paragraph" w:customStyle="1" w:styleId="ARRBBaseTableText">
    <w:name w:val="ARRB Base Table Text"/>
    <w:qFormat/>
    <w:rsid w:val="00452B58"/>
    <w:pPr>
      <w:keepNext/>
      <w:spacing w:before="40" w:after="40"/>
    </w:pPr>
    <w:rPr>
      <w:rFonts w:ascii="Arial Narrow" w:hAnsi="Arial Narrow"/>
      <w:color w:val="auto"/>
      <w:sz w:val="18"/>
      <w:szCs w:val="22"/>
    </w:rPr>
  </w:style>
  <w:style w:type="paragraph" w:customStyle="1" w:styleId="ARRBBaseTableBullet1">
    <w:name w:val="ARRB Base Table Bullet1"/>
    <w:basedOn w:val="ARRBBaseTableText"/>
    <w:qFormat/>
    <w:rsid w:val="00452B58"/>
    <w:pPr>
      <w:numPr>
        <w:numId w:val="79"/>
      </w:numPr>
      <w:tabs>
        <w:tab w:val="left" w:pos="170"/>
      </w:tabs>
      <w:contextualSpacing/>
    </w:pPr>
    <w:rPr>
      <w:rFonts w:eastAsia="Calibri"/>
    </w:rPr>
  </w:style>
  <w:style w:type="paragraph" w:customStyle="1" w:styleId="ARRBBaseTableBullet2">
    <w:name w:val="ARRB Base Table Bullet2"/>
    <w:basedOn w:val="ARRBBaseTableBullet1"/>
    <w:qFormat/>
    <w:rsid w:val="00452B58"/>
    <w:pPr>
      <w:numPr>
        <w:ilvl w:val="1"/>
      </w:numPr>
      <w:tabs>
        <w:tab w:val="clear" w:pos="170"/>
        <w:tab w:val="left" w:pos="340"/>
      </w:tabs>
    </w:pPr>
  </w:style>
  <w:style w:type="paragraph" w:customStyle="1" w:styleId="ARRBBaseTableBullet3">
    <w:name w:val="ARRB Base Table Bullet3"/>
    <w:basedOn w:val="ARRBBaseTableBullet2"/>
    <w:qFormat/>
    <w:rsid w:val="00452B58"/>
    <w:pPr>
      <w:numPr>
        <w:ilvl w:val="2"/>
      </w:numPr>
      <w:tabs>
        <w:tab w:val="clear" w:pos="340"/>
        <w:tab w:val="left" w:pos="510"/>
      </w:tabs>
      <w:ind w:left="1134" w:hanging="1134"/>
    </w:pPr>
  </w:style>
  <w:style w:type="numbering" w:customStyle="1" w:styleId="ARRBBlueBulletList">
    <w:name w:val="ARRB Blue Bullet List"/>
    <w:uiPriority w:val="99"/>
    <w:rsid w:val="00452B58"/>
    <w:pPr>
      <w:numPr>
        <w:numId w:val="87"/>
      </w:numPr>
    </w:pPr>
  </w:style>
  <w:style w:type="numbering" w:customStyle="1" w:styleId="ARRBBaseHeadings">
    <w:name w:val="ARRB Base Headings"/>
    <w:uiPriority w:val="99"/>
    <w:rsid w:val="00452B58"/>
    <w:pPr>
      <w:numPr>
        <w:numId w:val="88"/>
      </w:numPr>
    </w:pPr>
  </w:style>
  <w:style w:type="paragraph" w:customStyle="1" w:styleId="ARRBBaseHeading1">
    <w:name w:val="ARRB Base Heading 1"/>
    <w:link w:val="ARRBBaseHeading1Char"/>
    <w:qFormat/>
    <w:rsid w:val="00452B58"/>
    <w:pPr>
      <w:numPr>
        <w:numId w:val="88"/>
      </w:numPr>
      <w:tabs>
        <w:tab w:val="left" w:pos="709"/>
      </w:tabs>
      <w:spacing w:before="120" w:after="60" w:line="288" w:lineRule="auto"/>
    </w:pPr>
    <w:rPr>
      <w:rFonts w:ascii="Arial Bold" w:hAnsi="Arial Bold"/>
      <w:b/>
      <w:color w:val="00A1DE"/>
      <w:sz w:val="40"/>
      <w:szCs w:val="22"/>
    </w:rPr>
  </w:style>
  <w:style w:type="character" w:customStyle="1" w:styleId="ARRBBaseHeading1Char">
    <w:name w:val="ARRB Base Heading 1 Char"/>
    <w:basedOn w:val="DefaultParagraphFont"/>
    <w:link w:val="ARRBBaseHeading1"/>
    <w:rsid w:val="00452B58"/>
    <w:rPr>
      <w:rFonts w:ascii="Arial Bold" w:hAnsi="Arial Bold"/>
      <w:b/>
      <w:color w:val="00A1DE"/>
      <w:sz w:val="40"/>
      <w:szCs w:val="22"/>
    </w:rPr>
  </w:style>
  <w:style w:type="paragraph" w:customStyle="1" w:styleId="ARRBBaseHeading2">
    <w:name w:val="ARRB Base Heading 2"/>
    <w:next w:val="ARRBBase"/>
    <w:link w:val="ARRBBaseHeading2Char"/>
    <w:qFormat/>
    <w:rsid w:val="00452B58"/>
    <w:pPr>
      <w:keepNext/>
      <w:numPr>
        <w:ilvl w:val="1"/>
        <w:numId w:val="88"/>
      </w:numPr>
      <w:spacing w:before="360" w:after="120"/>
    </w:pPr>
    <w:rPr>
      <w:rFonts w:ascii="Arial Bold" w:hAnsi="Arial Bold"/>
      <w:b/>
      <w:color w:val="00A1DE"/>
      <w:sz w:val="28"/>
      <w:szCs w:val="22"/>
    </w:rPr>
  </w:style>
  <w:style w:type="character" w:customStyle="1" w:styleId="ARRBBaseHeading2Char">
    <w:name w:val="ARRB Base Heading 2 Char"/>
    <w:basedOn w:val="DefaultParagraphFont"/>
    <w:link w:val="ARRBBaseHeading2"/>
    <w:rsid w:val="00452B58"/>
    <w:rPr>
      <w:rFonts w:ascii="Arial Bold" w:hAnsi="Arial Bold"/>
      <w:b/>
      <w:color w:val="00A1DE"/>
      <w:sz w:val="28"/>
      <w:szCs w:val="22"/>
    </w:rPr>
  </w:style>
  <w:style w:type="paragraph" w:customStyle="1" w:styleId="ARRBBaseHeading3">
    <w:name w:val="ARRB Base Heading 3"/>
    <w:next w:val="ARRBBase"/>
    <w:link w:val="ARRBBaseHeading3Char"/>
    <w:qFormat/>
    <w:rsid w:val="00452B58"/>
    <w:pPr>
      <w:numPr>
        <w:ilvl w:val="2"/>
        <w:numId w:val="88"/>
      </w:numPr>
      <w:spacing w:before="360" w:after="120"/>
    </w:pPr>
    <w:rPr>
      <w:rFonts w:ascii="Arial Bold" w:hAnsi="Arial Bold"/>
      <w:b/>
      <w:color w:val="00A1DE"/>
      <w:sz w:val="24"/>
      <w:szCs w:val="22"/>
    </w:rPr>
  </w:style>
  <w:style w:type="character" w:customStyle="1" w:styleId="ARRBBaseHeading3Char">
    <w:name w:val="ARRB Base Heading 3 Char"/>
    <w:basedOn w:val="DefaultParagraphFont"/>
    <w:link w:val="ARRBBaseHeading3"/>
    <w:rsid w:val="00452B58"/>
    <w:rPr>
      <w:rFonts w:ascii="Arial Bold" w:hAnsi="Arial Bold"/>
      <w:b/>
      <w:color w:val="00A1DE"/>
      <w:sz w:val="24"/>
      <w:szCs w:val="22"/>
    </w:rPr>
  </w:style>
  <w:style w:type="paragraph" w:customStyle="1" w:styleId="ARRBBaseHeadingnonTOC">
    <w:name w:val="ARRB Base Heading nonTOC"/>
    <w:link w:val="ARRBBaseHeadingnonTOCChar"/>
    <w:qFormat/>
    <w:rsid w:val="00452B58"/>
    <w:pPr>
      <w:spacing w:before="0" w:after="360"/>
    </w:pPr>
    <w:rPr>
      <w:rFonts w:ascii="Arial Bold" w:hAnsi="Arial Bold"/>
      <w:b/>
      <w:color w:val="00A1DE"/>
      <w:sz w:val="40"/>
      <w:szCs w:val="22"/>
    </w:rPr>
  </w:style>
  <w:style w:type="character" w:customStyle="1" w:styleId="ARRBBaseHeadingnonTOCChar">
    <w:name w:val="ARRB Base Heading nonTOC Char"/>
    <w:basedOn w:val="DefaultParagraphFont"/>
    <w:link w:val="ARRBBaseHeadingnonTOC"/>
    <w:rsid w:val="00452B58"/>
    <w:rPr>
      <w:rFonts w:ascii="Arial Bold" w:hAnsi="Arial Bold"/>
      <w:b/>
      <w:color w:val="00A1DE"/>
      <w:sz w:val="40"/>
      <w:szCs w:val="22"/>
    </w:rPr>
  </w:style>
  <w:style w:type="paragraph" w:customStyle="1" w:styleId="ARRBBaseHeadingApp">
    <w:name w:val="ARRB Base Heading App"/>
    <w:next w:val="ARRBBase"/>
    <w:link w:val="ARRBBaseHeadingAppChar"/>
    <w:qFormat/>
    <w:rsid w:val="00452B58"/>
    <w:pPr>
      <w:keepNext/>
      <w:numPr>
        <w:ilvl w:val="6"/>
        <w:numId w:val="88"/>
      </w:numPr>
      <w:spacing w:before="0" w:after="360"/>
    </w:pPr>
    <w:rPr>
      <w:rFonts w:ascii="Arial Bold" w:hAnsi="Arial Bold"/>
      <w:b/>
      <w:color w:val="00A1DE"/>
      <w:sz w:val="40"/>
      <w:szCs w:val="22"/>
    </w:rPr>
  </w:style>
  <w:style w:type="character" w:customStyle="1" w:styleId="ARRBBaseHeadingAppChar">
    <w:name w:val="ARRB Base Heading App Char"/>
    <w:basedOn w:val="ARRBBaseHeading1Char"/>
    <w:link w:val="ARRBBaseHeadingApp"/>
    <w:rsid w:val="00452B58"/>
    <w:rPr>
      <w:rFonts w:ascii="Arial Bold" w:hAnsi="Arial Bold"/>
      <w:b/>
      <w:color w:val="00A1DE"/>
      <w:sz w:val="40"/>
      <w:szCs w:val="22"/>
    </w:rPr>
  </w:style>
  <w:style w:type="paragraph" w:customStyle="1" w:styleId="ARRBBaseHeadingAppsub">
    <w:name w:val="ARRB Base Heading App sub"/>
    <w:next w:val="ARRBBase"/>
    <w:link w:val="ARRBBaseHeadingAppsubChar"/>
    <w:qFormat/>
    <w:rsid w:val="00452B58"/>
    <w:pPr>
      <w:keepNext/>
      <w:spacing w:before="360" w:after="120"/>
    </w:pPr>
    <w:rPr>
      <w:rFonts w:ascii="Arial Bold" w:eastAsia="SimHei" w:hAnsi="Arial Bold" w:cs="Times New Roman"/>
      <w:b/>
      <w:color w:val="00A1DE"/>
      <w:sz w:val="28"/>
      <w:szCs w:val="22"/>
    </w:rPr>
  </w:style>
  <w:style w:type="character" w:customStyle="1" w:styleId="ARRBBaseHeadingAppsubChar">
    <w:name w:val="ARRB Base Heading App sub Char"/>
    <w:basedOn w:val="Heading8Char"/>
    <w:link w:val="ARRBBaseHeadingAppsub"/>
    <w:rsid w:val="00452B58"/>
    <w:rPr>
      <w:rFonts w:ascii="Arial Bold" w:eastAsia="SimHei" w:hAnsi="Arial Bold" w:cs="Times New Roman"/>
      <w:b/>
      <w:color w:val="00A1DE"/>
      <w:sz w:val="28"/>
      <w:szCs w:val="22"/>
    </w:rPr>
  </w:style>
  <w:style w:type="paragraph" w:customStyle="1" w:styleId="ARRBBulletLevel2">
    <w:name w:val="ARRB Bullet Level 2"/>
    <w:basedOn w:val="ARRBBulletLevel1"/>
    <w:qFormat/>
    <w:rsid w:val="00452B58"/>
    <w:pPr>
      <w:numPr>
        <w:ilvl w:val="1"/>
      </w:numPr>
    </w:pPr>
  </w:style>
  <w:style w:type="paragraph" w:customStyle="1" w:styleId="ARRBBulletLevel30">
    <w:name w:val="ARRB Bullet Level 3"/>
    <w:basedOn w:val="ARRBBulletLevel1"/>
    <w:qFormat/>
    <w:rsid w:val="00452B58"/>
  </w:style>
  <w:style w:type="paragraph" w:customStyle="1" w:styleId="ARRBBaseReferenceText">
    <w:name w:val="ARRB Base Reference Text"/>
    <w:basedOn w:val="ARRBBaseBodyText"/>
    <w:qFormat/>
    <w:rsid w:val="00452B58"/>
    <w:pPr>
      <w:ind w:left="567" w:hanging="567"/>
    </w:pPr>
  </w:style>
  <w:style w:type="paragraph" w:customStyle="1" w:styleId="ARRBBaseHeadingReferences">
    <w:name w:val="ARRB Base Heading References"/>
    <w:basedOn w:val="ARRBBaseHeadingnonTOC"/>
    <w:link w:val="ARRBBaseHeadingReferencesChar"/>
    <w:qFormat/>
    <w:rsid w:val="00452B58"/>
  </w:style>
  <w:style w:type="character" w:customStyle="1" w:styleId="ARRBBaseHeadingReferencesChar">
    <w:name w:val="ARRB Base Heading References Char"/>
    <w:basedOn w:val="ARRBBaseHeadingnonTOCChar"/>
    <w:link w:val="ARRBBaseHeadingReferences"/>
    <w:rsid w:val="00452B58"/>
    <w:rPr>
      <w:rFonts w:ascii="Arial Bold" w:hAnsi="Arial Bold"/>
      <w:b/>
      <w:color w:val="00A1DE"/>
      <w:sz w:val="40"/>
      <w:szCs w:val="22"/>
    </w:rPr>
  </w:style>
  <w:style w:type="table" w:styleId="PlainTable4">
    <w:name w:val="Plain Table 4"/>
    <w:basedOn w:val="TableNormal"/>
    <w:uiPriority w:val="44"/>
    <w:rsid w:val="00452B58"/>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4">
    <w:name w:val="Grid Table 1 Light Accent 4"/>
    <w:basedOn w:val="TableNormal"/>
    <w:uiPriority w:val="46"/>
    <w:rsid w:val="00452B58"/>
    <w:pPr>
      <w:spacing w:after="0"/>
    </w:pPr>
    <w:tblPr>
      <w:tblStyleRowBandSize w:val="1"/>
      <w:tblStyleColBandSize w:val="1"/>
      <w:tblBorders>
        <w:top w:val="single" w:sz="4" w:space="0" w:color="D6DADF" w:themeColor="accent4" w:themeTint="66"/>
        <w:left w:val="single" w:sz="4" w:space="0" w:color="D6DADF" w:themeColor="accent4" w:themeTint="66"/>
        <w:bottom w:val="single" w:sz="4" w:space="0" w:color="D6DADF" w:themeColor="accent4" w:themeTint="66"/>
        <w:right w:val="single" w:sz="4" w:space="0" w:color="D6DADF" w:themeColor="accent4" w:themeTint="66"/>
        <w:insideH w:val="single" w:sz="4" w:space="0" w:color="D6DADF" w:themeColor="accent4" w:themeTint="66"/>
        <w:insideV w:val="single" w:sz="4" w:space="0" w:color="D6DADF" w:themeColor="accent4" w:themeTint="66"/>
      </w:tblBorders>
    </w:tblPr>
    <w:tblStylePr w:type="firstRow">
      <w:rPr>
        <w:b/>
        <w:bCs/>
      </w:rPr>
      <w:tblPr/>
      <w:tcPr>
        <w:tcBorders>
          <w:bottom w:val="single" w:sz="12" w:space="0" w:color="C2C7CF" w:themeColor="accent4" w:themeTint="99"/>
        </w:tcBorders>
      </w:tcPr>
    </w:tblStylePr>
    <w:tblStylePr w:type="lastRow">
      <w:rPr>
        <w:b/>
        <w:bCs/>
      </w:rPr>
      <w:tblPr/>
      <w:tcPr>
        <w:tcBorders>
          <w:top w:val="double" w:sz="2" w:space="0" w:color="C2C7CF" w:themeColor="accent4" w:themeTint="99"/>
        </w:tcBorders>
      </w:tcPr>
    </w:tblStylePr>
    <w:tblStylePr w:type="firstCol">
      <w:rPr>
        <w:b/>
        <w:bCs/>
      </w:rPr>
    </w:tblStylePr>
    <w:tblStylePr w:type="lastCol">
      <w:rPr>
        <w:b/>
        <w:bCs/>
      </w:rPr>
    </w:tblStylePr>
  </w:style>
  <w:style w:type="numbering" w:customStyle="1" w:styleId="AppListStyle1">
    <w:name w:val="~AppListStyle1"/>
    <w:uiPriority w:val="99"/>
    <w:rsid w:val="00B730AF"/>
  </w:style>
  <w:style w:type="paragraph" w:customStyle="1" w:styleId="ARRBContentsTitle">
    <w:name w:val="ARRB Contents Title"/>
    <w:basedOn w:val="ARRBBase"/>
    <w:link w:val="ARRBContentsTitleChar"/>
    <w:qFormat/>
    <w:rsid w:val="006749B1"/>
    <w:pPr>
      <w:tabs>
        <w:tab w:val="left" w:pos="425"/>
        <w:tab w:val="right" w:leader="dot" w:pos="9628"/>
      </w:tabs>
      <w:spacing w:before="40" w:after="40"/>
    </w:pPr>
    <w:rPr>
      <w:color w:val="22B3ED" w:themeColor="accent3" w:themeShade="BF"/>
    </w:rPr>
  </w:style>
  <w:style w:type="character" w:customStyle="1" w:styleId="ARRBContentsTitleChar">
    <w:name w:val="ARRB Contents Title Char"/>
    <w:basedOn w:val="ARRBBaseChar"/>
    <w:link w:val="ARRBContentsTitle"/>
    <w:rsid w:val="006749B1"/>
    <w:rPr>
      <w:color w:val="22B3ED" w:themeColor="accent3" w:themeShade="BF"/>
      <w:sz w:val="22"/>
      <w:szCs w:val="22"/>
    </w:rPr>
  </w:style>
  <w:style w:type="paragraph" w:customStyle="1" w:styleId="ARRBContentsSubTitle">
    <w:name w:val="ARRB Contents Sub Title"/>
    <w:basedOn w:val="ARRBBase"/>
    <w:link w:val="ARRBContentsSubTitleChar"/>
    <w:qFormat/>
    <w:rsid w:val="00060B3C"/>
    <w:pPr>
      <w:tabs>
        <w:tab w:val="left" w:pos="992"/>
        <w:tab w:val="right" w:leader="dot" w:pos="9628"/>
      </w:tabs>
      <w:spacing w:before="40" w:after="40"/>
      <w:ind w:left="992" w:right="403" w:hanging="567"/>
    </w:pPr>
    <w:rPr>
      <w:color w:val="7F7F7F" w:themeColor="text1" w:themeTint="80"/>
    </w:rPr>
  </w:style>
  <w:style w:type="character" w:customStyle="1" w:styleId="ARRBContentsSubTitleChar">
    <w:name w:val="ARRB Contents Sub Title Char"/>
    <w:basedOn w:val="ARRBBaseChar"/>
    <w:link w:val="ARRBContentsSubTitle"/>
    <w:rsid w:val="00060B3C"/>
    <w:rPr>
      <w:color w:val="7F7F7F" w:themeColor="text1" w:themeTint="80"/>
      <w:sz w:val="22"/>
      <w:szCs w:val="22"/>
    </w:rPr>
  </w:style>
  <w:style w:type="paragraph" w:customStyle="1" w:styleId="ARRBContentsSubsubTitle">
    <w:name w:val="ARRB Contents Sub sub Title"/>
    <w:basedOn w:val="ARRBBase"/>
    <w:link w:val="ARRBContentsSubsubTitleChar"/>
    <w:qFormat/>
    <w:rsid w:val="00060B3C"/>
    <w:pPr>
      <w:tabs>
        <w:tab w:val="left" w:pos="1843"/>
        <w:tab w:val="right" w:leader="dot" w:pos="9628"/>
      </w:tabs>
      <w:spacing w:before="40" w:after="40"/>
      <w:ind w:left="1843" w:right="403" w:hanging="851"/>
    </w:pPr>
    <w:rPr>
      <w:color w:val="7F7F7F" w:themeColor="text1" w:themeTint="80"/>
    </w:rPr>
  </w:style>
  <w:style w:type="character" w:customStyle="1" w:styleId="ARRBContentsSubsubTitleChar">
    <w:name w:val="ARRB Contents Sub sub Title Char"/>
    <w:basedOn w:val="ARRBBaseChar"/>
    <w:link w:val="ARRBContentsSubsubTitle"/>
    <w:rsid w:val="00060B3C"/>
    <w:rPr>
      <w:color w:val="7F7F7F" w:themeColor="text1" w:themeTint="80"/>
      <w:sz w:val="22"/>
      <w:szCs w:val="22"/>
    </w:rPr>
  </w:style>
  <w:style w:type="paragraph" w:customStyle="1" w:styleId="ARRBContentsTable">
    <w:name w:val="ARRB Contents Table"/>
    <w:basedOn w:val="ARRBBase"/>
    <w:link w:val="ARRBContentsTableChar"/>
    <w:qFormat/>
    <w:rsid w:val="00837D8F"/>
    <w:pPr>
      <w:tabs>
        <w:tab w:val="left" w:pos="1276"/>
        <w:tab w:val="right" w:leader="dot" w:pos="9628"/>
      </w:tabs>
      <w:spacing w:before="40" w:after="40"/>
      <w:ind w:left="1276" w:right="709" w:hanging="1276"/>
    </w:pPr>
    <w:rPr>
      <w:color w:val="22B3ED" w:themeColor="accent3" w:themeShade="BF"/>
    </w:rPr>
  </w:style>
  <w:style w:type="character" w:customStyle="1" w:styleId="ARRBContentsTableChar">
    <w:name w:val="ARRB Contents Table Char"/>
    <w:basedOn w:val="ARRBBaseChar"/>
    <w:link w:val="ARRBContentsTable"/>
    <w:rsid w:val="00837D8F"/>
    <w:rPr>
      <w:color w:val="22B3ED" w:themeColor="accent3"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016061">
      <w:bodyDiv w:val="1"/>
      <w:marLeft w:val="0"/>
      <w:marRight w:val="0"/>
      <w:marTop w:val="0"/>
      <w:marBottom w:val="0"/>
      <w:divBdr>
        <w:top w:val="none" w:sz="0" w:space="0" w:color="auto"/>
        <w:left w:val="none" w:sz="0" w:space="0" w:color="auto"/>
        <w:bottom w:val="none" w:sz="0" w:space="0" w:color="auto"/>
        <w:right w:val="none" w:sz="0" w:space="0" w:color="auto"/>
      </w:divBdr>
    </w:div>
    <w:div w:id="276719932">
      <w:bodyDiv w:val="1"/>
      <w:marLeft w:val="0"/>
      <w:marRight w:val="0"/>
      <w:marTop w:val="0"/>
      <w:marBottom w:val="0"/>
      <w:divBdr>
        <w:top w:val="none" w:sz="0" w:space="0" w:color="auto"/>
        <w:left w:val="none" w:sz="0" w:space="0" w:color="auto"/>
        <w:bottom w:val="none" w:sz="0" w:space="0" w:color="auto"/>
        <w:right w:val="none" w:sz="0" w:space="0" w:color="auto"/>
      </w:divBdr>
    </w:div>
    <w:div w:id="435909384">
      <w:bodyDiv w:val="1"/>
      <w:marLeft w:val="0"/>
      <w:marRight w:val="0"/>
      <w:marTop w:val="0"/>
      <w:marBottom w:val="0"/>
      <w:divBdr>
        <w:top w:val="none" w:sz="0" w:space="0" w:color="auto"/>
        <w:left w:val="none" w:sz="0" w:space="0" w:color="auto"/>
        <w:bottom w:val="none" w:sz="0" w:space="0" w:color="auto"/>
        <w:right w:val="none" w:sz="0" w:space="0" w:color="auto"/>
      </w:divBdr>
    </w:div>
    <w:div w:id="445122141">
      <w:bodyDiv w:val="1"/>
      <w:marLeft w:val="0"/>
      <w:marRight w:val="0"/>
      <w:marTop w:val="0"/>
      <w:marBottom w:val="0"/>
      <w:divBdr>
        <w:top w:val="none" w:sz="0" w:space="0" w:color="auto"/>
        <w:left w:val="none" w:sz="0" w:space="0" w:color="auto"/>
        <w:bottom w:val="none" w:sz="0" w:space="0" w:color="auto"/>
        <w:right w:val="none" w:sz="0" w:space="0" w:color="auto"/>
      </w:divBdr>
    </w:div>
    <w:div w:id="477264538">
      <w:bodyDiv w:val="1"/>
      <w:marLeft w:val="0"/>
      <w:marRight w:val="0"/>
      <w:marTop w:val="0"/>
      <w:marBottom w:val="0"/>
      <w:divBdr>
        <w:top w:val="none" w:sz="0" w:space="0" w:color="auto"/>
        <w:left w:val="none" w:sz="0" w:space="0" w:color="auto"/>
        <w:bottom w:val="none" w:sz="0" w:space="0" w:color="auto"/>
        <w:right w:val="none" w:sz="0" w:space="0" w:color="auto"/>
      </w:divBdr>
    </w:div>
    <w:div w:id="511723060">
      <w:bodyDiv w:val="1"/>
      <w:marLeft w:val="0"/>
      <w:marRight w:val="0"/>
      <w:marTop w:val="0"/>
      <w:marBottom w:val="0"/>
      <w:divBdr>
        <w:top w:val="none" w:sz="0" w:space="0" w:color="auto"/>
        <w:left w:val="none" w:sz="0" w:space="0" w:color="auto"/>
        <w:bottom w:val="none" w:sz="0" w:space="0" w:color="auto"/>
        <w:right w:val="none" w:sz="0" w:space="0" w:color="auto"/>
      </w:divBdr>
    </w:div>
    <w:div w:id="528488590">
      <w:bodyDiv w:val="1"/>
      <w:marLeft w:val="0"/>
      <w:marRight w:val="0"/>
      <w:marTop w:val="0"/>
      <w:marBottom w:val="0"/>
      <w:divBdr>
        <w:top w:val="none" w:sz="0" w:space="0" w:color="auto"/>
        <w:left w:val="none" w:sz="0" w:space="0" w:color="auto"/>
        <w:bottom w:val="none" w:sz="0" w:space="0" w:color="auto"/>
        <w:right w:val="none" w:sz="0" w:space="0" w:color="auto"/>
      </w:divBdr>
    </w:div>
    <w:div w:id="721251161">
      <w:bodyDiv w:val="1"/>
      <w:marLeft w:val="0"/>
      <w:marRight w:val="0"/>
      <w:marTop w:val="0"/>
      <w:marBottom w:val="0"/>
      <w:divBdr>
        <w:top w:val="none" w:sz="0" w:space="0" w:color="auto"/>
        <w:left w:val="none" w:sz="0" w:space="0" w:color="auto"/>
        <w:bottom w:val="none" w:sz="0" w:space="0" w:color="auto"/>
        <w:right w:val="none" w:sz="0" w:space="0" w:color="auto"/>
      </w:divBdr>
    </w:div>
    <w:div w:id="1036540584">
      <w:bodyDiv w:val="1"/>
      <w:marLeft w:val="0"/>
      <w:marRight w:val="0"/>
      <w:marTop w:val="0"/>
      <w:marBottom w:val="0"/>
      <w:divBdr>
        <w:top w:val="none" w:sz="0" w:space="0" w:color="auto"/>
        <w:left w:val="none" w:sz="0" w:space="0" w:color="auto"/>
        <w:bottom w:val="none" w:sz="0" w:space="0" w:color="auto"/>
        <w:right w:val="none" w:sz="0" w:space="0" w:color="auto"/>
      </w:divBdr>
    </w:div>
    <w:div w:id="1125930716">
      <w:bodyDiv w:val="1"/>
      <w:marLeft w:val="0"/>
      <w:marRight w:val="0"/>
      <w:marTop w:val="0"/>
      <w:marBottom w:val="0"/>
      <w:divBdr>
        <w:top w:val="none" w:sz="0" w:space="0" w:color="auto"/>
        <w:left w:val="none" w:sz="0" w:space="0" w:color="auto"/>
        <w:bottom w:val="none" w:sz="0" w:space="0" w:color="auto"/>
        <w:right w:val="none" w:sz="0" w:space="0" w:color="auto"/>
      </w:divBdr>
    </w:div>
    <w:div w:id="1192036329">
      <w:bodyDiv w:val="1"/>
      <w:marLeft w:val="0"/>
      <w:marRight w:val="0"/>
      <w:marTop w:val="0"/>
      <w:marBottom w:val="0"/>
      <w:divBdr>
        <w:top w:val="none" w:sz="0" w:space="0" w:color="auto"/>
        <w:left w:val="none" w:sz="0" w:space="0" w:color="auto"/>
        <w:bottom w:val="none" w:sz="0" w:space="0" w:color="auto"/>
        <w:right w:val="none" w:sz="0" w:space="0" w:color="auto"/>
      </w:divBdr>
    </w:div>
    <w:div w:id="1575580977">
      <w:bodyDiv w:val="1"/>
      <w:marLeft w:val="0"/>
      <w:marRight w:val="0"/>
      <w:marTop w:val="0"/>
      <w:marBottom w:val="0"/>
      <w:divBdr>
        <w:top w:val="none" w:sz="0" w:space="0" w:color="auto"/>
        <w:left w:val="none" w:sz="0" w:space="0" w:color="auto"/>
        <w:bottom w:val="none" w:sz="0" w:space="0" w:color="auto"/>
        <w:right w:val="none" w:sz="0" w:space="0" w:color="auto"/>
      </w:divBdr>
    </w:div>
    <w:div w:id="161625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mailto:publishing@infrastructure.gov.au" TargetMode="External"/><Relationship Id="rId42" Type="http://schemas.openxmlformats.org/officeDocument/2006/relationships/image" Target="media/image17.png"/><Relationship Id="rId47" Type="http://schemas.openxmlformats.org/officeDocument/2006/relationships/hyperlink" Target="https://austroads.com.au/latest-news/austroads-supports-increasing-heavy-vehicle-widths-to-2550mm" TargetMode="External"/><Relationship Id="rId63" Type="http://schemas.openxmlformats.org/officeDocument/2006/relationships/hyperlink" Target="http://www.unece.org/trans/main/wp29/wp29regs121-140.html" TargetMode="External"/><Relationship Id="rId68" Type="http://schemas.openxmlformats.org/officeDocument/2006/relationships/hyperlink" Target="http://www.govinfo.gov/" TargetMode="External"/><Relationship Id="rId84" Type="http://schemas.openxmlformats.org/officeDocument/2006/relationships/header" Target="header10.xml"/><Relationship Id="rId89" Type="http://schemas.openxmlformats.org/officeDocument/2006/relationships/chart" Target="charts/chart2.xml"/><Relationship Id="rId16" Type="http://schemas.openxmlformats.org/officeDocument/2006/relationships/header" Target="header2.xml"/><Relationship Id="rId107" Type="http://schemas.openxmlformats.org/officeDocument/2006/relationships/theme" Target="theme/theme1.xml"/><Relationship Id="rId11" Type="http://schemas.openxmlformats.org/officeDocument/2006/relationships/endnotes" Target="endnotes.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hyperlink" Target="https://obpr.pmc.gov.au/resources/guidance-impact-analysis/australian-government-guide-regulatory-impact-analysis" TargetMode="External"/><Relationship Id="rId58" Type="http://schemas.openxmlformats.org/officeDocument/2006/relationships/hyperlink" Target="http://www.legislation.qld.gov.au/view/pdf/inforce/current/act-2012-hvnlq" TargetMode="External"/><Relationship Id="rId74" Type="http://schemas.openxmlformats.org/officeDocument/2006/relationships/image" Target="media/image25.jpg"/><Relationship Id="rId79" Type="http://schemas.openxmlformats.org/officeDocument/2006/relationships/header" Target="header8.xml"/><Relationship Id="rId102" Type="http://schemas.openxmlformats.org/officeDocument/2006/relationships/image" Target="media/image32.png"/><Relationship Id="rId5" Type="http://schemas.openxmlformats.org/officeDocument/2006/relationships/customXml" Target="../customXml/item5.xml"/><Relationship Id="rId90" Type="http://schemas.openxmlformats.org/officeDocument/2006/relationships/chart" Target="charts/chart3.xml"/><Relationship Id="rId95" Type="http://schemas.openxmlformats.org/officeDocument/2006/relationships/header" Target="header12.xml"/><Relationship Id="rId22" Type="http://schemas.openxmlformats.org/officeDocument/2006/relationships/hyperlink" Target="http://www.infrastructure.gov.au/" TargetMode="External"/><Relationship Id="rId27" Type="http://schemas.openxmlformats.org/officeDocument/2006/relationships/header" Target="header5.xml"/><Relationship Id="rId43" Type="http://schemas.openxmlformats.org/officeDocument/2006/relationships/image" Target="media/image18.png"/><Relationship Id="rId48" Type="http://schemas.openxmlformats.org/officeDocument/2006/relationships/hyperlink" Target="http://www.legislation.gov.au/Details/F2016C00480" TargetMode="External"/><Relationship Id="rId64" Type="http://schemas.openxmlformats.org/officeDocument/2006/relationships/hyperlink" Target="http://www.unece.org/trans/main/wp29/wp29regs41-60.html" TargetMode="External"/><Relationship Id="rId69" Type="http://schemas.openxmlformats.org/officeDocument/2006/relationships/image" Target="media/image20.jpg"/><Relationship Id="rId80" Type="http://schemas.openxmlformats.org/officeDocument/2006/relationships/image" Target="media/image28.png"/><Relationship Id="rId85" Type="http://schemas.openxmlformats.org/officeDocument/2006/relationships/footer" Target="footer8.xml"/><Relationship Id="rId12" Type="http://schemas.openxmlformats.org/officeDocument/2006/relationships/image" Target="media/image1.jpg"/><Relationship Id="rId17" Type="http://schemas.openxmlformats.org/officeDocument/2006/relationships/footer" Target="footer1.xml"/><Relationship Id="rId33" Type="http://schemas.openxmlformats.org/officeDocument/2006/relationships/image" Target="media/image8.jpg"/><Relationship Id="rId38" Type="http://schemas.openxmlformats.org/officeDocument/2006/relationships/image" Target="media/image13.png"/><Relationship Id="rId59" Type="http://schemas.openxmlformats.org/officeDocument/2006/relationships/hyperlink" Target="http://www.unece.org/trans/main/wp29/wp29regs101-120.html" TargetMode="External"/><Relationship Id="rId103" Type="http://schemas.openxmlformats.org/officeDocument/2006/relationships/hyperlink" Target="https://www.youtube.com/channel/UCblPFagcv9GlmLAQPvyVAtg?view_as=subscriber" TargetMode="External"/><Relationship Id="rId108" Type="http://schemas.openxmlformats.org/officeDocument/2006/relationships/customXml" Target="../customXml/item6.xml"/><Relationship Id="rId20" Type="http://schemas.openxmlformats.org/officeDocument/2006/relationships/hyperlink" Target="http://www.pmc.gov.au/" TargetMode="External"/><Relationship Id="rId41" Type="http://schemas.openxmlformats.org/officeDocument/2006/relationships/image" Target="media/image16.png"/><Relationship Id="rId54" Type="http://schemas.openxmlformats.org/officeDocument/2006/relationships/hyperlink" Target="https://www.legislation.gov.au/Details/F2021C01202" TargetMode="External"/><Relationship Id="rId62" Type="http://schemas.openxmlformats.org/officeDocument/2006/relationships/hyperlink" Target="http://www.unece.org/trans/main/wp29/wp29regs0-20.html" TargetMode="External"/><Relationship Id="rId70" Type="http://schemas.openxmlformats.org/officeDocument/2006/relationships/image" Target="media/image21.jpg"/><Relationship Id="rId75" Type="http://schemas.openxmlformats.org/officeDocument/2006/relationships/header" Target="header7.xml"/><Relationship Id="rId83" Type="http://schemas.openxmlformats.org/officeDocument/2006/relationships/footer" Target="footer7.xml"/><Relationship Id="rId88" Type="http://schemas.openxmlformats.org/officeDocument/2006/relationships/footer" Target="footer9.xml"/><Relationship Id="rId91" Type="http://schemas.openxmlformats.org/officeDocument/2006/relationships/chart" Target="charts/chart4.xml"/><Relationship Id="rId96"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image" Target="media/image11.png"/><Relationship Id="rId49" Type="http://schemas.openxmlformats.org/officeDocument/2006/relationships/hyperlink" Target="http://www.roadsafety.gov.au/action-plan/2018-2020" TargetMode="External"/><Relationship Id="rId57" Type="http://schemas.openxmlformats.org/officeDocument/2006/relationships/hyperlink" Target="https://www.nhvr.gov.au/safety-accreditation-compliance/vehicle-standards-and-modifications/vehicle-safety-and-environmental-technology-uptake-plan" TargetMode="External"/><Relationship Id="rId106" Type="http://schemas.openxmlformats.org/officeDocument/2006/relationships/glossaryDocument" Target="glossary/document.xm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hyperlink" Target="https://www.legislation.gov.au/Details/C2021C00555" TargetMode="External"/><Relationship Id="rId60" Type="http://schemas.openxmlformats.org/officeDocument/2006/relationships/hyperlink" Target="http://www.unece.org/trans/main/wp29/wp29regs61-80.html" TargetMode="External"/><Relationship Id="rId65" Type="http://schemas.openxmlformats.org/officeDocument/2006/relationships/hyperlink" Target="http://www.unece.org/trans/main/wp29/wp29regs41-60.html" TargetMode="External"/><Relationship Id="rId73" Type="http://schemas.openxmlformats.org/officeDocument/2006/relationships/image" Target="media/image24.jpg"/><Relationship Id="rId78" Type="http://schemas.openxmlformats.org/officeDocument/2006/relationships/image" Target="media/image27.png"/><Relationship Id="rId81" Type="http://schemas.openxmlformats.org/officeDocument/2006/relationships/image" Target="cid:image001.png@01D7F734.3A08BC10" TargetMode="External"/><Relationship Id="rId86" Type="http://schemas.openxmlformats.org/officeDocument/2006/relationships/chart" Target="charts/chart1.xml"/><Relationship Id="rId94" Type="http://schemas.openxmlformats.org/officeDocument/2006/relationships/chart" Target="charts/chart7.xml"/><Relationship Id="rId99" Type="http://schemas.openxmlformats.org/officeDocument/2006/relationships/hyperlink" Target="https://www.facebook.com/ARRBGroup/" TargetMode="External"/><Relationship Id="rId101" Type="http://schemas.openxmlformats.org/officeDocument/2006/relationships/hyperlink" Target="https://twitter.com/ARRBGrou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hyperlink" Target="http://www.legislation.gov.au/Details/C2018B00005/Download" TargetMode="External"/><Relationship Id="rId55" Type="http://schemas.openxmlformats.org/officeDocument/2006/relationships/hyperlink" Target="https://eur-lex.europa.eu/legal-content/EN/TXT/?uri=CELEX%3A02012R1230-20191202" TargetMode="External"/><Relationship Id="rId76" Type="http://schemas.openxmlformats.org/officeDocument/2006/relationships/footer" Target="footer6.xml"/><Relationship Id="rId97" Type="http://schemas.openxmlformats.org/officeDocument/2006/relationships/hyperlink" Target="https://www.linkedin.com/company/arrb-group/" TargetMode="External"/><Relationship Id="rId104" Type="http://schemas.openxmlformats.org/officeDocument/2006/relationships/image" Target="media/image33.png"/><Relationship Id="rId7" Type="http://schemas.openxmlformats.org/officeDocument/2006/relationships/styles" Target="styles.xml"/><Relationship Id="rId71" Type="http://schemas.openxmlformats.org/officeDocument/2006/relationships/image" Target="media/image22.png"/><Relationship Id="rId92" Type="http://schemas.openxmlformats.org/officeDocument/2006/relationships/chart" Target="charts/chart5.xm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footer" Target="footer3.xml"/><Relationship Id="rId40" Type="http://schemas.openxmlformats.org/officeDocument/2006/relationships/image" Target="media/image15.png"/><Relationship Id="rId45" Type="http://schemas.openxmlformats.org/officeDocument/2006/relationships/hyperlink" Target="http://www.artsa.com.au/library/index.html" TargetMode="External"/><Relationship Id="rId66" Type="http://schemas.openxmlformats.org/officeDocument/2006/relationships/hyperlink" Target="http://www.unece.org/trans/main/wp29/wp29regs141-160.html" TargetMode="External"/><Relationship Id="rId87" Type="http://schemas.openxmlformats.org/officeDocument/2006/relationships/header" Target="header11.xml"/><Relationship Id="rId61" Type="http://schemas.openxmlformats.org/officeDocument/2006/relationships/hyperlink" Target="http://www.unece.org/trans/main/wp29/wp29regs121-140.html" TargetMode="External"/><Relationship Id="rId82" Type="http://schemas.openxmlformats.org/officeDocument/2006/relationships/header" Target="header9.xml"/><Relationship Id="rId19" Type="http://schemas.openxmlformats.org/officeDocument/2006/relationships/hyperlink" Target="https://creativecommons.org/licenses/by/4.0/" TargetMode="External"/><Relationship Id="rId14" Type="http://schemas.openxmlformats.org/officeDocument/2006/relationships/image" Target="media/image3.jpeg"/><Relationship Id="rId30" Type="http://schemas.openxmlformats.org/officeDocument/2006/relationships/image" Target="media/image5.jpeg"/><Relationship Id="rId35" Type="http://schemas.openxmlformats.org/officeDocument/2006/relationships/image" Target="media/image10.png"/><Relationship Id="rId56" Type="http://schemas.openxmlformats.org/officeDocument/2006/relationships/hyperlink" Target="https://www.nhvr.gov.au/about-us/publications" TargetMode="External"/><Relationship Id="rId77" Type="http://schemas.openxmlformats.org/officeDocument/2006/relationships/image" Target="media/image26.jpeg"/><Relationship Id="rId100" Type="http://schemas.openxmlformats.org/officeDocument/2006/relationships/image" Target="media/image31.png"/><Relationship Id="rId105"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legislation.gov.au/Details/F2022L00213" TargetMode="External"/><Relationship Id="rId72" Type="http://schemas.openxmlformats.org/officeDocument/2006/relationships/image" Target="media/image23.jpg"/><Relationship Id="rId93" Type="http://schemas.openxmlformats.org/officeDocument/2006/relationships/chart" Target="charts/chart6.xml"/><Relationship Id="rId98" Type="http://schemas.openxmlformats.org/officeDocument/2006/relationships/image" Target="media/image30.png"/><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hyperlink" Target="http://www.truck.net.au/resource-tags/technical-advisory-procedures" TargetMode="External"/><Relationship Id="rId67" Type="http://schemas.openxmlformats.org/officeDocument/2006/relationships/hyperlink" Target="http://www.unece.org/trans/main/wp29/wp29regs141-160.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VSS\VSS%20RVS%20Document_0120.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https://arrbgroup.sharepoint.com/sites/Salesforce/Shared%20Documents/Salesforce/Account/DeptInf/Prj-22-00656-HVF-Freight%20Vehicles-Vehicle%20Width-Design%20Rules/Contract%20Management/09%20Working%20Docs/2%20Benefit%20Cost%20Analyses/Simon/CBA_DITRDC_ADR_Fin"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arrbgroup.sharepoint.com/sites/Salesforce/Shared%20Documents/Salesforce/Account/DeptInf/Prj-22-00656-HVF-Freight%20Vehicles-Vehicle%20Width-Design%20Rules/Contract%20Management/09%20Working%20Docs/2%20Benefit%20Cost%20Analyses/Simon/CBA_DITRDC_ADR_draft_26%20June.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arrbgroup.sharepoint.com/sites/Salesforce/Shared%20Documents/Salesforce/Account/DeptInf/Prj-22-00656-HVF-Freight%20Vehicles-Vehicle%20Width-Design%20Rules/Contract%20Management/09%20Working%20Docs/2%20Benefit%20Cost%20Analyses/Simon/CBA_DITRDC_ADR_draft_26%20June.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arrbgroup.sharepoint.com/sites/Salesforce/Shared%20Documents/Salesforce/Account/DeptInf/Prj-22-00656-HVF-Freight%20Vehicles-Vehicle%20Width-Design%20Rules/Contract%20Management/09%20Working%20Docs/2%20Benefit%20Cost%20Analyses/Simon/CBA_DITRDC_ADR_draft_26%20June.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arrbgroup.sharepoint.com/sites/Salesforce/Shared%20Documents/Salesforce/Account/DeptInf/Prj-22-00656-HVF-Freight%20Vehicles-Vehicle%20Width-Design%20Rules/Contract%20Management/09%20Working%20Docs/2%20Benefit%20Cost%20Analyses/Simon/CBA_DITRDC_ADR_draft_26%20June.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arrbgroup.sharepoint.com/sites/Salesforce/Shared%20Documents/Salesforce/Account/DeptInf/Prj-22-00656-HVF-Freight%20Vehicles-Vehicle%20Width-Design%20Rules/Contract%20Management/09%20Working%20Docs/2%20Benefit%20Cost%20Analyses/Simon/CBA_DITRDC_ADR_draft_26%20June.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Admin\AppData\Local\Microsoft\Windows\INetCache\Content.Outlook\7T747P64\CBA_DITRDC_ADR_Final9%20with%20crash%20risk%20sensitivity%20te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strRef>
              <c:f>'[CBA_DITRDC_ADR_Final8UA + TBeditsv7 + ks.xlsx]Projected fleet'!$A$62</c:f>
              <c:strCache>
                <c:ptCount val="1"/>
                <c:pt idx="0">
                  <c:v>Rigid HV (&gt;4.5t)</c:v>
                </c:pt>
              </c:strCache>
            </c:strRef>
          </c:tx>
          <c:marker>
            <c:symbol val="none"/>
          </c:marker>
          <c:cat>
            <c:numRef>
              <c:f>'[CBA_DITRDC_ADR_Final8UA + TBeditsv7 + ks.xlsx]Projected fleet'!$B$5:$AP$5</c:f>
              <c:numCache>
                <c:formatCode>General</c:formatCode>
                <c:ptCount val="4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numCache>
            </c:numRef>
          </c:cat>
          <c:val>
            <c:numRef>
              <c:f>'[CBA_DITRDC_ADR_Final8UA + TBeditsv7 + ks.xlsx]Projected fleet'!$B$62:$AP$62</c:f>
              <c:numCache>
                <c:formatCode>_-* #,##0_-;\-* #,##0_-;_-* "-"??_-;_-@_-</c:formatCode>
                <c:ptCount val="41"/>
                <c:pt idx="0">
                  <c:v>17827.014707999999</c:v>
                </c:pt>
                <c:pt idx="1">
                  <c:v>36010.569710159994</c:v>
                </c:pt>
                <c:pt idx="2">
                  <c:v>54557.795812363198</c:v>
                </c:pt>
                <c:pt idx="3">
                  <c:v>73475.966436610455</c:v>
                </c:pt>
                <c:pt idx="4">
                  <c:v>92772.500473342661</c:v>
                </c:pt>
                <c:pt idx="5">
                  <c:v>112454.96519080951</c:v>
                </c:pt>
                <c:pt idx="6">
                  <c:v>132531.0792026257</c:v>
                </c:pt>
                <c:pt idx="7">
                  <c:v>153008.71549467821</c:v>
                </c:pt>
                <c:pt idx="8">
                  <c:v>173895.90451257178</c:v>
                </c:pt>
                <c:pt idx="9">
                  <c:v>195200.8373108232</c:v>
                </c:pt>
                <c:pt idx="10">
                  <c:v>216931.86876503966</c:v>
                </c:pt>
                <c:pt idx="11">
                  <c:v>239097.52084834044</c:v>
                </c:pt>
                <c:pt idx="12">
                  <c:v>261706.48597330725</c:v>
                </c:pt>
                <c:pt idx="13">
                  <c:v>284767.63040077337</c:v>
                </c:pt>
                <c:pt idx="14">
                  <c:v>308289.99771678884</c:v>
                </c:pt>
                <c:pt idx="15">
                  <c:v>332282.81237912463</c:v>
                </c:pt>
                <c:pt idx="16">
                  <c:v>332282.81237912463</c:v>
                </c:pt>
                <c:pt idx="17">
                  <c:v>332282.81237912463</c:v>
                </c:pt>
                <c:pt idx="18">
                  <c:v>332282.81237912463</c:v>
                </c:pt>
                <c:pt idx="19">
                  <c:v>332282.81237912463</c:v>
                </c:pt>
                <c:pt idx="20">
                  <c:v>332282.81237912463</c:v>
                </c:pt>
                <c:pt idx="21">
                  <c:v>332282.81237912463</c:v>
                </c:pt>
                <c:pt idx="22">
                  <c:v>332282.81237912463</c:v>
                </c:pt>
                <c:pt idx="23">
                  <c:v>332282.81237912463</c:v>
                </c:pt>
                <c:pt idx="24">
                  <c:v>332282.81237912463</c:v>
                </c:pt>
                <c:pt idx="25">
                  <c:v>314455.79767112463</c:v>
                </c:pt>
                <c:pt idx="26">
                  <c:v>296272.24266896467</c:v>
                </c:pt>
                <c:pt idx="27">
                  <c:v>277725.01656676142</c:v>
                </c:pt>
                <c:pt idx="28">
                  <c:v>258806.84594251419</c:v>
                </c:pt>
                <c:pt idx="29">
                  <c:v>239510.31190578197</c:v>
                </c:pt>
                <c:pt idx="30">
                  <c:v>219827.84718831512</c:v>
                </c:pt>
                <c:pt idx="31">
                  <c:v>199751.73317649894</c:v>
                </c:pt>
                <c:pt idx="32">
                  <c:v>179274.09688444642</c:v>
                </c:pt>
                <c:pt idx="33">
                  <c:v>158386.90786655285</c:v>
                </c:pt>
                <c:pt idx="34">
                  <c:v>137081.97506830143</c:v>
                </c:pt>
                <c:pt idx="35">
                  <c:v>115350.94361408497</c:v>
                </c:pt>
                <c:pt idx="36">
                  <c:v>93185.29153078419</c:v>
                </c:pt>
                <c:pt idx="37">
                  <c:v>70576.326405817381</c:v>
                </c:pt>
                <c:pt idx="38">
                  <c:v>47515.181978351262</c:v>
                </c:pt>
                <c:pt idx="39">
                  <c:v>23992.81466233579</c:v>
                </c:pt>
                <c:pt idx="40">
                  <c:v>0</c:v>
                </c:pt>
              </c:numCache>
            </c:numRef>
          </c:val>
          <c:smooth val="0"/>
          <c:extLst>
            <c:ext xmlns:c16="http://schemas.microsoft.com/office/drawing/2014/chart" uri="{C3380CC4-5D6E-409C-BE32-E72D297353CC}">
              <c16:uniqueId val="{00000000-5CAD-4892-ADED-FE18FE09CA6E}"/>
            </c:ext>
          </c:extLst>
        </c:ser>
        <c:ser>
          <c:idx val="3"/>
          <c:order val="1"/>
          <c:tx>
            <c:strRef>
              <c:f>'[CBA_DITRDC_ADR_Final8UA + TBeditsv7 + ks.xlsx]Projected fleet'!$A$64</c:f>
              <c:strCache>
                <c:ptCount val="1"/>
                <c:pt idx="0">
                  <c:v>Trailers (&gt;4.5 t)</c:v>
                </c:pt>
              </c:strCache>
            </c:strRef>
          </c:tx>
          <c:marker>
            <c:symbol val="none"/>
          </c:marker>
          <c:cat>
            <c:numRef>
              <c:f>'[CBA_DITRDC_ADR_Final8UA + TBeditsv7 + ks.xlsx]Projected fleet'!$B$5:$AP$5</c:f>
              <c:numCache>
                <c:formatCode>General</c:formatCode>
                <c:ptCount val="4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numCache>
            </c:numRef>
          </c:cat>
          <c:val>
            <c:numRef>
              <c:f>'[CBA_DITRDC_ADR_Final8UA + TBeditsv7 + ks.xlsx]Projected fleet'!$B$64:$AP$64</c:f>
              <c:numCache>
                <c:formatCode>_-* #,##0_-;\-* #,##0_-;_-* "-"??_-;_-@_-</c:formatCode>
                <c:ptCount val="41"/>
                <c:pt idx="0">
                  <c:v>4532.522134405328</c:v>
                </c:pt>
                <c:pt idx="1">
                  <c:v>8839.3331489922111</c:v>
                </c:pt>
                <c:pt idx="2">
                  <c:v>13289.091875306061</c:v>
                </c:pt>
                <c:pt idx="3">
                  <c:v>17886.515587833866</c:v>
                </c:pt>
                <c:pt idx="4">
                  <c:v>22636.477231120691</c:v>
                </c:pt>
                <c:pt idx="5">
                  <c:v>27544.010556881578</c:v>
                </c:pt>
                <c:pt idx="6">
                  <c:v>32614.315430638173</c:v>
                </c:pt>
                <c:pt idx="7">
                  <c:v>37852.763313474337</c:v>
                </c:pt>
                <c:pt idx="8">
                  <c:v>43264.90292468969</c:v>
                </c:pt>
                <c:pt idx="9">
                  <c:v>48856.466091320748</c:v>
                </c:pt>
                <c:pt idx="10">
                  <c:v>54633.373790696234</c:v>
                </c:pt>
                <c:pt idx="11">
                  <c:v>60601.742392396707</c:v>
                </c:pt>
                <c:pt idx="12">
                  <c:v>66767.890106198887</c:v>
                </c:pt>
                <c:pt idx="13">
                  <c:v>73138.343642802152</c:v>
                </c:pt>
                <c:pt idx="14">
                  <c:v>79729.820224608615</c:v>
                </c:pt>
                <c:pt idx="15">
                  <c:v>86554.271997936579</c:v>
                </c:pt>
                <c:pt idx="16">
                  <c:v>86554.271997936579</c:v>
                </c:pt>
                <c:pt idx="17">
                  <c:v>86554.271997936579</c:v>
                </c:pt>
                <c:pt idx="18">
                  <c:v>86554.271997936579</c:v>
                </c:pt>
                <c:pt idx="19">
                  <c:v>86554.271997936579</c:v>
                </c:pt>
                <c:pt idx="20">
                  <c:v>86554.271997936579</c:v>
                </c:pt>
                <c:pt idx="21">
                  <c:v>86554.271997936579</c:v>
                </c:pt>
                <c:pt idx="22">
                  <c:v>86554.271997936579</c:v>
                </c:pt>
                <c:pt idx="23">
                  <c:v>86554.271997936579</c:v>
                </c:pt>
                <c:pt idx="24">
                  <c:v>86554.271997936579</c:v>
                </c:pt>
                <c:pt idx="25">
                  <c:v>82360.904292020699</c:v>
                </c:pt>
                <c:pt idx="26">
                  <c:v>78029.15545180958</c:v>
                </c:pt>
                <c:pt idx="27">
                  <c:v>73554.458899871519</c:v>
                </c:pt>
                <c:pt idx="28">
                  <c:v>68932.097361719483</c:v>
                </c:pt>
                <c:pt idx="29">
                  <c:v>64157.197892808435</c:v>
                </c:pt>
                <c:pt idx="30">
                  <c:v>59224.726741423321</c:v>
                </c:pt>
                <c:pt idx="31">
                  <c:v>54129.484042042503</c:v>
                </c:pt>
                <c:pt idx="32">
                  <c:v>48866.098333582122</c:v>
                </c:pt>
                <c:pt idx="33">
                  <c:v>43429.020896742542</c:v>
                </c:pt>
                <c:pt idx="34">
                  <c:v>37812.519904487257</c:v>
                </c:pt>
                <c:pt idx="35">
                  <c:v>32010.674379487551</c:v>
                </c:pt>
                <c:pt idx="36">
                  <c:v>26017.367952162851</c:v>
                </c:pt>
                <c:pt idx="37">
                  <c:v>19826.282412736444</c:v>
                </c:pt>
                <c:pt idx="38">
                  <c:v>13430.891050508959</c:v>
                </c:pt>
                <c:pt idx="39">
                  <c:v>6824.4517733279645</c:v>
                </c:pt>
                <c:pt idx="40">
                  <c:v>0</c:v>
                </c:pt>
              </c:numCache>
            </c:numRef>
          </c:val>
          <c:smooth val="0"/>
          <c:extLst>
            <c:ext xmlns:c16="http://schemas.microsoft.com/office/drawing/2014/chart" uri="{C3380CC4-5D6E-409C-BE32-E72D297353CC}">
              <c16:uniqueId val="{00000001-5CAD-4892-ADED-FE18FE09CA6E}"/>
            </c:ext>
          </c:extLst>
        </c:ser>
        <c:ser>
          <c:idx val="0"/>
          <c:order val="2"/>
          <c:tx>
            <c:strRef>
              <c:f>'[CBA_DITRDC_ADR_Final8UA + TBeditsv7 + ks.xlsx]Projected fleet'!$A$63</c:f>
              <c:strCache>
                <c:ptCount val="1"/>
                <c:pt idx="0">
                  <c:v>Prime Mover (&gt;12t)</c:v>
                </c:pt>
              </c:strCache>
            </c:strRef>
          </c:tx>
          <c:marker>
            <c:symbol val="none"/>
          </c:marker>
          <c:val>
            <c:numRef>
              <c:f>'[CBA_DITRDC_ADR_Final8UA + TBeditsv7 + ks.xlsx]Projected fleet'!$B$63:$AP$63</c:f>
              <c:numCache>
                <c:formatCode>_-* #,##0_-;\-* #,##0_-;_-* "-"??_-;_-@_-</c:formatCode>
                <c:ptCount val="41"/>
                <c:pt idx="0">
                  <c:v>6242.1711120000009</c:v>
                </c:pt>
                <c:pt idx="1">
                  <c:v>12609.185646240003</c:v>
                </c:pt>
                <c:pt idx="2">
                  <c:v>19103.540471164804</c:v>
                </c:pt>
                <c:pt idx="3">
                  <c:v>25727.782392588102</c:v>
                </c:pt>
                <c:pt idx="4">
                  <c:v>32484.509152439867</c:v>
                </c:pt>
                <c:pt idx="5">
                  <c:v>39376.370447488662</c:v>
                </c:pt>
                <c:pt idx="6">
                  <c:v>46406.068968438434</c:v>
                </c:pt>
                <c:pt idx="7">
                  <c:v>53576.361459807202</c:v>
                </c:pt>
                <c:pt idx="8">
                  <c:v>60890.059801003343</c:v>
                </c:pt>
                <c:pt idx="9">
                  <c:v>68350.032109023407</c:v>
                </c:pt>
                <c:pt idx="10">
                  <c:v>75959.203863203875</c:v>
                </c:pt>
                <c:pt idx="11">
                  <c:v>83720.559052467957</c:v>
                </c:pt>
                <c:pt idx="12">
                  <c:v>91637.141345517317</c:v>
                </c:pt>
                <c:pt idx="13">
                  <c:v>99712.055284427668</c:v>
                </c:pt>
                <c:pt idx="14">
                  <c:v>107948.46750211623</c:v>
                </c:pt>
                <c:pt idx="15">
                  <c:v>116349.60796415855</c:v>
                </c:pt>
                <c:pt idx="16">
                  <c:v>116349.60796415855</c:v>
                </c:pt>
                <c:pt idx="17">
                  <c:v>116349.60796415855</c:v>
                </c:pt>
                <c:pt idx="18">
                  <c:v>116349.60796415855</c:v>
                </c:pt>
                <c:pt idx="19">
                  <c:v>116349.60796415855</c:v>
                </c:pt>
                <c:pt idx="20">
                  <c:v>116349.60796415855</c:v>
                </c:pt>
                <c:pt idx="21">
                  <c:v>116349.60796415855</c:v>
                </c:pt>
                <c:pt idx="22">
                  <c:v>116349.60796415855</c:v>
                </c:pt>
                <c:pt idx="23">
                  <c:v>116349.60796415855</c:v>
                </c:pt>
                <c:pt idx="24">
                  <c:v>116349.60796415855</c:v>
                </c:pt>
                <c:pt idx="25">
                  <c:v>110107.43685215856</c:v>
                </c:pt>
                <c:pt idx="26">
                  <c:v>103740.42231791855</c:v>
                </c:pt>
                <c:pt idx="27">
                  <c:v>97246.067492993752</c:v>
                </c:pt>
                <c:pt idx="28">
                  <c:v>90621.825571570458</c:v>
                </c:pt>
                <c:pt idx="29">
                  <c:v>83865.098811718693</c:v>
                </c:pt>
                <c:pt idx="30">
                  <c:v>76973.237516669891</c:v>
                </c:pt>
                <c:pt idx="31">
                  <c:v>69943.538995720126</c:v>
                </c:pt>
                <c:pt idx="32">
                  <c:v>62773.246504351351</c:v>
                </c:pt>
                <c:pt idx="33">
                  <c:v>55459.54816315521</c:v>
                </c:pt>
                <c:pt idx="34">
                  <c:v>47999.575855135146</c:v>
                </c:pt>
                <c:pt idx="35">
                  <c:v>40390.404100954678</c:v>
                </c:pt>
                <c:pt idx="36">
                  <c:v>32629.048911690596</c:v>
                </c:pt>
                <c:pt idx="37">
                  <c:v>24712.466618641236</c:v>
                </c:pt>
                <c:pt idx="38">
                  <c:v>16637.552679730885</c:v>
                </c:pt>
                <c:pt idx="39">
                  <c:v>8401.1404620423273</c:v>
                </c:pt>
                <c:pt idx="40">
                  <c:v>0</c:v>
                </c:pt>
              </c:numCache>
            </c:numRef>
          </c:val>
          <c:smooth val="0"/>
          <c:extLst>
            <c:ext xmlns:c16="http://schemas.microsoft.com/office/drawing/2014/chart" uri="{C3380CC4-5D6E-409C-BE32-E72D297353CC}">
              <c16:uniqueId val="{00000002-5CAD-4892-ADED-FE18FE09CA6E}"/>
            </c:ext>
          </c:extLst>
        </c:ser>
        <c:dLbls>
          <c:showLegendKey val="0"/>
          <c:showVal val="0"/>
          <c:showCatName val="0"/>
          <c:showSerName val="0"/>
          <c:showPercent val="0"/>
          <c:showBubbleSize val="0"/>
        </c:dLbls>
        <c:smooth val="0"/>
        <c:axId val="1655115408"/>
        <c:axId val="1655115824"/>
      </c:lineChart>
      <c:catAx>
        <c:axId val="1655115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55115824"/>
        <c:crosses val="autoZero"/>
        <c:auto val="1"/>
        <c:lblAlgn val="ctr"/>
        <c:lblOffset val="100"/>
        <c:tickLblSkip val="5"/>
        <c:tickMarkSkip val="5"/>
        <c:noMultiLvlLbl val="0"/>
      </c:catAx>
      <c:valAx>
        <c:axId val="165511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Number of vehicles / trailers</a:t>
                </a:r>
              </a:p>
            </c:rich>
          </c:tx>
          <c:overlay val="0"/>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511540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US and Europe made HVs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'Projected take-up fleet share'!$A$47</c:f>
              <c:strCache>
                <c:ptCount val="1"/>
                <c:pt idx="0">
                  <c:v>2.50 width</c:v>
                </c:pt>
              </c:strCache>
            </c:strRef>
          </c:tx>
          <c:spPr>
            <a:ln w="28575" cap="rnd">
              <a:solidFill>
                <a:schemeClr val="accent1"/>
              </a:solidFill>
              <a:round/>
            </a:ln>
            <a:effectLst/>
          </c:spPr>
          <c:marker>
            <c:symbol val="none"/>
          </c:marker>
          <c:val>
            <c:numRef>
              <c:f>'Projected take-up fleet share'!$B$47:$AP$47</c:f>
              <c:numCache>
                <c:formatCode>0%</c:formatCode>
                <c:ptCount val="41"/>
                <c:pt idx="0">
                  <c:v>0.99</c:v>
                </c:pt>
                <c:pt idx="1">
                  <c:v>0.49</c:v>
                </c:pt>
                <c:pt idx="2">
                  <c:v>4.3368086899420177E-18</c:v>
                </c:pt>
                <c:pt idx="3">
                  <c:v>4.3368086899420177E-18</c:v>
                </c:pt>
                <c:pt idx="4">
                  <c:v>4.3368086899420177E-18</c:v>
                </c:pt>
                <c:pt idx="5">
                  <c:v>4.3368086899420177E-18</c:v>
                </c:pt>
                <c:pt idx="6">
                  <c:v>4.3368086899420177E-18</c:v>
                </c:pt>
                <c:pt idx="7">
                  <c:v>4.3368086899420177E-18</c:v>
                </c:pt>
                <c:pt idx="8">
                  <c:v>4.3368086899420177E-18</c:v>
                </c:pt>
                <c:pt idx="9">
                  <c:v>4.3368086899420177E-18</c:v>
                </c:pt>
                <c:pt idx="10">
                  <c:v>4.3368086899420177E-18</c:v>
                </c:pt>
                <c:pt idx="11">
                  <c:v>4.3368086899420177E-18</c:v>
                </c:pt>
                <c:pt idx="12">
                  <c:v>4.3368086899420177E-18</c:v>
                </c:pt>
                <c:pt idx="13">
                  <c:v>4.3368086899420177E-18</c:v>
                </c:pt>
                <c:pt idx="14">
                  <c:v>4.3368086899420177E-18</c:v>
                </c:pt>
                <c:pt idx="15">
                  <c:v>4.3368086899420177E-18</c:v>
                </c:pt>
                <c:pt idx="16">
                  <c:v>4.3368086899420177E-18</c:v>
                </c:pt>
                <c:pt idx="17">
                  <c:v>4.3368086899420177E-18</c:v>
                </c:pt>
                <c:pt idx="18">
                  <c:v>4.3368086899420177E-18</c:v>
                </c:pt>
                <c:pt idx="19">
                  <c:v>4.3368086899420177E-18</c:v>
                </c:pt>
                <c:pt idx="20">
                  <c:v>4.3368086899420177E-18</c:v>
                </c:pt>
                <c:pt idx="21">
                  <c:v>4.3368086899420177E-18</c:v>
                </c:pt>
                <c:pt idx="22">
                  <c:v>4.3368086899420177E-18</c:v>
                </c:pt>
                <c:pt idx="23">
                  <c:v>4.3368086899420177E-18</c:v>
                </c:pt>
                <c:pt idx="24">
                  <c:v>4.3368086899420177E-18</c:v>
                </c:pt>
                <c:pt idx="25">
                  <c:v>4.3368086899420177E-18</c:v>
                </c:pt>
                <c:pt idx="26">
                  <c:v>4.3368086899420177E-18</c:v>
                </c:pt>
                <c:pt idx="27">
                  <c:v>4.3368086899420177E-18</c:v>
                </c:pt>
                <c:pt idx="28">
                  <c:v>4.3368086899420177E-18</c:v>
                </c:pt>
                <c:pt idx="29">
                  <c:v>4.3368086899420177E-18</c:v>
                </c:pt>
                <c:pt idx="30">
                  <c:v>4.3368086899420177E-18</c:v>
                </c:pt>
                <c:pt idx="31">
                  <c:v>4.3368086899420177E-18</c:v>
                </c:pt>
                <c:pt idx="32">
                  <c:v>4.3368086899420177E-18</c:v>
                </c:pt>
                <c:pt idx="33">
                  <c:v>4.3368086899420177E-18</c:v>
                </c:pt>
                <c:pt idx="34">
                  <c:v>4.3368086899420177E-18</c:v>
                </c:pt>
                <c:pt idx="35">
                  <c:v>4.3368086899420177E-18</c:v>
                </c:pt>
                <c:pt idx="36">
                  <c:v>4.3368086899420177E-18</c:v>
                </c:pt>
                <c:pt idx="37">
                  <c:v>4.3368086899420177E-18</c:v>
                </c:pt>
                <c:pt idx="38">
                  <c:v>4.3368086899420177E-18</c:v>
                </c:pt>
                <c:pt idx="39">
                  <c:v>4.3368086899420177E-18</c:v>
                </c:pt>
                <c:pt idx="40">
                  <c:v>4.3368086899420177E-18</c:v>
                </c:pt>
              </c:numCache>
            </c:numRef>
          </c:val>
          <c:smooth val="0"/>
          <c:extLst>
            <c:ext xmlns:c16="http://schemas.microsoft.com/office/drawing/2014/chart" uri="{C3380CC4-5D6E-409C-BE32-E72D297353CC}">
              <c16:uniqueId val="{00000000-5069-48E1-A78E-528323BDE8F1}"/>
            </c:ext>
          </c:extLst>
        </c:ser>
        <c:ser>
          <c:idx val="1"/>
          <c:order val="1"/>
          <c:tx>
            <c:strRef>
              <c:f>'Projected take-up fleet share'!$A$48</c:f>
              <c:strCache>
                <c:ptCount val="1"/>
                <c:pt idx="0">
                  <c:v>2.55 width</c:v>
                </c:pt>
              </c:strCache>
            </c:strRef>
          </c:tx>
          <c:spPr>
            <a:ln w="28575" cap="rnd">
              <a:solidFill>
                <a:schemeClr val="accent2"/>
              </a:solidFill>
              <a:round/>
            </a:ln>
            <a:effectLst/>
          </c:spPr>
          <c:marker>
            <c:symbol val="none"/>
          </c:marker>
          <c:val>
            <c:numRef>
              <c:f>'Projected take-up fleet share'!$B$48:$AP$48</c:f>
              <c:numCache>
                <c:formatCode>0%</c:formatCode>
                <c:ptCount val="41"/>
                <c:pt idx="0">
                  <c:v>5.0000000000000001E-3</c:v>
                </c:pt>
                <c:pt idx="1">
                  <c:v>0.505</c:v>
                </c:pt>
                <c:pt idx="2">
                  <c:v>0.995</c:v>
                </c:pt>
                <c:pt idx="3">
                  <c:v>0.995</c:v>
                </c:pt>
                <c:pt idx="4">
                  <c:v>0.995</c:v>
                </c:pt>
                <c:pt idx="5">
                  <c:v>0.995</c:v>
                </c:pt>
                <c:pt idx="6">
                  <c:v>0.995</c:v>
                </c:pt>
                <c:pt idx="7">
                  <c:v>0.995</c:v>
                </c:pt>
                <c:pt idx="8">
                  <c:v>0.995</c:v>
                </c:pt>
                <c:pt idx="9">
                  <c:v>0.995</c:v>
                </c:pt>
                <c:pt idx="10">
                  <c:v>0.995</c:v>
                </c:pt>
                <c:pt idx="11">
                  <c:v>0.995</c:v>
                </c:pt>
                <c:pt idx="12">
                  <c:v>0.995</c:v>
                </c:pt>
                <c:pt idx="13">
                  <c:v>0.995</c:v>
                </c:pt>
                <c:pt idx="14">
                  <c:v>0.995</c:v>
                </c:pt>
                <c:pt idx="15">
                  <c:v>0.995</c:v>
                </c:pt>
                <c:pt idx="16">
                  <c:v>0.995</c:v>
                </c:pt>
                <c:pt idx="17">
                  <c:v>0.995</c:v>
                </c:pt>
                <c:pt idx="18">
                  <c:v>0.995</c:v>
                </c:pt>
                <c:pt idx="19">
                  <c:v>0.995</c:v>
                </c:pt>
                <c:pt idx="20">
                  <c:v>0.995</c:v>
                </c:pt>
                <c:pt idx="21">
                  <c:v>0.995</c:v>
                </c:pt>
                <c:pt idx="22">
                  <c:v>0.995</c:v>
                </c:pt>
                <c:pt idx="23">
                  <c:v>0.995</c:v>
                </c:pt>
                <c:pt idx="24">
                  <c:v>0.995</c:v>
                </c:pt>
                <c:pt idx="25">
                  <c:v>0.995</c:v>
                </c:pt>
                <c:pt idx="26">
                  <c:v>0.995</c:v>
                </c:pt>
                <c:pt idx="27">
                  <c:v>0.995</c:v>
                </c:pt>
                <c:pt idx="28">
                  <c:v>0.995</c:v>
                </c:pt>
                <c:pt idx="29">
                  <c:v>0.995</c:v>
                </c:pt>
                <c:pt idx="30">
                  <c:v>0.995</c:v>
                </c:pt>
                <c:pt idx="31">
                  <c:v>0.995</c:v>
                </c:pt>
                <c:pt idx="32">
                  <c:v>0.995</c:v>
                </c:pt>
                <c:pt idx="33">
                  <c:v>0.995</c:v>
                </c:pt>
                <c:pt idx="34">
                  <c:v>0.995</c:v>
                </c:pt>
                <c:pt idx="35">
                  <c:v>0.995</c:v>
                </c:pt>
                <c:pt idx="36">
                  <c:v>0.995</c:v>
                </c:pt>
                <c:pt idx="37">
                  <c:v>0.995</c:v>
                </c:pt>
                <c:pt idx="38">
                  <c:v>0.995</c:v>
                </c:pt>
                <c:pt idx="39">
                  <c:v>0.995</c:v>
                </c:pt>
                <c:pt idx="40">
                  <c:v>0.995</c:v>
                </c:pt>
              </c:numCache>
            </c:numRef>
          </c:val>
          <c:smooth val="0"/>
          <c:extLst>
            <c:ext xmlns:c16="http://schemas.microsoft.com/office/drawing/2014/chart" uri="{C3380CC4-5D6E-409C-BE32-E72D297353CC}">
              <c16:uniqueId val="{00000001-5069-48E1-A78E-528323BDE8F1}"/>
            </c:ext>
          </c:extLst>
        </c:ser>
        <c:dLbls>
          <c:showLegendKey val="0"/>
          <c:showVal val="0"/>
          <c:showCatName val="0"/>
          <c:showSerName val="0"/>
          <c:showPercent val="0"/>
          <c:showBubbleSize val="0"/>
        </c:dLbls>
        <c:smooth val="0"/>
        <c:axId val="1919688384"/>
        <c:axId val="1919677568"/>
      </c:lineChart>
      <c:catAx>
        <c:axId val="19196883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9677568"/>
        <c:crosses val="autoZero"/>
        <c:auto val="1"/>
        <c:lblAlgn val="ctr"/>
        <c:lblOffset val="100"/>
        <c:noMultiLvlLbl val="0"/>
      </c:catAx>
      <c:valAx>
        <c:axId val="19196775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9688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Japan and South</a:t>
            </a:r>
            <a:r>
              <a:rPr lang="en-AU" baseline="0"/>
              <a:t> Korea made HVs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'Projected take-up fleet share'!$A$51</c:f>
              <c:strCache>
                <c:ptCount val="1"/>
                <c:pt idx="0">
                  <c:v>2.50 width</c:v>
                </c:pt>
              </c:strCache>
            </c:strRef>
          </c:tx>
          <c:spPr>
            <a:ln w="28575" cap="rnd">
              <a:solidFill>
                <a:schemeClr val="accent1"/>
              </a:solidFill>
              <a:round/>
            </a:ln>
            <a:effectLst/>
          </c:spPr>
          <c:marker>
            <c:symbol val="none"/>
          </c:marker>
          <c:val>
            <c:numRef>
              <c:f>'Projected take-up fleet share'!$B$51:$AP$51</c:f>
              <c:numCache>
                <c:formatCode>0%</c:formatCode>
                <c:ptCount val="41"/>
                <c:pt idx="0">
                  <c:v>0.99</c:v>
                </c:pt>
                <c:pt idx="1">
                  <c:v>0.95</c:v>
                </c:pt>
                <c:pt idx="2">
                  <c:v>0.91</c:v>
                </c:pt>
                <c:pt idx="3">
                  <c:v>0.87</c:v>
                </c:pt>
                <c:pt idx="4">
                  <c:v>0.83</c:v>
                </c:pt>
                <c:pt idx="5">
                  <c:v>0.78999999999999992</c:v>
                </c:pt>
                <c:pt idx="6">
                  <c:v>0.75</c:v>
                </c:pt>
                <c:pt idx="7">
                  <c:v>0.71</c:v>
                </c:pt>
                <c:pt idx="8">
                  <c:v>0.67</c:v>
                </c:pt>
                <c:pt idx="9">
                  <c:v>0.63</c:v>
                </c:pt>
                <c:pt idx="10">
                  <c:v>0.59</c:v>
                </c:pt>
                <c:pt idx="11">
                  <c:v>0.55000000000000004</c:v>
                </c:pt>
                <c:pt idx="12">
                  <c:v>0.51000000000000012</c:v>
                </c:pt>
                <c:pt idx="13">
                  <c:v>0.47000000000000008</c:v>
                </c:pt>
                <c:pt idx="14">
                  <c:v>0.43000000000000005</c:v>
                </c:pt>
                <c:pt idx="15">
                  <c:v>0.39</c:v>
                </c:pt>
                <c:pt idx="16">
                  <c:v>0.39</c:v>
                </c:pt>
                <c:pt idx="17">
                  <c:v>0.39</c:v>
                </c:pt>
                <c:pt idx="18">
                  <c:v>0.39</c:v>
                </c:pt>
                <c:pt idx="19">
                  <c:v>0.39</c:v>
                </c:pt>
                <c:pt idx="20">
                  <c:v>0.39</c:v>
                </c:pt>
                <c:pt idx="21">
                  <c:v>0.39</c:v>
                </c:pt>
                <c:pt idx="22">
                  <c:v>0.39</c:v>
                </c:pt>
                <c:pt idx="23">
                  <c:v>0.39</c:v>
                </c:pt>
                <c:pt idx="24">
                  <c:v>0.39</c:v>
                </c:pt>
                <c:pt idx="25">
                  <c:v>0.39</c:v>
                </c:pt>
                <c:pt idx="26">
                  <c:v>0.39</c:v>
                </c:pt>
                <c:pt idx="27">
                  <c:v>0.39</c:v>
                </c:pt>
                <c:pt idx="28">
                  <c:v>0.39</c:v>
                </c:pt>
                <c:pt idx="29">
                  <c:v>0.39</c:v>
                </c:pt>
                <c:pt idx="30">
                  <c:v>0.39</c:v>
                </c:pt>
                <c:pt idx="31">
                  <c:v>0.39</c:v>
                </c:pt>
                <c:pt idx="32">
                  <c:v>0.39</c:v>
                </c:pt>
                <c:pt idx="33">
                  <c:v>0.39</c:v>
                </c:pt>
                <c:pt idx="34">
                  <c:v>0.39</c:v>
                </c:pt>
                <c:pt idx="35">
                  <c:v>0.39</c:v>
                </c:pt>
                <c:pt idx="36">
                  <c:v>0.39</c:v>
                </c:pt>
                <c:pt idx="37">
                  <c:v>0.39</c:v>
                </c:pt>
                <c:pt idx="38">
                  <c:v>0.39</c:v>
                </c:pt>
                <c:pt idx="39">
                  <c:v>0.39</c:v>
                </c:pt>
                <c:pt idx="40">
                  <c:v>0.39</c:v>
                </c:pt>
              </c:numCache>
            </c:numRef>
          </c:val>
          <c:smooth val="0"/>
          <c:extLst>
            <c:ext xmlns:c16="http://schemas.microsoft.com/office/drawing/2014/chart" uri="{C3380CC4-5D6E-409C-BE32-E72D297353CC}">
              <c16:uniqueId val="{00000000-524E-48A7-9504-6BB60BBAD782}"/>
            </c:ext>
          </c:extLst>
        </c:ser>
        <c:ser>
          <c:idx val="1"/>
          <c:order val="1"/>
          <c:tx>
            <c:strRef>
              <c:f>'Projected take-up fleet share'!$A$52</c:f>
              <c:strCache>
                <c:ptCount val="1"/>
                <c:pt idx="0">
                  <c:v>2.55 width</c:v>
                </c:pt>
              </c:strCache>
            </c:strRef>
          </c:tx>
          <c:spPr>
            <a:ln w="28575" cap="rnd">
              <a:solidFill>
                <a:schemeClr val="accent2"/>
              </a:solidFill>
              <a:round/>
            </a:ln>
            <a:effectLst/>
          </c:spPr>
          <c:marker>
            <c:symbol val="none"/>
          </c:marker>
          <c:val>
            <c:numRef>
              <c:f>'Projected take-up fleet share'!$B$52:$AP$52</c:f>
              <c:numCache>
                <c:formatCode>0%</c:formatCode>
                <c:ptCount val="41"/>
                <c:pt idx="0">
                  <c:v>5.0000000000000001E-3</c:v>
                </c:pt>
                <c:pt idx="1">
                  <c:v>4.4999999999999998E-2</c:v>
                </c:pt>
                <c:pt idx="2">
                  <c:v>8.4999999999999992E-2</c:v>
                </c:pt>
                <c:pt idx="3">
                  <c:v>0.125</c:v>
                </c:pt>
                <c:pt idx="4">
                  <c:v>0.16500000000000001</c:v>
                </c:pt>
                <c:pt idx="5">
                  <c:v>0.20500000000000002</c:v>
                </c:pt>
                <c:pt idx="6">
                  <c:v>0.24500000000000002</c:v>
                </c:pt>
                <c:pt idx="7">
                  <c:v>0.28500000000000003</c:v>
                </c:pt>
                <c:pt idx="8">
                  <c:v>0.32500000000000001</c:v>
                </c:pt>
                <c:pt idx="9">
                  <c:v>0.36499999999999999</c:v>
                </c:pt>
                <c:pt idx="10">
                  <c:v>0.40499999999999997</c:v>
                </c:pt>
                <c:pt idx="11">
                  <c:v>0.44499999999999995</c:v>
                </c:pt>
                <c:pt idx="12">
                  <c:v>0.48499999999999993</c:v>
                </c:pt>
                <c:pt idx="13">
                  <c:v>0.52499999999999991</c:v>
                </c:pt>
                <c:pt idx="14">
                  <c:v>0.56499999999999995</c:v>
                </c:pt>
                <c:pt idx="15">
                  <c:v>0.60499999999999998</c:v>
                </c:pt>
                <c:pt idx="16">
                  <c:v>0.60499999999999998</c:v>
                </c:pt>
                <c:pt idx="17">
                  <c:v>0.60499999999999998</c:v>
                </c:pt>
                <c:pt idx="18">
                  <c:v>0.60499999999999998</c:v>
                </c:pt>
                <c:pt idx="19">
                  <c:v>0.60499999999999998</c:v>
                </c:pt>
                <c:pt idx="20">
                  <c:v>0.60499999999999998</c:v>
                </c:pt>
                <c:pt idx="21">
                  <c:v>0.60499999999999998</c:v>
                </c:pt>
                <c:pt idx="22">
                  <c:v>0.60499999999999998</c:v>
                </c:pt>
                <c:pt idx="23">
                  <c:v>0.60499999999999998</c:v>
                </c:pt>
                <c:pt idx="24">
                  <c:v>0.60499999999999998</c:v>
                </c:pt>
                <c:pt idx="25">
                  <c:v>0.60499999999999998</c:v>
                </c:pt>
                <c:pt idx="26">
                  <c:v>0.60499999999999998</c:v>
                </c:pt>
                <c:pt idx="27">
                  <c:v>0.60499999999999998</c:v>
                </c:pt>
                <c:pt idx="28">
                  <c:v>0.60499999999999998</c:v>
                </c:pt>
                <c:pt idx="29">
                  <c:v>0.60499999999999998</c:v>
                </c:pt>
                <c:pt idx="30">
                  <c:v>0.60499999999999998</c:v>
                </c:pt>
                <c:pt idx="31">
                  <c:v>0.60499999999999998</c:v>
                </c:pt>
                <c:pt idx="32">
                  <c:v>0.60499999999999998</c:v>
                </c:pt>
                <c:pt idx="33">
                  <c:v>0.60499999999999998</c:v>
                </c:pt>
                <c:pt idx="34">
                  <c:v>0.60499999999999998</c:v>
                </c:pt>
                <c:pt idx="35">
                  <c:v>0.60499999999999998</c:v>
                </c:pt>
                <c:pt idx="36">
                  <c:v>0.60499999999999998</c:v>
                </c:pt>
                <c:pt idx="37">
                  <c:v>0.60499999999999998</c:v>
                </c:pt>
                <c:pt idx="38">
                  <c:v>0.60499999999999998</c:v>
                </c:pt>
                <c:pt idx="39">
                  <c:v>0.60499999999999998</c:v>
                </c:pt>
                <c:pt idx="40">
                  <c:v>0.60499999999999998</c:v>
                </c:pt>
              </c:numCache>
            </c:numRef>
          </c:val>
          <c:smooth val="0"/>
          <c:extLst>
            <c:ext xmlns:c16="http://schemas.microsoft.com/office/drawing/2014/chart" uri="{C3380CC4-5D6E-409C-BE32-E72D297353CC}">
              <c16:uniqueId val="{00000001-524E-48A7-9504-6BB60BBAD782}"/>
            </c:ext>
          </c:extLst>
        </c:ser>
        <c:dLbls>
          <c:showLegendKey val="0"/>
          <c:showVal val="0"/>
          <c:showCatName val="0"/>
          <c:showSerName val="0"/>
          <c:showPercent val="0"/>
          <c:showBubbleSize val="0"/>
        </c:dLbls>
        <c:smooth val="0"/>
        <c:axId val="1239394896"/>
        <c:axId val="1239386992"/>
      </c:lineChart>
      <c:catAx>
        <c:axId val="123939489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9386992"/>
        <c:crosses val="autoZero"/>
        <c:auto val="1"/>
        <c:lblAlgn val="ctr"/>
        <c:lblOffset val="100"/>
        <c:noMultiLvlLbl val="0"/>
      </c:catAx>
      <c:valAx>
        <c:axId val="123938699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939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 Australian</a:t>
            </a:r>
            <a:r>
              <a:rPr lang="en-AU" baseline="0"/>
              <a:t> made HVs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'Projected take-up fleet share'!$A$55</c:f>
              <c:strCache>
                <c:ptCount val="1"/>
                <c:pt idx="0">
                  <c:v>2.50 width</c:v>
                </c:pt>
              </c:strCache>
            </c:strRef>
          </c:tx>
          <c:spPr>
            <a:ln w="28575" cap="rnd">
              <a:solidFill>
                <a:schemeClr val="accent1"/>
              </a:solidFill>
              <a:round/>
            </a:ln>
            <a:effectLst/>
          </c:spPr>
          <c:marker>
            <c:symbol val="none"/>
          </c:marker>
          <c:val>
            <c:numRef>
              <c:f>'Projected take-up fleet share'!$B$55:$AP$55</c:f>
              <c:numCache>
                <c:formatCode>0%</c:formatCode>
                <c:ptCount val="41"/>
                <c:pt idx="0">
                  <c:v>0.99</c:v>
                </c:pt>
                <c:pt idx="1">
                  <c:v>0.92333333333333334</c:v>
                </c:pt>
                <c:pt idx="2">
                  <c:v>0.85666666666666669</c:v>
                </c:pt>
                <c:pt idx="3">
                  <c:v>0.78999999999999992</c:v>
                </c:pt>
                <c:pt idx="4">
                  <c:v>0.72333333333333327</c:v>
                </c:pt>
                <c:pt idx="5">
                  <c:v>0.65666666666666662</c:v>
                </c:pt>
                <c:pt idx="6">
                  <c:v>0.59</c:v>
                </c:pt>
                <c:pt idx="7">
                  <c:v>0.52333333333333332</c:v>
                </c:pt>
                <c:pt idx="8">
                  <c:v>0.45666666666666667</c:v>
                </c:pt>
                <c:pt idx="9">
                  <c:v>0.39</c:v>
                </c:pt>
                <c:pt idx="10">
                  <c:v>0.32333333333333336</c:v>
                </c:pt>
                <c:pt idx="11">
                  <c:v>0.25666666666666671</c:v>
                </c:pt>
                <c:pt idx="12">
                  <c:v>0.19000000000000006</c:v>
                </c:pt>
                <c:pt idx="13">
                  <c:v>0.12333333333333341</c:v>
                </c:pt>
                <c:pt idx="14">
                  <c:v>5.6666666666666761E-2</c:v>
                </c:pt>
                <c:pt idx="15">
                  <c:v>4.3368086899420177E-18</c:v>
                </c:pt>
                <c:pt idx="16">
                  <c:v>4.3368086899420177E-18</c:v>
                </c:pt>
                <c:pt idx="17">
                  <c:v>4.3368086899420177E-18</c:v>
                </c:pt>
                <c:pt idx="18">
                  <c:v>4.3368086899420177E-18</c:v>
                </c:pt>
                <c:pt idx="19">
                  <c:v>4.3368086899420177E-18</c:v>
                </c:pt>
                <c:pt idx="20">
                  <c:v>4.3368086899420177E-18</c:v>
                </c:pt>
                <c:pt idx="21">
                  <c:v>4.3368086899420177E-18</c:v>
                </c:pt>
                <c:pt idx="22">
                  <c:v>4.3368086899420177E-18</c:v>
                </c:pt>
                <c:pt idx="23">
                  <c:v>4.3368086899420177E-18</c:v>
                </c:pt>
                <c:pt idx="24">
                  <c:v>4.3368086899420177E-18</c:v>
                </c:pt>
                <c:pt idx="25">
                  <c:v>4.3368086899420177E-18</c:v>
                </c:pt>
                <c:pt idx="26">
                  <c:v>4.3368086899420177E-18</c:v>
                </c:pt>
                <c:pt idx="27">
                  <c:v>4.3368086899420177E-18</c:v>
                </c:pt>
                <c:pt idx="28">
                  <c:v>4.3368086899420177E-18</c:v>
                </c:pt>
                <c:pt idx="29">
                  <c:v>4.3368086899420177E-18</c:v>
                </c:pt>
                <c:pt idx="30">
                  <c:v>4.3368086899420177E-18</c:v>
                </c:pt>
                <c:pt idx="31">
                  <c:v>4.3368086899420177E-18</c:v>
                </c:pt>
                <c:pt idx="32">
                  <c:v>4.3368086899420177E-18</c:v>
                </c:pt>
                <c:pt idx="33">
                  <c:v>4.3368086899420177E-18</c:v>
                </c:pt>
                <c:pt idx="34">
                  <c:v>4.3368086899420177E-18</c:v>
                </c:pt>
                <c:pt idx="35">
                  <c:v>4.3368086899420177E-18</c:v>
                </c:pt>
                <c:pt idx="36">
                  <c:v>4.3368086899420177E-18</c:v>
                </c:pt>
                <c:pt idx="37">
                  <c:v>4.3368086899420177E-18</c:v>
                </c:pt>
                <c:pt idx="38">
                  <c:v>4.3368086899420177E-18</c:v>
                </c:pt>
                <c:pt idx="39">
                  <c:v>4.3368086899420177E-18</c:v>
                </c:pt>
                <c:pt idx="40">
                  <c:v>4.3368086899420177E-18</c:v>
                </c:pt>
              </c:numCache>
            </c:numRef>
          </c:val>
          <c:smooth val="0"/>
          <c:extLst>
            <c:ext xmlns:c16="http://schemas.microsoft.com/office/drawing/2014/chart" uri="{C3380CC4-5D6E-409C-BE32-E72D297353CC}">
              <c16:uniqueId val="{00000000-700A-4323-99A4-E8E46D85311C}"/>
            </c:ext>
          </c:extLst>
        </c:ser>
        <c:ser>
          <c:idx val="1"/>
          <c:order val="1"/>
          <c:tx>
            <c:strRef>
              <c:f>'Projected take-up fleet share'!$A$56</c:f>
              <c:strCache>
                <c:ptCount val="1"/>
                <c:pt idx="0">
                  <c:v>2.55 width</c:v>
                </c:pt>
              </c:strCache>
            </c:strRef>
          </c:tx>
          <c:spPr>
            <a:ln w="28575" cap="rnd">
              <a:solidFill>
                <a:schemeClr val="accent2"/>
              </a:solidFill>
              <a:round/>
            </a:ln>
            <a:effectLst/>
          </c:spPr>
          <c:marker>
            <c:symbol val="none"/>
          </c:marker>
          <c:val>
            <c:numRef>
              <c:f>'Projected take-up fleet share'!$B$56:$AP$56</c:f>
              <c:numCache>
                <c:formatCode>0%</c:formatCode>
                <c:ptCount val="41"/>
                <c:pt idx="0">
                  <c:v>5.0000000000000001E-3</c:v>
                </c:pt>
                <c:pt idx="1">
                  <c:v>7.166666666666667E-2</c:v>
                </c:pt>
                <c:pt idx="2">
                  <c:v>0.13833333333333334</c:v>
                </c:pt>
                <c:pt idx="3">
                  <c:v>0.20500000000000002</c:v>
                </c:pt>
                <c:pt idx="4">
                  <c:v>0.27166666666666667</c:v>
                </c:pt>
                <c:pt idx="5">
                  <c:v>0.33833333333333332</c:v>
                </c:pt>
                <c:pt idx="6">
                  <c:v>0.40499999999999997</c:v>
                </c:pt>
                <c:pt idx="7">
                  <c:v>0.47166666666666662</c:v>
                </c:pt>
                <c:pt idx="8">
                  <c:v>0.53833333333333333</c:v>
                </c:pt>
                <c:pt idx="9">
                  <c:v>0.60499999999999998</c:v>
                </c:pt>
                <c:pt idx="10">
                  <c:v>0.67166666666666663</c:v>
                </c:pt>
                <c:pt idx="11">
                  <c:v>0.73833333333333329</c:v>
                </c:pt>
                <c:pt idx="12">
                  <c:v>0.80499999999999994</c:v>
                </c:pt>
                <c:pt idx="13">
                  <c:v>0.87166666666666659</c:v>
                </c:pt>
                <c:pt idx="14">
                  <c:v>0.93833333333333324</c:v>
                </c:pt>
                <c:pt idx="15">
                  <c:v>0.995</c:v>
                </c:pt>
                <c:pt idx="16">
                  <c:v>0.995</c:v>
                </c:pt>
                <c:pt idx="17">
                  <c:v>0.995</c:v>
                </c:pt>
                <c:pt idx="18">
                  <c:v>0.995</c:v>
                </c:pt>
                <c:pt idx="19">
                  <c:v>0.995</c:v>
                </c:pt>
                <c:pt idx="20">
                  <c:v>0.995</c:v>
                </c:pt>
                <c:pt idx="21">
                  <c:v>0.995</c:v>
                </c:pt>
                <c:pt idx="22">
                  <c:v>0.995</c:v>
                </c:pt>
                <c:pt idx="23">
                  <c:v>0.995</c:v>
                </c:pt>
                <c:pt idx="24">
                  <c:v>0.995</c:v>
                </c:pt>
                <c:pt idx="25">
                  <c:v>0.995</c:v>
                </c:pt>
                <c:pt idx="26">
                  <c:v>0.995</c:v>
                </c:pt>
                <c:pt idx="27">
                  <c:v>0.995</c:v>
                </c:pt>
                <c:pt idx="28">
                  <c:v>0.995</c:v>
                </c:pt>
                <c:pt idx="29">
                  <c:v>0.995</c:v>
                </c:pt>
                <c:pt idx="30">
                  <c:v>0.995</c:v>
                </c:pt>
                <c:pt idx="31">
                  <c:v>0.995</c:v>
                </c:pt>
                <c:pt idx="32">
                  <c:v>0.995</c:v>
                </c:pt>
                <c:pt idx="33">
                  <c:v>0.995</c:v>
                </c:pt>
                <c:pt idx="34">
                  <c:v>0.995</c:v>
                </c:pt>
                <c:pt idx="35">
                  <c:v>0.995</c:v>
                </c:pt>
                <c:pt idx="36">
                  <c:v>0.995</c:v>
                </c:pt>
                <c:pt idx="37">
                  <c:v>0.995</c:v>
                </c:pt>
                <c:pt idx="38">
                  <c:v>0.995</c:v>
                </c:pt>
                <c:pt idx="39">
                  <c:v>0.995</c:v>
                </c:pt>
                <c:pt idx="40">
                  <c:v>0.995</c:v>
                </c:pt>
              </c:numCache>
            </c:numRef>
          </c:val>
          <c:smooth val="0"/>
          <c:extLst>
            <c:ext xmlns:c16="http://schemas.microsoft.com/office/drawing/2014/chart" uri="{C3380CC4-5D6E-409C-BE32-E72D297353CC}">
              <c16:uniqueId val="{00000001-700A-4323-99A4-E8E46D85311C}"/>
            </c:ext>
          </c:extLst>
        </c:ser>
        <c:dLbls>
          <c:showLegendKey val="0"/>
          <c:showVal val="0"/>
          <c:showCatName val="0"/>
          <c:showSerName val="0"/>
          <c:showPercent val="0"/>
          <c:showBubbleSize val="0"/>
        </c:dLbls>
        <c:smooth val="0"/>
        <c:axId val="1877943424"/>
        <c:axId val="1877940512"/>
      </c:lineChart>
      <c:catAx>
        <c:axId val="18779434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7940512"/>
        <c:crosses val="autoZero"/>
        <c:auto val="1"/>
        <c:lblAlgn val="ctr"/>
        <c:lblOffset val="100"/>
        <c:noMultiLvlLbl val="0"/>
      </c:catAx>
      <c:valAx>
        <c:axId val="18779405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794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Imported trailers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'Projected take-up fleet share'!$A$61</c:f>
              <c:strCache>
                <c:ptCount val="1"/>
                <c:pt idx="0">
                  <c:v>2.50 width</c:v>
                </c:pt>
              </c:strCache>
            </c:strRef>
          </c:tx>
          <c:spPr>
            <a:ln w="28575" cap="rnd">
              <a:solidFill>
                <a:schemeClr val="accent1"/>
              </a:solidFill>
              <a:round/>
            </a:ln>
            <a:effectLst/>
          </c:spPr>
          <c:marker>
            <c:symbol val="none"/>
          </c:marker>
          <c:val>
            <c:numRef>
              <c:f>'Projected take-up fleet share'!$B$61:$AP$61</c:f>
              <c:numCache>
                <c:formatCode>0%</c:formatCode>
                <c:ptCount val="41"/>
                <c:pt idx="0">
                  <c:v>0.99</c:v>
                </c:pt>
                <c:pt idx="1">
                  <c:v>0.49</c:v>
                </c:pt>
                <c:pt idx="2">
                  <c:v>4.3368086899420177E-18</c:v>
                </c:pt>
                <c:pt idx="3">
                  <c:v>4.3368086899420177E-18</c:v>
                </c:pt>
                <c:pt idx="4">
                  <c:v>4.3368086899420177E-18</c:v>
                </c:pt>
                <c:pt idx="5">
                  <c:v>4.3368086899420177E-18</c:v>
                </c:pt>
                <c:pt idx="6">
                  <c:v>4.3368086899420177E-18</c:v>
                </c:pt>
                <c:pt idx="7">
                  <c:v>4.3368086899420177E-18</c:v>
                </c:pt>
                <c:pt idx="8">
                  <c:v>4.3368086899420177E-18</c:v>
                </c:pt>
                <c:pt idx="9">
                  <c:v>4.3368086899420177E-18</c:v>
                </c:pt>
                <c:pt idx="10">
                  <c:v>4.3368086899420177E-18</c:v>
                </c:pt>
                <c:pt idx="11">
                  <c:v>4.3368086899420177E-18</c:v>
                </c:pt>
                <c:pt idx="12">
                  <c:v>4.3368086899420177E-18</c:v>
                </c:pt>
                <c:pt idx="13">
                  <c:v>4.3368086899420177E-18</c:v>
                </c:pt>
                <c:pt idx="14">
                  <c:v>4.3368086899420177E-18</c:v>
                </c:pt>
                <c:pt idx="15">
                  <c:v>4.3368086899420177E-18</c:v>
                </c:pt>
                <c:pt idx="16">
                  <c:v>4.3368086899420177E-18</c:v>
                </c:pt>
                <c:pt idx="17">
                  <c:v>4.3368086899420177E-18</c:v>
                </c:pt>
                <c:pt idx="18">
                  <c:v>4.3368086899420177E-18</c:v>
                </c:pt>
                <c:pt idx="19">
                  <c:v>4.3368086899420177E-18</c:v>
                </c:pt>
                <c:pt idx="20">
                  <c:v>4.3368086899420177E-18</c:v>
                </c:pt>
                <c:pt idx="21">
                  <c:v>4.3368086899420177E-18</c:v>
                </c:pt>
                <c:pt idx="22">
                  <c:v>4.3368086899420177E-18</c:v>
                </c:pt>
                <c:pt idx="23">
                  <c:v>4.3368086899420177E-18</c:v>
                </c:pt>
                <c:pt idx="24">
                  <c:v>4.3368086899420177E-18</c:v>
                </c:pt>
                <c:pt idx="25">
                  <c:v>4.3368086899420177E-18</c:v>
                </c:pt>
                <c:pt idx="26">
                  <c:v>4.3368086899420177E-18</c:v>
                </c:pt>
                <c:pt idx="27">
                  <c:v>4.3368086899420177E-18</c:v>
                </c:pt>
                <c:pt idx="28">
                  <c:v>4.3368086899420177E-18</c:v>
                </c:pt>
                <c:pt idx="29">
                  <c:v>4.3368086899420177E-18</c:v>
                </c:pt>
                <c:pt idx="30">
                  <c:v>4.3368086899420177E-18</c:v>
                </c:pt>
                <c:pt idx="31">
                  <c:v>4.3368086899420177E-18</c:v>
                </c:pt>
                <c:pt idx="32">
                  <c:v>4.3368086899420177E-18</c:v>
                </c:pt>
                <c:pt idx="33">
                  <c:v>4.3368086899420177E-18</c:v>
                </c:pt>
                <c:pt idx="34">
                  <c:v>4.3368086899420177E-18</c:v>
                </c:pt>
                <c:pt idx="35">
                  <c:v>4.3368086899420177E-18</c:v>
                </c:pt>
                <c:pt idx="36">
                  <c:v>4.3368086899420177E-18</c:v>
                </c:pt>
                <c:pt idx="37">
                  <c:v>4.3368086899420177E-18</c:v>
                </c:pt>
                <c:pt idx="38">
                  <c:v>4.3368086899420177E-18</c:v>
                </c:pt>
                <c:pt idx="39">
                  <c:v>4.3368086899420177E-18</c:v>
                </c:pt>
                <c:pt idx="40">
                  <c:v>4.3368086899420177E-18</c:v>
                </c:pt>
              </c:numCache>
            </c:numRef>
          </c:val>
          <c:smooth val="0"/>
          <c:extLst>
            <c:ext xmlns:c16="http://schemas.microsoft.com/office/drawing/2014/chart" uri="{C3380CC4-5D6E-409C-BE32-E72D297353CC}">
              <c16:uniqueId val="{00000000-6277-49F3-8AE8-3F673E847F02}"/>
            </c:ext>
          </c:extLst>
        </c:ser>
        <c:ser>
          <c:idx val="1"/>
          <c:order val="1"/>
          <c:tx>
            <c:strRef>
              <c:f>'Projected take-up fleet share'!$A$62</c:f>
              <c:strCache>
                <c:ptCount val="1"/>
                <c:pt idx="0">
                  <c:v>2.55 width</c:v>
                </c:pt>
              </c:strCache>
            </c:strRef>
          </c:tx>
          <c:spPr>
            <a:ln w="28575" cap="rnd">
              <a:solidFill>
                <a:schemeClr val="accent2"/>
              </a:solidFill>
              <a:round/>
            </a:ln>
            <a:effectLst/>
          </c:spPr>
          <c:marker>
            <c:symbol val="none"/>
          </c:marker>
          <c:val>
            <c:numRef>
              <c:f>'Projected take-up fleet share'!$B$62:$AP$62</c:f>
              <c:numCache>
                <c:formatCode>0%</c:formatCode>
                <c:ptCount val="41"/>
                <c:pt idx="0">
                  <c:v>5.0000000000000001E-3</c:v>
                </c:pt>
                <c:pt idx="1">
                  <c:v>0.505</c:v>
                </c:pt>
                <c:pt idx="2">
                  <c:v>0.995</c:v>
                </c:pt>
                <c:pt idx="3">
                  <c:v>0.995</c:v>
                </c:pt>
                <c:pt idx="4">
                  <c:v>0.995</c:v>
                </c:pt>
                <c:pt idx="5">
                  <c:v>0.995</c:v>
                </c:pt>
                <c:pt idx="6">
                  <c:v>0.995</c:v>
                </c:pt>
                <c:pt idx="7">
                  <c:v>0.995</c:v>
                </c:pt>
                <c:pt idx="8">
                  <c:v>0.995</c:v>
                </c:pt>
                <c:pt idx="9">
                  <c:v>0.995</c:v>
                </c:pt>
                <c:pt idx="10">
                  <c:v>0.995</c:v>
                </c:pt>
                <c:pt idx="11">
                  <c:v>0.995</c:v>
                </c:pt>
                <c:pt idx="12">
                  <c:v>0.995</c:v>
                </c:pt>
                <c:pt idx="13">
                  <c:v>0.995</c:v>
                </c:pt>
                <c:pt idx="14">
                  <c:v>0.995</c:v>
                </c:pt>
                <c:pt idx="15">
                  <c:v>0.995</c:v>
                </c:pt>
                <c:pt idx="16">
                  <c:v>0.995</c:v>
                </c:pt>
                <c:pt idx="17">
                  <c:v>0.995</c:v>
                </c:pt>
                <c:pt idx="18">
                  <c:v>0.995</c:v>
                </c:pt>
                <c:pt idx="19">
                  <c:v>0.995</c:v>
                </c:pt>
                <c:pt idx="20">
                  <c:v>0.995</c:v>
                </c:pt>
                <c:pt idx="21">
                  <c:v>0.995</c:v>
                </c:pt>
                <c:pt idx="22">
                  <c:v>0.995</c:v>
                </c:pt>
                <c:pt idx="23">
                  <c:v>0.995</c:v>
                </c:pt>
                <c:pt idx="24">
                  <c:v>0.995</c:v>
                </c:pt>
                <c:pt idx="25">
                  <c:v>0.995</c:v>
                </c:pt>
                <c:pt idx="26">
                  <c:v>0.995</c:v>
                </c:pt>
                <c:pt idx="27">
                  <c:v>0.995</c:v>
                </c:pt>
                <c:pt idx="28">
                  <c:v>0.995</c:v>
                </c:pt>
                <c:pt idx="29">
                  <c:v>0.995</c:v>
                </c:pt>
                <c:pt idx="30">
                  <c:v>0.995</c:v>
                </c:pt>
                <c:pt idx="31">
                  <c:v>0.995</c:v>
                </c:pt>
                <c:pt idx="32">
                  <c:v>0.995</c:v>
                </c:pt>
                <c:pt idx="33">
                  <c:v>0.995</c:v>
                </c:pt>
                <c:pt idx="34">
                  <c:v>0.995</c:v>
                </c:pt>
                <c:pt idx="35">
                  <c:v>0.995</c:v>
                </c:pt>
                <c:pt idx="36">
                  <c:v>0.995</c:v>
                </c:pt>
                <c:pt idx="37">
                  <c:v>0.995</c:v>
                </c:pt>
                <c:pt idx="38">
                  <c:v>0.995</c:v>
                </c:pt>
                <c:pt idx="39">
                  <c:v>0.995</c:v>
                </c:pt>
                <c:pt idx="40">
                  <c:v>0.995</c:v>
                </c:pt>
              </c:numCache>
            </c:numRef>
          </c:val>
          <c:smooth val="0"/>
          <c:extLst>
            <c:ext xmlns:c16="http://schemas.microsoft.com/office/drawing/2014/chart" uri="{C3380CC4-5D6E-409C-BE32-E72D297353CC}">
              <c16:uniqueId val="{00000001-6277-49F3-8AE8-3F673E847F02}"/>
            </c:ext>
          </c:extLst>
        </c:ser>
        <c:dLbls>
          <c:showLegendKey val="0"/>
          <c:showVal val="0"/>
          <c:showCatName val="0"/>
          <c:showSerName val="0"/>
          <c:showPercent val="0"/>
          <c:showBubbleSize val="0"/>
        </c:dLbls>
        <c:smooth val="0"/>
        <c:axId val="1919690048"/>
        <c:axId val="1919686304"/>
      </c:lineChart>
      <c:catAx>
        <c:axId val="191969004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9686304"/>
        <c:crosses val="autoZero"/>
        <c:auto val="1"/>
        <c:lblAlgn val="ctr"/>
        <c:lblOffset val="100"/>
        <c:noMultiLvlLbl val="0"/>
      </c:catAx>
      <c:valAx>
        <c:axId val="19196863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969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Australian</a:t>
            </a:r>
            <a:r>
              <a:rPr lang="en-AU" baseline="0"/>
              <a:t> made</a:t>
            </a:r>
            <a:r>
              <a:rPr lang="en-AU"/>
              <a:t> trailers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'Projected take-up fleet share'!$A$65</c:f>
              <c:strCache>
                <c:ptCount val="1"/>
                <c:pt idx="0">
                  <c:v>2.50 width</c:v>
                </c:pt>
              </c:strCache>
            </c:strRef>
          </c:tx>
          <c:spPr>
            <a:ln w="28575" cap="rnd">
              <a:solidFill>
                <a:schemeClr val="accent1"/>
              </a:solidFill>
              <a:round/>
            </a:ln>
            <a:effectLst/>
          </c:spPr>
          <c:marker>
            <c:symbol val="none"/>
          </c:marker>
          <c:val>
            <c:numRef>
              <c:f>'Projected take-up fleet share'!$B$65:$AP$65</c:f>
              <c:numCache>
                <c:formatCode>0%</c:formatCode>
                <c:ptCount val="41"/>
                <c:pt idx="0">
                  <c:v>0.99</c:v>
                </c:pt>
                <c:pt idx="1">
                  <c:v>0.96499999999999997</c:v>
                </c:pt>
                <c:pt idx="2">
                  <c:v>0.94</c:v>
                </c:pt>
                <c:pt idx="3">
                  <c:v>0.91499999999999992</c:v>
                </c:pt>
                <c:pt idx="4">
                  <c:v>0.89</c:v>
                </c:pt>
                <c:pt idx="5">
                  <c:v>0.86499999999999999</c:v>
                </c:pt>
                <c:pt idx="6">
                  <c:v>0.84</c:v>
                </c:pt>
                <c:pt idx="7">
                  <c:v>0.81500000000000006</c:v>
                </c:pt>
                <c:pt idx="8">
                  <c:v>0.79</c:v>
                </c:pt>
                <c:pt idx="9">
                  <c:v>0.76500000000000001</c:v>
                </c:pt>
                <c:pt idx="10">
                  <c:v>0.74</c:v>
                </c:pt>
                <c:pt idx="11">
                  <c:v>0.71499999999999997</c:v>
                </c:pt>
                <c:pt idx="12">
                  <c:v>0.69</c:v>
                </c:pt>
                <c:pt idx="13">
                  <c:v>0.66499999999999992</c:v>
                </c:pt>
                <c:pt idx="14">
                  <c:v>0.6399999999999999</c:v>
                </c:pt>
                <c:pt idx="15">
                  <c:v>0.61499999999999988</c:v>
                </c:pt>
                <c:pt idx="16">
                  <c:v>0.61499999999999988</c:v>
                </c:pt>
                <c:pt idx="17">
                  <c:v>0.61499999999999988</c:v>
                </c:pt>
                <c:pt idx="18">
                  <c:v>0.61499999999999988</c:v>
                </c:pt>
                <c:pt idx="19">
                  <c:v>0.61499999999999988</c:v>
                </c:pt>
                <c:pt idx="20">
                  <c:v>0.61499999999999988</c:v>
                </c:pt>
                <c:pt idx="21">
                  <c:v>0.61499999999999988</c:v>
                </c:pt>
                <c:pt idx="22">
                  <c:v>0.61499999999999988</c:v>
                </c:pt>
                <c:pt idx="23">
                  <c:v>0.61499999999999988</c:v>
                </c:pt>
                <c:pt idx="24">
                  <c:v>0.61499999999999988</c:v>
                </c:pt>
                <c:pt idx="25">
                  <c:v>0.61499999999999988</c:v>
                </c:pt>
                <c:pt idx="26">
                  <c:v>0.61499999999999988</c:v>
                </c:pt>
                <c:pt idx="27">
                  <c:v>0.61499999999999988</c:v>
                </c:pt>
                <c:pt idx="28">
                  <c:v>0.61499999999999988</c:v>
                </c:pt>
                <c:pt idx="29">
                  <c:v>0.61499999999999988</c:v>
                </c:pt>
                <c:pt idx="30">
                  <c:v>0.61499999999999988</c:v>
                </c:pt>
                <c:pt idx="31">
                  <c:v>0.61499999999999988</c:v>
                </c:pt>
                <c:pt idx="32">
                  <c:v>0.61499999999999988</c:v>
                </c:pt>
                <c:pt idx="33">
                  <c:v>0.61499999999999988</c:v>
                </c:pt>
                <c:pt idx="34">
                  <c:v>0.61499999999999988</c:v>
                </c:pt>
                <c:pt idx="35">
                  <c:v>0.61499999999999988</c:v>
                </c:pt>
                <c:pt idx="36">
                  <c:v>0.61499999999999988</c:v>
                </c:pt>
                <c:pt idx="37">
                  <c:v>0.61499999999999988</c:v>
                </c:pt>
                <c:pt idx="38">
                  <c:v>0.61499999999999988</c:v>
                </c:pt>
                <c:pt idx="39">
                  <c:v>0.61499999999999988</c:v>
                </c:pt>
                <c:pt idx="40">
                  <c:v>0.61499999999999988</c:v>
                </c:pt>
              </c:numCache>
            </c:numRef>
          </c:val>
          <c:smooth val="0"/>
          <c:extLst>
            <c:ext xmlns:c16="http://schemas.microsoft.com/office/drawing/2014/chart" uri="{C3380CC4-5D6E-409C-BE32-E72D297353CC}">
              <c16:uniqueId val="{00000000-D00C-4F7A-8AC5-903B2A051EFD}"/>
            </c:ext>
          </c:extLst>
        </c:ser>
        <c:ser>
          <c:idx val="1"/>
          <c:order val="1"/>
          <c:tx>
            <c:strRef>
              <c:f>'Projected take-up fleet share'!$A$66</c:f>
              <c:strCache>
                <c:ptCount val="1"/>
                <c:pt idx="0">
                  <c:v>2.55 width</c:v>
                </c:pt>
              </c:strCache>
            </c:strRef>
          </c:tx>
          <c:spPr>
            <a:ln w="28575" cap="rnd">
              <a:solidFill>
                <a:schemeClr val="accent2"/>
              </a:solidFill>
              <a:round/>
            </a:ln>
            <a:effectLst/>
          </c:spPr>
          <c:marker>
            <c:symbol val="none"/>
          </c:marker>
          <c:val>
            <c:numRef>
              <c:f>'Projected take-up fleet share'!$B$66:$AP$66</c:f>
              <c:numCache>
                <c:formatCode>0%</c:formatCode>
                <c:ptCount val="41"/>
                <c:pt idx="0">
                  <c:v>5.0000000000000001E-3</c:v>
                </c:pt>
                <c:pt idx="1">
                  <c:v>3.0000000000000002E-2</c:v>
                </c:pt>
                <c:pt idx="2">
                  <c:v>5.5000000000000007E-2</c:v>
                </c:pt>
                <c:pt idx="3">
                  <c:v>8.0000000000000016E-2</c:v>
                </c:pt>
                <c:pt idx="4">
                  <c:v>0.10500000000000001</c:v>
                </c:pt>
                <c:pt idx="5">
                  <c:v>0.13</c:v>
                </c:pt>
                <c:pt idx="6">
                  <c:v>0.155</c:v>
                </c:pt>
                <c:pt idx="7">
                  <c:v>0.18</c:v>
                </c:pt>
                <c:pt idx="8">
                  <c:v>0.20499999999999999</c:v>
                </c:pt>
                <c:pt idx="9">
                  <c:v>0.22999999999999998</c:v>
                </c:pt>
                <c:pt idx="10">
                  <c:v>0.255</c:v>
                </c:pt>
                <c:pt idx="11">
                  <c:v>0.28000000000000003</c:v>
                </c:pt>
                <c:pt idx="12">
                  <c:v>0.30500000000000005</c:v>
                </c:pt>
                <c:pt idx="13">
                  <c:v>0.33000000000000007</c:v>
                </c:pt>
                <c:pt idx="14">
                  <c:v>0.35500000000000009</c:v>
                </c:pt>
                <c:pt idx="15">
                  <c:v>0.38000000000000012</c:v>
                </c:pt>
                <c:pt idx="16">
                  <c:v>0.38000000000000012</c:v>
                </c:pt>
                <c:pt idx="17">
                  <c:v>0.38000000000000012</c:v>
                </c:pt>
                <c:pt idx="18">
                  <c:v>0.38000000000000012</c:v>
                </c:pt>
                <c:pt idx="19">
                  <c:v>0.38000000000000012</c:v>
                </c:pt>
                <c:pt idx="20">
                  <c:v>0.38000000000000012</c:v>
                </c:pt>
                <c:pt idx="21">
                  <c:v>0.38000000000000012</c:v>
                </c:pt>
                <c:pt idx="22">
                  <c:v>0.38000000000000012</c:v>
                </c:pt>
                <c:pt idx="23">
                  <c:v>0.38000000000000012</c:v>
                </c:pt>
                <c:pt idx="24">
                  <c:v>0.38000000000000012</c:v>
                </c:pt>
                <c:pt idx="25">
                  <c:v>0.38000000000000012</c:v>
                </c:pt>
                <c:pt idx="26">
                  <c:v>0.38000000000000012</c:v>
                </c:pt>
                <c:pt idx="27">
                  <c:v>0.38000000000000012</c:v>
                </c:pt>
                <c:pt idx="28">
                  <c:v>0.38000000000000012</c:v>
                </c:pt>
                <c:pt idx="29">
                  <c:v>0.38000000000000012</c:v>
                </c:pt>
                <c:pt idx="30">
                  <c:v>0.38000000000000012</c:v>
                </c:pt>
                <c:pt idx="31">
                  <c:v>0.38000000000000012</c:v>
                </c:pt>
                <c:pt idx="32">
                  <c:v>0.38000000000000012</c:v>
                </c:pt>
                <c:pt idx="33">
                  <c:v>0.38000000000000012</c:v>
                </c:pt>
                <c:pt idx="34">
                  <c:v>0.38000000000000012</c:v>
                </c:pt>
                <c:pt idx="35">
                  <c:v>0.38000000000000012</c:v>
                </c:pt>
                <c:pt idx="36">
                  <c:v>0.38000000000000012</c:v>
                </c:pt>
                <c:pt idx="37">
                  <c:v>0.38000000000000012</c:v>
                </c:pt>
                <c:pt idx="38">
                  <c:v>0.38000000000000012</c:v>
                </c:pt>
                <c:pt idx="39">
                  <c:v>0.38000000000000012</c:v>
                </c:pt>
                <c:pt idx="40">
                  <c:v>0.38000000000000012</c:v>
                </c:pt>
              </c:numCache>
            </c:numRef>
          </c:val>
          <c:smooth val="0"/>
          <c:extLst>
            <c:ext xmlns:c16="http://schemas.microsoft.com/office/drawing/2014/chart" uri="{C3380CC4-5D6E-409C-BE32-E72D297353CC}">
              <c16:uniqueId val="{00000001-D00C-4F7A-8AC5-903B2A051EFD}"/>
            </c:ext>
          </c:extLst>
        </c:ser>
        <c:dLbls>
          <c:showLegendKey val="0"/>
          <c:showVal val="0"/>
          <c:showCatName val="0"/>
          <c:showSerName val="0"/>
          <c:showPercent val="0"/>
          <c:showBubbleSize val="0"/>
        </c:dLbls>
        <c:smooth val="0"/>
        <c:axId val="1717955392"/>
        <c:axId val="1717965376"/>
      </c:lineChart>
      <c:catAx>
        <c:axId val="171795539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7965376"/>
        <c:crosses val="autoZero"/>
        <c:auto val="1"/>
        <c:lblAlgn val="ctr"/>
        <c:lblOffset val="100"/>
        <c:noMultiLvlLbl val="0"/>
      </c:catAx>
      <c:valAx>
        <c:axId val="171796537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795539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174395097945746E-2"/>
          <c:y val="5.0865308163841084E-2"/>
          <c:w val="0.87830899330493428"/>
          <c:h val="0.69975281489650909"/>
        </c:manualLayout>
      </c:layout>
      <c:lineChart>
        <c:grouping val="standard"/>
        <c:varyColors val="0"/>
        <c:ser>
          <c:idx val="0"/>
          <c:order val="0"/>
          <c:tx>
            <c:strRef>
              <c:f>'Projected take-up fleet share'!$A$31</c:f>
              <c:strCache>
                <c:ptCount val="1"/>
                <c:pt idx="0">
                  <c:v>DIV</c:v>
                </c:pt>
              </c:strCache>
            </c:strRef>
          </c:tx>
          <c:spPr>
            <a:ln w="28575" cap="rnd">
              <a:solidFill>
                <a:schemeClr val="accent1"/>
              </a:solidFill>
              <a:round/>
            </a:ln>
            <a:effectLst/>
          </c:spPr>
          <c:marker>
            <c:symbol val="none"/>
          </c:marker>
          <c:cat>
            <c:numRef>
              <c:f>'Projected take-up fleet share'!$B$5:$AP$5</c:f>
              <c:numCache>
                <c:formatCode>General</c:formatCode>
                <c:ptCount val="4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numCache>
            </c:numRef>
          </c:cat>
          <c:val>
            <c:numRef>
              <c:f>'Projected take-up fleet share'!$B$31:$AP$31</c:f>
              <c:numCache>
                <c:formatCode>0%</c:formatCode>
                <c:ptCount val="41"/>
                <c:pt idx="0">
                  <c:v>0.14604008770526061</c:v>
                </c:pt>
                <c:pt idx="1">
                  <c:v>0.1572739406056653</c:v>
                </c:pt>
                <c:pt idx="2">
                  <c:v>0.47499999999999998</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numCache>
            </c:numRef>
          </c:val>
          <c:smooth val="0"/>
          <c:extLst>
            <c:ext xmlns:c16="http://schemas.microsoft.com/office/drawing/2014/chart" uri="{C3380CC4-5D6E-409C-BE32-E72D297353CC}">
              <c16:uniqueId val="{00000000-D149-4B41-BC92-3E30DF0E5CF5}"/>
            </c:ext>
          </c:extLst>
        </c:ser>
        <c:ser>
          <c:idx val="1"/>
          <c:order val="1"/>
          <c:tx>
            <c:strRef>
              <c:f>'Projected take-up fleet share'!$A$32</c:f>
              <c:strCache>
                <c:ptCount val="1"/>
                <c:pt idx="0">
                  <c:v>CVB</c:v>
                </c:pt>
              </c:strCache>
            </c:strRef>
          </c:tx>
          <c:spPr>
            <a:ln w="28575" cap="rnd">
              <a:solidFill>
                <a:schemeClr val="accent2"/>
              </a:solidFill>
              <a:round/>
            </a:ln>
            <a:effectLst/>
          </c:spPr>
          <c:marker>
            <c:symbol val="none"/>
          </c:marker>
          <c:cat>
            <c:numRef>
              <c:f>'Projected take-up fleet share'!$B$5:$AP$5</c:f>
              <c:numCache>
                <c:formatCode>General</c:formatCode>
                <c:ptCount val="4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numCache>
            </c:numRef>
          </c:cat>
          <c:val>
            <c:numRef>
              <c:f>'Projected take-up fleet share'!$B$32:$AP$32</c:f>
              <c:numCache>
                <c:formatCode>0%</c:formatCode>
                <c:ptCount val="41"/>
                <c:pt idx="0">
                  <c:v>0.40591715976331361</c:v>
                </c:pt>
                <c:pt idx="1">
                  <c:v>0.43714155666818388</c:v>
                </c:pt>
                <c:pt idx="2">
                  <c:v>0.95</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numCache>
            </c:numRef>
          </c:val>
          <c:smooth val="0"/>
          <c:extLst>
            <c:ext xmlns:c16="http://schemas.microsoft.com/office/drawing/2014/chart" uri="{C3380CC4-5D6E-409C-BE32-E72D297353CC}">
              <c16:uniqueId val="{00000001-D149-4B41-BC92-3E30DF0E5CF5}"/>
            </c:ext>
          </c:extLst>
        </c:ser>
        <c:ser>
          <c:idx val="2"/>
          <c:order val="2"/>
          <c:tx>
            <c:strRef>
              <c:f>'Projected take-up fleet share'!$A$33</c:f>
              <c:strCache>
                <c:ptCount val="1"/>
                <c:pt idx="0">
                  <c:v>AEB</c:v>
                </c:pt>
              </c:strCache>
            </c:strRef>
          </c:tx>
          <c:spPr>
            <a:ln w="28575" cap="rnd">
              <a:solidFill>
                <a:schemeClr val="accent3"/>
              </a:solidFill>
              <a:prstDash val="dash"/>
              <a:round/>
            </a:ln>
            <a:effectLst/>
          </c:spPr>
          <c:marker>
            <c:symbol val="none"/>
          </c:marker>
          <c:cat>
            <c:numRef>
              <c:f>'Projected take-up fleet share'!$B$5:$AP$5</c:f>
              <c:numCache>
                <c:formatCode>General</c:formatCode>
                <c:ptCount val="4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numCache>
            </c:numRef>
          </c:cat>
          <c:val>
            <c:numRef>
              <c:f>'Projected take-up fleet share'!$B$33:$AP$33</c:f>
              <c:numCache>
                <c:formatCode>0%</c:formatCode>
                <c:ptCount val="41"/>
                <c:pt idx="0">
                  <c:v>0.29208017541052123</c:v>
                </c:pt>
                <c:pt idx="1">
                  <c:v>0.31454788121133059</c:v>
                </c:pt>
                <c:pt idx="2">
                  <c:v>0.95</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numCache>
            </c:numRef>
          </c:val>
          <c:smooth val="0"/>
          <c:extLst>
            <c:ext xmlns:c16="http://schemas.microsoft.com/office/drawing/2014/chart" uri="{C3380CC4-5D6E-409C-BE32-E72D297353CC}">
              <c16:uniqueId val="{00000002-D149-4B41-BC92-3E30DF0E5CF5}"/>
            </c:ext>
          </c:extLst>
        </c:ser>
        <c:ser>
          <c:idx val="3"/>
          <c:order val="3"/>
          <c:tx>
            <c:strRef>
              <c:f>'Projected take-up fleet share'!$A$34</c:f>
              <c:strCache>
                <c:ptCount val="1"/>
                <c:pt idx="0">
                  <c:v>LDW</c:v>
                </c:pt>
              </c:strCache>
            </c:strRef>
          </c:tx>
          <c:spPr>
            <a:ln w="28575" cap="rnd">
              <a:solidFill>
                <a:schemeClr val="accent4"/>
              </a:solidFill>
              <a:round/>
            </a:ln>
            <a:effectLst/>
          </c:spPr>
          <c:marker>
            <c:symbol val="none"/>
          </c:marker>
          <c:cat>
            <c:numRef>
              <c:f>'Projected take-up fleet share'!$B$5:$AP$5</c:f>
              <c:numCache>
                <c:formatCode>General</c:formatCode>
                <c:ptCount val="4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numCache>
            </c:numRef>
          </c:cat>
          <c:val>
            <c:numRef>
              <c:f>'Projected take-up fleet share'!$B$34:$AP$34</c:f>
              <c:numCache>
                <c:formatCode>0%</c:formatCode>
                <c:ptCount val="41"/>
                <c:pt idx="0">
                  <c:v>0.28331777014820558</c:v>
                </c:pt>
                <c:pt idx="1">
                  <c:v>0.30511144477499064</c:v>
                </c:pt>
                <c:pt idx="2">
                  <c:v>0.92149999999999999</c:v>
                </c:pt>
                <c:pt idx="3">
                  <c:v>0.97</c:v>
                </c:pt>
                <c:pt idx="4">
                  <c:v>0.97</c:v>
                </c:pt>
                <c:pt idx="5">
                  <c:v>0.97</c:v>
                </c:pt>
                <c:pt idx="6">
                  <c:v>0.97</c:v>
                </c:pt>
                <c:pt idx="7">
                  <c:v>0.97</c:v>
                </c:pt>
                <c:pt idx="8">
                  <c:v>0.97</c:v>
                </c:pt>
                <c:pt idx="9">
                  <c:v>0.97</c:v>
                </c:pt>
                <c:pt idx="10">
                  <c:v>0.97</c:v>
                </c:pt>
                <c:pt idx="11">
                  <c:v>0.97</c:v>
                </c:pt>
                <c:pt idx="12">
                  <c:v>0.97</c:v>
                </c:pt>
                <c:pt idx="13">
                  <c:v>0.97</c:v>
                </c:pt>
                <c:pt idx="14">
                  <c:v>0.97</c:v>
                </c:pt>
                <c:pt idx="15">
                  <c:v>0.97</c:v>
                </c:pt>
                <c:pt idx="16">
                  <c:v>0.97</c:v>
                </c:pt>
                <c:pt idx="17">
                  <c:v>0.97</c:v>
                </c:pt>
                <c:pt idx="18">
                  <c:v>0.97</c:v>
                </c:pt>
                <c:pt idx="19">
                  <c:v>0.97</c:v>
                </c:pt>
                <c:pt idx="20">
                  <c:v>0.97</c:v>
                </c:pt>
                <c:pt idx="21">
                  <c:v>0.97</c:v>
                </c:pt>
                <c:pt idx="22">
                  <c:v>0.97</c:v>
                </c:pt>
                <c:pt idx="23">
                  <c:v>0.97</c:v>
                </c:pt>
                <c:pt idx="24">
                  <c:v>0.97</c:v>
                </c:pt>
                <c:pt idx="25">
                  <c:v>0.97</c:v>
                </c:pt>
                <c:pt idx="26">
                  <c:v>0.97</c:v>
                </c:pt>
                <c:pt idx="27">
                  <c:v>0.97</c:v>
                </c:pt>
                <c:pt idx="28">
                  <c:v>0.97</c:v>
                </c:pt>
                <c:pt idx="29">
                  <c:v>0.97</c:v>
                </c:pt>
                <c:pt idx="30">
                  <c:v>0.97</c:v>
                </c:pt>
                <c:pt idx="31">
                  <c:v>0.97</c:v>
                </c:pt>
                <c:pt idx="32">
                  <c:v>0.97</c:v>
                </c:pt>
                <c:pt idx="33">
                  <c:v>0.97</c:v>
                </c:pt>
                <c:pt idx="34">
                  <c:v>0.97</c:v>
                </c:pt>
                <c:pt idx="35">
                  <c:v>0.97</c:v>
                </c:pt>
                <c:pt idx="36">
                  <c:v>0.97</c:v>
                </c:pt>
                <c:pt idx="37">
                  <c:v>0.97</c:v>
                </c:pt>
                <c:pt idx="38">
                  <c:v>0.97</c:v>
                </c:pt>
                <c:pt idx="39">
                  <c:v>0.97</c:v>
                </c:pt>
                <c:pt idx="40">
                  <c:v>0.97</c:v>
                </c:pt>
              </c:numCache>
            </c:numRef>
          </c:val>
          <c:smooth val="0"/>
          <c:extLst>
            <c:ext xmlns:c16="http://schemas.microsoft.com/office/drawing/2014/chart" uri="{C3380CC4-5D6E-409C-BE32-E72D297353CC}">
              <c16:uniqueId val="{00000003-D149-4B41-BC92-3E30DF0E5CF5}"/>
            </c:ext>
          </c:extLst>
        </c:ser>
        <c:ser>
          <c:idx val="4"/>
          <c:order val="4"/>
          <c:tx>
            <c:strRef>
              <c:f>'Projected take-up fleet share'!$A$35</c:f>
              <c:strCache>
                <c:ptCount val="1"/>
                <c:pt idx="0">
                  <c:v>BSI</c:v>
                </c:pt>
              </c:strCache>
            </c:strRef>
          </c:tx>
          <c:spPr>
            <a:ln w="28575" cap="rnd">
              <a:solidFill>
                <a:schemeClr val="accent5"/>
              </a:solidFill>
              <a:prstDash val="dash"/>
              <a:round/>
            </a:ln>
            <a:effectLst/>
          </c:spPr>
          <c:marker>
            <c:symbol val="none"/>
          </c:marker>
          <c:cat>
            <c:numRef>
              <c:f>'Projected take-up fleet share'!$B$5:$AP$5</c:f>
              <c:numCache>
                <c:formatCode>General</c:formatCode>
                <c:ptCount val="4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numCache>
            </c:numRef>
          </c:cat>
          <c:val>
            <c:numRef>
              <c:f>'Projected take-up fleet share'!$B$35:$AP$35</c:f>
              <c:numCache>
                <c:formatCode>0%</c:formatCode>
                <c:ptCount val="41"/>
                <c:pt idx="0">
                  <c:v>0.14604008770526061</c:v>
                </c:pt>
                <c:pt idx="1">
                  <c:v>0.1572739406056653</c:v>
                </c:pt>
                <c:pt idx="2">
                  <c:v>0.47499999999999998</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numCache>
            </c:numRef>
          </c:val>
          <c:smooth val="0"/>
          <c:extLst>
            <c:ext xmlns:c16="http://schemas.microsoft.com/office/drawing/2014/chart" uri="{C3380CC4-5D6E-409C-BE32-E72D297353CC}">
              <c16:uniqueId val="{00000004-D149-4B41-BC92-3E30DF0E5CF5}"/>
            </c:ext>
          </c:extLst>
        </c:ser>
        <c:ser>
          <c:idx val="5"/>
          <c:order val="5"/>
          <c:tx>
            <c:strRef>
              <c:f>'Projected take-up fleet share'!$A$36</c:f>
              <c:strCache>
                <c:ptCount val="1"/>
                <c:pt idx="0">
                  <c:v>SUP</c:v>
                </c:pt>
              </c:strCache>
            </c:strRef>
          </c:tx>
          <c:spPr>
            <a:ln w="28575" cap="rnd">
              <a:solidFill>
                <a:schemeClr val="accent6"/>
              </a:solidFill>
              <a:round/>
            </a:ln>
            <a:effectLst/>
          </c:spPr>
          <c:marker>
            <c:symbol val="none"/>
          </c:marker>
          <c:cat>
            <c:numRef>
              <c:f>'Projected take-up fleet share'!$B$5:$AP$5</c:f>
              <c:numCache>
                <c:formatCode>General</c:formatCode>
                <c:ptCount val="4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numCache>
            </c:numRef>
          </c:cat>
          <c:val>
            <c:numRef>
              <c:f>'Projected take-up fleet share'!$B$36:$AP$36</c:f>
              <c:numCache>
                <c:formatCode>0%</c:formatCode>
                <c:ptCount val="41"/>
                <c:pt idx="0">
                  <c:v>2.5000000000000001E-2</c:v>
                </c:pt>
                <c:pt idx="1">
                  <c:v>2.5000000000000001E-2</c:v>
                </c:pt>
                <c:pt idx="2">
                  <c:v>2.5000000000000001E-2</c:v>
                </c:pt>
                <c:pt idx="3">
                  <c:v>2.5000000000000001E-2</c:v>
                </c:pt>
                <c:pt idx="4">
                  <c:v>2.5000000000000001E-2</c:v>
                </c:pt>
                <c:pt idx="5">
                  <c:v>2.5000000000000001E-2</c:v>
                </c:pt>
                <c:pt idx="6">
                  <c:v>2.5000000000000001E-2</c:v>
                </c:pt>
                <c:pt idx="7">
                  <c:v>2.5000000000000001E-2</c:v>
                </c:pt>
                <c:pt idx="8">
                  <c:v>2.5000000000000001E-2</c:v>
                </c:pt>
                <c:pt idx="9">
                  <c:v>2.5000000000000001E-2</c:v>
                </c:pt>
                <c:pt idx="10">
                  <c:v>2.5000000000000001E-2</c:v>
                </c:pt>
                <c:pt idx="11">
                  <c:v>2.5000000000000001E-2</c:v>
                </c:pt>
                <c:pt idx="12">
                  <c:v>2.5000000000000001E-2</c:v>
                </c:pt>
                <c:pt idx="13">
                  <c:v>2.5000000000000001E-2</c:v>
                </c:pt>
                <c:pt idx="14">
                  <c:v>2.5000000000000001E-2</c:v>
                </c:pt>
                <c:pt idx="15">
                  <c:v>2.5000000000000001E-2</c:v>
                </c:pt>
                <c:pt idx="16">
                  <c:v>2.5000000000000001E-2</c:v>
                </c:pt>
                <c:pt idx="17">
                  <c:v>2.5000000000000001E-2</c:v>
                </c:pt>
                <c:pt idx="18">
                  <c:v>2.5000000000000001E-2</c:v>
                </c:pt>
                <c:pt idx="19">
                  <c:v>2.5000000000000001E-2</c:v>
                </c:pt>
                <c:pt idx="20">
                  <c:v>2.5000000000000001E-2</c:v>
                </c:pt>
                <c:pt idx="21">
                  <c:v>2.5000000000000001E-2</c:v>
                </c:pt>
                <c:pt idx="22">
                  <c:v>2.5000000000000001E-2</c:v>
                </c:pt>
                <c:pt idx="23">
                  <c:v>2.5000000000000001E-2</c:v>
                </c:pt>
                <c:pt idx="24">
                  <c:v>2.5000000000000001E-2</c:v>
                </c:pt>
                <c:pt idx="25">
                  <c:v>2.5000000000000001E-2</c:v>
                </c:pt>
                <c:pt idx="26">
                  <c:v>2.5000000000000001E-2</c:v>
                </c:pt>
                <c:pt idx="27">
                  <c:v>2.5000000000000001E-2</c:v>
                </c:pt>
                <c:pt idx="28">
                  <c:v>2.5000000000000001E-2</c:v>
                </c:pt>
                <c:pt idx="29">
                  <c:v>2.5000000000000001E-2</c:v>
                </c:pt>
                <c:pt idx="30">
                  <c:v>2.5000000000000001E-2</c:v>
                </c:pt>
                <c:pt idx="31">
                  <c:v>2.5000000000000001E-2</c:v>
                </c:pt>
                <c:pt idx="32">
                  <c:v>2.5000000000000001E-2</c:v>
                </c:pt>
                <c:pt idx="33">
                  <c:v>2.5000000000000001E-2</c:v>
                </c:pt>
                <c:pt idx="34">
                  <c:v>2.5000000000000001E-2</c:v>
                </c:pt>
                <c:pt idx="35">
                  <c:v>2.5000000000000001E-2</c:v>
                </c:pt>
                <c:pt idx="36">
                  <c:v>2.5000000000000001E-2</c:v>
                </c:pt>
                <c:pt idx="37">
                  <c:v>2.5000000000000001E-2</c:v>
                </c:pt>
                <c:pt idx="38">
                  <c:v>2.5000000000000001E-2</c:v>
                </c:pt>
                <c:pt idx="39">
                  <c:v>2.5000000000000001E-2</c:v>
                </c:pt>
                <c:pt idx="40">
                  <c:v>2.5000000000000001E-2</c:v>
                </c:pt>
              </c:numCache>
            </c:numRef>
          </c:val>
          <c:smooth val="0"/>
          <c:extLst>
            <c:ext xmlns:c16="http://schemas.microsoft.com/office/drawing/2014/chart" uri="{C3380CC4-5D6E-409C-BE32-E72D297353CC}">
              <c16:uniqueId val="{00000005-D149-4B41-BC92-3E30DF0E5CF5}"/>
            </c:ext>
          </c:extLst>
        </c:ser>
        <c:ser>
          <c:idx val="6"/>
          <c:order val="6"/>
          <c:tx>
            <c:strRef>
              <c:f>'Projected take-up fleet share'!$A$37</c:f>
              <c:strCache>
                <c:ptCount val="1"/>
                <c:pt idx="0">
                  <c:v>CP</c:v>
                </c:pt>
              </c:strCache>
            </c:strRef>
          </c:tx>
          <c:spPr>
            <a:ln w="28575" cap="rnd">
              <a:solidFill>
                <a:schemeClr val="accent1">
                  <a:lumMod val="60000"/>
                </a:schemeClr>
              </a:solidFill>
              <a:prstDash val="dash"/>
              <a:round/>
            </a:ln>
            <a:effectLst/>
          </c:spPr>
          <c:marker>
            <c:symbol val="none"/>
          </c:marker>
          <c:cat>
            <c:numRef>
              <c:f>'Projected take-up fleet share'!$B$5:$AP$5</c:f>
              <c:numCache>
                <c:formatCode>General</c:formatCode>
                <c:ptCount val="41"/>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pt idx="32">
                  <c:v>2055</c:v>
                </c:pt>
                <c:pt idx="33">
                  <c:v>2056</c:v>
                </c:pt>
                <c:pt idx="34">
                  <c:v>2057</c:v>
                </c:pt>
                <c:pt idx="35">
                  <c:v>2058</c:v>
                </c:pt>
                <c:pt idx="36">
                  <c:v>2059</c:v>
                </c:pt>
                <c:pt idx="37">
                  <c:v>2060</c:v>
                </c:pt>
                <c:pt idx="38">
                  <c:v>2061</c:v>
                </c:pt>
                <c:pt idx="39">
                  <c:v>2062</c:v>
                </c:pt>
                <c:pt idx="40">
                  <c:v>2063</c:v>
                </c:pt>
              </c:numCache>
            </c:numRef>
          </c:cat>
          <c:val>
            <c:numRef>
              <c:f>'Projected take-up fleet share'!$B$37:$AP$37</c:f>
              <c:numCache>
                <c:formatCode>0%</c:formatCode>
                <c:ptCount val="41"/>
                <c:pt idx="0">
                  <c:v>2.5000000000000001E-2</c:v>
                </c:pt>
                <c:pt idx="1">
                  <c:v>2.5000000000000001E-2</c:v>
                </c:pt>
                <c:pt idx="2">
                  <c:v>2.5000000000000001E-2</c:v>
                </c:pt>
                <c:pt idx="3">
                  <c:v>2.5000000000000001E-2</c:v>
                </c:pt>
                <c:pt idx="4">
                  <c:v>2.5000000000000001E-2</c:v>
                </c:pt>
                <c:pt idx="5">
                  <c:v>2.5000000000000001E-2</c:v>
                </c:pt>
                <c:pt idx="6">
                  <c:v>2.5000000000000001E-2</c:v>
                </c:pt>
                <c:pt idx="7">
                  <c:v>2.5000000000000001E-2</c:v>
                </c:pt>
                <c:pt idx="8">
                  <c:v>2.5000000000000001E-2</c:v>
                </c:pt>
                <c:pt idx="9">
                  <c:v>2.5000000000000001E-2</c:v>
                </c:pt>
                <c:pt idx="10">
                  <c:v>2.5000000000000001E-2</c:v>
                </c:pt>
                <c:pt idx="11">
                  <c:v>2.5000000000000001E-2</c:v>
                </c:pt>
                <c:pt idx="12">
                  <c:v>2.5000000000000001E-2</c:v>
                </c:pt>
                <c:pt idx="13">
                  <c:v>2.5000000000000001E-2</c:v>
                </c:pt>
                <c:pt idx="14">
                  <c:v>2.5000000000000001E-2</c:v>
                </c:pt>
                <c:pt idx="15">
                  <c:v>2.5000000000000001E-2</c:v>
                </c:pt>
                <c:pt idx="16">
                  <c:v>2.5000000000000001E-2</c:v>
                </c:pt>
                <c:pt idx="17">
                  <c:v>2.5000000000000001E-2</c:v>
                </c:pt>
                <c:pt idx="18">
                  <c:v>2.5000000000000001E-2</c:v>
                </c:pt>
                <c:pt idx="19">
                  <c:v>2.5000000000000001E-2</c:v>
                </c:pt>
                <c:pt idx="20">
                  <c:v>2.5000000000000001E-2</c:v>
                </c:pt>
                <c:pt idx="21">
                  <c:v>2.5000000000000001E-2</c:v>
                </c:pt>
                <c:pt idx="22">
                  <c:v>2.5000000000000001E-2</c:v>
                </c:pt>
                <c:pt idx="23">
                  <c:v>2.5000000000000001E-2</c:v>
                </c:pt>
                <c:pt idx="24">
                  <c:v>2.5000000000000001E-2</c:v>
                </c:pt>
                <c:pt idx="25">
                  <c:v>2.5000000000000001E-2</c:v>
                </c:pt>
                <c:pt idx="26">
                  <c:v>2.5000000000000001E-2</c:v>
                </c:pt>
                <c:pt idx="27">
                  <c:v>2.5000000000000001E-2</c:v>
                </c:pt>
                <c:pt idx="28">
                  <c:v>2.5000000000000001E-2</c:v>
                </c:pt>
                <c:pt idx="29">
                  <c:v>2.5000000000000001E-2</c:v>
                </c:pt>
                <c:pt idx="30">
                  <c:v>2.5000000000000001E-2</c:v>
                </c:pt>
                <c:pt idx="31">
                  <c:v>2.5000000000000001E-2</c:v>
                </c:pt>
                <c:pt idx="32">
                  <c:v>2.5000000000000001E-2</c:v>
                </c:pt>
                <c:pt idx="33">
                  <c:v>2.5000000000000001E-2</c:v>
                </c:pt>
                <c:pt idx="34">
                  <c:v>2.5000000000000001E-2</c:v>
                </c:pt>
                <c:pt idx="35">
                  <c:v>2.5000000000000001E-2</c:v>
                </c:pt>
                <c:pt idx="36">
                  <c:v>2.5000000000000001E-2</c:v>
                </c:pt>
                <c:pt idx="37">
                  <c:v>2.5000000000000001E-2</c:v>
                </c:pt>
                <c:pt idx="38">
                  <c:v>2.5000000000000001E-2</c:v>
                </c:pt>
                <c:pt idx="39">
                  <c:v>2.5000000000000001E-2</c:v>
                </c:pt>
                <c:pt idx="40">
                  <c:v>2.5000000000000001E-2</c:v>
                </c:pt>
              </c:numCache>
            </c:numRef>
          </c:val>
          <c:smooth val="0"/>
          <c:extLst>
            <c:ext xmlns:c16="http://schemas.microsoft.com/office/drawing/2014/chart" uri="{C3380CC4-5D6E-409C-BE32-E72D297353CC}">
              <c16:uniqueId val="{00000006-D149-4B41-BC92-3E30DF0E5CF5}"/>
            </c:ext>
          </c:extLst>
        </c:ser>
        <c:dLbls>
          <c:showLegendKey val="0"/>
          <c:showVal val="0"/>
          <c:showCatName val="0"/>
          <c:showSerName val="0"/>
          <c:showPercent val="0"/>
          <c:showBubbleSize val="0"/>
        </c:dLbls>
        <c:smooth val="0"/>
        <c:axId val="636650768"/>
        <c:axId val="636651600"/>
      </c:lineChart>
      <c:catAx>
        <c:axId val="63665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651600"/>
        <c:crosses val="autoZero"/>
        <c:auto val="1"/>
        <c:lblAlgn val="ctr"/>
        <c:lblOffset val="100"/>
        <c:noMultiLvlLbl val="0"/>
      </c:catAx>
      <c:valAx>
        <c:axId val="6366516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65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F12B014E2CF4ABB935D789691EC9584"/>
        <w:category>
          <w:name w:val="General"/>
          <w:gallery w:val="placeholder"/>
        </w:category>
        <w:types>
          <w:type w:val="bbPlcHdr"/>
        </w:types>
        <w:behaviors>
          <w:behavior w:val="content"/>
        </w:behaviors>
        <w:guid w:val="{3E908DE3-DB18-43DD-BF92-AA20DE52DFA6}"/>
      </w:docPartPr>
      <w:docPartBody>
        <w:p w:rsidR="00CD40C9" w:rsidRDefault="00CD40C9" w:rsidP="00CD40C9">
          <w:pPr>
            <w:pStyle w:val="3F12B014E2CF4ABB935D789691EC9584"/>
          </w:pPr>
          <w:r w:rsidRPr="00734B48">
            <w:rPr>
              <w:rStyle w:val="PlaceholderText"/>
            </w:rPr>
            <w:t>Click or tap here to enter text.</w:t>
          </w:r>
        </w:p>
      </w:docPartBody>
    </w:docPart>
    <w:docPart>
      <w:docPartPr>
        <w:name w:val="C1C00120311141709E08A47DDA35A198"/>
        <w:category>
          <w:name w:val="General"/>
          <w:gallery w:val="placeholder"/>
        </w:category>
        <w:types>
          <w:type w:val="bbPlcHdr"/>
        </w:types>
        <w:behaviors>
          <w:behavior w:val="content"/>
        </w:behaviors>
        <w:guid w:val="{BEAE4313-9281-4E09-92DE-965377171A72}"/>
      </w:docPartPr>
      <w:docPartBody>
        <w:p w:rsidR="00CD40C9" w:rsidRDefault="00CD40C9" w:rsidP="00CD40C9">
          <w:pPr>
            <w:pStyle w:val="C1C00120311141709E08A47DDA35A198"/>
          </w:pPr>
          <w:r w:rsidRPr="00F50C7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ne)">
    <w:altName w:val="Times New Roman"/>
    <w:panose1 w:val="00000000000000000000"/>
    <w:charset w:val="00"/>
    <w:family w:val="roman"/>
    <w:notTrueType/>
    <w:pitch w:val="default"/>
  </w:font>
  <w:font w:name="EYInterstate Light">
    <w:altName w:val="Times New Roman"/>
    <w:charset w:val="00"/>
    <w:family w:val="auto"/>
    <w:pitch w:val="variable"/>
    <w:sig w:usb0="A00002AF" w:usb1="5000206A" w:usb2="00000000" w:usb3="00000000" w:csb0="0000009F" w:csb1="00000000"/>
  </w:font>
  <w:font w:name="EYInterstate">
    <w:altName w:val="Times New Roman"/>
    <w:charset w:val="00"/>
    <w:family w:val="auto"/>
    <w:pitch w:val="variable"/>
    <w:sig w:usb0="A00002AF" w:usb1="5000206A" w:usb2="00000000" w:usb3="00000000" w:csb0="0000009F" w:csb1="00000000"/>
  </w:font>
  <w:font w:name="Times New Roman (Body CS)">
    <w:altName w:val="Times New Roman"/>
    <w:charset w:val="00"/>
    <w:family w:val="roman"/>
    <w:pitch w:val="default"/>
  </w:font>
  <w:font w:name="FranklinGothic-Book">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ranklinGothic-BookCnd">
    <w:altName w:val="Calibri"/>
    <w:panose1 w:val="00000000000000000000"/>
    <w:charset w:val="4D"/>
    <w:family w:val="auto"/>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stem">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itka Display">
    <w:panose1 w:val="02000505000000020004"/>
    <w:charset w:val="00"/>
    <w:family w:val="auto"/>
    <w:pitch w:val="variable"/>
    <w:sig w:usb0="A00002EF" w:usb1="400020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0C9"/>
    <w:rsid w:val="003932AE"/>
    <w:rsid w:val="009371ED"/>
    <w:rsid w:val="00A63364"/>
    <w:rsid w:val="00CD40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D40C9"/>
    <w:rPr>
      <w:color w:val="808080"/>
    </w:rPr>
  </w:style>
  <w:style w:type="paragraph" w:customStyle="1" w:styleId="45364BD323DF4248B7E711680C2DEADD">
    <w:name w:val="45364BD323DF4248B7E711680C2DEADD"/>
    <w:rsid w:val="00CD40C9"/>
  </w:style>
  <w:style w:type="paragraph" w:customStyle="1" w:styleId="46CA9BED882E49FDB6E808DF4F0BA644">
    <w:name w:val="46CA9BED882E49FDB6E808DF4F0BA644"/>
    <w:rsid w:val="00CD40C9"/>
  </w:style>
  <w:style w:type="paragraph" w:customStyle="1" w:styleId="90F9A7938A734AD6B9283994AC194910">
    <w:name w:val="90F9A7938A734AD6B9283994AC194910"/>
    <w:rsid w:val="00CD40C9"/>
  </w:style>
  <w:style w:type="paragraph" w:customStyle="1" w:styleId="71C0A4CDA13B490586B47C668B120D04">
    <w:name w:val="71C0A4CDA13B490586B47C668B120D04"/>
    <w:rsid w:val="00CD40C9"/>
  </w:style>
  <w:style w:type="paragraph" w:customStyle="1" w:styleId="0EDB942DEE4643F3AA1ECB95DD81E498">
    <w:name w:val="0EDB942DEE4643F3AA1ECB95DD81E498"/>
    <w:rsid w:val="00CD40C9"/>
  </w:style>
  <w:style w:type="paragraph" w:customStyle="1" w:styleId="AA7C49A52BDA42E39750EB63503A0C7C">
    <w:name w:val="AA7C49A52BDA42E39750EB63503A0C7C"/>
    <w:rsid w:val="00CD40C9"/>
  </w:style>
  <w:style w:type="paragraph" w:customStyle="1" w:styleId="2CEDD37A4E7D453882412CD010857EB8">
    <w:name w:val="2CEDD37A4E7D453882412CD010857EB8"/>
    <w:rsid w:val="00CD40C9"/>
  </w:style>
  <w:style w:type="paragraph" w:customStyle="1" w:styleId="C6E2D05BBF4B4ABB82241367CE0886A6">
    <w:name w:val="C6E2D05BBF4B4ABB82241367CE0886A6"/>
    <w:rsid w:val="00CD40C9"/>
  </w:style>
  <w:style w:type="paragraph" w:customStyle="1" w:styleId="10E5D9B2FB354EF5B61ADFFF1B2495B0">
    <w:name w:val="10E5D9B2FB354EF5B61ADFFF1B2495B0"/>
    <w:rsid w:val="00CD40C9"/>
  </w:style>
  <w:style w:type="paragraph" w:customStyle="1" w:styleId="99FE5DBAECF343408D6391798561E88F">
    <w:name w:val="99FE5DBAECF343408D6391798561E88F"/>
    <w:rsid w:val="00CD40C9"/>
  </w:style>
  <w:style w:type="paragraph" w:customStyle="1" w:styleId="3F12B014E2CF4ABB935D789691EC9584">
    <w:name w:val="3F12B014E2CF4ABB935D789691EC9584"/>
    <w:rsid w:val="00CD40C9"/>
  </w:style>
  <w:style w:type="paragraph" w:customStyle="1" w:styleId="C1C00120311141709E08A47DDA35A198">
    <w:name w:val="C1C00120311141709E08A47DDA35A198"/>
    <w:rsid w:val="00CD40C9"/>
  </w:style>
  <w:style w:type="paragraph" w:customStyle="1" w:styleId="477318B6236A4C3FAD3940D687CC08E7">
    <w:name w:val="477318B6236A4C3FAD3940D687CC08E7"/>
    <w:rsid w:val="00CD40C9"/>
  </w:style>
  <w:style w:type="paragraph" w:customStyle="1" w:styleId="9797D39510FF4918ACE8D78F7A7D3C06">
    <w:name w:val="9797D39510FF4918ACE8D78F7A7D3C06"/>
    <w:rsid w:val="00CD40C9"/>
  </w:style>
  <w:style w:type="paragraph" w:customStyle="1" w:styleId="5097C6B743194450ADBE2A900EBE7841">
    <w:name w:val="5097C6B743194450ADBE2A900EBE7841"/>
    <w:rsid w:val="00CD40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DoITRDC Interim Branding 2020">
      <a:dk1>
        <a:srgbClr val="000000"/>
      </a:dk1>
      <a:lt1>
        <a:srgbClr val="FFFFFF"/>
      </a:lt1>
      <a:dk2>
        <a:srgbClr val="081E3E"/>
      </a:dk2>
      <a:lt2>
        <a:srgbClr val="E7E7E7"/>
      </a:lt2>
      <a:accent1>
        <a:srgbClr val="081E3E"/>
      </a:accent1>
      <a:accent2>
        <a:srgbClr val="4BB3B5"/>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RRB">
    <a:dk1>
      <a:srgbClr val="000000"/>
    </a:dk1>
    <a:lt1>
      <a:sysClr val="window" lastClr="FFFFFF"/>
    </a:lt1>
    <a:dk2>
      <a:srgbClr val="00A1DE"/>
    </a:dk2>
    <a:lt2>
      <a:srgbClr val="8B8D8E"/>
    </a:lt2>
    <a:accent1>
      <a:srgbClr val="CCDC00"/>
    </a:accent1>
    <a:accent2>
      <a:srgbClr val="00B299"/>
    </a:accent2>
    <a:accent3>
      <a:srgbClr val="EC7A08"/>
    </a:accent3>
    <a:accent4>
      <a:srgbClr val="CA005D"/>
    </a:accent4>
    <a:accent5>
      <a:srgbClr val="7DBFE9"/>
    </a:accent5>
    <a:accent6>
      <a:srgbClr val="DAE782"/>
    </a:accent6>
    <a:hlink>
      <a:srgbClr val="00A1DE"/>
    </a:hlink>
    <a:folHlink>
      <a:srgbClr val="CA005D"/>
    </a:folHlink>
  </a:clrScheme>
  <a:fontScheme name="ARR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ARRB">
    <a:dk1>
      <a:srgbClr val="000000"/>
    </a:dk1>
    <a:lt1>
      <a:sysClr val="window" lastClr="FFFFFF"/>
    </a:lt1>
    <a:dk2>
      <a:srgbClr val="00A1DE"/>
    </a:dk2>
    <a:lt2>
      <a:srgbClr val="8B8D8E"/>
    </a:lt2>
    <a:accent1>
      <a:srgbClr val="CCDC00"/>
    </a:accent1>
    <a:accent2>
      <a:srgbClr val="00B299"/>
    </a:accent2>
    <a:accent3>
      <a:srgbClr val="EC7A08"/>
    </a:accent3>
    <a:accent4>
      <a:srgbClr val="CA005D"/>
    </a:accent4>
    <a:accent5>
      <a:srgbClr val="7DBFE9"/>
    </a:accent5>
    <a:accent6>
      <a:srgbClr val="DAE782"/>
    </a:accent6>
    <a:hlink>
      <a:srgbClr val="00A1DE"/>
    </a:hlink>
    <a:folHlink>
      <a:srgbClr val="CA005D"/>
    </a:folHlink>
  </a:clrScheme>
  <a:fontScheme name="ARR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ARRB">
    <a:dk1>
      <a:srgbClr val="000000"/>
    </a:dk1>
    <a:lt1>
      <a:sysClr val="window" lastClr="FFFFFF"/>
    </a:lt1>
    <a:dk2>
      <a:srgbClr val="00A1DE"/>
    </a:dk2>
    <a:lt2>
      <a:srgbClr val="8B8D8E"/>
    </a:lt2>
    <a:accent1>
      <a:srgbClr val="CCDC00"/>
    </a:accent1>
    <a:accent2>
      <a:srgbClr val="00B299"/>
    </a:accent2>
    <a:accent3>
      <a:srgbClr val="EC7A08"/>
    </a:accent3>
    <a:accent4>
      <a:srgbClr val="CA005D"/>
    </a:accent4>
    <a:accent5>
      <a:srgbClr val="7DBFE9"/>
    </a:accent5>
    <a:accent6>
      <a:srgbClr val="DAE782"/>
    </a:accent6>
    <a:hlink>
      <a:srgbClr val="00A1DE"/>
    </a:hlink>
    <a:folHlink>
      <a:srgbClr val="CA005D"/>
    </a:folHlink>
  </a:clrScheme>
  <a:fontScheme name="ARR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ARRB">
    <a:dk1>
      <a:srgbClr val="000000"/>
    </a:dk1>
    <a:lt1>
      <a:sysClr val="window" lastClr="FFFFFF"/>
    </a:lt1>
    <a:dk2>
      <a:srgbClr val="00A1DE"/>
    </a:dk2>
    <a:lt2>
      <a:srgbClr val="8B8D8E"/>
    </a:lt2>
    <a:accent1>
      <a:srgbClr val="CCDC00"/>
    </a:accent1>
    <a:accent2>
      <a:srgbClr val="00B299"/>
    </a:accent2>
    <a:accent3>
      <a:srgbClr val="EC7A08"/>
    </a:accent3>
    <a:accent4>
      <a:srgbClr val="CA005D"/>
    </a:accent4>
    <a:accent5>
      <a:srgbClr val="7DBFE9"/>
    </a:accent5>
    <a:accent6>
      <a:srgbClr val="DAE782"/>
    </a:accent6>
    <a:hlink>
      <a:srgbClr val="00A1DE"/>
    </a:hlink>
    <a:folHlink>
      <a:srgbClr val="CA005D"/>
    </a:folHlink>
  </a:clrScheme>
  <a:fontScheme name="ARR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ARRB">
    <a:dk1>
      <a:srgbClr val="000000"/>
    </a:dk1>
    <a:lt1>
      <a:sysClr val="window" lastClr="FFFFFF"/>
    </a:lt1>
    <a:dk2>
      <a:srgbClr val="00A1DE"/>
    </a:dk2>
    <a:lt2>
      <a:srgbClr val="8B8D8E"/>
    </a:lt2>
    <a:accent1>
      <a:srgbClr val="CCDC00"/>
    </a:accent1>
    <a:accent2>
      <a:srgbClr val="00B299"/>
    </a:accent2>
    <a:accent3>
      <a:srgbClr val="EC7A08"/>
    </a:accent3>
    <a:accent4>
      <a:srgbClr val="CA005D"/>
    </a:accent4>
    <a:accent5>
      <a:srgbClr val="7DBFE9"/>
    </a:accent5>
    <a:accent6>
      <a:srgbClr val="DAE782"/>
    </a:accent6>
    <a:hlink>
      <a:srgbClr val="00A1DE"/>
    </a:hlink>
    <a:folHlink>
      <a:srgbClr val="CA005D"/>
    </a:folHlink>
  </a:clrScheme>
  <a:fontScheme name="ARR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ARRB">
    <a:dk1>
      <a:srgbClr val="000000"/>
    </a:dk1>
    <a:lt1>
      <a:sysClr val="window" lastClr="FFFFFF"/>
    </a:lt1>
    <a:dk2>
      <a:srgbClr val="00A1DE"/>
    </a:dk2>
    <a:lt2>
      <a:srgbClr val="8B8D8E"/>
    </a:lt2>
    <a:accent1>
      <a:srgbClr val="CCDC00"/>
    </a:accent1>
    <a:accent2>
      <a:srgbClr val="00B299"/>
    </a:accent2>
    <a:accent3>
      <a:srgbClr val="EC7A08"/>
    </a:accent3>
    <a:accent4>
      <a:srgbClr val="CA005D"/>
    </a:accent4>
    <a:accent5>
      <a:srgbClr val="7DBFE9"/>
    </a:accent5>
    <a:accent6>
      <a:srgbClr val="DAE782"/>
    </a:accent6>
    <a:hlink>
      <a:srgbClr val="00A1DE"/>
    </a:hlink>
    <a:folHlink>
      <a:srgbClr val="CA005D"/>
    </a:folHlink>
  </a:clrScheme>
  <a:fontScheme name="ARR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ARRB">
    <a:dk1>
      <a:srgbClr val="000000"/>
    </a:dk1>
    <a:lt1>
      <a:sysClr val="window" lastClr="FFFFFF"/>
    </a:lt1>
    <a:dk2>
      <a:srgbClr val="00A1DE"/>
    </a:dk2>
    <a:lt2>
      <a:srgbClr val="8B8D8E"/>
    </a:lt2>
    <a:accent1>
      <a:srgbClr val="CCDC00"/>
    </a:accent1>
    <a:accent2>
      <a:srgbClr val="00B299"/>
    </a:accent2>
    <a:accent3>
      <a:srgbClr val="EC7A08"/>
    </a:accent3>
    <a:accent4>
      <a:srgbClr val="CA005D"/>
    </a:accent4>
    <a:accent5>
      <a:srgbClr val="7DBFE9"/>
    </a:accent5>
    <a:accent6>
      <a:srgbClr val="DAE782"/>
    </a:accent6>
    <a:hlink>
      <a:srgbClr val="00A1DE"/>
    </a:hlink>
    <a:folHlink>
      <a:srgbClr val="CA005D"/>
    </a:folHlink>
  </a:clrScheme>
  <a:fontScheme name="ARR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2023-06-05T00:00:00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8" ma:contentTypeDescription="Create a new document." ma:contentTypeScope="" ma:versionID="33751fc2e25aff34227f1c8db8239990">
  <xsd:schema xmlns:xsd="http://www.w3.org/2001/XMLSchema" xmlns:xs="http://www.w3.org/2001/XMLSchema" xmlns:p="http://schemas.microsoft.com/office/2006/metadata/properties" xmlns:ns1="http://schemas.microsoft.com/sharepoint/v3" xmlns:ns2="4195ad5f-cdf2-4c4a-8d9b-b7944a108e98" xmlns:ns3="26285671-540d-468b-b7a1-f3e0438dd51a" targetNamespace="http://schemas.microsoft.com/office/2006/metadata/properties" ma:root="true" ma:fieldsID="b07e9e1b733d0321caea61c9fbc9d73b" ns1:_="" ns2:_="" ns3:_="">
    <xsd:import namespace="http://schemas.microsoft.com/sharepoint/v3"/>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195ad5f-cdf2-4c4a-8d9b-b7944a108e98" xsi:nil="true"/>
    <_ip_UnifiedCompliancePolicyProperties xmlns="http://schemas.microsoft.com/sharepoint/v3" xsi:nil="true"/>
    <lcf76f155ced4ddcb4097134ff3c332f xmlns="26285671-540d-468b-b7a1-f3e0438dd51a">
      <Terms xmlns="http://schemas.microsoft.com/office/infopath/2007/PartnerControls"/>
    </lcf76f155ced4ddcb4097134ff3c332f>
    <_dlc_DocId xmlns="4195ad5f-cdf2-4c4a-8d9b-b7944a108e98">DOCID-322795542-40111</_dlc_DocId>
    <_dlc_DocIdUrl xmlns="4195ad5f-cdf2-4c4a-8d9b-b7944a108e98">
      <Url>https://pmc01.sharepoint.com/sites/CRMOBPR/_layouts/15/DocIdRedir.aspx?ID=DOCID-322795542-40111</Url>
      <Description>DOCID-322795542-40111</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CD7469-DBA2-4B17-9224-DCA575F5D5E2}"/>
</file>

<file path=customXml/itemProps3.xml><?xml version="1.0" encoding="utf-8"?>
<ds:datastoreItem xmlns:ds="http://schemas.openxmlformats.org/officeDocument/2006/customXml" ds:itemID="{1AF4F7D1-88DE-4064-B78C-CA659D979954}">
  <ds:schemaRefs>
    <ds:schemaRef ds:uri="http://schemas.microsoft.com/sharepoint/v3/contenttype/forms"/>
  </ds:schemaRefs>
</ds:datastoreItem>
</file>

<file path=customXml/itemProps4.xml><?xml version="1.0" encoding="utf-8"?>
<ds:datastoreItem xmlns:ds="http://schemas.openxmlformats.org/officeDocument/2006/customXml" ds:itemID="{743D06C2-8BCB-48F5-BF9F-ACECBAC1C17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E62EEDF-B25C-4B10-926A-1D72CC5667A5}">
  <ds:schemaRefs>
    <ds:schemaRef ds:uri="http://schemas.openxmlformats.org/officeDocument/2006/bibliography"/>
  </ds:schemaRefs>
</ds:datastoreItem>
</file>

<file path=customXml/itemProps6.xml><?xml version="1.0" encoding="utf-8"?>
<ds:datastoreItem xmlns:ds="http://schemas.openxmlformats.org/officeDocument/2006/customXml" ds:itemID="{B25A0E92-FD41-4A13-9108-13B95C7F6C50}"/>
</file>

<file path=docProps/app.xml><?xml version="1.0" encoding="utf-8"?>
<Properties xmlns="http://schemas.openxmlformats.org/officeDocument/2006/extended-properties" xmlns:vt="http://schemas.openxmlformats.org/officeDocument/2006/docPropsVTypes">
  <Template>VSS RVS Document_0120.dotx</Template>
  <TotalTime>1</TotalTime>
  <Pages>1</Pages>
  <Words>56316</Words>
  <Characters>321007</Characters>
  <Application>Microsoft Office Word</Application>
  <DocSecurity>0</DocSecurity>
  <Lines>2675</Lines>
  <Paragraphs>753</Paragraphs>
  <ScaleCrop>false</ScaleCrop>
  <HeadingPairs>
    <vt:vector size="2" baseType="variant">
      <vt:variant>
        <vt:lpstr>Title</vt:lpstr>
      </vt:variant>
      <vt:variant>
        <vt:i4>1</vt:i4>
      </vt:variant>
    </vt:vector>
  </HeadingPairs>
  <TitlesOfParts>
    <vt:vector size="1" baseType="lpstr">
      <vt:lpstr>SAFER FREIGHT VEHICLES</vt:lpstr>
    </vt:vector>
  </TitlesOfParts>
  <Company>Department of Infrastructure, Transport, Regional Development and Arts</Company>
  <LinksUpToDate>false</LinksUpToDate>
  <CharactersWithSpaces>376570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SAFER FREIGHT VEHICLES</dc:title>
  <dc:subject/>
  <dc:creator>BELCHER Thomas</dc:creator>
  <cp:keywords/>
  <dc:description/>
  <cp:lastModifiedBy>BELCHER Thomas</cp:lastModifiedBy>
  <cp:revision>2</cp:revision>
  <cp:lastPrinted>2023-04-21T02:20:00Z</cp:lastPrinted>
  <dcterms:created xsi:type="dcterms:W3CDTF">2023-06-19T01:28:00Z</dcterms:created>
  <dcterms:modified xsi:type="dcterms:W3CDTF">2023-06-19T01:28:00Z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0x0101009CA239676470E04B809DDC4E24CF2322</vt:lpwstr>
  </property>
  <property fmtid="{D5CDD505-2E9C-101B-9397-08002B2CF9AE}" pid="3" name="_dlc_DocIdItemGuid">
    <vt:lpwstr>30c0b624-d98f-4017-98ee-fdd3e6a95253</vt:lpwstr>
  </property>
  <property fmtid="{D5CDD505-2E9C-101B-9397-08002B2CF9AE}" pid="4" name="MediaServiceImageTags">
    <vt:lpwstr/>
  </property>
</Properties>
</file>