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643" w:displacedByCustomXml="next"/>
    <w:bookmarkStart w:id="1" w:name="_Toc19289776" w:displacedByCustomXml="next"/>
    <w:bookmarkStart w:id="2" w:name="_Toc141274615"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4F2983108E184FC48F94CD194E47B7F1"/>
            </w:placeholder>
            <w:dataBinding w:prefixMappings="xmlns:ns0='http://purl.org/dc/elements/1.1/' xmlns:ns1='http://schemas.openxmlformats.org/package/2006/metadata/core-properties' " w:xpath="/ns1:coreProperties[1]/ns0:title[1]" w:storeItemID="{6C3C8BC8-F283-45AE-878A-BAB7291924A1}"/>
            <w:text/>
          </w:sdtPr>
          <w:sdtEndPr/>
          <w:sdtContent>
            <w:p w14:paraId="2F1EEC01" w14:textId="77777777" w:rsidR="0068286F" w:rsidRDefault="008F518F" w:rsidP="00371459">
              <w:pPr>
                <w:pStyle w:val="Title"/>
                <w:outlineLvl w:val="9"/>
              </w:pPr>
              <w:r>
                <w:t>Country of origin labelling for seafood in hospitality settings</w:t>
              </w:r>
            </w:p>
          </w:sdtContent>
        </w:sdt>
        <w:p w14:paraId="5050B23C" w14:textId="2CC740D9" w:rsidR="00697567" w:rsidRPr="00A540AE" w:rsidRDefault="005D662D" w:rsidP="00A540AE">
          <w:pPr>
            <w:pStyle w:val="Subtitle"/>
          </w:pPr>
          <w:r>
            <w:t xml:space="preserve">Regulation </w:t>
          </w:r>
          <w:r w:rsidR="008970B9">
            <w:t>i</w:t>
          </w:r>
          <w:r>
            <w:t xml:space="preserve">mpact </w:t>
          </w:r>
          <w:r w:rsidR="008970B9">
            <w:t>s</w:t>
          </w:r>
          <w:r>
            <w:t>tatement</w:t>
          </w:r>
          <w:r w:rsidR="00091EFF">
            <w:t xml:space="preserve"> for </w:t>
          </w:r>
          <w:r w:rsidR="008970B9">
            <w:t>d</w:t>
          </w:r>
          <w:r w:rsidR="00091EFF">
            <w:t>ecision</w:t>
          </w:r>
        </w:p>
        <w:p w14:paraId="42D299C3" w14:textId="77777777" w:rsidR="00697567" w:rsidRDefault="00697567" w:rsidP="00A540AE">
          <w:pPr>
            <w:pStyle w:val="Subtitle"/>
          </w:pPr>
        </w:p>
        <w:p w14:paraId="2461B23F" w14:textId="77777777" w:rsidR="0068286F" w:rsidRPr="00FE7F44" w:rsidRDefault="005D662D" w:rsidP="00FE7F44">
          <w:pPr>
            <w:pStyle w:val="Authoranddate"/>
          </w:pPr>
          <w:r>
            <w:t>Department of Industry, Science and Resources</w:t>
          </w:r>
        </w:p>
        <w:p w14:paraId="52FFDDA6" w14:textId="28E555C8" w:rsidR="0068286F" w:rsidRPr="00FE7F44" w:rsidRDefault="00993C8C" w:rsidP="00FE7F44">
          <w:pPr>
            <w:pStyle w:val="Authoranddate"/>
          </w:pPr>
          <w:r>
            <w:t>October</w:t>
          </w:r>
          <w:r w:rsidR="005D662D">
            <w:t xml:space="preserve"> 2023</w:t>
          </w:r>
        </w:p>
        <w:p w14:paraId="3CE6FD13" w14:textId="77777777" w:rsidR="0068286F" w:rsidRPr="00806473" w:rsidRDefault="0068286F">
          <w:r w:rsidRPr="00806473">
            <w:br w:type="page"/>
          </w:r>
        </w:p>
        <w:p w14:paraId="04879E98" w14:textId="77777777" w:rsidR="005D662D" w:rsidRPr="005D662D" w:rsidRDefault="005D662D" w:rsidP="00C55830">
          <w:pPr>
            <w:rPr>
              <w:rFonts w:asciiTheme="majorHAnsi" w:eastAsiaTheme="majorEastAsia" w:hAnsiTheme="majorHAnsi" w:cstheme="majorBidi"/>
              <w:color w:val="1B9590" w:themeColor="accent3"/>
              <w:sz w:val="40"/>
              <w:szCs w:val="48"/>
            </w:rPr>
          </w:pPr>
          <w:bookmarkStart w:id="3" w:name="_Toc141271251"/>
          <w:bookmarkStart w:id="4" w:name="_Toc141272705"/>
          <w:bookmarkStart w:id="5" w:name="_Toc141274616"/>
          <w:bookmarkStart w:id="6" w:name="_Toc19023739"/>
          <w:bookmarkStart w:id="7" w:name="_Toc19289644"/>
          <w:bookmarkStart w:id="8" w:name="_Toc19289777"/>
          <w:r w:rsidRPr="005D662D">
            <w:rPr>
              <w:rFonts w:asciiTheme="majorHAnsi" w:eastAsiaTheme="majorEastAsia" w:hAnsiTheme="majorHAnsi" w:cstheme="majorBidi"/>
              <w:color w:val="1B9590" w:themeColor="accent3"/>
              <w:sz w:val="40"/>
              <w:szCs w:val="48"/>
            </w:rPr>
            <w:lastRenderedPageBreak/>
            <w:t>Copyright</w:t>
          </w:r>
          <w:bookmarkEnd w:id="3"/>
          <w:bookmarkEnd w:id="4"/>
          <w:bookmarkEnd w:id="5"/>
        </w:p>
        <w:p w14:paraId="61DBD4C7" w14:textId="77777777" w:rsidR="005D662D" w:rsidRPr="005D662D" w:rsidRDefault="005D662D" w:rsidP="005D662D">
          <w:pPr>
            <w:rPr>
              <w:b/>
              <w:bCs/>
            </w:rPr>
          </w:pPr>
          <w:r w:rsidRPr="005D662D">
            <w:rPr>
              <w:b/>
              <w:bCs/>
            </w:rPr>
            <w:t>© Commonwealth of Australia 2023</w:t>
          </w:r>
        </w:p>
        <w:p w14:paraId="497ED2E6" w14:textId="77777777" w:rsidR="005D662D" w:rsidRPr="005D662D" w:rsidRDefault="005D662D" w:rsidP="005D662D">
          <w:pPr>
            <w:rPr>
              <w:b/>
              <w:bCs/>
            </w:rPr>
          </w:pPr>
          <w:r w:rsidRPr="005D662D">
            <w:rPr>
              <w:b/>
              <w:bCs/>
            </w:rPr>
            <w:t>Ownership of intellectual property rights</w:t>
          </w:r>
        </w:p>
        <w:p w14:paraId="216D9E05" w14:textId="77777777" w:rsidR="005D662D" w:rsidRPr="005D662D" w:rsidRDefault="005D662D" w:rsidP="005D662D">
          <w:r w:rsidRPr="005D662D">
            <w:t>Unless otherwise noted, copyright (and any other intellectual property rights, if any) in this publication is owned by the Commonwealth of Australia.</w:t>
          </w:r>
        </w:p>
        <w:p w14:paraId="0553DED7" w14:textId="77777777" w:rsidR="005D662D" w:rsidRPr="005D662D" w:rsidRDefault="005D662D" w:rsidP="005D662D">
          <w:r w:rsidRPr="005D662D">
            <w:t>Creative Commons licence</w:t>
          </w:r>
        </w:p>
        <w:p w14:paraId="7D989A58" w14:textId="77777777" w:rsidR="005D662D" w:rsidRPr="005D662D" w:rsidRDefault="005D662D" w:rsidP="005D662D">
          <w:r w:rsidRPr="005D662D">
            <w:rPr>
              <w:noProof/>
            </w:rPr>
            <w:drawing>
              <wp:inline distT="0" distB="0" distL="0" distR="0" wp14:anchorId="4AA038C9" wp14:editId="7FAF4936">
                <wp:extent cx="1128889" cy="440267"/>
                <wp:effectExtent l="0" t="0" r="0" b="0"/>
                <wp:docPr id="3" name="Picture 3"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626623AB" w14:textId="77777777" w:rsidR="005D662D" w:rsidRPr="005D662D" w:rsidRDefault="005D662D" w:rsidP="005D662D">
          <w:r w:rsidRPr="005D662D">
            <w:t xml:space="preserve">Attribution </w:t>
          </w:r>
        </w:p>
        <w:p w14:paraId="03734126" w14:textId="77777777" w:rsidR="005D662D" w:rsidRPr="005D662D" w:rsidRDefault="005D662D" w:rsidP="005D662D">
          <w:r w:rsidRPr="005D662D">
            <w:t>CC BY</w:t>
          </w:r>
        </w:p>
        <w:p w14:paraId="7797031A" w14:textId="77777777" w:rsidR="005D662D" w:rsidRPr="005D662D" w:rsidRDefault="005D662D" w:rsidP="005D662D">
          <w:r w:rsidRPr="005D662D">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775EF467" w14:textId="77777777" w:rsidR="005D662D" w:rsidRPr="005D662D" w:rsidRDefault="005D662D" w:rsidP="005D662D">
          <w:r w:rsidRPr="005D662D">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Pr="005D662D">
              <w:rPr>
                <w:color w:val="0070AE" w:themeColor="hyperlink"/>
                <w:u w:val="single"/>
              </w:rPr>
              <w:t>https://creativecommons.org/licenses/by/4.0/</w:t>
            </w:r>
          </w:hyperlink>
        </w:p>
        <w:p w14:paraId="10D30C48" w14:textId="77777777" w:rsidR="005D662D" w:rsidRPr="005D662D" w:rsidRDefault="005D662D" w:rsidP="005D662D">
          <w:r w:rsidRPr="005D662D">
            <w:t xml:space="preserve">The full licence terms are available from </w:t>
          </w:r>
          <w:hyperlink r:id="rId14" w:history="1">
            <w:r w:rsidRPr="005D662D">
              <w:rPr>
                <w:color w:val="0070AE" w:themeColor="hyperlink"/>
                <w:u w:val="single"/>
              </w:rPr>
              <w:t>https://creativecommons.org/licenses/by/4.0/legalcode</w:t>
            </w:r>
          </w:hyperlink>
        </w:p>
        <w:p w14:paraId="0B8AD930" w14:textId="77777777" w:rsidR="005D662D" w:rsidRPr="005D662D" w:rsidRDefault="005D662D" w:rsidP="005D662D">
          <w:r w:rsidRPr="005D662D">
            <w:t xml:space="preserve">Content contained herein should be attributed as </w:t>
          </w:r>
          <w:r w:rsidRPr="005D662D">
            <w:rPr>
              <w:i/>
            </w:rPr>
            <w:t>Report title, Australian Government Department of Industry, Science and Resources</w:t>
          </w:r>
          <w:r w:rsidRPr="005D662D">
            <w:t>.</w:t>
          </w:r>
        </w:p>
        <w:p w14:paraId="68BAAE4C" w14:textId="77777777" w:rsidR="005D662D" w:rsidRPr="005D662D" w:rsidRDefault="005D662D" w:rsidP="00C55830">
          <w:pPr>
            <w:rPr>
              <w:rFonts w:asciiTheme="majorHAnsi" w:eastAsiaTheme="majorEastAsia" w:hAnsiTheme="majorHAnsi" w:cstheme="majorBidi"/>
              <w:color w:val="1B9590" w:themeColor="accent3"/>
              <w:sz w:val="40"/>
              <w:szCs w:val="48"/>
            </w:rPr>
          </w:pPr>
          <w:bookmarkStart w:id="9" w:name="_Toc141271252"/>
          <w:bookmarkStart w:id="10" w:name="_Toc141272706"/>
          <w:bookmarkStart w:id="11" w:name="_Toc141274617"/>
          <w:r w:rsidRPr="005D662D">
            <w:rPr>
              <w:rFonts w:asciiTheme="majorHAnsi" w:eastAsiaTheme="majorEastAsia" w:hAnsiTheme="majorHAnsi" w:cstheme="majorBidi"/>
              <w:color w:val="1B9590" w:themeColor="accent3"/>
              <w:sz w:val="40"/>
              <w:szCs w:val="48"/>
            </w:rPr>
            <w:t>Disclaimer</w:t>
          </w:r>
          <w:bookmarkEnd w:id="9"/>
          <w:bookmarkEnd w:id="10"/>
          <w:bookmarkEnd w:id="11"/>
        </w:p>
        <w:p w14:paraId="5CBD8BB9" w14:textId="77777777" w:rsidR="005D662D" w:rsidRDefault="005D662D" w:rsidP="005D662D">
          <w:r w:rsidRPr="005D662D">
            <w:t xml:space="preserve">The Australian Government as represented by the Department of Industry, Science and Resources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w:t>
          </w:r>
          <w:proofErr w:type="gramStart"/>
          <w:r w:rsidRPr="005D662D">
            <w:t>as a result of</w:t>
          </w:r>
          <w:proofErr w:type="gramEnd"/>
          <w:r w:rsidRPr="005D662D">
            <w:t xml:space="preserve">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6EA62A8C" w14:textId="77777777" w:rsidR="001B0246" w:rsidRDefault="001B0246" w:rsidP="005D662D"/>
        <w:p w14:paraId="77BB1DBD" w14:textId="77777777" w:rsidR="001B0246" w:rsidRDefault="001B0246" w:rsidP="005D662D"/>
        <w:p w14:paraId="6070D69E" w14:textId="77777777" w:rsidR="001B0246" w:rsidRDefault="001B0246">
          <w:r>
            <w:br w:type="page"/>
          </w:r>
        </w:p>
        <w:p w14:paraId="146841EC" w14:textId="77777777" w:rsidR="001B0246" w:rsidRPr="001B0246" w:rsidRDefault="001B0246" w:rsidP="00783B07">
          <w:pPr>
            <w:pStyle w:val="Heading1"/>
          </w:pPr>
          <w:bookmarkStart w:id="12" w:name="_Toc151719054"/>
          <w:r w:rsidRPr="001B0246">
            <w:lastRenderedPageBreak/>
            <w:t>Contents</w:t>
          </w:r>
          <w:bookmarkEnd w:id="12"/>
        </w:p>
        <w:p w14:paraId="63CB7876" w14:textId="6D73E849" w:rsidR="00F1267B" w:rsidRDefault="001B0246">
          <w:pPr>
            <w:pStyle w:val="TOC1"/>
            <w:rPr>
              <w:rFonts w:eastAsiaTheme="minorEastAsia"/>
              <w:noProof/>
              <w:lang w:eastAsia="en-AU"/>
            </w:rPr>
          </w:pPr>
          <w:r w:rsidRPr="001B0246">
            <w:fldChar w:fldCharType="begin"/>
          </w:r>
          <w:r w:rsidRPr="001B0246">
            <w:instrText xml:space="preserve"> TOC \o "1-2" \h \z \u </w:instrText>
          </w:r>
          <w:r w:rsidRPr="001B0246">
            <w:fldChar w:fldCharType="separate"/>
          </w:r>
          <w:hyperlink w:anchor="_Toc151719054" w:history="1">
            <w:r w:rsidR="00F1267B" w:rsidRPr="005221C5">
              <w:rPr>
                <w:rStyle w:val="Hyperlink"/>
                <w:noProof/>
              </w:rPr>
              <w:t>Contents</w:t>
            </w:r>
            <w:r w:rsidR="00F1267B">
              <w:rPr>
                <w:noProof/>
                <w:webHidden/>
              </w:rPr>
              <w:tab/>
            </w:r>
            <w:r w:rsidR="00F1267B">
              <w:rPr>
                <w:noProof/>
                <w:webHidden/>
              </w:rPr>
              <w:fldChar w:fldCharType="begin"/>
            </w:r>
            <w:r w:rsidR="00F1267B">
              <w:rPr>
                <w:noProof/>
                <w:webHidden/>
              </w:rPr>
              <w:instrText xml:space="preserve"> PAGEREF _Toc151719054 \h </w:instrText>
            </w:r>
            <w:r w:rsidR="00F1267B">
              <w:rPr>
                <w:noProof/>
                <w:webHidden/>
              </w:rPr>
            </w:r>
            <w:r w:rsidR="00F1267B">
              <w:rPr>
                <w:noProof/>
                <w:webHidden/>
              </w:rPr>
              <w:fldChar w:fldCharType="separate"/>
            </w:r>
            <w:r w:rsidR="00F1267B">
              <w:rPr>
                <w:noProof/>
                <w:webHidden/>
              </w:rPr>
              <w:t>2</w:t>
            </w:r>
            <w:r w:rsidR="00F1267B">
              <w:rPr>
                <w:noProof/>
                <w:webHidden/>
              </w:rPr>
              <w:fldChar w:fldCharType="end"/>
            </w:r>
          </w:hyperlink>
        </w:p>
        <w:p w14:paraId="0FD9432D" w14:textId="52FABE4C" w:rsidR="00F1267B" w:rsidRDefault="00F24B22">
          <w:pPr>
            <w:pStyle w:val="TOC1"/>
            <w:rPr>
              <w:rFonts w:eastAsiaTheme="minorEastAsia"/>
              <w:noProof/>
              <w:lang w:eastAsia="en-AU"/>
            </w:rPr>
          </w:pPr>
          <w:hyperlink w:anchor="_Toc151719055" w:history="1">
            <w:r w:rsidR="00F1267B" w:rsidRPr="005221C5">
              <w:rPr>
                <w:rStyle w:val="Hyperlink"/>
                <w:noProof/>
              </w:rPr>
              <w:t>Glossary of terms</w:t>
            </w:r>
            <w:r w:rsidR="00F1267B">
              <w:rPr>
                <w:noProof/>
                <w:webHidden/>
              </w:rPr>
              <w:tab/>
            </w:r>
            <w:r w:rsidR="00F1267B">
              <w:rPr>
                <w:noProof/>
                <w:webHidden/>
              </w:rPr>
              <w:fldChar w:fldCharType="begin"/>
            </w:r>
            <w:r w:rsidR="00F1267B">
              <w:rPr>
                <w:noProof/>
                <w:webHidden/>
              </w:rPr>
              <w:instrText xml:space="preserve"> PAGEREF _Toc151719055 \h </w:instrText>
            </w:r>
            <w:r w:rsidR="00F1267B">
              <w:rPr>
                <w:noProof/>
                <w:webHidden/>
              </w:rPr>
            </w:r>
            <w:r w:rsidR="00F1267B">
              <w:rPr>
                <w:noProof/>
                <w:webHidden/>
              </w:rPr>
              <w:fldChar w:fldCharType="separate"/>
            </w:r>
            <w:r w:rsidR="00F1267B">
              <w:rPr>
                <w:noProof/>
                <w:webHidden/>
              </w:rPr>
              <w:t>4</w:t>
            </w:r>
            <w:r w:rsidR="00F1267B">
              <w:rPr>
                <w:noProof/>
                <w:webHidden/>
              </w:rPr>
              <w:fldChar w:fldCharType="end"/>
            </w:r>
          </w:hyperlink>
        </w:p>
        <w:p w14:paraId="1CF2D5F0" w14:textId="0B4EACB2" w:rsidR="00F1267B" w:rsidRDefault="00F24B22">
          <w:pPr>
            <w:pStyle w:val="TOC1"/>
            <w:rPr>
              <w:rFonts w:eastAsiaTheme="minorEastAsia"/>
              <w:noProof/>
              <w:lang w:eastAsia="en-AU"/>
            </w:rPr>
          </w:pPr>
          <w:hyperlink w:anchor="_Toc151719056" w:history="1">
            <w:r w:rsidR="00F1267B" w:rsidRPr="005221C5">
              <w:rPr>
                <w:rStyle w:val="Hyperlink"/>
                <w:noProof/>
              </w:rPr>
              <w:t>Executive summary</w:t>
            </w:r>
            <w:r w:rsidR="00F1267B">
              <w:rPr>
                <w:noProof/>
                <w:webHidden/>
              </w:rPr>
              <w:tab/>
            </w:r>
            <w:r w:rsidR="00F1267B">
              <w:rPr>
                <w:noProof/>
                <w:webHidden/>
              </w:rPr>
              <w:fldChar w:fldCharType="begin"/>
            </w:r>
            <w:r w:rsidR="00F1267B">
              <w:rPr>
                <w:noProof/>
                <w:webHidden/>
              </w:rPr>
              <w:instrText xml:space="preserve"> PAGEREF _Toc151719056 \h </w:instrText>
            </w:r>
            <w:r w:rsidR="00F1267B">
              <w:rPr>
                <w:noProof/>
                <w:webHidden/>
              </w:rPr>
            </w:r>
            <w:r w:rsidR="00F1267B">
              <w:rPr>
                <w:noProof/>
                <w:webHidden/>
              </w:rPr>
              <w:fldChar w:fldCharType="separate"/>
            </w:r>
            <w:r w:rsidR="00F1267B">
              <w:rPr>
                <w:noProof/>
                <w:webHidden/>
              </w:rPr>
              <w:t>5</w:t>
            </w:r>
            <w:r w:rsidR="00F1267B">
              <w:rPr>
                <w:noProof/>
                <w:webHidden/>
              </w:rPr>
              <w:fldChar w:fldCharType="end"/>
            </w:r>
          </w:hyperlink>
        </w:p>
        <w:p w14:paraId="2B0621B2" w14:textId="193ABDC2" w:rsidR="00F1267B" w:rsidRDefault="00F24B22">
          <w:pPr>
            <w:pStyle w:val="TOC1"/>
            <w:rPr>
              <w:rFonts w:eastAsiaTheme="minorEastAsia"/>
              <w:noProof/>
              <w:lang w:eastAsia="en-AU"/>
            </w:rPr>
          </w:pPr>
          <w:hyperlink w:anchor="_Toc151719057" w:history="1">
            <w:r w:rsidR="00F1267B" w:rsidRPr="005221C5">
              <w:rPr>
                <w:rStyle w:val="Hyperlink"/>
                <w:noProof/>
              </w:rPr>
              <w:t>1.</w:t>
            </w:r>
            <w:r w:rsidR="00F1267B">
              <w:rPr>
                <w:rFonts w:eastAsiaTheme="minorEastAsia"/>
                <w:noProof/>
                <w:lang w:eastAsia="en-AU"/>
              </w:rPr>
              <w:tab/>
            </w:r>
            <w:r w:rsidR="00F1267B" w:rsidRPr="005221C5">
              <w:rPr>
                <w:rStyle w:val="Hyperlink"/>
                <w:noProof/>
              </w:rPr>
              <w:t>About this regulation impact statement</w:t>
            </w:r>
            <w:r w:rsidR="00F1267B">
              <w:rPr>
                <w:noProof/>
                <w:webHidden/>
              </w:rPr>
              <w:tab/>
            </w:r>
            <w:r w:rsidR="00F1267B">
              <w:rPr>
                <w:noProof/>
                <w:webHidden/>
              </w:rPr>
              <w:fldChar w:fldCharType="begin"/>
            </w:r>
            <w:r w:rsidR="00F1267B">
              <w:rPr>
                <w:noProof/>
                <w:webHidden/>
              </w:rPr>
              <w:instrText xml:space="preserve"> PAGEREF _Toc151719057 \h </w:instrText>
            </w:r>
            <w:r w:rsidR="00F1267B">
              <w:rPr>
                <w:noProof/>
                <w:webHidden/>
              </w:rPr>
            </w:r>
            <w:r w:rsidR="00F1267B">
              <w:rPr>
                <w:noProof/>
                <w:webHidden/>
              </w:rPr>
              <w:fldChar w:fldCharType="separate"/>
            </w:r>
            <w:r w:rsidR="00F1267B">
              <w:rPr>
                <w:noProof/>
                <w:webHidden/>
              </w:rPr>
              <w:t>6</w:t>
            </w:r>
            <w:r w:rsidR="00F1267B">
              <w:rPr>
                <w:noProof/>
                <w:webHidden/>
              </w:rPr>
              <w:fldChar w:fldCharType="end"/>
            </w:r>
          </w:hyperlink>
        </w:p>
        <w:p w14:paraId="25476469" w14:textId="41D4C09B" w:rsidR="00F1267B" w:rsidRDefault="00F24B22">
          <w:pPr>
            <w:pStyle w:val="TOC2"/>
            <w:tabs>
              <w:tab w:val="left" w:pos="880"/>
            </w:tabs>
            <w:rPr>
              <w:rFonts w:eastAsiaTheme="minorEastAsia"/>
              <w:noProof/>
              <w:lang w:eastAsia="en-AU"/>
            </w:rPr>
          </w:pPr>
          <w:hyperlink w:anchor="_Toc151719058" w:history="1">
            <w:r w:rsidR="00F1267B" w:rsidRPr="005221C5">
              <w:rPr>
                <w:rStyle w:val="Hyperlink"/>
                <w:noProof/>
              </w:rPr>
              <w:t>1.1.</w:t>
            </w:r>
            <w:r w:rsidR="00F1267B">
              <w:rPr>
                <w:rFonts w:eastAsiaTheme="minorEastAsia"/>
                <w:noProof/>
                <w:lang w:eastAsia="en-AU"/>
              </w:rPr>
              <w:tab/>
            </w:r>
            <w:r w:rsidR="00F1267B" w:rsidRPr="005221C5">
              <w:rPr>
                <w:rStyle w:val="Hyperlink"/>
                <w:noProof/>
              </w:rPr>
              <w:t>Background to this decision RIS</w:t>
            </w:r>
            <w:r w:rsidR="00F1267B">
              <w:rPr>
                <w:noProof/>
                <w:webHidden/>
              </w:rPr>
              <w:tab/>
            </w:r>
            <w:r w:rsidR="00F1267B">
              <w:rPr>
                <w:noProof/>
                <w:webHidden/>
              </w:rPr>
              <w:fldChar w:fldCharType="begin"/>
            </w:r>
            <w:r w:rsidR="00F1267B">
              <w:rPr>
                <w:noProof/>
                <w:webHidden/>
              </w:rPr>
              <w:instrText xml:space="preserve"> PAGEREF _Toc151719058 \h </w:instrText>
            </w:r>
            <w:r w:rsidR="00F1267B">
              <w:rPr>
                <w:noProof/>
                <w:webHidden/>
              </w:rPr>
            </w:r>
            <w:r w:rsidR="00F1267B">
              <w:rPr>
                <w:noProof/>
                <w:webHidden/>
              </w:rPr>
              <w:fldChar w:fldCharType="separate"/>
            </w:r>
            <w:r w:rsidR="00F1267B">
              <w:rPr>
                <w:noProof/>
                <w:webHidden/>
              </w:rPr>
              <w:t>6</w:t>
            </w:r>
            <w:r w:rsidR="00F1267B">
              <w:rPr>
                <w:noProof/>
                <w:webHidden/>
              </w:rPr>
              <w:fldChar w:fldCharType="end"/>
            </w:r>
          </w:hyperlink>
        </w:p>
        <w:p w14:paraId="3EE3D335" w14:textId="4B45F153" w:rsidR="00F1267B" w:rsidRDefault="00F24B22">
          <w:pPr>
            <w:pStyle w:val="TOC2"/>
            <w:tabs>
              <w:tab w:val="left" w:pos="880"/>
            </w:tabs>
            <w:rPr>
              <w:rFonts w:eastAsiaTheme="minorEastAsia"/>
              <w:noProof/>
              <w:lang w:eastAsia="en-AU"/>
            </w:rPr>
          </w:pPr>
          <w:hyperlink w:anchor="_Toc151719059" w:history="1">
            <w:r w:rsidR="00F1267B" w:rsidRPr="005221C5">
              <w:rPr>
                <w:rStyle w:val="Hyperlink"/>
                <w:noProof/>
              </w:rPr>
              <w:t>1.2.</w:t>
            </w:r>
            <w:r w:rsidR="00F1267B">
              <w:rPr>
                <w:rFonts w:eastAsiaTheme="minorEastAsia"/>
                <w:noProof/>
                <w:lang w:eastAsia="en-AU"/>
              </w:rPr>
              <w:tab/>
            </w:r>
            <w:r w:rsidR="00F1267B" w:rsidRPr="005221C5">
              <w:rPr>
                <w:rStyle w:val="Hyperlink"/>
                <w:noProof/>
              </w:rPr>
              <w:t>Australian Consumer Law (ACL)</w:t>
            </w:r>
            <w:r w:rsidR="00F1267B">
              <w:rPr>
                <w:noProof/>
                <w:webHidden/>
              </w:rPr>
              <w:tab/>
            </w:r>
            <w:r w:rsidR="00F1267B">
              <w:rPr>
                <w:noProof/>
                <w:webHidden/>
              </w:rPr>
              <w:fldChar w:fldCharType="begin"/>
            </w:r>
            <w:r w:rsidR="00F1267B">
              <w:rPr>
                <w:noProof/>
                <w:webHidden/>
              </w:rPr>
              <w:instrText xml:space="preserve"> PAGEREF _Toc151719059 \h </w:instrText>
            </w:r>
            <w:r w:rsidR="00F1267B">
              <w:rPr>
                <w:noProof/>
                <w:webHidden/>
              </w:rPr>
            </w:r>
            <w:r w:rsidR="00F1267B">
              <w:rPr>
                <w:noProof/>
                <w:webHidden/>
              </w:rPr>
              <w:fldChar w:fldCharType="separate"/>
            </w:r>
            <w:r w:rsidR="00F1267B">
              <w:rPr>
                <w:noProof/>
                <w:webHidden/>
              </w:rPr>
              <w:t>6</w:t>
            </w:r>
            <w:r w:rsidR="00F1267B">
              <w:rPr>
                <w:noProof/>
                <w:webHidden/>
              </w:rPr>
              <w:fldChar w:fldCharType="end"/>
            </w:r>
          </w:hyperlink>
        </w:p>
        <w:p w14:paraId="452A6189" w14:textId="55ACD24F" w:rsidR="00F1267B" w:rsidRDefault="00F24B22">
          <w:pPr>
            <w:pStyle w:val="TOC2"/>
            <w:tabs>
              <w:tab w:val="left" w:pos="880"/>
            </w:tabs>
            <w:rPr>
              <w:rFonts w:eastAsiaTheme="minorEastAsia"/>
              <w:noProof/>
              <w:lang w:eastAsia="en-AU"/>
            </w:rPr>
          </w:pPr>
          <w:hyperlink w:anchor="_Toc151719060" w:history="1">
            <w:r w:rsidR="00F1267B" w:rsidRPr="005221C5">
              <w:rPr>
                <w:rStyle w:val="Hyperlink"/>
                <w:noProof/>
              </w:rPr>
              <w:t>1.3.</w:t>
            </w:r>
            <w:r w:rsidR="00F1267B">
              <w:rPr>
                <w:rFonts w:eastAsiaTheme="minorEastAsia"/>
                <w:noProof/>
                <w:lang w:eastAsia="en-AU"/>
              </w:rPr>
              <w:tab/>
            </w:r>
            <w:r w:rsidR="00F1267B" w:rsidRPr="005221C5">
              <w:rPr>
                <w:rStyle w:val="Hyperlink"/>
                <w:noProof/>
              </w:rPr>
              <w:t>Food labelling</w:t>
            </w:r>
            <w:r w:rsidR="00F1267B">
              <w:rPr>
                <w:noProof/>
                <w:webHidden/>
              </w:rPr>
              <w:tab/>
            </w:r>
            <w:r w:rsidR="00F1267B">
              <w:rPr>
                <w:noProof/>
                <w:webHidden/>
              </w:rPr>
              <w:fldChar w:fldCharType="begin"/>
            </w:r>
            <w:r w:rsidR="00F1267B">
              <w:rPr>
                <w:noProof/>
                <w:webHidden/>
              </w:rPr>
              <w:instrText xml:space="preserve"> PAGEREF _Toc151719060 \h </w:instrText>
            </w:r>
            <w:r w:rsidR="00F1267B">
              <w:rPr>
                <w:noProof/>
                <w:webHidden/>
              </w:rPr>
            </w:r>
            <w:r w:rsidR="00F1267B">
              <w:rPr>
                <w:noProof/>
                <w:webHidden/>
              </w:rPr>
              <w:fldChar w:fldCharType="separate"/>
            </w:r>
            <w:r w:rsidR="00F1267B">
              <w:rPr>
                <w:noProof/>
                <w:webHidden/>
              </w:rPr>
              <w:t>6</w:t>
            </w:r>
            <w:r w:rsidR="00F1267B">
              <w:rPr>
                <w:noProof/>
                <w:webHidden/>
              </w:rPr>
              <w:fldChar w:fldCharType="end"/>
            </w:r>
          </w:hyperlink>
        </w:p>
        <w:p w14:paraId="05EC90FA" w14:textId="6485FA2D" w:rsidR="00F1267B" w:rsidRDefault="00F24B22">
          <w:pPr>
            <w:pStyle w:val="TOC2"/>
            <w:tabs>
              <w:tab w:val="left" w:pos="880"/>
            </w:tabs>
            <w:rPr>
              <w:rFonts w:eastAsiaTheme="minorEastAsia"/>
              <w:noProof/>
              <w:lang w:eastAsia="en-AU"/>
            </w:rPr>
          </w:pPr>
          <w:hyperlink w:anchor="_Toc151719061" w:history="1">
            <w:r w:rsidR="00F1267B" w:rsidRPr="005221C5">
              <w:rPr>
                <w:rStyle w:val="Hyperlink"/>
                <w:noProof/>
              </w:rPr>
              <w:t>1.4.</w:t>
            </w:r>
            <w:r w:rsidR="00F1267B">
              <w:rPr>
                <w:rFonts w:eastAsiaTheme="minorEastAsia"/>
                <w:noProof/>
                <w:lang w:eastAsia="en-AU"/>
              </w:rPr>
              <w:tab/>
            </w:r>
            <w:r w:rsidR="00F1267B" w:rsidRPr="005221C5">
              <w:rPr>
                <w:rStyle w:val="Hyperlink"/>
                <w:noProof/>
              </w:rPr>
              <w:t>What consumers want to know</w:t>
            </w:r>
            <w:r w:rsidR="00F1267B">
              <w:rPr>
                <w:noProof/>
                <w:webHidden/>
              </w:rPr>
              <w:tab/>
            </w:r>
            <w:r w:rsidR="00F1267B">
              <w:rPr>
                <w:noProof/>
                <w:webHidden/>
              </w:rPr>
              <w:fldChar w:fldCharType="begin"/>
            </w:r>
            <w:r w:rsidR="00F1267B">
              <w:rPr>
                <w:noProof/>
                <w:webHidden/>
              </w:rPr>
              <w:instrText xml:space="preserve"> PAGEREF _Toc151719061 \h </w:instrText>
            </w:r>
            <w:r w:rsidR="00F1267B">
              <w:rPr>
                <w:noProof/>
                <w:webHidden/>
              </w:rPr>
            </w:r>
            <w:r w:rsidR="00F1267B">
              <w:rPr>
                <w:noProof/>
                <w:webHidden/>
              </w:rPr>
              <w:fldChar w:fldCharType="separate"/>
            </w:r>
            <w:r w:rsidR="00F1267B">
              <w:rPr>
                <w:noProof/>
                <w:webHidden/>
              </w:rPr>
              <w:t>7</w:t>
            </w:r>
            <w:r w:rsidR="00F1267B">
              <w:rPr>
                <w:noProof/>
                <w:webHidden/>
              </w:rPr>
              <w:fldChar w:fldCharType="end"/>
            </w:r>
          </w:hyperlink>
        </w:p>
        <w:p w14:paraId="5F826FE1" w14:textId="5C60304A" w:rsidR="00F1267B" w:rsidRDefault="00F24B22">
          <w:pPr>
            <w:pStyle w:val="TOC2"/>
            <w:tabs>
              <w:tab w:val="left" w:pos="880"/>
            </w:tabs>
            <w:rPr>
              <w:rFonts w:eastAsiaTheme="minorEastAsia"/>
              <w:noProof/>
              <w:lang w:eastAsia="en-AU"/>
            </w:rPr>
          </w:pPr>
          <w:hyperlink w:anchor="_Toc151719062" w:history="1">
            <w:r w:rsidR="00F1267B" w:rsidRPr="005221C5">
              <w:rPr>
                <w:rStyle w:val="Hyperlink"/>
                <w:noProof/>
              </w:rPr>
              <w:t>1.5.</w:t>
            </w:r>
            <w:r w:rsidR="00F1267B">
              <w:rPr>
                <w:rFonts w:eastAsiaTheme="minorEastAsia"/>
                <w:noProof/>
                <w:lang w:eastAsia="en-AU"/>
              </w:rPr>
              <w:tab/>
            </w:r>
            <w:r w:rsidR="00F1267B" w:rsidRPr="005221C5">
              <w:rPr>
                <w:rStyle w:val="Hyperlink"/>
                <w:noProof/>
              </w:rPr>
              <w:t>Seafood CoOL policy context</w:t>
            </w:r>
            <w:r w:rsidR="00F1267B">
              <w:rPr>
                <w:noProof/>
                <w:webHidden/>
              </w:rPr>
              <w:tab/>
            </w:r>
            <w:r w:rsidR="00F1267B">
              <w:rPr>
                <w:noProof/>
                <w:webHidden/>
              </w:rPr>
              <w:fldChar w:fldCharType="begin"/>
            </w:r>
            <w:r w:rsidR="00F1267B">
              <w:rPr>
                <w:noProof/>
                <w:webHidden/>
              </w:rPr>
              <w:instrText xml:space="preserve"> PAGEREF _Toc151719062 \h </w:instrText>
            </w:r>
            <w:r w:rsidR="00F1267B">
              <w:rPr>
                <w:noProof/>
                <w:webHidden/>
              </w:rPr>
            </w:r>
            <w:r w:rsidR="00F1267B">
              <w:rPr>
                <w:noProof/>
                <w:webHidden/>
              </w:rPr>
              <w:fldChar w:fldCharType="separate"/>
            </w:r>
            <w:r w:rsidR="00F1267B">
              <w:rPr>
                <w:noProof/>
                <w:webHidden/>
              </w:rPr>
              <w:t>8</w:t>
            </w:r>
            <w:r w:rsidR="00F1267B">
              <w:rPr>
                <w:noProof/>
                <w:webHidden/>
              </w:rPr>
              <w:fldChar w:fldCharType="end"/>
            </w:r>
          </w:hyperlink>
        </w:p>
        <w:p w14:paraId="2A0AF942" w14:textId="0837851C" w:rsidR="00F1267B" w:rsidRDefault="00F24B22">
          <w:pPr>
            <w:pStyle w:val="TOC1"/>
            <w:rPr>
              <w:rFonts w:eastAsiaTheme="minorEastAsia"/>
              <w:noProof/>
              <w:lang w:eastAsia="en-AU"/>
            </w:rPr>
          </w:pPr>
          <w:hyperlink w:anchor="_Toc151719063" w:history="1">
            <w:r w:rsidR="00F1267B" w:rsidRPr="005221C5">
              <w:rPr>
                <w:rStyle w:val="Hyperlink"/>
                <w:noProof/>
              </w:rPr>
              <w:t>2.</w:t>
            </w:r>
            <w:r w:rsidR="00F1267B">
              <w:rPr>
                <w:rFonts w:eastAsiaTheme="minorEastAsia"/>
                <w:noProof/>
                <w:lang w:eastAsia="en-AU"/>
              </w:rPr>
              <w:tab/>
            </w:r>
            <w:r w:rsidR="00F1267B" w:rsidRPr="005221C5">
              <w:rPr>
                <w:rStyle w:val="Hyperlink"/>
                <w:noProof/>
              </w:rPr>
              <w:t>What is the problem?</w:t>
            </w:r>
            <w:r w:rsidR="00F1267B">
              <w:rPr>
                <w:noProof/>
                <w:webHidden/>
              </w:rPr>
              <w:tab/>
            </w:r>
            <w:r w:rsidR="00F1267B">
              <w:rPr>
                <w:noProof/>
                <w:webHidden/>
              </w:rPr>
              <w:fldChar w:fldCharType="begin"/>
            </w:r>
            <w:r w:rsidR="00F1267B">
              <w:rPr>
                <w:noProof/>
                <w:webHidden/>
              </w:rPr>
              <w:instrText xml:space="preserve"> PAGEREF _Toc151719063 \h </w:instrText>
            </w:r>
            <w:r w:rsidR="00F1267B">
              <w:rPr>
                <w:noProof/>
                <w:webHidden/>
              </w:rPr>
            </w:r>
            <w:r w:rsidR="00F1267B">
              <w:rPr>
                <w:noProof/>
                <w:webHidden/>
              </w:rPr>
              <w:fldChar w:fldCharType="separate"/>
            </w:r>
            <w:r w:rsidR="00F1267B">
              <w:rPr>
                <w:noProof/>
                <w:webHidden/>
              </w:rPr>
              <w:t>10</w:t>
            </w:r>
            <w:r w:rsidR="00F1267B">
              <w:rPr>
                <w:noProof/>
                <w:webHidden/>
              </w:rPr>
              <w:fldChar w:fldCharType="end"/>
            </w:r>
          </w:hyperlink>
        </w:p>
        <w:p w14:paraId="02092FBF" w14:textId="09829003" w:rsidR="00F1267B" w:rsidRDefault="00F24B22">
          <w:pPr>
            <w:pStyle w:val="TOC2"/>
            <w:tabs>
              <w:tab w:val="left" w:pos="880"/>
            </w:tabs>
            <w:rPr>
              <w:rFonts w:eastAsiaTheme="minorEastAsia"/>
              <w:noProof/>
              <w:lang w:eastAsia="en-AU"/>
            </w:rPr>
          </w:pPr>
          <w:hyperlink w:anchor="_Toc151719064" w:history="1">
            <w:r w:rsidR="00F1267B" w:rsidRPr="005221C5">
              <w:rPr>
                <w:rStyle w:val="Hyperlink"/>
                <w:noProof/>
              </w:rPr>
              <w:t>2.1.</w:t>
            </w:r>
            <w:r w:rsidR="00F1267B">
              <w:rPr>
                <w:rFonts w:eastAsiaTheme="minorEastAsia"/>
                <w:noProof/>
                <w:lang w:eastAsia="en-AU"/>
              </w:rPr>
              <w:tab/>
            </w:r>
            <w:r w:rsidR="00F1267B" w:rsidRPr="005221C5">
              <w:rPr>
                <w:rStyle w:val="Hyperlink"/>
                <w:noProof/>
              </w:rPr>
              <w:t>Defining the problem</w:t>
            </w:r>
            <w:r w:rsidR="00F1267B">
              <w:rPr>
                <w:noProof/>
                <w:webHidden/>
              </w:rPr>
              <w:tab/>
            </w:r>
            <w:r w:rsidR="00F1267B">
              <w:rPr>
                <w:noProof/>
                <w:webHidden/>
              </w:rPr>
              <w:fldChar w:fldCharType="begin"/>
            </w:r>
            <w:r w:rsidR="00F1267B">
              <w:rPr>
                <w:noProof/>
                <w:webHidden/>
              </w:rPr>
              <w:instrText xml:space="preserve"> PAGEREF _Toc151719064 \h </w:instrText>
            </w:r>
            <w:r w:rsidR="00F1267B">
              <w:rPr>
                <w:noProof/>
                <w:webHidden/>
              </w:rPr>
            </w:r>
            <w:r w:rsidR="00F1267B">
              <w:rPr>
                <w:noProof/>
                <w:webHidden/>
              </w:rPr>
              <w:fldChar w:fldCharType="separate"/>
            </w:r>
            <w:r w:rsidR="00F1267B">
              <w:rPr>
                <w:noProof/>
                <w:webHidden/>
              </w:rPr>
              <w:t>10</w:t>
            </w:r>
            <w:r w:rsidR="00F1267B">
              <w:rPr>
                <w:noProof/>
                <w:webHidden/>
              </w:rPr>
              <w:fldChar w:fldCharType="end"/>
            </w:r>
          </w:hyperlink>
        </w:p>
        <w:p w14:paraId="357972E7" w14:textId="305B54CE" w:rsidR="00F1267B" w:rsidRDefault="00F24B22">
          <w:pPr>
            <w:pStyle w:val="TOC2"/>
            <w:tabs>
              <w:tab w:val="left" w:pos="880"/>
            </w:tabs>
            <w:rPr>
              <w:rFonts w:eastAsiaTheme="minorEastAsia"/>
              <w:noProof/>
              <w:lang w:eastAsia="en-AU"/>
            </w:rPr>
          </w:pPr>
          <w:hyperlink w:anchor="_Toc151719065" w:history="1">
            <w:r w:rsidR="00F1267B" w:rsidRPr="005221C5">
              <w:rPr>
                <w:rStyle w:val="Hyperlink"/>
                <w:noProof/>
              </w:rPr>
              <w:t>2.2.</w:t>
            </w:r>
            <w:r w:rsidR="00F1267B">
              <w:rPr>
                <w:rFonts w:eastAsiaTheme="minorEastAsia"/>
                <w:noProof/>
                <w:lang w:eastAsia="en-AU"/>
              </w:rPr>
              <w:tab/>
            </w:r>
            <w:r w:rsidR="00F1267B" w:rsidRPr="005221C5">
              <w:rPr>
                <w:rStyle w:val="Hyperlink"/>
                <w:noProof/>
              </w:rPr>
              <w:t>Why is this a problem?</w:t>
            </w:r>
            <w:r w:rsidR="00F1267B">
              <w:rPr>
                <w:noProof/>
                <w:webHidden/>
              </w:rPr>
              <w:tab/>
            </w:r>
            <w:r w:rsidR="00F1267B">
              <w:rPr>
                <w:noProof/>
                <w:webHidden/>
              </w:rPr>
              <w:fldChar w:fldCharType="begin"/>
            </w:r>
            <w:r w:rsidR="00F1267B">
              <w:rPr>
                <w:noProof/>
                <w:webHidden/>
              </w:rPr>
              <w:instrText xml:space="preserve"> PAGEREF _Toc151719065 \h </w:instrText>
            </w:r>
            <w:r w:rsidR="00F1267B">
              <w:rPr>
                <w:noProof/>
                <w:webHidden/>
              </w:rPr>
            </w:r>
            <w:r w:rsidR="00F1267B">
              <w:rPr>
                <w:noProof/>
                <w:webHidden/>
              </w:rPr>
              <w:fldChar w:fldCharType="separate"/>
            </w:r>
            <w:r w:rsidR="00F1267B">
              <w:rPr>
                <w:noProof/>
                <w:webHidden/>
              </w:rPr>
              <w:t>11</w:t>
            </w:r>
            <w:r w:rsidR="00F1267B">
              <w:rPr>
                <w:noProof/>
                <w:webHidden/>
              </w:rPr>
              <w:fldChar w:fldCharType="end"/>
            </w:r>
          </w:hyperlink>
        </w:p>
        <w:p w14:paraId="0F39CA76" w14:textId="29CFB302" w:rsidR="00F1267B" w:rsidRDefault="00F24B22">
          <w:pPr>
            <w:pStyle w:val="TOC2"/>
            <w:tabs>
              <w:tab w:val="left" w:pos="880"/>
            </w:tabs>
            <w:rPr>
              <w:rFonts w:eastAsiaTheme="minorEastAsia"/>
              <w:noProof/>
              <w:lang w:eastAsia="en-AU"/>
            </w:rPr>
          </w:pPr>
          <w:hyperlink w:anchor="_Toc151719066" w:history="1">
            <w:r w:rsidR="00F1267B" w:rsidRPr="005221C5">
              <w:rPr>
                <w:rStyle w:val="Hyperlink"/>
                <w:noProof/>
              </w:rPr>
              <w:t>2.3.</w:t>
            </w:r>
            <w:r w:rsidR="00F1267B">
              <w:rPr>
                <w:rFonts w:eastAsiaTheme="minorEastAsia"/>
                <w:noProof/>
                <w:lang w:eastAsia="en-AU"/>
              </w:rPr>
              <w:tab/>
            </w:r>
            <w:r w:rsidR="00F1267B" w:rsidRPr="005221C5">
              <w:rPr>
                <w:rStyle w:val="Hyperlink"/>
                <w:noProof/>
              </w:rPr>
              <w:t>What is the extent of the problem?</w:t>
            </w:r>
            <w:r w:rsidR="00F1267B">
              <w:rPr>
                <w:noProof/>
                <w:webHidden/>
              </w:rPr>
              <w:tab/>
            </w:r>
            <w:r w:rsidR="00F1267B">
              <w:rPr>
                <w:noProof/>
                <w:webHidden/>
              </w:rPr>
              <w:fldChar w:fldCharType="begin"/>
            </w:r>
            <w:r w:rsidR="00F1267B">
              <w:rPr>
                <w:noProof/>
                <w:webHidden/>
              </w:rPr>
              <w:instrText xml:space="preserve"> PAGEREF _Toc151719066 \h </w:instrText>
            </w:r>
            <w:r w:rsidR="00F1267B">
              <w:rPr>
                <w:noProof/>
                <w:webHidden/>
              </w:rPr>
            </w:r>
            <w:r w:rsidR="00F1267B">
              <w:rPr>
                <w:noProof/>
                <w:webHidden/>
              </w:rPr>
              <w:fldChar w:fldCharType="separate"/>
            </w:r>
            <w:r w:rsidR="00F1267B">
              <w:rPr>
                <w:noProof/>
                <w:webHidden/>
              </w:rPr>
              <w:t>11</w:t>
            </w:r>
            <w:r w:rsidR="00F1267B">
              <w:rPr>
                <w:noProof/>
                <w:webHidden/>
              </w:rPr>
              <w:fldChar w:fldCharType="end"/>
            </w:r>
          </w:hyperlink>
        </w:p>
        <w:p w14:paraId="3718C05F" w14:textId="4D636A24" w:rsidR="00F1267B" w:rsidRDefault="00F24B22">
          <w:pPr>
            <w:pStyle w:val="TOC2"/>
            <w:tabs>
              <w:tab w:val="left" w:pos="880"/>
            </w:tabs>
            <w:rPr>
              <w:rFonts w:eastAsiaTheme="minorEastAsia"/>
              <w:noProof/>
              <w:lang w:eastAsia="en-AU"/>
            </w:rPr>
          </w:pPr>
          <w:hyperlink w:anchor="_Toc151719067" w:history="1">
            <w:r w:rsidR="00F1267B" w:rsidRPr="005221C5">
              <w:rPr>
                <w:rStyle w:val="Hyperlink"/>
                <w:noProof/>
              </w:rPr>
              <w:t>2.4.</w:t>
            </w:r>
            <w:r w:rsidR="00F1267B">
              <w:rPr>
                <w:rFonts w:eastAsiaTheme="minorEastAsia"/>
                <w:noProof/>
                <w:lang w:eastAsia="en-AU"/>
              </w:rPr>
              <w:tab/>
            </w:r>
            <w:r w:rsidR="00F1267B" w:rsidRPr="005221C5">
              <w:rPr>
                <w:rStyle w:val="Hyperlink"/>
                <w:noProof/>
              </w:rPr>
              <w:t>What are the impacts of the problem on stakeholders?</w:t>
            </w:r>
            <w:r w:rsidR="00F1267B">
              <w:rPr>
                <w:noProof/>
                <w:webHidden/>
              </w:rPr>
              <w:tab/>
            </w:r>
            <w:r w:rsidR="00F1267B">
              <w:rPr>
                <w:noProof/>
                <w:webHidden/>
              </w:rPr>
              <w:fldChar w:fldCharType="begin"/>
            </w:r>
            <w:r w:rsidR="00F1267B">
              <w:rPr>
                <w:noProof/>
                <w:webHidden/>
              </w:rPr>
              <w:instrText xml:space="preserve"> PAGEREF _Toc151719067 \h </w:instrText>
            </w:r>
            <w:r w:rsidR="00F1267B">
              <w:rPr>
                <w:noProof/>
                <w:webHidden/>
              </w:rPr>
            </w:r>
            <w:r w:rsidR="00F1267B">
              <w:rPr>
                <w:noProof/>
                <w:webHidden/>
              </w:rPr>
              <w:fldChar w:fldCharType="separate"/>
            </w:r>
            <w:r w:rsidR="00F1267B">
              <w:rPr>
                <w:noProof/>
                <w:webHidden/>
              </w:rPr>
              <w:t>12</w:t>
            </w:r>
            <w:r w:rsidR="00F1267B">
              <w:rPr>
                <w:noProof/>
                <w:webHidden/>
              </w:rPr>
              <w:fldChar w:fldCharType="end"/>
            </w:r>
          </w:hyperlink>
        </w:p>
        <w:p w14:paraId="4B98DC7F" w14:textId="19937E9C" w:rsidR="00F1267B" w:rsidRDefault="00F24B22">
          <w:pPr>
            <w:pStyle w:val="TOC1"/>
            <w:rPr>
              <w:rFonts w:eastAsiaTheme="minorEastAsia"/>
              <w:noProof/>
              <w:lang w:eastAsia="en-AU"/>
            </w:rPr>
          </w:pPr>
          <w:hyperlink w:anchor="_Toc151719068" w:history="1">
            <w:r w:rsidR="00F1267B" w:rsidRPr="005221C5">
              <w:rPr>
                <w:rStyle w:val="Hyperlink"/>
                <w:noProof/>
              </w:rPr>
              <w:t>3.</w:t>
            </w:r>
            <w:r w:rsidR="00F1267B">
              <w:rPr>
                <w:rFonts w:eastAsiaTheme="minorEastAsia"/>
                <w:noProof/>
                <w:lang w:eastAsia="en-AU"/>
              </w:rPr>
              <w:tab/>
            </w:r>
            <w:r w:rsidR="00F1267B" w:rsidRPr="005221C5">
              <w:rPr>
                <w:rStyle w:val="Hyperlink"/>
                <w:noProof/>
              </w:rPr>
              <w:t>Why is government action needed?</w:t>
            </w:r>
            <w:r w:rsidR="00F1267B">
              <w:rPr>
                <w:noProof/>
                <w:webHidden/>
              </w:rPr>
              <w:tab/>
            </w:r>
            <w:r w:rsidR="00F1267B">
              <w:rPr>
                <w:noProof/>
                <w:webHidden/>
              </w:rPr>
              <w:fldChar w:fldCharType="begin"/>
            </w:r>
            <w:r w:rsidR="00F1267B">
              <w:rPr>
                <w:noProof/>
                <w:webHidden/>
              </w:rPr>
              <w:instrText xml:space="preserve"> PAGEREF _Toc151719068 \h </w:instrText>
            </w:r>
            <w:r w:rsidR="00F1267B">
              <w:rPr>
                <w:noProof/>
                <w:webHidden/>
              </w:rPr>
            </w:r>
            <w:r w:rsidR="00F1267B">
              <w:rPr>
                <w:noProof/>
                <w:webHidden/>
              </w:rPr>
              <w:fldChar w:fldCharType="separate"/>
            </w:r>
            <w:r w:rsidR="00F1267B">
              <w:rPr>
                <w:noProof/>
                <w:webHidden/>
              </w:rPr>
              <w:t>13</w:t>
            </w:r>
            <w:r w:rsidR="00F1267B">
              <w:rPr>
                <w:noProof/>
                <w:webHidden/>
              </w:rPr>
              <w:fldChar w:fldCharType="end"/>
            </w:r>
          </w:hyperlink>
        </w:p>
        <w:p w14:paraId="424FC1C3" w14:textId="2E3C5834" w:rsidR="00F1267B" w:rsidRDefault="00F24B22">
          <w:pPr>
            <w:pStyle w:val="TOC2"/>
            <w:tabs>
              <w:tab w:val="left" w:pos="880"/>
            </w:tabs>
            <w:rPr>
              <w:rFonts w:eastAsiaTheme="minorEastAsia"/>
              <w:noProof/>
              <w:lang w:eastAsia="en-AU"/>
            </w:rPr>
          </w:pPr>
          <w:hyperlink w:anchor="_Toc151719069" w:history="1">
            <w:r w:rsidR="00F1267B" w:rsidRPr="005221C5">
              <w:rPr>
                <w:rStyle w:val="Hyperlink"/>
                <w:noProof/>
              </w:rPr>
              <w:t>3.1.</w:t>
            </w:r>
            <w:r w:rsidR="00F1267B">
              <w:rPr>
                <w:rFonts w:eastAsiaTheme="minorEastAsia"/>
                <w:noProof/>
                <w:lang w:eastAsia="en-AU"/>
              </w:rPr>
              <w:tab/>
            </w:r>
            <w:r w:rsidR="00F1267B" w:rsidRPr="005221C5">
              <w:rPr>
                <w:rStyle w:val="Hyperlink"/>
                <w:noProof/>
              </w:rPr>
              <w:t>Objective of government intervention</w:t>
            </w:r>
            <w:r w:rsidR="00F1267B">
              <w:rPr>
                <w:noProof/>
                <w:webHidden/>
              </w:rPr>
              <w:tab/>
            </w:r>
            <w:r w:rsidR="00F1267B">
              <w:rPr>
                <w:noProof/>
                <w:webHidden/>
              </w:rPr>
              <w:fldChar w:fldCharType="begin"/>
            </w:r>
            <w:r w:rsidR="00F1267B">
              <w:rPr>
                <w:noProof/>
                <w:webHidden/>
              </w:rPr>
              <w:instrText xml:space="preserve"> PAGEREF _Toc151719069 \h </w:instrText>
            </w:r>
            <w:r w:rsidR="00F1267B">
              <w:rPr>
                <w:noProof/>
                <w:webHidden/>
              </w:rPr>
            </w:r>
            <w:r w:rsidR="00F1267B">
              <w:rPr>
                <w:noProof/>
                <w:webHidden/>
              </w:rPr>
              <w:fldChar w:fldCharType="separate"/>
            </w:r>
            <w:r w:rsidR="00F1267B">
              <w:rPr>
                <w:noProof/>
                <w:webHidden/>
              </w:rPr>
              <w:t>13</w:t>
            </w:r>
            <w:r w:rsidR="00F1267B">
              <w:rPr>
                <w:noProof/>
                <w:webHidden/>
              </w:rPr>
              <w:fldChar w:fldCharType="end"/>
            </w:r>
          </w:hyperlink>
        </w:p>
        <w:p w14:paraId="08C93693" w14:textId="547B490E" w:rsidR="00F1267B" w:rsidRDefault="00F24B22">
          <w:pPr>
            <w:pStyle w:val="TOC2"/>
            <w:tabs>
              <w:tab w:val="left" w:pos="880"/>
            </w:tabs>
            <w:rPr>
              <w:rFonts w:eastAsiaTheme="minorEastAsia"/>
              <w:noProof/>
              <w:lang w:eastAsia="en-AU"/>
            </w:rPr>
          </w:pPr>
          <w:hyperlink w:anchor="_Toc151719070" w:history="1">
            <w:r w:rsidR="00F1267B" w:rsidRPr="005221C5">
              <w:rPr>
                <w:rStyle w:val="Hyperlink"/>
                <w:noProof/>
              </w:rPr>
              <w:t>3.2.</w:t>
            </w:r>
            <w:r w:rsidR="00F1267B">
              <w:rPr>
                <w:rFonts w:eastAsiaTheme="minorEastAsia"/>
                <w:noProof/>
                <w:lang w:eastAsia="en-AU"/>
              </w:rPr>
              <w:tab/>
            </w:r>
            <w:r w:rsidR="00F1267B" w:rsidRPr="005221C5">
              <w:rPr>
                <w:rStyle w:val="Hyperlink"/>
                <w:noProof/>
              </w:rPr>
              <w:t>Alternatives to government action</w:t>
            </w:r>
            <w:r w:rsidR="00F1267B">
              <w:rPr>
                <w:noProof/>
                <w:webHidden/>
              </w:rPr>
              <w:tab/>
            </w:r>
            <w:r w:rsidR="00F1267B">
              <w:rPr>
                <w:noProof/>
                <w:webHidden/>
              </w:rPr>
              <w:fldChar w:fldCharType="begin"/>
            </w:r>
            <w:r w:rsidR="00F1267B">
              <w:rPr>
                <w:noProof/>
                <w:webHidden/>
              </w:rPr>
              <w:instrText xml:space="preserve"> PAGEREF _Toc151719070 \h </w:instrText>
            </w:r>
            <w:r w:rsidR="00F1267B">
              <w:rPr>
                <w:noProof/>
                <w:webHidden/>
              </w:rPr>
            </w:r>
            <w:r w:rsidR="00F1267B">
              <w:rPr>
                <w:noProof/>
                <w:webHidden/>
              </w:rPr>
              <w:fldChar w:fldCharType="separate"/>
            </w:r>
            <w:r w:rsidR="00F1267B">
              <w:rPr>
                <w:noProof/>
                <w:webHidden/>
              </w:rPr>
              <w:t>14</w:t>
            </w:r>
            <w:r w:rsidR="00F1267B">
              <w:rPr>
                <w:noProof/>
                <w:webHidden/>
              </w:rPr>
              <w:fldChar w:fldCharType="end"/>
            </w:r>
          </w:hyperlink>
        </w:p>
        <w:p w14:paraId="2A3F6BFD" w14:textId="52D7FBAF" w:rsidR="00F1267B" w:rsidRDefault="00F24B22">
          <w:pPr>
            <w:pStyle w:val="TOC2"/>
            <w:tabs>
              <w:tab w:val="left" w:pos="880"/>
            </w:tabs>
            <w:rPr>
              <w:rFonts w:eastAsiaTheme="minorEastAsia"/>
              <w:noProof/>
              <w:lang w:eastAsia="en-AU"/>
            </w:rPr>
          </w:pPr>
          <w:hyperlink w:anchor="_Toc151719071" w:history="1">
            <w:r w:rsidR="00F1267B" w:rsidRPr="005221C5">
              <w:rPr>
                <w:rStyle w:val="Hyperlink"/>
                <w:noProof/>
              </w:rPr>
              <w:t>3.3.</w:t>
            </w:r>
            <w:r w:rsidR="00F1267B">
              <w:rPr>
                <w:rFonts w:eastAsiaTheme="minorEastAsia"/>
                <w:noProof/>
                <w:lang w:eastAsia="en-AU"/>
              </w:rPr>
              <w:tab/>
            </w:r>
            <w:r w:rsidR="00F1267B" w:rsidRPr="005221C5">
              <w:rPr>
                <w:rStyle w:val="Hyperlink"/>
                <w:noProof/>
              </w:rPr>
              <w:t>Case study – Northern Territory</w:t>
            </w:r>
            <w:r w:rsidR="00F1267B">
              <w:rPr>
                <w:noProof/>
                <w:webHidden/>
              </w:rPr>
              <w:tab/>
            </w:r>
            <w:r w:rsidR="00F1267B">
              <w:rPr>
                <w:noProof/>
                <w:webHidden/>
              </w:rPr>
              <w:fldChar w:fldCharType="begin"/>
            </w:r>
            <w:r w:rsidR="00F1267B">
              <w:rPr>
                <w:noProof/>
                <w:webHidden/>
              </w:rPr>
              <w:instrText xml:space="preserve"> PAGEREF _Toc151719071 \h </w:instrText>
            </w:r>
            <w:r w:rsidR="00F1267B">
              <w:rPr>
                <w:noProof/>
                <w:webHidden/>
              </w:rPr>
            </w:r>
            <w:r w:rsidR="00F1267B">
              <w:rPr>
                <w:noProof/>
                <w:webHidden/>
              </w:rPr>
              <w:fldChar w:fldCharType="separate"/>
            </w:r>
            <w:r w:rsidR="00F1267B">
              <w:rPr>
                <w:noProof/>
                <w:webHidden/>
              </w:rPr>
              <w:t>15</w:t>
            </w:r>
            <w:r w:rsidR="00F1267B">
              <w:rPr>
                <w:noProof/>
                <w:webHidden/>
              </w:rPr>
              <w:fldChar w:fldCharType="end"/>
            </w:r>
          </w:hyperlink>
        </w:p>
        <w:p w14:paraId="5E1E806E" w14:textId="578E308C" w:rsidR="00F1267B" w:rsidRDefault="00F24B22">
          <w:pPr>
            <w:pStyle w:val="TOC1"/>
            <w:rPr>
              <w:rFonts w:eastAsiaTheme="minorEastAsia"/>
              <w:noProof/>
              <w:lang w:eastAsia="en-AU"/>
            </w:rPr>
          </w:pPr>
          <w:hyperlink w:anchor="_Toc151719072" w:history="1">
            <w:r w:rsidR="00F1267B" w:rsidRPr="005221C5">
              <w:rPr>
                <w:rStyle w:val="Hyperlink"/>
                <w:noProof/>
              </w:rPr>
              <w:t>4.</w:t>
            </w:r>
            <w:r w:rsidR="00F1267B">
              <w:rPr>
                <w:rFonts w:eastAsiaTheme="minorEastAsia"/>
                <w:noProof/>
                <w:lang w:eastAsia="en-AU"/>
              </w:rPr>
              <w:tab/>
            </w:r>
            <w:r w:rsidR="00F1267B" w:rsidRPr="005221C5">
              <w:rPr>
                <w:rStyle w:val="Hyperlink"/>
                <w:noProof/>
              </w:rPr>
              <w:t>What are the policy options?</w:t>
            </w:r>
            <w:r w:rsidR="00F1267B">
              <w:rPr>
                <w:noProof/>
                <w:webHidden/>
              </w:rPr>
              <w:tab/>
            </w:r>
            <w:r w:rsidR="00F1267B">
              <w:rPr>
                <w:noProof/>
                <w:webHidden/>
              </w:rPr>
              <w:fldChar w:fldCharType="begin"/>
            </w:r>
            <w:r w:rsidR="00F1267B">
              <w:rPr>
                <w:noProof/>
                <w:webHidden/>
              </w:rPr>
              <w:instrText xml:space="preserve"> PAGEREF _Toc151719072 \h </w:instrText>
            </w:r>
            <w:r w:rsidR="00F1267B">
              <w:rPr>
                <w:noProof/>
                <w:webHidden/>
              </w:rPr>
            </w:r>
            <w:r w:rsidR="00F1267B">
              <w:rPr>
                <w:noProof/>
                <w:webHidden/>
              </w:rPr>
              <w:fldChar w:fldCharType="separate"/>
            </w:r>
            <w:r w:rsidR="00F1267B">
              <w:rPr>
                <w:noProof/>
                <w:webHidden/>
              </w:rPr>
              <w:t>17</w:t>
            </w:r>
            <w:r w:rsidR="00F1267B">
              <w:rPr>
                <w:noProof/>
                <w:webHidden/>
              </w:rPr>
              <w:fldChar w:fldCharType="end"/>
            </w:r>
          </w:hyperlink>
        </w:p>
        <w:p w14:paraId="5331ECA7" w14:textId="0D882590" w:rsidR="00F1267B" w:rsidRDefault="00F24B22">
          <w:pPr>
            <w:pStyle w:val="TOC2"/>
            <w:tabs>
              <w:tab w:val="left" w:pos="880"/>
            </w:tabs>
            <w:rPr>
              <w:rFonts w:eastAsiaTheme="minorEastAsia"/>
              <w:noProof/>
              <w:lang w:eastAsia="en-AU"/>
            </w:rPr>
          </w:pPr>
          <w:hyperlink w:anchor="_Toc151719073" w:history="1">
            <w:r w:rsidR="00F1267B" w:rsidRPr="005221C5">
              <w:rPr>
                <w:rStyle w:val="Hyperlink"/>
                <w:noProof/>
              </w:rPr>
              <w:t>4.1.</w:t>
            </w:r>
            <w:r w:rsidR="00F1267B">
              <w:rPr>
                <w:rFonts w:eastAsiaTheme="minorEastAsia"/>
                <w:noProof/>
                <w:lang w:eastAsia="en-AU"/>
              </w:rPr>
              <w:tab/>
            </w:r>
            <w:r w:rsidR="00F1267B" w:rsidRPr="005221C5">
              <w:rPr>
                <w:rStyle w:val="Hyperlink"/>
                <w:noProof/>
              </w:rPr>
              <w:t>Option 1: No change</w:t>
            </w:r>
            <w:r w:rsidR="00F1267B">
              <w:rPr>
                <w:noProof/>
                <w:webHidden/>
              </w:rPr>
              <w:tab/>
            </w:r>
            <w:r w:rsidR="00F1267B">
              <w:rPr>
                <w:noProof/>
                <w:webHidden/>
              </w:rPr>
              <w:fldChar w:fldCharType="begin"/>
            </w:r>
            <w:r w:rsidR="00F1267B">
              <w:rPr>
                <w:noProof/>
                <w:webHidden/>
              </w:rPr>
              <w:instrText xml:space="preserve"> PAGEREF _Toc151719073 \h </w:instrText>
            </w:r>
            <w:r w:rsidR="00F1267B">
              <w:rPr>
                <w:noProof/>
                <w:webHidden/>
              </w:rPr>
            </w:r>
            <w:r w:rsidR="00F1267B">
              <w:rPr>
                <w:noProof/>
                <w:webHidden/>
              </w:rPr>
              <w:fldChar w:fldCharType="separate"/>
            </w:r>
            <w:r w:rsidR="00F1267B">
              <w:rPr>
                <w:noProof/>
                <w:webHidden/>
              </w:rPr>
              <w:t>17</w:t>
            </w:r>
            <w:r w:rsidR="00F1267B">
              <w:rPr>
                <w:noProof/>
                <w:webHidden/>
              </w:rPr>
              <w:fldChar w:fldCharType="end"/>
            </w:r>
          </w:hyperlink>
        </w:p>
        <w:p w14:paraId="3D50A3B3" w14:textId="44C92E24" w:rsidR="00F1267B" w:rsidRDefault="00F24B22">
          <w:pPr>
            <w:pStyle w:val="TOC2"/>
            <w:tabs>
              <w:tab w:val="left" w:pos="880"/>
            </w:tabs>
            <w:rPr>
              <w:rFonts w:eastAsiaTheme="minorEastAsia"/>
              <w:noProof/>
              <w:lang w:eastAsia="en-AU"/>
            </w:rPr>
          </w:pPr>
          <w:hyperlink w:anchor="_Toc151719074" w:history="1">
            <w:r w:rsidR="00F1267B" w:rsidRPr="005221C5">
              <w:rPr>
                <w:rStyle w:val="Hyperlink"/>
                <w:noProof/>
              </w:rPr>
              <w:t>4.2.</w:t>
            </w:r>
            <w:r w:rsidR="00F1267B">
              <w:rPr>
                <w:rFonts w:eastAsiaTheme="minorEastAsia"/>
                <w:noProof/>
                <w:lang w:eastAsia="en-AU"/>
              </w:rPr>
              <w:tab/>
            </w:r>
            <w:r w:rsidR="00F1267B" w:rsidRPr="005221C5">
              <w:rPr>
                <w:rStyle w:val="Hyperlink"/>
                <w:noProof/>
              </w:rPr>
              <w:t>Option 2: ACL information standard – AIM model</w:t>
            </w:r>
            <w:r w:rsidR="00F1267B">
              <w:rPr>
                <w:noProof/>
                <w:webHidden/>
              </w:rPr>
              <w:tab/>
            </w:r>
            <w:r w:rsidR="00F1267B">
              <w:rPr>
                <w:noProof/>
                <w:webHidden/>
              </w:rPr>
              <w:fldChar w:fldCharType="begin"/>
            </w:r>
            <w:r w:rsidR="00F1267B">
              <w:rPr>
                <w:noProof/>
                <w:webHidden/>
              </w:rPr>
              <w:instrText xml:space="preserve"> PAGEREF _Toc151719074 \h </w:instrText>
            </w:r>
            <w:r w:rsidR="00F1267B">
              <w:rPr>
                <w:noProof/>
                <w:webHidden/>
              </w:rPr>
            </w:r>
            <w:r w:rsidR="00F1267B">
              <w:rPr>
                <w:noProof/>
                <w:webHidden/>
              </w:rPr>
              <w:fldChar w:fldCharType="separate"/>
            </w:r>
            <w:r w:rsidR="00F1267B">
              <w:rPr>
                <w:noProof/>
                <w:webHidden/>
              </w:rPr>
              <w:t>17</w:t>
            </w:r>
            <w:r w:rsidR="00F1267B">
              <w:rPr>
                <w:noProof/>
                <w:webHidden/>
              </w:rPr>
              <w:fldChar w:fldCharType="end"/>
            </w:r>
          </w:hyperlink>
        </w:p>
        <w:p w14:paraId="59A4EC7B" w14:textId="1B55B6B3" w:rsidR="00F1267B" w:rsidRDefault="00F24B22">
          <w:pPr>
            <w:pStyle w:val="TOC2"/>
            <w:tabs>
              <w:tab w:val="left" w:pos="880"/>
            </w:tabs>
            <w:rPr>
              <w:rFonts w:eastAsiaTheme="minorEastAsia"/>
              <w:noProof/>
              <w:lang w:eastAsia="en-AU"/>
            </w:rPr>
          </w:pPr>
          <w:hyperlink w:anchor="_Toc151719075" w:history="1">
            <w:r w:rsidR="00F1267B" w:rsidRPr="005221C5">
              <w:rPr>
                <w:rStyle w:val="Hyperlink"/>
                <w:noProof/>
              </w:rPr>
              <w:t>4.3.</w:t>
            </w:r>
            <w:r w:rsidR="00F1267B">
              <w:rPr>
                <w:rFonts w:eastAsiaTheme="minorEastAsia"/>
                <w:noProof/>
                <w:lang w:eastAsia="en-AU"/>
              </w:rPr>
              <w:tab/>
            </w:r>
            <w:r w:rsidR="00F1267B" w:rsidRPr="005221C5">
              <w:rPr>
                <w:rStyle w:val="Hyperlink"/>
                <w:noProof/>
              </w:rPr>
              <w:t>Option 3: ACL information standard – Country model</w:t>
            </w:r>
            <w:r w:rsidR="00F1267B">
              <w:rPr>
                <w:noProof/>
                <w:webHidden/>
              </w:rPr>
              <w:tab/>
            </w:r>
            <w:r w:rsidR="00F1267B">
              <w:rPr>
                <w:noProof/>
                <w:webHidden/>
              </w:rPr>
              <w:fldChar w:fldCharType="begin"/>
            </w:r>
            <w:r w:rsidR="00F1267B">
              <w:rPr>
                <w:noProof/>
                <w:webHidden/>
              </w:rPr>
              <w:instrText xml:space="preserve"> PAGEREF _Toc151719075 \h </w:instrText>
            </w:r>
            <w:r w:rsidR="00F1267B">
              <w:rPr>
                <w:noProof/>
                <w:webHidden/>
              </w:rPr>
            </w:r>
            <w:r w:rsidR="00F1267B">
              <w:rPr>
                <w:noProof/>
                <w:webHidden/>
              </w:rPr>
              <w:fldChar w:fldCharType="separate"/>
            </w:r>
            <w:r w:rsidR="00F1267B">
              <w:rPr>
                <w:noProof/>
                <w:webHidden/>
              </w:rPr>
              <w:t>19</w:t>
            </w:r>
            <w:r w:rsidR="00F1267B">
              <w:rPr>
                <w:noProof/>
                <w:webHidden/>
              </w:rPr>
              <w:fldChar w:fldCharType="end"/>
            </w:r>
          </w:hyperlink>
        </w:p>
        <w:p w14:paraId="27111E73" w14:textId="704F9D6B" w:rsidR="00F1267B" w:rsidRDefault="00F24B22">
          <w:pPr>
            <w:pStyle w:val="TOC1"/>
            <w:rPr>
              <w:rFonts w:eastAsiaTheme="minorEastAsia"/>
              <w:noProof/>
              <w:lang w:eastAsia="en-AU"/>
            </w:rPr>
          </w:pPr>
          <w:hyperlink w:anchor="_Toc151719076" w:history="1">
            <w:r w:rsidR="00F1267B" w:rsidRPr="005221C5">
              <w:rPr>
                <w:rStyle w:val="Hyperlink"/>
                <w:noProof/>
              </w:rPr>
              <w:t>5.</w:t>
            </w:r>
            <w:r w:rsidR="00F1267B">
              <w:rPr>
                <w:rFonts w:eastAsiaTheme="minorEastAsia"/>
                <w:noProof/>
                <w:lang w:eastAsia="en-AU"/>
              </w:rPr>
              <w:tab/>
            </w:r>
            <w:r w:rsidR="00F1267B" w:rsidRPr="005221C5">
              <w:rPr>
                <w:rStyle w:val="Hyperlink"/>
                <w:noProof/>
              </w:rPr>
              <w:t>What is the net benefit of each option?</w:t>
            </w:r>
            <w:r w:rsidR="00F1267B">
              <w:rPr>
                <w:noProof/>
                <w:webHidden/>
              </w:rPr>
              <w:tab/>
            </w:r>
            <w:r w:rsidR="00F1267B">
              <w:rPr>
                <w:noProof/>
                <w:webHidden/>
              </w:rPr>
              <w:fldChar w:fldCharType="begin"/>
            </w:r>
            <w:r w:rsidR="00F1267B">
              <w:rPr>
                <w:noProof/>
                <w:webHidden/>
              </w:rPr>
              <w:instrText xml:space="preserve"> PAGEREF _Toc151719076 \h </w:instrText>
            </w:r>
            <w:r w:rsidR="00F1267B">
              <w:rPr>
                <w:noProof/>
                <w:webHidden/>
              </w:rPr>
            </w:r>
            <w:r w:rsidR="00F1267B">
              <w:rPr>
                <w:noProof/>
                <w:webHidden/>
              </w:rPr>
              <w:fldChar w:fldCharType="separate"/>
            </w:r>
            <w:r w:rsidR="00F1267B">
              <w:rPr>
                <w:noProof/>
                <w:webHidden/>
              </w:rPr>
              <w:t>21</w:t>
            </w:r>
            <w:r w:rsidR="00F1267B">
              <w:rPr>
                <w:noProof/>
                <w:webHidden/>
              </w:rPr>
              <w:fldChar w:fldCharType="end"/>
            </w:r>
          </w:hyperlink>
        </w:p>
        <w:p w14:paraId="56C9ED9B" w14:textId="6193D64C" w:rsidR="00F1267B" w:rsidRDefault="00F24B22">
          <w:pPr>
            <w:pStyle w:val="TOC2"/>
            <w:tabs>
              <w:tab w:val="left" w:pos="880"/>
            </w:tabs>
            <w:rPr>
              <w:rFonts w:eastAsiaTheme="minorEastAsia"/>
              <w:noProof/>
              <w:lang w:eastAsia="en-AU"/>
            </w:rPr>
          </w:pPr>
          <w:hyperlink w:anchor="_Toc151719077" w:history="1">
            <w:r w:rsidR="00F1267B" w:rsidRPr="005221C5">
              <w:rPr>
                <w:rStyle w:val="Hyperlink"/>
                <w:noProof/>
              </w:rPr>
              <w:t>5.1.</w:t>
            </w:r>
            <w:r w:rsidR="00F1267B">
              <w:rPr>
                <w:rFonts w:eastAsiaTheme="minorEastAsia"/>
                <w:noProof/>
                <w:lang w:eastAsia="en-AU"/>
              </w:rPr>
              <w:tab/>
            </w:r>
            <w:r w:rsidR="00F1267B" w:rsidRPr="005221C5">
              <w:rPr>
                <w:rStyle w:val="Hyperlink"/>
                <w:noProof/>
              </w:rPr>
              <w:t>Key findings</w:t>
            </w:r>
            <w:r w:rsidR="00F1267B">
              <w:rPr>
                <w:noProof/>
                <w:webHidden/>
              </w:rPr>
              <w:tab/>
            </w:r>
            <w:r w:rsidR="00F1267B">
              <w:rPr>
                <w:noProof/>
                <w:webHidden/>
              </w:rPr>
              <w:fldChar w:fldCharType="begin"/>
            </w:r>
            <w:r w:rsidR="00F1267B">
              <w:rPr>
                <w:noProof/>
                <w:webHidden/>
              </w:rPr>
              <w:instrText xml:space="preserve"> PAGEREF _Toc151719077 \h </w:instrText>
            </w:r>
            <w:r w:rsidR="00F1267B">
              <w:rPr>
                <w:noProof/>
                <w:webHidden/>
              </w:rPr>
            </w:r>
            <w:r w:rsidR="00F1267B">
              <w:rPr>
                <w:noProof/>
                <w:webHidden/>
              </w:rPr>
              <w:fldChar w:fldCharType="separate"/>
            </w:r>
            <w:r w:rsidR="00F1267B">
              <w:rPr>
                <w:noProof/>
                <w:webHidden/>
              </w:rPr>
              <w:t>21</w:t>
            </w:r>
            <w:r w:rsidR="00F1267B">
              <w:rPr>
                <w:noProof/>
                <w:webHidden/>
              </w:rPr>
              <w:fldChar w:fldCharType="end"/>
            </w:r>
          </w:hyperlink>
        </w:p>
        <w:p w14:paraId="1BAD2642" w14:textId="324573B6" w:rsidR="00F1267B" w:rsidRDefault="00F24B22">
          <w:pPr>
            <w:pStyle w:val="TOC2"/>
            <w:tabs>
              <w:tab w:val="left" w:pos="880"/>
            </w:tabs>
            <w:rPr>
              <w:rFonts w:eastAsiaTheme="minorEastAsia"/>
              <w:noProof/>
              <w:lang w:eastAsia="en-AU"/>
            </w:rPr>
          </w:pPr>
          <w:hyperlink w:anchor="_Toc151719078" w:history="1">
            <w:r w:rsidR="00F1267B" w:rsidRPr="005221C5">
              <w:rPr>
                <w:rStyle w:val="Hyperlink"/>
                <w:noProof/>
              </w:rPr>
              <w:t>5.2.</w:t>
            </w:r>
            <w:r w:rsidR="00F1267B">
              <w:rPr>
                <w:rFonts w:eastAsiaTheme="minorEastAsia"/>
                <w:noProof/>
                <w:lang w:eastAsia="en-AU"/>
              </w:rPr>
              <w:tab/>
            </w:r>
            <w:r w:rsidR="00F1267B" w:rsidRPr="005221C5">
              <w:rPr>
                <w:rStyle w:val="Hyperlink"/>
                <w:noProof/>
              </w:rPr>
              <w:t>Data</w:t>
            </w:r>
            <w:r w:rsidR="00F1267B">
              <w:rPr>
                <w:noProof/>
                <w:webHidden/>
              </w:rPr>
              <w:tab/>
            </w:r>
            <w:r w:rsidR="00F1267B">
              <w:rPr>
                <w:noProof/>
                <w:webHidden/>
              </w:rPr>
              <w:fldChar w:fldCharType="begin"/>
            </w:r>
            <w:r w:rsidR="00F1267B">
              <w:rPr>
                <w:noProof/>
                <w:webHidden/>
              </w:rPr>
              <w:instrText xml:space="preserve"> PAGEREF _Toc151719078 \h </w:instrText>
            </w:r>
            <w:r w:rsidR="00F1267B">
              <w:rPr>
                <w:noProof/>
                <w:webHidden/>
              </w:rPr>
            </w:r>
            <w:r w:rsidR="00F1267B">
              <w:rPr>
                <w:noProof/>
                <w:webHidden/>
              </w:rPr>
              <w:fldChar w:fldCharType="separate"/>
            </w:r>
            <w:r w:rsidR="00F1267B">
              <w:rPr>
                <w:noProof/>
                <w:webHidden/>
              </w:rPr>
              <w:t>23</w:t>
            </w:r>
            <w:r w:rsidR="00F1267B">
              <w:rPr>
                <w:noProof/>
                <w:webHidden/>
              </w:rPr>
              <w:fldChar w:fldCharType="end"/>
            </w:r>
          </w:hyperlink>
        </w:p>
        <w:p w14:paraId="5CA16860" w14:textId="02E995BC" w:rsidR="00F1267B" w:rsidRDefault="00F24B22">
          <w:pPr>
            <w:pStyle w:val="TOC2"/>
            <w:tabs>
              <w:tab w:val="left" w:pos="880"/>
            </w:tabs>
            <w:rPr>
              <w:rFonts w:eastAsiaTheme="minorEastAsia"/>
              <w:noProof/>
              <w:lang w:eastAsia="en-AU"/>
            </w:rPr>
          </w:pPr>
          <w:hyperlink w:anchor="_Toc151719079" w:history="1">
            <w:r w:rsidR="00F1267B" w:rsidRPr="005221C5">
              <w:rPr>
                <w:rStyle w:val="Hyperlink"/>
                <w:noProof/>
              </w:rPr>
              <w:t>5.3.</w:t>
            </w:r>
            <w:r w:rsidR="00F1267B">
              <w:rPr>
                <w:rFonts w:eastAsiaTheme="minorEastAsia"/>
                <w:noProof/>
                <w:lang w:eastAsia="en-AU"/>
              </w:rPr>
              <w:tab/>
            </w:r>
            <w:r w:rsidR="00F1267B" w:rsidRPr="005221C5">
              <w:rPr>
                <w:rStyle w:val="Hyperlink"/>
                <w:noProof/>
              </w:rPr>
              <w:t>Option 1: No change</w:t>
            </w:r>
            <w:r w:rsidR="00F1267B">
              <w:rPr>
                <w:noProof/>
                <w:webHidden/>
              </w:rPr>
              <w:tab/>
            </w:r>
            <w:r w:rsidR="00F1267B">
              <w:rPr>
                <w:noProof/>
                <w:webHidden/>
              </w:rPr>
              <w:fldChar w:fldCharType="begin"/>
            </w:r>
            <w:r w:rsidR="00F1267B">
              <w:rPr>
                <w:noProof/>
                <w:webHidden/>
              </w:rPr>
              <w:instrText xml:space="preserve"> PAGEREF _Toc151719079 \h </w:instrText>
            </w:r>
            <w:r w:rsidR="00F1267B">
              <w:rPr>
                <w:noProof/>
                <w:webHidden/>
              </w:rPr>
            </w:r>
            <w:r w:rsidR="00F1267B">
              <w:rPr>
                <w:noProof/>
                <w:webHidden/>
              </w:rPr>
              <w:fldChar w:fldCharType="separate"/>
            </w:r>
            <w:r w:rsidR="00F1267B">
              <w:rPr>
                <w:noProof/>
                <w:webHidden/>
              </w:rPr>
              <w:t>27</w:t>
            </w:r>
            <w:r w:rsidR="00F1267B">
              <w:rPr>
                <w:noProof/>
                <w:webHidden/>
              </w:rPr>
              <w:fldChar w:fldCharType="end"/>
            </w:r>
          </w:hyperlink>
        </w:p>
        <w:p w14:paraId="372DFFC5" w14:textId="2A1461B0" w:rsidR="00F1267B" w:rsidRDefault="00F24B22">
          <w:pPr>
            <w:pStyle w:val="TOC2"/>
            <w:tabs>
              <w:tab w:val="left" w:pos="880"/>
            </w:tabs>
            <w:rPr>
              <w:rFonts w:eastAsiaTheme="minorEastAsia"/>
              <w:noProof/>
              <w:lang w:eastAsia="en-AU"/>
            </w:rPr>
          </w:pPr>
          <w:hyperlink w:anchor="_Toc151719080" w:history="1">
            <w:r w:rsidR="00F1267B" w:rsidRPr="005221C5">
              <w:rPr>
                <w:rStyle w:val="Hyperlink"/>
                <w:noProof/>
              </w:rPr>
              <w:t>5.4.</w:t>
            </w:r>
            <w:r w:rsidR="00F1267B">
              <w:rPr>
                <w:rFonts w:eastAsiaTheme="minorEastAsia"/>
                <w:noProof/>
                <w:lang w:eastAsia="en-AU"/>
              </w:rPr>
              <w:tab/>
            </w:r>
            <w:r w:rsidR="00F1267B" w:rsidRPr="005221C5">
              <w:rPr>
                <w:rStyle w:val="Hyperlink"/>
                <w:noProof/>
              </w:rPr>
              <w:t>Option 2: ACL information standard – AIM model</w:t>
            </w:r>
            <w:r w:rsidR="00F1267B">
              <w:rPr>
                <w:noProof/>
                <w:webHidden/>
              </w:rPr>
              <w:tab/>
            </w:r>
            <w:r w:rsidR="00F1267B">
              <w:rPr>
                <w:noProof/>
                <w:webHidden/>
              </w:rPr>
              <w:fldChar w:fldCharType="begin"/>
            </w:r>
            <w:r w:rsidR="00F1267B">
              <w:rPr>
                <w:noProof/>
                <w:webHidden/>
              </w:rPr>
              <w:instrText xml:space="preserve"> PAGEREF _Toc151719080 \h </w:instrText>
            </w:r>
            <w:r w:rsidR="00F1267B">
              <w:rPr>
                <w:noProof/>
                <w:webHidden/>
              </w:rPr>
            </w:r>
            <w:r w:rsidR="00F1267B">
              <w:rPr>
                <w:noProof/>
                <w:webHidden/>
              </w:rPr>
              <w:fldChar w:fldCharType="separate"/>
            </w:r>
            <w:r w:rsidR="00F1267B">
              <w:rPr>
                <w:noProof/>
                <w:webHidden/>
              </w:rPr>
              <w:t>27</w:t>
            </w:r>
            <w:r w:rsidR="00F1267B">
              <w:rPr>
                <w:noProof/>
                <w:webHidden/>
              </w:rPr>
              <w:fldChar w:fldCharType="end"/>
            </w:r>
          </w:hyperlink>
        </w:p>
        <w:p w14:paraId="7AB9FAAF" w14:textId="7D0361F0" w:rsidR="00F1267B" w:rsidRDefault="00F24B22">
          <w:pPr>
            <w:pStyle w:val="TOC2"/>
            <w:tabs>
              <w:tab w:val="left" w:pos="880"/>
            </w:tabs>
            <w:rPr>
              <w:rFonts w:eastAsiaTheme="minorEastAsia"/>
              <w:noProof/>
              <w:lang w:eastAsia="en-AU"/>
            </w:rPr>
          </w:pPr>
          <w:hyperlink w:anchor="_Toc151719081" w:history="1">
            <w:r w:rsidR="00F1267B" w:rsidRPr="005221C5">
              <w:rPr>
                <w:rStyle w:val="Hyperlink"/>
                <w:noProof/>
              </w:rPr>
              <w:t>5.5.</w:t>
            </w:r>
            <w:r w:rsidR="00F1267B">
              <w:rPr>
                <w:rFonts w:eastAsiaTheme="minorEastAsia"/>
                <w:noProof/>
                <w:lang w:eastAsia="en-AU"/>
              </w:rPr>
              <w:tab/>
            </w:r>
            <w:r w:rsidR="00F1267B" w:rsidRPr="005221C5">
              <w:rPr>
                <w:rStyle w:val="Hyperlink"/>
                <w:noProof/>
              </w:rPr>
              <w:t>Option 3: ACL information standard – Country model</w:t>
            </w:r>
            <w:r w:rsidR="00F1267B">
              <w:rPr>
                <w:noProof/>
                <w:webHidden/>
              </w:rPr>
              <w:tab/>
            </w:r>
            <w:r w:rsidR="00F1267B">
              <w:rPr>
                <w:noProof/>
                <w:webHidden/>
              </w:rPr>
              <w:fldChar w:fldCharType="begin"/>
            </w:r>
            <w:r w:rsidR="00F1267B">
              <w:rPr>
                <w:noProof/>
                <w:webHidden/>
              </w:rPr>
              <w:instrText xml:space="preserve"> PAGEREF _Toc151719081 \h </w:instrText>
            </w:r>
            <w:r w:rsidR="00F1267B">
              <w:rPr>
                <w:noProof/>
                <w:webHidden/>
              </w:rPr>
            </w:r>
            <w:r w:rsidR="00F1267B">
              <w:rPr>
                <w:noProof/>
                <w:webHidden/>
              </w:rPr>
              <w:fldChar w:fldCharType="separate"/>
            </w:r>
            <w:r w:rsidR="00F1267B">
              <w:rPr>
                <w:noProof/>
                <w:webHidden/>
              </w:rPr>
              <w:t>29</w:t>
            </w:r>
            <w:r w:rsidR="00F1267B">
              <w:rPr>
                <w:noProof/>
                <w:webHidden/>
              </w:rPr>
              <w:fldChar w:fldCharType="end"/>
            </w:r>
          </w:hyperlink>
        </w:p>
        <w:p w14:paraId="4BD30EC6" w14:textId="639E7C2C" w:rsidR="00F1267B" w:rsidRDefault="00F24B22">
          <w:pPr>
            <w:pStyle w:val="TOC1"/>
            <w:rPr>
              <w:rFonts w:eastAsiaTheme="minorEastAsia"/>
              <w:noProof/>
              <w:lang w:eastAsia="en-AU"/>
            </w:rPr>
          </w:pPr>
          <w:hyperlink w:anchor="_Toc151719082" w:history="1">
            <w:r w:rsidR="00F1267B" w:rsidRPr="005221C5">
              <w:rPr>
                <w:rStyle w:val="Hyperlink"/>
                <w:noProof/>
              </w:rPr>
              <w:t>6.</w:t>
            </w:r>
            <w:r w:rsidR="00F1267B">
              <w:rPr>
                <w:rFonts w:eastAsiaTheme="minorEastAsia"/>
                <w:noProof/>
                <w:lang w:eastAsia="en-AU"/>
              </w:rPr>
              <w:tab/>
            </w:r>
            <w:r w:rsidR="00F1267B" w:rsidRPr="005221C5">
              <w:rPr>
                <w:rStyle w:val="Hyperlink"/>
                <w:noProof/>
              </w:rPr>
              <w:t>Who did we consult and how did we incorporate their feedback?</w:t>
            </w:r>
            <w:r w:rsidR="00F1267B">
              <w:rPr>
                <w:noProof/>
                <w:webHidden/>
              </w:rPr>
              <w:tab/>
            </w:r>
            <w:r w:rsidR="00F1267B">
              <w:rPr>
                <w:noProof/>
                <w:webHidden/>
              </w:rPr>
              <w:fldChar w:fldCharType="begin"/>
            </w:r>
            <w:r w:rsidR="00F1267B">
              <w:rPr>
                <w:noProof/>
                <w:webHidden/>
              </w:rPr>
              <w:instrText xml:space="preserve"> PAGEREF _Toc151719082 \h </w:instrText>
            </w:r>
            <w:r w:rsidR="00F1267B">
              <w:rPr>
                <w:noProof/>
                <w:webHidden/>
              </w:rPr>
            </w:r>
            <w:r w:rsidR="00F1267B">
              <w:rPr>
                <w:noProof/>
                <w:webHidden/>
              </w:rPr>
              <w:fldChar w:fldCharType="separate"/>
            </w:r>
            <w:r w:rsidR="00F1267B">
              <w:rPr>
                <w:noProof/>
                <w:webHidden/>
              </w:rPr>
              <w:t>31</w:t>
            </w:r>
            <w:r w:rsidR="00F1267B">
              <w:rPr>
                <w:noProof/>
                <w:webHidden/>
              </w:rPr>
              <w:fldChar w:fldCharType="end"/>
            </w:r>
          </w:hyperlink>
        </w:p>
        <w:p w14:paraId="7AEA9DDD" w14:textId="5F642EC5" w:rsidR="00F1267B" w:rsidRDefault="00F24B22">
          <w:pPr>
            <w:pStyle w:val="TOC2"/>
            <w:tabs>
              <w:tab w:val="left" w:pos="880"/>
            </w:tabs>
            <w:rPr>
              <w:rFonts w:eastAsiaTheme="minorEastAsia"/>
              <w:noProof/>
              <w:lang w:eastAsia="en-AU"/>
            </w:rPr>
          </w:pPr>
          <w:hyperlink w:anchor="_Toc151719083" w:history="1">
            <w:r w:rsidR="00F1267B" w:rsidRPr="005221C5">
              <w:rPr>
                <w:rStyle w:val="Hyperlink"/>
                <w:noProof/>
              </w:rPr>
              <w:t>6.1.</w:t>
            </w:r>
            <w:r w:rsidR="00F1267B">
              <w:rPr>
                <w:rFonts w:eastAsiaTheme="minorEastAsia"/>
                <w:noProof/>
                <w:lang w:eastAsia="en-AU"/>
              </w:rPr>
              <w:tab/>
            </w:r>
            <w:r w:rsidR="00F1267B" w:rsidRPr="005221C5">
              <w:rPr>
                <w:rStyle w:val="Hyperlink"/>
                <w:noProof/>
              </w:rPr>
              <w:t>Consultation approach</w:t>
            </w:r>
            <w:r w:rsidR="00F1267B">
              <w:rPr>
                <w:noProof/>
                <w:webHidden/>
              </w:rPr>
              <w:tab/>
            </w:r>
            <w:r w:rsidR="00F1267B">
              <w:rPr>
                <w:noProof/>
                <w:webHidden/>
              </w:rPr>
              <w:fldChar w:fldCharType="begin"/>
            </w:r>
            <w:r w:rsidR="00F1267B">
              <w:rPr>
                <w:noProof/>
                <w:webHidden/>
              </w:rPr>
              <w:instrText xml:space="preserve"> PAGEREF _Toc151719083 \h </w:instrText>
            </w:r>
            <w:r w:rsidR="00F1267B">
              <w:rPr>
                <w:noProof/>
                <w:webHidden/>
              </w:rPr>
            </w:r>
            <w:r w:rsidR="00F1267B">
              <w:rPr>
                <w:noProof/>
                <w:webHidden/>
              </w:rPr>
              <w:fldChar w:fldCharType="separate"/>
            </w:r>
            <w:r w:rsidR="00F1267B">
              <w:rPr>
                <w:noProof/>
                <w:webHidden/>
              </w:rPr>
              <w:t>31</w:t>
            </w:r>
            <w:r w:rsidR="00F1267B">
              <w:rPr>
                <w:noProof/>
                <w:webHidden/>
              </w:rPr>
              <w:fldChar w:fldCharType="end"/>
            </w:r>
          </w:hyperlink>
        </w:p>
        <w:p w14:paraId="15B7229F" w14:textId="670DC794" w:rsidR="00F1267B" w:rsidRDefault="00F24B22">
          <w:pPr>
            <w:pStyle w:val="TOC2"/>
            <w:tabs>
              <w:tab w:val="left" w:pos="880"/>
            </w:tabs>
            <w:rPr>
              <w:rFonts w:eastAsiaTheme="minorEastAsia"/>
              <w:noProof/>
              <w:lang w:eastAsia="en-AU"/>
            </w:rPr>
          </w:pPr>
          <w:hyperlink w:anchor="_Toc151719084" w:history="1">
            <w:r w:rsidR="00F1267B" w:rsidRPr="005221C5">
              <w:rPr>
                <w:rStyle w:val="Hyperlink"/>
                <w:noProof/>
              </w:rPr>
              <w:t>6.2.</w:t>
            </w:r>
            <w:r w:rsidR="00F1267B">
              <w:rPr>
                <w:rFonts w:eastAsiaTheme="minorEastAsia"/>
                <w:noProof/>
                <w:lang w:eastAsia="en-AU"/>
              </w:rPr>
              <w:tab/>
            </w:r>
            <w:r w:rsidR="00F1267B" w:rsidRPr="005221C5">
              <w:rPr>
                <w:rStyle w:val="Hyperlink"/>
                <w:noProof/>
              </w:rPr>
              <w:t>Stakeholder feedback</w:t>
            </w:r>
            <w:r w:rsidR="00F1267B">
              <w:rPr>
                <w:noProof/>
                <w:webHidden/>
              </w:rPr>
              <w:tab/>
            </w:r>
            <w:r w:rsidR="00F1267B">
              <w:rPr>
                <w:noProof/>
                <w:webHidden/>
              </w:rPr>
              <w:fldChar w:fldCharType="begin"/>
            </w:r>
            <w:r w:rsidR="00F1267B">
              <w:rPr>
                <w:noProof/>
                <w:webHidden/>
              </w:rPr>
              <w:instrText xml:space="preserve"> PAGEREF _Toc151719084 \h </w:instrText>
            </w:r>
            <w:r w:rsidR="00F1267B">
              <w:rPr>
                <w:noProof/>
                <w:webHidden/>
              </w:rPr>
            </w:r>
            <w:r w:rsidR="00F1267B">
              <w:rPr>
                <w:noProof/>
                <w:webHidden/>
              </w:rPr>
              <w:fldChar w:fldCharType="separate"/>
            </w:r>
            <w:r w:rsidR="00F1267B">
              <w:rPr>
                <w:noProof/>
                <w:webHidden/>
              </w:rPr>
              <w:t>33</w:t>
            </w:r>
            <w:r w:rsidR="00F1267B">
              <w:rPr>
                <w:noProof/>
                <w:webHidden/>
              </w:rPr>
              <w:fldChar w:fldCharType="end"/>
            </w:r>
          </w:hyperlink>
        </w:p>
        <w:p w14:paraId="2DB7E0A4" w14:textId="3AD8EEC6" w:rsidR="00F1267B" w:rsidRDefault="00F24B22">
          <w:pPr>
            <w:pStyle w:val="TOC1"/>
            <w:rPr>
              <w:rFonts w:eastAsiaTheme="minorEastAsia"/>
              <w:noProof/>
              <w:lang w:eastAsia="en-AU"/>
            </w:rPr>
          </w:pPr>
          <w:hyperlink w:anchor="_Toc151719085" w:history="1">
            <w:r w:rsidR="00F1267B" w:rsidRPr="005221C5">
              <w:rPr>
                <w:rStyle w:val="Hyperlink"/>
                <w:noProof/>
              </w:rPr>
              <w:t>7.</w:t>
            </w:r>
            <w:r w:rsidR="00F1267B">
              <w:rPr>
                <w:rFonts w:eastAsiaTheme="minorEastAsia"/>
                <w:noProof/>
                <w:lang w:eastAsia="en-AU"/>
              </w:rPr>
              <w:tab/>
            </w:r>
            <w:r w:rsidR="00F1267B" w:rsidRPr="005221C5">
              <w:rPr>
                <w:rStyle w:val="Hyperlink"/>
                <w:noProof/>
              </w:rPr>
              <w:t>What is the best option from those we have considered and how will it be implemented?</w:t>
            </w:r>
            <w:r w:rsidR="00F1267B">
              <w:rPr>
                <w:noProof/>
                <w:webHidden/>
              </w:rPr>
              <w:tab/>
            </w:r>
            <w:r w:rsidR="00F1267B">
              <w:rPr>
                <w:noProof/>
                <w:webHidden/>
              </w:rPr>
              <w:fldChar w:fldCharType="begin"/>
            </w:r>
            <w:r w:rsidR="00F1267B">
              <w:rPr>
                <w:noProof/>
                <w:webHidden/>
              </w:rPr>
              <w:instrText xml:space="preserve"> PAGEREF _Toc151719085 \h </w:instrText>
            </w:r>
            <w:r w:rsidR="00F1267B">
              <w:rPr>
                <w:noProof/>
                <w:webHidden/>
              </w:rPr>
            </w:r>
            <w:r w:rsidR="00F1267B">
              <w:rPr>
                <w:noProof/>
                <w:webHidden/>
              </w:rPr>
              <w:fldChar w:fldCharType="separate"/>
            </w:r>
            <w:r w:rsidR="00F1267B">
              <w:rPr>
                <w:noProof/>
                <w:webHidden/>
              </w:rPr>
              <w:t>37</w:t>
            </w:r>
            <w:r w:rsidR="00F1267B">
              <w:rPr>
                <w:noProof/>
                <w:webHidden/>
              </w:rPr>
              <w:fldChar w:fldCharType="end"/>
            </w:r>
          </w:hyperlink>
        </w:p>
        <w:p w14:paraId="0231B3DF" w14:textId="3998AA6F" w:rsidR="00F1267B" w:rsidRDefault="00F24B22">
          <w:pPr>
            <w:pStyle w:val="TOC2"/>
            <w:tabs>
              <w:tab w:val="left" w:pos="880"/>
            </w:tabs>
            <w:rPr>
              <w:rFonts w:eastAsiaTheme="minorEastAsia"/>
              <w:noProof/>
              <w:lang w:eastAsia="en-AU"/>
            </w:rPr>
          </w:pPr>
          <w:hyperlink w:anchor="_Toc151719086" w:history="1">
            <w:r w:rsidR="00F1267B" w:rsidRPr="005221C5">
              <w:rPr>
                <w:rStyle w:val="Hyperlink"/>
                <w:noProof/>
              </w:rPr>
              <w:t>7.1.</w:t>
            </w:r>
            <w:r w:rsidR="00F1267B">
              <w:rPr>
                <w:rFonts w:eastAsiaTheme="minorEastAsia"/>
                <w:noProof/>
                <w:lang w:eastAsia="en-AU"/>
              </w:rPr>
              <w:tab/>
            </w:r>
            <w:r w:rsidR="00F1267B" w:rsidRPr="005221C5">
              <w:rPr>
                <w:rStyle w:val="Hyperlink"/>
                <w:noProof/>
              </w:rPr>
              <w:t>Recommendation</w:t>
            </w:r>
            <w:r w:rsidR="00F1267B">
              <w:rPr>
                <w:noProof/>
                <w:webHidden/>
              </w:rPr>
              <w:tab/>
            </w:r>
            <w:r w:rsidR="00F1267B">
              <w:rPr>
                <w:noProof/>
                <w:webHidden/>
              </w:rPr>
              <w:fldChar w:fldCharType="begin"/>
            </w:r>
            <w:r w:rsidR="00F1267B">
              <w:rPr>
                <w:noProof/>
                <w:webHidden/>
              </w:rPr>
              <w:instrText xml:space="preserve"> PAGEREF _Toc151719086 \h </w:instrText>
            </w:r>
            <w:r w:rsidR="00F1267B">
              <w:rPr>
                <w:noProof/>
                <w:webHidden/>
              </w:rPr>
            </w:r>
            <w:r w:rsidR="00F1267B">
              <w:rPr>
                <w:noProof/>
                <w:webHidden/>
              </w:rPr>
              <w:fldChar w:fldCharType="separate"/>
            </w:r>
            <w:r w:rsidR="00F1267B">
              <w:rPr>
                <w:noProof/>
                <w:webHidden/>
              </w:rPr>
              <w:t>37</w:t>
            </w:r>
            <w:r w:rsidR="00F1267B">
              <w:rPr>
                <w:noProof/>
                <w:webHidden/>
              </w:rPr>
              <w:fldChar w:fldCharType="end"/>
            </w:r>
          </w:hyperlink>
        </w:p>
        <w:p w14:paraId="47CE1FA5" w14:textId="511FCB41" w:rsidR="00F1267B" w:rsidRDefault="00F24B22">
          <w:pPr>
            <w:pStyle w:val="TOC2"/>
            <w:tabs>
              <w:tab w:val="left" w:pos="880"/>
            </w:tabs>
            <w:rPr>
              <w:rFonts w:eastAsiaTheme="minorEastAsia"/>
              <w:noProof/>
              <w:lang w:eastAsia="en-AU"/>
            </w:rPr>
          </w:pPr>
          <w:hyperlink w:anchor="_Toc151719087" w:history="1">
            <w:r w:rsidR="00F1267B" w:rsidRPr="005221C5">
              <w:rPr>
                <w:rStyle w:val="Hyperlink"/>
                <w:noProof/>
              </w:rPr>
              <w:t>7.2.</w:t>
            </w:r>
            <w:r w:rsidR="00F1267B">
              <w:rPr>
                <w:rFonts w:eastAsiaTheme="minorEastAsia"/>
                <w:noProof/>
                <w:lang w:eastAsia="en-AU"/>
              </w:rPr>
              <w:tab/>
            </w:r>
            <w:r w:rsidR="00F1267B" w:rsidRPr="005221C5">
              <w:rPr>
                <w:rStyle w:val="Hyperlink"/>
                <w:noProof/>
              </w:rPr>
              <w:t>Why are the other options not preferred?</w:t>
            </w:r>
            <w:r w:rsidR="00F1267B">
              <w:rPr>
                <w:noProof/>
                <w:webHidden/>
              </w:rPr>
              <w:tab/>
            </w:r>
            <w:r w:rsidR="00F1267B">
              <w:rPr>
                <w:noProof/>
                <w:webHidden/>
              </w:rPr>
              <w:fldChar w:fldCharType="begin"/>
            </w:r>
            <w:r w:rsidR="00F1267B">
              <w:rPr>
                <w:noProof/>
                <w:webHidden/>
              </w:rPr>
              <w:instrText xml:space="preserve"> PAGEREF _Toc151719087 \h </w:instrText>
            </w:r>
            <w:r w:rsidR="00F1267B">
              <w:rPr>
                <w:noProof/>
                <w:webHidden/>
              </w:rPr>
            </w:r>
            <w:r w:rsidR="00F1267B">
              <w:rPr>
                <w:noProof/>
                <w:webHidden/>
              </w:rPr>
              <w:fldChar w:fldCharType="separate"/>
            </w:r>
            <w:r w:rsidR="00F1267B">
              <w:rPr>
                <w:noProof/>
                <w:webHidden/>
              </w:rPr>
              <w:t>37</w:t>
            </w:r>
            <w:r w:rsidR="00F1267B">
              <w:rPr>
                <w:noProof/>
                <w:webHidden/>
              </w:rPr>
              <w:fldChar w:fldCharType="end"/>
            </w:r>
          </w:hyperlink>
        </w:p>
        <w:p w14:paraId="49A0C82C" w14:textId="5710DFEF" w:rsidR="00F1267B" w:rsidRDefault="00F24B22">
          <w:pPr>
            <w:pStyle w:val="TOC2"/>
            <w:tabs>
              <w:tab w:val="left" w:pos="880"/>
            </w:tabs>
            <w:rPr>
              <w:rFonts w:eastAsiaTheme="minorEastAsia"/>
              <w:noProof/>
              <w:lang w:eastAsia="en-AU"/>
            </w:rPr>
          </w:pPr>
          <w:hyperlink w:anchor="_Toc151719088" w:history="1">
            <w:r w:rsidR="00F1267B" w:rsidRPr="005221C5">
              <w:rPr>
                <w:rStyle w:val="Hyperlink"/>
                <w:noProof/>
              </w:rPr>
              <w:t>7.3.</w:t>
            </w:r>
            <w:r w:rsidR="00F1267B">
              <w:rPr>
                <w:rFonts w:eastAsiaTheme="minorEastAsia"/>
                <w:noProof/>
                <w:lang w:eastAsia="en-AU"/>
              </w:rPr>
              <w:tab/>
            </w:r>
            <w:r w:rsidR="00F1267B" w:rsidRPr="005221C5">
              <w:rPr>
                <w:rStyle w:val="Hyperlink"/>
                <w:noProof/>
              </w:rPr>
              <w:t>Implementation</w:t>
            </w:r>
            <w:r w:rsidR="00F1267B">
              <w:rPr>
                <w:noProof/>
                <w:webHidden/>
              </w:rPr>
              <w:tab/>
            </w:r>
            <w:r w:rsidR="00F1267B">
              <w:rPr>
                <w:noProof/>
                <w:webHidden/>
              </w:rPr>
              <w:fldChar w:fldCharType="begin"/>
            </w:r>
            <w:r w:rsidR="00F1267B">
              <w:rPr>
                <w:noProof/>
                <w:webHidden/>
              </w:rPr>
              <w:instrText xml:space="preserve"> PAGEREF _Toc151719088 \h </w:instrText>
            </w:r>
            <w:r w:rsidR="00F1267B">
              <w:rPr>
                <w:noProof/>
                <w:webHidden/>
              </w:rPr>
            </w:r>
            <w:r w:rsidR="00F1267B">
              <w:rPr>
                <w:noProof/>
                <w:webHidden/>
              </w:rPr>
              <w:fldChar w:fldCharType="separate"/>
            </w:r>
            <w:r w:rsidR="00F1267B">
              <w:rPr>
                <w:noProof/>
                <w:webHidden/>
              </w:rPr>
              <w:t>38</w:t>
            </w:r>
            <w:r w:rsidR="00F1267B">
              <w:rPr>
                <w:noProof/>
                <w:webHidden/>
              </w:rPr>
              <w:fldChar w:fldCharType="end"/>
            </w:r>
          </w:hyperlink>
        </w:p>
        <w:p w14:paraId="382C188D" w14:textId="00391A3B" w:rsidR="00F1267B" w:rsidRDefault="00F24B22">
          <w:pPr>
            <w:pStyle w:val="TOC2"/>
            <w:tabs>
              <w:tab w:val="left" w:pos="880"/>
            </w:tabs>
            <w:rPr>
              <w:rFonts w:eastAsiaTheme="minorEastAsia"/>
              <w:noProof/>
              <w:lang w:eastAsia="en-AU"/>
            </w:rPr>
          </w:pPr>
          <w:hyperlink w:anchor="_Toc151719089" w:history="1">
            <w:r w:rsidR="00F1267B" w:rsidRPr="005221C5">
              <w:rPr>
                <w:rStyle w:val="Hyperlink"/>
                <w:noProof/>
              </w:rPr>
              <w:t>7.4.</w:t>
            </w:r>
            <w:r w:rsidR="00F1267B">
              <w:rPr>
                <w:rFonts w:eastAsiaTheme="minorEastAsia"/>
                <w:noProof/>
                <w:lang w:eastAsia="en-AU"/>
              </w:rPr>
              <w:tab/>
            </w:r>
            <w:r w:rsidR="00F1267B" w:rsidRPr="005221C5">
              <w:rPr>
                <w:rStyle w:val="Hyperlink"/>
                <w:noProof/>
              </w:rPr>
              <w:t>Transition period</w:t>
            </w:r>
            <w:r w:rsidR="00F1267B">
              <w:rPr>
                <w:noProof/>
                <w:webHidden/>
              </w:rPr>
              <w:tab/>
            </w:r>
            <w:r w:rsidR="00F1267B">
              <w:rPr>
                <w:noProof/>
                <w:webHidden/>
              </w:rPr>
              <w:fldChar w:fldCharType="begin"/>
            </w:r>
            <w:r w:rsidR="00F1267B">
              <w:rPr>
                <w:noProof/>
                <w:webHidden/>
              </w:rPr>
              <w:instrText xml:space="preserve"> PAGEREF _Toc151719089 \h </w:instrText>
            </w:r>
            <w:r w:rsidR="00F1267B">
              <w:rPr>
                <w:noProof/>
                <w:webHidden/>
              </w:rPr>
            </w:r>
            <w:r w:rsidR="00F1267B">
              <w:rPr>
                <w:noProof/>
                <w:webHidden/>
              </w:rPr>
              <w:fldChar w:fldCharType="separate"/>
            </w:r>
            <w:r w:rsidR="00F1267B">
              <w:rPr>
                <w:noProof/>
                <w:webHidden/>
              </w:rPr>
              <w:t>39</w:t>
            </w:r>
            <w:r w:rsidR="00F1267B">
              <w:rPr>
                <w:noProof/>
                <w:webHidden/>
              </w:rPr>
              <w:fldChar w:fldCharType="end"/>
            </w:r>
          </w:hyperlink>
        </w:p>
        <w:p w14:paraId="0EB6A787" w14:textId="3DEE8A86" w:rsidR="00F1267B" w:rsidRDefault="00F24B22">
          <w:pPr>
            <w:pStyle w:val="TOC2"/>
            <w:tabs>
              <w:tab w:val="left" w:pos="880"/>
            </w:tabs>
            <w:rPr>
              <w:rFonts w:eastAsiaTheme="minorEastAsia"/>
              <w:noProof/>
              <w:lang w:eastAsia="en-AU"/>
            </w:rPr>
          </w:pPr>
          <w:hyperlink w:anchor="_Toc151719090" w:history="1">
            <w:r w:rsidR="00F1267B" w:rsidRPr="005221C5">
              <w:rPr>
                <w:rStyle w:val="Hyperlink"/>
                <w:noProof/>
              </w:rPr>
              <w:t>7.5.</w:t>
            </w:r>
            <w:r w:rsidR="00F1267B">
              <w:rPr>
                <w:rFonts w:eastAsiaTheme="minorEastAsia"/>
                <w:noProof/>
                <w:lang w:eastAsia="en-AU"/>
              </w:rPr>
              <w:tab/>
            </w:r>
            <w:r w:rsidR="00F1267B" w:rsidRPr="005221C5">
              <w:rPr>
                <w:rStyle w:val="Hyperlink"/>
                <w:noProof/>
              </w:rPr>
              <w:t>Implementation risks</w:t>
            </w:r>
            <w:r w:rsidR="00F1267B">
              <w:rPr>
                <w:noProof/>
                <w:webHidden/>
              </w:rPr>
              <w:tab/>
            </w:r>
            <w:r w:rsidR="00F1267B">
              <w:rPr>
                <w:noProof/>
                <w:webHidden/>
              </w:rPr>
              <w:fldChar w:fldCharType="begin"/>
            </w:r>
            <w:r w:rsidR="00F1267B">
              <w:rPr>
                <w:noProof/>
                <w:webHidden/>
              </w:rPr>
              <w:instrText xml:space="preserve"> PAGEREF _Toc151719090 \h </w:instrText>
            </w:r>
            <w:r w:rsidR="00F1267B">
              <w:rPr>
                <w:noProof/>
                <w:webHidden/>
              </w:rPr>
            </w:r>
            <w:r w:rsidR="00F1267B">
              <w:rPr>
                <w:noProof/>
                <w:webHidden/>
              </w:rPr>
              <w:fldChar w:fldCharType="separate"/>
            </w:r>
            <w:r w:rsidR="00F1267B">
              <w:rPr>
                <w:noProof/>
                <w:webHidden/>
              </w:rPr>
              <w:t>39</w:t>
            </w:r>
            <w:r w:rsidR="00F1267B">
              <w:rPr>
                <w:noProof/>
                <w:webHidden/>
              </w:rPr>
              <w:fldChar w:fldCharType="end"/>
            </w:r>
          </w:hyperlink>
        </w:p>
        <w:p w14:paraId="10459267" w14:textId="15B964E4" w:rsidR="00F1267B" w:rsidRDefault="00F24B22">
          <w:pPr>
            <w:pStyle w:val="TOC1"/>
            <w:rPr>
              <w:rFonts w:eastAsiaTheme="minorEastAsia"/>
              <w:noProof/>
              <w:lang w:eastAsia="en-AU"/>
            </w:rPr>
          </w:pPr>
          <w:hyperlink w:anchor="_Toc151719091" w:history="1">
            <w:r w:rsidR="00F1267B" w:rsidRPr="005221C5">
              <w:rPr>
                <w:rStyle w:val="Hyperlink"/>
                <w:noProof/>
              </w:rPr>
              <w:t>8.</w:t>
            </w:r>
            <w:r w:rsidR="00F1267B">
              <w:rPr>
                <w:rFonts w:eastAsiaTheme="minorEastAsia"/>
                <w:noProof/>
                <w:lang w:eastAsia="en-AU"/>
              </w:rPr>
              <w:tab/>
            </w:r>
            <w:r w:rsidR="00F1267B" w:rsidRPr="005221C5">
              <w:rPr>
                <w:rStyle w:val="Hyperlink"/>
                <w:noProof/>
              </w:rPr>
              <w:t>How will we evaluate the chosen option against the success metrics?</w:t>
            </w:r>
            <w:r w:rsidR="00F1267B">
              <w:rPr>
                <w:noProof/>
                <w:webHidden/>
              </w:rPr>
              <w:tab/>
            </w:r>
            <w:r w:rsidR="00F1267B">
              <w:rPr>
                <w:noProof/>
                <w:webHidden/>
              </w:rPr>
              <w:fldChar w:fldCharType="begin"/>
            </w:r>
            <w:r w:rsidR="00F1267B">
              <w:rPr>
                <w:noProof/>
                <w:webHidden/>
              </w:rPr>
              <w:instrText xml:space="preserve"> PAGEREF _Toc151719091 \h </w:instrText>
            </w:r>
            <w:r w:rsidR="00F1267B">
              <w:rPr>
                <w:noProof/>
                <w:webHidden/>
              </w:rPr>
            </w:r>
            <w:r w:rsidR="00F1267B">
              <w:rPr>
                <w:noProof/>
                <w:webHidden/>
              </w:rPr>
              <w:fldChar w:fldCharType="separate"/>
            </w:r>
            <w:r w:rsidR="00F1267B">
              <w:rPr>
                <w:noProof/>
                <w:webHidden/>
              </w:rPr>
              <w:t>40</w:t>
            </w:r>
            <w:r w:rsidR="00F1267B">
              <w:rPr>
                <w:noProof/>
                <w:webHidden/>
              </w:rPr>
              <w:fldChar w:fldCharType="end"/>
            </w:r>
          </w:hyperlink>
        </w:p>
        <w:p w14:paraId="580E4146" w14:textId="38940938" w:rsidR="00F1267B" w:rsidRDefault="00F24B22">
          <w:pPr>
            <w:pStyle w:val="TOC1"/>
            <w:rPr>
              <w:rFonts w:eastAsiaTheme="minorEastAsia"/>
              <w:noProof/>
              <w:lang w:eastAsia="en-AU"/>
            </w:rPr>
          </w:pPr>
          <w:hyperlink w:anchor="_Toc151719092" w:history="1">
            <w:r w:rsidR="00F1267B" w:rsidRPr="005221C5">
              <w:rPr>
                <w:rStyle w:val="Hyperlink"/>
                <w:noProof/>
              </w:rPr>
              <w:t>9.</w:t>
            </w:r>
            <w:r w:rsidR="00F1267B">
              <w:rPr>
                <w:rFonts w:eastAsiaTheme="minorEastAsia"/>
                <w:noProof/>
                <w:lang w:eastAsia="en-AU"/>
              </w:rPr>
              <w:tab/>
            </w:r>
            <w:r w:rsidR="00F1267B" w:rsidRPr="005221C5">
              <w:rPr>
                <w:rStyle w:val="Hyperlink"/>
                <w:noProof/>
              </w:rPr>
              <w:t>Conclusion</w:t>
            </w:r>
            <w:r w:rsidR="00F1267B">
              <w:rPr>
                <w:noProof/>
                <w:webHidden/>
              </w:rPr>
              <w:tab/>
            </w:r>
            <w:r w:rsidR="00F1267B">
              <w:rPr>
                <w:noProof/>
                <w:webHidden/>
              </w:rPr>
              <w:fldChar w:fldCharType="begin"/>
            </w:r>
            <w:r w:rsidR="00F1267B">
              <w:rPr>
                <w:noProof/>
                <w:webHidden/>
              </w:rPr>
              <w:instrText xml:space="preserve"> PAGEREF _Toc151719092 \h </w:instrText>
            </w:r>
            <w:r w:rsidR="00F1267B">
              <w:rPr>
                <w:noProof/>
                <w:webHidden/>
              </w:rPr>
            </w:r>
            <w:r w:rsidR="00F1267B">
              <w:rPr>
                <w:noProof/>
                <w:webHidden/>
              </w:rPr>
              <w:fldChar w:fldCharType="separate"/>
            </w:r>
            <w:r w:rsidR="00F1267B">
              <w:rPr>
                <w:noProof/>
                <w:webHidden/>
              </w:rPr>
              <w:t>41</w:t>
            </w:r>
            <w:r w:rsidR="00F1267B">
              <w:rPr>
                <w:noProof/>
                <w:webHidden/>
              </w:rPr>
              <w:fldChar w:fldCharType="end"/>
            </w:r>
          </w:hyperlink>
        </w:p>
        <w:p w14:paraId="35EAFBB0" w14:textId="2F838A38" w:rsidR="00F1267B" w:rsidRDefault="00F24B22">
          <w:pPr>
            <w:pStyle w:val="TOC1"/>
            <w:rPr>
              <w:rFonts w:eastAsiaTheme="minorEastAsia"/>
              <w:noProof/>
              <w:lang w:eastAsia="en-AU"/>
            </w:rPr>
          </w:pPr>
          <w:hyperlink w:anchor="_Toc151719093" w:history="1">
            <w:r w:rsidR="00F1267B" w:rsidRPr="005221C5">
              <w:rPr>
                <w:rStyle w:val="Hyperlink"/>
                <w:noProof/>
              </w:rPr>
              <w:t>References</w:t>
            </w:r>
            <w:r w:rsidR="00F1267B">
              <w:rPr>
                <w:noProof/>
                <w:webHidden/>
              </w:rPr>
              <w:tab/>
            </w:r>
            <w:r w:rsidR="00F1267B">
              <w:rPr>
                <w:noProof/>
                <w:webHidden/>
              </w:rPr>
              <w:fldChar w:fldCharType="begin"/>
            </w:r>
            <w:r w:rsidR="00F1267B">
              <w:rPr>
                <w:noProof/>
                <w:webHidden/>
              </w:rPr>
              <w:instrText xml:space="preserve"> PAGEREF _Toc151719093 \h </w:instrText>
            </w:r>
            <w:r w:rsidR="00F1267B">
              <w:rPr>
                <w:noProof/>
                <w:webHidden/>
              </w:rPr>
            </w:r>
            <w:r w:rsidR="00F1267B">
              <w:rPr>
                <w:noProof/>
                <w:webHidden/>
              </w:rPr>
              <w:fldChar w:fldCharType="separate"/>
            </w:r>
            <w:r w:rsidR="00F1267B">
              <w:rPr>
                <w:noProof/>
                <w:webHidden/>
              </w:rPr>
              <w:t>42</w:t>
            </w:r>
            <w:r w:rsidR="00F1267B">
              <w:rPr>
                <w:noProof/>
                <w:webHidden/>
              </w:rPr>
              <w:fldChar w:fldCharType="end"/>
            </w:r>
          </w:hyperlink>
        </w:p>
        <w:p w14:paraId="12C65FF0" w14:textId="48F053EA" w:rsidR="00F1267B" w:rsidRDefault="00F24B22">
          <w:pPr>
            <w:pStyle w:val="TOC1"/>
            <w:rPr>
              <w:rFonts w:eastAsiaTheme="minorEastAsia"/>
              <w:noProof/>
              <w:lang w:eastAsia="en-AU"/>
            </w:rPr>
          </w:pPr>
          <w:hyperlink w:anchor="_Toc151719094" w:history="1">
            <w:r w:rsidR="00F1267B" w:rsidRPr="005221C5">
              <w:rPr>
                <w:rStyle w:val="Hyperlink"/>
                <w:noProof/>
              </w:rPr>
              <w:t>Appendix A</w:t>
            </w:r>
            <w:r w:rsidR="00F1267B">
              <w:rPr>
                <w:noProof/>
                <w:webHidden/>
              </w:rPr>
              <w:tab/>
            </w:r>
            <w:r w:rsidR="00F1267B">
              <w:rPr>
                <w:noProof/>
                <w:webHidden/>
              </w:rPr>
              <w:fldChar w:fldCharType="begin"/>
            </w:r>
            <w:r w:rsidR="00F1267B">
              <w:rPr>
                <w:noProof/>
                <w:webHidden/>
              </w:rPr>
              <w:instrText xml:space="preserve"> PAGEREF _Toc151719094 \h </w:instrText>
            </w:r>
            <w:r w:rsidR="00F1267B">
              <w:rPr>
                <w:noProof/>
                <w:webHidden/>
              </w:rPr>
            </w:r>
            <w:r w:rsidR="00F1267B">
              <w:rPr>
                <w:noProof/>
                <w:webHidden/>
              </w:rPr>
              <w:fldChar w:fldCharType="separate"/>
            </w:r>
            <w:r w:rsidR="00F1267B">
              <w:rPr>
                <w:noProof/>
                <w:webHidden/>
              </w:rPr>
              <w:t>44</w:t>
            </w:r>
            <w:r w:rsidR="00F1267B">
              <w:rPr>
                <w:noProof/>
                <w:webHidden/>
              </w:rPr>
              <w:fldChar w:fldCharType="end"/>
            </w:r>
          </w:hyperlink>
        </w:p>
        <w:p w14:paraId="5F5B3B39" w14:textId="04620FB3" w:rsidR="00F1267B" w:rsidRDefault="00F24B22">
          <w:pPr>
            <w:pStyle w:val="TOC2"/>
            <w:rPr>
              <w:rFonts w:eastAsiaTheme="minorEastAsia"/>
              <w:noProof/>
              <w:lang w:eastAsia="en-AU"/>
            </w:rPr>
          </w:pPr>
          <w:hyperlink w:anchor="_Toc151719095" w:history="1">
            <w:r w:rsidR="00F1267B" w:rsidRPr="005221C5">
              <w:rPr>
                <w:rStyle w:val="Hyperlink"/>
                <w:noProof/>
              </w:rPr>
              <w:t>Previous reviews</w:t>
            </w:r>
            <w:r w:rsidR="00F1267B">
              <w:rPr>
                <w:noProof/>
                <w:webHidden/>
              </w:rPr>
              <w:tab/>
            </w:r>
            <w:r w:rsidR="00F1267B">
              <w:rPr>
                <w:noProof/>
                <w:webHidden/>
              </w:rPr>
              <w:fldChar w:fldCharType="begin"/>
            </w:r>
            <w:r w:rsidR="00F1267B">
              <w:rPr>
                <w:noProof/>
                <w:webHidden/>
              </w:rPr>
              <w:instrText xml:space="preserve"> PAGEREF _Toc151719095 \h </w:instrText>
            </w:r>
            <w:r w:rsidR="00F1267B">
              <w:rPr>
                <w:noProof/>
                <w:webHidden/>
              </w:rPr>
            </w:r>
            <w:r w:rsidR="00F1267B">
              <w:rPr>
                <w:noProof/>
                <w:webHidden/>
              </w:rPr>
              <w:fldChar w:fldCharType="separate"/>
            </w:r>
            <w:r w:rsidR="00F1267B">
              <w:rPr>
                <w:noProof/>
                <w:webHidden/>
              </w:rPr>
              <w:t>44</w:t>
            </w:r>
            <w:r w:rsidR="00F1267B">
              <w:rPr>
                <w:noProof/>
                <w:webHidden/>
              </w:rPr>
              <w:fldChar w:fldCharType="end"/>
            </w:r>
          </w:hyperlink>
        </w:p>
        <w:p w14:paraId="68679B98" w14:textId="49FBED05" w:rsidR="005D662D" w:rsidRDefault="001B0246" w:rsidP="001B0246">
          <w:r w:rsidRPr="001B0246">
            <w:fldChar w:fldCharType="end"/>
          </w:r>
          <w:r w:rsidR="005D662D">
            <w:br w:type="page"/>
          </w:r>
        </w:p>
        <w:p w14:paraId="6090D45F" w14:textId="378C5213" w:rsidR="005D662D" w:rsidRPr="005D662D" w:rsidRDefault="001B0246" w:rsidP="001347DC">
          <w:pPr>
            <w:pStyle w:val="Heading1"/>
          </w:pPr>
          <w:bookmarkStart w:id="13" w:name="_Toc141272708"/>
          <w:bookmarkStart w:id="14" w:name="_Toc151719055"/>
          <w:bookmarkStart w:id="15" w:name="_Hlk141270135"/>
          <w:r>
            <w:lastRenderedPageBreak/>
            <w:t xml:space="preserve">Glossary of </w:t>
          </w:r>
          <w:r w:rsidR="00305BB9">
            <w:t>t</w:t>
          </w:r>
          <w:r w:rsidR="005D662D" w:rsidRPr="005D662D">
            <w:t>erms</w:t>
          </w:r>
          <w:bookmarkEnd w:id="13"/>
          <w:bookmarkEnd w:id="14"/>
        </w:p>
        <w:tbl>
          <w:tblPr>
            <w:tblStyle w:val="ListTable1Light-Accent41"/>
            <w:tblW w:w="9923" w:type="dxa"/>
            <w:tblLook w:val="04A0" w:firstRow="1" w:lastRow="0" w:firstColumn="1" w:lastColumn="0" w:noHBand="0" w:noVBand="1"/>
            <w:tblCaption w:val="Glossary of terms"/>
          </w:tblPr>
          <w:tblGrid>
            <w:gridCol w:w="2977"/>
            <w:gridCol w:w="6946"/>
          </w:tblGrid>
          <w:tr w:rsidR="005D662D" w:rsidRPr="005D662D" w14:paraId="3CB9699E" w14:textId="77777777" w:rsidTr="00940379">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2F3039D2" w14:textId="77777777" w:rsidR="005D662D" w:rsidRPr="005D662D" w:rsidRDefault="005D662D" w:rsidP="005D662D">
                <w:pPr>
                  <w:spacing w:line="480" w:lineRule="auto"/>
                  <w:rPr>
                    <w:rFonts w:ascii="Calibri" w:eastAsia="Calibri" w:hAnsi="Calibri" w:cs="Times New Roman"/>
                  </w:rPr>
                </w:pPr>
                <w:r w:rsidRPr="005D662D">
                  <w:rPr>
                    <w:rFonts w:ascii="Calibri" w:eastAsia="Calibri" w:hAnsi="Calibri" w:cs="Times New Roman"/>
                  </w:rPr>
                  <w:t>ABARES</w:t>
                </w:r>
              </w:p>
            </w:tc>
            <w:tc>
              <w:tcPr>
                <w:tcW w:w="6946" w:type="dxa"/>
              </w:tcPr>
              <w:p w14:paraId="68270A0C" w14:textId="704B70BD" w:rsidR="005D662D" w:rsidRPr="00681FC9" w:rsidRDefault="005D662D" w:rsidP="005D662D">
                <w:pPr>
                  <w:spacing w:line="48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rPr>
                </w:pPr>
                <w:r w:rsidRPr="00681FC9">
                  <w:rPr>
                    <w:rFonts w:ascii="Calibri" w:eastAsia="Calibri" w:hAnsi="Calibri" w:cs="Times New Roman"/>
                    <w:b w:val="0"/>
                  </w:rPr>
                  <w:t>Australian Bureau of Agricultural and Resource Economics and Sciences</w:t>
                </w:r>
              </w:p>
            </w:tc>
          </w:tr>
          <w:tr w:rsidR="005D662D" w:rsidRPr="005D662D" w14:paraId="6B303707" w14:textId="77777777" w:rsidTr="009403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3015A485" w14:textId="77777777" w:rsidR="005D662D" w:rsidRPr="005D662D" w:rsidRDefault="005D662D" w:rsidP="005D662D">
                <w:pPr>
                  <w:spacing w:line="480" w:lineRule="auto"/>
                  <w:rPr>
                    <w:rFonts w:ascii="Calibri" w:eastAsia="Calibri" w:hAnsi="Calibri" w:cs="Times New Roman"/>
                  </w:rPr>
                </w:pPr>
                <w:r w:rsidRPr="005D662D">
                  <w:rPr>
                    <w:rFonts w:ascii="Calibri" w:eastAsia="Calibri" w:hAnsi="Calibri" w:cs="Times New Roman"/>
                  </w:rPr>
                  <w:t>ACCC</w:t>
                </w:r>
              </w:p>
            </w:tc>
            <w:tc>
              <w:tcPr>
                <w:tcW w:w="6946" w:type="dxa"/>
              </w:tcPr>
              <w:p w14:paraId="49555F27" w14:textId="77777777" w:rsidR="005D662D" w:rsidRPr="005D662D" w:rsidRDefault="005D662D" w:rsidP="005D662D">
                <w:pPr>
                  <w:spacing w:line="48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rPr>
                </w:pPr>
                <w:r w:rsidRPr="005D662D">
                  <w:rPr>
                    <w:rFonts w:ascii="Calibri" w:eastAsia="Calibri" w:hAnsi="Calibri" w:cs="Times New Roman"/>
                  </w:rPr>
                  <w:t>Australian Competition and Consumer Commission</w:t>
                </w:r>
              </w:p>
            </w:tc>
          </w:tr>
          <w:tr w:rsidR="005D662D" w:rsidRPr="005D662D" w14:paraId="393D29FC" w14:textId="77777777" w:rsidTr="00940379">
            <w:trPr>
              <w:trHeight w:val="529"/>
            </w:trPr>
            <w:tc>
              <w:tcPr>
                <w:cnfStyle w:val="001000000000" w:firstRow="0" w:lastRow="0" w:firstColumn="1" w:lastColumn="0" w:oddVBand="0" w:evenVBand="0" w:oddHBand="0" w:evenHBand="0" w:firstRowFirstColumn="0" w:firstRowLastColumn="0" w:lastRowFirstColumn="0" w:lastRowLastColumn="0"/>
                <w:tcW w:w="2977" w:type="dxa"/>
              </w:tcPr>
              <w:p w14:paraId="33BBFBE8" w14:textId="77777777" w:rsidR="005D662D" w:rsidRPr="005D662D" w:rsidRDefault="005D662D" w:rsidP="005D662D">
                <w:pPr>
                  <w:spacing w:line="480" w:lineRule="auto"/>
                  <w:rPr>
                    <w:rFonts w:ascii="Calibri" w:eastAsia="Calibri" w:hAnsi="Calibri" w:cs="Times New Roman"/>
                  </w:rPr>
                </w:pPr>
                <w:r w:rsidRPr="005D662D">
                  <w:rPr>
                    <w:rFonts w:ascii="Calibri" w:eastAsia="Calibri" w:hAnsi="Calibri" w:cs="Times New Roman"/>
                  </w:rPr>
                  <w:t>ACL</w:t>
                </w:r>
              </w:p>
            </w:tc>
            <w:tc>
              <w:tcPr>
                <w:tcW w:w="6946" w:type="dxa"/>
              </w:tcPr>
              <w:p w14:paraId="4DBBD091" w14:textId="77777777" w:rsidR="005D662D" w:rsidRPr="005D662D" w:rsidRDefault="005D662D" w:rsidP="005D662D">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 xml:space="preserve">Australian Consumer Law </w:t>
                </w:r>
              </w:p>
            </w:tc>
          </w:tr>
          <w:tr w:rsidR="0010263F" w:rsidRPr="005D662D" w14:paraId="0A79D081" w14:textId="77777777" w:rsidTr="009403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4520B458" w14:textId="77777777" w:rsidR="0010263F" w:rsidRPr="005D662D" w:rsidRDefault="0010263F" w:rsidP="005D662D">
                <w:pPr>
                  <w:spacing w:line="480" w:lineRule="auto"/>
                  <w:rPr>
                    <w:rFonts w:ascii="Calibri" w:eastAsia="Calibri" w:hAnsi="Calibri" w:cs="Times New Roman"/>
                  </w:rPr>
                </w:pPr>
                <w:r>
                  <w:rPr>
                    <w:rFonts w:ascii="Calibri" w:eastAsia="Calibri" w:hAnsi="Calibri" w:cs="Times New Roman"/>
                  </w:rPr>
                  <w:t>ASBFEO</w:t>
                </w:r>
              </w:p>
            </w:tc>
            <w:tc>
              <w:tcPr>
                <w:tcW w:w="6946" w:type="dxa"/>
              </w:tcPr>
              <w:p w14:paraId="12B37AC7" w14:textId="744D794E" w:rsidR="0010263F" w:rsidRPr="005D662D" w:rsidRDefault="0010263F" w:rsidP="005D662D">
                <w:pPr>
                  <w:spacing w:line="48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Australian Small Business and Family Enterprise Ombudsman</w:t>
                </w:r>
              </w:p>
            </w:tc>
          </w:tr>
          <w:tr w:rsidR="00A26236" w:rsidRPr="005D662D" w14:paraId="738A24B0" w14:textId="77777777" w:rsidTr="00940379">
            <w:trPr>
              <w:trHeight w:val="544"/>
            </w:trPr>
            <w:tc>
              <w:tcPr>
                <w:cnfStyle w:val="001000000000" w:firstRow="0" w:lastRow="0" w:firstColumn="1" w:lastColumn="0" w:oddVBand="0" w:evenVBand="0" w:oddHBand="0" w:evenHBand="0" w:firstRowFirstColumn="0" w:firstRowLastColumn="0" w:lastRowFirstColumn="0" w:lastRowLastColumn="0"/>
                <w:tcW w:w="2977" w:type="dxa"/>
              </w:tcPr>
              <w:p w14:paraId="2C49CFF1" w14:textId="078CC5DA" w:rsidR="00A26236" w:rsidRPr="005D662D" w:rsidRDefault="00A26236" w:rsidP="00A26236">
                <w:pPr>
                  <w:spacing w:line="480" w:lineRule="auto"/>
                  <w:rPr>
                    <w:rFonts w:ascii="Calibri" w:eastAsia="Calibri" w:hAnsi="Calibri" w:cs="Times New Roman"/>
                  </w:rPr>
                </w:pPr>
                <w:r w:rsidRPr="005D662D">
                  <w:rPr>
                    <w:rFonts w:ascii="Calibri" w:eastAsia="Calibri" w:hAnsi="Calibri" w:cs="Times New Roman"/>
                  </w:rPr>
                  <w:t>BCR</w:t>
                </w:r>
              </w:p>
            </w:tc>
            <w:tc>
              <w:tcPr>
                <w:tcW w:w="6946" w:type="dxa"/>
              </w:tcPr>
              <w:p w14:paraId="26BB1E67" w14:textId="3E8EEDF3" w:rsidR="00A26236" w:rsidRPr="005D662D" w:rsidRDefault="00A26236" w:rsidP="00A26236">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 xml:space="preserve">Benefit </w:t>
                </w:r>
                <w:r>
                  <w:rPr>
                    <w:rFonts w:ascii="Calibri" w:eastAsia="Calibri" w:hAnsi="Calibri" w:cs="Times New Roman"/>
                  </w:rPr>
                  <w:t>to c</w:t>
                </w:r>
                <w:r w:rsidRPr="005D662D">
                  <w:rPr>
                    <w:rFonts w:ascii="Calibri" w:eastAsia="Calibri" w:hAnsi="Calibri" w:cs="Times New Roman"/>
                  </w:rPr>
                  <w:t xml:space="preserve">ost </w:t>
                </w:r>
                <w:r>
                  <w:rPr>
                    <w:rFonts w:ascii="Calibri" w:eastAsia="Calibri" w:hAnsi="Calibri" w:cs="Times New Roman"/>
                  </w:rPr>
                  <w:t>r</w:t>
                </w:r>
                <w:r w:rsidRPr="005D662D">
                  <w:rPr>
                    <w:rFonts w:ascii="Calibri" w:eastAsia="Calibri" w:hAnsi="Calibri" w:cs="Times New Roman"/>
                  </w:rPr>
                  <w:t>atio</w:t>
                </w:r>
              </w:p>
            </w:tc>
          </w:tr>
          <w:tr w:rsidR="00A26236" w:rsidRPr="005D662D" w14:paraId="3894048F" w14:textId="77777777" w:rsidTr="009403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0B536425" w14:textId="377D4EA6" w:rsidR="00A26236" w:rsidRPr="005D662D" w:rsidRDefault="00A26236" w:rsidP="00A26236">
                <w:pPr>
                  <w:spacing w:line="480" w:lineRule="auto"/>
                  <w:rPr>
                    <w:rFonts w:ascii="Calibri" w:eastAsia="Calibri" w:hAnsi="Calibri" w:cs="Times New Roman"/>
                  </w:rPr>
                </w:pPr>
                <w:r w:rsidRPr="005D662D">
                  <w:rPr>
                    <w:rFonts w:ascii="Calibri" w:eastAsia="Calibri" w:hAnsi="Calibri" w:cs="Times New Roman"/>
                  </w:rPr>
                  <w:t>CBA</w:t>
                </w:r>
              </w:p>
            </w:tc>
            <w:tc>
              <w:tcPr>
                <w:tcW w:w="6946" w:type="dxa"/>
              </w:tcPr>
              <w:p w14:paraId="19359B50" w14:textId="51AEF3EE" w:rsidR="00A26236" w:rsidRPr="005D662D" w:rsidRDefault="00A26236" w:rsidP="00A26236">
                <w:pPr>
                  <w:spacing w:line="48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 xml:space="preserve">Cost </w:t>
                </w:r>
                <w:r>
                  <w:rPr>
                    <w:rFonts w:ascii="Calibri" w:eastAsia="Calibri" w:hAnsi="Calibri" w:cs="Times New Roman"/>
                  </w:rPr>
                  <w:t>b</w:t>
                </w:r>
                <w:r w:rsidRPr="005D662D">
                  <w:rPr>
                    <w:rFonts w:ascii="Calibri" w:eastAsia="Calibri" w:hAnsi="Calibri" w:cs="Times New Roman"/>
                  </w:rPr>
                  <w:t xml:space="preserve">enefit </w:t>
                </w:r>
                <w:r>
                  <w:rPr>
                    <w:rFonts w:ascii="Calibri" w:eastAsia="Calibri" w:hAnsi="Calibri" w:cs="Times New Roman"/>
                  </w:rPr>
                  <w:t>a</w:t>
                </w:r>
                <w:r w:rsidRPr="005D662D">
                  <w:rPr>
                    <w:rFonts w:ascii="Calibri" w:eastAsia="Calibri" w:hAnsi="Calibri" w:cs="Times New Roman"/>
                  </w:rPr>
                  <w:t>nalysis</w:t>
                </w:r>
              </w:p>
            </w:tc>
          </w:tr>
          <w:tr w:rsidR="00A26236" w:rsidRPr="005D662D" w14:paraId="046C06E2" w14:textId="77777777" w:rsidTr="00940379">
            <w:trPr>
              <w:trHeight w:val="544"/>
            </w:trPr>
            <w:tc>
              <w:tcPr>
                <w:cnfStyle w:val="001000000000" w:firstRow="0" w:lastRow="0" w:firstColumn="1" w:lastColumn="0" w:oddVBand="0" w:evenVBand="0" w:oddHBand="0" w:evenHBand="0" w:firstRowFirstColumn="0" w:firstRowLastColumn="0" w:lastRowFirstColumn="0" w:lastRowLastColumn="0"/>
                <w:tcW w:w="2977" w:type="dxa"/>
              </w:tcPr>
              <w:p w14:paraId="217FBA24" w14:textId="3FD0C4C8" w:rsidR="00A26236" w:rsidRPr="005D662D" w:rsidRDefault="00A26236" w:rsidP="00A26236">
                <w:pPr>
                  <w:spacing w:line="480" w:lineRule="auto"/>
                  <w:rPr>
                    <w:rFonts w:ascii="Calibri" w:eastAsia="Calibri" w:hAnsi="Calibri" w:cs="Times New Roman"/>
                  </w:rPr>
                </w:pPr>
                <w:r>
                  <w:rPr>
                    <w:rFonts w:ascii="Calibri" w:eastAsia="Calibri" w:hAnsi="Calibri" w:cs="Times New Roman"/>
                  </w:rPr>
                  <w:t>Consumer Ministers</w:t>
                </w:r>
              </w:p>
            </w:tc>
            <w:tc>
              <w:tcPr>
                <w:tcW w:w="6946" w:type="dxa"/>
              </w:tcPr>
              <w:p w14:paraId="3C14C8E6" w14:textId="6789FA6D" w:rsidR="00A26236" w:rsidRPr="005D662D" w:rsidRDefault="00A26236" w:rsidP="00A26236">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State and territory consumer affairs ministers</w:t>
                </w:r>
              </w:p>
            </w:tc>
          </w:tr>
          <w:tr w:rsidR="00A26236" w:rsidRPr="005D662D" w14:paraId="63076712" w14:textId="77777777" w:rsidTr="009403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3F50D216" w14:textId="33592554" w:rsidR="00A26236" w:rsidRPr="005D662D" w:rsidRDefault="00A26236" w:rsidP="00A26236">
                <w:pPr>
                  <w:spacing w:line="480" w:lineRule="auto"/>
                  <w:rPr>
                    <w:rFonts w:ascii="Calibri" w:eastAsia="Calibri" w:hAnsi="Calibri" w:cs="Times New Roman"/>
                  </w:rPr>
                </w:pPr>
                <w:r w:rsidRPr="005D662D">
                  <w:rPr>
                    <w:rFonts w:ascii="Calibri" w:eastAsia="Calibri" w:hAnsi="Calibri" w:cs="Times New Roman"/>
                  </w:rPr>
                  <w:t>CoOL</w:t>
                </w:r>
              </w:p>
            </w:tc>
            <w:tc>
              <w:tcPr>
                <w:tcW w:w="6946" w:type="dxa"/>
              </w:tcPr>
              <w:p w14:paraId="1A98627F" w14:textId="75167F70" w:rsidR="00A26236" w:rsidRPr="005D662D" w:rsidRDefault="00A26236" w:rsidP="00A26236">
                <w:pPr>
                  <w:spacing w:line="48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 xml:space="preserve">Country of </w:t>
                </w:r>
                <w:r>
                  <w:rPr>
                    <w:rFonts w:ascii="Calibri" w:eastAsia="Calibri" w:hAnsi="Calibri" w:cs="Times New Roman"/>
                  </w:rPr>
                  <w:t>o</w:t>
                </w:r>
                <w:r w:rsidRPr="005D662D">
                  <w:rPr>
                    <w:rFonts w:ascii="Calibri" w:eastAsia="Calibri" w:hAnsi="Calibri" w:cs="Times New Roman"/>
                  </w:rPr>
                  <w:t xml:space="preserve">rigin </w:t>
                </w:r>
                <w:r>
                  <w:rPr>
                    <w:rFonts w:ascii="Calibri" w:eastAsia="Calibri" w:hAnsi="Calibri" w:cs="Times New Roman"/>
                  </w:rPr>
                  <w:t>l</w:t>
                </w:r>
                <w:r w:rsidRPr="005D662D">
                  <w:rPr>
                    <w:rFonts w:ascii="Calibri" w:eastAsia="Calibri" w:hAnsi="Calibri" w:cs="Times New Roman"/>
                  </w:rPr>
                  <w:t>abelling</w:t>
                </w:r>
              </w:p>
            </w:tc>
          </w:tr>
          <w:tr w:rsidR="00A26236" w:rsidRPr="005D662D" w14:paraId="11AF2A94" w14:textId="77777777" w:rsidTr="00940379">
            <w:trPr>
              <w:trHeight w:val="544"/>
            </w:trPr>
            <w:tc>
              <w:tcPr>
                <w:cnfStyle w:val="001000000000" w:firstRow="0" w:lastRow="0" w:firstColumn="1" w:lastColumn="0" w:oddVBand="0" w:evenVBand="0" w:oddHBand="0" w:evenHBand="0" w:firstRowFirstColumn="0" w:firstRowLastColumn="0" w:lastRowFirstColumn="0" w:lastRowLastColumn="0"/>
                <w:tcW w:w="2977" w:type="dxa"/>
              </w:tcPr>
              <w:p w14:paraId="751D4B08" w14:textId="7B23D3E9" w:rsidR="00A26236" w:rsidRPr="005D662D" w:rsidRDefault="00A26236" w:rsidP="00A26236">
                <w:pPr>
                  <w:spacing w:line="480" w:lineRule="auto"/>
                  <w:rPr>
                    <w:rFonts w:ascii="Calibri" w:eastAsia="Calibri" w:hAnsi="Calibri" w:cs="Times New Roman"/>
                  </w:rPr>
                </w:pPr>
                <w:r>
                  <w:rPr>
                    <w:rFonts w:ascii="Calibri" w:eastAsia="Calibri" w:hAnsi="Calibri" w:cs="Times New Roman"/>
                  </w:rPr>
                  <w:t>CoOL for Food</w:t>
                </w:r>
              </w:p>
            </w:tc>
            <w:tc>
              <w:tcPr>
                <w:tcW w:w="6946" w:type="dxa"/>
              </w:tcPr>
              <w:p w14:paraId="7FD4618C" w14:textId="01EA4C99" w:rsidR="00A26236" w:rsidRPr="005D662D" w:rsidRDefault="00A26236" w:rsidP="00A26236">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iCs/>
                  </w:rPr>
                  <w:t>Country of origin labelling scheme regulated by the CoOL Standard</w:t>
                </w:r>
              </w:p>
            </w:tc>
          </w:tr>
          <w:tr w:rsidR="00A26236" w:rsidRPr="005D662D" w14:paraId="12F47E25" w14:textId="77777777" w:rsidTr="009403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493FBA97" w14:textId="14893A5D" w:rsidR="00A26236" w:rsidRPr="005D662D" w:rsidRDefault="00A26236" w:rsidP="00A26236">
                <w:pPr>
                  <w:spacing w:line="480" w:lineRule="auto"/>
                  <w:rPr>
                    <w:rFonts w:ascii="Calibri" w:eastAsia="Calibri" w:hAnsi="Calibri" w:cs="Times New Roman"/>
                  </w:rPr>
                </w:pPr>
                <w:r w:rsidRPr="005D662D">
                  <w:rPr>
                    <w:rFonts w:ascii="Calibri" w:eastAsia="Calibri" w:hAnsi="Calibri" w:cs="Times New Roman"/>
                  </w:rPr>
                  <w:t>CoOL Standard</w:t>
                </w:r>
              </w:p>
            </w:tc>
            <w:tc>
              <w:tcPr>
                <w:tcW w:w="6946" w:type="dxa"/>
              </w:tcPr>
              <w:p w14:paraId="2CE61D08" w14:textId="6F90BEC7" w:rsidR="00A26236" w:rsidRPr="005D662D" w:rsidRDefault="00A26236" w:rsidP="00A26236">
                <w:pPr>
                  <w:spacing w:line="48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iCs/>
                  </w:rPr>
                  <w:t>Country of Origin Food Labelling Information Standard 2016</w:t>
                </w:r>
              </w:p>
            </w:tc>
          </w:tr>
          <w:tr w:rsidR="00A26236" w:rsidRPr="005D662D" w14:paraId="2FA618F1" w14:textId="77777777" w:rsidTr="00940379">
            <w:trPr>
              <w:trHeight w:val="544"/>
            </w:trPr>
            <w:tc>
              <w:tcPr>
                <w:cnfStyle w:val="001000000000" w:firstRow="0" w:lastRow="0" w:firstColumn="1" w:lastColumn="0" w:oddVBand="0" w:evenVBand="0" w:oddHBand="0" w:evenHBand="0" w:firstRowFirstColumn="0" w:firstRowLastColumn="0" w:lastRowFirstColumn="0" w:lastRowLastColumn="0"/>
                <w:tcW w:w="2977" w:type="dxa"/>
              </w:tcPr>
              <w:p w14:paraId="1CAC83D3" w14:textId="1EF3C398" w:rsidR="00A26236" w:rsidRPr="005D662D" w:rsidRDefault="00A26236" w:rsidP="00A26236">
                <w:pPr>
                  <w:spacing w:line="480" w:lineRule="auto"/>
                  <w:rPr>
                    <w:rFonts w:ascii="Calibri" w:eastAsia="Calibri" w:hAnsi="Calibri" w:cs="Times New Roman"/>
                  </w:rPr>
                </w:pPr>
                <w:r w:rsidRPr="005D662D">
                  <w:rPr>
                    <w:rFonts w:ascii="Calibri" w:eastAsia="Calibri" w:hAnsi="Calibri" w:cs="Times New Roman"/>
                  </w:rPr>
                  <w:t>DAFF</w:t>
                </w:r>
              </w:p>
            </w:tc>
            <w:tc>
              <w:tcPr>
                <w:tcW w:w="6946" w:type="dxa"/>
              </w:tcPr>
              <w:p w14:paraId="214A04C7" w14:textId="08A355E5" w:rsidR="00A26236" w:rsidRPr="005D662D" w:rsidRDefault="00A26236" w:rsidP="00A26236">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rPr>
                </w:pPr>
                <w:r w:rsidRPr="005D662D">
                  <w:rPr>
                    <w:rFonts w:ascii="Calibri" w:eastAsia="Calibri" w:hAnsi="Calibri" w:cs="Times New Roman"/>
                  </w:rPr>
                  <w:t>Department of Agriculture, Fisheries and Forestry</w:t>
                </w:r>
              </w:p>
            </w:tc>
          </w:tr>
          <w:tr w:rsidR="00A26236" w:rsidRPr="005D662D" w14:paraId="6D108EE9" w14:textId="77777777" w:rsidTr="009403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2E09FB93" w14:textId="7D22E417" w:rsidR="00A26236" w:rsidRPr="005D662D" w:rsidRDefault="00A26236" w:rsidP="00A26236">
                <w:pPr>
                  <w:spacing w:line="480" w:lineRule="auto"/>
                  <w:rPr>
                    <w:rFonts w:ascii="Calibri" w:eastAsia="Calibri" w:hAnsi="Calibri" w:cs="Times New Roman"/>
                  </w:rPr>
                </w:pPr>
                <w:r>
                  <w:rPr>
                    <w:rFonts w:ascii="Calibri" w:eastAsia="Calibri" w:hAnsi="Calibri" w:cs="Times New Roman"/>
                  </w:rPr>
                  <w:t>Department</w:t>
                </w:r>
              </w:p>
            </w:tc>
            <w:tc>
              <w:tcPr>
                <w:tcW w:w="6946" w:type="dxa"/>
              </w:tcPr>
              <w:p w14:paraId="50050EAB" w14:textId="7F986F81" w:rsidR="00A26236" w:rsidRPr="005D662D" w:rsidRDefault="00A26236" w:rsidP="00A26236">
                <w:pPr>
                  <w:spacing w:line="48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Department of Industry, Science and Resources</w:t>
                </w:r>
              </w:p>
            </w:tc>
          </w:tr>
          <w:tr w:rsidR="00A26236" w:rsidRPr="005D662D" w14:paraId="7B2C7D91" w14:textId="77777777" w:rsidTr="00940379">
            <w:trPr>
              <w:trHeight w:val="544"/>
            </w:trPr>
            <w:tc>
              <w:tcPr>
                <w:cnfStyle w:val="001000000000" w:firstRow="0" w:lastRow="0" w:firstColumn="1" w:lastColumn="0" w:oddVBand="0" w:evenVBand="0" w:oddHBand="0" w:evenHBand="0" w:firstRowFirstColumn="0" w:firstRowLastColumn="0" w:lastRowFirstColumn="0" w:lastRowLastColumn="0"/>
                <w:tcW w:w="2977" w:type="dxa"/>
              </w:tcPr>
              <w:p w14:paraId="2EDD88AB" w14:textId="15FA9B8E" w:rsidR="00A26236" w:rsidRPr="005D662D" w:rsidRDefault="00A26236" w:rsidP="00A26236">
                <w:pPr>
                  <w:spacing w:line="480" w:lineRule="auto"/>
                  <w:rPr>
                    <w:rFonts w:ascii="Calibri" w:eastAsia="Calibri" w:hAnsi="Calibri" w:cs="Times New Roman"/>
                  </w:rPr>
                </w:pPr>
                <w:r w:rsidRPr="005D662D">
                  <w:rPr>
                    <w:rFonts w:ascii="Calibri" w:eastAsia="Calibri" w:hAnsi="Calibri" w:cs="Times New Roman"/>
                  </w:rPr>
                  <w:t>FRDC</w:t>
                </w:r>
              </w:p>
            </w:tc>
            <w:tc>
              <w:tcPr>
                <w:tcW w:w="6946" w:type="dxa"/>
              </w:tcPr>
              <w:p w14:paraId="03D0C544" w14:textId="4A2E5B72" w:rsidR="00A26236" w:rsidRPr="005D662D" w:rsidRDefault="00A26236" w:rsidP="00A26236">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Fisheries Research and Development Corporation</w:t>
                </w:r>
              </w:p>
            </w:tc>
          </w:tr>
          <w:tr w:rsidR="00A26236" w:rsidRPr="005D662D" w14:paraId="27EA4C07" w14:textId="77777777" w:rsidTr="009403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74DA28E5" w14:textId="6F76FB7A" w:rsidR="00A26236" w:rsidRPr="005D662D" w:rsidRDefault="00A26236" w:rsidP="00A26236">
                <w:pPr>
                  <w:spacing w:line="480" w:lineRule="auto"/>
                  <w:rPr>
                    <w:rFonts w:ascii="Calibri" w:eastAsia="Calibri" w:hAnsi="Calibri" w:cs="Times New Roman"/>
                  </w:rPr>
                </w:pPr>
                <w:r w:rsidRPr="005D662D">
                  <w:rPr>
                    <w:rFonts w:ascii="Calibri" w:eastAsia="Calibri" w:hAnsi="Calibri" w:cs="Times New Roman"/>
                  </w:rPr>
                  <w:t>NT</w:t>
                </w:r>
              </w:p>
            </w:tc>
            <w:tc>
              <w:tcPr>
                <w:tcW w:w="6946" w:type="dxa"/>
              </w:tcPr>
              <w:p w14:paraId="705FD7E4" w14:textId="429A7A12" w:rsidR="00A26236" w:rsidRPr="005D662D" w:rsidRDefault="00A26236" w:rsidP="00A26236">
                <w:pPr>
                  <w:spacing w:line="48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Northern Territory</w:t>
                </w:r>
              </w:p>
            </w:tc>
          </w:tr>
          <w:tr w:rsidR="00A26236" w:rsidRPr="005D662D" w14:paraId="60712938" w14:textId="77777777" w:rsidTr="00940379">
            <w:trPr>
              <w:trHeight w:val="544"/>
            </w:trPr>
            <w:tc>
              <w:tcPr>
                <w:cnfStyle w:val="001000000000" w:firstRow="0" w:lastRow="0" w:firstColumn="1" w:lastColumn="0" w:oddVBand="0" w:evenVBand="0" w:oddHBand="0" w:evenHBand="0" w:firstRowFirstColumn="0" w:firstRowLastColumn="0" w:lastRowFirstColumn="0" w:lastRowLastColumn="0"/>
                <w:tcW w:w="2977" w:type="dxa"/>
              </w:tcPr>
              <w:p w14:paraId="48243E3D" w14:textId="3B49DD08" w:rsidR="00A26236" w:rsidRPr="005D662D" w:rsidRDefault="00A26236" w:rsidP="00A26236">
                <w:pPr>
                  <w:spacing w:line="480" w:lineRule="auto"/>
                  <w:rPr>
                    <w:rFonts w:ascii="Calibri" w:eastAsia="Calibri" w:hAnsi="Calibri" w:cs="Times New Roman"/>
                  </w:rPr>
                </w:pPr>
                <w:r>
                  <w:rPr>
                    <w:rFonts w:ascii="Calibri" w:eastAsia="Calibri" w:hAnsi="Calibri" w:cs="Times New Roman"/>
                  </w:rPr>
                  <w:t>NVP</w:t>
                </w:r>
              </w:p>
            </w:tc>
            <w:tc>
              <w:tcPr>
                <w:tcW w:w="6946" w:type="dxa"/>
              </w:tcPr>
              <w:p w14:paraId="3174947C" w14:textId="1BB1433E" w:rsidR="00A26236" w:rsidRPr="005D662D" w:rsidRDefault="00A26236" w:rsidP="00A26236">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t xml:space="preserve">Net present value </w:t>
                </w:r>
              </w:p>
            </w:tc>
          </w:tr>
          <w:tr w:rsidR="00A26236" w:rsidRPr="005D662D" w14:paraId="107D4599" w14:textId="77777777" w:rsidTr="009403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179B718C" w14:textId="7A6D5200" w:rsidR="00A26236" w:rsidRDefault="00A26236" w:rsidP="00A26236">
                <w:pPr>
                  <w:spacing w:line="480" w:lineRule="auto"/>
                  <w:rPr>
                    <w:rFonts w:ascii="Calibri" w:eastAsia="Calibri" w:hAnsi="Calibri" w:cs="Times New Roman"/>
                  </w:rPr>
                </w:pPr>
                <w:r w:rsidRPr="005D662D">
                  <w:rPr>
                    <w:rFonts w:ascii="Calibri" w:eastAsia="Calibri" w:hAnsi="Calibri" w:cs="Times New Roman"/>
                  </w:rPr>
                  <w:t>OIA</w:t>
                </w:r>
              </w:p>
            </w:tc>
            <w:tc>
              <w:tcPr>
                <w:tcW w:w="6946" w:type="dxa"/>
              </w:tcPr>
              <w:p w14:paraId="415FBA5C" w14:textId="4EEFB7D8" w:rsidR="00A26236" w:rsidRDefault="00A26236" w:rsidP="00A26236">
                <w:pPr>
                  <w:spacing w:line="48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Office of Impact Analysis</w:t>
                </w:r>
              </w:p>
            </w:tc>
          </w:tr>
          <w:tr w:rsidR="00A26236" w:rsidRPr="005D662D" w14:paraId="6D5DEA70" w14:textId="77777777" w:rsidTr="00940379">
            <w:trPr>
              <w:trHeight w:val="544"/>
            </w:trPr>
            <w:tc>
              <w:tcPr>
                <w:cnfStyle w:val="001000000000" w:firstRow="0" w:lastRow="0" w:firstColumn="1" w:lastColumn="0" w:oddVBand="0" w:evenVBand="0" w:oddHBand="0" w:evenHBand="0" w:firstRowFirstColumn="0" w:firstRowLastColumn="0" w:lastRowFirstColumn="0" w:lastRowLastColumn="0"/>
                <w:tcW w:w="2977" w:type="dxa"/>
              </w:tcPr>
              <w:p w14:paraId="135450F5" w14:textId="5D6CBE65" w:rsidR="00A26236" w:rsidRPr="005D662D" w:rsidRDefault="00A26236" w:rsidP="00A26236">
                <w:pPr>
                  <w:spacing w:line="480" w:lineRule="auto"/>
                  <w:rPr>
                    <w:rFonts w:ascii="Calibri" w:eastAsia="Calibri" w:hAnsi="Calibri" w:cs="Times New Roman"/>
                  </w:rPr>
                </w:pPr>
                <w:r w:rsidRPr="005D662D">
                  <w:rPr>
                    <w:rFonts w:ascii="Calibri" w:eastAsia="Calibri" w:hAnsi="Calibri" w:cs="Times New Roman"/>
                  </w:rPr>
                  <w:t>RIS</w:t>
                </w:r>
              </w:p>
            </w:tc>
            <w:tc>
              <w:tcPr>
                <w:tcW w:w="6946" w:type="dxa"/>
              </w:tcPr>
              <w:p w14:paraId="24B275CC" w14:textId="2FD11C3B" w:rsidR="00A26236" w:rsidRPr="005D662D" w:rsidRDefault="00A26236" w:rsidP="00A26236">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 xml:space="preserve">Regulation </w:t>
                </w:r>
                <w:r>
                  <w:rPr>
                    <w:rFonts w:ascii="Calibri" w:eastAsia="Calibri" w:hAnsi="Calibri" w:cs="Times New Roman"/>
                  </w:rPr>
                  <w:t>i</w:t>
                </w:r>
                <w:r w:rsidRPr="005D662D">
                  <w:rPr>
                    <w:rFonts w:ascii="Calibri" w:eastAsia="Calibri" w:hAnsi="Calibri" w:cs="Times New Roman"/>
                  </w:rPr>
                  <w:t xml:space="preserve">mpact </w:t>
                </w:r>
                <w:r>
                  <w:rPr>
                    <w:rFonts w:ascii="Calibri" w:eastAsia="Calibri" w:hAnsi="Calibri" w:cs="Times New Roman"/>
                  </w:rPr>
                  <w:t>s</w:t>
                </w:r>
                <w:r w:rsidRPr="005D662D">
                  <w:rPr>
                    <w:rFonts w:ascii="Calibri" w:eastAsia="Calibri" w:hAnsi="Calibri" w:cs="Times New Roman"/>
                  </w:rPr>
                  <w:t>tatement</w:t>
                </w:r>
              </w:p>
            </w:tc>
          </w:tr>
          <w:tr w:rsidR="00A26236" w:rsidRPr="005D662D" w14:paraId="1F4DAE78" w14:textId="77777777" w:rsidTr="009403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77" w:type="dxa"/>
              </w:tcPr>
              <w:p w14:paraId="149AFAE7" w14:textId="0434E0B9" w:rsidR="00A26236" w:rsidRPr="005D662D" w:rsidRDefault="00A26236" w:rsidP="00A26236">
                <w:pPr>
                  <w:spacing w:line="480" w:lineRule="auto"/>
                  <w:rPr>
                    <w:rFonts w:ascii="Calibri" w:eastAsia="Calibri" w:hAnsi="Calibri" w:cs="Times New Roman"/>
                  </w:rPr>
                </w:pPr>
                <w:r w:rsidRPr="005D662D">
                  <w:rPr>
                    <w:rFonts w:ascii="Calibri" w:eastAsia="Calibri" w:hAnsi="Calibri" w:cs="Times New Roman"/>
                  </w:rPr>
                  <w:t>Seafood CoOL</w:t>
                </w:r>
              </w:p>
            </w:tc>
            <w:tc>
              <w:tcPr>
                <w:tcW w:w="6946" w:type="dxa"/>
              </w:tcPr>
              <w:p w14:paraId="18982199" w14:textId="31098658" w:rsidR="00A26236" w:rsidRPr="005D662D" w:rsidRDefault="00A26236" w:rsidP="00A26236">
                <w:pPr>
                  <w:spacing w:line="48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Country</w:t>
                </w:r>
                <w:r w:rsidRPr="005D662D">
                  <w:rPr>
                    <w:rFonts w:ascii="Calibri" w:eastAsia="Calibri" w:hAnsi="Calibri" w:cs="Times New Roman"/>
                    <w:bCs/>
                  </w:rPr>
                  <w:t xml:space="preserve"> of origin labelling </w:t>
                </w:r>
                <w:r w:rsidRPr="005D662D">
                  <w:rPr>
                    <w:rFonts w:ascii="Calibri" w:eastAsia="Calibri" w:hAnsi="Calibri" w:cs="Times New Roman"/>
                  </w:rPr>
                  <w:t xml:space="preserve">for seafood </w:t>
                </w:r>
                <w:r w:rsidRPr="005D662D">
                  <w:rPr>
                    <w:rFonts w:ascii="Calibri" w:eastAsia="Calibri" w:hAnsi="Calibri" w:cs="Times New Roman"/>
                    <w:bCs/>
                  </w:rPr>
                  <w:t>in hospitality settings</w:t>
                </w:r>
              </w:p>
            </w:tc>
          </w:tr>
          <w:tr w:rsidR="00A26236" w:rsidRPr="005D662D" w14:paraId="5BF1855C" w14:textId="77777777" w:rsidTr="00940379">
            <w:trPr>
              <w:trHeight w:val="529"/>
            </w:trPr>
            <w:tc>
              <w:tcPr>
                <w:cnfStyle w:val="001000000000" w:firstRow="0" w:lastRow="0" w:firstColumn="1" w:lastColumn="0" w:oddVBand="0" w:evenVBand="0" w:oddHBand="0" w:evenHBand="0" w:firstRowFirstColumn="0" w:firstRowLastColumn="0" w:lastRowFirstColumn="0" w:lastRowLastColumn="0"/>
                <w:tcW w:w="2977" w:type="dxa"/>
              </w:tcPr>
              <w:p w14:paraId="46F7AC48" w14:textId="5573A526" w:rsidR="00A26236" w:rsidRPr="005D662D" w:rsidRDefault="00A26236" w:rsidP="00A26236">
                <w:pPr>
                  <w:spacing w:line="480" w:lineRule="auto"/>
                  <w:rPr>
                    <w:rFonts w:ascii="Calibri" w:eastAsia="Calibri" w:hAnsi="Calibri" w:cs="Times New Roman"/>
                  </w:rPr>
                </w:pPr>
                <w:r>
                  <w:rPr>
                    <w:rFonts w:ascii="Calibri" w:eastAsia="Calibri" w:hAnsi="Calibri" w:cs="Times New Roman"/>
                  </w:rPr>
                  <w:t>Seafood CoOL Standard</w:t>
                </w:r>
              </w:p>
            </w:tc>
            <w:tc>
              <w:tcPr>
                <w:tcW w:w="6946" w:type="dxa"/>
              </w:tcPr>
              <w:p w14:paraId="26992372" w14:textId="49B02CD0" w:rsidR="00A26236" w:rsidRPr="005D662D" w:rsidRDefault="00A26236" w:rsidP="00A26236">
                <w:pPr>
                  <w:spacing w:line="480" w:lineRule="auto"/>
                  <w:ind w:left="36" w:hanging="3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5D662D">
                  <w:rPr>
                    <w:rFonts w:ascii="Calibri" w:eastAsia="Calibri" w:hAnsi="Calibri" w:cs="Times New Roman"/>
                  </w:rPr>
                  <w:t xml:space="preserve">Country of Origin </w:t>
                </w:r>
                <w:r>
                  <w:rPr>
                    <w:rFonts w:ascii="Calibri" w:eastAsia="Calibri" w:hAnsi="Calibri" w:cs="Times New Roman"/>
                  </w:rPr>
                  <w:t>Fish</w:t>
                </w:r>
                <w:r w:rsidRPr="005D662D">
                  <w:rPr>
                    <w:rFonts w:ascii="Calibri" w:eastAsia="Calibri" w:hAnsi="Calibri" w:cs="Times New Roman"/>
                  </w:rPr>
                  <w:t xml:space="preserve"> </w:t>
                </w:r>
                <w:r>
                  <w:rPr>
                    <w:rFonts w:ascii="Calibri" w:eastAsia="Calibri" w:hAnsi="Calibri" w:cs="Times New Roman"/>
                  </w:rPr>
                  <w:t xml:space="preserve">Labelling </w:t>
                </w:r>
                <w:r w:rsidRPr="005D662D">
                  <w:rPr>
                    <w:rFonts w:ascii="Calibri" w:eastAsia="Calibri" w:hAnsi="Calibri" w:cs="Times New Roman"/>
                  </w:rPr>
                  <w:t>Information Standard</w:t>
                </w:r>
              </w:p>
            </w:tc>
          </w:tr>
        </w:tbl>
        <w:p w14:paraId="3C0E6F7A" w14:textId="77777777" w:rsidR="00162477" w:rsidRDefault="00162477" w:rsidP="00913CD0">
          <w:bookmarkStart w:id="16" w:name="_Toc141272709"/>
        </w:p>
        <w:p w14:paraId="3DB0E825" w14:textId="77777777" w:rsidR="00A9695B" w:rsidRDefault="00A9695B">
          <w:r>
            <w:br w:type="page"/>
          </w:r>
        </w:p>
        <w:p w14:paraId="35549074" w14:textId="0AB0DA3C" w:rsidR="005D662D" w:rsidRPr="005D662D" w:rsidRDefault="005D662D" w:rsidP="00A9695B">
          <w:pPr>
            <w:pStyle w:val="Heading1"/>
          </w:pPr>
          <w:bookmarkStart w:id="17" w:name="_Toc151719056"/>
          <w:r w:rsidRPr="005D662D">
            <w:lastRenderedPageBreak/>
            <w:t>Executive summary</w:t>
          </w:r>
          <w:bookmarkEnd w:id="16"/>
          <w:bookmarkEnd w:id="17"/>
        </w:p>
        <w:p w14:paraId="0C542384" w14:textId="77777777" w:rsidR="00CF3589" w:rsidRDefault="00CF3589" w:rsidP="00CF3589">
          <w:bookmarkStart w:id="18" w:name="_Toc141272710"/>
          <w:bookmarkStart w:id="19" w:name="_Hlk141270285"/>
          <w:bookmarkEnd w:id="15"/>
          <w:r w:rsidRPr="001E38E5">
            <w:t xml:space="preserve">A </w:t>
          </w:r>
          <w:r>
            <w:t>r</w:t>
          </w:r>
          <w:r w:rsidRPr="001E38E5">
            <w:t>egulat</w:t>
          </w:r>
          <w:r>
            <w:t>ion</w:t>
          </w:r>
          <w:r w:rsidRPr="001E38E5">
            <w:t xml:space="preserve"> </w:t>
          </w:r>
          <w:r>
            <w:t>i</w:t>
          </w:r>
          <w:r w:rsidRPr="001E38E5">
            <w:t xml:space="preserve">mpact </w:t>
          </w:r>
          <w:r>
            <w:t>s</w:t>
          </w:r>
          <w:r w:rsidRPr="001E38E5">
            <w:t xml:space="preserve">tatement (RIS) is carried out by governments when considering whether action is required to address a specified problem. </w:t>
          </w:r>
        </w:p>
        <w:p w14:paraId="12E328FE" w14:textId="77777777" w:rsidR="00CF3589" w:rsidRDefault="00CF3589" w:rsidP="00CF3589">
          <w:r>
            <w:t xml:space="preserve">This decision RIS recommends a solution (with the greatest net benefit for the community) to address country of origin information asymmetry on menus and food labelling for seafood sold in hospitality settings. </w:t>
          </w:r>
        </w:p>
        <w:p w14:paraId="2FA847EE" w14:textId="77777777" w:rsidR="00CF3589" w:rsidRDefault="00CF3589" w:rsidP="00CF3589">
          <w:r>
            <w:t>Approximately</w:t>
          </w:r>
          <w:r w:rsidRPr="005D662D">
            <w:rPr>
              <w:lang w:val="en"/>
            </w:rPr>
            <w:t xml:space="preserve"> 62% of the</w:t>
          </w:r>
          <w:r>
            <w:rPr>
              <w:lang w:val="en"/>
            </w:rPr>
            <w:t xml:space="preserve"> edible seafood Australians consume</w:t>
          </w:r>
          <w:r w:rsidRPr="005D662D" w:rsidDel="00ED5B66">
            <w:rPr>
              <w:lang w:val="en"/>
            </w:rPr>
            <w:t xml:space="preserve"> </w:t>
          </w:r>
          <w:r w:rsidRPr="001347DC">
            <w:rPr>
              <w:lang w:val="en"/>
            </w:rPr>
            <w:t xml:space="preserve">is imported, </w:t>
          </w:r>
          <w:r w:rsidRPr="005D662D">
            <w:t>and this trend is increasing year on year</w:t>
          </w:r>
          <w:r>
            <w:t xml:space="preserve"> (DAFF 2023)</w:t>
          </w:r>
          <w:r w:rsidRPr="005D662D">
            <w:t xml:space="preserve">. </w:t>
          </w:r>
          <w:r>
            <w:t>However, c</w:t>
          </w:r>
          <w:r w:rsidRPr="008C30FC">
            <w:t>onsumers lack consistent access to country of origin information for seafood sold in hospitality settings</w:t>
          </w:r>
          <w:r>
            <w:t xml:space="preserve"> (seafood CoOL)</w:t>
          </w:r>
          <w:r w:rsidRPr="008C30FC">
            <w:t xml:space="preserve"> and are therefore unable to make informed purchasing decisions in line with accurate information or their personal preferences.</w:t>
          </w:r>
          <w:r>
            <w:t xml:space="preserve"> </w:t>
          </w:r>
        </w:p>
        <w:p w14:paraId="65DC3D04" w14:textId="72A3B2FA" w:rsidR="00CF3589" w:rsidRPr="005D662D" w:rsidRDefault="00CF3589" w:rsidP="00CF3589">
          <w:r w:rsidRPr="005D662D">
            <w:t>In the absence of government regulation,</w:t>
          </w:r>
          <w:r>
            <w:t xml:space="preserve"> origin information on</w:t>
          </w:r>
          <w:r w:rsidRPr="005D662D">
            <w:t xml:space="preserve"> menu</w:t>
          </w:r>
          <w:r>
            <w:t>s</w:t>
          </w:r>
          <w:r w:rsidRPr="005D662D">
            <w:t xml:space="preserve"> and food labelling is </w:t>
          </w:r>
          <w:r>
            <w:t>unavailable</w:t>
          </w:r>
          <w:r w:rsidRPr="005D662D">
            <w:t xml:space="preserve"> </w:t>
          </w:r>
          <w:r>
            <w:t>or inconsistent</w:t>
          </w:r>
          <w:r w:rsidRPr="005D662D">
            <w:t>.</w:t>
          </w:r>
          <w:r>
            <w:t xml:space="preserve"> F</w:t>
          </w:r>
          <w:r w:rsidRPr="005D662D">
            <w:t>ood producers and food service businesses</w:t>
          </w:r>
          <w:r>
            <w:t xml:space="preserve"> </w:t>
          </w:r>
          <w:r w:rsidRPr="005D662D">
            <w:t xml:space="preserve">know more about their </w:t>
          </w:r>
          <w:r>
            <w:t xml:space="preserve">seafood </w:t>
          </w:r>
          <w:r w:rsidRPr="005D662D">
            <w:t>products than consumers do</w:t>
          </w:r>
          <w:r w:rsidRPr="005D662D" w:rsidDel="009C2522">
            <w:t xml:space="preserve"> and</w:t>
          </w:r>
          <w:r w:rsidRPr="005D662D">
            <w:t xml:space="preserve"> can </w:t>
          </w:r>
          <w:r>
            <w:t>self-</w:t>
          </w:r>
          <w:r w:rsidRPr="005D662D">
            <w:t xml:space="preserve">select </w:t>
          </w:r>
          <w:r>
            <w:t>the</w:t>
          </w:r>
          <w:r w:rsidRPr="005D662D">
            <w:t xml:space="preserve"> information consumers receive. </w:t>
          </w:r>
        </w:p>
        <w:p w14:paraId="4D1DAE33" w14:textId="77777777" w:rsidR="00CF3589" w:rsidRPr="008F245E" w:rsidRDefault="00CF3589" w:rsidP="00CF3589">
          <w:pPr>
            <w:rPr>
              <w:rFonts w:ascii="Calibri" w:eastAsia="Calibri" w:hAnsi="Calibri" w:cs="Times New Roman"/>
              <w:lang w:val="en-US"/>
            </w:rPr>
          </w:pPr>
          <w:r w:rsidRPr="005D662D">
            <w:rPr>
              <w:rFonts w:ascii="Calibri" w:eastAsia="Calibri" w:hAnsi="Calibri" w:cs="Times New Roman"/>
              <w:lang w:val="en-US"/>
            </w:rPr>
            <w:t xml:space="preserve">Without standardisation of </w:t>
          </w:r>
          <w:r>
            <w:rPr>
              <w:rFonts w:ascii="Calibri" w:eastAsia="Calibri" w:hAnsi="Calibri" w:cs="Times New Roman"/>
              <w:lang w:val="en-US"/>
            </w:rPr>
            <w:t>s</w:t>
          </w:r>
          <w:r w:rsidRPr="005D662D">
            <w:rPr>
              <w:rFonts w:ascii="Calibri" w:eastAsia="Calibri" w:hAnsi="Calibri" w:cs="Times New Roman"/>
              <w:lang w:val="en-US"/>
            </w:rPr>
            <w:t xml:space="preserve">eafood CoOL, consumers </w:t>
          </w:r>
          <w:r>
            <w:rPr>
              <w:rFonts w:ascii="Calibri" w:eastAsia="Calibri" w:hAnsi="Calibri" w:cs="Times New Roman"/>
              <w:lang w:val="en-US"/>
            </w:rPr>
            <w:t>can be</w:t>
          </w:r>
          <w:r w:rsidRPr="005D662D">
            <w:rPr>
              <w:rFonts w:ascii="Calibri" w:eastAsia="Calibri" w:hAnsi="Calibri" w:cs="Times New Roman"/>
              <w:lang w:val="en-US"/>
            </w:rPr>
            <w:t xml:space="preserve"> confused by, misled by, or misinterpret information on food labels. The absence of standardisation or verification of food labelling claims also means that </w:t>
          </w:r>
          <w:r>
            <w:rPr>
              <w:rFonts w:ascii="Calibri" w:eastAsia="Calibri" w:hAnsi="Calibri" w:cs="Times New Roman"/>
              <w:lang w:val="en-US"/>
            </w:rPr>
            <w:t xml:space="preserve">businesses are unable to assure consumers of the validity of their labelled information. </w:t>
          </w:r>
        </w:p>
        <w:p w14:paraId="06B0BC03" w14:textId="77777777" w:rsidR="00CF3589" w:rsidRDefault="00CF3589" w:rsidP="00CF3589">
          <w:r>
            <w:t>Having regard to stakeholder feedback during consultation on different options, and the results of the regulatory impact assessment, the preferred option is:</w:t>
          </w:r>
        </w:p>
        <w:p w14:paraId="45297EA1" w14:textId="77777777" w:rsidR="00CF3589" w:rsidRPr="00BD15A8" w:rsidRDefault="00CF3589" w:rsidP="001624DD">
          <w:pPr>
            <w:jc w:val="center"/>
            <w:rPr>
              <w:b/>
              <w:bCs/>
            </w:rPr>
          </w:pPr>
          <w:r w:rsidRPr="00BD15A8">
            <w:rPr>
              <w:b/>
              <w:bCs/>
            </w:rPr>
            <w:t>ACL information standard – Australian, Imported and Mixed (AIM) model</w:t>
          </w:r>
          <w:r>
            <w:rPr>
              <w:b/>
              <w:bCs/>
            </w:rPr>
            <w:t>.</w:t>
          </w:r>
        </w:p>
        <w:p w14:paraId="63EBC186" w14:textId="77777777" w:rsidR="00CF3589" w:rsidRDefault="00CF3589" w:rsidP="00CF3589">
          <w:pPr>
            <w:rPr>
              <w:lang w:val="en-US"/>
            </w:rPr>
          </w:pPr>
          <w:r w:rsidRPr="004235D6">
            <w:t xml:space="preserve">The AIM model would be implemented through a new information standard under the Australian Consumer Law (ACL). Hospitality businesses would be required to indicate, for each dish on their menu that contains seafood, whether the seafood in that dish is Australian, Imported, or of Mixed origin </w:t>
          </w:r>
          <w:r w:rsidRPr="00BD15A8">
            <w:t>(where Mixed</w:t>
          </w:r>
          <w:r>
            <w:rPr>
              <w:lang w:val="en-US"/>
            </w:rPr>
            <w:t xml:space="preserve"> origin can be used if </w:t>
          </w:r>
          <w:r w:rsidRPr="005D662D">
            <w:rPr>
              <w:lang w:val="en-US"/>
            </w:rPr>
            <w:t>a single dish contain</w:t>
          </w:r>
          <w:r>
            <w:rPr>
              <w:lang w:val="en-US"/>
            </w:rPr>
            <w:t>s</w:t>
          </w:r>
          <w:r w:rsidRPr="005D662D">
            <w:rPr>
              <w:lang w:val="en-US"/>
            </w:rPr>
            <w:t xml:space="preserve"> both Australian and imported seafood</w:t>
          </w:r>
          <w:r>
            <w:rPr>
              <w:lang w:val="en-US"/>
            </w:rPr>
            <w:t>)</w:t>
          </w:r>
          <w:r w:rsidRPr="005D662D">
            <w:rPr>
              <w:lang w:val="en-US"/>
            </w:rPr>
            <w:t>.</w:t>
          </w:r>
        </w:p>
        <w:p w14:paraId="666C261E" w14:textId="77095BC9" w:rsidR="00CF3589" w:rsidRDefault="00CF3589" w:rsidP="004235D6">
          <w:r>
            <w:rPr>
              <w:lang w:val="en-US"/>
            </w:rPr>
            <w:t xml:space="preserve">The AIM model is preferred because it has the greatest net benefit and most support from stakeholders overall. It is considered the option most likely to </w:t>
          </w:r>
          <w:r>
            <w:rPr>
              <w:rFonts w:ascii="Calibri" w:eastAsia="Calibri" w:hAnsi="Calibri" w:cs="Times New Roman"/>
              <w:iCs/>
            </w:rPr>
            <w:t xml:space="preserve">achieve the policy objectives. It would </w:t>
          </w:r>
          <w:r>
            <w:t xml:space="preserve">provide consistent and reliable seafood origin information to consumers in hospitality settings, give hospitality businesses certainty about how to label their seafood, and have minimal impost or burden. </w:t>
          </w:r>
        </w:p>
        <w:p w14:paraId="1B9BAF12" w14:textId="6A8D216A" w:rsidR="00CF3589" w:rsidRPr="00875EC1" w:rsidRDefault="00CF3589" w:rsidP="00C05A85">
          <w:r>
            <w:t xml:space="preserve">The </w:t>
          </w:r>
          <w:r w:rsidRPr="005D662D">
            <w:t>Department of Industry, Science and Resources</w:t>
          </w:r>
          <w:r>
            <w:t xml:space="preserve"> (the department) has consulted extensively on seafood CoOL, including </w:t>
          </w:r>
          <w:r w:rsidRPr="005D662D">
            <w:t>with</w:t>
          </w:r>
          <w:r w:rsidRPr="005D662D" w:rsidDel="00FA6EC6">
            <w:t xml:space="preserve"> </w:t>
          </w:r>
          <w:r w:rsidRPr="005D662D">
            <w:t xml:space="preserve">consumers, </w:t>
          </w:r>
          <w:r>
            <w:t xml:space="preserve">consumer and </w:t>
          </w:r>
          <w:r w:rsidRPr="005D662D">
            <w:t xml:space="preserve">industry </w:t>
          </w:r>
          <w:r>
            <w:t>bodies and associations</w:t>
          </w:r>
          <w:r w:rsidRPr="005D662D">
            <w:t>, hospitality</w:t>
          </w:r>
          <w:r>
            <w:t xml:space="preserve"> and seafood</w:t>
          </w:r>
          <w:r w:rsidRPr="005D662D">
            <w:t xml:space="preserve"> businesses, state and territory governments, </w:t>
          </w:r>
          <w:r w:rsidR="00730235">
            <w:t xml:space="preserve">and </w:t>
          </w:r>
          <w:r w:rsidRPr="005D662D">
            <w:t>environmental and academic groups</w:t>
          </w:r>
          <w:r>
            <w:t>. Consultation mechanisms included a</w:t>
          </w:r>
          <w:r w:rsidRPr="00913CD0">
            <w:t xml:space="preserve"> </w:t>
          </w:r>
          <w:r>
            <w:t xml:space="preserve">consultation </w:t>
          </w:r>
          <w:r w:rsidRPr="00913CD0">
            <w:t>regulation impact statement</w:t>
          </w:r>
          <w:r w:rsidRPr="005D662D">
            <w:t xml:space="preserve"> </w:t>
          </w:r>
          <w:r>
            <w:t>(DISR 2023a), an</w:t>
          </w:r>
          <w:r w:rsidRPr="005D662D">
            <w:t xml:space="preserve"> economic evaluation and cost benefit analysis (CBA)</w:t>
          </w:r>
          <w:r>
            <w:t xml:space="preserve"> (Deloitte 2023) and a </w:t>
          </w:r>
          <w:r w:rsidRPr="00913CD0">
            <w:t>discussion paper</w:t>
          </w:r>
          <w:r w:rsidRPr="00875EC1">
            <w:t xml:space="preserve"> (DISR 2022)</w:t>
          </w:r>
          <w:r>
            <w:t>.</w:t>
          </w:r>
        </w:p>
        <w:p w14:paraId="4DCCD1CF" w14:textId="21856D9D" w:rsidR="00CF3589" w:rsidRPr="004235D6" w:rsidRDefault="00CF3589" w:rsidP="004235D6">
          <w:r>
            <w:t xml:space="preserve">Implementation </w:t>
          </w:r>
          <w:r>
            <w:rPr>
              <w:rFonts w:ascii="Calibri" w:eastAsia="Verdana" w:hAnsi="Calibri" w:cs="Calibri"/>
              <w:color w:val="000000"/>
              <w:lang w:val="en-US"/>
            </w:rPr>
            <w:t>arrangements</w:t>
          </w:r>
          <w:r w:rsidRPr="004235D6">
            <w:rPr>
              <w:rFonts w:ascii="Calibri" w:hAnsi="Calibri"/>
              <w:color w:val="000000"/>
              <w:lang w:val="en-US"/>
            </w:rPr>
            <w:t xml:space="preserve"> for seafood CoOL, </w:t>
          </w:r>
          <w:r>
            <w:rPr>
              <w:rFonts w:ascii="Calibri" w:eastAsia="Verdana" w:hAnsi="Calibri" w:cs="Calibri"/>
              <w:color w:val="000000"/>
              <w:lang w:val="en-US"/>
            </w:rPr>
            <w:t xml:space="preserve">including </w:t>
          </w:r>
          <w:r w:rsidRPr="00875EC1">
            <w:t xml:space="preserve">enactment of the </w:t>
          </w:r>
          <w:r>
            <w:rPr>
              <w:rFonts w:eastAsia="Times New Roman"/>
              <w:lang w:eastAsia="en-AU"/>
            </w:rPr>
            <w:t>ACL information standard</w:t>
          </w:r>
          <w:r>
            <w:t xml:space="preserve">, an education and awareness strategy </w:t>
          </w:r>
          <w:r w:rsidR="00A534BD">
            <w:t xml:space="preserve">to </w:t>
          </w:r>
          <w:r w:rsidRPr="00875EC1">
            <w:t>consumers and hospitality businesses</w:t>
          </w:r>
          <w:r>
            <w:t xml:space="preserve">, and </w:t>
          </w:r>
          <w:r w:rsidRPr="00875EC1">
            <w:t>monitoring and compliance activities</w:t>
          </w:r>
          <w:r>
            <w:t xml:space="preserve">, </w:t>
          </w:r>
          <w:r>
            <w:rPr>
              <w:rFonts w:ascii="Calibri" w:eastAsia="Verdana" w:hAnsi="Calibri" w:cs="Calibri"/>
              <w:color w:val="000000"/>
              <w:lang w:val="en-US"/>
            </w:rPr>
            <w:t>are still to be de</w:t>
          </w:r>
          <w:r w:rsidR="00C65C04">
            <w:rPr>
              <w:rFonts w:ascii="Calibri" w:eastAsia="Verdana" w:hAnsi="Calibri" w:cs="Calibri"/>
              <w:color w:val="000000"/>
              <w:lang w:val="en-US"/>
            </w:rPr>
            <w:t>termined</w:t>
          </w:r>
          <w:r>
            <w:rPr>
              <w:rFonts w:ascii="Calibri" w:eastAsia="Verdana" w:hAnsi="Calibri" w:cs="Calibri"/>
              <w:color w:val="000000"/>
              <w:lang w:val="en-US"/>
            </w:rPr>
            <w:t xml:space="preserve"> by the </w:t>
          </w:r>
          <w:r w:rsidRPr="004235D6">
            <w:rPr>
              <w:rFonts w:ascii="Calibri" w:hAnsi="Calibri"/>
              <w:color w:val="000000"/>
              <w:lang w:val="en-US"/>
            </w:rPr>
            <w:t>Australian</w:t>
          </w:r>
          <w:r>
            <w:rPr>
              <w:rFonts w:ascii="Calibri" w:eastAsia="Verdana" w:hAnsi="Calibri" w:cs="Calibri"/>
              <w:color w:val="000000"/>
              <w:lang w:val="en-US"/>
            </w:rPr>
            <w:t xml:space="preserve"> Government</w:t>
          </w:r>
          <w:r>
            <w:t>.</w:t>
          </w:r>
        </w:p>
        <w:p w14:paraId="0DCF5A8B" w14:textId="4237E83E" w:rsidR="005D662D" w:rsidRPr="00545B4C" w:rsidRDefault="004E6C47" w:rsidP="00073493">
          <w:pPr>
            <w:pStyle w:val="Heading1"/>
            <w:numPr>
              <w:ilvl w:val="0"/>
              <w:numId w:val="15"/>
            </w:numPr>
          </w:pPr>
          <w:bookmarkStart w:id="20" w:name="_Toc151719057"/>
          <w:r w:rsidRPr="002B15B2">
            <w:lastRenderedPageBreak/>
            <w:t>About this regulation impact statement</w:t>
          </w:r>
          <w:bookmarkEnd w:id="18"/>
          <w:bookmarkEnd w:id="20"/>
        </w:p>
        <w:p w14:paraId="44D7D60B" w14:textId="628150FB" w:rsidR="005D662D" w:rsidRPr="00B62539" w:rsidRDefault="004E6C47" w:rsidP="00073493">
          <w:pPr>
            <w:pStyle w:val="Heading2"/>
            <w:numPr>
              <w:ilvl w:val="1"/>
              <w:numId w:val="17"/>
            </w:numPr>
          </w:pPr>
          <w:bookmarkStart w:id="21" w:name="_Toc151719058"/>
          <w:bookmarkEnd w:id="19"/>
          <w:r w:rsidRPr="00B62539">
            <w:t>Background to this decision RIS</w:t>
          </w:r>
          <w:bookmarkEnd w:id="21"/>
        </w:p>
        <w:p w14:paraId="5B4809C0" w14:textId="1D105A82" w:rsidR="00CF3589" w:rsidRPr="005D662D" w:rsidRDefault="00CF3589" w:rsidP="00CF3589">
          <w:bookmarkStart w:id="22" w:name="_Hlk136420688"/>
          <w:bookmarkStart w:id="23" w:name="_Toc135727227"/>
          <w:bookmarkStart w:id="24" w:name="_Toc136419180"/>
          <w:bookmarkStart w:id="25" w:name="_Toc136425227"/>
          <w:bookmarkStart w:id="26" w:name="_Toc140662012"/>
          <w:bookmarkStart w:id="27" w:name="_Toc141272713"/>
          <w:r w:rsidRPr="005D662D">
            <w:t xml:space="preserve">On 25 October 2022, the Minister for Industry and Science, the Hon Ed Husic MP, announced the Government’s intent to </w:t>
          </w:r>
          <w:r>
            <w:t>‘</w:t>
          </w:r>
          <w:r w:rsidRPr="005D662D">
            <w:t>work with the seafood and hospitality sectors to develop mandatory Country of Origin Labelling for seafood in hospitality that will help consumers know if the seafood they order is Australian, while minimising costs and compliance burden on businesses</w:t>
          </w:r>
          <w:r>
            <w:t>’</w:t>
          </w:r>
          <w:r w:rsidRPr="005D662D">
            <w:t xml:space="preserve"> (Husic 2022).</w:t>
          </w:r>
        </w:p>
        <w:p w14:paraId="75AAE975" w14:textId="77777777" w:rsidR="00CF3589" w:rsidRDefault="00CF3589" w:rsidP="00CF3589">
          <w:r>
            <w:t>In June 2023, the Assistant Treasurer, the Hon Stephen Jones MP, and Assistant Minister for Manufacturing, Senator the Hon Tim Ayres, wrote to state and territory consumer affairs ministers (Consumer Ministers) with a proposal to amend the ACL to introduce seafood CoOL. The proposal was accompanied by a c</w:t>
          </w:r>
          <w:r w:rsidRPr="005D662D">
            <w:t>onsultation RIS</w:t>
          </w:r>
          <w:r>
            <w:t xml:space="preserve">. </w:t>
          </w:r>
        </w:p>
        <w:p w14:paraId="38CB1E1F" w14:textId="658148AE" w:rsidR="00CF3589" w:rsidRPr="005D662D" w:rsidRDefault="00CF3589" w:rsidP="00CF3589">
          <w:r w:rsidRPr="005D662D">
            <w:t>This decision RIS provide</w:t>
          </w:r>
          <w:r>
            <w:t>s</w:t>
          </w:r>
          <w:r w:rsidRPr="005D662D">
            <w:t xml:space="preserve"> a recommendation to </w:t>
          </w:r>
          <w:r>
            <w:t xml:space="preserve">Consumer Ministers </w:t>
          </w:r>
          <w:r w:rsidRPr="005D662D">
            <w:t xml:space="preserve">on the </w:t>
          </w:r>
          <w:r>
            <w:t xml:space="preserve">Government’s </w:t>
          </w:r>
          <w:r w:rsidRPr="005D662D">
            <w:t xml:space="preserve">preferred option for </w:t>
          </w:r>
          <w:r>
            <w:t>s</w:t>
          </w:r>
          <w:r w:rsidRPr="005D662D">
            <w:t xml:space="preserve">eafood CoOL. </w:t>
          </w:r>
          <w:r>
            <w:t>It</w:t>
          </w:r>
          <w:r w:rsidRPr="005D662D">
            <w:t xml:space="preserve"> </w:t>
          </w:r>
          <w:r>
            <w:t xml:space="preserve">was prepared in accordance with </w:t>
          </w:r>
          <w:r w:rsidRPr="005D662D">
            <w:t xml:space="preserve">the </w:t>
          </w:r>
          <w:r w:rsidRPr="00CF3589">
            <w:rPr>
              <w:i/>
            </w:rPr>
            <w:t xml:space="preserve">Regulatory Impact Analysis Guide for Ministers’ Meetings and National Standard Setting Bodies </w:t>
          </w:r>
          <w:r w:rsidRPr="00CF3589">
            <w:rPr>
              <w:iCs/>
            </w:rPr>
            <w:t>(OIA 2023)</w:t>
          </w:r>
          <w:r w:rsidRPr="00CF3589">
            <w:rPr>
              <w:i/>
            </w:rPr>
            <w:t>.</w:t>
          </w:r>
          <w:r w:rsidRPr="005D662D">
            <w:t xml:space="preserve"> </w:t>
          </w:r>
          <w:bookmarkEnd w:id="22"/>
        </w:p>
        <w:p w14:paraId="2CCC9E4B" w14:textId="046E462C" w:rsidR="005D662D" w:rsidRPr="0056042B" w:rsidRDefault="005D662D" w:rsidP="00073493">
          <w:pPr>
            <w:pStyle w:val="Heading2"/>
            <w:numPr>
              <w:ilvl w:val="1"/>
              <w:numId w:val="17"/>
            </w:numPr>
          </w:pPr>
          <w:bookmarkStart w:id="28" w:name="_Toc151719059"/>
          <w:r w:rsidRPr="0056042B">
            <w:t>Australian Consumer Law</w:t>
          </w:r>
          <w:bookmarkEnd w:id="23"/>
          <w:bookmarkEnd w:id="24"/>
          <w:bookmarkEnd w:id="25"/>
          <w:bookmarkEnd w:id="26"/>
          <w:bookmarkEnd w:id="27"/>
          <w:r w:rsidR="008E5812">
            <w:t xml:space="preserve"> (ACL)</w:t>
          </w:r>
          <w:bookmarkEnd w:id="28"/>
        </w:p>
        <w:p w14:paraId="40E1699B" w14:textId="16CAEF76" w:rsidR="005D662D" w:rsidRPr="005D662D" w:rsidRDefault="004E6C47" w:rsidP="005D662D">
          <w:r w:rsidRPr="00A93A33">
            <w:t xml:space="preserve">The </w:t>
          </w:r>
          <w:r w:rsidR="008F245E">
            <w:t>ACL</w:t>
          </w:r>
          <w:r w:rsidRPr="00A93A33">
            <w:t xml:space="preserve"> is </w:t>
          </w:r>
          <w:r>
            <w:t xml:space="preserve">the law governing consumer protection and fair trading in Australia. </w:t>
          </w:r>
          <w:r w:rsidR="00C65C04">
            <w:t>It</w:t>
          </w:r>
          <w:r w:rsidR="0056526B">
            <w:t xml:space="preserve"> </w:t>
          </w:r>
          <w:r w:rsidR="005D662D" w:rsidRPr="005D662D">
            <w:t>protect</w:t>
          </w:r>
          <w:r w:rsidR="0056526B">
            <w:t>s</w:t>
          </w:r>
          <w:r w:rsidR="005D662D" w:rsidRPr="005D662D">
            <w:t xml:space="preserve"> Australian consumers and encourage</w:t>
          </w:r>
          <w:r w:rsidR="008E5812">
            <w:t>s</w:t>
          </w:r>
          <w:r w:rsidR="005D662D" w:rsidRPr="005D662D">
            <w:t xml:space="preserve"> fair trade and competition. It is administered jointly by Commonwealth, state, and territory consumer protection agencies. </w:t>
          </w:r>
        </w:p>
        <w:p w14:paraId="229D284A" w14:textId="77777777" w:rsidR="005D662D" w:rsidRPr="005D662D" w:rsidRDefault="005D662D" w:rsidP="00371459">
          <w:pPr>
            <w:keepNext/>
          </w:pPr>
          <w:r w:rsidRPr="005D662D">
            <w:t xml:space="preserve">The ACL aims to: </w:t>
          </w:r>
        </w:p>
        <w:p w14:paraId="021F7594" w14:textId="3FA738F1" w:rsidR="005D662D" w:rsidRPr="005D662D" w:rsidRDefault="005D662D" w:rsidP="00741E74">
          <w:pPr>
            <w:numPr>
              <w:ilvl w:val="0"/>
              <w:numId w:val="1"/>
            </w:numPr>
          </w:pPr>
          <w:r w:rsidRPr="005D662D">
            <w:t>improve consumer wellbeing through empowerment and protection</w:t>
          </w:r>
        </w:p>
        <w:p w14:paraId="0BEE6850" w14:textId="0D403B76" w:rsidR="005D662D" w:rsidRPr="005D662D" w:rsidRDefault="005D662D" w:rsidP="00741E74">
          <w:pPr>
            <w:numPr>
              <w:ilvl w:val="0"/>
              <w:numId w:val="1"/>
            </w:numPr>
          </w:pPr>
          <w:r w:rsidRPr="005D662D">
            <w:t xml:space="preserve">foster effective competition </w:t>
          </w:r>
        </w:p>
        <w:p w14:paraId="54248BB9" w14:textId="77777777" w:rsidR="005D662D" w:rsidRPr="005D662D" w:rsidRDefault="005D662D" w:rsidP="00741E74">
          <w:pPr>
            <w:numPr>
              <w:ilvl w:val="0"/>
              <w:numId w:val="1"/>
            </w:numPr>
          </w:pPr>
          <w:r w:rsidRPr="005D662D">
            <w:t>enable the confident participation of consumers in markets in which both consumers and suppliers trade fairly.</w:t>
          </w:r>
        </w:p>
        <w:p w14:paraId="6330BC60" w14:textId="561FFC88" w:rsidR="00C9608D" w:rsidRDefault="00C9608D" w:rsidP="00C9608D">
          <w:r>
            <w:t xml:space="preserve">The ACL has mandated country of origin labelling (CoOL) for </w:t>
          </w:r>
          <w:r w:rsidRPr="005D662D">
            <w:t xml:space="preserve">most food and beverages for sale in retail settings </w:t>
          </w:r>
          <w:r>
            <w:t>(CoOL for Food)</w:t>
          </w:r>
          <w:r w:rsidRPr="005D662D">
            <w:t xml:space="preserve"> </w:t>
          </w:r>
          <w:r>
            <w:t>since</w:t>
          </w:r>
          <w:r w:rsidRPr="005D662D">
            <w:t xml:space="preserve"> 2018 under the </w:t>
          </w:r>
          <w:r>
            <w:t xml:space="preserve">Country of Origin Food Labelling Information Standard 2016 </w:t>
          </w:r>
          <w:r w:rsidRPr="005D662D">
            <w:t>(CoOL Standard)</w:t>
          </w:r>
          <w:r>
            <w:t xml:space="preserve">. </w:t>
          </w:r>
          <w:r w:rsidRPr="005D662D">
            <w:t>The CoOL Standard ensures accuracy and truth in labelling, including in relation to the place of origin of goods.</w:t>
          </w:r>
          <w:r>
            <w:t xml:space="preserve"> It</w:t>
          </w:r>
          <w:r w:rsidRPr="005D662D">
            <w:t xml:space="preserve"> allows consumers to know where their food comes from and is often a key factor for consumers when making purchasing decisions.</w:t>
          </w:r>
        </w:p>
        <w:p w14:paraId="7FE82738" w14:textId="77777777" w:rsidR="008F245E" w:rsidRPr="005D662D" w:rsidRDefault="008F245E" w:rsidP="008F245E">
          <w:pPr>
            <w:pStyle w:val="Quote"/>
            <w:ind w:right="862"/>
            <w:contextualSpacing/>
          </w:pPr>
          <w:r>
            <w:t>‘</w:t>
          </w:r>
          <w:r w:rsidRPr="005D662D">
            <w:t>I support CoOL so I can make an informed choice as a consumer. I have a right to know where my food is coming from.</w:t>
          </w:r>
          <w:r>
            <w:t>’</w:t>
          </w:r>
        </w:p>
        <w:p w14:paraId="5FB7AA5B" w14:textId="03919EF3" w:rsidR="00C9608D" w:rsidRPr="005D662D" w:rsidRDefault="00C9608D" w:rsidP="008F245E">
          <w:r w:rsidRPr="005D662D">
            <w:t xml:space="preserve">Under the </w:t>
          </w:r>
          <w:r>
            <w:t>ACL</w:t>
          </w:r>
          <w:r w:rsidRPr="005D662D">
            <w:t xml:space="preserve">, </w:t>
          </w:r>
          <w:r>
            <w:t xml:space="preserve">hospitality businesses are currently exempt from CoOL for Food. </w:t>
          </w:r>
          <w:r w:rsidRPr="005D662D">
            <w:t>Over the past decade, there have been many inquiries and reviews concerning the possible introduction of</w:t>
          </w:r>
          <w:r>
            <w:t xml:space="preserve"> seafood</w:t>
          </w:r>
          <w:r w:rsidRPr="005D662D">
            <w:t xml:space="preserve"> CoOL</w:t>
          </w:r>
          <w:r>
            <w:t xml:space="preserve"> </w:t>
          </w:r>
          <w:r w:rsidRPr="005D662D">
            <w:t>(</w:t>
          </w:r>
          <w:r w:rsidRPr="00913CD0">
            <w:rPr>
              <w:b/>
              <w:bCs/>
            </w:rPr>
            <w:t xml:space="preserve">Appendix </w:t>
          </w:r>
          <w:r w:rsidR="00331076">
            <w:rPr>
              <w:b/>
              <w:bCs/>
            </w:rPr>
            <w:t>A</w:t>
          </w:r>
          <w:r w:rsidRPr="005D662D">
            <w:t xml:space="preserve">). </w:t>
          </w:r>
        </w:p>
        <w:p w14:paraId="70AE2115" w14:textId="4215C3D9" w:rsidR="008F245E" w:rsidRPr="007B31CB" w:rsidRDefault="008F245E" w:rsidP="00073493">
          <w:pPr>
            <w:pStyle w:val="Heading2"/>
            <w:numPr>
              <w:ilvl w:val="1"/>
              <w:numId w:val="17"/>
            </w:numPr>
          </w:pPr>
          <w:bookmarkStart w:id="29" w:name="_Toc151719060"/>
          <w:r w:rsidRPr="007B31CB">
            <w:t>Food labelling</w:t>
          </w:r>
          <w:bookmarkEnd w:id="29"/>
        </w:p>
        <w:p w14:paraId="63381BC9" w14:textId="793E9546" w:rsidR="008F245E" w:rsidRPr="005D662D" w:rsidRDefault="008F245E" w:rsidP="008F245E">
          <w:r w:rsidRPr="007B31CB">
            <w:t xml:space="preserve">Food labelling refers to the provision of information on </w:t>
          </w:r>
          <w:r>
            <w:t xml:space="preserve">packaging or </w:t>
          </w:r>
          <w:r w:rsidRPr="007B31CB">
            <w:t xml:space="preserve">menus to inform consumer purchasing and consumption decisions </w:t>
          </w:r>
          <w:r>
            <w:t>(FSANZ 2023).</w:t>
          </w:r>
          <w:r w:rsidRPr="007B31CB">
            <w:t xml:space="preserve"> </w:t>
          </w:r>
          <w:r>
            <w:t>It</w:t>
          </w:r>
          <w:r w:rsidRPr="007B31CB">
            <w:t xml:space="preserve"> is a tool to support consumers to make </w:t>
          </w:r>
          <w:r w:rsidRPr="007B31CB">
            <w:lastRenderedPageBreak/>
            <w:t>informed decisions</w:t>
          </w:r>
          <w:r>
            <w:t>.</w:t>
          </w:r>
          <w:r w:rsidRPr="007B31CB">
            <w:t> Consumers have the right to know, ask and confirm</w:t>
          </w:r>
          <w:r w:rsidRPr="005D662D">
            <w:t xml:space="preserve"> the</w:t>
          </w:r>
          <w:r w:rsidR="0033508B">
            <w:t xml:space="preserve"> origin</w:t>
          </w:r>
          <w:r w:rsidR="00D60415">
            <w:t xml:space="preserve"> </w:t>
          </w:r>
          <w:r w:rsidRPr="005D662D">
            <w:t xml:space="preserve">of the seafood supplied for purchase in a hospitality setting before paying. </w:t>
          </w:r>
        </w:p>
        <w:p w14:paraId="7A8EE347" w14:textId="77777777" w:rsidR="008F245E" w:rsidRPr="005D662D" w:rsidRDefault="008F245E" w:rsidP="008F245E">
          <w:r w:rsidRPr="005D662D">
            <w:t xml:space="preserve">Menu and food labels are designed to provide consumers with information that: </w:t>
          </w:r>
        </w:p>
        <w:p w14:paraId="56B22542" w14:textId="70F191B2" w:rsidR="008F245E" w:rsidRPr="005D662D" w:rsidRDefault="008F245E" w:rsidP="008F245E">
          <w:pPr>
            <w:numPr>
              <w:ilvl w:val="0"/>
              <w:numId w:val="2"/>
            </w:numPr>
          </w:pPr>
          <w:r>
            <w:t>c</w:t>
          </w:r>
          <w:r w:rsidRPr="005D662D">
            <w:t xml:space="preserve">ommunicates important information about products </w:t>
          </w:r>
        </w:p>
        <w:p w14:paraId="0B4C4898" w14:textId="0E4DC8A0" w:rsidR="008F245E" w:rsidRPr="005D662D" w:rsidRDefault="008F245E" w:rsidP="008F245E">
          <w:pPr>
            <w:numPr>
              <w:ilvl w:val="0"/>
              <w:numId w:val="2"/>
            </w:numPr>
          </w:pPr>
          <w:r>
            <w:t>a</w:t>
          </w:r>
          <w:r w:rsidRPr="005D662D">
            <w:t xml:space="preserve">ssists them in making consumption choices which align with their preferences </w:t>
          </w:r>
        </w:p>
        <w:p w14:paraId="0889AD1D" w14:textId="591666D5" w:rsidR="008F245E" w:rsidRDefault="008F245E" w:rsidP="008F245E">
          <w:pPr>
            <w:numPr>
              <w:ilvl w:val="0"/>
              <w:numId w:val="2"/>
            </w:numPr>
          </w:pPr>
          <w:r>
            <w:t>d</w:t>
          </w:r>
          <w:r w:rsidRPr="005D662D">
            <w:t xml:space="preserve">ifferentiates products in the market by </w:t>
          </w:r>
          <w:r w:rsidR="00EA08F9">
            <w:t>labelling</w:t>
          </w:r>
          <w:r w:rsidRPr="005D662D">
            <w:t xml:space="preserve"> certain aspects</w:t>
          </w:r>
          <w:r>
            <w:t xml:space="preserve"> or </w:t>
          </w:r>
          <w:r w:rsidRPr="005D662D">
            <w:t>attributes of products</w:t>
          </w:r>
          <w:r>
            <w:t>.</w:t>
          </w:r>
          <w:r w:rsidRPr="005D662D">
            <w:t xml:space="preserve"> </w:t>
          </w:r>
        </w:p>
        <w:p w14:paraId="24C2E65D" w14:textId="38B997A4" w:rsidR="008F245E" w:rsidRDefault="008F245E" w:rsidP="008F245E">
          <w:r w:rsidRPr="005D662D">
            <w:rPr>
              <w:lang w:val="en-US"/>
            </w:rPr>
            <w:t xml:space="preserve">Consumers consider and use </w:t>
          </w:r>
          <w:r w:rsidR="001D1B4E">
            <w:rPr>
              <w:lang w:val="en-US"/>
            </w:rPr>
            <w:t xml:space="preserve">food labelling </w:t>
          </w:r>
          <w:r w:rsidRPr="005D662D">
            <w:rPr>
              <w:lang w:val="en-US"/>
            </w:rPr>
            <w:t xml:space="preserve">in different ways and rely on food labelling to make decisions. </w:t>
          </w:r>
          <w:r w:rsidRPr="005D662D">
            <w:t xml:space="preserve">The provision of information through food labelling is an important </w:t>
          </w:r>
          <w:r>
            <w:t xml:space="preserve">and </w:t>
          </w:r>
          <w:r w:rsidRPr="005D662D">
            <w:t xml:space="preserve">cost-effective mechanism which can support people to make more informed choices in the foods they purchase and consume (McKinsey 2014). </w:t>
          </w:r>
        </w:p>
        <w:p w14:paraId="640C336F" w14:textId="3CC2A64B" w:rsidR="008F245E" w:rsidRPr="005D662D" w:rsidRDefault="008F245E" w:rsidP="008F245E">
          <w:r w:rsidRPr="005D662D">
            <w:t xml:space="preserve">The </w:t>
          </w:r>
          <w:r w:rsidR="00D4766B" w:rsidRPr="00D4766B">
            <w:t>‘</w:t>
          </w:r>
          <w:r w:rsidRPr="00D4766B">
            <w:t>Labelling Logic - the Final Report of the Review of Food Labelling Law and Policy</w:t>
          </w:r>
          <w:r w:rsidR="00D4766B" w:rsidRPr="00D4766B">
            <w:t>’</w:t>
          </w:r>
          <w:r w:rsidRPr="005D662D">
            <w:t xml:space="preserve"> (</w:t>
          </w:r>
          <w:r>
            <w:t>Blewett et al.</w:t>
          </w:r>
          <w:r w:rsidRPr="005D662D">
            <w:t xml:space="preserve"> 2011) identified that food labels are an intensely complex area but are highly valued as a communication option for consumer value information. The report noted that food labelling has </w:t>
          </w:r>
          <w:r w:rsidR="006E556A">
            <w:t>4</w:t>
          </w:r>
          <w:r w:rsidR="006E556A" w:rsidRPr="005D662D">
            <w:t xml:space="preserve"> </w:t>
          </w:r>
          <w:r w:rsidRPr="005D662D">
            <w:t>areas of consideration</w:t>
          </w:r>
          <w:r w:rsidR="001D1B4E">
            <w:t>:</w:t>
          </w:r>
          <w:r w:rsidRPr="005D662D">
            <w:t xml:space="preserve"> food safety, preventative health, new technologies and consumer values. Consumer values relates to consumers’ personal values and allows them to make decisions that consider </w:t>
          </w:r>
          <w:r>
            <w:t>c</w:t>
          </w:r>
          <w:r w:rsidRPr="005D662D">
            <w:t xml:space="preserve">ountry of </w:t>
          </w:r>
          <w:r>
            <w:t>o</w:t>
          </w:r>
          <w:r w:rsidRPr="005D662D">
            <w:t>rigin, animal welfare issues, religious beliefs, environmental issues, and human rights matters.</w:t>
          </w:r>
        </w:p>
        <w:p w14:paraId="7FB73953" w14:textId="331457D4" w:rsidR="008F245E" w:rsidRDefault="008F245E" w:rsidP="00073493">
          <w:pPr>
            <w:pStyle w:val="Heading2"/>
            <w:numPr>
              <w:ilvl w:val="1"/>
              <w:numId w:val="17"/>
            </w:numPr>
          </w:pPr>
          <w:bookmarkStart w:id="30" w:name="_Toc151719061"/>
          <w:r w:rsidRPr="007B31CB">
            <w:t>What consumers want to know</w:t>
          </w:r>
          <w:bookmarkEnd w:id="30"/>
        </w:p>
        <w:p w14:paraId="31684A3D" w14:textId="4DF65A29" w:rsidR="008F245E" w:rsidRPr="005D662D" w:rsidRDefault="008F245E" w:rsidP="008F245E">
          <w:r>
            <w:t>Global food supply chains are complex, and c</w:t>
          </w:r>
          <w:r w:rsidRPr="005D662D">
            <w:t>onsumers are increasingly seeking more information</w:t>
          </w:r>
          <w:r w:rsidRPr="00EA6408">
            <w:t xml:space="preserve"> </w:t>
          </w:r>
          <w:r w:rsidRPr="005D662D">
            <w:t>about the origins of their food</w:t>
          </w:r>
          <w:r>
            <w:t xml:space="preserve">. This </w:t>
          </w:r>
          <w:r w:rsidRPr="005D662D">
            <w:t>includ</w:t>
          </w:r>
          <w:r>
            <w:t>es</w:t>
          </w:r>
          <w:r w:rsidRPr="005D662D">
            <w:t xml:space="preserve"> menu labelling show</w:t>
          </w:r>
          <w:r>
            <w:t>ing</w:t>
          </w:r>
          <w:r w:rsidRPr="005D662D">
            <w:t xml:space="preserve"> where ingredients are sourced from and where </w:t>
          </w:r>
          <w:r>
            <w:t>ingredients are produced</w:t>
          </w:r>
          <w:r w:rsidRPr="005D662D">
            <w:t xml:space="preserve"> or caught.</w:t>
          </w:r>
          <w:r w:rsidR="00782C5F">
            <w:t xml:space="preserve"> </w:t>
          </w:r>
          <w:r w:rsidRPr="005D662D">
            <w:t xml:space="preserve">The lack of </w:t>
          </w:r>
          <w:r>
            <w:t>s</w:t>
          </w:r>
          <w:r w:rsidRPr="005D662D">
            <w:t xml:space="preserve">eafood CoOL means that Australian consumers are not able to make informed decisions or choices to purchase their most preferred seafood products. </w:t>
          </w:r>
        </w:p>
        <w:p w14:paraId="357AC795" w14:textId="7EEDB992" w:rsidR="00C80540" w:rsidRPr="00782C5F" w:rsidRDefault="00782C5F" w:rsidP="00782C5F">
          <w:pPr>
            <w:pStyle w:val="Quote"/>
            <w:pBdr>
              <w:top w:val="single" w:sz="4" w:space="1" w:color="auto"/>
            </w:pBdr>
            <w:ind w:right="862"/>
            <w:contextualSpacing/>
          </w:pPr>
          <w:r>
            <w:t>‘</w:t>
          </w:r>
          <w:r w:rsidR="00C80540" w:rsidRPr="00782C5F">
            <w:t>[</w:t>
          </w:r>
          <w:r>
            <w:t>S</w:t>
          </w:r>
          <w:r w:rsidR="00C80540" w:rsidRPr="00782C5F">
            <w:t xml:space="preserve">eafood CoOL] </w:t>
          </w:r>
          <w:proofErr w:type="gramStart"/>
          <w:r w:rsidR="00C80540" w:rsidRPr="00782C5F">
            <w:t>definitely makes</w:t>
          </w:r>
          <w:proofErr w:type="gramEnd"/>
          <w:r w:rsidR="00C80540" w:rsidRPr="00782C5F">
            <w:t xml:space="preserve"> a difference when buying in the supermarket and would flow to hospitality setting</w:t>
          </w:r>
          <w:r>
            <w:t>s</w:t>
          </w:r>
          <w:r w:rsidR="00C80540" w:rsidRPr="00782C5F">
            <w:t>. Coming from the NT where this is already required, this is a gap when eating out in other states</w:t>
          </w:r>
          <w:r>
            <w:t>.’</w:t>
          </w:r>
        </w:p>
        <w:p w14:paraId="02B732B8" w14:textId="4A3527CF" w:rsidR="008F245E" w:rsidRPr="005D662D" w:rsidRDefault="008F245E" w:rsidP="008F245E">
          <w:r w:rsidRPr="005D662D">
            <w:t>Research and consultation have reflected the importance of CoOL information to consumers (</w:t>
          </w:r>
          <w:r>
            <w:t>DISR</w:t>
          </w:r>
          <w:r w:rsidRPr="005D662D">
            <w:t xml:space="preserve"> 2022</w:t>
          </w:r>
          <w:r>
            <w:t>,</w:t>
          </w:r>
          <w:r w:rsidRPr="005D662D">
            <w:t xml:space="preserve"> </w:t>
          </w:r>
          <w:r>
            <w:t>DISR</w:t>
          </w:r>
          <w:r w:rsidRPr="005D662D">
            <w:t xml:space="preserve"> 2023</w:t>
          </w:r>
          <w:r>
            <w:t>b</w:t>
          </w:r>
          <w:r w:rsidRPr="005D662D">
            <w:t xml:space="preserve">). Consumers have expressed the importance of adding </w:t>
          </w:r>
          <w:r>
            <w:t>s</w:t>
          </w:r>
          <w:r w:rsidRPr="005D662D">
            <w:t xml:space="preserve">eafood CoOL to the existing CoOL framework. </w:t>
          </w:r>
          <w:r>
            <w:t xml:space="preserve">The department’s consultation has shown that </w:t>
          </w:r>
          <w:r w:rsidRPr="005D662D">
            <w:t xml:space="preserve">consumers value CoOL </w:t>
          </w:r>
          <w:r>
            <w:t xml:space="preserve">for different reasons based on their personal dining preferences. </w:t>
          </w:r>
        </w:p>
        <w:p w14:paraId="4921695A" w14:textId="77777777" w:rsidR="008F245E" w:rsidRPr="00545B4C" w:rsidRDefault="008F245E" w:rsidP="00782C5F">
          <w:pPr>
            <w:pStyle w:val="Quote"/>
            <w:keepLines/>
            <w:pBdr>
              <w:top w:val="single" w:sz="4" w:space="1" w:color="auto"/>
            </w:pBdr>
            <w:ind w:right="862"/>
            <w:contextualSpacing/>
          </w:pPr>
          <w:r>
            <w:t>‘</w:t>
          </w:r>
          <w:r w:rsidRPr="00545B4C">
            <w:t xml:space="preserve">Behind the country of </w:t>
          </w:r>
          <w:r>
            <w:t xml:space="preserve">origin </w:t>
          </w:r>
          <w:r w:rsidRPr="00545B4C">
            <w:t>labelling is the product, the quality, the knowledge (growing up eating Aus. seafood at the seaside), our ocean from where it comes from etc. We need to know where the seafood we are eating on the plate comes from to make an informed choice</w:t>
          </w:r>
          <w:r>
            <w:t>…’</w:t>
          </w:r>
        </w:p>
        <w:p w14:paraId="667FEFFB" w14:textId="64486409" w:rsidR="00924DF6" w:rsidRPr="008F245E" w:rsidRDefault="008F245E" w:rsidP="00073493">
          <w:pPr>
            <w:pStyle w:val="Heading2"/>
            <w:numPr>
              <w:ilvl w:val="1"/>
              <w:numId w:val="17"/>
            </w:numPr>
          </w:pPr>
          <w:bookmarkStart w:id="31" w:name="_Toc141272714"/>
          <w:bookmarkStart w:id="32" w:name="_Toc151719062"/>
          <w:r>
            <w:lastRenderedPageBreak/>
            <w:t>Seafood CoOL p</w:t>
          </w:r>
          <w:r w:rsidR="00924DF6" w:rsidRPr="008F245E">
            <w:t>olicy context</w:t>
          </w:r>
          <w:bookmarkEnd w:id="31"/>
          <w:bookmarkEnd w:id="32"/>
        </w:p>
        <w:p w14:paraId="11FEB325" w14:textId="77777777" w:rsidR="005D662D" w:rsidRPr="00782C5F" w:rsidRDefault="005D662D" w:rsidP="00371459">
          <w:pPr>
            <w:pStyle w:val="Heading3"/>
          </w:pPr>
          <w:bookmarkStart w:id="33" w:name="_Toc141272715"/>
          <w:r w:rsidRPr="00782C5F">
            <w:t>Hospitality industry</w:t>
          </w:r>
          <w:bookmarkEnd w:id="33"/>
          <w:r w:rsidRPr="00782C5F">
            <w:t xml:space="preserve"> </w:t>
          </w:r>
        </w:p>
        <w:p w14:paraId="732B4EC2" w14:textId="5F585885" w:rsidR="005D662D" w:rsidRPr="005D662D" w:rsidRDefault="005D662D" w:rsidP="005D662D">
          <w:pPr>
            <w:rPr>
              <w:lang w:val="en-US"/>
            </w:rPr>
          </w:pPr>
          <w:r w:rsidRPr="00782C5F">
            <w:rPr>
              <w:lang w:val="en-US"/>
            </w:rPr>
            <w:t>The hospitality industry is vital to Australi</w:t>
          </w:r>
          <w:r w:rsidR="001D52FD" w:rsidRPr="00782C5F">
            <w:rPr>
              <w:lang w:val="en-US"/>
            </w:rPr>
            <w:t xml:space="preserve">a, providing </w:t>
          </w:r>
          <w:r w:rsidRPr="00782C5F">
            <w:rPr>
              <w:lang w:val="en-US"/>
            </w:rPr>
            <w:t>value to both the economy and society at large. Currently, there are more than 85,000 hospitality businesses in Australia, mostly small to medium enterprises (SMEs)</w:t>
          </w:r>
          <w:r w:rsidR="00EA2471" w:rsidRPr="00782C5F">
            <w:rPr>
              <w:lang w:val="en-US"/>
            </w:rPr>
            <w:t>. T</w:t>
          </w:r>
          <w:r w:rsidRPr="00782C5F">
            <w:rPr>
              <w:lang w:val="en-US"/>
            </w:rPr>
            <w:t>he size and scale of the industry is also expected to expand, with anticipated annual growth over the next 5 years of around 1.6%</w:t>
          </w:r>
          <w:r w:rsidR="00BD2EB9" w:rsidRPr="00782C5F">
            <w:rPr>
              <w:lang w:val="en-US"/>
            </w:rPr>
            <w:t xml:space="preserve"> (</w:t>
          </w:r>
          <w:r w:rsidR="00EA2471" w:rsidRPr="00782C5F">
            <w:rPr>
              <w:lang w:val="en-US"/>
            </w:rPr>
            <w:t>IBISWorld 2023</w:t>
          </w:r>
          <w:r w:rsidR="00BD2EB9" w:rsidRPr="00782C5F">
            <w:rPr>
              <w:lang w:val="en-US"/>
            </w:rPr>
            <w:t>)</w:t>
          </w:r>
          <w:r w:rsidRPr="00782C5F">
            <w:rPr>
              <w:lang w:val="en-US"/>
            </w:rPr>
            <w:t xml:space="preserve">. </w:t>
          </w:r>
          <w:r w:rsidR="00CF3589">
            <w:rPr>
              <w:lang w:val="en-US"/>
            </w:rPr>
            <w:t>Around 55% of hospitality businesses offer seafood on their menus (</w:t>
          </w:r>
          <w:proofErr w:type="spellStart"/>
          <w:r w:rsidR="007572FF">
            <w:rPr>
              <w:rFonts w:ascii="Calibri" w:eastAsia="Calibri" w:hAnsi="Calibri" w:cs="Times New Roman"/>
              <w:color w:val="262626"/>
            </w:rPr>
            <w:t>Calogeras</w:t>
          </w:r>
          <w:proofErr w:type="spellEnd"/>
          <w:r w:rsidR="007572FF">
            <w:rPr>
              <w:rFonts w:ascii="Calibri" w:eastAsia="Calibri" w:hAnsi="Calibri" w:cs="Times New Roman"/>
              <w:color w:val="262626"/>
            </w:rPr>
            <w:t xml:space="preserve"> et al. 2011</w:t>
          </w:r>
          <w:r w:rsidR="00CF3589">
            <w:rPr>
              <w:lang w:val="en-US"/>
            </w:rPr>
            <w:t>).</w:t>
          </w:r>
        </w:p>
        <w:p w14:paraId="5F794AC8" w14:textId="6B2232F3" w:rsidR="005D662D" w:rsidRPr="007B31CB" w:rsidRDefault="005D662D" w:rsidP="00371459">
          <w:pPr>
            <w:pStyle w:val="Heading3"/>
          </w:pPr>
          <w:bookmarkStart w:id="34" w:name="_Toc140662015"/>
          <w:bookmarkStart w:id="35" w:name="_Toc141272716"/>
          <w:r w:rsidRPr="007B31CB">
            <w:t>Workforce statistics</w:t>
          </w:r>
          <w:bookmarkEnd w:id="34"/>
          <w:bookmarkEnd w:id="35"/>
        </w:p>
        <w:p w14:paraId="0E83291F" w14:textId="136D7446" w:rsidR="005D662D" w:rsidRPr="005D662D" w:rsidRDefault="005D662D" w:rsidP="007B31CB">
          <w:r w:rsidRPr="005D662D">
            <w:t>Cafes, restaurants, and takeaway food service businesses ha</w:t>
          </w:r>
          <w:r w:rsidR="001D1B4E">
            <w:t>ve</w:t>
          </w:r>
          <w:r w:rsidRPr="005D662D">
            <w:t xml:space="preserve"> the largest number of employees across the accommodation and food services industry in Australia, employing around 680,200 people. This equate</w:t>
          </w:r>
          <w:r w:rsidR="001D1B4E">
            <w:t>s</w:t>
          </w:r>
          <w:r w:rsidRPr="005D662D">
            <w:t xml:space="preserve"> to 71.9</w:t>
          </w:r>
          <w:r w:rsidR="00E67D9E">
            <w:t>%</w:t>
          </w:r>
          <w:r w:rsidRPr="005D662D">
            <w:t xml:space="preserve"> of the accommodation and food services industry workforce. The department’s data confirms a total hospitality business count in 2022 as: </w:t>
          </w:r>
        </w:p>
        <w:p w14:paraId="58CD3618" w14:textId="7E13E82D" w:rsidR="005D662D" w:rsidRPr="005D662D" w:rsidRDefault="001D1B4E" w:rsidP="00741E74">
          <w:pPr>
            <w:numPr>
              <w:ilvl w:val="0"/>
              <w:numId w:val="3"/>
            </w:numPr>
          </w:pPr>
          <w:r>
            <w:t>a</w:t>
          </w:r>
          <w:r w:rsidR="005D662D" w:rsidRPr="005D662D">
            <w:t xml:space="preserve">ccommodation with food service business = 6,600 </w:t>
          </w:r>
        </w:p>
        <w:p w14:paraId="53A11A86" w14:textId="264BADE7" w:rsidR="005D662D" w:rsidRPr="005D662D" w:rsidRDefault="001D1B4E" w:rsidP="00741E74">
          <w:pPr>
            <w:numPr>
              <w:ilvl w:val="0"/>
              <w:numId w:val="3"/>
            </w:numPr>
          </w:pPr>
          <w:r>
            <w:t>c</w:t>
          </w:r>
          <w:r w:rsidR="005D662D" w:rsidRPr="005D662D">
            <w:t>afes = 86,080</w:t>
          </w:r>
        </w:p>
        <w:p w14:paraId="66835E6B" w14:textId="09B499F9" w:rsidR="005D662D" w:rsidRPr="005D662D" w:rsidRDefault="001D1B4E" w:rsidP="00741E74">
          <w:pPr>
            <w:numPr>
              <w:ilvl w:val="0"/>
              <w:numId w:val="3"/>
            </w:numPr>
          </w:pPr>
          <w:r>
            <w:t>p</w:t>
          </w:r>
          <w:r w:rsidR="005D662D" w:rsidRPr="005D662D">
            <w:t>ubs = 7,000</w:t>
          </w:r>
        </w:p>
        <w:p w14:paraId="58CA239C" w14:textId="7083921D" w:rsidR="005D662D" w:rsidRPr="005D662D" w:rsidRDefault="001D1B4E" w:rsidP="00741E74">
          <w:pPr>
            <w:numPr>
              <w:ilvl w:val="0"/>
              <w:numId w:val="3"/>
            </w:numPr>
          </w:pPr>
          <w:r>
            <w:t>c</w:t>
          </w:r>
          <w:r w:rsidR="005D662D" w:rsidRPr="005D662D">
            <w:t>lubs = 3,480</w:t>
          </w:r>
          <w:r w:rsidR="00A235AD">
            <w:t>.</w:t>
          </w:r>
        </w:p>
        <w:p w14:paraId="0320D939" w14:textId="6D194DB0" w:rsidR="007E0A1D" w:rsidRPr="005D662D" w:rsidRDefault="007E0A1D" w:rsidP="00913CD0">
          <w:bookmarkStart w:id="36" w:name="_Toc141272717"/>
          <w:r w:rsidRPr="005D662D">
            <w:t xml:space="preserve">The Australian seafood industry directly supports more than 15,000 Australian jobs, and </w:t>
          </w:r>
          <w:r w:rsidR="00D060C7">
            <w:t xml:space="preserve">many </w:t>
          </w:r>
          <w:r w:rsidRPr="005D662D">
            <w:t>more downstream in transport, logistics, and processing</w:t>
          </w:r>
          <w:r w:rsidR="00027854">
            <w:t>.</w:t>
          </w:r>
          <w:r w:rsidRPr="005D662D">
            <w:t xml:space="preserve">  contributes $3.5 billion in gross domestic product annually to the Australian economy</w:t>
          </w:r>
          <w:r w:rsidR="00875EC1">
            <w:t xml:space="preserve"> (DISR unpublished)</w:t>
          </w:r>
          <w:r w:rsidR="00027854">
            <w:t>.</w:t>
          </w:r>
        </w:p>
        <w:p w14:paraId="17E780E9" w14:textId="0F4EAC3D" w:rsidR="005D662D" w:rsidRPr="007B31CB" w:rsidRDefault="005D662D" w:rsidP="00371459">
          <w:pPr>
            <w:pStyle w:val="Heading3"/>
          </w:pPr>
          <w:bookmarkStart w:id="37" w:name="_Toc140662013"/>
          <w:bookmarkStart w:id="38" w:name="_Toc141272718"/>
          <w:bookmarkEnd w:id="36"/>
          <w:r w:rsidRPr="007B31CB">
            <w:t>Domestic seafood consumption</w:t>
          </w:r>
          <w:bookmarkEnd w:id="37"/>
          <w:bookmarkEnd w:id="38"/>
        </w:p>
        <w:p w14:paraId="27493979" w14:textId="1810BCAC" w:rsidR="005D662D" w:rsidRPr="005D662D" w:rsidRDefault="00875EC1" w:rsidP="005D662D">
          <w:r>
            <w:t xml:space="preserve">An </w:t>
          </w:r>
          <w:r w:rsidR="005D662D" w:rsidRPr="005D662D">
            <w:rPr>
              <w:lang w:val="en"/>
            </w:rPr>
            <w:t>estimated 62% of the</w:t>
          </w:r>
          <w:r w:rsidR="00ED5B66">
            <w:rPr>
              <w:lang w:val="en"/>
            </w:rPr>
            <w:t xml:space="preserve"> edible seafood Australians consume</w:t>
          </w:r>
          <w:r w:rsidR="00ED5B66" w:rsidRPr="005D662D" w:rsidDel="00ED5B66">
            <w:rPr>
              <w:lang w:val="en"/>
            </w:rPr>
            <w:t xml:space="preserve"> </w:t>
          </w:r>
          <w:r w:rsidR="005D662D" w:rsidRPr="001347DC">
            <w:t>(</w:t>
          </w:r>
          <w:r w:rsidR="005D662D" w:rsidRPr="001347DC">
            <w:rPr>
              <w:lang w:val="en"/>
            </w:rPr>
            <w:t>by weight) is imported, predominantly from the Asian region</w:t>
          </w:r>
          <w:r w:rsidR="00DC44DB">
            <w:rPr>
              <w:lang w:val="en"/>
            </w:rPr>
            <w:t>,</w:t>
          </w:r>
          <w:r w:rsidR="00C65C04">
            <w:rPr>
              <w:lang w:val="en"/>
            </w:rPr>
            <w:t xml:space="preserve"> </w:t>
          </w:r>
          <w:r w:rsidR="005D662D" w:rsidRPr="005D662D">
            <w:t>and this trend is increasing year on year</w:t>
          </w:r>
          <w:r w:rsidR="00A218BC">
            <w:t xml:space="preserve"> (</w:t>
          </w:r>
          <w:r w:rsidR="00887EC2">
            <w:t>DAFF 2023)</w:t>
          </w:r>
          <w:r w:rsidR="005D662D" w:rsidRPr="005D662D">
            <w:t>. The largest importers of seafood by state</w:t>
          </w:r>
          <w:r w:rsidR="00DC44DB">
            <w:t xml:space="preserve"> are</w:t>
          </w:r>
          <w:r w:rsidR="005D662D" w:rsidRPr="005D662D">
            <w:t xml:space="preserve"> New South Wales ($58.7</w:t>
          </w:r>
          <w:r w:rsidR="00E67D9E">
            <w:t xml:space="preserve"> </w:t>
          </w:r>
          <w:r w:rsidR="005D662D" w:rsidRPr="005D662D">
            <w:t>m</w:t>
          </w:r>
          <w:r w:rsidR="00E67D9E">
            <w:t>illion</w:t>
          </w:r>
          <w:r w:rsidR="005D662D" w:rsidRPr="005D662D">
            <w:t>)</w:t>
          </w:r>
          <w:r w:rsidR="00DC44DB">
            <w:t>,</w:t>
          </w:r>
          <w:r w:rsidR="005D662D" w:rsidRPr="005D662D" w:rsidDel="00DC44DB">
            <w:t xml:space="preserve"> </w:t>
          </w:r>
          <w:r w:rsidR="005D662D" w:rsidRPr="005D662D">
            <w:t>Victoria ($53</w:t>
          </w:r>
          <w:r w:rsidR="00E67D9E">
            <w:t xml:space="preserve"> </w:t>
          </w:r>
          <w:r w:rsidR="005D662D" w:rsidRPr="005D662D">
            <w:t>m</w:t>
          </w:r>
          <w:r w:rsidR="00E67D9E">
            <w:t>illion</w:t>
          </w:r>
          <w:r w:rsidR="005D662D" w:rsidRPr="005D662D">
            <w:t>) and Western Australia ($24.3</w:t>
          </w:r>
          <w:r w:rsidR="00E67D9E">
            <w:t xml:space="preserve"> </w:t>
          </w:r>
          <w:r w:rsidR="005D662D" w:rsidRPr="005D662D">
            <w:t>m</w:t>
          </w:r>
          <w:r w:rsidR="00E67D9E">
            <w:t>illion</w:t>
          </w:r>
          <w:r w:rsidR="005D662D" w:rsidRPr="005D662D">
            <w:t xml:space="preserve">). The gross value </w:t>
          </w:r>
          <w:r w:rsidR="00DD3AA9">
            <w:t xml:space="preserve">production (GVP) </w:t>
          </w:r>
          <w:r w:rsidR="005D662D" w:rsidRPr="005D662D">
            <w:t xml:space="preserve">of Australian fisheries and aquaculture production is forecast to rise </w:t>
          </w:r>
          <w:r w:rsidR="00DC44DB">
            <w:t xml:space="preserve">by 8% </w:t>
          </w:r>
          <w:r w:rsidR="005D662D" w:rsidRPr="005D662D">
            <w:t xml:space="preserve">in 2022−23, to $3.63 </w:t>
          </w:r>
          <w:r w:rsidR="005D662D" w:rsidRPr="00875EC1">
            <w:t>billion</w:t>
          </w:r>
          <w:r w:rsidR="00887EC2" w:rsidRPr="00875EC1">
            <w:t xml:space="preserve"> (</w:t>
          </w:r>
          <w:r w:rsidR="000E713B" w:rsidRPr="00875EC1">
            <w:t>DAFF 2023</w:t>
          </w:r>
          <w:r w:rsidR="00887EC2" w:rsidRPr="00875EC1">
            <w:t>)</w:t>
          </w:r>
          <w:r w:rsidR="005D662D" w:rsidRPr="00875EC1">
            <w:t>.</w:t>
          </w:r>
          <w:r w:rsidR="005D662D" w:rsidRPr="005D662D">
            <w:t> </w:t>
          </w:r>
        </w:p>
        <w:p w14:paraId="7800104D" w14:textId="02EF956D" w:rsidR="005D662D" w:rsidRDefault="00ED5B66" w:rsidP="00ED5B66">
          <w:pPr>
            <w:pStyle w:val="IntenseQuote"/>
            <w:ind w:left="862" w:right="862"/>
            <w:contextualSpacing/>
          </w:pPr>
          <w:r>
            <w:t>‘</w:t>
          </w:r>
          <w:r w:rsidR="005D662D" w:rsidRPr="005D662D">
            <w:t>Without CoOL, consumers lack the ability to make informed buying choices. Consumers who might otherwise choose to support local fishers and local fisheries are not able to make active choices, relying instead on the buying policies of hospitality businesses.</w:t>
          </w:r>
          <w:r>
            <w:t>’</w:t>
          </w:r>
          <w:r w:rsidR="00BD0A0F">
            <w:t xml:space="preserve"> </w:t>
          </w:r>
          <w:r w:rsidRPr="00A345FB">
            <w:rPr>
              <w:i w:val="0"/>
              <w:iCs w:val="0"/>
            </w:rPr>
            <w:t>—</w:t>
          </w:r>
          <w:r>
            <w:t xml:space="preserve"> </w:t>
          </w:r>
          <w:r w:rsidR="005D662D" w:rsidRPr="005D662D">
            <w:t>Tasmanian Seafood Industry Council</w:t>
          </w:r>
        </w:p>
        <w:p w14:paraId="5F4EBDE6" w14:textId="3D2D4ECC" w:rsidR="00DC44DB" w:rsidRPr="00DC44DB" w:rsidRDefault="00DC44DB" w:rsidP="00924DF6">
          <w:pPr>
            <w:pStyle w:val="Caption"/>
            <w:keepNext/>
          </w:pPr>
          <w:r>
            <w:lastRenderedPageBreak/>
            <w:t xml:space="preserve">Figure </w:t>
          </w:r>
          <w:r w:rsidR="00924DF6">
            <w:t>1</w:t>
          </w:r>
          <w:r>
            <w:t xml:space="preserve"> – Seafood consumption in Australia</w:t>
          </w:r>
          <w:r w:rsidR="007B68E1">
            <w:t xml:space="preserve"> (ABARES 2022)</w:t>
          </w:r>
        </w:p>
        <w:p w14:paraId="4CD770C4" w14:textId="742D410B" w:rsidR="005D662D" w:rsidRPr="005D662D" w:rsidRDefault="005D662D" w:rsidP="00913CD0">
          <w:pPr>
            <w:pBdr>
              <w:top w:val="single" w:sz="4" w:space="6" w:color="DFF3F3" w:themeColor="accent4" w:themeTint="33"/>
              <w:left w:val="single" w:sz="4" w:space="5"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rPr>
              <w:b/>
            </w:rPr>
          </w:pPr>
          <w:r w:rsidRPr="005D662D">
            <w:rPr>
              <w:noProof/>
            </w:rPr>
            <w:drawing>
              <wp:inline distT="0" distB="0" distL="0" distR="0" wp14:anchorId="0298A6CA" wp14:editId="5C129FDF">
                <wp:extent cx="5827594" cy="4094480"/>
                <wp:effectExtent l="0" t="0" r="1905" b="1270"/>
                <wp:docPr id="9" name="Picture 9" descr="Seafood consumption in Australia. &#10;&#10;Total apparent consumption of seafood in Australia was 356 kilotonnes in 2020-21.&#10;&#10;The import share of apparent seafood consumption was 65% in 2010-11 and has decreased to 62% in 2020-21. &#10;&#10;The apparent seafood consumption per person (kg) by commodity between 2010-11 and 2020-21 was highest for 'other' types of seafood (approximately 8kg), followed by prawns, tunas, and salmons (all between approximately 4 to 6kg), and scallops, oysters, crab, lobsters (all under 1kg). &#10;&#10;Apparent consumption per person (kg) in 2020-21 was approximately 6kg for sheep, 11kg for seafood, 23kg for beef, 20 kg for pork, and 42kg for poultry. &#10;&#10;Note: Apparent consumption is the sum of edible production and edible imports, less edible imports. Per person consumption is expressed on an edible weight basis, estimated using conversion rates for species-specific finfish (FRDC) and non-seafood categories (OECD).  Source: AB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afood consumption in Australia. &#10;&#10;Total apparent consumption of seafood in Australia was 356 kilotonnes in 2020-21.&#10;&#10;The import share of apparent seafood consumption was 65% in 2010-11 and has decreased to 62% in 2020-21. &#10;&#10;The apparent seafood consumption per person (kg) by commodity between 2010-11 and 2020-21 was highest for 'other' types of seafood (approximately 8kg), followed by prawns, tunas, and salmons (all between approximately 4 to 6kg), and scallops, oysters, crab, lobsters (all under 1kg). &#10;&#10;Apparent consumption per person (kg) in 2020-21 was approximately 6kg for sheep, 11kg for seafood, 23kg for beef, 20 kg for pork, and 42kg for poultry. &#10;&#10;Note: Apparent consumption is the sum of edible production and edible imports, less edible imports. Per person consumption is expressed on an edible weight basis, estimated using conversion rates for species-specific finfish (FRDC) and non-seafood categories (OECD).  Source: ABARES"/>
                        <pic:cNvPicPr/>
                      </pic:nvPicPr>
                      <pic:blipFill>
                        <a:blip r:embed="rId15"/>
                        <a:stretch>
                          <a:fillRect/>
                        </a:stretch>
                      </pic:blipFill>
                      <pic:spPr>
                        <a:xfrm>
                          <a:off x="0" y="0"/>
                          <a:ext cx="5829071" cy="4095518"/>
                        </a:xfrm>
                        <a:prstGeom prst="rect">
                          <a:avLst/>
                        </a:prstGeom>
                      </pic:spPr>
                    </pic:pic>
                  </a:graphicData>
                </a:graphic>
              </wp:inline>
            </w:drawing>
          </w:r>
        </w:p>
        <w:p w14:paraId="5553832D" w14:textId="77777777" w:rsidR="00924DF6" w:rsidRDefault="00924DF6">
          <w:pPr>
            <w:rPr>
              <w:rFonts w:asciiTheme="majorHAnsi" w:eastAsiaTheme="majorEastAsia" w:hAnsiTheme="majorHAnsi" w:cstheme="majorBidi"/>
              <w:color w:val="005677" w:themeColor="text2"/>
              <w:sz w:val="48"/>
              <w:szCs w:val="32"/>
            </w:rPr>
          </w:pPr>
          <w:r>
            <w:br w:type="page"/>
          </w:r>
        </w:p>
        <w:p w14:paraId="63D0DEB4" w14:textId="0E906A87" w:rsidR="005D662D" w:rsidRPr="00B62539" w:rsidRDefault="008A565E" w:rsidP="00073493">
          <w:pPr>
            <w:pStyle w:val="Heading1"/>
            <w:numPr>
              <w:ilvl w:val="0"/>
              <w:numId w:val="15"/>
            </w:numPr>
          </w:pPr>
          <w:bookmarkStart w:id="39" w:name="_Toc151719063"/>
          <w:r w:rsidRPr="00B62539">
            <w:lastRenderedPageBreak/>
            <w:t>What is the</w:t>
          </w:r>
          <w:bookmarkStart w:id="40" w:name="_Toc141272720"/>
          <w:bookmarkStart w:id="41" w:name="_Hlk141270398"/>
          <w:r w:rsidRPr="00B62539">
            <w:t xml:space="preserve"> problem?</w:t>
          </w:r>
          <w:bookmarkEnd w:id="39"/>
          <w:r w:rsidRPr="00B62539">
            <w:t xml:space="preserve"> </w:t>
          </w:r>
          <w:bookmarkEnd w:id="40"/>
        </w:p>
        <w:p w14:paraId="486CD733" w14:textId="77777777" w:rsidR="00504D15" w:rsidRPr="00913CD0" w:rsidRDefault="00504D15" w:rsidP="005C2A05">
          <w:pPr>
            <w:pStyle w:val="Calloutbox"/>
          </w:pPr>
          <w:bookmarkStart w:id="42" w:name="_Toc141272721"/>
          <w:bookmarkStart w:id="43" w:name="_Toc141274632"/>
          <w:bookmarkStart w:id="44" w:name="_Toc140662034"/>
          <w:bookmarkEnd w:id="41"/>
          <w:r w:rsidRPr="00913CD0">
            <w:t>Consumers lack consistent access to country of origin information for seafood sold in hospitality settings and are therefore unable to make informed purchasing decisions in line with accurate information or their personal preferences.</w:t>
          </w:r>
        </w:p>
        <w:p w14:paraId="6B3DF50C" w14:textId="518B0206" w:rsidR="005D662D" w:rsidRPr="00A34EAE" w:rsidRDefault="005D662D" w:rsidP="00073493">
          <w:pPr>
            <w:pStyle w:val="Heading2"/>
            <w:numPr>
              <w:ilvl w:val="1"/>
              <w:numId w:val="15"/>
            </w:numPr>
          </w:pPr>
          <w:bookmarkStart w:id="45" w:name="_Toc141272722"/>
          <w:bookmarkStart w:id="46" w:name="_Toc151719064"/>
          <w:bookmarkEnd w:id="42"/>
          <w:bookmarkEnd w:id="43"/>
          <w:r w:rsidRPr="00A34EAE">
            <w:t xml:space="preserve">Defining the </w:t>
          </w:r>
          <w:bookmarkEnd w:id="44"/>
          <w:bookmarkEnd w:id="45"/>
          <w:r w:rsidRPr="00A34EAE">
            <w:t>problem</w:t>
          </w:r>
          <w:bookmarkEnd w:id="46"/>
        </w:p>
        <w:p w14:paraId="515215E3" w14:textId="7EC64521" w:rsidR="005D662D" w:rsidRPr="005D662D" w:rsidRDefault="005D662D" w:rsidP="00077098">
          <w:r w:rsidRPr="005D662D">
            <w:t xml:space="preserve">The common theme across inquiries and the department’s consultation is that consumers want </w:t>
          </w:r>
          <w:r w:rsidR="0039667A">
            <w:t>s</w:t>
          </w:r>
          <w:r w:rsidRPr="005D662D">
            <w:t xml:space="preserve">eafood CoOL because it </w:t>
          </w:r>
          <w:r w:rsidR="001D1B4E">
            <w:t xml:space="preserve">provides them with information about the seafood </w:t>
          </w:r>
          <w:r w:rsidRPr="005D662D">
            <w:t xml:space="preserve">they are purchasing and eating. At this point in time, consumer access to </w:t>
          </w:r>
          <w:r w:rsidR="0039667A">
            <w:t>s</w:t>
          </w:r>
          <w:r w:rsidRPr="005D662D">
            <w:t>eafood CoOL currently relies on businesses’ willingness to provide this information</w:t>
          </w:r>
          <w:r w:rsidR="00504D15" w:rsidRPr="00504D15">
            <w:t xml:space="preserve"> </w:t>
          </w:r>
          <w:r w:rsidR="00504D15" w:rsidRPr="005D662D">
            <w:t>voluntarily</w:t>
          </w:r>
          <w:r w:rsidRPr="005D662D">
            <w:t xml:space="preserve">, either through signage on menus, display boards or in response to customer queries. This lack of easily accessible and consistently displayed information means consumers may be unable to make educated or informed purchasing decisions </w:t>
          </w:r>
          <w:r w:rsidR="00A10BE8">
            <w:t xml:space="preserve">on </w:t>
          </w:r>
          <w:r w:rsidRPr="005D662D">
            <w:t xml:space="preserve">seafood in line with their personal preferences. </w:t>
          </w:r>
        </w:p>
        <w:p w14:paraId="551E7BB5" w14:textId="77777777" w:rsidR="005D662D" w:rsidRPr="005D662D" w:rsidRDefault="005D662D" w:rsidP="001347DC">
          <w:pPr>
            <w:pStyle w:val="Heading3"/>
          </w:pPr>
          <w:bookmarkStart w:id="47" w:name="_Toc141272725"/>
          <w:r w:rsidRPr="005D662D">
            <w:t>Information asymmetry</w:t>
          </w:r>
          <w:bookmarkEnd w:id="47"/>
        </w:p>
        <w:p w14:paraId="0D7CAB38" w14:textId="3D20C391" w:rsidR="005D662D" w:rsidRPr="005D662D" w:rsidRDefault="00CF3589" w:rsidP="005D662D">
          <w:pPr>
            <w:rPr>
              <w:rFonts w:ascii="Calibri" w:eastAsia="Calibri" w:hAnsi="Calibri" w:cs="Times New Roman"/>
            </w:rPr>
          </w:pPr>
          <w:r w:rsidRPr="005D662D">
            <w:rPr>
              <w:rFonts w:ascii="Calibri" w:eastAsia="Calibri" w:hAnsi="Calibri" w:cs="Times New Roman"/>
            </w:rPr>
            <w:t xml:space="preserve">Market failure occurs when the market is not able to </w:t>
          </w:r>
          <w:r>
            <w:rPr>
              <w:rFonts w:ascii="Calibri" w:eastAsia="Calibri" w:hAnsi="Calibri" w:cs="Times New Roman"/>
            </w:rPr>
            <w:t xml:space="preserve">provide </w:t>
          </w:r>
          <w:r w:rsidR="005D662D" w:rsidRPr="005D662D">
            <w:rPr>
              <w:rFonts w:ascii="Calibri" w:eastAsia="Calibri" w:hAnsi="Calibri" w:cs="Times New Roman"/>
            </w:rPr>
            <w:t xml:space="preserve">optimal </w:t>
          </w:r>
          <w:r w:rsidR="00D60415">
            <w:rPr>
              <w:rFonts w:ascii="Calibri" w:eastAsia="Calibri" w:hAnsi="Calibri" w:cs="Times New Roman"/>
            </w:rPr>
            <w:t>outcomes</w:t>
          </w:r>
          <w:r w:rsidR="005D662D" w:rsidRPr="005D662D">
            <w:rPr>
              <w:rFonts w:ascii="Calibri" w:eastAsia="Calibri" w:hAnsi="Calibri" w:cs="Times New Roman"/>
            </w:rPr>
            <w:t>. One of the main causes of market failure is asymmetric information. Asymmetric information occurs when parties involved in a transaction are not equally informed (</w:t>
          </w:r>
          <w:proofErr w:type="spellStart"/>
          <w:r w:rsidR="005D662D" w:rsidRPr="005D662D">
            <w:rPr>
              <w:rFonts w:ascii="Calibri" w:eastAsia="Calibri" w:hAnsi="Calibri" w:cs="Times New Roman"/>
            </w:rPr>
            <w:t>Minarelli</w:t>
          </w:r>
          <w:proofErr w:type="spellEnd"/>
          <w:r w:rsidR="008B660B">
            <w:rPr>
              <w:rFonts w:ascii="Calibri" w:eastAsia="Calibri" w:hAnsi="Calibri" w:cs="Times New Roman"/>
            </w:rPr>
            <w:t xml:space="preserve"> et al.</w:t>
          </w:r>
          <w:r w:rsidR="005D662D" w:rsidRPr="005D662D">
            <w:rPr>
              <w:rFonts w:ascii="Calibri" w:eastAsia="Calibri" w:hAnsi="Calibri" w:cs="Times New Roman"/>
            </w:rPr>
            <w:t xml:space="preserve"> 2016)</w:t>
          </w:r>
          <w:r w:rsidR="003A3484">
            <w:rPr>
              <w:rFonts w:ascii="Calibri" w:eastAsia="Calibri" w:hAnsi="Calibri" w:cs="Times New Roman"/>
            </w:rPr>
            <w:t>.</w:t>
          </w:r>
        </w:p>
        <w:p w14:paraId="02C13C5E" w14:textId="01CBAD69" w:rsidR="005D662D" w:rsidRPr="005D662D" w:rsidRDefault="005D662D" w:rsidP="005D662D">
          <w:pPr>
            <w:rPr>
              <w:rFonts w:ascii="Verdana" w:eastAsia="Verdana" w:hAnsi="Verdana" w:cs="Times New Roman"/>
              <w:color w:val="000000"/>
              <w:sz w:val="18"/>
              <w:lang w:val="en-US"/>
            </w:rPr>
          </w:pPr>
          <w:r w:rsidRPr="005D662D">
            <w:rPr>
              <w:rFonts w:ascii="Calibri" w:eastAsia="Calibri" w:hAnsi="Calibri" w:cs="Times New Roman"/>
              <w:lang w:val="en-US"/>
            </w:rPr>
            <w:t>Challenges of information asymmetry arise for consumers if decisions concerning food labelling are unregulated.</w:t>
          </w:r>
          <w:r w:rsidRPr="005D662D">
            <w:rPr>
              <w:rFonts w:ascii="Calibri" w:eastAsia="Calibri" w:hAnsi="Calibri" w:cs="Times New Roman"/>
            </w:rPr>
            <w:t xml:space="preserve"> </w:t>
          </w:r>
          <w:r w:rsidRPr="005D662D">
            <w:rPr>
              <w:rFonts w:ascii="Calibri" w:eastAsia="Calibri" w:hAnsi="Calibri" w:cs="Times New Roman"/>
              <w:lang w:val="en-US"/>
            </w:rPr>
            <w:t xml:space="preserve">In the absence of </w:t>
          </w:r>
          <w:r w:rsidR="00BA6CD3">
            <w:rPr>
              <w:rFonts w:ascii="Calibri" w:eastAsia="Calibri" w:hAnsi="Calibri" w:cs="Times New Roman"/>
              <w:lang w:val="en-US"/>
            </w:rPr>
            <w:t>g</w:t>
          </w:r>
          <w:r w:rsidRPr="005D662D">
            <w:rPr>
              <w:rFonts w:ascii="Calibri" w:eastAsia="Calibri" w:hAnsi="Calibri" w:cs="Times New Roman"/>
              <w:lang w:val="en-US"/>
            </w:rPr>
            <w:t xml:space="preserve">overnment regulation, food producers and retailers know more about their products than consumers do and can </w:t>
          </w:r>
          <w:r w:rsidR="001D7464">
            <w:rPr>
              <w:rFonts w:ascii="Calibri" w:eastAsia="Calibri" w:hAnsi="Calibri" w:cs="Times New Roman"/>
              <w:lang w:val="en-US"/>
            </w:rPr>
            <w:t xml:space="preserve">choose </w:t>
          </w:r>
          <w:r w:rsidRPr="005D662D">
            <w:rPr>
              <w:rFonts w:ascii="Calibri" w:eastAsia="Calibri" w:hAnsi="Calibri" w:cs="Times New Roman"/>
              <w:lang w:val="en-US"/>
            </w:rPr>
            <w:t>wh</w:t>
          </w:r>
          <w:r w:rsidR="001D7464">
            <w:rPr>
              <w:rFonts w:ascii="Calibri" w:eastAsia="Calibri" w:hAnsi="Calibri" w:cs="Times New Roman"/>
              <w:lang w:val="en-US"/>
            </w:rPr>
            <w:t>at</w:t>
          </w:r>
          <w:r w:rsidRPr="005D662D">
            <w:rPr>
              <w:rFonts w:ascii="Calibri" w:eastAsia="Calibri" w:hAnsi="Calibri" w:cs="Times New Roman"/>
              <w:lang w:val="en-US"/>
            </w:rPr>
            <w:t xml:space="preserve"> information consumers receive. Businesses are incentivised by profit to only reveal information on their food labels if that information is likely to generate more revenue than costs</w:t>
          </w:r>
          <w:r w:rsidR="001D1B4E">
            <w:rPr>
              <w:rFonts w:ascii="Calibri" w:eastAsia="Calibri" w:hAnsi="Calibri" w:cs="Times New Roman"/>
              <w:lang w:val="en-US"/>
            </w:rPr>
            <w:t>,</w:t>
          </w:r>
          <w:r w:rsidRPr="005D662D">
            <w:rPr>
              <w:rFonts w:ascii="Calibri" w:eastAsia="Calibri" w:hAnsi="Calibri" w:cs="Times New Roman"/>
              <w:lang w:val="en-US"/>
            </w:rPr>
            <w:t xml:space="preserve"> or </w:t>
          </w:r>
          <w:r w:rsidR="001D1B4E">
            <w:rPr>
              <w:rFonts w:ascii="Calibri" w:eastAsia="Calibri" w:hAnsi="Calibri" w:cs="Times New Roman"/>
              <w:lang w:val="en-US"/>
            </w:rPr>
            <w:t xml:space="preserve">to </w:t>
          </w:r>
          <w:r w:rsidRPr="005D662D">
            <w:rPr>
              <w:rFonts w:ascii="Calibri" w:eastAsia="Calibri" w:hAnsi="Calibri" w:cs="Times New Roman"/>
              <w:lang w:val="en-US"/>
            </w:rPr>
            <w:t>improve the reputation of the business, which limits consumers</w:t>
          </w:r>
          <w:r w:rsidR="00504D15">
            <w:rPr>
              <w:rFonts w:ascii="Calibri" w:eastAsia="Calibri" w:hAnsi="Calibri" w:cs="Times New Roman"/>
              <w:lang w:val="en-US"/>
            </w:rPr>
            <w:t>’</w:t>
          </w:r>
          <w:r w:rsidRPr="005D662D">
            <w:rPr>
              <w:rFonts w:ascii="Calibri" w:eastAsia="Calibri" w:hAnsi="Calibri" w:cs="Times New Roman"/>
              <w:lang w:val="en-US"/>
            </w:rPr>
            <w:t xml:space="preserve"> </w:t>
          </w:r>
          <w:r w:rsidR="00504D15">
            <w:rPr>
              <w:rFonts w:ascii="Calibri" w:eastAsia="Calibri" w:hAnsi="Calibri" w:cs="Times New Roman"/>
              <w:lang w:val="en-US"/>
            </w:rPr>
            <w:t xml:space="preserve">ability to </w:t>
          </w:r>
          <w:r w:rsidRPr="005D662D">
            <w:rPr>
              <w:rFonts w:ascii="Calibri" w:eastAsia="Calibri" w:hAnsi="Calibri" w:cs="Times New Roman"/>
              <w:lang w:val="en-US"/>
            </w:rPr>
            <w:t>mak</w:t>
          </w:r>
          <w:r w:rsidR="00504D15">
            <w:rPr>
              <w:rFonts w:ascii="Calibri" w:eastAsia="Calibri" w:hAnsi="Calibri" w:cs="Times New Roman"/>
              <w:lang w:val="en-US"/>
            </w:rPr>
            <w:t>e</w:t>
          </w:r>
          <w:r w:rsidRPr="005D662D">
            <w:rPr>
              <w:rFonts w:ascii="Calibri" w:eastAsia="Calibri" w:hAnsi="Calibri" w:cs="Times New Roman"/>
              <w:lang w:val="en-US"/>
            </w:rPr>
            <w:t xml:space="preserve"> consumption choices that align with their preferences.</w:t>
          </w:r>
          <w:r w:rsidRPr="005D662D">
            <w:rPr>
              <w:rFonts w:ascii="Verdana" w:eastAsia="Verdana" w:hAnsi="Verdana" w:cs="Times New Roman"/>
              <w:color w:val="000000"/>
              <w:sz w:val="18"/>
              <w:lang w:val="en-US"/>
            </w:rPr>
            <w:t xml:space="preserve"> </w:t>
          </w:r>
        </w:p>
        <w:p w14:paraId="4A359E64" w14:textId="7DC85308" w:rsidR="005D662D" w:rsidRPr="005D662D" w:rsidRDefault="005D662D" w:rsidP="005D662D">
          <w:pPr>
            <w:rPr>
              <w:rFonts w:ascii="Calibri" w:eastAsia="Calibri" w:hAnsi="Calibri" w:cs="Times New Roman"/>
              <w:lang w:val="en-US"/>
            </w:rPr>
          </w:pPr>
          <w:r w:rsidRPr="005D662D">
            <w:rPr>
              <w:rFonts w:ascii="Calibri" w:eastAsia="Calibri" w:hAnsi="Calibri" w:cs="Times New Roman"/>
              <w:lang w:val="en-US"/>
            </w:rPr>
            <w:t xml:space="preserve">Without any standardisation </w:t>
          </w:r>
          <w:r w:rsidR="001D7464">
            <w:rPr>
              <w:rFonts w:ascii="Calibri" w:eastAsia="Calibri" w:hAnsi="Calibri" w:cs="Times New Roman"/>
              <w:lang w:val="en-US"/>
            </w:rPr>
            <w:t xml:space="preserve">and verification </w:t>
          </w:r>
          <w:r w:rsidRPr="005D662D">
            <w:rPr>
              <w:rFonts w:ascii="Calibri" w:eastAsia="Calibri" w:hAnsi="Calibri" w:cs="Times New Roman"/>
              <w:lang w:val="en-US"/>
            </w:rPr>
            <w:t xml:space="preserve">of food labelling claims under </w:t>
          </w:r>
          <w:r w:rsidR="0039667A">
            <w:rPr>
              <w:rFonts w:ascii="Calibri" w:eastAsia="Calibri" w:hAnsi="Calibri" w:cs="Times New Roman"/>
              <w:lang w:val="en-US"/>
            </w:rPr>
            <w:t>s</w:t>
          </w:r>
          <w:r w:rsidRPr="005D662D">
            <w:rPr>
              <w:rFonts w:ascii="Calibri" w:eastAsia="Calibri" w:hAnsi="Calibri" w:cs="Times New Roman"/>
              <w:lang w:val="en-US"/>
            </w:rPr>
            <w:t>eafood CoOL, consumers are likely to be confused by, misled by, or misinterpret information on food labels.</w:t>
          </w:r>
          <w:r w:rsidR="001D7464">
            <w:rPr>
              <w:rFonts w:ascii="Calibri" w:eastAsia="Calibri" w:hAnsi="Calibri" w:cs="Times New Roman"/>
              <w:lang w:val="en-US"/>
            </w:rPr>
            <w:t xml:space="preserve"> It</w:t>
          </w:r>
          <w:r w:rsidRPr="005D662D">
            <w:rPr>
              <w:rFonts w:ascii="Calibri" w:eastAsia="Calibri" w:hAnsi="Calibri" w:cs="Times New Roman"/>
              <w:lang w:val="en-US"/>
            </w:rPr>
            <w:t xml:space="preserve"> also means that businesses may have trouble convincing consumers of the validity of </w:t>
          </w:r>
          <w:r w:rsidR="001D7464">
            <w:rPr>
              <w:rFonts w:ascii="Calibri" w:eastAsia="Calibri" w:hAnsi="Calibri" w:cs="Times New Roman"/>
              <w:lang w:val="en-US"/>
            </w:rPr>
            <w:t xml:space="preserve">their </w:t>
          </w:r>
          <w:r w:rsidRPr="005D662D">
            <w:rPr>
              <w:rFonts w:ascii="Calibri" w:eastAsia="Calibri" w:hAnsi="Calibri" w:cs="Times New Roman"/>
              <w:lang w:val="en-US"/>
            </w:rPr>
            <w:t>labelled information.</w:t>
          </w:r>
        </w:p>
        <w:p w14:paraId="51ECA3B5" w14:textId="1F8F8A85" w:rsidR="005D662D" w:rsidRPr="005D662D" w:rsidRDefault="005D662D" w:rsidP="005D662D">
          <w:pPr>
            <w:rPr>
              <w:rFonts w:ascii="Calibri" w:eastAsia="Calibri" w:hAnsi="Calibri" w:cs="Times New Roman"/>
            </w:rPr>
          </w:pPr>
          <w:r w:rsidRPr="005D662D">
            <w:rPr>
              <w:rFonts w:ascii="Calibri" w:eastAsia="Calibri" w:hAnsi="Calibri" w:cs="Times New Roman"/>
            </w:rPr>
            <w:t>Seafood</w:t>
          </w:r>
          <w:r w:rsidR="001D1B4E">
            <w:rPr>
              <w:rFonts w:ascii="Calibri" w:eastAsia="Calibri" w:hAnsi="Calibri" w:cs="Times New Roman"/>
            </w:rPr>
            <w:t xml:space="preserve"> origin </w:t>
          </w:r>
          <w:r w:rsidRPr="005D662D">
            <w:rPr>
              <w:rFonts w:ascii="Calibri" w:eastAsia="Calibri" w:hAnsi="Calibri" w:cs="Times New Roman"/>
            </w:rPr>
            <w:t xml:space="preserve">information is provided through the supply chain to hospitality businesses as part of food standards and other CoOL requirements. If hospitality </w:t>
          </w:r>
          <w:r w:rsidR="00504D15">
            <w:rPr>
              <w:rFonts w:ascii="Calibri" w:eastAsia="Calibri" w:hAnsi="Calibri" w:cs="Times New Roman"/>
            </w:rPr>
            <w:t>businesses</w:t>
          </w:r>
          <w:r w:rsidR="00504D15" w:rsidRPr="005D662D">
            <w:rPr>
              <w:rFonts w:ascii="Calibri" w:eastAsia="Calibri" w:hAnsi="Calibri" w:cs="Times New Roman"/>
            </w:rPr>
            <w:t xml:space="preserve"> </w:t>
          </w:r>
          <w:r w:rsidRPr="005D662D">
            <w:rPr>
              <w:rFonts w:ascii="Calibri" w:eastAsia="Calibri" w:hAnsi="Calibri" w:cs="Times New Roman"/>
            </w:rPr>
            <w:t xml:space="preserve">are not passing on origin information to consumers, and this information is desired by consumers to inform their purchasing decisions, then a situation of information asymmetry arises. This lack of information affecting consumer purchasing decisions and power could lead to market distortion. </w:t>
          </w:r>
          <w:proofErr w:type="gramStart"/>
          <w:r w:rsidRPr="005D662D">
            <w:rPr>
              <w:rFonts w:ascii="Calibri" w:eastAsia="Calibri" w:hAnsi="Calibri" w:cs="Times New Roman"/>
            </w:rPr>
            <w:t>In an effort to</w:t>
          </w:r>
          <w:proofErr w:type="gramEnd"/>
          <w:r w:rsidRPr="005D662D">
            <w:rPr>
              <w:rFonts w:ascii="Calibri" w:eastAsia="Calibri" w:hAnsi="Calibri" w:cs="Times New Roman"/>
            </w:rPr>
            <w:t xml:space="preserve"> alleviate this problem for consumers, the department has investigated policy options on </w:t>
          </w:r>
          <w:r w:rsidR="0039667A">
            <w:rPr>
              <w:rFonts w:ascii="Calibri" w:eastAsia="Calibri" w:hAnsi="Calibri" w:cs="Times New Roman"/>
            </w:rPr>
            <w:t>s</w:t>
          </w:r>
          <w:r w:rsidRPr="005D662D">
            <w:rPr>
              <w:rFonts w:ascii="Calibri" w:eastAsia="Calibri" w:hAnsi="Calibri" w:cs="Times New Roman"/>
            </w:rPr>
            <w:t xml:space="preserve">eafood CoOL. </w:t>
          </w:r>
        </w:p>
        <w:p w14:paraId="0F3A40EF" w14:textId="671EB407" w:rsidR="005D662D" w:rsidRPr="005D662D" w:rsidRDefault="00ED5B66" w:rsidP="00913CD0">
          <w:pPr>
            <w:pStyle w:val="Quote"/>
            <w:ind w:right="862"/>
            <w:contextualSpacing/>
          </w:pPr>
          <w:r>
            <w:t>‘</w:t>
          </w:r>
          <w:r w:rsidR="005D662D" w:rsidRPr="005D662D">
            <w:t>As a consumer, I want to know exactly which country seafood has been sourced from. This helps me to make decisions based on food safety, environmental concerns (distance transported), human rights considerations and ethical concerns regarding various markets.</w:t>
          </w:r>
          <w:r>
            <w:t>’</w:t>
          </w:r>
        </w:p>
        <w:p w14:paraId="48D9BC82" w14:textId="05428802" w:rsidR="005D662D" w:rsidRPr="005D662D" w:rsidRDefault="005D662D" w:rsidP="00073493">
          <w:pPr>
            <w:pStyle w:val="Heading2"/>
            <w:numPr>
              <w:ilvl w:val="1"/>
              <w:numId w:val="15"/>
            </w:numPr>
          </w:pPr>
          <w:bookmarkStart w:id="48" w:name="_Toc136008629"/>
          <w:bookmarkStart w:id="49" w:name="_Toc140662035"/>
          <w:bookmarkStart w:id="50" w:name="_Toc141272726"/>
          <w:bookmarkStart w:id="51" w:name="_Toc151719065"/>
          <w:r w:rsidRPr="005D662D">
            <w:lastRenderedPageBreak/>
            <w:t>Why is this a problem?</w:t>
          </w:r>
          <w:bookmarkEnd w:id="48"/>
          <w:bookmarkEnd w:id="49"/>
          <w:bookmarkEnd w:id="50"/>
          <w:bookmarkEnd w:id="51"/>
        </w:p>
        <w:p w14:paraId="29EF7496" w14:textId="1FED6150" w:rsidR="00240C11" w:rsidRDefault="00ED5B66" w:rsidP="00F1767D">
          <w:bookmarkStart w:id="52" w:name="_Toc141272727"/>
          <w:bookmarkStart w:id="53" w:name="_Toc141274638"/>
          <w:r>
            <w:t>Origin</w:t>
          </w:r>
          <w:r w:rsidRPr="00240C11">
            <w:t xml:space="preserve"> </w:t>
          </w:r>
          <w:r w:rsidR="005D662D" w:rsidRPr="00240C11">
            <w:t>is often a key factor for consumers when they are considering what food to buy (D</w:t>
          </w:r>
          <w:r w:rsidR="001F2B69">
            <w:t>eloitte</w:t>
          </w:r>
          <w:r w:rsidR="005D662D" w:rsidRPr="00240C11">
            <w:t xml:space="preserve"> 2021</w:t>
          </w:r>
          <w:r w:rsidR="0047504A">
            <w:t>a</w:t>
          </w:r>
          <w:r w:rsidR="005D662D" w:rsidRPr="00240C11">
            <w:t>). Consumers consider a range of factors including personal values and perceptions on price, safety, quality, and branding when making purchasing decisions.</w:t>
          </w:r>
          <w:bookmarkEnd w:id="52"/>
          <w:bookmarkEnd w:id="53"/>
        </w:p>
        <w:p w14:paraId="6EE10E2F" w14:textId="28F93CCA" w:rsidR="005D662D" w:rsidRPr="00240C11" w:rsidRDefault="005D662D" w:rsidP="00F1767D">
          <w:r w:rsidRPr="00240C11">
            <w:t>Seafood is the fourth most consumed ‘protein’ in Australia, after beef, pork, and poultry (ABARES 202</w:t>
          </w:r>
          <w:r w:rsidR="007A73FA">
            <w:t>2)</w:t>
          </w:r>
          <w:r w:rsidRPr="00240C11">
            <w:t>. About 356 kilotonnes of seafood was consumed in Australia in 2020-21 which equates to about 12.4 kg per person. Consumer demand for CoOL information for seafood has been identified as being higher than other food (</w:t>
          </w:r>
          <w:r w:rsidR="001F2B69">
            <w:t>Deloitte 2021</w:t>
          </w:r>
          <w:r w:rsidR="0047504A">
            <w:t>a</w:t>
          </w:r>
          <w:r w:rsidRPr="00240C11">
            <w:t xml:space="preserve">). </w:t>
          </w:r>
        </w:p>
        <w:p w14:paraId="102B93A7" w14:textId="0334C17D" w:rsidR="005D662D" w:rsidRPr="00240C11" w:rsidRDefault="005D662D" w:rsidP="00F1767D">
          <w:r w:rsidRPr="00240C11">
            <w:t xml:space="preserve">In Australia most </w:t>
          </w:r>
          <w:r w:rsidR="007171FE">
            <w:t xml:space="preserve">other </w:t>
          </w:r>
          <w:r w:rsidRPr="00240C11">
            <w:t xml:space="preserve">protein-based foods are sourced locally. As a food product, </w:t>
          </w:r>
          <w:r w:rsidR="00D60415">
            <w:t>around 62</w:t>
          </w:r>
          <w:r w:rsidR="00DD06BF">
            <w:t>% of</w:t>
          </w:r>
          <w:r w:rsidRPr="00240C11">
            <w:t xml:space="preserve"> seafood</w:t>
          </w:r>
          <w:r w:rsidR="00D60415">
            <w:t xml:space="preserve"> consumer in Australia</w:t>
          </w:r>
          <w:r w:rsidRPr="00240C11">
            <w:t xml:space="preserve"> is imported (ABARES 202</w:t>
          </w:r>
          <w:r w:rsidR="007A73FA">
            <w:t>2</w:t>
          </w:r>
          <w:r w:rsidRPr="00240C11">
            <w:t>)</w:t>
          </w:r>
          <w:r w:rsidR="00D60415">
            <w:t>,</w:t>
          </w:r>
          <w:r w:rsidRPr="00240C11">
            <w:t xml:space="preserve"> making it a unique problem space compared to other proteins. </w:t>
          </w:r>
          <w:bookmarkStart w:id="54" w:name="_Toc136008630"/>
          <w:bookmarkStart w:id="55" w:name="_Toc140662036"/>
          <w:r w:rsidR="002F4A20" w:rsidRPr="00240C11">
            <w:t>Many consumers are unaware that most seafood consumed in Australia is imported.</w:t>
          </w:r>
        </w:p>
        <w:p w14:paraId="1A3A8FF9" w14:textId="2FEA1DA3" w:rsidR="005D662D" w:rsidRPr="005D662D" w:rsidRDefault="00ED5B66" w:rsidP="00913CD0">
          <w:pPr>
            <w:pStyle w:val="IntenseQuote"/>
            <w:ind w:left="862" w:right="862"/>
            <w:contextualSpacing/>
          </w:pPr>
          <w:r>
            <w:t>‘</w:t>
          </w:r>
          <w:r w:rsidR="005D662D" w:rsidRPr="005D662D">
            <w:t>Currently consumers are unaware that this information [on seafood] is missing for cooked seafood. A lot of assumptions are made.</w:t>
          </w:r>
          <w:r>
            <w:t>’</w:t>
          </w:r>
          <w:r w:rsidR="005D662D" w:rsidRPr="005D662D">
            <w:t xml:space="preserve"> </w:t>
          </w:r>
          <w:r w:rsidRPr="00A345FB">
            <w:rPr>
              <w:i w:val="0"/>
              <w:iCs w:val="0"/>
            </w:rPr>
            <w:t>—</w:t>
          </w:r>
          <w:r>
            <w:t xml:space="preserve"> </w:t>
          </w:r>
          <w:r w:rsidR="005D662D" w:rsidRPr="005D662D">
            <w:t>Tobin Fish Tales, QLD</w:t>
          </w:r>
        </w:p>
        <w:p w14:paraId="6E2FB6EC" w14:textId="217E877D" w:rsidR="005D662D" w:rsidRPr="005D662D" w:rsidRDefault="005D662D" w:rsidP="00073493">
          <w:pPr>
            <w:pStyle w:val="Heading2"/>
            <w:numPr>
              <w:ilvl w:val="1"/>
              <w:numId w:val="15"/>
            </w:numPr>
          </w:pPr>
          <w:bookmarkStart w:id="56" w:name="_Toc141272728"/>
          <w:bookmarkStart w:id="57" w:name="_Toc151719066"/>
          <w:r w:rsidRPr="005D662D">
            <w:t>What is the extent of the problem?</w:t>
          </w:r>
          <w:bookmarkEnd w:id="54"/>
          <w:bookmarkEnd w:id="55"/>
          <w:bookmarkEnd w:id="56"/>
          <w:bookmarkEnd w:id="57"/>
        </w:p>
        <w:p w14:paraId="2261A14A" w14:textId="0EC032B2" w:rsidR="005D662D" w:rsidRPr="005D662D" w:rsidRDefault="005D662D" w:rsidP="001347DC">
          <w:bookmarkStart w:id="58" w:name="_Toc141272729"/>
          <w:bookmarkStart w:id="59" w:name="_Toc141274640"/>
          <w:r w:rsidRPr="005D662D">
            <w:t xml:space="preserve">The CoOL Standard allows </w:t>
          </w:r>
          <w:r w:rsidR="00ED5B66">
            <w:t xml:space="preserve">retail </w:t>
          </w:r>
          <w:r w:rsidRPr="005D662D">
            <w:t xml:space="preserve">customers to make conscious and informed decisions about what they purchase to </w:t>
          </w:r>
          <w:r w:rsidR="001D7464">
            <w:t>prepare</w:t>
          </w:r>
          <w:r w:rsidR="001D7464" w:rsidRPr="005D662D">
            <w:t xml:space="preserve"> </w:t>
          </w:r>
          <w:r w:rsidRPr="005D662D">
            <w:t xml:space="preserve">at home. However, hospitality and food service venues are not currently required to </w:t>
          </w:r>
          <w:r w:rsidR="00194BB6">
            <w:t xml:space="preserve">provide origin information on the </w:t>
          </w:r>
          <w:r w:rsidR="001624DD">
            <w:t>food,</w:t>
          </w:r>
          <w:r w:rsidRPr="005D662D">
            <w:t xml:space="preserve"> including seafood, they serve.</w:t>
          </w:r>
          <w:bookmarkEnd w:id="58"/>
          <w:bookmarkEnd w:id="59"/>
        </w:p>
        <w:p w14:paraId="6BBCD53B" w14:textId="64387672" w:rsidR="005D662D" w:rsidRPr="005D662D" w:rsidRDefault="005D662D" w:rsidP="001347DC">
          <w:r w:rsidRPr="005D662D">
            <w:t>Some hospitality businesses provide seafood CoOL by choice, especially high-end businesses and on premium seafood. However, there has not been significant voluntary uptake of providing this information to consumers in the hospitality sector. Consumers can ask hospitality businesses for seafood CoOL information at any time, however many consumers responding to the department’s</w:t>
          </w:r>
          <w:r w:rsidRPr="005D662D" w:rsidDel="00B66402">
            <w:t xml:space="preserve"> </w:t>
          </w:r>
          <w:r w:rsidRPr="005D662D">
            <w:t>discussion paper commented that servers are often unable to provide this information. The</w:t>
          </w:r>
          <w:r w:rsidR="00D4766B">
            <w:t xml:space="preserve"> 2021 evaluation of CoOL for Food </w:t>
          </w:r>
          <w:r w:rsidRPr="005D662D">
            <w:t>estimate</w:t>
          </w:r>
          <w:r w:rsidR="00E24C31">
            <w:t>d</w:t>
          </w:r>
          <w:r w:rsidRPr="005D662D">
            <w:t xml:space="preserve"> how many </w:t>
          </w:r>
          <w:r w:rsidRPr="005D662D" w:rsidDel="00E94A17">
            <w:t xml:space="preserve">Australian food service businesses </w:t>
          </w:r>
          <w:r w:rsidRPr="005D662D">
            <w:t xml:space="preserve">currently </w:t>
          </w:r>
          <w:r w:rsidRPr="005D662D" w:rsidDel="00E94A17">
            <w:t>provid</w:t>
          </w:r>
          <w:r w:rsidRPr="005D662D">
            <w:t>e</w:t>
          </w:r>
          <w:r w:rsidRPr="005D662D" w:rsidDel="00E94A17">
            <w:t xml:space="preserve"> seafood origin information</w:t>
          </w:r>
          <w:r w:rsidR="007C174A">
            <w:t xml:space="preserve"> (Deloitte 2021</w:t>
          </w:r>
          <w:r w:rsidR="0047504A">
            <w:t>a</w:t>
          </w:r>
          <w:r w:rsidR="007C174A">
            <w:t>)</w:t>
          </w:r>
          <w:r w:rsidRPr="005D662D">
            <w:t xml:space="preserve">. Using the best available information, the </w:t>
          </w:r>
          <w:r w:rsidRPr="005D662D" w:rsidDel="00E94A17">
            <w:t>evaluation conservatively estimate</w:t>
          </w:r>
          <w:r w:rsidRPr="005D662D">
            <w:t>d</w:t>
          </w:r>
          <w:r w:rsidRPr="005D662D" w:rsidDel="00E94A17">
            <w:t xml:space="preserve"> that </w:t>
          </w:r>
          <w:r w:rsidRPr="005D662D">
            <w:t>only around</w:t>
          </w:r>
          <w:r w:rsidRPr="005D662D" w:rsidDel="00E94A17">
            <w:t xml:space="preserve"> 1% </w:t>
          </w:r>
          <w:bookmarkStart w:id="60" w:name="_Hlk140824133"/>
          <w:r w:rsidRPr="005D662D" w:rsidDel="00E94A17">
            <w:t>of</w:t>
          </w:r>
          <w:r w:rsidRPr="005D662D">
            <w:t xml:space="preserve"> businesses that offer seafood for sale were providing origin information</w:t>
          </w:r>
          <w:bookmarkEnd w:id="60"/>
          <w:r w:rsidRPr="005D662D">
            <w:t xml:space="preserve"> </w:t>
          </w:r>
          <w:r w:rsidR="00DD15AC">
            <w:t>(Deloitte 2021</w:t>
          </w:r>
          <w:r w:rsidR="0047504A">
            <w:t>b</w:t>
          </w:r>
          <w:r w:rsidRPr="005D662D">
            <w:t>).</w:t>
          </w:r>
          <w:r w:rsidRPr="005D662D" w:rsidDel="00E94A17">
            <w:t xml:space="preserve"> These businesses consisted of certain large fast-food outlets such as McDonald</w:t>
          </w:r>
          <w:r w:rsidR="007171FE">
            <w:t>’</w:t>
          </w:r>
          <w:r w:rsidRPr="005D662D" w:rsidDel="00E94A17">
            <w:t>s and Domino’s Pizza, high-end restaurants, and businesses subject to the</w:t>
          </w:r>
          <w:r w:rsidR="00617F77">
            <w:t xml:space="preserve"> </w:t>
          </w:r>
          <w:r w:rsidRPr="005D662D" w:rsidDel="00E94A17">
            <w:t>NT</w:t>
          </w:r>
          <w:r w:rsidR="00851862">
            <w:t>’s</w:t>
          </w:r>
          <w:r w:rsidRPr="005D662D" w:rsidDel="00E94A17">
            <w:t xml:space="preserve"> </w:t>
          </w:r>
          <w:r w:rsidRPr="005D662D">
            <w:t>s</w:t>
          </w:r>
          <w:r w:rsidRPr="005D662D" w:rsidDel="00E94A17">
            <w:t xml:space="preserve">eafood labelling requirements </w:t>
          </w:r>
          <w:r w:rsidR="00DD15AC">
            <w:t>(Deloitte 2021</w:t>
          </w:r>
          <w:r w:rsidR="0047504A">
            <w:t>b</w:t>
          </w:r>
          <w:r w:rsidR="00DD15AC">
            <w:t>)</w:t>
          </w:r>
          <w:r w:rsidRPr="005D662D">
            <w:t>.</w:t>
          </w:r>
        </w:p>
        <w:p w14:paraId="1A6603B1" w14:textId="4EADE007" w:rsidR="005D662D" w:rsidRPr="005D662D" w:rsidRDefault="00ED5B66" w:rsidP="00913CD0">
          <w:pPr>
            <w:pStyle w:val="IntenseQuote"/>
            <w:ind w:left="862" w:right="862"/>
            <w:contextualSpacing/>
          </w:pPr>
          <w:r>
            <w:t>‘</w:t>
          </w:r>
          <w:r w:rsidR="005D662D" w:rsidRPr="005D662D">
            <w:t>The current voluntary labelling system has been shown not to work. It is confusing, easily misleading and does little to confirm the integrity of locally-supplied produce – particularly seafood products.</w:t>
          </w:r>
          <w:r>
            <w:t>’</w:t>
          </w:r>
          <w:r w:rsidR="005D662D" w:rsidRPr="005D662D">
            <w:t xml:space="preserve"> </w:t>
          </w:r>
          <w:r w:rsidRPr="00A345FB">
            <w:rPr>
              <w:i w:val="0"/>
              <w:iCs w:val="0"/>
            </w:rPr>
            <w:t>—</w:t>
          </w:r>
          <w:r>
            <w:t xml:space="preserve"> </w:t>
          </w:r>
          <w:r w:rsidR="005D662D" w:rsidRPr="005D662D">
            <w:t>Western Australia Fishing Industry Council</w:t>
          </w:r>
        </w:p>
        <w:p w14:paraId="7D4109B3" w14:textId="4789CFBC" w:rsidR="005D662D" w:rsidRPr="005D662D" w:rsidRDefault="005D662D" w:rsidP="00073493">
          <w:pPr>
            <w:pStyle w:val="Heading2"/>
            <w:numPr>
              <w:ilvl w:val="1"/>
              <w:numId w:val="15"/>
            </w:numPr>
          </w:pPr>
          <w:bookmarkStart w:id="61" w:name="_Toc136008631"/>
          <w:bookmarkStart w:id="62" w:name="_Toc140662037"/>
          <w:bookmarkStart w:id="63" w:name="_Toc141272733"/>
          <w:bookmarkStart w:id="64" w:name="_Toc151719067"/>
          <w:r w:rsidRPr="005D662D">
            <w:lastRenderedPageBreak/>
            <w:t>What are the impacts of the problem on stakeholders?</w:t>
          </w:r>
          <w:bookmarkEnd w:id="61"/>
          <w:bookmarkEnd w:id="62"/>
          <w:bookmarkEnd w:id="63"/>
          <w:bookmarkEnd w:id="64"/>
          <w:r w:rsidRPr="005D662D">
            <w:t xml:space="preserve"> </w:t>
          </w:r>
        </w:p>
        <w:p w14:paraId="59CF257F" w14:textId="6524EB86" w:rsidR="0039667A" w:rsidRDefault="002F4EAF" w:rsidP="00DD15AC">
          <w:bookmarkStart w:id="65" w:name="_Toc141272734"/>
          <w:bookmarkStart w:id="66" w:name="_Toc141274645"/>
          <w:r>
            <w:t xml:space="preserve">The department surveyed a range of stakeholders on whether </w:t>
          </w:r>
          <w:r w:rsidR="00751504">
            <w:t>information about seafood origin</w:t>
          </w:r>
          <w:r w:rsidR="0070171F">
            <w:t xml:space="preserve"> would help them make informed purchasing decisions in hospitality settings </w:t>
          </w:r>
          <w:r w:rsidR="00D906D1">
            <w:t xml:space="preserve">when consulting </w:t>
          </w:r>
          <w:r>
            <w:t xml:space="preserve">on its discussion paper. Of the consumers that responded, 99% agreed that it would </w:t>
          </w:r>
          <w:r w:rsidR="005D662D" w:rsidRPr="005D662D">
            <w:t>(</w:t>
          </w:r>
          <w:r w:rsidR="00F95682">
            <w:t xml:space="preserve">DISR </w:t>
          </w:r>
          <w:r w:rsidR="005D662D" w:rsidRPr="005D662D">
            <w:t>202</w:t>
          </w:r>
          <w:r w:rsidR="00916752">
            <w:t>3</w:t>
          </w:r>
          <w:r w:rsidR="00CB6CDC">
            <w:t>b</w:t>
          </w:r>
          <w:r w:rsidR="005D662D" w:rsidRPr="005D662D">
            <w:t xml:space="preserve">). </w:t>
          </w:r>
          <w:r w:rsidR="009F16DE">
            <w:t xml:space="preserve">Approximately 60% of the consumers that participated in the CBA for </w:t>
          </w:r>
          <w:r w:rsidR="0039667A">
            <w:t>s</w:t>
          </w:r>
          <w:r w:rsidR="009F16DE">
            <w:t>eafood CoOL indicated that seafood origin information was important or very important to them</w:t>
          </w:r>
          <w:r w:rsidR="001B69E2">
            <w:t xml:space="preserve"> and approximately 30% indicated that they would often or always enquire about it</w:t>
          </w:r>
          <w:r w:rsidR="009F16DE">
            <w:t xml:space="preserve"> (Deloitte 2023). </w:t>
          </w:r>
        </w:p>
        <w:bookmarkEnd w:id="65"/>
        <w:bookmarkEnd w:id="66"/>
        <w:p w14:paraId="739D2C4D" w14:textId="1886D8CC" w:rsidR="005D662D" w:rsidRDefault="00480BC6" w:rsidP="00F1767D">
          <w:r>
            <w:t xml:space="preserve">Anecdotal reports from consumers, </w:t>
          </w:r>
          <w:r w:rsidR="005D662D" w:rsidRPr="005D662D">
            <w:t xml:space="preserve">Australian seafood producers and representatives of the seafood industry </w:t>
          </w:r>
          <w:r w:rsidR="00177E68">
            <w:t>indicate that</w:t>
          </w:r>
          <w:r w:rsidR="00177E68" w:rsidRPr="005D662D">
            <w:t xml:space="preserve"> </w:t>
          </w:r>
          <w:r w:rsidR="005D662D" w:rsidRPr="005D662D">
            <w:t>consumers commonly assume that, like other protein</w:t>
          </w:r>
          <w:r w:rsidR="00D906D1">
            <w:t>s</w:t>
          </w:r>
          <w:r w:rsidR="005D662D" w:rsidRPr="005D662D">
            <w:t>, seafood is likely to be locally sourced. As a result, consumers may not think or know to question the origin of seafood, particularly when dining near the sea or areas known for seafood, and when the seafood has an Australian name (such as ‘barramundi’) (Lawley 2015). In a 2015 survey, 50% of consumers indicated that they assume the seafood they purchase is Australian if there is no stated country of origin (Lawley 2015). Some businesses are concerned that voluntarily labelling their seafood as imported may disadvantage them if competitors, also selling imported seafood, do not label.</w:t>
          </w:r>
        </w:p>
        <w:p w14:paraId="16111DE6" w14:textId="1A26F36D" w:rsidR="006E0171" w:rsidRPr="005D662D" w:rsidRDefault="006E0171" w:rsidP="006E0171">
          <w:pPr>
            <w:pStyle w:val="Quote"/>
            <w:ind w:right="862"/>
            <w:contextualSpacing/>
          </w:pPr>
          <w:r>
            <w:t>‘</w:t>
          </w:r>
          <w:r w:rsidRPr="006E0171">
            <w:t xml:space="preserve">I hate that for so long, any fish and chip shop close to an ocean is busy with line out the door selling imported fish just because people assume if they are close to the </w:t>
          </w:r>
          <w:proofErr w:type="gramStart"/>
          <w:r w:rsidRPr="006E0171">
            <w:t>water</w:t>
          </w:r>
          <w:proofErr w:type="gramEnd"/>
          <w:r w:rsidRPr="006E0171">
            <w:t xml:space="preserve"> it must be fresh. If the people working even know where it’s from (most don’t or just say, I don’t know we get it pre battered in a box), it’s usually all imported</w:t>
          </w:r>
          <w:r>
            <w:t>.’</w:t>
          </w:r>
        </w:p>
        <w:p w14:paraId="6FB96F78" w14:textId="2CF5C4E3" w:rsidR="005D662D" w:rsidRDefault="001428D8" w:rsidP="00F1767D">
          <w:r>
            <w:t>W</w:t>
          </w:r>
          <w:r w:rsidR="005D662D" w:rsidRPr="005D662D">
            <w:t xml:space="preserve">ithout clear and consistent seafood origin information, businesses may charge consumers higher prices for imported seafood that does not cost </w:t>
          </w:r>
          <w:r>
            <w:t>as much as</w:t>
          </w:r>
          <w:r w:rsidR="005D662D" w:rsidRPr="005D662D">
            <w:t xml:space="preserve"> Australian produce. </w:t>
          </w:r>
          <w:r>
            <w:t>C</w:t>
          </w:r>
          <w:r w:rsidR="005D662D" w:rsidRPr="005D662D">
            <w:t xml:space="preserve">onsumers </w:t>
          </w:r>
          <w:r>
            <w:t xml:space="preserve">may assume </w:t>
          </w:r>
          <w:r w:rsidR="005D662D" w:rsidRPr="005D662D">
            <w:t xml:space="preserve">they are paying for a </w:t>
          </w:r>
          <w:r w:rsidR="00EE4DBA">
            <w:t>certain type of</w:t>
          </w:r>
          <w:r w:rsidR="005D662D" w:rsidRPr="005D662D">
            <w:t xml:space="preserve"> product</w:t>
          </w:r>
          <w:r w:rsidR="00D906D1">
            <w:t>,</w:t>
          </w:r>
          <w:r w:rsidR="005D662D" w:rsidRPr="005D662D">
            <w:t xml:space="preserve"> </w:t>
          </w:r>
          <w:r w:rsidR="00EE4DBA">
            <w:t>but</w:t>
          </w:r>
          <w:r w:rsidR="00EE4DBA" w:rsidRPr="005D662D">
            <w:t xml:space="preserve"> </w:t>
          </w:r>
          <w:r w:rsidR="005D662D" w:rsidRPr="005D662D">
            <w:t>due to information asymmetry, they are not getting what they paid for.</w:t>
          </w:r>
        </w:p>
        <w:p w14:paraId="6A04F1D2" w14:textId="00937B72" w:rsidR="006E0171" w:rsidRPr="005D662D" w:rsidRDefault="006E0171" w:rsidP="006E0171">
          <w:pPr>
            <w:pStyle w:val="Quote"/>
          </w:pPr>
          <w:r>
            <w:t>‘</w:t>
          </w:r>
          <w:r w:rsidRPr="006E0171">
            <w:t>I want to be certain that if I am paying a premium for Australian seafood that I am getting Australian seafood</w:t>
          </w:r>
          <w:r>
            <w:t>.’</w:t>
          </w:r>
        </w:p>
        <w:p w14:paraId="4BE1A2ED" w14:textId="4614F4F8" w:rsidR="00CF3589" w:rsidRDefault="00CF3589" w:rsidP="00CF3589">
          <w:bookmarkStart w:id="67" w:name="_Hlk141270556"/>
          <w:r w:rsidRPr="005D662D">
            <w:t xml:space="preserve">In response to the discussion paper, many consumers reported that, when they ask hospitality venues for information on the origin of seafood, staff often do not have the information. This enquiry process takes extra time and effort for both consumers and staff, which could potentially be reduced significantly if labelling were clearly displayed in a standardised and accessible format.  </w:t>
          </w:r>
        </w:p>
        <w:p w14:paraId="7DC9CA68" w14:textId="6B36BF38" w:rsidR="005D662D" w:rsidRPr="006E0171" w:rsidRDefault="0040152C" w:rsidP="006E0171">
          <w:pPr>
            <w:pStyle w:val="Quote"/>
          </w:pPr>
          <w:r w:rsidRPr="006E0171">
            <w:t>‘</w:t>
          </w:r>
          <w:r w:rsidR="005D662D" w:rsidRPr="006E0171">
            <w:t xml:space="preserve">I would </w:t>
          </w:r>
          <w:bookmarkStart w:id="68" w:name="_Hlk141271647"/>
          <w:bookmarkStart w:id="69" w:name="_Hlk141270642"/>
          <w:r w:rsidR="005D662D" w:rsidRPr="006E0171">
            <w:t>like to see seafood origin information displayed in all settings, including restaurants and take-aways</w:t>
          </w:r>
          <w:r w:rsidR="00D906D1">
            <w:t>.</w:t>
          </w:r>
          <w:r w:rsidR="005D662D" w:rsidRPr="006E0171">
            <w:t xml:space="preserve"> ([X restaurant] is one of them – their consumer literature does not state seafood origin and re: barramundi, I emailed them but received no response. For this </w:t>
          </w:r>
          <w:proofErr w:type="gramStart"/>
          <w:r w:rsidR="005D662D" w:rsidRPr="006E0171">
            <w:t>reason</w:t>
          </w:r>
          <w:proofErr w:type="gramEnd"/>
          <w:r w:rsidR="005D662D" w:rsidRPr="006E0171">
            <w:t xml:space="preserve"> I would like to see seafood origin.</w:t>
          </w:r>
          <w:r w:rsidRPr="006E0171">
            <w:t>’</w:t>
          </w:r>
        </w:p>
        <w:bookmarkEnd w:id="67"/>
        <w:bookmarkEnd w:id="68"/>
        <w:bookmarkEnd w:id="69"/>
        <w:p w14:paraId="7BE306C2" w14:textId="7F5A802F" w:rsidR="00996D3D" w:rsidRDefault="00996D3D" w:rsidP="006560EC"/>
        <w:p w14:paraId="108C1A5F" w14:textId="77777777" w:rsidR="006E0171" w:rsidRDefault="006E0171">
          <w:pPr>
            <w:rPr>
              <w:rFonts w:asciiTheme="majorHAnsi" w:eastAsiaTheme="majorEastAsia" w:hAnsiTheme="majorHAnsi" w:cstheme="majorBidi"/>
              <w:color w:val="005677" w:themeColor="text2"/>
              <w:sz w:val="48"/>
              <w:szCs w:val="32"/>
            </w:rPr>
          </w:pPr>
          <w:bookmarkStart w:id="70" w:name="_Toc141272737"/>
          <w:r>
            <w:br w:type="page"/>
          </w:r>
        </w:p>
        <w:p w14:paraId="4BDC67BE" w14:textId="3825787D" w:rsidR="005D662D" w:rsidRPr="005D662D" w:rsidRDefault="005D662D" w:rsidP="00073493">
          <w:pPr>
            <w:pStyle w:val="Heading1"/>
            <w:numPr>
              <w:ilvl w:val="0"/>
              <w:numId w:val="15"/>
            </w:numPr>
          </w:pPr>
          <w:bookmarkStart w:id="71" w:name="_Toc151719068"/>
          <w:r w:rsidRPr="005D662D">
            <w:lastRenderedPageBreak/>
            <w:t xml:space="preserve">Why is </w:t>
          </w:r>
          <w:r w:rsidR="001C434B">
            <w:t>go</w:t>
          </w:r>
          <w:r w:rsidR="001C434B" w:rsidRPr="005D662D">
            <w:t xml:space="preserve">vernment </w:t>
          </w:r>
          <w:r w:rsidRPr="005D662D">
            <w:t>action needed?</w:t>
          </w:r>
          <w:bookmarkEnd w:id="70"/>
          <w:bookmarkEnd w:id="71"/>
        </w:p>
        <w:p w14:paraId="5C434834" w14:textId="77777777" w:rsidR="00035268" w:rsidRDefault="00BE69EB" w:rsidP="00A9695B">
          <w:pPr>
            <w:pStyle w:val="IntenseQuote"/>
            <w:ind w:left="862" w:right="862"/>
            <w:contextualSpacing/>
          </w:pPr>
          <w:bookmarkStart w:id="72" w:name="_Toc92873054"/>
          <w:bookmarkStart w:id="73" w:name="_Toc92873127"/>
          <w:bookmarkStart w:id="74" w:name="_Toc106613227"/>
          <w:bookmarkStart w:id="75" w:name="_Toc126573208"/>
          <w:bookmarkStart w:id="76" w:name="_Toc135727231"/>
          <w:bookmarkStart w:id="77" w:name="_Toc136419185"/>
          <w:bookmarkStart w:id="78" w:name="_Toc136425237"/>
          <w:r w:rsidRPr="002F1E57">
            <w:t>‘While nearly all domestic consumption of other major foodservice proteins (such as beef, lamb, and chicken) is domestically produced, more than 60 percent of the seafood eaten in this country is imported (ABARES 2022) – a stark and rapid change from just twenty years ago when almost all seafood consumed was produced locally. We strongly believe in the rights of consumers to make informed choices about the food they purchase and consume. Seafood CoOL is needed to provide the consumers with the information needed to make informed choices and to lessen the incidence of misleading labelling practices.</w:t>
          </w:r>
          <w:r w:rsidR="00035268" w:rsidRPr="002F1E57">
            <w:t xml:space="preserve">’ </w:t>
          </w:r>
        </w:p>
        <w:p w14:paraId="68497863" w14:textId="6EA15C0A" w:rsidR="00BE69EB" w:rsidRDefault="00035268" w:rsidP="002F1E57">
          <w:pPr>
            <w:pStyle w:val="IntenseQuote"/>
            <w:ind w:left="862" w:right="862"/>
            <w:contextualSpacing/>
          </w:pPr>
          <w:r w:rsidRPr="00A13ED7">
            <w:t xml:space="preserve">— </w:t>
          </w:r>
          <w:r w:rsidR="00BE69EB" w:rsidRPr="002F1E57">
            <w:t>Australian Barramundi</w:t>
          </w:r>
          <w:r w:rsidRPr="002F1E57">
            <w:t xml:space="preserve"> </w:t>
          </w:r>
          <w:r w:rsidR="00BE69EB" w:rsidRPr="002F1E57">
            <w:t xml:space="preserve">Farmers </w:t>
          </w:r>
          <w:r w:rsidR="00BE69EB" w:rsidRPr="00A10BE8">
            <w:t>Association</w:t>
          </w:r>
        </w:p>
        <w:p w14:paraId="3776B7B3" w14:textId="1A0FFCF3" w:rsidR="005D662D" w:rsidRPr="005D662D" w:rsidRDefault="005D662D" w:rsidP="00073493">
          <w:pPr>
            <w:pStyle w:val="Heading2"/>
            <w:numPr>
              <w:ilvl w:val="1"/>
              <w:numId w:val="15"/>
            </w:numPr>
          </w:pPr>
          <w:bookmarkStart w:id="79" w:name="_Toc92873056"/>
          <w:bookmarkStart w:id="80" w:name="_Toc92873128"/>
          <w:bookmarkStart w:id="81" w:name="_Toc106613228"/>
          <w:bookmarkStart w:id="82" w:name="_Ref125110475"/>
          <w:bookmarkStart w:id="83" w:name="_Toc126573209"/>
          <w:bookmarkStart w:id="84" w:name="_Toc135727232"/>
          <w:bookmarkStart w:id="85" w:name="_Toc136419186"/>
          <w:bookmarkStart w:id="86" w:name="_Toc136425238"/>
          <w:bookmarkStart w:id="87" w:name="_Toc140662042"/>
          <w:bookmarkStart w:id="88" w:name="_Toc141272738"/>
          <w:bookmarkStart w:id="89" w:name="_Toc151719069"/>
          <w:r w:rsidRPr="005D662D">
            <w:t>Objective of government intervention</w:t>
          </w:r>
          <w:bookmarkEnd w:id="79"/>
          <w:bookmarkEnd w:id="80"/>
          <w:bookmarkEnd w:id="81"/>
          <w:bookmarkEnd w:id="82"/>
          <w:bookmarkEnd w:id="83"/>
          <w:bookmarkEnd w:id="84"/>
          <w:bookmarkEnd w:id="85"/>
          <w:bookmarkEnd w:id="86"/>
          <w:bookmarkEnd w:id="87"/>
          <w:bookmarkEnd w:id="88"/>
          <w:bookmarkEnd w:id="89"/>
        </w:p>
        <w:p w14:paraId="03CC429C" w14:textId="1BB1D1CA" w:rsidR="005C2A05" w:rsidRDefault="005D662D" w:rsidP="00A9695B">
          <w:bookmarkStart w:id="90" w:name="_Hlk142584184"/>
          <w:r w:rsidRPr="005D662D">
            <w:t xml:space="preserve">The objective of </w:t>
          </w:r>
          <w:r w:rsidR="0039667A">
            <w:t>s</w:t>
          </w:r>
          <w:r w:rsidRPr="005D662D">
            <w:t xml:space="preserve">eafood CoOL is to provide increased information to consumers </w:t>
          </w:r>
          <w:r w:rsidR="00AD65B2">
            <w:t xml:space="preserve">about the origin of seafood in hospitality settings, </w:t>
          </w:r>
          <w:r w:rsidRPr="005D662D">
            <w:t>without overtly increasing the cost to consumers or increasing imposts or burdens on hospitality businesses.</w:t>
          </w:r>
          <w:r w:rsidR="005C2A05" w:rsidRPr="005C2A05">
            <w:t xml:space="preserve"> </w:t>
          </w:r>
        </w:p>
        <w:p w14:paraId="177E752B" w14:textId="77777777" w:rsidR="005D662D" w:rsidRPr="005D662D" w:rsidRDefault="005D662D" w:rsidP="00AD65B2">
          <w:r w:rsidRPr="005D662D">
            <w:t>This will be achieved by:</w:t>
          </w:r>
        </w:p>
        <w:p w14:paraId="6961A1E6" w14:textId="4EF16130" w:rsidR="005D662D" w:rsidRPr="005D662D" w:rsidRDefault="005D662D" w:rsidP="002F1E57">
          <w:pPr>
            <w:numPr>
              <w:ilvl w:val="0"/>
              <w:numId w:val="1"/>
            </w:numPr>
          </w:pPr>
          <w:r w:rsidRPr="005D662D">
            <w:t xml:space="preserve">providing consumers with a reliable </w:t>
          </w:r>
          <w:r w:rsidR="002A2B0F">
            <w:t>labelling system</w:t>
          </w:r>
          <w:r w:rsidR="002A2B0F" w:rsidRPr="005D662D">
            <w:t xml:space="preserve"> </w:t>
          </w:r>
          <w:r w:rsidRPr="005D662D">
            <w:t>that will give more informative, easier to find and less ambiguous seafood CoOL</w:t>
          </w:r>
        </w:p>
        <w:p w14:paraId="54B952EE" w14:textId="1D2A5A30" w:rsidR="002A2B0F" w:rsidRDefault="005D662D" w:rsidP="002F1E57">
          <w:pPr>
            <w:numPr>
              <w:ilvl w:val="0"/>
              <w:numId w:val="1"/>
            </w:numPr>
          </w:pPr>
          <w:r w:rsidRPr="005D662D">
            <w:t xml:space="preserve">providing businesses with </w:t>
          </w:r>
          <w:r w:rsidR="006E0171">
            <w:t>a consistent way to label their seafood</w:t>
          </w:r>
        </w:p>
        <w:p w14:paraId="618CE5FF" w14:textId="18A66976" w:rsidR="005D662D" w:rsidRPr="005D662D" w:rsidRDefault="002A2B0F" w:rsidP="002F1E57">
          <w:pPr>
            <w:numPr>
              <w:ilvl w:val="0"/>
              <w:numId w:val="1"/>
            </w:numPr>
          </w:pPr>
          <w:r>
            <w:t>be</w:t>
          </w:r>
          <w:r w:rsidR="006D40DA">
            <w:t>ing</w:t>
          </w:r>
          <w:r>
            <w:t xml:space="preserve"> simple for hospitality businesses to comply with to minimise the impost or burdens. </w:t>
          </w:r>
        </w:p>
        <w:p w14:paraId="7560419F" w14:textId="0EDEAC13" w:rsidR="005D662D" w:rsidRDefault="005D662D" w:rsidP="00AD65B2">
          <w:r w:rsidRPr="005D662D">
            <w:t xml:space="preserve">Seafood CoOL </w:t>
          </w:r>
          <w:r w:rsidR="005E219B">
            <w:t>would</w:t>
          </w:r>
          <w:r w:rsidRPr="005D662D">
            <w:t xml:space="preserve"> be complementary to the existing CoOL</w:t>
          </w:r>
          <w:r w:rsidR="00AD65B2">
            <w:t xml:space="preserve"> Standard, and </w:t>
          </w:r>
          <w:r w:rsidRPr="005D662D">
            <w:t>consistent with Australia’s international trade agreements and obligations.</w:t>
          </w:r>
        </w:p>
        <w:p w14:paraId="314D4344" w14:textId="4095C4C8" w:rsidR="0026709A" w:rsidRDefault="0026709A" w:rsidP="0026709A">
          <w:pPr>
            <w:pStyle w:val="IntenseQuote"/>
            <w:ind w:left="862" w:right="862"/>
            <w:contextualSpacing/>
          </w:pPr>
          <w:r>
            <w:t>‘</w:t>
          </w:r>
          <w:r w:rsidRPr="00377877">
            <w:t>This is very overdue</w:t>
          </w:r>
          <w:r>
            <w:t>.</w:t>
          </w:r>
          <w:r w:rsidRPr="00377877">
            <w:t xml:space="preserve"> I would like to see uniformed labelling so the consumer does not get confused. It’s the same everywhere</w:t>
          </w:r>
          <w:r w:rsidR="00D906D1">
            <w:t>.</w:t>
          </w:r>
          <w:r>
            <w:t xml:space="preserve">’ – Café Del </w:t>
          </w:r>
          <w:proofErr w:type="spellStart"/>
          <w:r>
            <w:t>Giorno</w:t>
          </w:r>
          <w:proofErr w:type="spellEnd"/>
          <w:r>
            <w:t>, SA</w:t>
          </w:r>
        </w:p>
        <w:p w14:paraId="2751DB72" w14:textId="78D2CFFD" w:rsidR="005D662D" w:rsidRPr="005D662D" w:rsidRDefault="005D662D" w:rsidP="005D662D">
          <w:bookmarkStart w:id="91" w:name="_Hlk142664215"/>
          <w:bookmarkEnd w:id="72"/>
          <w:bookmarkEnd w:id="73"/>
          <w:bookmarkEnd w:id="74"/>
          <w:bookmarkEnd w:id="75"/>
          <w:bookmarkEnd w:id="76"/>
          <w:bookmarkEnd w:id="77"/>
          <w:bookmarkEnd w:id="78"/>
          <w:bookmarkEnd w:id="90"/>
          <w:r w:rsidRPr="005D662D">
            <w:t>The success of the reforms could be measured primarily through:</w:t>
          </w:r>
        </w:p>
        <w:p w14:paraId="0A5C7364" w14:textId="7CD29E8D" w:rsidR="005D662D" w:rsidRPr="005D662D" w:rsidRDefault="005D662D" w:rsidP="002F1E57">
          <w:pPr>
            <w:numPr>
              <w:ilvl w:val="0"/>
              <w:numId w:val="1"/>
            </w:numPr>
          </w:pPr>
          <w:r w:rsidRPr="005D662D">
            <w:t xml:space="preserve">observing changes in statistics on consumer behaviour, complaints about lack of information provided, changed spending behaviours on seafood in hospitality settings </w:t>
          </w:r>
        </w:p>
        <w:p w14:paraId="17C3880A" w14:textId="3719937D" w:rsidR="005D662D" w:rsidRPr="005D662D" w:rsidRDefault="005D662D" w:rsidP="002F1E57">
          <w:pPr>
            <w:numPr>
              <w:ilvl w:val="0"/>
              <w:numId w:val="1"/>
            </w:numPr>
          </w:pPr>
          <w:r w:rsidRPr="005D662D">
            <w:t>seeking feedback from seafood industry on the impacts of consumer knowledge that they are observing</w:t>
          </w:r>
        </w:p>
        <w:p w14:paraId="4346B0C3" w14:textId="4A82220F" w:rsidR="005D662D" w:rsidRPr="005D662D" w:rsidRDefault="005D662D" w:rsidP="002F1E57">
          <w:pPr>
            <w:numPr>
              <w:ilvl w:val="0"/>
              <w:numId w:val="1"/>
            </w:numPr>
          </w:pPr>
          <w:r w:rsidRPr="005D662D">
            <w:t>analysis of complaint handling statistics (that would be gathered once reporting obligations have been established).</w:t>
          </w:r>
        </w:p>
        <w:p w14:paraId="0C298C43" w14:textId="7D888EC8" w:rsidR="005D662D" w:rsidRPr="005D662D" w:rsidRDefault="005D662D" w:rsidP="00073493">
          <w:pPr>
            <w:pStyle w:val="Heading2"/>
            <w:numPr>
              <w:ilvl w:val="1"/>
              <w:numId w:val="15"/>
            </w:numPr>
          </w:pPr>
          <w:bookmarkStart w:id="92" w:name="_Toc136425239"/>
          <w:bookmarkStart w:id="93" w:name="_Toc140662043"/>
          <w:bookmarkStart w:id="94" w:name="_Toc141272740"/>
          <w:bookmarkStart w:id="95" w:name="_Toc151719070"/>
          <w:bookmarkEnd w:id="91"/>
          <w:r w:rsidRPr="005D662D">
            <w:lastRenderedPageBreak/>
            <w:t>Alternatives to government action</w:t>
          </w:r>
          <w:bookmarkEnd w:id="92"/>
          <w:bookmarkEnd w:id="93"/>
          <w:bookmarkEnd w:id="94"/>
          <w:bookmarkEnd w:id="95"/>
        </w:p>
        <w:p w14:paraId="7E3883EB" w14:textId="3D682881" w:rsidR="000262ED" w:rsidRDefault="00904A54" w:rsidP="00B21250">
          <w:r>
            <w:t xml:space="preserve">Potential alternatives to government action have been set out below. These alternatives </w:t>
          </w:r>
          <w:r w:rsidR="004C581F">
            <w:t xml:space="preserve">may </w:t>
          </w:r>
          <w:r>
            <w:t xml:space="preserve">help improve consumer access to </w:t>
          </w:r>
          <w:r w:rsidR="0039667A">
            <w:t>s</w:t>
          </w:r>
          <w:r w:rsidR="0048438C">
            <w:t>eafood CoOL</w:t>
          </w:r>
          <w:r w:rsidR="00D906D1">
            <w:t>.</w:t>
          </w:r>
          <w:r w:rsidR="004C581F">
            <w:t xml:space="preserve"> </w:t>
          </w:r>
          <w:r w:rsidR="00D906D1">
            <w:t>H</w:t>
          </w:r>
          <w:r w:rsidR="004C581F">
            <w:t>owever</w:t>
          </w:r>
          <w:r w:rsidR="00D906D1">
            <w:t>,</w:t>
          </w:r>
          <w:r w:rsidR="004C581F">
            <w:t xml:space="preserve"> </w:t>
          </w:r>
          <w:r w:rsidR="000262ED">
            <w:t xml:space="preserve">without a mandatory and standardised approach, information would not be consistent </w:t>
          </w:r>
          <w:r w:rsidR="00D906D1">
            <w:t>or</w:t>
          </w:r>
          <w:r w:rsidR="000262ED">
            <w:t xml:space="preserve"> may not be readily available. </w:t>
          </w:r>
          <w:r w:rsidR="00A331D4">
            <w:t>As a result,</w:t>
          </w:r>
          <w:r w:rsidR="000262ED">
            <w:t xml:space="preserve"> the benefits of these alternatives may be limited</w:t>
          </w:r>
          <w:r w:rsidR="00A331D4">
            <w:t xml:space="preserve"> and not proportionate to the costs involved.</w:t>
          </w:r>
          <w:r w:rsidR="000262ED">
            <w:t xml:space="preserve"> </w:t>
          </w:r>
        </w:p>
        <w:p w14:paraId="693E90BA" w14:textId="30BCABE9" w:rsidR="00B21250" w:rsidRDefault="000262ED" w:rsidP="00B21250">
          <w:r>
            <w:t>T</w:t>
          </w:r>
          <w:r w:rsidR="004C581F">
            <w:t>he</w:t>
          </w:r>
          <w:r>
            <w:t xml:space="preserve"> alternatives</w:t>
          </w:r>
          <w:r w:rsidR="004C581F">
            <w:t xml:space="preserve"> </w:t>
          </w:r>
          <w:r w:rsidR="00D906D1">
            <w:t>c</w:t>
          </w:r>
          <w:r w:rsidR="004C581F">
            <w:t>ould</w:t>
          </w:r>
          <w:r>
            <w:t xml:space="preserve"> also</w:t>
          </w:r>
          <w:r w:rsidR="004C581F">
            <w:t xml:space="preserve"> require significant effort and some level of cost from industry. </w:t>
          </w:r>
          <w:r w:rsidR="0048438C">
            <w:t>Industry’s capacity to lead action on this issue may be limited given the current economic climate. Many businesses across Australia are still recovering from COVID-19 and other disruptions such as natural disasters and global crises. Therefore, the market is unlikely to resolve the issue on its own.</w:t>
          </w:r>
          <w:r>
            <w:t xml:space="preserve"> </w:t>
          </w:r>
        </w:p>
        <w:p w14:paraId="486A953D" w14:textId="712894ED" w:rsidR="00AD2E47" w:rsidRDefault="00CC0314" w:rsidP="00AD2E47">
          <w:pPr>
            <w:pStyle w:val="Heading3"/>
          </w:pPr>
          <w:r>
            <w:t>Voluntary or industry-led standard</w:t>
          </w:r>
        </w:p>
        <w:p w14:paraId="02EB3C34" w14:textId="511BCA9B" w:rsidR="00F7167A" w:rsidRDefault="00F7167A" w:rsidP="00F7167A">
          <w:pPr>
            <w:rPr>
              <w:rFonts w:ascii="Calibri" w:hAnsi="Calibri" w:cs="Calibri"/>
            </w:rPr>
          </w:pPr>
          <w:r>
            <w:t xml:space="preserve">A </w:t>
          </w:r>
          <w:r w:rsidRPr="00F4414F">
            <w:t xml:space="preserve">voluntary </w:t>
          </w:r>
          <w:r>
            <w:t>standard could be developed to</w:t>
          </w:r>
          <w:r w:rsidRPr="00F4414F">
            <w:t xml:space="preserve"> set out </w:t>
          </w:r>
          <w:r>
            <w:t>how</w:t>
          </w:r>
          <w:r w:rsidRPr="00F4414F">
            <w:t xml:space="preserve"> </w:t>
          </w:r>
          <w:r>
            <w:t>hospitality businesses would provide seafood origin information to</w:t>
          </w:r>
          <w:r w:rsidRPr="00F4414F">
            <w:t xml:space="preserve"> customers</w:t>
          </w:r>
          <w:r>
            <w:t>.</w:t>
          </w:r>
          <w:r w:rsidRPr="00F4414F">
            <w:t xml:space="preserve"> The standard</w:t>
          </w:r>
          <w:r>
            <w:t xml:space="preserve"> would be </w:t>
          </w:r>
          <w:r w:rsidRPr="00F4414F">
            <w:t>voluntarily agreed to</w:t>
          </w:r>
          <w:r>
            <w:t>, and adopted</w:t>
          </w:r>
          <w:r w:rsidRPr="00F4414F">
            <w:t xml:space="preserve"> by</w:t>
          </w:r>
          <w:r>
            <w:t>,</w:t>
          </w:r>
          <w:r w:rsidRPr="00F4414F">
            <w:t xml:space="preserve"> </w:t>
          </w:r>
          <w:r>
            <w:t xml:space="preserve">businesses across the hospitality sector to </w:t>
          </w:r>
          <w:r w:rsidR="00391DEB">
            <w:t>provide</w:t>
          </w:r>
          <w:r>
            <w:t xml:space="preserve"> seafood origin information</w:t>
          </w:r>
          <w:r w:rsidR="00391DEB">
            <w:t xml:space="preserve"> to consumers</w:t>
          </w:r>
          <w:r>
            <w:t>.</w:t>
          </w:r>
        </w:p>
        <w:p w14:paraId="319E2346" w14:textId="4641271B" w:rsidR="00F7167A" w:rsidRDefault="00F7167A" w:rsidP="00F7167A">
          <w:pPr>
            <w:pStyle w:val="Heading4"/>
          </w:pPr>
          <w:r>
            <w:t>Expected impacts</w:t>
          </w:r>
        </w:p>
        <w:p w14:paraId="679AD456" w14:textId="2099A218" w:rsidR="00F7167A" w:rsidRDefault="00F7167A" w:rsidP="00F7167A">
          <w:r>
            <w:t xml:space="preserve">A voluntary industry standard would improve the consistency and availability of origin information for consumers, improving their ability to make purchasing decisions in line with personal preferences. </w:t>
          </w:r>
        </w:p>
        <w:p w14:paraId="39D0D730" w14:textId="7F34A274" w:rsidR="00F7167A" w:rsidRDefault="00F7167A" w:rsidP="00F7167A">
          <w:r w:rsidRPr="00B6256D">
            <w:t xml:space="preserve">Allowing businesses flexibility in how they provide </w:t>
          </w:r>
          <w:r>
            <w:t>s</w:t>
          </w:r>
          <w:r w:rsidRPr="00B6256D">
            <w:t xml:space="preserve">eafood </w:t>
          </w:r>
          <w:r>
            <w:t>origin information</w:t>
          </w:r>
          <w:r w:rsidRPr="00B6256D">
            <w:t xml:space="preserve"> </w:t>
          </w:r>
          <w:r>
            <w:t xml:space="preserve">should limit </w:t>
          </w:r>
          <w:r w:rsidRPr="00B6256D">
            <w:t xml:space="preserve">costs and administrative burden. However, too much flexibility may result in inconsistent information, uncertainty for complying businesses, and make it more difficult or time consuming for consumers to find and understand </w:t>
          </w:r>
          <w:r>
            <w:t xml:space="preserve">the </w:t>
          </w:r>
          <w:r w:rsidRPr="00B6256D">
            <w:t xml:space="preserve">information. </w:t>
          </w:r>
          <w:r w:rsidR="009F62E9">
            <w:t>Consumers may also find it hard to tell whether business</w:t>
          </w:r>
          <w:r w:rsidR="00836145">
            <w:t>es</w:t>
          </w:r>
          <w:r w:rsidR="009F62E9">
            <w:t xml:space="preserve"> ha</w:t>
          </w:r>
          <w:r w:rsidR="00836145">
            <w:t>ve</w:t>
          </w:r>
          <w:r w:rsidR="009F62E9">
            <w:t xml:space="preserve"> adopted the voluntary standard or </w:t>
          </w:r>
          <w:r w:rsidR="00DC35EF">
            <w:t xml:space="preserve">are </w:t>
          </w:r>
          <w:r w:rsidR="009F62E9">
            <w:t>providing origin information according to their own inte</w:t>
          </w:r>
          <w:r w:rsidR="00836145">
            <w:t>r</w:t>
          </w:r>
          <w:r w:rsidR="009F62E9">
            <w:t xml:space="preserve">pretations. </w:t>
          </w:r>
        </w:p>
        <w:p w14:paraId="2611EA1F" w14:textId="772FFE78" w:rsidR="00CC0314" w:rsidRDefault="00F7167A" w:rsidP="00F7167A">
          <w:r>
            <w:t xml:space="preserve">There is a risk that businesses that do voluntarily adopt an industry standard would be disadvantaged if other businesses </w:t>
          </w:r>
          <w:r w:rsidR="00D60415">
            <w:t>do not</w:t>
          </w:r>
          <w:r>
            <w:t>. Other business</w:t>
          </w:r>
          <w:r w:rsidR="00D906D1">
            <w:t>es</w:t>
          </w:r>
          <w:r>
            <w:t xml:space="preserve"> could benefit from consumer expectations that the information on seafood origin was disclosed when it has not been. </w:t>
          </w:r>
        </w:p>
        <w:p w14:paraId="0B80FE8E" w14:textId="302D6845" w:rsidR="00B76398" w:rsidRDefault="00B76398" w:rsidP="00B76398">
          <w:pPr>
            <w:pStyle w:val="IntenseQuote"/>
          </w:pPr>
          <w:r>
            <w:t xml:space="preserve">‘[Seafood Industry Australia (SIA)] is aware of two recent examples where SIA members have attempted a voluntary seafood labelling system in their food service establishments in Hobart, Tasmania and Western Sydney, New South Wales. In both instances the businesses suffered a loss of sales and </w:t>
          </w:r>
          <w:proofErr w:type="gramStart"/>
          <w:r>
            <w:t>reputation, and</w:t>
          </w:r>
          <w:proofErr w:type="gramEnd"/>
          <w:r>
            <w:t xml:space="preserve"> were forced to revert back to non-labelling as they were discriminated against by consumers who believed their competitors used all Australian seafood due to their lack of CoOL.’ – Seafood Industry Australia</w:t>
          </w:r>
        </w:p>
        <w:p w14:paraId="56E7756D" w14:textId="5970601D" w:rsidR="008B4DC6" w:rsidRDefault="008B4DC6" w:rsidP="00F7167A">
          <w:r>
            <w:t>Developing a standard would require time and resources from industry</w:t>
          </w:r>
          <w:r w:rsidR="00B21250">
            <w:t>. These co</w:t>
          </w:r>
          <w:r>
            <w:t>sts may be passed onto consumers</w:t>
          </w:r>
          <w:r w:rsidR="00B21250">
            <w:t xml:space="preserve"> and government support may also be needed.</w:t>
          </w:r>
          <w:r>
            <w:t xml:space="preserve"> One or more industry bodies or government would also need to be responsible for governance and compliance monitoring for the standard. </w:t>
          </w:r>
        </w:p>
        <w:p w14:paraId="4724264E" w14:textId="214AFF21" w:rsidR="004C581F" w:rsidRPr="00CC0314" w:rsidRDefault="004C581F" w:rsidP="00F7167A">
          <w:r>
            <w:t>Hospitality businesses would be responsible for implementation costs and other business impacts</w:t>
          </w:r>
          <w:r w:rsidR="00B76398">
            <w:t xml:space="preserve"> of a voluntary standard, yet</w:t>
          </w:r>
          <w:r>
            <w:t xml:space="preserve"> most of the benefits would be gained by consumers and seafood producers. </w:t>
          </w:r>
          <w:r w:rsidR="00B76398">
            <w:t xml:space="preserve">The seafood and hospitality sectors </w:t>
          </w:r>
          <w:r>
            <w:t xml:space="preserve">have historically had conflicting views on origin labelling and have </w:t>
          </w:r>
          <w:r>
            <w:lastRenderedPageBreak/>
            <w:t>different interests and priorities. It is unlikely that they would reach a consensus on an approach without intervention.</w:t>
          </w:r>
        </w:p>
        <w:p w14:paraId="7C0D4FB2" w14:textId="2DF59D6C" w:rsidR="00AD2E47" w:rsidRDefault="008A2EED" w:rsidP="00244260">
          <w:pPr>
            <w:pStyle w:val="Heading3"/>
          </w:pPr>
          <w:r>
            <w:t xml:space="preserve">Education and awareness </w:t>
          </w:r>
        </w:p>
        <w:p w14:paraId="5AEF0EA4" w14:textId="4E12BE59" w:rsidR="009F62E9" w:rsidRDefault="009F62E9" w:rsidP="009F62E9">
          <w:r>
            <w:t xml:space="preserve">The problem could be addressed through </w:t>
          </w:r>
          <w:r w:rsidR="00A331D4">
            <w:t xml:space="preserve">providing </w:t>
          </w:r>
          <w:r w:rsidRPr="000A0118">
            <w:t>education and awareness to</w:t>
          </w:r>
          <w:r>
            <w:t>:</w:t>
          </w:r>
          <w:r w:rsidRPr="000A0118">
            <w:t xml:space="preserve"> </w:t>
          </w:r>
        </w:p>
        <w:p w14:paraId="20118F1C" w14:textId="418C5CA1" w:rsidR="009F62E9" w:rsidRPr="006D7794" w:rsidRDefault="009F62E9" w:rsidP="00A9695B">
          <w:pPr>
            <w:numPr>
              <w:ilvl w:val="0"/>
              <w:numId w:val="1"/>
            </w:numPr>
          </w:pPr>
          <w:r w:rsidRPr="006D7794">
            <w:t xml:space="preserve">teach consumers about seafood origin and to encourage them to ask about seafood origin information in hospitality settings </w:t>
          </w:r>
        </w:p>
        <w:p w14:paraId="5CABDD5E" w14:textId="4F551BD2" w:rsidR="009F62E9" w:rsidRDefault="009F62E9" w:rsidP="00A9695B">
          <w:pPr>
            <w:numPr>
              <w:ilvl w:val="0"/>
              <w:numId w:val="1"/>
            </w:numPr>
          </w:pPr>
          <w:r w:rsidRPr="006D7794">
            <w:t>encourage hospitality businesses to voluntarily label seafood on menus and other advertising</w:t>
          </w:r>
          <w:r>
            <w:t xml:space="preserve"> and to teach them about the benefits and importance of labelling</w:t>
          </w:r>
          <w:r w:rsidRPr="006D7794">
            <w:t>.</w:t>
          </w:r>
        </w:p>
        <w:p w14:paraId="4BB5985C" w14:textId="77777777" w:rsidR="0011794E" w:rsidRDefault="0011794E" w:rsidP="00C921B2">
          <w:pPr>
            <w:pStyle w:val="Quote"/>
          </w:pPr>
          <w:r>
            <w:t>‘I try to only buy Australian seafood and it’s very annoying when you ask at a restaurant where the seafood is from and they have no idea.’</w:t>
          </w:r>
        </w:p>
        <w:p w14:paraId="28035C68" w14:textId="631D936E" w:rsidR="009F62E9" w:rsidRDefault="009F62E9" w:rsidP="009F62E9">
          <w:pPr>
            <w:pStyle w:val="Heading4"/>
          </w:pPr>
          <w:r>
            <w:t>Expected impacts</w:t>
          </w:r>
        </w:p>
        <w:p w14:paraId="577D366A" w14:textId="0D317266" w:rsidR="00836145" w:rsidRDefault="009F62E9" w:rsidP="009F62E9">
          <w:r>
            <w:t xml:space="preserve">Education and awareness could help address some of the common assumptions consumers make about seafood origin. It could also encourage more businesses to provide origin information to consumers by highlighting the benefits to them. </w:t>
          </w:r>
        </w:p>
        <w:p w14:paraId="5D56A68A" w14:textId="3DAD89B4" w:rsidR="008420C4" w:rsidRDefault="00836145" w:rsidP="00244260">
          <w:r>
            <w:t xml:space="preserve">Any education and awareness strategy would involve some cost for industry or government. </w:t>
          </w:r>
          <w:r w:rsidR="009F62E9">
            <w:t xml:space="preserve">Depending on how the education and awareness </w:t>
          </w:r>
          <w:r w:rsidR="00D906D1">
            <w:t>would be</w:t>
          </w:r>
          <w:r w:rsidR="009F62E9">
            <w:t xml:space="preserve"> provided and funded, the costs would be variable. </w:t>
          </w:r>
          <w:r>
            <w:t xml:space="preserve">For example, </w:t>
          </w:r>
          <w:r w:rsidR="009F62E9">
            <w:t>social media may be more cost effective, but mass media would be required to capture all consumers from all sections of society. These costs may be prohibitive for industry bodies and for hospitality businesses without government support.</w:t>
          </w:r>
        </w:p>
        <w:p w14:paraId="540E6350" w14:textId="439E134A" w:rsidR="0056697C" w:rsidRDefault="0056697C" w:rsidP="0056697C">
          <w:pPr>
            <w:pStyle w:val="IntenseQuote"/>
            <w:ind w:left="862" w:right="862"/>
            <w:contextualSpacing/>
          </w:pPr>
          <w:r>
            <w:t>‘Sydney Fish Market does not believe that there is a market-based solution with the capacity to solve this issue without government intervention</w:t>
          </w:r>
          <w:r w:rsidR="00D906D1">
            <w:t>.</w:t>
          </w:r>
          <w:r>
            <w:t>’</w:t>
          </w:r>
        </w:p>
        <w:p w14:paraId="4704D2FF" w14:textId="77777777" w:rsidR="0056697C" w:rsidRDefault="0056697C" w:rsidP="0056697C">
          <w:pPr>
            <w:pStyle w:val="IntenseQuote"/>
            <w:ind w:left="862" w:right="862"/>
            <w:contextualSpacing/>
          </w:pPr>
          <w:r w:rsidRPr="00244260">
            <w:rPr>
              <w:i w:val="0"/>
              <w:iCs w:val="0"/>
            </w:rPr>
            <w:t>—</w:t>
          </w:r>
          <w:r>
            <w:t xml:space="preserve"> Sydney Fish Market</w:t>
          </w:r>
        </w:p>
        <w:p w14:paraId="44B64828" w14:textId="256B5590" w:rsidR="008420C4" w:rsidRDefault="008420C4" w:rsidP="008420C4">
          <w:r w:rsidRPr="005D662D" w:rsidDel="00AB4099">
            <w:rPr>
              <w:rFonts w:ascii="Calibri" w:eastAsia="Calibri" w:hAnsi="Calibri" w:cs="Calibri"/>
            </w:rPr>
            <w:t xml:space="preserve">There have </w:t>
          </w:r>
          <w:r>
            <w:rPr>
              <w:rFonts w:ascii="Calibri" w:eastAsia="Calibri" w:hAnsi="Calibri" w:cs="Calibri"/>
            </w:rPr>
            <w:t xml:space="preserve">previously </w:t>
          </w:r>
          <w:r w:rsidRPr="005D662D" w:rsidDel="00AB4099">
            <w:rPr>
              <w:rFonts w:ascii="Calibri" w:eastAsia="Calibri" w:hAnsi="Calibri" w:cs="Calibri"/>
            </w:rPr>
            <w:t xml:space="preserve">been various industry and government initiatives on seafood origin, including </w:t>
          </w:r>
          <w:r w:rsidR="00350076">
            <w:rPr>
              <w:rFonts w:ascii="Calibri" w:eastAsia="Calibri" w:hAnsi="Calibri" w:cs="Calibri"/>
            </w:rPr>
            <w:t xml:space="preserve">to </w:t>
          </w:r>
          <w:r w:rsidRPr="005D662D" w:rsidDel="00AB4099">
            <w:rPr>
              <w:rFonts w:ascii="Calibri" w:eastAsia="Calibri" w:hAnsi="Calibri" w:cs="Calibri"/>
            </w:rPr>
            <w:t>encourag</w:t>
          </w:r>
          <w:r w:rsidR="00350076">
            <w:rPr>
              <w:rFonts w:ascii="Calibri" w:eastAsia="Calibri" w:hAnsi="Calibri" w:cs="Calibri"/>
            </w:rPr>
            <w:t>e</w:t>
          </w:r>
          <w:r w:rsidRPr="005D662D" w:rsidDel="00AB4099">
            <w:rPr>
              <w:rFonts w:ascii="Calibri" w:eastAsia="Calibri" w:hAnsi="Calibri" w:cs="Calibri"/>
            </w:rPr>
            <w:t xml:space="preserve"> </w:t>
          </w:r>
          <w:r>
            <w:rPr>
              <w:rFonts w:ascii="Calibri" w:eastAsia="Calibri" w:hAnsi="Calibri" w:cs="Calibri"/>
            </w:rPr>
            <w:t>consumers</w:t>
          </w:r>
          <w:r w:rsidRPr="005D662D" w:rsidDel="00AB4099">
            <w:rPr>
              <w:rFonts w:ascii="Calibri" w:eastAsia="Calibri" w:hAnsi="Calibri" w:cs="Calibri"/>
            </w:rPr>
            <w:t xml:space="preserve"> to ask </w:t>
          </w:r>
          <w:r>
            <w:rPr>
              <w:rFonts w:ascii="Calibri" w:eastAsia="Calibri" w:hAnsi="Calibri" w:cs="Calibri"/>
            </w:rPr>
            <w:t>for seafood origin</w:t>
          </w:r>
          <w:r w:rsidRPr="005D662D" w:rsidDel="00AB4099">
            <w:rPr>
              <w:rFonts w:ascii="Calibri" w:eastAsia="Calibri" w:hAnsi="Calibri" w:cs="Calibri"/>
            </w:rPr>
            <w:t xml:space="preserve"> when dining out</w:t>
          </w:r>
          <w:r w:rsidR="00350076">
            <w:rPr>
              <w:rFonts w:ascii="Calibri" w:eastAsia="Calibri" w:hAnsi="Calibri" w:cs="Calibri"/>
            </w:rPr>
            <w:t xml:space="preserve"> or</w:t>
          </w:r>
          <w:r w:rsidRPr="005D662D" w:rsidDel="00AB4099">
            <w:rPr>
              <w:rFonts w:ascii="Calibri" w:eastAsia="Calibri" w:hAnsi="Calibri" w:cs="Calibri"/>
            </w:rPr>
            <w:t xml:space="preserve"> helping them find Australian seafood if it aligns with their preferences</w:t>
          </w:r>
          <w:r w:rsidR="00350076">
            <w:rPr>
              <w:rFonts w:ascii="Calibri" w:eastAsia="Calibri" w:hAnsi="Calibri" w:cs="Calibri"/>
            </w:rPr>
            <w:t xml:space="preserve"> (see </w:t>
          </w:r>
          <w:r w:rsidR="00350076" w:rsidRPr="001624DD">
            <w:rPr>
              <w:rFonts w:ascii="Calibri" w:eastAsia="Calibri" w:hAnsi="Calibri" w:cs="Calibri"/>
              <w:b/>
              <w:bCs/>
            </w:rPr>
            <w:t>Appendix A</w:t>
          </w:r>
          <w:r w:rsidR="00350076">
            <w:rPr>
              <w:rFonts w:ascii="Calibri" w:eastAsia="Calibri" w:hAnsi="Calibri" w:cs="Calibri"/>
            </w:rPr>
            <w:t>)</w:t>
          </w:r>
          <w:r w:rsidRPr="005D662D" w:rsidDel="00AB4099">
            <w:rPr>
              <w:rFonts w:ascii="Calibri" w:eastAsia="Calibri" w:hAnsi="Calibri" w:cs="Calibri"/>
            </w:rPr>
            <w:t>.</w:t>
          </w:r>
          <w:r w:rsidR="00350076">
            <w:rPr>
              <w:rFonts w:ascii="Calibri" w:eastAsia="Calibri" w:hAnsi="Calibri" w:cs="Calibri"/>
            </w:rPr>
            <w:t xml:space="preserve"> Despite these efforts, the information asymmetry challenge remains. </w:t>
          </w:r>
        </w:p>
        <w:p w14:paraId="40C2C33F" w14:textId="243D943C" w:rsidR="00E95361" w:rsidRDefault="00E95361" w:rsidP="00073493">
          <w:pPr>
            <w:pStyle w:val="Heading2"/>
            <w:numPr>
              <w:ilvl w:val="1"/>
              <w:numId w:val="15"/>
            </w:numPr>
          </w:pPr>
          <w:bookmarkStart w:id="96" w:name="_Toc151719071"/>
          <w:r>
            <w:t>Case study – Northern Territory</w:t>
          </w:r>
          <w:bookmarkEnd w:id="96"/>
        </w:p>
        <w:p w14:paraId="0AC91C56" w14:textId="24E5D9DD" w:rsidR="00E95361" w:rsidRDefault="00E95361" w:rsidP="00E95361">
          <w:r>
            <w:t xml:space="preserve">The Northern Territory (NT) is currently the only Australian jurisdiction with seafood labelling laws in hospitality settings. The NT introduced laws November 2008 under the </w:t>
          </w:r>
          <w:r>
            <w:rPr>
              <w:i/>
              <w:iCs/>
            </w:rPr>
            <w:t>Fisheries Act 1988</w:t>
          </w:r>
          <w:r w:rsidR="00D906D1">
            <w:rPr>
              <w:i/>
              <w:iCs/>
            </w:rPr>
            <w:t xml:space="preserve">. </w:t>
          </w:r>
          <w:r w:rsidR="00D906D1">
            <w:t>The law requires</w:t>
          </w:r>
          <w:r>
            <w:t xml:space="preserve"> all fish retailers selling seafood for public consumption (including in hospitality settings) to label any seafood not caught in Australia as ‘imported.’ Products or dishes containing seafood of mixed origin are required to be labelled ‘contains imported seafood products.’ </w:t>
          </w:r>
        </w:p>
        <w:p w14:paraId="6050B78D" w14:textId="77777777" w:rsidR="00E95361" w:rsidRDefault="00E95361" w:rsidP="00E95361">
          <w:r>
            <w:t xml:space="preserve">These laws were introduced in response to growing consumer demand and calls from the NT seafood industry to provide seafood origin information all the way down the supply chain to assist consumers in making informed seafood choices. </w:t>
          </w:r>
        </w:p>
        <w:p w14:paraId="139E91CA" w14:textId="77777777" w:rsidR="00E95361" w:rsidRDefault="00E95361" w:rsidP="00A9695B">
          <w:pPr>
            <w:pStyle w:val="IntenseQuote"/>
            <w:ind w:left="862" w:right="862"/>
          </w:pPr>
          <w:r>
            <w:lastRenderedPageBreak/>
            <w:t xml:space="preserve">‘Seafood is a much loved product in Australia and part of the Northern Territory seafood experience is undoubtedly our iconic seafood species such as Barramundi and Mud Crab. Popular tourist destinations such as Darwin and Cairns have restaurants relying heavily on the lure of seafood. In our major cities seafood restaurants are still coveted by those seeking a fine dining experience. </w:t>
          </w:r>
        </w:p>
        <w:p w14:paraId="454BA5A2" w14:textId="77777777" w:rsidR="00E95361" w:rsidRDefault="00E95361" w:rsidP="00A9695B">
          <w:pPr>
            <w:pStyle w:val="IntenseQuote"/>
            <w:ind w:left="862" w:right="862"/>
            <w:contextualSpacing/>
          </w:pPr>
          <w:r>
            <w:t>What is common amongst all the consumers at these venues is that they perceive their seafood to be local or at least produced in Australia. The omission of Country of Origin Labelling (CoOL) on menus has led to consumers being misled believing the seafood they purchase to be locally produced. Eating local product is a key aspect of the whole seafood experience and tourism industry.’</w:t>
          </w:r>
        </w:p>
        <w:p w14:paraId="021E1AFC" w14:textId="621D1AA1" w:rsidR="00E95361" w:rsidRDefault="00E95361" w:rsidP="00A9695B">
          <w:pPr>
            <w:pStyle w:val="IntenseQuote"/>
            <w:ind w:left="862" w:right="862"/>
            <w:contextualSpacing/>
          </w:pPr>
          <w:r w:rsidRPr="00244260">
            <w:rPr>
              <w:i w:val="0"/>
              <w:iCs w:val="0"/>
            </w:rPr>
            <w:t>—</w:t>
          </w:r>
          <w:r>
            <w:t xml:space="preserve"> Northern Territory Seafood Council</w:t>
          </w:r>
        </w:p>
        <w:p w14:paraId="57FDF4EF" w14:textId="77777777" w:rsidR="00E95361" w:rsidRDefault="00E95361" w:rsidP="00E95361">
          <w:pPr>
            <w:pStyle w:val="Heading3"/>
          </w:pPr>
          <w:r>
            <w:t>Outcomes</w:t>
          </w:r>
        </w:p>
        <w:p w14:paraId="44AA684B" w14:textId="117A43B7" w:rsidR="00E95361" w:rsidRDefault="00E95361" w:rsidP="00E95361">
          <w:r>
            <w:t>A 2011 report for the Fisheries Research and Development Corporation (FRDC) ‘Tracking the impacts on seafood at dining venues arising from the Northern Territory's seafood labelling laws’ (</w:t>
          </w:r>
          <w:proofErr w:type="spellStart"/>
          <w:r>
            <w:rPr>
              <w:rFonts w:ascii="Calibri" w:eastAsia="Calibri" w:hAnsi="Calibri" w:cs="Times New Roman"/>
              <w:color w:val="262626"/>
            </w:rPr>
            <w:t>Calogeras</w:t>
          </w:r>
          <w:proofErr w:type="spellEnd"/>
          <w:r>
            <w:rPr>
              <w:rFonts w:ascii="Calibri" w:eastAsia="Calibri" w:hAnsi="Calibri" w:cs="Times New Roman"/>
              <w:color w:val="262626"/>
            </w:rPr>
            <w:t xml:space="preserve"> et al. 2011)</w:t>
          </w:r>
          <w:r>
            <w:t xml:space="preserve"> found that the consumers surveyed:</w:t>
          </w:r>
        </w:p>
        <w:p w14:paraId="586FCC34" w14:textId="4F72AA4B" w:rsidR="00E95361" w:rsidRDefault="00E95361" w:rsidP="00A9695B">
          <w:pPr>
            <w:numPr>
              <w:ilvl w:val="0"/>
              <w:numId w:val="1"/>
            </w:numPr>
          </w:pPr>
          <w:r>
            <w:t>strongly supported the seafood labelling laws</w:t>
          </w:r>
        </w:p>
        <w:p w14:paraId="53F9C141" w14:textId="7CFBE8E4" w:rsidR="00E95361" w:rsidRDefault="00E95361" w:rsidP="00A9695B">
          <w:pPr>
            <w:numPr>
              <w:ilvl w:val="0"/>
              <w:numId w:val="1"/>
            </w:numPr>
          </w:pPr>
          <w:r>
            <w:t xml:space="preserve">indicated they would be willing to pay 25% more for a ‘local wild-caught’ seafood product than a similar option sourced from overseas  </w:t>
          </w:r>
        </w:p>
        <w:p w14:paraId="2F77B6B4" w14:textId="77777777" w:rsidR="00E95361" w:rsidRDefault="00E95361" w:rsidP="00A9695B">
          <w:pPr>
            <w:numPr>
              <w:ilvl w:val="0"/>
              <w:numId w:val="1"/>
            </w:numPr>
          </w:pPr>
          <w:r>
            <w:t xml:space="preserve">ranked country of origin as the second most important factor, behind freshness, when choosing seafood for a meal. </w:t>
          </w:r>
        </w:p>
        <w:p w14:paraId="1EA8D3EF" w14:textId="77777777" w:rsidR="00E95361" w:rsidRDefault="00E95361" w:rsidP="00E95361">
          <w:r>
            <w:t>The report also found that hospitality businesses surveyed:</w:t>
          </w:r>
        </w:p>
        <w:p w14:paraId="4DD748AC" w14:textId="18A40189" w:rsidR="00E95361" w:rsidRDefault="00E95361" w:rsidP="00A9695B">
          <w:pPr>
            <w:numPr>
              <w:ilvl w:val="0"/>
              <w:numId w:val="1"/>
            </w:numPr>
          </w:pPr>
          <w:r>
            <w:t>generally supported the labelling laws and recognised the importance of them</w:t>
          </w:r>
        </w:p>
        <w:p w14:paraId="570BC7F3" w14:textId="77777777" w:rsidR="00E95361" w:rsidRDefault="00E95361" w:rsidP="00A9695B">
          <w:pPr>
            <w:numPr>
              <w:ilvl w:val="0"/>
              <w:numId w:val="1"/>
            </w:numPr>
          </w:pPr>
          <w:r>
            <w:t xml:space="preserve">advised that they spent $630 on average (per business) to implement the labelling requirements. Several businesses spent less than $100 in total. Over 70% of businesses reported that they were no longer incurring costs approximately 2.5 years after the laws were introduced. </w:t>
          </w:r>
        </w:p>
        <w:p w14:paraId="42A82912" w14:textId="3704E93C" w:rsidR="0026709A" w:rsidRDefault="00E95361">
          <w:pPr>
            <w:rPr>
              <w:rFonts w:asciiTheme="majorHAnsi" w:eastAsiaTheme="majorEastAsia" w:hAnsiTheme="majorHAnsi" w:cstheme="majorBidi"/>
              <w:color w:val="005677" w:themeColor="text2"/>
              <w:sz w:val="48"/>
              <w:szCs w:val="32"/>
            </w:rPr>
          </w:pPr>
          <w:r>
            <w:t xml:space="preserve">The report noted some confusion around unlabelled seafood. Over 40% of consumers that were surveyed for the report mistakenly assumed seafood without any labelling meant it was imported, instead of Australian. Possible solutions would be ongoing education to explain the laws or to label all seafood as Australian or imported. Some of the hospitality businesses that participated in research for the report considered labelling Australian seafood as a marketing opportunity. </w:t>
          </w:r>
          <w:bookmarkStart w:id="97" w:name="_Toc141272741"/>
          <w:r w:rsidR="0026709A">
            <w:br w:type="page"/>
          </w:r>
        </w:p>
        <w:p w14:paraId="5A6A4ED5" w14:textId="28619544" w:rsidR="005D662D" w:rsidRPr="00545B4C" w:rsidRDefault="00751053" w:rsidP="00073493">
          <w:pPr>
            <w:pStyle w:val="Heading1"/>
            <w:numPr>
              <w:ilvl w:val="0"/>
              <w:numId w:val="15"/>
            </w:numPr>
          </w:pPr>
          <w:bookmarkStart w:id="98" w:name="_Toc151719072"/>
          <w:r w:rsidRPr="00545B4C">
            <w:lastRenderedPageBreak/>
            <w:t>What are the p</w:t>
          </w:r>
          <w:r w:rsidR="005D662D" w:rsidRPr="00545B4C">
            <w:t>olicy options</w:t>
          </w:r>
          <w:r w:rsidRPr="00545B4C">
            <w:t>?</w:t>
          </w:r>
          <w:bookmarkEnd w:id="97"/>
          <w:bookmarkEnd w:id="98"/>
        </w:p>
        <w:p w14:paraId="4DE2BFA4" w14:textId="3BA5D8BF" w:rsidR="005D662D" w:rsidRPr="005D662D" w:rsidRDefault="005D662D" w:rsidP="005D662D">
          <w:pPr>
            <w:rPr>
              <w:rFonts w:ascii="Calibri" w:eastAsia="Calibri" w:hAnsi="Calibri" w:cs="Times New Roman"/>
              <w:lang w:val="en-US"/>
            </w:rPr>
          </w:pPr>
          <w:r w:rsidRPr="005D662D">
            <w:rPr>
              <w:rFonts w:ascii="Calibri" w:eastAsia="Calibri" w:hAnsi="Calibri" w:cs="Times New Roman"/>
              <w:lang w:val="en-US"/>
            </w:rPr>
            <w:t xml:space="preserve">This </w:t>
          </w:r>
          <w:r w:rsidR="00AD65B2">
            <w:rPr>
              <w:rFonts w:ascii="Calibri" w:eastAsia="Calibri" w:hAnsi="Calibri" w:cs="Times New Roman"/>
              <w:lang w:val="en-US"/>
            </w:rPr>
            <w:t>d</w:t>
          </w:r>
          <w:r w:rsidRPr="005D662D">
            <w:rPr>
              <w:rFonts w:ascii="Calibri" w:eastAsia="Calibri" w:hAnsi="Calibri" w:cs="Times New Roman"/>
              <w:lang w:val="en-US"/>
            </w:rPr>
            <w:t xml:space="preserve">ecision RIS considers 3 </w:t>
          </w:r>
          <w:r w:rsidR="00AD65B2">
            <w:rPr>
              <w:rFonts w:ascii="Calibri" w:eastAsia="Calibri" w:hAnsi="Calibri" w:cs="Times New Roman"/>
              <w:lang w:val="en-US"/>
            </w:rPr>
            <w:t>policy</w:t>
          </w:r>
          <w:r w:rsidR="00AD65B2" w:rsidRPr="005D662D">
            <w:rPr>
              <w:rFonts w:ascii="Calibri" w:eastAsia="Calibri" w:hAnsi="Calibri" w:cs="Times New Roman"/>
              <w:lang w:val="en-US"/>
            </w:rPr>
            <w:t xml:space="preserve"> </w:t>
          </w:r>
          <w:r w:rsidRPr="005D662D">
            <w:rPr>
              <w:rFonts w:ascii="Calibri" w:eastAsia="Calibri" w:hAnsi="Calibri" w:cs="Times New Roman"/>
              <w:lang w:val="en-US"/>
            </w:rPr>
            <w:t xml:space="preserve">options for </w:t>
          </w:r>
          <w:r w:rsidR="0039667A">
            <w:rPr>
              <w:rFonts w:ascii="Calibri" w:eastAsia="Calibri" w:hAnsi="Calibri" w:cs="Times New Roman"/>
              <w:lang w:val="en-US"/>
            </w:rPr>
            <w:t>s</w:t>
          </w:r>
          <w:r w:rsidRPr="005D662D">
            <w:rPr>
              <w:rFonts w:ascii="Calibri" w:eastAsia="Calibri" w:hAnsi="Calibri" w:cs="Times New Roman"/>
              <w:lang w:val="en-US"/>
            </w:rPr>
            <w:t>eafood CoOL</w:t>
          </w:r>
          <w:r w:rsidR="00AD65B2">
            <w:rPr>
              <w:rFonts w:ascii="Calibri" w:eastAsia="Calibri" w:hAnsi="Calibri" w:cs="Times New Roman"/>
              <w:lang w:val="en-US"/>
            </w:rPr>
            <w:t>:</w:t>
          </w:r>
        </w:p>
        <w:p w14:paraId="149B0E4C" w14:textId="5614DA63" w:rsidR="005D662D" w:rsidRPr="005D662D" w:rsidRDefault="005D662D" w:rsidP="00073493">
          <w:pPr>
            <w:numPr>
              <w:ilvl w:val="0"/>
              <w:numId w:val="4"/>
            </w:numPr>
            <w:contextualSpacing/>
            <w:rPr>
              <w:rFonts w:ascii="Calibri" w:eastAsia="Calibri" w:hAnsi="Calibri" w:cs="Times New Roman"/>
              <w:b/>
              <w:lang w:val="en-US"/>
            </w:rPr>
          </w:pPr>
          <w:r w:rsidRPr="005D662D">
            <w:rPr>
              <w:rFonts w:ascii="Calibri" w:eastAsia="Calibri" w:hAnsi="Calibri" w:cs="Times New Roman"/>
              <w:b/>
              <w:lang w:val="en-US"/>
            </w:rPr>
            <w:t>Option 1</w:t>
          </w:r>
          <w:r w:rsidR="00182C9F">
            <w:rPr>
              <w:rFonts w:ascii="Calibri" w:eastAsia="Calibri" w:hAnsi="Calibri" w:cs="Times New Roman"/>
              <w:b/>
              <w:lang w:val="en-US"/>
            </w:rPr>
            <w:t xml:space="preserve">: </w:t>
          </w:r>
          <w:r w:rsidR="00AD65B2">
            <w:rPr>
              <w:rFonts w:ascii="Calibri" w:eastAsia="Calibri" w:hAnsi="Calibri" w:cs="Times New Roman"/>
              <w:b/>
              <w:lang w:val="en-US"/>
            </w:rPr>
            <w:t>No change</w:t>
          </w:r>
          <w:r w:rsidRPr="005D662D">
            <w:rPr>
              <w:rFonts w:ascii="Calibri" w:eastAsia="Calibri" w:hAnsi="Calibri" w:cs="Times New Roman"/>
              <w:b/>
              <w:lang w:val="en-US"/>
            </w:rPr>
            <w:t xml:space="preserve">. </w:t>
          </w:r>
          <w:r w:rsidRPr="005D662D">
            <w:rPr>
              <w:rFonts w:ascii="Calibri" w:eastAsia="Calibri" w:hAnsi="Calibri" w:cs="Times New Roman"/>
              <w:bCs/>
              <w:lang w:val="en-US"/>
            </w:rPr>
            <w:t>Under th</w:t>
          </w:r>
          <w:r w:rsidR="006B7767">
            <w:rPr>
              <w:rFonts w:ascii="Calibri" w:eastAsia="Calibri" w:hAnsi="Calibri" w:cs="Times New Roman"/>
              <w:bCs/>
              <w:lang w:val="en-US"/>
            </w:rPr>
            <w:t>e first</w:t>
          </w:r>
          <w:r w:rsidRPr="005D662D">
            <w:rPr>
              <w:rFonts w:ascii="Calibri" w:eastAsia="Calibri" w:hAnsi="Calibri" w:cs="Times New Roman"/>
              <w:bCs/>
              <w:lang w:val="en-US"/>
            </w:rPr>
            <w:t xml:space="preserve"> </w:t>
          </w:r>
          <w:r w:rsidR="006B7767">
            <w:rPr>
              <w:rFonts w:ascii="Calibri" w:eastAsia="Calibri" w:hAnsi="Calibri" w:cs="Times New Roman"/>
              <w:bCs/>
              <w:lang w:val="en-US"/>
            </w:rPr>
            <w:t>option</w:t>
          </w:r>
          <w:r w:rsidR="00D906D1">
            <w:rPr>
              <w:rFonts w:ascii="Calibri" w:eastAsia="Calibri" w:hAnsi="Calibri" w:cs="Times New Roman"/>
              <w:bCs/>
              <w:lang w:val="en-US"/>
            </w:rPr>
            <w:t>,</w:t>
          </w:r>
          <w:r w:rsidR="006B7767" w:rsidRPr="005D662D">
            <w:rPr>
              <w:rFonts w:ascii="Calibri" w:eastAsia="Calibri" w:hAnsi="Calibri" w:cs="Times New Roman"/>
              <w:bCs/>
              <w:lang w:val="en-US"/>
            </w:rPr>
            <w:t xml:space="preserve"> </w:t>
          </w:r>
          <w:r w:rsidRPr="005D662D">
            <w:rPr>
              <w:rFonts w:ascii="Calibri" w:eastAsia="Calibri" w:hAnsi="Calibri" w:cs="Times New Roman"/>
              <w:bCs/>
            </w:rPr>
            <w:t xml:space="preserve">hospitality businesses would continue to be able to provide seafood CoOL at their convenience and in line with their own </w:t>
          </w:r>
          <w:r w:rsidR="00C47DB8">
            <w:rPr>
              <w:rFonts w:ascii="Calibri" w:eastAsia="Calibri" w:hAnsi="Calibri" w:cs="Times New Roman"/>
              <w:bCs/>
            </w:rPr>
            <w:t>definitions</w:t>
          </w:r>
          <w:r w:rsidR="00C47DB8" w:rsidRPr="005D662D">
            <w:rPr>
              <w:rFonts w:ascii="Calibri" w:eastAsia="Calibri" w:hAnsi="Calibri" w:cs="Times New Roman"/>
              <w:bCs/>
            </w:rPr>
            <w:t xml:space="preserve"> </w:t>
          </w:r>
          <w:r w:rsidRPr="005D662D">
            <w:rPr>
              <w:rFonts w:ascii="Calibri" w:eastAsia="Calibri" w:hAnsi="Calibri" w:cs="Times New Roman"/>
              <w:bCs/>
            </w:rPr>
            <w:t xml:space="preserve">of origin (that is, where the seafood was caught or processed). Consumers would be on their own </w:t>
          </w:r>
          <w:r w:rsidR="00D906D1">
            <w:rPr>
              <w:rFonts w:ascii="Calibri" w:eastAsia="Calibri" w:hAnsi="Calibri" w:cs="Times New Roman"/>
              <w:bCs/>
            </w:rPr>
            <w:t xml:space="preserve">recognisance </w:t>
          </w:r>
          <w:r w:rsidRPr="005D662D">
            <w:rPr>
              <w:rFonts w:ascii="Calibri" w:eastAsia="Calibri" w:hAnsi="Calibri" w:cs="Times New Roman"/>
              <w:bCs/>
            </w:rPr>
            <w:t xml:space="preserve">to either know or to make enquiries about </w:t>
          </w:r>
          <w:r w:rsidR="0039667A">
            <w:rPr>
              <w:rFonts w:ascii="Calibri" w:eastAsia="Calibri" w:hAnsi="Calibri" w:cs="Times New Roman"/>
              <w:bCs/>
            </w:rPr>
            <w:t>s</w:t>
          </w:r>
          <w:r w:rsidRPr="005D662D">
            <w:rPr>
              <w:rFonts w:ascii="Calibri" w:eastAsia="Calibri" w:hAnsi="Calibri" w:cs="Times New Roman"/>
              <w:bCs/>
            </w:rPr>
            <w:t>eafood CoOL.</w:t>
          </w:r>
          <w:r w:rsidRPr="005D662D">
            <w:rPr>
              <w:rFonts w:ascii="Calibri" w:eastAsia="Calibri" w:hAnsi="Calibri" w:cs="Times New Roman"/>
              <w:b/>
            </w:rPr>
            <w:t xml:space="preserve"> </w:t>
          </w:r>
        </w:p>
        <w:p w14:paraId="1B80310F" w14:textId="3CC699CA" w:rsidR="005D662D" w:rsidRPr="005D662D" w:rsidRDefault="005D662D" w:rsidP="00073493">
          <w:pPr>
            <w:numPr>
              <w:ilvl w:val="0"/>
              <w:numId w:val="4"/>
            </w:numPr>
            <w:contextualSpacing/>
            <w:rPr>
              <w:rFonts w:ascii="Calibri" w:eastAsia="Calibri" w:hAnsi="Calibri" w:cs="Times New Roman"/>
              <w:b/>
              <w:lang w:val="en-US"/>
            </w:rPr>
          </w:pPr>
          <w:r w:rsidRPr="005D662D">
            <w:rPr>
              <w:rFonts w:ascii="Calibri" w:eastAsia="Calibri" w:hAnsi="Calibri" w:cs="Times New Roman"/>
              <w:b/>
              <w:lang w:val="en-US"/>
            </w:rPr>
            <w:t>Option 2</w:t>
          </w:r>
          <w:r w:rsidR="00182C9F">
            <w:rPr>
              <w:rFonts w:ascii="Calibri" w:eastAsia="Calibri" w:hAnsi="Calibri" w:cs="Times New Roman"/>
              <w:b/>
              <w:lang w:val="en-US"/>
            </w:rPr>
            <w:t xml:space="preserve">: ACL </w:t>
          </w:r>
          <w:r w:rsidR="00D60415">
            <w:rPr>
              <w:rFonts w:ascii="Calibri" w:eastAsia="Calibri" w:hAnsi="Calibri" w:cs="Times New Roman"/>
              <w:b/>
              <w:lang w:val="en-US"/>
            </w:rPr>
            <w:t>i</w:t>
          </w:r>
          <w:r w:rsidR="00182C9F">
            <w:rPr>
              <w:rFonts w:ascii="Calibri" w:eastAsia="Calibri" w:hAnsi="Calibri" w:cs="Times New Roman"/>
              <w:b/>
              <w:lang w:val="en-US"/>
            </w:rPr>
            <w:t xml:space="preserve">nformation </w:t>
          </w:r>
          <w:r w:rsidR="00D60415">
            <w:rPr>
              <w:rFonts w:ascii="Calibri" w:eastAsia="Calibri" w:hAnsi="Calibri" w:cs="Times New Roman"/>
              <w:b/>
              <w:lang w:val="en-US"/>
            </w:rPr>
            <w:t>s</w:t>
          </w:r>
          <w:r w:rsidR="00182C9F">
            <w:rPr>
              <w:rFonts w:ascii="Calibri" w:eastAsia="Calibri" w:hAnsi="Calibri" w:cs="Times New Roman"/>
              <w:b/>
              <w:lang w:val="en-US"/>
            </w:rPr>
            <w:t>tandard</w:t>
          </w:r>
          <w:r w:rsidR="00D4766B">
            <w:rPr>
              <w:rFonts w:ascii="Calibri" w:eastAsia="Calibri" w:hAnsi="Calibri" w:cs="Times New Roman"/>
              <w:b/>
              <w:lang w:val="en-US"/>
            </w:rPr>
            <w:t xml:space="preserve"> –</w:t>
          </w:r>
          <w:r w:rsidRPr="005D662D">
            <w:rPr>
              <w:rFonts w:ascii="Calibri" w:eastAsia="Calibri" w:hAnsi="Calibri" w:cs="Times New Roman"/>
              <w:b/>
              <w:lang w:val="en-US"/>
            </w:rPr>
            <w:t xml:space="preserve"> AIM model. </w:t>
          </w:r>
          <w:r w:rsidRPr="005D662D">
            <w:rPr>
              <w:rFonts w:ascii="Calibri" w:eastAsia="Calibri" w:hAnsi="Calibri" w:cs="Times New Roman"/>
              <w:lang w:val="en-US"/>
            </w:rPr>
            <w:t xml:space="preserve">Under the </w:t>
          </w:r>
          <w:r w:rsidR="006B7767">
            <w:rPr>
              <w:rFonts w:ascii="Calibri" w:eastAsia="Calibri" w:hAnsi="Calibri" w:cs="Times New Roman"/>
              <w:lang w:val="en-US"/>
            </w:rPr>
            <w:t>second</w:t>
          </w:r>
          <w:r w:rsidRPr="005D662D">
            <w:rPr>
              <w:rFonts w:ascii="Calibri" w:eastAsia="Calibri" w:hAnsi="Calibri" w:cs="Times New Roman"/>
              <w:lang w:val="en-US"/>
            </w:rPr>
            <w:t xml:space="preserve"> option, hospitality businesses would be required to indicate, for each dish on their menu that contains seafood, whether the seafood in that dish is Australian, Imported, or of Mixed origin (</w:t>
          </w:r>
          <w:r w:rsidR="004D4C93">
            <w:rPr>
              <w:rFonts w:ascii="Calibri" w:eastAsia="Calibri" w:hAnsi="Calibri" w:cs="Times New Roman"/>
              <w:lang w:val="en-US"/>
            </w:rPr>
            <w:t>for example,</w:t>
          </w:r>
          <w:r w:rsidRPr="005D662D">
            <w:rPr>
              <w:rFonts w:ascii="Calibri" w:eastAsia="Calibri" w:hAnsi="Calibri" w:cs="Times New Roman"/>
              <w:lang w:val="en-US"/>
            </w:rPr>
            <w:t xml:space="preserve"> a single dish containing both Australian and imported seafood).</w:t>
          </w:r>
        </w:p>
        <w:p w14:paraId="1FE6CFD0" w14:textId="3E61E581" w:rsidR="005D662D" w:rsidRPr="005D662D" w:rsidRDefault="005D662D" w:rsidP="00073493">
          <w:pPr>
            <w:numPr>
              <w:ilvl w:val="0"/>
              <w:numId w:val="4"/>
            </w:numPr>
            <w:contextualSpacing/>
            <w:rPr>
              <w:rFonts w:ascii="Calibri" w:eastAsia="Calibri" w:hAnsi="Calibri" w:cs="Times New Roman"/>
              <w:b/>
              <w:lang w:val="en-US"/>
            </w:rPr>
          </w:pPr>
          <w:r w:rsidRPr="005D662D">
            <w:rPr>
              <w:rFonts w:ascii="Calibri" w:eastAsia="Calibri" w:hAnsi="Calibri" w:cs="Times New Roman"/>
              <w:b/>
              <w:lang w:val="en-US"/>
            </w:rPr>
            <w:t xml:space="preserve">Option </w:t>
          </w:r>
          <w:r w:rsidR="00D4766B">
            <w:rPr>
              <w:rFonts w:ascii="Calibri" w:eastAsia="Calibri" w:hAnsi="Calibri" w:cs="Times New Roman"/>
              <w:b/>
              <w:lang w:val="en-US"/>
            </w:rPr>
            <w:t>3</w:t>
          </w:r>
          <w:r w:rsidR="00182C9F">
            <w:rPr>
              <w:rFonts w:ascii="Calibri" w:eastAsia="Calibri" w:hAnsi="Calibri" w:cs="Times New Roman"/>
              <w:b/>
              <w:lang w:val="en-US"/>
            </w:rPr>
            <w:t xml:space="preserve">: ACL </w:t>
          </w:r>
          <w:r w:rsidR="00D60415">
            <w:rPr>
              <w:rFonts w:ascii="Calibri" w:eastAsia="Calibri" w:hAnsi="Calibri" w:cs="Times New Roman"/>
              <w:b/>
              <w:lang w:val="en-US"/>
            </w:rPr>
            <w:t>i</w:t>
          </w:r>
          <w:r w:rsidR="00182C9F">
            <w:rPr>
              <w:rFonts w:ascii="Calibri" w:eastAsia="Calibri" w:hAnsi="Calibri" w:cs="Times New Roman"/>
              <w:b/>
              <w:lang w:val="en-US"/>
            </w:rPr>
            <w:t xml:space="preserve">nformation </w:t>
          </w:r>
          <w:r w:rsidR="00D60415">
            <w:rPr>
              <w:rFonts w:ascii="Calibri" w:eastAsia="Calibri" w:hAnsi="Calibri" w:cs="Times New Roman"/>
              <w:b/>
              <w:lang w:val="en-US"/>
            </w:rPr>
            <w:t>s</w:t>
          </w:r>
          <w:r w:rsidR="00182C9F">
            <w:rPr>
              <w:rFonts w:ascii="Calibri" w:eastAsia="Calibri" w:hAnsi="Calibri" w:cs="Times New Roman"/>
              <w:b/>
              <w:lang w:val="en-US"/>
            </w:rPr>
            <w:t>tandard</w:t>
          </w:r>
          <w:r w:rsidRPr="005D662D">
            <w:rPr>
              <w:rFonts w:ascii="Calibri" w:eastAsia="Calibri" w:hAnsi="Calibri" w:cs="Times New Roman"/>
              <w:b/>
              <w:lang w:val="en-US"/>
            </w:rPr>
            <w:t xml:space="preserve"> – </w:t>
          </w:r>
          <w:r w:rsidR="00AD65B2">
            <w:rPr>
              <w:rFonts w:ascii="Calibri" w:eastAsia="Calibri" w:hAnsi="Calibri" w:cs="Times New Roman"/>
              <w:b/>
              <w:lang w:val="en-US"/>
            </w:rPr>
            <w:t>C</w:t>
          </w:r>
          <w:r w:rsidRPr="005D662D">
            <w:rPr>
              <w:rFonts w:ascii="Calibri" w:eastAsia="Calibri" w:hAnsi="Calibri" w:cs="Times New Roman"/>
              <w:b/>
              <w:lang w:val="en-US"/>
            </w:rPr>
            <w:t xml:space="preserve">ountry model. </w:t>
          </w:r>
          <w:r w:rsidRPr="005D662D">
            <w:rPr>
              <w:rFonts w:ascii="Calibri" w:eastAsia="Calibri" w:hAnsi="Calibri" w:cs="Times New Roman"/>
              <w:lang w:val="en-US"/>
            </w:rPr>
            <w:t xml:space="preserve">Under the </w:t>
          </w:r>
          <w:r w:rsidR="006B7767">
            <w:rPr>
              <w:rFonts w:ascii="Calibri" w:eastAsia="Calibri" w:hAnsi="Calibri" w:cs="Times New Roman"/>
              <w:lang w:val="en-US"/>
            </w:rPr>
            <w:t>third</w:t>
          </w:r>
          <w:r w:rsidRPr="005D662D">
            <w:rPr>
              <w:rFonts w:ascii="Calibri" w:eastAsia="Calibri" w:hAnsi="Calibri" w:cs="Times New Roman"/>
              <w:lang w:val="en-US"/>
            </w:rPr>
            <w:t xml:space="preserve"> option, hospitality businesses would be required to indicate the specific country of origin for seafood (</w:t>
          </w:r>
          <w:r w:rsidR="004D4C93">
            <w:rPr>
              <w:rFonts w:ascii="Calibri" w:eastAsia="Calibri" w:hAnsi="Calibri" w:cs="Times New Roman"/>
              <w:lang w:val="en-US"/>
            </w:rPr>
            <w:t xml:space="preserve">for example, </w:t>
          </w:r>
          <w:r w:rsidRPr="005D662D">
            <w:rPr>
              <w:rFonts w:ascii="Calibri" w:eastAsia="Calibri" w:hAnsi="Calibri" w:cs="Times New Roman"/>
              <w:lang w:val="en-US"/>
            </w:rPr>
            <w:t>specifying if a piece of fish is from New Zealand as opposed to only stating ‘Imported’). This option would not have the Mixed option, as the specific country of origin would be required for each seafood item in a dish.</w:t>
          </w:r>
        </w:p>
        <w:p w14:paraId="74BF1D59" w14:textId="7E75CF60" w:rsidR="005D662D" w:rsidRPr="00751053" w:rsidRDefault="005D662D" w:rsidP="00073493">
          <w:pPr>
            <w:pStyle w:val="Heading2"/>
            <w:numPr>
              <w:ilvl w:val="1"/>
              <w:numId w:val="15"/>
            </w:numPr>
          </w:pPr>
          <w:bookmarkStart w:id="99" w:name="_Toc141272742"/>
          <w:bookmarkStart w:id="100" w:name="_Toc151719073"/>
          <w:r w:rsidRPr="00751053">
            <w:t>Option 1</w:t>
          </w:r>
          <w:r w:rsidR="00751053" w:rsidRPr="00751053">
            <w:t xml:space="preserve">: </w:t>
          </w:r>
          <w:bookmarkEnd w:id="99"/>
          <w:r w:rsidR="00AD65B2">
            <w:t>No change</w:t>
          </w:r>
          <w:bookmarkEnd w:id="100"/>
        </w:p>
        <w:p w14:paraId="6FC0EA07" w14:textId="0A1F93BA" w:rsidR="00CF3589" w:rsidRDefault="005D662D" w:rsidP="00CF3589">
          <w:pPr>
            <w:rPr>
              <w:rFonts w:ascii="Calibri" w:eastAsia="Calibri" w:hAnsi="Calibri" w:cs="Times New Roman"/>
            </w:rPr>
          </w:pPr>
          <w:r w:rsidRPr="005D662D">
            <w:rPr>
              <w:rFonts w:ascii="Calibri" w:eastAsia="Calibri" w:hAnsi="Calibri" w:cs="Times New Roman"/>
            </w:rPr>
            <w:t xml:space="preserve">The situation </w:t>
          </w:r>
          <w:r w:rsidR="00A331D4">
            <w:rPr>
              <w:rFonts w:ascii="Calibri" w:eastAsia="Calibri" w:hAnsi="Calibri" w:cs="Times New Roman"/>
            </w:rPr>
            <w:t xml:space="preserve">as </w:t>
          </w:r>
          <w:r w:rsidRPr="005D662D">
            <w:rPr>
              <w:rFonts w:ascii="Calibri" w:eastAsia="Calibri" w:hAnsi="Calibri" w:cs="Times New Roman"/>
            </w:rPr>
            <w:t xml:space="preserve">is it now. The current information asymmetry situation for consumers </w:t>
          </w:r>
          <w:r w:rsidR="00F37EC8">
            <w:rPr>
              <w:rFonts w:ascii="Calibri" w:eastAsia="Calibri" w:hAnsi="Calibri" w:cs="Times New Roman"/>
            </w:rPr>
            <w:t xml:space="preserve">would continue. They would </w:t>
          </w:r>
          <w:r w:rsidRPr="005D662D">
            <w:rPr>
              <w:rFonts w:ascii="Calibri" w:eastAsia="Calibri" w:hAnsi="Calibri" w:cs="Times New Roman"/>
            </w:rPr>
            <w:t>not know where the seafood they purchase originates</w:t>
          </w:r>
          <w:r w:rsidR="00463BCB">
            <w:rPr>
              <w:rFonts w:ascii="Calibri" w:eastAsia="Calibri" w:hAnsi="Calibri" w:cs="Times New Roman"/>
            </w:rPr>
            <w:t>.</w:t>
          </w:r>
          <w:r w:rsidRPr="005D662D">
            <w:rPr>
              <w:rFonts w:ascii="Calibri" w:eastAsia="Calibri" w:hAnsi="Calibri" w:cs="Times New Roman"/>
            </w:rPr>
            <w:t xml:space="preserve"> Consumers would continue to not </w:t>
          </w:r>
          <w:r w:rsidR="001624DD" w:rsidRPr="005D662D">
            <w:rPr>
              <w:rFonts w:ascii="Calibri" w:eastAsia="Calibri" w:hAnsi="Calibri" w:cs="Times New Roman"/>
            </w:rPr>
            <w:t xml:space="preserve">know </w:t>
          </w:r>
          <w:r w:rsidR="001624DD">
            <w:rPr>
              <w:rFonts w:ascii="Calibri" w:eastAsia="Calibri" w:hAnsi="Calibri" w:cs="Times New Roman"/>
            </w:rPr>
            <w:t>the</w:t>
          </w:r>
          <w:r w:rsidR="00937430">
            <w:rPr>
              <w:rFonts w:ascii="Calibri" w:eastAsia="Calibri" w:hAnsi="Calibri" w:cs="Times New Roman"/>
            </w:rPr>
            <w:t xml:space="preserve"> origin of the seafood they are</w:t>
          </w:r>
          <w:r w:rsidRPr="005D662D">
            <w:rPr>
              <w:rFonts w:ascii="Calibri" w:eastAsia="Calibri" w:hAnsi="Calibri" w:cs="Times New Roman"/>
            </w:rPr>
            <w:t xml:space="preserve"> buying </w:t>
          </w:r>
          <w:r w:rsidR="00EA08F9">
            <w:rPr>
              <w:rFonts w:ascii="Calibri" w:eastAsia="Calibri" w:hAnsi="Calibri" w:cs="Times New Roman"/>
            </w:rPr>
            <w:t xml:space="preserve">in </w:t>
          </w:r>
          <w:r w:rsidRPr="005D662D">
            <w:rPr>
              <w:rFonts w:ascii="Calibri" w:eastAsia="Calibri" w:hAnsi="Calibri" w:cs="Times New Roman"/>
            </w:rPr>
            <w:t>hospitality setting</w:t>
          </w:r>
          <w:r w:rsidR="00937430">
            <w:rPr>
              <w:rFonts w:ascii="Calibri" w:eastAsia="Calibri" w:hAnsi="Calibri" w:cs="Times New Roman"/>
            </w:rPr>
            <w:t>s</w:t>
          </w:r>
          <w:r w:rsidRPr="005D662D">
            <w:rPr>
              <w:rFonts w:ascii="Calibri" w:eastAsia="Calibri" w:hAnsi="Calibri" w:cs="Times New Roman"/>
            </w:rPr>
            <w:t>.</w:t>
          </w:r>
          <w:r w:rsidR="007815D1">
            <w:rPr>
              <w:rFonts w:ascii="Calibri" w:eastAsia="Calibri" w:hAnsi="Calibri" w:cs="Times New Roman"/>
            </w:rPr>
            <w:t xml:space="preserve"> </w:t>
          </w:r>
          <w:r w:rsidR="00CF3589">
            <w:rPr>
              <w:rFonts w:ascii="Calibri" w:eastAsia="Calibri" w:hAnsi="Calibri" w:cs="Times New Roman"/>
            </w:rPr>
            <w:t>S</w:t>
          </w:r>
          <w:r w:rsidR="00CF3589" w:rsidRPr="005D662D">
            <w:rPr>
              <w:rFonts w:ascii="Calibri" w:eastAsia="Calibri" w:hAnsi="Calibri" w:cs="Times New Roman"/>
            </w:rPr>
            <w:t xml:space="preserve">ome hospitality business will voluntarily </w:t>
          </w:r>
          <w:r w:rsidR="007815D1">
            <w:rPr>
              <w:rFonts w:ascii="Calibri" w:eastAsia="Calibri" w:hAnsi="Calibri" w:cs="Times New Roman"/>
            </w:rPr>
            <w:t>inform</w:t>
          </w:r>
          <w:r w:rsidR="007815D1" w:rsidRPr="005D662D">
            <w:rPr>
              <w:rFonts w:ascii="Calibri" w:eastAsia="Calibri" w:hAnsi="Calibri" w:cs="Times New Roman"/>
            </w:rPr>
            <w:t xml:space="preserve"> </w:t>
          </w:r>
          <w:r w:rsidR="00CF3589" w:rsidRPr="005D662D">
            <w:rPr>
              <w:rFonts w:ascii="Calibri" w:eastAsia="Calibri" w:hAnsi="Calibri" w:cs="Times New Roman"/>
            </w:rPr>
            <w:t xml:space="preserve">consumers </w:t>
          </w:r>
          <w:r w:rsidR="007815D1">
            <w:rPr>
              <w:rFonts w:ascii="Calibri" w:eastAsia="Calibri" w:hAnsi="Calibri" w:cs="Times New Roman"/>
            </w:rPr>
            <w:t>of seafood origin,</w:t>
          </w:r>
          <w:r w:rsidR="00CF3589" w:rsidRPr="005D662D">
            <w:rPr>
              <w:rFonts w:ascii="Calibri" w:eastAsia="Calibri" w:hAnsi="Calibri" w:cs="Times New Roman"/>
            </w:rPr>
            <w:t xml:space="preserve"> </w:t>
          </w:r>
          <w:r w:rsidR="00CF3589">
            <w:rPr>
              <w:rFonts w:ascii="Calibri" w:eastAsia="Calibri" w:hAnsi="Calibri" w:cs="Times New Roman"/>
            </w:rPr>
            <w:t>and t</w:t>
          </w:r>
          <w:r w:rsidR="00CF3589" w:rsidRPr="005D662D">
            <w:rPr>
              <w:rFonts w:ascii="Calibri" w:eastAsia="Calibri" w:hAnsi="Calibri" w:cs="Times New Roman"/>
            </w:rPr>
            <w:t xml:space="preserve">his may grow into the future as consumers continue to ask for </w:t>
          </w:r>
          <w:r w:rsidR="00CF3589">
            <w:rPr>
              <w:rFonts w:ascii="Calibri" w:eastAsia="Calibri" w:hAnsi="Calibri" w:cs="Times New Roman"/>
            </w:rPr>
            <w:t>s</w:t>
          </w:r>
          <w:r w:rsidR="00CF3589" w:rsidRPr="005D662D">
            <w:rPr>
              <w:rFonts w:ascii="Calibri" w:eastAsia="Calibri" w:hAnsi="Calibri" w:cs="Times New Roman"/>
            </w:rPr>
            <w:t>eafood CoOL to be available on menu labelling, but the</w:t>
          </w:r>
          <w:r w:rsidR="00CF3589">
            <w:rPr>
              <w:rFonts w:ascii="Calibri" w:eastAsia="Calibri" w:hAnsi="Calibri" w:cs="Times New Roman"/>
            </w:rPr>
            <w:t>re</w:t>
          </w:r>
          <w:r w:rsidR="00CF3589" w:rsidRPr="005D662D">
            <w:rPr>
              <w:rFonts w:ascii="Calibri" w:eastAsia="Calibri" w:hAnsi="Calibri" w:cs="Times New Roman"/>
            </w:rPr>
            <w:t xml:space="preserve"> would be no consistency and consumers </w:t>
          </w:r>
          <w:r w:rsidR="00CF3589">
            <w:rPr>
              <w:rFonts w:ascii="Calibri" w:eastAsia="Calibri" w:hAnsi="Calibri" w:cs="Times New Roman"/>
            </w:rPr>
            <w:t>c</w:t>
          </w:r>
          <w:r w:rsidR="00CF3589" w:rsidRPr="005D662D">
            <w:rPr>
              <w:rFonts w:ascii="Calibri" w:eastAsia="Calibri" w:hAnsi="Calibri" w:cs="Times New Roman"/>
            </w:rPr>
            <w:t xml:space="preserve">ould continue to make assumptions and be misled as to the actual </w:t>
          </w:r>
          <w:r w:rsidR="000C2F35">
            <w:rPr>
              <w:rFonts w:ascii="Calibri" w:eastAsia="Calibri" w:hAnsi="Calibri" w:cs="Times New Roman"/>
            </w:rPr>
            <w:t>origin of seafood</w:t>
          </w:r>
          <w:r w:rsidR="00CF3589" w:rsidRPr="005D662D">
            <w:rPr>
              <w:rFonts w:ascii="Calibri" w:eastAsia="Calibri" w:hAnsi="Calibri" w:cs="Times New Roman"/>
            </w:rPr>
            <w:t xml:space="preserve"> in hospitality and food service businesses.</w:t>
          </w:r>
        </w:p>
        <w:p w14:paraId="14A9023A" w14:textId="4E393337" w:rsidR="007815D1" w:rsidRPr="005D662D" w:rsidRDefault="007815D1" w:rsidP="007815D1">
          <w:pPr>
            <w:pStyle w:val="IntenseQuote"/>
          </w:pPr>
          <w:r>
            <w:t xml:space="preserve">‘[W]e </w:t>
          </w:r>
          <w:proofErr w:type="gramStart"/>
          <w:r>
            <w:t>support</w:t>
          </w:r>
          <w:proofErr w:type="gramEnd"/>
          <w:r w:rsidRPr="007815D1">
            <w:t xml:space="preserve"> the first of the three options outlined the RIS; maintaining the status quo.</w:t>
          </w:r>
          <w:r>
            <w:t>’ – Clubs Australia</w:t>
          </w:r>
        </w:p>
        <w:p w14:paraId="2C449449" w14:textId="149E0E55" w:rsidR="005D662D" w:rsidRPr="00F449E4" w:rsidRDefault="005D662D" w:rsidP="00073493">
          <w:pPr>
            <w:pStyle w:val="Heading2"/>
            <w:numPr>
              <w:ilvl w:val="1"/>
              <w:numId w:val="15"/>
            </w:numPr>
          </w:pPr>
          <w:bookmarkStart w:id="101" w:name="_Toc141272743"/>
          <w:bookmarkStart w:id="102" w:name="_Toc151719074"/>
          <w:r w:rsidRPr="00F449E4">
            <w:t>Option 2</w:t>
          </w:r>
          <w:r w:rsidR="00751053" w:rsidRPr="00F449E4">
            <w:t xml:space="preserve">: </w:t>
          </w:r>
          <w:r w:rsidRPr="00F449E4">
            <w:t>ACL information standard – AIM model</w:t>
          </w:r>
          <w:bookmarkEnd w:id="101"/>
          <w:bookmarkEnd w:id="102"/>
        </w:p>
        <w:p w14:paraId="09C2D392" w14:textId="121C5303" w:rsidR="006B7767" w:rsidRDefault="005D662D" w:rsidP="00F449E4">
          <w:r w:rsidRPr="005D662D">
            <w:t xml:space="preserve">Option 2 proposes </w:t>
          </w:r>
          <w:r w:rsidR="006B7767">
            <w:t xml:space="preserve">introducing a new information standard under the ACL, the </w:t>
          </w:r>
          <w:r w:rsidR="006B7767" w:rsidRPr="005D662D">
            <w:rPr>
              <w:rFonts w:ascii="Calibri" w:eastAsia="Calibri" w:hAnsi="Calibri" w:cs="Times New Roman"/>
            </w:rPr>
            <w:t xml:space="preserve">Country of Origin </w:t>
          </w:r>
          <w:r w:rsidR="00026446">
            <w:rPr>
              <w:rFonts w:ascii="Calibri" w:eastAsia="Calibri" w:hAnsi="Calibri" w:cs="Times New Roman"/>
            </w:rPr>
            <w:t>Fish</w:t>
          </w:r>
          <w:r w:rsidR="006B7767" w:rsidRPr="005D662D">
            <w:rPr>
              <w:rFonts w:ascii="Calibri" w:eastAsia="Calibri" w:hAnsi="Calibri" w:cs="Times New Roman"/>
            </w:rPr>
            <w:t xml:space="preserve"> </w:t>
          </w:r>
          <w:r w:rsidR="006B7767">
            <w:rPr>
              <w:rFonts w:ascii="Calibri" w:eastAsia="Calibri" w:hAnsi="Calibri" w:cs="Times New Roman"/>
            </w:rPr>
            <w:t xml:space="preserve">Labelling </w:t>
          </w:r>
          <w:r w:rsidR="006B7767" w:rsidRPr="005D662D">
            <w:rPr>
              <w:rFonts w:ascii="Calibri" w:eastAsia="Calibri" w:hAnsi="Calibri" w:cs="Times New Roman"/>
            </w:rPr>
            <w:t>Information Standard</w:t>
          </w:r>
          <w:r w:rsidR="006B7767">
            <w:rPr>
              <w:rFonts w:ascii="Calibri" w:eastAsia="Calibri" w:hAnsi="Calibri" w:cs="Times New Roman"/>
            </w:rPr>
            <w:t xml:space="preserve"> (Seafood CoOL Standard)</w:t>
          </w:r>
          <w:r w:rsidR="006B7767">
            <w:t xml:space="preserve">. </w:t>
          </w:r>
        </w:p>
        <w:p w14:paraId="2B86DA41" w14:textId="610FBDCC" w:rsidR="006B7767" w:rsidRDefault="006B7767" w:rsidP="00F449E4">
          <w:pPr>
            <w:rPr>
              <w:rFonts w:ascii="Calibri" w:eastAsia="Calibri" w:hAnsi="Calibri" w:cs="Times New Roman"/>
              <w:lang w:val="en-US"/>
            </w:rPr>
          </w:pPr>
          <w:r w:rsidRPr="005D662D">
            <w:rPr>
              <w:rFonts w:ascii="Calibri" w:eastAsia="Calibri" w:hAnsi="Calibri" w:cs="Times New Roman"/>
              <w:lang w:val="en-US"/>
            </w:rPr>
            <w:t xml:space="preserve">Under </w:t>
          </w:r>
          <w:r>
            <w:rPr>
              <w:rFonts w:ascii="Calibri" w:eastAsia="Calibri" w:hAnsi="Calibri" w:cs="Times New Roman"/>
              <w:lang w:val="en-US"/>
            </w:rPr>
            <w:t>the Seafood CoOL Standard</w:t>
          </w:r>
          <w:r w:rsidRPr="005D662D">
            <w:rPr>
              <w:rFonts w:ascii="Calibri" w:eastAsia="Calibri" w:hAnsi="Calibri" w:cs="Times New Roman"/>
              <w:lang w:val="en-US"/>
            </w:rPr>
            <w:t>, hospitality businesses would be required to indicate, for each dish on their menu that contains seafood, whether the seafood in that dish is</w:t>
          </w:r>
          <w:r>
            <w:rPr>
              <w:rFonts w:ascii="Calibri" w:eastAsia="Calibri" w:hAnsi="Calibri" w:cs="Times New Roman"/>
              <w:lang w:val="en-US"/>
            </w:rPr>
            <w:t>:</w:t>
          </w:r>
        </w:p>
        <w:p w14:paraId="1C466225" w14:textId="624CF395" w:rsidR="006B7767" w:rsidRPr="0043284D" w:rsidRDefault="006B7767" w:rsidP="006B7767">
          <w:pPr>
            <w:numPr>
              <w:ilvl w:val="0"/>
              <w:numId w:val="1"/>
            </w:numPr>
          </w:pPr>
          <w:r w:rsidRPr="0043284D">
            <w:t>Australian (A)</w:t>
          </w:r>
        </w:p>
        <w:p w14:paraId="532FE5BB" w14:textId="02105EC4" w:rsidR="006B7767" w:rsidRPr="0043284D" w:rsidRDefault="006B7767" w:rsidP="006B7767">
          <w:pPr>
            <w:numPr>
              <w:ilvl w:val="0"/>
              <w:numId w:val="1"/>
            </w:numPr>
          </w:pPr>
          <w:r w:rsidRPr="0043284D">
            <w:t>Imported (I)</w:t>
          </w:r>
        </w:p>
        <w:p w14:paraId="6F8D0AED" w14:textId="65B58EBE" w:rsidR="006B7767" w:rsidRPr="0043284D" w:rsidRDefault="006B7767" w:rsidP="006B7767">
          <w:pPr>
            <w:numPr>
              <w:ilvl w:val="0"/>
              <w:numId w:val="1"/>
            </w:numPr>
          </w:pPr>
          <w:r w:rsidRPr="0043284D">
            <w:t xml:space="preserve">Mixed origin (M) </w:t>
          </w:r>
          <w:r w:rsidR="0045139A">
            <w:t xml:space="preserve">– </w:t>
          </w:r>
          <w:r w:rsidRPr="0043284D">
            <w:t>if</w:t>
          </w:r>
          <w:r w:rsidR="0045139A">
            <w:t xml:space="preserve"> </w:t>
          </w:r>
          <w:r w:rsidRPr="0043284D">
            <w:t>a dish contains both Australian and imported seafood.</w:t>
          </w:r>
        </w:p>
        <w:p w14:paraId="5DF98178" w14:textId="7D96C4D7" w:rsidR="005D662D" w:rsidRPr="005D662D" w:rsidRDefault="005D662D" w:rsidP="00F449E4">
          <w:r w:rsidRPr="005D662D">
            <w:lastRenderedPageBreak/>
            <w:t>This option seeks to address the issue of</w:t>
          </w:r>
          <w:r w:rsidRPr="005D662D">
            <w:rPr>
              <w:color w:val="000000"/>
            </w:rPr>
            <w:t xml:space="preserve"> what </w:t>
          </w:r>
          <w:r w:rsidR="00020BA7">
            <w:rPr>
              <w:color w:val="000000"/>
            </w:rPr>
            <w:t xml:space="preserve">is </w:t>
          </w:r>
          <w:r w:rsidRPr="005D662D">
            <w:rPr>
              <w:color w:val="000000"/>
            </w:rPr>
            <w:t xml:space="preserve">the minimal requirements placed on hospitality </w:t>
          </w:r>
          <w:r w:rsidRPr="005D662D">
            <w:t xml:space="preserve">businesses to label </w:t>
          </w:r>
          <w:r w:rsidR="0039667A">
            <w:t>s</w:t>
          </w:r>
          <w:r w:rsidRPr="005D662D">
            <w:t>eafood CoOL on menus, display boards or anywhere seafood is for sale is advertised</w:t>
          </w:r>
          <w:r w:rsidR="00020BA7">
            <w:t>, that still meets consumer information requirements</w:t>
          </w:r>
          <w:r w:rsidR="006B7767">
            <w:t>.</w:t>
          </w:r>
          <w:r w:rsidRPr="005D662D">
            <w:t xml:space="preserve"> </w:t>
          </w:r>
        </w:p>
        <w:p w14:paraId="66C7D857" w14:textId="6E400463" w:rsidR="005D662D" w:rsidRPr="005D662D" w:rsidRDefault="005D662D" w:rsidP="00F449E4">
          <w:r w:rsidRPr="005D662D">
            <w:t xml:space="preserve">Government would run an education and awareness </w:t>
          </w:r>
          <w:r w:rsidR="00A331D4">
            <w:t>strategy</w:t>
          </w:r>
          <w:r w:rsidR="00A331D4" w:rsidRPr="005D662D">
            <w:t xml:space="preserve"> </w:t>
          </w:r>
          <w:r w:rsidRPr="005D662D">
            <w:t>to introduce any regulatory change.</w:t>
          </w:r>
        </w:p>
        <w:p w14:paraId="1BC35C45" w14:textId="08E80E37" w:rsidR="005D662D" w:rsidRDefault="006B7767" w:rsidP="001347DC">
          <w:pPr>
            <w:pStyle w:val="Heading3"/>
          </w:pPr>
          <w:r>
            <w:t>Stakeholder</w:t>
          </w:r>
          <w:r w:rsidR="005E219B">
            <w:t xml:space="preserve"> views</w:t>
          </w:r>
        </w:p>
        <w:p w14:paraId="5528769B" w14:textId="04762E3C" w:rsidR="0026709A" w:rsidRPr="0026709A" w:rsidRDefault="006B7767" w:rsidP="00E95361">
          <w:r>
            <w:t>Stakeholder v</w:t>
          </w:r>
          <w:r w:rsidR="0026709A">
            <w:t xml:space="preserve">iews were variable, with both strong support and </w:t>
          </w:r>
          <w:r w:rsidR="00E95361">
            <w:t>o</w:t>
          </w:r>
          <w:r w:rsidR="0026709A">
            <w:t xml:space="preserve">bjections. </w:t>
          </w:r>
        </w:p>
        <w:p w14:paraId="64426CFF" w14:textId="558C6374" w:rsidR="006E01DA" w:rsidRPr="006E01DA" w:rsidRDefault="0026709A" w:rsidP="00E95361">
          <w:pPr>
            <w:pStyle w:val="IntenseQuote"/>
            <w:ind w:left="862" w:right="862"/>
            <w:contextualSpacing/>
          </w:pPr>
          <w:bookmarkStart w:id="103" w:name="_Hlk142493757"/>
          <w:r>
            <w:t>‘</w:t>
          </w:r>
          <w:r w:rsidR="006E01DA" w:rsidRPr="006E01DA">
            <w:t>National Retail accept that government regulation may best ensure the consistency of information across all hospitality businesses to inform customer choice, however we maintain that any regulation must carefully consider the cost and challenges to maintain for businesses and offer adequate flexibility in how and where the information is displayed to customers to facilitate outcomes that meet the policy intent. Of the proposed options, we prefer the AIM model.</w:t>
          </w:r>
          <w:r>
            <w:t>’</w:t>
          </w:r>
        </w:p>
        <w:p w14:paraId="724A3DFA" w14:textId="3F2987DA" w:rsidR="006E01DA" w:rsidRDefault="0026709A" w:rsidP="00E95361">
          <w:pPr>
            <w:pStyle w:val="IntenseQuote"/>
            <w:ind w:left="862" w:right="862"/>
            <w:contextualSpacing/>
          </w:pPr>
          <w:r>
            <w:t>—</w:t>
          </w:r>
          <w:r w:rsidR="006E01DA" w:rsidRPr="005D662D">
            <w:t xml:space="preserve"> National </w:t>
          </w:r>
          <w:r w:rsidR="006E01DA">
            <w:t>Retail Association</w:t>
          </w:r>
        </w:p>
        <w:bookmarkEnd w:id="103"/>
        <w:p w14:paraId="01B7BE0F" w14:textId="080ED6D6" w:rsidR="0026709A" w:rsidRPr="007940FD" w:rsidRDefault="0026709A" w:rsidP="0026709A">
          <w:pPr>
            <w:pStyle w:val="Quote"/>
            <w:ind w:right="862"/>
            <w:contextualSpacing/>
          </w:pPr>
          <w:r>
            <w:t>‘</w:t>
          </w:r>
          <w:r w:rsidRPr="007940FD">
            <w:t xml:space="preserve">I am fully supportive of CoOL for Seafood and have made this clear to </w:t>
          </w:r>
          <w:r w:rsidR="00182C9F">
            <w:t>[the Restaurant and Catering Industry Association of Australia (</w:t>
          </w:r>
          <w:r w:rsidRPr="007940FD">
            <w:t>RCA</w:t>
          </w:r>
          <w:r w:rsidR="00182C9F">
            <w:t>)]</w:t>
          </w:r>
          <w:r w:rsidRPr="007940FD">
            <w:t xml:space="preserve"> that their insular protection of big chain restaurants is unacceptable. RCA’s opinion that it will be too costly to print revised menus is lazy and pathetic.</w:t>
          </w:r>
          <w:r>
            <w:t xml:space="preserve">’ </w:t>
          </w:r>
        </w:p>
        <w:p w14:paraId="0102F003" w14:textId="70FBB6E1" w:rsidR="0026709A" w:rsidRPr="00B06CA7" w:rsidRDefault="0026709A" w:rsidP="0026709A">
          <w:pPr>
            <w:pStyle w:val="Quote"/>
            <w:ind w:right="862"/>
            <w:contextualSpacing/>
          </w:pPr>
          <w:r w:rsidRPr="0043284D">
            <w:rPr>
              <w:i w:val="0"/>
              <w:iCs w:val="0"/>
            </w:rPr>
            <w:t>—</w:t>
          </w:r>
          <w:r>
            <w:rPr>
              <w:i w:val="0"/>
              <w:iCs w:val="0"/>
            </w:rPr>
            <w:t xml:space="preserve"> </w:t>
          </w:r>
          <w:r w:rsidRPr="00B06CA7">
            <w:t>Queensland</w:t>
          </w:r>
          <w:r>
            <w:t xml:space="preserve"> restaurant owner</w:t>
          </w:r>
        </w:p>
        <w:p w14:paraId="0AA1211D" w14:textId="1C678C94" w:rsidR="006B7767" w:rsidRDefault="006B7767" w:rsidP="006B7767">
          <w:pPr>
            <w:pStyle w:val="IntenseQuote"/>
          </w:pPr>
          <w:bookmarkStart w:id="104" w:name="_Hlk142554091"/>
          <w:r>
            <w:t>‘</w:t>
          </w:r>
          <w:r w:rsidRPr="00C71C2D">
            <w:t xml:space="preserve">We believe that </w:t>
          </w:r>
          <w:r>
            <w:t>[the AIM]</w:t>
          </w:r>
          <w:r w:rsidRPr="00C71C2D">
            <w:t xml:space="preserve"> model offers an adequate level of transparency so as to allow consumers to make informed decisions about the seafood they eat in hospitality settings, while resulting in the lowest possible implementation costs for hospitality businesses, as well as ongoing compliance and enforcement costs for government</w:t>
          </w:r>
          <w:r w:rsidR="00D906D1">
            <w:t>.</w:t>
          </w:r>
          <w:r>
            <w:t xml:space="preserve">’ — Sydney Fish Markets </w:t>
          </w:r>
        </w:p>
        <w:p w14:paraId="01367364" w14:textId="33D277DC" w:rsidR="0026709A" w:rsidRDefault="0026709A" w:rsidP="0026709A">
          <w:r>
            <w:t xml:space="preserve">However, even if opposed to seafood CoOL, stakeholders did identify the AIM model as the preferred of the 2 regulatory options. </w:t>
          </w:r>
        </w:p>
        <w:p w14:paraId="4D461B30" w14:textId="77777777" w:rsidR="007815D1" w:rsidRDefault="007815D1" w:rsidP="005F4534">
          <w:pPr>
            <w:pStyle w:val="IntenseQuote"/>
            <w:ind w:left="862" w:right="862"/>
            <w:contextualSpacing/>
          </w:pPr>
          <w:r>
            <w:t>‘</w:t>
          </w:r>
          <w:r w:rsidRPr="007815D1">
            <w:t>Relative to the Country Model, the AIM model is simple and broad enough that it would require limited ongoing changes to menus while also providing the desired CoOL of seafood products. Additionally, under the AIM model clubs who import their seafood would avoid the high regulatory costs associated with monitoring all deliveries and changing their menu each time the international origin changes. Conversely, these regulatory costs would be incurred under Option 3.</w:t>
          </w:r>
          <w:r>
            <w:t xml:space="preserve">’ </w:t>
          </w:r>
        </w:p>
        <w:p w14:paraId="2C4CF829" w14:textId="38B33006" w:rsidR="007815D1" w:rsidRDefault="007815D1" w:rsidP="005F4534">
          <w:pPr>
            <w:pStyle w:val="IntenseQuote"/>
            <w:ind w:left="862" w:right="862"/>
            <w:contextualSpacing/>
          </w:pPr>
          <w:r>
            <w:t>– Clubs Australia</w:t>
          </w:r>
        </w:p>
        <w:p w14:paraId="54F62E89" w14:textId="77777777" w:rsidR="007815D1" w:rsidRPr="0026709A" w:rsidRDefault="007815D1" w:rsidP="0026709A"/>
        <w:bookmarkEnd w:id="104"/>
        <w:p w14:paraId="114D3B10" w14:textId="1F66FDCC" w:rsidR="0026709A" w:rsidRDefault="0026709A" w:rsidP="0026709A">
          <w:pPr>
            <w:pStyle w:val="IntenseQuote"/>
            <w:ind w:left="862" w:right="862"/>
            <w:contextualSpacing/>
          </w:pPr>
          <w:r>
            <w:lastRenderedPageBreak/>
            <w:t>‘</w:t>
          </w:r>
          <w:r w:rsidRPr="005D662D">
            <w:t>Option Two proposes businesses to label on menus whether seafood is either Australian (A),</w:t>
          </w:r>
          <w:r>
            <w:t xml:space="preserve"> </w:t>
          </w:r>
          <w:r w:rsidRPr="005D662D">
            <w:t xml:space="preserve">Imported (I), or Mixed Origin (M). In the absence of Option One being under real consideration, the preference of the </w:t>
          </w:r>
          <w:r w:rsidR="00D906D1">
            <w:t>[Australian Hotels Association]</w:t>
          </w:r>
          <w:r w:rsidRPr="005D662D">
            <w:t xml:space="preserve"> is Option Two.</w:t>
          </w:r>
          <w:r>
            <w:t xml:space="preserve">’ </w:t>
          </w:r>
        </w:p>
        <w:p w14:paraId="5ADF7ED9" w14:textId="77777777" w:rsidR="0026709A" w:rsidRDefault="0026709A" w:rsidP="0026709A">
          <w:pPr>
            <w:pStyle w:val="IntenseQuote"/>
            <w:ind w:left="862" w:right="862"/>
            <w:contextualSpacing/>
          </w:pPr>
          <w:r>
            <w:t>— Australian Hotels Association</w:t>
          </w:r>
        </w:p>
        <w:p w14:paraId="3E403584" w14:textId="292DEC6A" w:rsidR="005D662D" w:rsidRPr="005D662D" w:rsidRDefault="005D662D" w:rsidP="00073493">
          <w:pPr>
            <w:pStyle w:val="Heading2"/>
            <w:numPr>
              <w:ilvl w:val="1"/>
              <w:numId w:val="15"/>
            </w:numPr>
          </w:pPr>
          <w:bookmarkStart w:id="105" w:name="_Toc141272744"/>
          <w:bookmarkStart w:id="106" w:name="_Toc151719075"/>
          <w:r w:rsidRPr="005D662D">
            <w:t>Option 3</w:t>
          </w:r>
          <w:r w:rsidR="00751053">
            <w:t>:</w:t>
          </w:r>
          <w:r w:rsidRPr="005D662D">
            <w:t xml:space="preserve"> ACL information standard – </w:t>
          </w:r>
          <w:r w:rsidR="00AD65B2">
            <w:t>C</w:t>
          </w:r>
          <w:r w:rsidR="00AD65B2" w:rsidRPr="005D662D">
            <w:t xml:space="preserve">ountry </w:t>
          </w:r>
          <w:r w:rsidRPr="005D662D">
            <w:t>model</w:t>
          </w:r>
          <w:bookmarkEnd w:id="105"/>
          <w:bookmarkEnd w:id="106"/>
          <w:r w:rsidRPr="005D662D">
            <w:t xml:space="preserve"> </w:t>
          </w:r>
        </w:p>
        <w:p w14:paraId="4051D814" w14:textId="48064496" w:rsidR="005D662D" w:rsidRPr="005D662D" w:rsidRDefault="006B7767" w:rsidP="006B7767">
          <w:pPr>
            <w:rPr>
              <w:rFonts w:ascii="Calibri" w:eastAsia="Calibri" w:hAnsi="Calibri" w:cs="Calibri"/>
            </w:rPr>
          </w:pPr>
          <w:r w:rsidRPr="005D662D">
            <w:t xml:space="preserve">Option </w:t>
          </w:r>
          <w:r>
            <w:t>3</w:t>
          </w:r>
          <w:r w:rsidRPr="005D662D">
            <w:t xml:space="preserve"> </w:t>
          </w:r>
          <w:r>
            <w:t xml:space="preserve">also </w:t>
          </w:r>
          <w:r w:rsidRPr="005D662D">
            <w:t xml:space="preserve">proposes </w:t>
          </w:r>
          <w:r>
            <w:t xml:space="preserve">introducing a Seafood CoOL Standard under the ACL. Under this model, </w:t>
          </w:r>
          <w:r w:rsidRPr="005D662D">
            <w:rPr>
              <w:rFonts w:ascii="Calibri" w:eastAsia="Calibri" w:hAnsi="Calibri" w:cs="Times New Roman"/>
              <w:lang w:val="en-US"/>
            </w:rPr>
            <w:t>hospitality businesses would be required to indicate</w:t>
          </w:r>
          <w:r>
            <w:rPr>
              <w:rFonts w:ascii="Calibri" w:eastAsia="Calibri" w:hAnsi="Calibri" w:cs="Times New Roman"/>
              <w:lang w:val="en-US"/>
            </w:rPr>
            <w:t xml:space="preserve"> the country of origin for all seafood </w:t>
          </w:r>
          <w:r w:rsidR="00A331D4" w:rsidRPr="005D662D">
            <w:rPr>
              <w:rFonts w:ascii="Calibri" w:eastAsia="Calibri" w:hAnsi="Calibri" w:cs="Calibri"/>
            </w:rPr>
            <w:t>on menus, display boards or anywhere fish for sale is advertised</w:t>
          </w:r>
          <w:r w:rsidR="005D662D" w:rsidRPr="005D662D">
            <w:rPr>
              <w:rFonts w:ascii="Calibri" w:eastAsia="Calibri" w:hAnsi="Calibri" w:cs="Calibri"/>
            </w:rPr>
            <w:t>. For example:</w:t>
          </w:r>
          <w:r>
            <w:rPr>
              <w:rFonts w:ascii="Calibri" w:eastAsia="Calibri" w:hAnsi="Calibri" w:cs="Calibri"/>
            </w:rPr>
            <w:t xml:space="preserve"> </w:t>
          </w:r>
        </w:p>
        <w:p w14:paraId="1EDB49EA" w14:textId="77777777" w:rsidR="005D662D" w:rsidRPr="005D662D" w:rsidRDefault="005D662D" w:rsidP="005D662D">
          <w:pPr>
            <w:ind w:left="720" w:firstLine="720"/>
            <w:rPr>
              <w:rFonts w:ascii="Calibri" w:eastAsia="Calibri" w:hAnsi="Calibri" w:cs="Calibri"/>
            </w:rPr>
          </w:pPr>
          <w:r w:rsidRPr="005D662D">
            <w:rPr>
              <w:rFonts w:ascii="Calibri" w:eastAsia="Calibri" w:hAnsi="Calibri" w:cs="Calibri"/>
            </w:rPr>
            <w:t xml:space="preserve">Barramundi </w:t>
          </w:r>
          <w:r w:rsidRPr="005D662D">
            <w:rPr>
              <w:rFonts w:ascii="Calibri" w:eastAsia="Calibri" w:hAnsi="Calibri" w:cs="Calibri"/>
              <w:sz w:val="18"/>
              <w:szCs w:val="18"/>
            </w:rPr>
            <w:t>(Thailand)</w:t>
          </w:r>
        </w:p>
        <w:p w14:paraId="43AAA4A4" w14:textId="3381FDD8" w:rsidR="00545B4C" w:rsidRDefault="006B7767" w:rsidP="005D662D">
          <w:r w:rsidRPr="005D662D">
            <w:rPr>
              <w:rFonts w:ascii="Calibri" w:eastAsia="Calibri" w:hAnsi="Calibri" w:cs="Times New Roman"/>
              <w:lang w:val="en-US"/>
            </w:rPr>
            <w:t xml:space="preserve">This option would not have </w:t>
          </w:r>
          <w:r>
            <w:rPr>
              <w:rFonts w:ascii="Calibri" w:eastAsia="Calibri" w:hAnsi="Calibri" w:cs="Times New Roman"/>
              <w:lang w:val="en-US"/>
            </w:rPr>
            <w:t>a m</w:t>
          </w:r>
          <w:r w:rsidRPr="005D662D">
            <w:rPr>
              <w:rFonts w:ascii="Calibri" w:eastAsia="Calibri" w:hAnsi="Calibri" w:cs="Times New Roman"/>
              <w:lang w:val="en-US"/>
            </w:rPr>
            <w:t>ixed option, as the specific country of origin would be required for each seafood item in a dish.</w:t>
          </w:r>
          <w:r>
            <w:rPr>
              <w:rFonts w:ascii="Calibri" w:eastAsia="Calibri" w:hAnsi="Calibri" w:cs="Times New Roman"/>
              <w:lang w:val="en-US"/>
            </w:rPr>
            <w:t xml:space="preserve"> </w:t>
          </w:r>
          <w:r w:rsidR="00A331D4">
            <w:t>G</w:t>
          </w:r>
          <w:r w:rsidR="005D662D" w:rsidRPr="005D662D">
            <w:t xml:space="preserve">overnment would run an education and awareness </w:t>
          </w:r>
          <w:r w:rsidR="00A331D4">
            <w:t>strategy</w:t>
          </w:r>
          <w:r w:rsidR="00A331D4" w:rsidRPr="005D662D">
            <w:t xml:space="preserve"> </w:t>
          </w:r>
          <w:r w:rsidR="005D662D" w:rsidRPr="005D662D">
            <w:t>to introduce any regulatory change.</w:t>
          </w:r>
        </w:p>
        <w:p w14:paraId="2D76752E" w14:textId="77777777" w:rsidR="00E95361" w:rsidRDefault="00E95361" w:rsidP="00E95361">
          <w:pPr>
            <w:pStyle w:val="Heading3"/>
          </w:pPr>
          <w:r>
            <w:t>Stakeholder views</w:t>
          </w:r>
        </w:p>
        <w:p w14:paraId="3534DDC8" w14:textId="10B0A5C4" w:rsidR="00E95361" w:rsidRDefault="00E95361" w:rsidP="005D662D">
          <w:r>
            <w:t>Support for Option 3 was strong among consumers and consumer groups</w:t>
          </w:r>
          <w:r w:rsidR="009B5A01">
            <w:t>, and low among hospitality and seafood businesses</w:t>
          </w:r>
          <w:r>
            <w:t xml:space="preserve">. </w:t>
          </w:r>
        </w:p>
        <w:p w14:paraId="3D34E137" w14:textId="5026B22B" w:rsidR="0022435D" w:rsidRPr="0022435D" w:rsidRDefault="005E219B" w:rsidP="0043284D">
          <w:pPr>
            <w:pStyle w:val="Quote"/>
          </w:pPr>
          <w:r>
            <w:t>‘</w:t>
          </w:r>
          <w:r w:rsidR="0022435D" w:rsidRPr="0022435D">
            <w:t xml:space="preserve">As a long-time consumer of Australian </w:t>
          </w:r>
          <w:proofErr w:type="gramStart"/>
          <w:r w:rsidR="0022435D" w:rsidRPr="0022435D">
            <w:t>seafood</w:t>
          </w:r>
          <w:proofErr w:type="gramEnd"/>
          <w:r w:rsidR="0022435D" w:rsidRPr="0022435D">
            <w:t xml:space="preserve"> I believe it is difficult to make a decision about whether to purchase seafood in restaurants and cafes and retail fish shops which do not advertise the country of origin. I found the Consultation Regulatory Impact Statement to have stated the case fairly and believe that either the </w:t>
          </w:r>
          <w:r>
            <w:t>“</w:t>
          </w:r>
          <w:r w:rsidR="0022435D" w:rsidRPr="0022435D">
            <w:t>AIM” model or the “country</w:t>
          </w:r>
          <w:r>
            <w:t>”</w:t>
          </w:r>
          <w:r w:rsidR="0022435D" w:rsidRPr="0022435D">
            <w:t xml:space="preserve"> model would </w:t>
          </w:r>
          <w:proofErr w:type="gramStart"/>
          <w:r w:rsidR="0022435D" w:rsidRPr="0022435D">
            <w:t>definitely benefit</w:t>
          </w:r>
          <w:proofErr w:type="gramEnd"/>
          <w:r w:rsidR="0022435D" w:rsidRPr="0022435D">
            <w:t xml:space="preserve"> we consumers with the “country</w:t>
          </w:r>
          <w:r>
            <w:t>”</w:t>
          </w:r>
          <w:r w:rsidR="0022435D" w:rsidRPr="0022435D">
            <w:t xml:space="preserve"> model being my preferred option so that we are able to make an informed decision using the knowledge we have regarding Health and Safety concerns in each individual country.</w:t>
          </w:r>
          <w:r>
            <w:t>’</w:t>
          </w:r>
        </w:p>
        <w:p w14:paraId="24F7EBE9" w14:textId="5D60F009" w:rsidR="00E95361" w:rsidRDefault="00E95361" w:rsidP="00E95361">
          <w:pPr>
            <w:pStyle w:val="IntenseQuote"/>
            <w:ind w:left="862" w:right="862"/>
            <w:contextualSpacing/>
          </w:pPr>
          <w:r>
            <w:t>‘[</w:t>
          </w:r>
          <w:r w:rsidRPr="00907D7C">
            <w:t>C</w:t>
          </w:r>
          <w:r>
            <w:t>onsumers’ Federation of Australia]</w:t>
          </w:r>
          <w:r w:rsidRPr="00907D7C">
            <w:t xml:space="preserve"> supports a country-of-origin labelling model whereby seafood would need to be labelled with the </w:t>
          </w:r>
          <w:proofErr w:type="gramStart"/>
          <w:r w:rsidRPr="00907D7C">
            <w:t>particular country</w:t>
          </w:r>
          <w:proofErr w:type="gramEnd"/>
          <w:r w:rsidRPr="00907D7C">
            <w:t xml:space="preserve"> of origin (option 3, country model). We are not supportive of the alternative ‘AIM’ model (option 2), whereby businesses would label seafood as either Australian (A); imported (I); or mixed origin (M). </w:t>
          </w:r>
        </w:p>
        <w:p w14:paraId="6B7D471C" w14:textId="40B7BDF1" w:rsidR="00E95361" w:rsidRDefault="00E95361" w:rsidP="00E95361">
          <w:pPr>
            <w:pStyle w:val="IntenseQuote"/>
            <w:ind w:left="862" w:right="862"/>
            <w:contextualSpacing/>
          </w:pPr>
          <w:r w:rsidRPr="00907D7C">
            <w:t>CFA considers the benefit of option 3 compared to option 2 is significant, and the difference in costs associated with implementing and administering each model is likely to be small</w:t>
          </w:r>
          <w:r>
            <w:t>.’</w:t>
          </w:r>
        </w:p>
        <w:p w14:paraId="0F9EBD3F" w14:textId="1FA7B9F6" w:rsidR="0022435D" w:rsidRDefault="00E95361" w:rsidP="004A678C">
          <w:pPr>
            <w:pStyle w:val="IntenseQuote"/>
            <w:ind w:left="862" w:right="862"/>
            <w:contextualSpacing/>
          </w:pPr>
          <w:r>
            <w:t>— Consumers’ Federation of Australia</w:t>
          </w:r>
        </w:p>
        <w:p w14:paraId="0095DB47" w14:textId="2ABCE8D5" w:rsidR="00386AB1" w:rsidRDefault="00386AB1" w:rsidP="00386AB1"/>
        <w:p w14:paraId="2C3D0F51" w14:textId="7A56805E" w:rsidR="005F14BB" w:rsidRDefault="005F14BB" w:rsidP="005F14BB">
          <w:pPr>
            <w:pStyle w:val="IntenseQuote"/>
          </w:pPr>
          <w:r>
            <w:lastRenderedPageBreak/>
            <w:t>‘</w:t>
          </w:r>
          <w:r w:rsidRPr="005F14BB">
            <w:t>Option Three would require businesses to label on their menus the country of origin. This option would result in significant regulatory requirements on businesses.</w:t>
          </w:r>
          <w:r>
            <w:t>’ – Australian Hotels Association</w:t>
          </w:r>
        </w:p>
        <w:p w14:paraId="239A8513" w14:textId="77777777" w:rsidR="005F14BB" w:rsidRDefault="005F14BB" w:rsidP="005F14BB">
          <w:pPr>
            <w:pStyle w:val="IntenseQuote"/>
            <w:ind w:left="862" w:right="862"/>
            <w:contextualSpacing/>
          </w:pPr>
          <w:r>
            <w:t>‘[The]</w:t>
          </w:r>
          <w:r w:rsidR="00386AB1" w:rsidRPr="00386AB1">
            <w:t xml:space="preserve"> country model is less feasible…</w:t>
          </w:r>
          <w:r>
            <w:t xml:space="preserve"> </w:t>
          </w:r>
          <w:r w:rsidR="00386AB1" w:rsidRPr="00386AB1">
            <w:t xml:space="preserve">requiring businesses to differentiate between the international origins of the seafood they are serving would be onerous, would result in a more frequent need to change or alter menus if supply is unavailable or of mixed origins, and ultimately lower compliance with </w:t>
          </w:r>
          <w:r>
            <w:t>[seafood CoOL]</w:t>
          </w:r>
          <w:r w:rsidR="00386AB1" w:rsidRPr="00386AB1">
            <w:t>.</w:t>
          </w:r>
          <w:r>
            <w:t>’</w:t>
          </w:r>
          <w:r w:rsidR="00386AB1">
            <w:t xml:space="preserve"> </w:t>
          </w:r>
        </w:p>
        <w:p w14:paraId="66EE148C" w14:textId="4D233015" w:rsidR="00386AB1" w:rsidRPr="00386AB1" w:rsidRDefault="00386AB1" w:rsidP="005F14BB">
          <w:pPr>
            <w:pStyle w:val="IntenseQuote"/>
            <w:ind w:left="862" w:right="862"/>
            <w:contextualSpacing/>
          </w:pPr>
          <w:r>
            <w:t>– Australian Barramundi Farmers Association</w:t>
          </w:r>
        </w:p>
        <w:p w14:paraId="04EA605D" w14:textId="4F15A259" w:rsidR="00545B4C" w:rsidRDefault="00545B4C"/>
        <w:p w14:paraId="0C021184" w14:textId="77777777" w:rsidR="005F14BB" w:rsidRDefault="005F14BB"/>
        <w:p w14:paraId="7D1953D5" w14:textId="77777777" w:rsidR="005F14BB" w:rsidRDefault="005F14BB">
          <w:pPr>
            <w:rPr>
              <w:rFonts w:asciiTheme="majorHAnsi" w:eastAsiaTheme="majorEastAsia" w:hAnsiTheme="majorHAnsi" w:cstheme="majorBidi"/>
              <w:color w:val="005677" w:themeColor="text2"/>
              <w:sz w:val="48"/>
              <w:szCs w:val="32"/>
            </w:rPr>
          </w:pPr>
          <w:bookmarkStart w:id="107" w:name="_Toc141272745"/>
          <w:r>
            <w:br w:type="page"/>
          </w:r>
        </w:p>
        <w:p w14:paraId="745ACF51" w14:textId="1D37B4A1" w:rsidR="003143FA" w:rsidRPr="00F449E4" w:rsidRDefault="005D662D" w:rsidP="00073493">
          <w:pPr>
            <w:pStyle w:val="Heading1"/>
            <w:numPr>
              <w:ilvl w:val="0"/>
              <w:numId w:val="15"/>
            </w:numPr>
          </w:pPr>
          <w:bookmarkStart w:id="108" w:name="_Toc151719076"/>
          <w:r w:rsidRPr="00F449E4">
            <w:lastRenderedPageBreak/>
            <w:t>What is the net benefit of each option?</w:t>
          </w:r>
          <w:bookmarkStart w:id="109" w:name="_Toc141272746"/>
          <w:bookmarkStart w:id="110" w:name="_Toc141274657"/>
          <w:bookmarkEnd w:id="107"/>
          <w:bookmarkEnd w:id="108"/>
        </w:p>
        <w:p w14:paraId="6D1941F4" w14:textId="6C1A367C" w:rsidR="00374471" w:rsidRDefault="00A170DD">
          <w:pPr>
            <w:rPr>
              <w:lang w:val="en-US"/>
            </w:rPr>
          </w:pPr>
          <w:r>
            <w:rPr>
              <w:lang w:val="en-US"/>
            </w:rPr>
            <w:t>A CBA was undertaken to</w:t>
          </w:r>
          <w:r w:rsidR="00A52768">
            <w:rPr>
              <w:lang w:val="en-US"/>
            </w:rPr>
            <w:t xml:space="preserve"> </w:t>
          </w:r>
          <w:r w:rsidR="00A66D1C">
            <w:rPr>
              <w:lang w:val="en-US"/>
            </w:rPr>
            <w:t>ascertain the</w:t>
          </w:r>
          <w:r w:rsidR="00A52768">
            <w:rPr>
              <w:lang w:val="en-US"/>
            </w:rPr>
            <w:t xml:space="preserve"> </w:t>
          </w:r>
          <w:r w:rsidR="00A60BFA">
            <w:rPr>
              <w:lang w:val="en-US"/>
            </w:rPr>
            <w:t>community</w:t>
          </w:r>
          <w:r w:rsidR="00A52768">
            <w:rPr>
              <w:lang w:val="en-US"/>
            </w:rPr>
            <w:t xml:space="preserve"> impacts of </w:t>
          </w:r>
          <w:r w:rsidR="00D8474E">
            <w:rPr>
              <w:lang w:val="en-US"/>
            </w:rPr>
            <w:t>O</w:t>
          </w:r>
          <w:r>
            <w:rPr>
              <w:lang w:val="en-US"/>
            </w:rPr>
            <w:t>ption</w:t>
          </w:r>
          <w:r w:rsidR="00A52768">
            <w:rPr>
              <w:lang w:val="en-US"/>
            </w:rPr>
            <w:t xml:space="preserve"> 2 (AIM model) and </w:t>
          </w:r>
          <w:r w:rsidR="00D8474E">
            <w:rPr>
              <w:lang w:val="en-US"/>
            </w:rPr>
            <w:t>O</w:t>
          </w:r>
          <w:r w:rsidR="00A52768">
            <w:rPr>
              <w:lang w:val="en-US"/>
            </w:rPr>
            <w:t>ption 3 (</w:t>
          </w:r>
          <w:r w:rsidR="00D8474E">
            <w:rPr>
              <w:lang w:val="en-US"/>
            </w:rPr>
            <w:t>C</w:t>
          </w:r>
          <w:r w:rsidR="00A52768">
            <w:rPr>
              <w:lang w:val="en-US"/>
            </w:rPr>
            <w:t xml:space="preserve">ountry model) </w:t>
          </w:r>
          <w:r w:rsidR="00942D7F">
            <w:rPr>
              <w:lang w:val="en-US"/>
            </w:rPr>
            <w:t xml:space="preserve">in </w:t>
          </w:r>
          <w:r w:rsidR="00A52768">
            <w:rPr>
              <w:lang w:val="en-US"/>
            </w:rPr>
            <w:t>compar</w:t>
          </w:r>
          <w:r w:rsidR="00942D7F">
            <w:rPr>
              <w:lang w:val="en-US"/>
            </w:rPr>
            <w:t>ison</w:t>
          </w:r>
          <w:r w:rsidR="00A52768">
            <w:rPr>
              <w:lang w:val="en-US"/>
            </w:rPr>
            <w:t xml:space="preserve"> to</w:t>
          </w:r>
          <w:r w:rsidR="00102717">
            <w:rPr>
              <w:lang w:val="en-US"/>
            </w:rPr>
            <w:t xml:space="preserve"> </w:t>
          </w:r>
          <w:r w:rsidR="00D8474E">
            <w:rPr>
              <w:lang w:val="en-US"/>
            </w:rPr>
            <w:t>O</w:t>
          </w:r>
          <w:r w:rsidR="00A52768">
            <w:rPr>
              <w:lang w:val="en-US"/>
            </w:rPr>
            <w:t>ption 1 (</w:t>
          </w:r>
          <w:r w:rsidR="00D8474E">
            <w:rPr>
              <w:lang w:val="en-US"/>
            </w:rPr>
            <w:t>No change</w:t>
          </w:r>
          <w:r w:rsidR="00A52768">
            <w:rPr>
              <w:lang w:val="en-US"/>
            </w:rPr>
            <w:t>)</w:t>
          </w:r>
          <w:r w:rsidR="00942D7F">
            <w:rPr>
              <w:lang w:val="en-US"/>
            </w:rPr>
            <w:t xml:space="preserve"> over 10 years</w:t>
          </w:r>
          <w:r>
            <w:rPr>
              <w:lang w:val="en-US"/>
            </w:rPr>
            <w:t xml:space="preserve">. </w:t>
          </w:r>
          <w:r w:rsidR="00942D7F">
            <w:rPr>
              <w:lang w:val="en-US"/>
            </w:rPr>
            <w:t xml:space="preserve">The </w:t>
          </w:r>
          <w:r w:rsidR="00A60BFA">
            <w:rPr>
              <w:lang w:val="en-US"/>
            </w:rPr>
            <w:t>key</w:t>
          </w:r>
          <w:r w:rsidR="00942D7F">
            <w:rPr>
              <w:lang w:val="en-US"/>
            </w:rPr>
            <w:t xml:space="preserve"> stakeholder groups</w:t>
          </w:r>
          <w:r w:rsidR="00717596">
            <w:rPr>
              <w:lang w:val="en-US"/>
            </w:rPr>
            <w:t xml:space="preserve"> that will be impacted by </w:t>
          </w:r>
          <w:r w:rsidR="0039667A">
            <w:rPr>
              <w:lang w:val="en-US"/>
            </w:rPr>
            <w:t>s</w:t>
          </w:r>
          <w:r w:rsidR="00717596">
            <w:rPr>
              <w:lang w:val="en-US"/>
            </w:rPr>
            <w:t>eafood CoOL are:</w:t>
          </w:r>
        </w:p>
        <w:p w14:paraId="714D12EC" w14:textId="560962F7" w:rsidR="00942D7F" w:rsidRPr="0043284D" w:rsidRDefault="00717596" w:rsidP="0043284D">
          <w:pPr>
            <w:numPr>
              <w:ilvl w:val="0"/>
              <w:numId w:val="1"/>
            </w:numPr>
          </w:pPr>
          <w:r w:rsidRPr="0043284D">
            <w:t>c</w:t>
          </w:r>
          <w:r w:rsidR="00942D7F" w:rsidRPr="0043284D">
            <w:t>onsumers</w:t>
          </w:r>
          <w:r w:rsidRPr="0043284D">
            <w:t xml:space="preserve"> who would have increased access to </w:t>
          </w:r>
          <w:r w:rsidR="0039667A">
            <w:t>s</w:t>
          </w:r>
          <w:r w:rsidRPr="0043284D">
            <w:t>eafood CoOL if it became mandatory</w:t>
          </w:r>
        </w:p>
        <w:p w14:paraId="0AB14BFD" w14:textId="412694A4" w:rsidR="00942D7F" w:rsidRPr="0043284D" w:rsidRDefault="00717596" w:rsidP="0043284D">
          <w:pPr>
            <w:numPr>
              <w:ilvl w:val="0"/>
              <w:numId w:val="1"/>
            </w:numPr>
          </w:pPr>
          <w:r w:rsidRPr="0043284D">
            <w:t>h</w:t>
          </w:r>
          <w:r w:rsidR="00942D7F" w:rsidRPr="0043284D">
            <w:t>ospitality businesses</w:t>
          </w:r>
          <w:r w:rsidRPr="0043284D">
            <w:t xml:space="preserve"> which would need to provide </w:t>
          </w:r>
          <w:r w:rsidR="0039667A">
            <w:t>s</w:t>
          </w:r>
          <w:r w:rsidRPr="0043284D">
            <w:t>eafood CoOL to consumers</w:t>
          </w:r>
        </w:p>
        <w:p w14:paraId="794C3EE3" w14:textId="5829EB65" w:rsidR="008A7326" w:rsidRPr="0043284D" w:rsidRDefault="008A7326" w:rsidP="008A7326">
          <w:pPr>
            <w:numPr>
              <w:ilvl w:val="0"/>
              <w:numId w:val="1"/>
            </w:numPr>
          </w:pPr>
          <w:bookmarkStart w:id="111" w:name="_Toc141272756"/>
          <w:bookmarkStart w:id="112" w:name="_Toc141274667"/>
          <w:bookmarkEnd w:id="109"/>
          <w:bookmarkEnd w:id="110"/>
          <w:r w:rsidRPr="0043284D">
            <w:t xml:space="preserve">government which would be responsible for implementation (including providing guidance and education and awareness </w:t>
          </w:r>
          <w:r w:rsidR="00B26F5A">
            <w:t>to</w:t>
          </w:r>
          <w:r w:rsidRPr="0043284D">
            <w:t xml:space="preserve"> businesses and consumers), compliance, and enforcement of </w:t>
          </w:r>
          <w:r>
            <w:t>s</w:t>
          </w:r>
          <w:r w:rsidRPr="0043284D">
            <w:t>eafood CoOL</w:t>
          </w:r>
        </w:p>
        <w:p w14:paraId="0DA9DE42" w14:textId="76F3929B" w:rsidR="008A7326" w:rsidRPr="0043284D" w:rsidRDefault="008A7326" w:rsidP="008A7326">
          <w:pPr>
            <w:numPr>
              <w:ilvl w:val="0"/>
              <w:numId w:val="1"/>
            </w:numPr>
          </w:pPr>
          <w:r w:rsidRPr="0043284D">
            <w:t>the seafood industry which supplies seafood to hospitality businesses</w:t>
          </w:r>
          <w:r>
            <w:t>.</w:t>
          </w:r>
        </w:p>
        <w:p w14:paraId="7077286E" w14:textId="685B6341" w:rsidR="008A7326" w:rsidRPr="001258B3" w:rsidRDefault="008A7326" w:rsidP="00073493">
          <w:pPr>
            <w:pStyle w:val="Heading2"/>
            <w:numPr>
              <w:ilvl w:val="1"/>
              <w:numId w:val="15"/>
            </w:numPr>
          </w:pPr>
          <w:bookmarkStart w:id="113" w:name="_Toc151719077"/>
          <w:r w:rsidRPr="00331076">
            <w:t>Key findings</w:t>
          </w:r>
          <w:bookmarkEnd w:id="113"/>
          <w:r w:rsidRPr="00331076">
            <w:t xml:space="preserve"> </w:t>
          </w:r>
        </w:p>
        <w:p w14:paraId="2656F448" w14:textId="0F120E4D" w:rsidR="008A7326" w:rsidRDefault="008A7326" w:rsidP="008A7326">
          <w:pPr>
            <w:pStyle w:val="Heading3"/>
            <w:rPr>
              <w:lang w:val="en-US"/>
            </w:rPr>
          </w:pPr>
          <w:r>
            <w:rPr>
              <w:lang w:val="en-US"/>
            </w:rPr>
            <w:t>Benefits</w:t>
          </w:r>
        </w:p>
        <w:p w14:paraId="70E62C6B" w14:textId="5D60369F" w:rsidR="008A7326" w:rsidRDefault="008A7326" w:rsidP="008A7326">
          <w:pPr>
            <w:rPr>
              <w:lang w:val="en-US"/>
            </w:rPr>
          </w:pPr>
          <w:r w:rsidRPr="005D662D">
            <w:rPr>
              <w:lang w:val="en-US"/>
            </w:rPr>
            <w:t xml:space="preserve">The key benefit </w:t>
          </w:r>
          <w:r w:rsidR="00D906D1">
            <w:rPr>
              <w:lang w:val="en-US"/>
            </w:rPr>
            <w:t xml:space="preserve">identified </w:t>
          </w:r>
          <w:r>
            <w:rPr>
              <w:lang w:val="en-US"/>
            </w:rPr>
            <w:t>was increased utility to</w:t>
          </w:r>
          <w:r w:rsidRPr="005D662D">
            <w:rPr>
              <w:lang w:val="en-US"/>
            </w:rPr>
            <w:t xml:space="preserve"> consumers. Seafood CoOL would inform consumers </w:t>
          </w:r>
          <w:r>
            <w:rPr>
              <w:lang w:val="en-US"/>
            </w:rPr>
            <w:t xml:space="preserve">in a consistent way </w:t>
          </w:r>
          <w:r w:rsidR="00C34C4B">
            <w:rPr>
              <w:lang w:val="en-US"/>
            </w:rPr>
            <w:t xml:space="preserve">about </w:t>
          </w:r>
          <w:r w:rsidR="009B5A01">
            <w:rPr>
              <w:lang w:val="en-US"/>
            </w:rPr>
            <w:t>origin</w:t>
          </w:r>
          <w:r w:rsidR="009B5A01" w:rsidRPr="005D662D">
            <w:rPr>
              <w:lang w:val="en-US"/>
            </w:rPr>
            <w:t xml:space="preserve"> </w:t>
          </w:r>
          <w:r w:rsidRPr="005D662D">
            <w:rPr>
              <w:lang w:val="en-US"/>
            </w:rPr>
            <w:t xml:space="preserve">information </w:t>
          </w:r>
          <w:r w:rsidR="00C34C4B">
            <w:rPr>
              <w:lang w:val="en-US"/>
            </w:rPr>
            <w:t xml:space="preserve">when considering </w:t>
          </w:r>
          <w:r w:rsidRPr="005D662D">
            <w:rPr>
              <w:lang w:val="en-US"/>
            </w:rPr>
            <w:t>their purchasing decisions</w:t>
          </w:r>
          <w:r>
            <w:rPr>
              <w:lang w:val="en-US"/>
            </w:rPr>
            <w:t xml:space="preserve">. The benefit was measured in the CBA by consumer willingness to pay (WTP) for seafood CoOL on top of the usual price of seafood and seafood </w:t>
          </w:r>
          <w:r w:rsidR="007E6D56">
            <w:rPr>
              <w:lang w:val="en-US"/>
            </w:rPr>
            <w:t>dishes</w:t>
          </w:r>
          <w:r>
            <w:rPr>
              <w:lang w:val="en-US"/>
            </w:rPr>
            <w:t xml:space="preserve">. </w:t>
          </w:r>
        </w:p>
        <w:p w14:paraId="34FF7AA2" w14:textId="561179F2" w:rsidR="0083723A" w:rsidRDefault="0083723A" w:rsidP="0083723A">
          <w:pPr>
            <w:rPr>
              <w:rFonts w:ascii="Calibri" w:eastAsia="Verdana" w:hAnsi="Calibri" w:cs="Calibri"/>
              <w:color w:val="000000"/>
              <w:lang w:val="en-US"/>
            </w:rPr>
          </w:pPr>
          <w:r>
            <w:rPr>
              <w:rFonts w:ascii="Calibri" w:eastAsia="Verdana" w:hAnsi="Calibri" w:cs="Calibri"/>
              <w:color w:val="000000"/>
              <w:lang w:val="en-US"/>
            </w:rPr>
            <w:t xml:space="preserve">Beyond consumer utility, qualitative insights from surveys conducted as part of the CBA </w:t>
          </w:r>
          <w:r w:rsidR="00437D5B">
            <w:rPr>
              <w:rFonts w:ascii="Calibri" w:eastAsia="Verdana" w:hAnsi="Calibri" w:cs="Calibri"/>
              <w:color w:val="000000"/>
              <w:lang w:val="en-US"/>
            </w:rPr>
            <w:t xml:space="preserve">process </w:t>
          </w:r>
          <w:r>
            <w:rPr>
              <w:rFonts w:ascii="Calibri" w:eastAsia="Verdana" w:hAnsi="Calibri" w:cs="Calibri"/>
              <w:color w:val="000000"/>
              <w:lang w:val="en-US"/>
            </w:rPr>
            <w:t xml:space="preserve">showed that </w:t>
          </w:r>
          <w:r w:rsidR="002319DE">
            <w:rPr>
              <w:rFonts w:ascii="Calibri" w:eastAsia="Verdana" w:hAnsi="Calibri" w:cs="Calibri"/>
              <w:color w:val="000000"/>
              <w:lang w:val="en-US"/>
            </w:rPr>
            <w:t xml:space="preserve">a flow on </w:t>
          </w:r>
          <w:r>
            <w:rPr>
              <w:rFonts w:ascii="Calibri" w:eastAsia="Verdana" w:hAnsi="Calibri" w:cs="Calibri"/>
              <w:color w:val="000000"/>
              <w:lang w:val="en-US"/>
            </w:rPr>
            <w:t xml:space="preserve">benefit expected from seafood CoOL is increased demand for Australian seafood. This could </w:t>
          </w:r>
          <w:r w:rsidR="002319DE">
            <w:rPr>
              <w:rFonts w:ascii="Calibri" w:eastAsia="Verdana" w:hAnsi="Calibri" w:cs="Calibri"/>
              <w:color w:val="000000"/>
              <w:lang w:val="en-US"/>
            </w:rPr>
            <w:t>support</w:t>
          </w:r>
          <w:r>
            <w:rPr>
              <w:rFonts w:ascii="Calibri" w:eastAsia="Verdana" w:hAnsi="Calibri" w:cs="Calibri"/>
              <w:color w:val="000000"/>
              <w:lang w:val="en-US"/>
            </w:rPr>
            <w:t xml:space="preserve"> the growth of the Australian seafood industry. Survey results indicated that consumers prefer Australian seafood products. </w:t>
          </w:r>
          <w:r w:rsidR="003F24C3">
            <w:rPr>
              <w:rFonts w:ascii="Calibri" w:eastAsia="Verdana" w:hAnsi="Calibri" w:cs="Calibri"/>
              <w:color w:val="000000"/>
              <w:lang w:val="en-US"/>
            </w:rPr>
            <w:t>As an indirect impact of seafood CoOL, i</w:t>
          </w:r>
          <w:r>
            <w:rPr>
              <w:rFonts w:ascii="Calibri" w:eastAsia="Verdana" w:hAnsi="Calibri" w:cs="Calibri"/>
              <w:color w:val="000000"/>
              <w:lang w:val="en-US"/>
            </w:rPr>
            <w:t xml:space="preserve">t is expected that consumers would demand or purchase more Australian seafood if they are better able to identify it. Approximately 80% of consumers that participated in the </w:t>
          </w:r>
          <w:r w:rsidR="007E6D56">
            <w:rPr>
              <w:rFonts w:ascii="Calibri" w:eastAsia="Verdana" w:hAnsi="Calibri" w:cs="Calibri"/>
              <w:color w:val="000000"/>
              <w:lang w:val="en-US"/>
            </w:rPr>
            <w:t>survey</w:t>
          </w:r>
          <w:r w:rsidR="0052748F">
            <w:rPr>
              <w:rFonts w:ascii="Calibri" w:eastAsia="Verdana" w:hAnsi="Calibri" w:cs="Calibri"/>
              <w:color w:val="000000"/>
              <w:lang w:val="en-US"/>
            </w:rPr>
            <w:t>s</w:t>
          </w:r>
          <w:r>
            <w:rPr>
              <w:rFonts w:ascii="Calibri" w:eastAsia="Verdana" w:hAnsi="Calibri" w:cs="Calibri"/>
              <w:color w:val="000000"/>
              <w:lang w:val="en-US"/>
            </w:rPr>
            <w:t xml:space="preserve"> indicated that they would be willing to pay more for Australian seafood. </w:t>
          </w:r>
        </w:p>
        <w:p w14:paraId="48106940" w14:textId="7780203D" w:rsidR="0083723A" w:rsidRPr="00102717" w:rsidRDefault="0083723A" w:rsidP="0083723A">
          <w:pPr>
            <w:rPr>
              <w:rFonts w:ascii="Calibri" w:eastAsia="Verdana" w:hAnsi="Calibri" w:cs="Calibri"/>
              <w:color w:val="000000"/>
              <w:lang w:val="en-US"/>
            </w:rPr>
          </w:pPr>
          <w:r w:rsidRPr="005D662D">
            <w:t>Increased transparency in seafood CoOL information may</w:t>
          </w:r>
          <w:r>
            <w:t xml:space="preserve"> also</w:t>
          </w:r>
          <w:r w:rsidRPr="005D662D">
            <w:t xml:space="preserve"> help ensure an ‘equal playing field’ or fair competition in the marketplace for the Australian seafood industry.</w:t>
          </w:r>
          <w:r>
            <w:rPr>
              <w:rFonts w:ascii="Calibri" w:eastAsia="Verdana" w:hAnsi="Calibri" w:cs="Calibri"/>
              <w:color w:val="000000"/>
              <w:lang w:val="en-US"/>
            </w:rPr>
            <w:t xml:space="preserve"> Of the businesses that participated in the survey</w:t>
          </w:r>
          <w:r w:rsidR="00F42D9F">
            <w:rPr>
              <w:rFonts w:ascii="Calibri" w:eastAsia="Verdana" w:hAnsi="Calibri" w:cs="Calibri"/>
              <w:color w:val="000000"/>
              <w:lang w:val="en-US"/>
            </w:rPr>
            <w:t>s</w:t>
          </w:r>
          <w:r>
            <w:rPr>
              <w:rFonts w:ascii="Calibri" w:eastAsia="Verdana" w:hAnsi="Calibri" w:cs="Calibri"/>
              <w:color w:val="000000"/>
              <w:lang w:val="en-US"/>
            </w:rPr>
            <w:t xml:space="preserve">, 56% indicated that they would be likely to stock more Australian seafood because of seafood CoOL. </w:t>
          </w:r>
        </w:p>
        <w:p w14:paraId="006B50B5" w14:textId="77777777" w:rsidR="008A7326" w:rsidRDefault="008A7326" w:rsidP="008A7326">
          <w:pPr>
            <w:pStyle w:val="Heading3"/>
            <w:rPr>
              <w:rFonts w:eastAsia="Verdana"/>
              <w:lang w:val="en-US"/>
            </w:rPr>
          </w:pPr>
          <w:r>
            <w:rPr>
              <w:rFonts w:eastAsia="Verdana"/>
              <w:lang w:val="en-US"/>
            </w:rPr>
            <w:t>Costs</w:t>
          </w:r>
        </w:p>
        <w:p w14:paraId="52ADC28E" w14:textId="2A690E18" w:rsidR="00F6281C" w:rsidRDefault="00F6281C" w:rsidP="00F6281C">
          <w:pPr>
            <w:spacing w:after="120" w:line="264" w:lineRule="auto"/>
            <w:rPr>
              <w:rFonts w:ascii="Calibri" w:eastAsia="Verdana" w:hAnsi="Calibri" w:cs="Calibri"/>
              <w:color w:val="000000"/>
              <w:lang w:val="en-US"/>
            </w:rPr>
          </w:pPr>
          <w:r>
            <w:rPr>
              <w:rFonts w:ascii="Calibri" w:eastAsia="Verdana" w:hAnsi="Calibri" w:cs="Calibri"/>
              <w:color w:val="000000"/>
              <w:lang w:val="en-US"/>
            </w:rPr>
            <w:t xml:space="preserve">There would be increased costs to the hospitality industry to comply with seafood CoOL and costs to government to regulate it. The costs to industry include upfront costs to establish new labelling practices </w:t>
          </w:r>
          <w:r w:rsidRPr="001171C2">
            <w:rPr>
              <w:rFonts w:ascii="Calibri" w:eastAsia="Verdana" w:hAnsi="Calibri" w:cs="Calibri"/>
              <w:color w:val="000000"/>
              <w:lang w:val="en-US"/>
            </w:rPr>
            <w:t>(such as staff time,</w:t>
          </w:r>
          <w:r w:rsidR="00A26236">
            <w:rPr>
              <w:rFonts w:ascii="Calibri" w:eastAsia="Verdana" w:hAnsi="Calibri" w:cs="Calibri"/>
              <w:color w:val="000000"/>
              <w:lang w:val="en-US"/>
            </w:rPr>
            <w:t xml:space="preserve"> systems and</w:t>
          </w:r>
          <w:r w:rsidRPr="001171C2">
            <w:rPr>
              <w:rFonts w:ascii="Calibri" w:eastAsia="Verdana" w:hAnsi="Calibri" w:cs="Calibri"/>
              <w:color w:val="000000"/>
              <w:lang w:val="en-US"/>
            </w:rPr>
            <w:t xml:space="preserve"> IT, external advice, process set up)</w:t>
          </w:r>
          <w:r>
            <w:rPr>
              <w:rFonts w:ascii="Calibri" w:eastAsia="Verdana" w:hAnsi="Calibri" w:cs="Calibri"/>
              <w:color w:val="000000"/>
              <w:lang w:val="en-US"/>
            </w:rPr>
            <w:t xml:space="preserve"> and ongoing costs of updating menus if the origin of seafood changes</w:t>
          </w:r>
          <w:r w:rsidR="00EE72DC">
            <w:rPr>
              <w:rFonts w:ascii="Calibri" w:eastAsia="Verdana" w:hAnsi="Calibri" w:cs="Calibri"/>
              <w:color w:val="000000"/>
              <w:lang w:val="en-US"/>
            </w:rPr>
            <w:t xml:space="preserve">. This </w:t>
          </w:r>
          <w:r w:rsidR="001624DD">
            <w:rPr>
              <w:rFonts w:ascii="Calibri" w:eastAsia="Verdana" w:hAnsi="Calibri" w:cs="Calibri"/>
              <w:color w:val="000000"/>
              <w:lang w:val="en-US"/>
            </w:rPr>
            <w:t xml:space="preserve">includes </w:t>
          </w:r>
          <w:r w:rsidR="001624DD" w:rsidRPr="001171C2">
            <w:rPr>
              <w:rFonts w:ascii="Calibri" w:eastAsia="Verdana" w:hAnsi="Calibri" w:cs="Calibri"/>
              <w:color w:val="000000"/>
              <w:lang w:val="en-US"/>
            </w:rPr>
            <w:t>the</w:t>
          </w:r>
          <w:r w:rsidRPr="001171C2">
            <w:rPr>
              <w:rFonts w:ascii="Calibri" w:eastAsia="Verdana" w:hAnsi="Calibri" w:cs="Calibri"/>
              <w:color w:val="000000"/>
              <w:lang w:val="en-US"/>
            </w:rPr>
            <w:t xml:space="preserve"> time and resources required to update and relabel menus as well as any other ongoing costs to maintain labelling practices such as record keeping</w:t>
          </w:r>
          <w:r>
            <w:rPr>
              <w:rFonts w:ascii="Calibri" w:eastAsia="Verdana" w:hAnsi="Calibri" w:cs="Calibri"/>
              <w:color w:val="000000"/>
              <w:lang w:val="en-US"/>
            </w:rPr>
            <w:t xml:space="preserve">. </w:t>
          </w:r>
        </w:p>
        <w:p w14:paraId="6F0DB0ED" w14:textId="05157801" w:rsidR="00F6281C" w:rsidRDefault="00EE72DC" w:rsidP="00F6281C">
          <w:pPr>
            <w:spacing w:after="120" w:line="264" w:lineRule="auto"/>
            <w:rPr>
              <w:rFonts w:ascii="Calibri" w:eastAsia="Verdana" w:hAnsi="Calibri" w:cs="Calibri"/>
              <w:color w:val="000000"/>
              <w:lang w:val="en-US"/>
            </w:rPr>
          </w:pPr>
          <w:r>
            <w:rPr>
              <w:rFonts w:ascii="Calibri" w:eastAsia="Verdana" w:hAnsi="Calibri" w:cs="Calibri"/>
              <w:color w:val="000000"/>
              <w:lang w:val="en-US"/>
            </w:rPr>
            <w:t>The d</w:t>
          </w:r>
          <w:r w:rsidR="00F6281C">
            <w:rPr>
              <w:rFonts w:ascii="Calibri" w:eastAsia="Verdana" w:hAnsi="Calibri" w:cs="Calibri"/>
              <w:color w:val="000000"/>
              <w:lang w:val="en-US"/>
            </w:rPr>
            <w:t xml:space="preserve">ifference in industry costs between the AIM and Country model is due to the higher compliance burden on businesses. For example, upfront or once-off costs for the Country model were higher because only 6% of businesses surveyed for the CBA reported that their current labelling is consistent with the Country model, compared to 43% for the AIM model, meaning it would cost industry more to become compliant with seafood CoOL at the outset (Deloitte 2023). The Country model would also </w:t>
          </w:r>
          <w:r w:rsidR="00F6281C">
            <w:rPr>
              <w:rFonts w:ascii="Calibri" w:eastAsia="Verdana" w:hAnsi="Calibri" w:cs="Calibri"/>
              <w:color w:val="000000"/>
              <w:lang w:val="en-US"/>
            </w:rPr>
            <w:lastRenderedPageBreak/>
            <w:t xml:space="preserve">require more frequent menu updates for businesses to maintain compliance as the country of origin for imported seafood changes.  </w:t>
          </w:r>
        </w:p>
        <w:p w14:paraId="7B497126" w14:textId="0D15859D" w:rsidR="00F6281C" w:rsidRDefault="00F6281C" w:rsidP="00F6281C">
          <w:pPr>
            <w:spacing w:after="120" w:line="264" w:lineRule="auto"/>
            <w:rPr>
              <w:rFonts w:ascii="Calibri" w:eastAsia="Verdana" w:hAnsi="Calibri" w:cs="Calibri"/>
              <w:color w:val="000000"/>
              <w:lang w:val="en-US"/>
            </w:rPr>
          </w:pPr>
          <w:r>
            <w:rPr>
              <w:rFonts w:ascii="Calibri" w:eastAsia="Verdana" w:hAnsi="Calibri" w:cs="Calibri"/>
              <w:color w:val="000000"/>
              <w:lang w:val="en-US"/>
            </w:rPr>
            <w:t xml:space="preserve">The costs to government include costs of providing education, awareness, and guidance on seafood CoOL, carrying out compliance inspections, and receiving and handling complaints and enquiries. </w:t>
          </w:r>
        </w:p>
        <w:p w14:paraId="260BA6BF" w14:textId="77777777" w:rsidR="00CF3589" w:rsidRDefault="00CF3589" w:rsidP="00CF3589">
          <w:pPr>
            <w:pStyle w:val="Heading3"/>
            <w:rPr>
              <w:lang w:val="en-US"/>
            </w:rPr>
          </w:pPr>
          <w:r>
            <w:rPr>
              <w:lang w:val="en-US"/>
            </w:rPr>
            <w:t>Benefit to cost ratio (BCR)</w:t>
          </w:r>
        </w:p>
        <w:p w14:paraId="2808C129" w14:textId="3B60B93F" w:rsidR="00CF3589" w:rsidRDefault="00CF3589" w:rsidP="00CF3589">
          <w:pPr>
            <w:rPr>
              <w:lang w:val="en-US"/>
            </w:rPr>
          </w:pPr>
          <w:r>
            <w:rPr>
              <w:lang w:val="en-US"/>
            </w:rPr>
            <w:t xml:space="preserve">The CBA found that the AIM model had the highest net benefit. It returned the highest benefit to cost ratio (BCR) of </w:t>
          </w:r>
          <w:r w:rsidRPr="001140EB">
            <w:rPr>
              <w:lang w:val="en-US"/>
            </w:rPr>
            <w:t>1.33</w:t>
          </w:r>
          <w:r>
            <w:rPr>
              <w:lang w:val="en-US"/>
            </w:rPr>
            <w:t xml:space="preserve">, meaning the benefits of the AIM model would outweigh the costs. The Country model returned a BCR of 0.81, meaning the costs would outweigh the benefits. </w:t>
          </w:r>
        </w:p>
        <w:p w14:paraId="72E6F837" w14:textId="406E6880" w:rsidR="00CF3589" w:rsidRDefault="00CF3589" w:rsidP="00CF3589">
          <w:r w:rsidRPr="00570616">
            <w:t xml:space="preserve">BCR </w:t>
          </w:r>
          <w:r>
            <w:t xml:space="preserve">considers benefits relative to costs, like a </w:t>
          </w:r>
          <w:r w:rsidRPr="00570616">
            <w:t xml:space="preserve">return </w:t>
          </w:r>
          <w:r w:rsidR="00D906D1">
            <w:t>on</w:t>
          </w:r>
          <w:r w:rsidRPr="00570616">
            <w:t xml:space="preserve"> investment. </w:t>
          </w:r>
          <w:r>
            <w:t>So, t</w:t>
          </w:r>
          <w:r w:rsidRPr="00570616">
            <w:t xml:space="preserve">he larger the BCR, the greater </w:t>
          </w:r>
          <w:r>
            <w:t xml:space="preserve">the </w:t>
          </w:r>
          <w:r w:rsidRPr="00570616">
            <w:t xml:space="preserve">anticipated return to the modelled </w:t>
          </w:r>
          <w:r>
            <w:t xml:space="preserve">scenario (Deloitte 2023). This means that </w:t>
          </w:r>
          <w:r w:rsidR="00D906D1">
            <w:t xml:space="preserve">for </w:t>
          </w:r>
          <w:r>
            <w:t>every dollar incurred for the AIM model, there</w:t>
          </w:r>
          <w:r w:rsidR="00A26236">
            <w:t xml:space="preserve"> </w:t>
          </w:r>
          <w:r w:rsidR="00D906D1">
            <w:t>is an estimated</w:t>
          </w:r>
          <w:r>
            <w:t xml:space="preserve"> $1.33 of benefits. For the Country model, there would be $0.81 of benefits (or a $0.19 loss). </w:t>
          </w:r>
        </w:p>
        <w:p w14:paraId="21CD4A45" w14:textId="77777777" w:rsidR="00CF3589" w:rsidRDefault="00CF3589" w:rsidP="00CF3589">
          <w:pPr>
            <w:pStyle w:val="Heading3"/>
          </w:pPr>
          <w:r>
            <w:t>Net present value (NPV)</w:t>
          </w:r>
        </w:p>
        <w:p w14:paraId="5BA70F4F" w14:textId="77777777" w:rsidR="00CF3589" w:rsidRDefault="00CF3589" w:rsidP="00CF3589">
          <w:r>
            <w:t xml:space="preserve">The CBA also found that the net present value (NPV) for the AIM model was $191 million and -$185 million for the Country model. </w:t>
          </w:r>
        </w:p>
        <w:p w14:paraId="33032629" w14:textId="439E90BA" w:rsidR="00CF3589" w:rsidRDefault="00CF3589" w:rsidP="00CF3589">
          <w:r w:rsidRPr="00570616">
            <w:t xml:space="preserve">The NPV </w:t>
          </w:r>
          <w:r>
            <w:t>measures</w:t>
          </w:r>
          <w:r w:rsidRPr="00570616">
            <w:t xml:space="preserve"> the benefits of pursuing an option (relative to the </w:t>
          </w:r>
          <w:r>
            <w:t>status quo</w:t>
          </w:r>
          <w:r w:rsidRPr="00570616">
            <w:t xml:space="preserve">), minus the costs of pursuing that option (also calculated relative to the </w:t>
          </w:r>
          <w:r>
            <w:t>status quo</w:t>
          </w:r>
          <w:r w:rsidRPr="00570616">
            <w:t>)</w:t>
          </w:r>
          <w:r>
            <w:t>, with a discount rate applied</w:t>
          </w:r>
          <w:r w:rsidR="009B5A01">
            <w:t xml:space="preserve">. </w:t>
          </w:r>
          <w:r w:rsidR="009B5A01" w:rsidRPr="009B5A01">
            <w:t>The discount rate is the percentage rate at which future values are reduced to bring them into line with today’s values.</w:t>
          </w:r>
          <w:r>
            <w:t xml:space="preserve"> Where the NPV is positive,</w:t>
          </w:r>
          <w:r w:rsidRPr="00570616">
            <w:t xml:space="preserve"> the benefits of pursuing the option outweigh the costs</w:t>
          </w:r>
          <w:r>
            <w:t xml:space="preserve"> (Deloitte 2023)</w:t>
          </w:r>
          <w:r w:rsidRPr="00570616">
            <w:t xml:space="preserve">. </w:t>
          </w:r>
        </w:p>
        <w:p w14:paraId="1ADBD248" w14:textId="6266795C" w:rsidR="00CF3589" w:rsidRDefault="00CF3589" w:rsidP="00CF3589">
          <w:r>
            <w:t xml:space="preserve">The table below is a summary of the costs and benefits used to calculate the BCR and NPV for each model. A detailed breakdown is below at </w:t>
          </w:r>
          <w:r w:rsidRPr="009B5A01">
            <w:t xml:space="preserve">section </w:t>
          </w:r>
          <w:r w:rsidRPr="005F4534">
            <w:t>5.2</w:t>
          </w:r>
          <w:r w:rsidR="002044AD">
            <w:t>.</w:t>
          </w:r>
        </w:p>
        <w:p w14:paraId="7E1ED065" w14:textId="77777777" w:rsidR="00CF3589" w:rsidRDefault="00CF3589" w:rsidP="00CF3589">
          <w:pPr>
            <w:rPr>
              <w:i/>
              <w:iCs/>
              <w:color w:val="005677" w:themeColor="text2"/>
              <w:szCs w:val="18"/>
            </w:rPr>
          </w:pPr>
          <w:r>
            <w:br w:type="page"/>
          </w:r>
        </w:p>
        <w:p w14:paraId="7F2DB464" w14:textId="402F20F8" w:rsidR="00CF3589" w:rsidRPr="001347DC" w:rsidRDefault="00CF3589" w:rsidP="00CF3589">
          <w:pPr>
            <w:pStyle w:val="Caption"/>
          </w:pPr>
          <w:r>
            <w:lastRenderedPageBreak/>
            <w:t>Table 1: Costs and benefits for CBA</w:t>
          </w:r>
          <w:r w:rsidR="00494F61">
            <w:t xml:space="preserve"> over 10 year period</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Costs and benefits for CBA"/>
          </w:tblPr>
          <w:tblGrid>
            <w:gridCol w:w="3518"/>
            <w:gridCol w:w="2587"/>
            <w:gridCol w:w="2588"/>
          </w:tblGrid>
          <w:tr w:rsidR="00CF3589" w:rsidRPr="00F600E3" w14:paraId="6ECF81C1" w14:textId="77777777" w:rsidTr="003122B9">
            <w:trPr>
              <w:trHeight w:hRule="exact" w:val="864"/>
              <w:tblHeader/>
            </w:trPr>
            <w:tc>
              <w:tcPr>
                <w:tcW w:w="3518" w:type="dxa"/>
                <w:tcBorders>
                  <w:top w:val="nil"/>
                  <w:left w:val="nil"/>
                </w:tcBorders>
              </w:tcPr>
              <w:p w14:paraId="176E4A5B" w14:textId="77777777" w:rsidR="00CF3589" w:rsidRPr="00F600E3" w:rsidRDefault="00CF3589" w:rsidP="003122B9">
                <w:pPr>
                  <w:spacing w:before="60" w:after="60"/>
                  <w:rPr>
                    <w:rFonts w:ascii="Calibri" w:eastAsia="Calibri" w:hAnsi="Calibri" w:cs="Times New Roman"/>
                    <w:color w:val="262626"/>
                    <w:lang w:val="en-US"/>
                  </w:rPr>
                </w:pPr>
                <w:r w:rsidRPr="00F600E3">
                  <w:rPr>
                    <w:rFonts w:ascii="Calibri" w:eastAsia="Calibri" w:hAnsi="Calibri" w:cs="Times New Roman"/>
                    <w:color w:val="262626"/>
                    <w:lang w:val="en-US"/>
                  </w:rPr>
                  <w:t xml:space="preserve"> </w:t>
                </w:r>
              </w:p>
            </w:tc>
            <w:tc>
              <w:tcPr>
                <w:tcW w:w="2587" w:type="dxa"/>
                <w:tcBorders>
                  <w:bottom w:val="single" w:sz="4" w:space="0" w:color="auto"/>
                </w:tcBorders>
                <w:shd w:val="clear" w:color="auto" w:fill="D7EFF2" w:themeFill="accent5" w:themeFillTint="66"/>
                <w:vAlign w:val="center"/>
              </w:tcPr>
              <w:p w14:paraId="7D27396E" w14:textId="77777777" w:rsidR="00CF3589" w:rsidRDefault="00CF3589" w:rsidP="003122B9">
                <w:pPr>
                  <w:spacing w:before="60" w:after="60"/>
                  <w:jc w:val="center"/>
                  <w:rPr>
                    <w:rFonts w:ascii="Calibri" w:eastAsia="Calibri" w:hAnsi="Calibri" w:cs="Times New Roman"/>
                    <w:b/>
                    <w:color w:val="262626"/>
                    <w:lang w:val="en-US"/>
                  </w:rPr>
                </w:pPr>
                <w:r w:rsidRPr="00F600E3">
                  <w:rPr>
                    <w:rFonts w:ascii="Calibri" w:eastAsia="Calibri" w:hAnsi="Calibri" w:cs="Times New Roman"/>
                    <w:b/>
                    <w:color w:val="262626"/>
                    <w:lang w:val="en-US"/>
                  </w:rPr>
                  <w:t xml:space="preserve">AIM </w:t>
                </w:r>
                <w:proofErr w:type="gramStart"/>
                <w:r w:rsidRPr="00F600E3">
                  <w:rPr>
                    <w:rFonts w:ascii="Calibri" w:eastAsia="Calibri" w:hAnsi="Calibri" w:cs="Times New Roman"/>
                    <w:b/>
                    <w:color w:val="262626"/>
                    <w:lang w:val="en-US"/>
                  </w:rPr>
                  <w:t>model</w:t>
                </w:r>
                <w:proofErr w:type="gramEnd"/>
                <w:r>
                  <w:rPr>
                    <w:rFonts w:ascii="Calibri" w:eastAsia="Calibri" w:hAnsi="Calibri" w:cs="Times New Roman"/>
                    <w:b/>
                    <w:color w:val="262626"/>
                    <w:lang w:val="en-US"/>
                  </w:rPr>
                  <w:t xml:space="preserve"> </w:t>
                </w:r>
              </w:p>
              <w:p w14:paraId="64D32FE3" w14:textId="77777777" w:rsidR="00CF3589" w:rsidRPr="00F600E3" w:rsidRDefault="00CF3589" w:rsidP="003122B9">
                <w:pPr>
                  <w:spacing w:before="60" w:after="60"/>
                  <w:jc w:val="center"/>
                  <w:rPr>
                    <w:rFonts w:ascii="Calibri" w:eastAsia="Calibri" w:hAnsi="Calibri" w:cs="Times New Roman"/>
                    <w:b/>
                    <w:color w:val="262626"/>
                    <w:lang w:val="en-US"/>
                  </w:rPr>
                </w:pPr>
                <w:r>
                  <w:rPr>
                    <w:rFonts w:ascii="Calibri" w:eastAsia="Calibri" w:hAnsi="Calibri" w:cs="Times New Roman"/>
                    <w:b/>
                    <w:color w:val="262626"/>
                    <w:lang w:val="en-US"/>
                  </w:rPr>
                  <w:t>($ million)</w:t>
                </w:r>
              </w:p>
            </w:tc>
            <w:tc>
              <w:tcPr>
                <w:tcW w:w="2588" w:type="dxa"/>
                <w:tcBorders>
                  <w:bottom w:val="single" w:sz="4" w:space="0" w:color="auto"/>
                </w:tcBorders>
                <w:shd w:val="clear" w:color="auto" w:fill="D7EFF2" w:themeFill="accent5" w:themeFillTint="66"/>
                <w:vAlign w:val="center"/>
              </w:tcPr>
              <w:p w14:paraId="14E10C48" w14:textId="77777777" w:rsidR="00CF3589" w:rsidRDefault="00CF3589" w:rsidP="003122B9">
                <w:pPr>
                  <w:spacing w:before="60" w:after="60"/>
                  <w:jc w:val="center"/>
                  <w:rPr>
                    <w:rFonts w:ascii="Calibri" w:eastAsia="Calibri" w:hAnsi="Calibri" w:cs="Times New Roman"/>
                    <w:b/>
                    <w:color w:val="262626"/>
                    <w:lang w:val="en-US"/>
                  </w:rPr>
                </w:pPr>
                <w:r>
                  <w:rPr>
                    <w:rFonts w:ascii="Calibri" w:eastAsia="Calibri" w:hAnsi="Calibri" w:cs="Times New Roman"/>
                    <w:b/>
                    <w:color w:val="262626"/>
                    <w:lang w:val="en-US"/>
                  </w:rPr>
                  <w:t>C</w:t>
                </w:r>
                <w:r w:rsidRPr="00F600E3">
                  <w:rPr>
                    <w:rFonts w:ascii="Calibri" w:eastAsia="Calibri" w:hAnsi="Calibri" w:cs="Times New Roman"/>
                    <w:b/>
                    <w:color w:val="262626"/>
                    <w:lang w:val="en-US"/>
                  </w:rPr>
                  <w:t>ountry model</w:t>
                </w:r>
              </w:p>
              <w:p w14:paraId="18A0E074" w14:textId="77777777" w:rsidR="00CF3589" w:rsidRPr="00F600E3" w:rsidRDefault="00CF3589" w:rsidP="003122B9">
                <w:pPr>
                  <w:spacing w:before="60" w:after="60"/>
                  <w:jc w:val="center"/>
                  <w:rPr>
                    <w:rFonts w:ascii="Calibri" w:eastAsia="Calibri" w:hAnsi="Calibri" w:cs="Times New Roman"/>
                    <w:b/>
                    <w:color w:val="262626"/>
                    <w:lang w:val="en-US"/>
                  </w:rPr>
                </w:pPr>
                <w:r>
                  <w:rPr>
                    <w:rFonts w:ascii="Calibri" w:eastAsia="Calibri" w:hAnsi="Calibri" w:cs="Times New Roman"/>
                    <w:b/>
                    <w:color w:val="262626"/>
                    <w:lang w:val="en-US"/>
                  </w:rPr>
                  <w:t>($ million)</w:t>
                </w:r>
              </w:p>
            </w:tc>
          </w:tr>
          <w:tr w:rsidR="00CF3589" w:rsidRPr="00F600E3" w14:paraId="148E3078" w14:textId="77777777" w:rsidTr="001624DD">
            <w:trPr>
              <w:trHeight w:val="510"/>
            </w:trPr>
            <w:tc>
              <w:tcPr>
                <w:tcW w:w="3518" w:type="dxa"/>
                <w:tcBorders>
                  <w:right w:val="nil"/>
                </w:tcBorders>
                <w:vAlign w:val="center"/>
              </w:tcPr>
              <w:p w14:paraId="29B1AB1F" w14:textId="77777777" w:rsidR="00CF3589" w:rsidRPr="00F600E3" w:rsidRDefault="00CF3589" w:rsidP="003122B9">
                <w:pPr>
                  <w:spacing w:before="60" w:after="60"/>
                  <w:ind w:left="113"/>
                  <w:rPr>
                    <w:rFonts w:ascii="Calibri" w:eastAsia="Calibri" w:hAnsi="Calibri" w:cs="Times New Roman"/>
                    <w:b/>
                    <w:color w:val="262626"/>
                    <w:lang w:val="en-US"/>
                  </w:rPr>
                </w:pPr>
                <w:r w:rsidRPr="00F600E3">
                  <w:rPr>
                    <w:rFonts w:ascii="Calibri" w:eastAsia="Calibri" w:hAnsi="Calibri" w:cs="Times New Roman"/>
                    <w:b/>
                    <w:color w:val="262626"/>
                    <w:lang w:val="en-US"/>
                  </w:rPr>
                  <w:t>Costs</w:t>
                </w:r>
              </w:p>
            </w:tc>
            <w:tc>
              <w:tcPr>
                <w:tcW w:w="2587" w:type="dxa"/>
                <w:tcBorders>
                  <w:left w:val="nil"/>
                  <w:right w:val="nil"/>
                </w:tcBorders>
                <w:vAlign w:val="center"/>
              </w:tcPr>
              <w:p w14:paraId="1FFE8E38" w14:textId="77777777" w:rsidR="00CF3589" w:rsidRPr="00F600E3" w:rsidRDefault="00CF3589" w:rsidP="003122B9">
                <w:pPr>
                  <w:spacing w:before="60" w:after="60"/>
                  <w:jc w:val="center"/>
                  <w:rPr>
                    <w:rFonts w:ascii="Calibri" w:eastAsia="Calibri" w:hAnsi="Calibri" w:cs="Times New Roman"/>
                    <w:color w:val="262626"/>
                    <w:lang w:val="en-US"/>
                  </w:rPr>
                </w:pPr>
              </w:p>
            </w:tc>
            <w:tc>
              <w:tcPr>
                <w:tcW w:w="2588" w:type="dxa"/>
                <w:tcBorders>
                  <w:left w:val="nil"/>
                </w:tcBorders>
                <w:vAlign w:val="center"/>
              </w:tcPr>
              <w:p w14:paraId="03A2B88A" w14:textId="77777777" w:rsidR="00CF3589" w:rsidRPr="00F600E3" w:rsidRDefault="00CF3589" w:rsidP="003122B9">
                <w:pPr>
                  <w:spacing w:before="60" w:after="60"/>
                  <w:jc w:val="center"/>
                  <w:rPr>
                    <w:rFonts w:ascii="Calibri" w:eastAsia="Calibri" w:hAnsi="Calibri" w:cs="Times New Roman"/>
                    <w:color w:val="262626"/>
                    <w:lang w:val="en-US"/>
                  </w:rPr>
                </w:pPr>
              </w:p>
            </w:tc>
          </w:tr>
          <w:tr w:rsidR="00CF3589" w:rsidRPr="00F600E3" w14:paraId="1A787831" w14:textId="77777777" w:rsidTr="001624DD">
            <w:trPr>
              <w:trHeight w:val="510"/>
            </w:trPr>
            <w:tc>
              <w:tcPr>
                <w:tcW w:w="3518" w:type="dxa"/>
                <w:vAlign w:val="center"/>
              </w:tcPr>
              <w:p w14:paraId="2DE6371F" w14:textId="77777777" w:rsidR="00CF3589" w:rsidRPr="00F600E3" w:rsidRDefault="00CF3589" w:rsidP="003122B9">
                <w:pPr>
                  <w:spacing w:before="60" w:after="60"/>
                  <w:ind w:left="113"/>
                  <w:rPr>
                    <w:rFonts w:ascii="Calibri" w:eastAsia="Calibri" w:hAnsi="Calibri" w:cs="Times New Roman"/>
                    <w:color w:val="262626"/>
                    <w:lang w:val="en-US"/>
                  </w:rPr>
                </w:pPr>
                <w:r w:rsidRPr="00F600E3">
                  <w:rPr>
                    <w:rFonts w:ascii="Calibri" w:eastAsia="Calibri" w:hAnsi="Calibri" w:cs="Times New Roman"/>
                    <w:color w:val="262626"/>
                    <w:lang w:val="en-US"/>
                  </w:rPr>
                  <w:t xml:space="preserve">Education </w:t>
                </w:r>
                <w:r>
                  <w:rPr>
                    <w:rFonts w:ascii="Calibri" w:eastAsia="Calibri" w:hAnsi="Calibri" w:cs="Times New Roman"/>
                    <w:color w:val="262626"/>
                    <w:lang w:val="en-US"/>
                  </w:rPr>
                  <w:t>and awareness</w:t>
                </w:r>
              </w:p>
            </w:tc>
            <w:tc>
              <w:tcPr>
                <w:tcW w:w="2587" w:type="dxa"/>
                <w:vAlign w:val="center"/>
              </w:tcPr>
              <w:p w14:paraId="73DD7DB2" w14:textId="77777777" w:rsidR="00CF3589" w:rsidRPr="00F600E3" w:rsidRDefault="00CF3589" w:rsidP="003122B9">
                <w:pPr>
                  <w:spacing w:before="60" w:after="60"/>
                  <w:jc w:val="center"/>
                  <w:rPr>
                    <w:rFonts w:ascii="Calibri" w:eastAsia="Calibri" w:hAnsi="Calibri" w:cs="Times New Roman"/>
                    <w:color w:val="262626"/>
                    <w:lang w:val="en-US"/>
                  </w:rPr>
                </w:pPr>
                <w:r w:rsidRPr="00F600E3">
                  <w:rPr>
                    <w:rFonts w:ascii="Calibri" w:eastAsia="Calibri" w:hAnsi="Calibri" w:cs="Times New Roman"/>
                    <w:color w:val="262626"/>
                    <w:lang w:val="en-US"/>
                  </w:rPr>
                  <w:t>0.3</w:t>
                </w:r>
              </w:p>
            </w:tc>
            <w:tc>
              <w:tcPr>
                <w:tcW w:w="2588" w:type="dxa"/>
                <w:vAlign w:val="center"/>
              </w:tcPr>
              <w:p w14:paraId="132C02EA" w14:textId="77777777" w:rsidR="00CF3589" w:rsidRPr="00F600E3" w:rsidRDefault="00CF3589" w:rsidP="003122B9">
                <w:pPr>
                  <w:spacing w:before="60" w:after="60"/>
                  <w:jc w:val="center"/>
                  <w:rPr>
                    <w:rFonts w:ascii="Calibri" w:eastAsia="Calibri" w:hAnsi="Calibri" w:cs="Times New Roman"/>
                    <w:color w:val="262626"/>
                    <w:lang w:val="en-US"/>
                  </w:rPr>
                </w:pPr>
                <w:r w:rsidRPr="00F600E3">
                  <w:rPr>
                    <w:rFonts w:ascii="Calibri" w:eastAsia="Calibri" w:hAnsi="Calibri" w:cs="Times New Roman"/>
                    <w:color w:val="262626"/>
                    <w:lang w:val="en-US"/>
                  </w:rPr>
                  <w:t>0.3</w:t>
                </w:r>
              </w:p>
            </w:tc>
          </w:tr>
          <w:tr w:rsidR="00CF3589" w:rsidRPr="00F600E3" w14:paraId="3850CAF0" w14:textId="77777777" w:rsidTr="001624DD">
            <w:trPr>
              <w:trHeight w:val="510"/>
            </w:trPr>
            <w:tc>
              <w:tcPr>
                <w:tcW w:w="3518" w:type="dxa"/>
                <w:vAlign w:val="center"/>
              </w:tcPr>
              <w:p w14:paraId="1AA7B796" w14:textId="0760A34D" w:rsidR="00CF3589" w:rsidRPr="00F600E3" w:rsidRDefault="00CF3589" w:rsidP="003122B9">
                <w:pPr>
                  <w:spacing w:before="60" w:after="60"/>
                  <w:ind w:left="113"/>
                  <w:rPr>
                    <w:rFonts w:ascii="Calibri" w:eastAsia="Calibri" w:hAnsi="Calibri" w:cs="Times New Roman"/>
                    <w:color w:val="262626"/>
                    <w:lang w:val="en-US"/>
                  </w:rPr>
                </w:pPr>
                <w:r>
                  <w:rPr>
                    <w:rFonts w:ascii="Calibri" w:eastAsia="Calibri" w:hAnsi="Calibri" w:cs="Times New Roman"/>
                    <w:color w:val="262626"/>
                    <w:lang w:val="en-US"/>
                  </w:rPr>
                  <w:t>M</w:t>
                </w:r>
                <w:r w:rsidRPr="00F600E3">
                  <w:rPr>
                    <w:rFonts w:ascii="Calibri" w:eastAsia="Calibri" w:hAnsi="Calibri" w:cs="Times New Roman"/>
                    <w:color w:val="262626"/>
                    <w:lang w:val="en-US"/>
                  </w:rPr>
                  <w:t xml:space="preserve">onitoring and enforcement </w:t>
                </w:r>
              </w:p>
            </w:tc>
            <w:tc>
              <w:tcPr>
                <w:tcW w:w="2587" w:type="dxa"/>
                <w:vAlign w:val="center"/>
              </w:tcPr>
              <w:p w14:paraId="2F3AA96B" w14:textId="77777777" w:rsidR="00CF3589" w:rsidRPr="00F600E3" w:rsidRDefault="00CF3589" w:rsidP="003122B9">
                <w:pPr>
                  <w:spacing w:before="60" w:after="60"/>
                  <w:jc w:val="center"/>
                  <w:rPr>
                    <w:rFonts w:ascii="Calibri" w:eastAsia="Calibri" w:hAnsi="Calibri" w:cs="Times New Roman"/>
                    <w:color w:val="262626"/>
                    <w:lang w:val="en-US"/>
                  </w:rPr>
                </w:pPr>
                <w:r w:rsidRPr="00F600E3">
                  <w:rPr>
                    <w:rFonts w:ascii="Calibri" w:eastAsia="Calibri" w:hAnsi="Calibri" w:cs="Times New Roman"/>
                    <w:color w:val="262626"/>
                    <w:lang w:val="en-US"/>
                  </w:rPr>
                  <w:t>7</w:t>
                </w:r>
                <w:r>
                  <w:rPr>
                    <w:rFonts w:ascii="Calibri" w:eastAsia="Calibri" w:hAnsi="Calibri" w:cs="Times New Roman"/>
                    <w:color w:val="262626"/>
                    <w:lang w:val="en-US"/>
                  </w:rPr>
                  <w:t>.0</w:t>
                </w:r>
              </w:p>
            </w:tc>
            <w:tc>
              <w:tcPr>
                <w:tcW w:w="2588" w:type="dxa"/>
                <w:vAlign w:val="center"/>
              </w:tcPr>
              <w:p w14:paraId="788242FD" w14:textId="77777777" w:rsidR="00CF3589" w:rsidRPr="00F600E3" w:rsidRDefault="00CF3589" w:rsidP="003122B9">
                <w:pPr>
                  <w:spacing w:before="60" w:after="60"/>
                  <w:jc w:val="center"/>
                  <w:rPr>
                    <w:rFonts w:ascii="Calibri" w:eastAsia="Calibri" w:hAnsi="Calibri" w:cs="Times New Roman"/>
                    <w:color w:val="262626"/>
                    <w:lang w:val="en-US"/>
                  </w:rPr>
                </w:pPr>
                <w:r w:rsidRPr="00F600E3">
                  <w:rPr>
                    <w:rFonts w:ascii="Calibri" w:eastAsia="Calibri" w:hAnsi="Calibri" w:cs="Times New Roman"/>
                    <w:color w:val="262626"/>
                    <w:lang w:val="en-US"/>
                  </w:rPr>
                  <w:t>7</w:t>
                </w:r>
                <w:r>
                  <w:rPr>
                    <w:rFonts w:ascii="Calibri" w:eastAsia="Calibri" w:hAnsi="Calibri" w:cs="Times New Roman"/>
                    <w:color w:val="262626"/>
                    <w:lang w:val="en-US"/>
                  </w:rPr>
                  <w:t>.0</w:t>
                </w:r>
              </w:p>
            </w:tc>
          </w:tr>
          <w:tr w:rsidR="00CF3589" w:rsidRPr="00F600E3" w14:paraId="4077D998" w14:textId="77777777" w:rsidTr="001624DD">
            <w:trPr>
              <w:trHeight w:val="510"/>
            </w:trPr>
            <w:tc>
              <w:tcPr>
                <w:tcW w:w="3518" w:type="dxa"/>
                <w:vAlign w:val="center"/>
              </w:tcPr>
              <w:p w14:paraId="0E8629BD" w14:textId="68EB8EBA" w:rsidR="00CF3589" w:rsidRPr="00F600E3" w:rsidRDefault="00CF3589" w:rsidP="003122B9">
                <w:pPr>
                  <w:spacing w:before="60" w:after="60"/>
                  <w:ind w:left="113"/>
                  <w:rPr>
                    <w:rFonts w:ascii="Calibri" w:eastAsia="Calibri" w:hAnsi="Calibri" w:cs="Times New Roman"/>
                    <w:color w:val="262626"/>
                    <w:lang w:val="en-US"/>
                  </w:rPr>
                </w:pPr>
                <w:r w:rsidRPr="00F600E3">
                  <w:rPr>
                    <w:rFonts w:ascii="Calibri" w:eastAsia="Calibri" w:hAnsi="Calibri" w:cs="Times New Roman"/>
                    <w:color w:val="262626"/>
                    <w:lang w:val="en-US"/>
                  </w:rPr>
                  <w:t xml:space="preserve">Cost to </w:t>
                </w:r>
                <w:r w:rsidR="009B5A01">
                  <w:rPr>
                    <w:rFonts w:ascii="Calibri" w:eastAsia="Calibri" w:hAnsi="Calibri" w:cs="Times New Roman"/>
                    <w:color w:val="262626"/>
                    <w:lang w:val="en-US"/>
                  </w:rPr>
                  <w:t>industry</w:t>
                </w:r>
              </w:p>
            </w:tc>
            <w:tc>
              <w:tcPr>
                <w:tcW w:w="2587" w:type="dxa"/>
                <w:vAlign w:val="center"/>
              </w:tcPr>
              <w:p w14:paraId="4BFBF540" w14:textId="77777777" w:rsidR="00CF3589" w:rsidRPr="00F600E3" w:rsidRDefault="00CF3589" w:rsidP="003122B9">
                <w:pPr>
                  <w:spacing w:before="60" w:after="60"/>
                  <w:jc w:val="center"/>
                  <w:rPr>
                    <w:rFonts w:ascii="Calibri" w:eastAsia="Calibri" w:hAnsi="Calibri" w:cs="Times New Roman"/>
                    <w:color w:val="262626"/>
                    <w:lang w:val="en-US"/>
                  </w:rPr>
                </w:pPr>
                <w:r w:rsidRPr="00F600E3">
                  <w:rPr>
                    <w:rFonts w:ascii="Calibri" w:eastAsia="Calibri" w:hAnsi="Calibri" w:cs="Times New Roman"/>
                    <w:color w:val="262626"/>
                    <w:lang w:val="en-US"/>
                  </w:rPr>
                  <w:t>576</w:t>
                </w:r>
                <w:r>
                  <w:rPr>
                    <w:rFonts w:ascii="Calibri" w:eastAsia="Calibri" w:hAnsi="Calibri" w:cs="Times New Roman"/>
                    <w:color w:val="262626"/>
                    <w:lang w:val="en-US"/>
                  </w:rPr>
                  <w:t>.0</w:t>
                </w:r>
              </w:p>
            </w:tc>
            <w:tc>
              <w:tcPr>
                <w:tcW w:w="2588" w:type="dxa"/>
                <w:vAlign w:val="center"/>
              </w:tcPr>
              <w:p w14:paraId="1BFC7DEE" w14:textId="77777777" w:rsidR="00CF3589" w:rsidRPr="00F600E3" w:rsidRDefault="00CF3589" w:rsidP="003122B9">
                <w:pPr>
                  <w:spacing w:before="60" w:after="60"/>
                  <w:jc w:val="center"/>
                  <w:rPr>
                    <w:rFonts w:ascii="Calibri" w:eastAsia="Calibri" w:hAnsi="Calibri" w:cs="Times New Roman"/>
                    <w:color w:val="262626"/>
                    <w:lang w:val="en-US"/>
                  </w:rPr>
                </w:pPr>
                <w:r w:rsidRPr="00F600E3">
                  <w:rPr>
                    <w:rFonts w:ascii="Calibri" w:eastAsia="Calibri" w:hAnsi="Calibri" w:cs="Times New Roman"/>
                    <w:color w:val="262626"/>
                    <w:lang w:val="en-US"/>
                  </w:rPr>
                  <w:t>953</w:t>
                </w:r>
                <w:r>
                  <w:rPr>
                    <w:rFonts w:ascii="Calibri" w:eastAsia="Calibri" w:hAnsi="Calibri" w:cs="Times New Roman"/>
                    <w:color w:val="262626"/>
                    <w:lang w:val="en-US"/>
                  </w:rPr>
                  <w:t>.0</w:t>
                </w:r>
              </w:p>
            </w:tc>
          </w:tr>
          <w:tr w:rsidR="00CF3589" w:rsidRPr="00F600E3" w14:paraId="3B99C384" w14:textId="77777777" w:rsidTr="001624DD">
            <w:trPr>
              <w:trHeight w:val="510"/>
            </w:trPr>
            <w:tc>
              <w:tcPr>
                <w:tcW w:w="3518" w:type="dxa"/>
                <w:vAlign w:val="center"/>
              </w:tcPr>
              <w:p w14:paraId="50E376A8" w14:textId="77777777" w:rsidR="00CF3589" w:rsidRPr="00F600E3" w:rsidRDefault="00CF3589" w:rsidP="003122B9">
                <w:pPr>
                  <w:spacing w:before="60" w:after="60"/>
                  <w:ind w:left="113"/>
                  <w:rPr>
                    <w:rFonts w:ascii="Calibri" w:eastAsia="Calibri" w:hAnsi="Calibri" w:cs="Times New Roman"/>
                    <w:b/>
                    <w:color w:val="262626"/>
                    <w:lang w:val="en-US"/>
                  </w:rPr>
                </w:pPr>
                <w:r w:rsidRPr="00F600E3">
                  <w:rPr>
                    <w:rFonts w:ascii="Calibri" w:eastAsia="Calibri" w:hAnsi="Calibri" w:cs="Times New Roman"/>
                    <w:b/>
                    <w:color w:val="262626"/>
                    <w:lang w:val="en-US"/>
                  </w:rPr>
                  <w:t xml:space="preserve">Total costs </w:t>
                </w:r>
              </w:p>
            </w:tc>
            <w:tc>
              <w:tcPr>
                <w:tcW w:w="2587" w:type="dxa"/>
                <w:tcBorders>
                  <w:bottom w:val="single" w:sz="4" w:space="0" w:color="auto"/>
                </w:tcBorders>
                <w:vAlign w:val="center"/>
              </w:tcPr>
              <w:p w14:paraId="414BEE16" w14:textId="77777777" w:rsidR="00CF3589" w:rsidRPr="00F600E3" w:rsidRDefault="00CF3589" w:rsidP="003122B9">
                <w:pPr>
                  <w:spacing w:before="60" w:after="60"/>
                  <w:jc w:val="center"/>
                  <w:rPr>
                    <w:rFonts w:ascii="Calibri" w:eastAsia="Calibri" w:hAnsi="Calibri" w:cs="Times New Roman"/>
                    <w:b/>
                    <w:color w:val="262626"/>
                    <w:lang w:val="en-US"/>
                  </w:rPr>
                </w:pPr>
                <w:r w:rsidRPr="00F600E3">
                  <w:rPr>
                    <w:rFonts w:ascii="Calibri" w:eastAsia="Calibri" w:hAnsi="Calibri" w:cs="Times New Roman"/>
                    <w:b/>
                    <w:color w:val="262626"/>
                    <w:lang w:val="en-US"/>
                  </w:rPr>
                  <w:t>583</w:t>
                </w:r>
                <w:r>
                  <w:rPr>
                    <w:rFonts w:ascii="Calibri" w:eastAsia="Calibri" w:hAnsi="Calibri" w:cs="Times New Roman"/>
                    <w:b/>
                    <w:color w:val="262626"/>
                    <w:lang w:val="en-US"/>
                  </w:rPr>
                  <w:t>.0</w:t>
                </w:r>
              </w:p>
            </w:tc>
            <w:tc>
              <w:tcPr>
                <w:tcW w:w="2588" w:type="dxa"/>
                <w:tcBorders>
                  <w:bottom w:val="single" w:sz="4" w:space="0" w:color="auto"/>
                </w:tcBorders>
                <w:vAlign w:val="center"/>
              </w:tcPr>
              <w:p w14:paraId="18F9A0C7" w14:textId="77777777" w:rsidR="00CF3589" w:rsidRPr="00F600E3" w:rsidRDefault="00CF3589" w:rsidP="003122B9">
                <w:pPr>
                  <w:spacing w:before="60" w:after="60"/>
                  <w:jc w:val="center"/>
                  <w:rPr>
                    <w:rFonts w:ascii="Calibri" w:eastAsia="Calibri" w:hAnsi="Calibri" w:cs="Times New Roman"/>
                    <w:b/>
                    <w:color w:val="262626"/>
                    <w:lang w:val="en-US"/>
                  </w:rPr>
                </w:pPr>
                <w:r w:rsidRPr="00F600E3">
                  <w:rPr>
                    <w:rFonts w:ascii="Calibri" w:eastAsia="Calibri" w:hAnsi="Calibri" w:cs="Times New Roman"/>
                    <w:b/>
                    <w:color w:val="262626"/>
                    <w:lang w:val="en-US"/>
                  </w:rPr>
                  <w:t>960</w:t>
                </w:r>
                <w:r>
                  <w:rPr>
                    <w:rFonts w:ascii="Calibri" w:eastAsia="Calibri" w:hAnsi="Calibri" w:cs="Times New Roman"/>
                    <w:b/>
                    <w:color w:val="262626"/>
                    <w:lang w:val="en-US"/>
                  </w:rPr>
                  <w:t>.0</w:t>
                </w:r>
              </w:p>
            </w:tc>
          </w:tr>
          <w:tr w:rsidR="00CF3589" w:rsidRPr="00F600E3" w14:paraId="7504E505" w14:textId="77777777" w:rsidTr="001624DD">
            <w:trPr>
              <w:trHeight w:val="510"/>
            </w:trPr>
            <w:tc>
              <w:tcPr>
                <w:tcW w:w="3518" w:type="dxa"/>
                <w:tcBorders>
                  <w:right w:val="nil"/>
                </w:tcBorders>
                <w:vAlign w:val="center"/>
              </w:tcPr>
              <w:p w14:paraId="14EE74E6" w14:textId="77777777" w:rsidR="00CF3589" w:rsidRPr="00F600E3" w:rsidRDefault="00CF3589" w:rsidP="003122B9">
                <w:pPr>
                  <w:spacing w:before="60" w:after="60"/>
                  <w:ind w:left="113"/>
                  <w:rPr>
                    <w:rFonts w:ascii="Calibri" w:eastAsia="Calibri" w:hAnsi="Calibri" w:cs="Times New Roman"/>
                    <w:b/>
                    <w:color w:val="262626"/>
                    <w:lang w:val="en-US"/>
                  </w:rPr>
                </w:pPr>
                <w:r w:rsidRPr="00F600E3">
                  <w:rPr>
                    <w:rFonts w:ascii="Calibri" w:eastAsia="Calibri" w:hAnsi="Calibri" w:cs="Times New Roman"/>
                    <w:b/>
                    <w:color w:val="262626"/>
                    <w:lang w:val="en-US"/>
                  </w:rPr>
                  <w:t>Benefits</w:t>
                </w:r>
              </w:p>
            </w:tc>
            <w:tc>
              <w:tcPr>
                <w:tcW w:w="2587" w:type="dxa"/>
                <w:tcBorders>
                  <w:left w:val="nil"/>
                  <w:right w:val="nil"/>
                </w:tcBorders>
                <w:vAlign w:val="center"/>
              </w:tcPr>
              <w:p w14:paraId="1B075C25" w14:textId="77777777" w:rsidR="00CF3589" w:rsidRPr="00F600E3" w:rsidRDefault="00CF3589" w:rsidP="003122B9">
                <w:pPr>
                  <w:spacing w:before="60" w:after="60"/>
                  <w:jc w:val="center"/>
                  <w:rPr>
                    <w:rFonts w:ascii="Calibri" w:eastAsia="Calibri" w:hAnsi="Calibri" w:cs="Times New Roman"/>
                    <w:color w:val="262626"/>
                    <w:lang w:val="en-US"/>
                  </w:rPr>
                </w:pPr>
              </w:p>
            </w:tc>
            <w:tc>
              <w:tcPr>
                <w:tcW w:w="2588" w:type="dxa"/>
                <w:tcBorders>
                  <w:left w:val="nil"/>
                </w:tcBorders>
                <w:vAlign w:val="center"/>
              </w:tcPr>
              <w:p w14:paraId="0466C0F3" w14:textId="77777777" w:rsidR="00CF3589" w:rsidRPr="00F600E3" w:rsidRDefault="00CF3589" w:rsidP="003122B9">
                <w:pPr>
                  <w:spacing w:before="60" w:after="60"/>
                  <w:jc w:val="center"/>
                  <w:rPr>
                    <w:rFonts w:ascii="Calibri" w:eastAsia="Calibri" w:hAnsi="Calibri" w:cs="Times New Roman"/>
                    <w:color w:val="262626"/>
                    <w:lang w:val="en-US"/>
                  </w:rPr>
                </w:pPr>
              </w:p>
            </w:tc>
          </w:tr>
          <w:tr w:rsidR="00CF3589" w:rsidRPr="00F600E3" w14:paraId="405E04F3" w14:textId="77777777" w:rsidTr="001624DD">
            <w:trPr>
              <w:trHeight w:val="510"/>
            </w:trPr>
            <w:tc>
              <w:tcPr>
                <w:tcW w:w="3518" w:type="dxa"/>
                <w:vAlign w:val="center"/>
              </w:tcPr>
              <w:p w14:paraId="57D2DA3D" w14:textId="1F243EFE" w:rsidR="00CF3589" w:rsidRPr="00F600E3" w:rsidRDefault="00CF3589" w:rsidP="003122B9">
                <w:pPr>
                  <w:spacing w:before="60" w:after="60"/>
                  <w:ind w:left="113"/>
                  <w:rPr>
                    <w:rFonts w:ascii="Calibri" w:eastAsia="Calibri" w:hAnsi="Calibri" w:cs="Times New Roman"/>
                    <w:color w:val="262626"/>
                    <w:lang w:val="en-US"/>
                  </w:rPr>
                </w:pPr>
                <w:r w:rsidRPr="00F600E3">
                  <w:rPr>
                    <w:rFonts w:ascii="Calibri" w:eastAsia="Calibri" w:hAnsi="Calibri" w:cs="Times New Roman"/>
                    <w:color w:val="262626"/>
                    <w:lang w:val="en-US"/>
                  </w:rPr>
                  <w:t>WTP for CoOL</w:t>
                </w:r>
                <w:r w:rsidR="009B5A01">
                  <w:rPr>
                    <w:rFonts w:ascii="Calibri" w:eastAsia="Calibri" w:hAnsi="Calibri" w:cs="Times New Roman"/>
                    <w:color w:val="262626"/>
                    <w:lang w:val="en-US"/>
                  </w:rPr>
                  <w:t xml:space="preserve"> information</w:t>
                </w:r>
                <w:r w:rsidRPr="00F600E3">
                  <w:rPr>
                    <w:rFonts w:ascii="Calibri" w:eastAsia="Calibri" w:hAnsi="Calibri" w:cs="Times New Roman"/>
                    <w:color w:val="262626"/>
                    <w:lang w:val="en-US"/>
                  </w:rPr>
                  <w:t xml:space="preserve"> </w:t>
                </w:r>
              </w:p>
            </w:tc>
            <w:tc>
              <w:tcPr>
                <w:tcW w:w="2587" w:type="dxa"/>
                <w:vAlign w:val="center"/>
              </w:tcPr>
              <w:p w14:paraId="4F0B45E1" w14:textId="77777777" w:rsidR="00CF3589" w:rsidRPr="00F600E3" w:rsidRDefault="00CF3589" w:rsidP="003122B9">
                <w:pPr>
                  <w:spacing w:before="60" w:after="60"/>
                  <w:jc w:val="center"/>
                  <w:rPr>
                    <w:rFonts w:ascii="Calibri" w:eastAsia="Calibri" w:hAnsi="Calibri" w:cs="Times New Roman"/>
                    <w:color w:val="262626"/>
                    <w:lang w:val="en-US"/>
                  </w:rPr>
                </w:pPr>
                <w:r w:rsidRPr="00F600E3">
                  <w:rPr>
                    <w:rFonts w:ascii="Calibri" w:eastAsia="Calibri" w:hAnsi="Calibri" w:cs="Times New Roman"/>
                    <w:color w:val="262626"/>
                    <w:lang w:val="en-US"/>
                  </w:rPr>
                  <w:t>775</w:t>
                </w:r>
                <w:r>
                  <w:rPr>
                    <w:rFonts w:ascii="Calibri" w:eastAsia="Calibri" w:hAnsi="Calibri" w:cs="Times New Roman"/>
                    <w:color w:val="262626"/>
                    <w:lang w:val="en-US"/>
                  </w:rPr>
                  <w:t>.0</w:t>
                </w:r>
              </w:p>
            </w:tc>
            <w:tc>
              <w:tcPr>
                <w:tcW w:w="2588" w:type="dxa"/>
                <w:vAlign w:val="center"/>
              </w:tcPr>
              <w:p w14:paraId="7E849BE8" w14:textId="77777777" w:rsidR="00CF3589" w:rsidRPr="00F600E3" w:rsidRDefault="00CF3589" w:rsidP="003122B9">
                <w:pPr>
                  <w:spacing w:before="60" w:after="60"/>
                  <w:jc w:val="center"/>
                  <w:rPr>
                    <w:rFonts w:ascii="Calibri" w:eastAsia="Calibri" w:hAnsi="Calibri" w:cs="Times New Roman"/>
                    <w:color w:val="262626"/>
                    <w:lang w:val="en-US"/>
                  </w:rPr>
                </w:pPr>
                <w:r w:rsidRPr="00F600E3">
                  <w:rPr>
                    <w:rFonts w:ascii="Calibri" w:eastAsia="Calibri" w:hAnsi="Calibri" w:cs="Times New Roman"/>
                    <w:color w:val="262626"/>
                    <w:lang w:val="en-US"/>
                  </w:rPr>
                  <w:t>775</w:t>
                </w:r>
                <w:r>
                  <w:rPr>
                    <w:rFonts w:ascii="Calibri" w:eastAsia="Calibri" w:hAnsi="Calibri" w:cs="Times New Roman"/>
                    <w:color w:val="262626"/>
                    <w:lang w:val="en-US"/>
                  </w:rPr>
                  <w:t>.0</w:t>
                </w:r>
              </w:p>
            </w:tc>
          </w:tr>
          <w:tr w:rsidR="00CF3589" w:rsidRPr="00F600E3" w14:paraId="51E2358D" w14:textId="77777777" w:rsidTr="001624DD">
            <w:trPr>
              <w:trHeight w:val="510"/>
            </w:trPr>
            <w:tc>
              <w:tcPr>
                <w:tcW w:w="3518" w:type="dxa"/>
                <w:vAlign w:val="center"/>
              </w:tcPr>
              <w:p w14:paraId="71F0A6E1" w14:textId="77777777" w:rsidR="00CF3589" w:rsidRPr="00F600E3" w:rsidRDefault="00CF3589" w:rsidP="003122B9">
                <w:pPr>
                  <w:spacing w:before="60" w:after="60"/>
                  <w:ind w:left="113"/>
                  <w:rPr>
                    <w:rFonts w:ascii="Calibri" w:eastAsia="Calibri" w:hAnsi="Calibri" w:cs="Times New Roman"/>
                    <w:b/>
                    <w:color w:val="262626"/>
                    <w:lang w:val="en-US"/>
                  </w:rPr>
                </w:pPr>
                <w:r w:rsidRPr="00F600E3">
                  <w:rPr>
                    <w:rFonts w:ascii="Calibri" w:eastAsia="Calibri" w:hAnsi="Calibri" w:cs="Times New Roman"/>
                    <w:b/>
                    <w:color w:val="262626"/>
                    <w:lang w:val="en-US"/>
                  </w:rPr>
                  <w:t>Total Benefits</w:t>
                </w:r>
              </w:p>
            </w:tc>
            <w:tc>
              <w:tcPr>
                <w:tcW w:w="2587" w:type="dxa"/>
                <w:tcBorders>
                  <w:bottom w:val="single" w:sz="4" w:space="0" w:color="auto"/>
                </w:tcBorders>
                <w:vAlign w:val="center"/>
              </w:tcPr>
              <w:p w14:paraId="383F0651" w14:textId="77777777" w:rsidR="00CF3589" w:rsidRPr="00F600E3" w:rsidRDefault="00CF3589" w:rsidP="003122B9">
                <w:pPr>
                  <w:spacing w:before="60" w:after="60"/>
                  <w:jc w:val="center"/>
                  <w:rPr>
                    <w:rFonts w:ascii="Calibri" w:eastAsia="Calibri" w:hAnsi="Calibri" w:cs="Times New Roman"/>
                    <w:b/>
                    <w:color w:val="262626"/>
                    <w:lang w:val="en-US"/>
                  </w:rPr>
                </w:pPr>
                <w:r w:rsidRPr="00F600E3">
                  <w:rPr>
                    <w:rFonts w:ascii="Calibri" w:eastAsia="Calibri" w:hAnsi="Calibri" w:cs="Times New Roman"/>
                    <w:b/>
                    <w:color w:val="262626"/>
                    <w:lang w:val="en-US"/>
                  </w:rPr>
                  <w:t>775</w:t>
                </w:r>
                <w:r>
                  <w:rPr>
                    <w:rFonts w:ascii="Calibri" w:eastAsia="Calibri" w:hAnsi="Calibri" w:cs="Times New Roman"/>
                    <w:b/>
                    <w:color w:val="262626"/>
                    <w:lang w:val="en-US"/>
                  </w:rPr>
                  <w:t>.0</w:t>
                </w:r>
              </w:p>
            </w:tc>
            <w:tc>
              <w:tcPr>
                <w:tcW w:w="2588" w:type="dxa"/>
                <w:tcBorders>
                  <w:bottom w:val="single" w:sz="4" w:space="0" w:color="auto"/>
                </w:tcBorders>
                <w:vAlign w:val="center"/>
              </w:tcPr>
              <w:p w14:paraId="64E21F93" w14:textId="77777777" w:rsidR="00CF3589" w:rsidRPr="00F600E3" w:rsidRDefault="00CF3589" w:rsidP="003122B9">
                <w:pPr>
                  <w:spacing w:before="60" w:after="60"/>
                  <w:jc w:val="center"/>
                  <w:rPr>
                    <w:rFonts w:ascii="Calibri" w:eastAsia="Calibri" w:hAnsi="Calibri" w:cs="Times New Roman"/>
                    <w:b/>
                    <w:color w:val="262626"/>
                    <w:lang w:val="en-US"/>
                  </w:rPr>
                </w:pPr>
                <w:r w:rsidRPr="00F600E3">
                  <w:rPr>
                    <w:rFonts w:ascii="Calibri" w:eastAsia="Calibri" w:hAnsi="Calibri" w:cs="Times New Roman"/>
                    <w:b/>
                    <w:color w:val="262626"/>
                    <w:lang w:val="en-US"/>
                  </w:rPr>
                  <w:t>775</w:t>
                </w:r>
                <w:r>
                  <w:rPr>
                    <w:rFonts w:ascii="Calibri" w:eastAsia="Calibri" w:hAnsi="Calibri" w:cs="Times New Roman"/>
                    <w:b/>
                    <w:color w:val="262626"/>
                    <w:lang w:val="en-US"/>
                  </w:rPr>
                  <w:t>.0</w:t>
                </w:r>
              </w:p>
            </w:tc>
          </w:tr>
          <w:tr w:rsidR="00CF3589" w:rsidRPr="00F600E3" w14:paraId="53393AB7" w14:textId="77777777" w:rsidTr="001624DD">
            <w:trPr>
              <w:trHeight w:val="510"/>
            </w:trPr>
            <w:tc>
              <w:tcPr>
                <w:tcW w:w="3518" w:type="dxa"/>
                <w:shd w:val="clear" w:color="auto" w:fill="auto"/>
                <w:vAlign w:val="center"/>
              </w:tcPr>
              <w:p w14:paraId="72BF69CA" w14:textId="5250E44C" w:rsidR="00CF3589" w:rsidRPr="00F600E3" w:rsidRDefault="00CF3589" w:rsidP="003122B9">
                <w:pPr>
                  <w:spacing w:before="60" w:after="60"/>
                  <w:ind w:left="113"/>
                  <w:rPr>
                    <w:rFonts w:ascii="Calibri" w:eastAsia="Calibri" w:hAnsi="Calibri" w:cs="Times New Roman"/>
                    <w:b/>
                    <w:color w:val="262626"/>
                    <w:lang w:val="en-US"/>
                  </w:rPr>
                </w:pPr>
                <w:r w:rsidRPr="00F600E3">
                  <w:rPr>
                    <w:rFonts w:ascii="Calibri" w:eastAsia="Calibri" w:hAnsi="Calibri" w:cs="Times New Roman"/>
                    <w:b/>
                    <w:color w:val="262626"/>
                    <w:lang w:val="en-US"/>
                  </w:rPr>
                  <w:t>NPV</w:t>
                </w:r>
                <w:r>
                  <w:rPr>
                    <w:rFonts w:ascii="Calibri" w:eastAsia="Calibri" w:hAnsi="Calibri" w:cs="Times New Roman"/>
                    <w:b/>
                    <w:color w:val="262626"/>
                    <w:lang w:val="en-US"/>
                  </w:rPr>
                  <w:t xml:space="preserve"> (benefits minus costs)</w:t>
                </w:r>
              </w:p>
            </w:tc>
            <w:tc>
              <w:tcPr>
                <w:tcW w:w="2587" w:type="dxa"/>
                <w:tcBorders>
                  <w:bottom w:val="single" w:sz="4" w:space="0" w:color="auto"/>
                </w:tcBorders>
                <w:shd w:val="clear" w:color="auto" w:fill="auto"/>
                <w:vAlign w:val="center"/>
              </w:tcPr>
              <w:p w14:paraId="344A55FB" w14:textId="04530B6C" w:rsidR="00CF3589" w:rsidRPr="00F600E3" w:rsidRDefault="00CF3589" w:rsidP="003122B9">
                <w:pPr>
                  <w:spacing w:before="60" w:after="60"/>
                  <w:jc w:val="center"/>
                  <w:rPr>
                    <w:rFonts w:ascii="Calibri" w:eastAsia="Calibri" w:hAnsi="Calibri" w:cs="Times New Roman"/>
                    <w:b/>
                    <w:color w:val="262626"/>
                    <w:lang w:val="en-US"/>
                  </w:rPr>
                </w:pPr>
                <w:r w:rsidRPr="00F600E3">
                  <w:rPr>
                    <w:rFonts w:ascii="Calibri" w:eastAsia="Calibri" w:hAnsi="Calibri" w:cs="Times New Roman"/>
                    <w:b/>
                    <w:color w:val="262626"/>
                    <w:lang w:val="en-US"/>
                  </w:rPr>
                  <w:t>19</w:t>
                </w:r>
                <w:r>
                  <w:rPr>
                    <w:rFonts w:ascii="Calibri" w:eastAsia="Calibri" w:hAnsi="Calibri" w:cs="Times New Roman"/>
                    <w:b/>
                    <w:color w:val="262626"/>
                    <w:lang w:val="en-US"/>
                  </w:rPr>
                  <w:t>1.0</w:t>
                </w:r>
              </w:p>
            </w:tc>
            <w:tc>
              <w:tcPr>
                <w:tcW w:w="2588" w:type="dxa"/>
                <w:tcBorders>
                  <w:bottom w:val="single" w:sz="4" w:space="0" w:color="auto"/>
                </w:tcBorders>
                <w:shd w:val="clear" w:color="auto" w:fill="auto"/>
                <w:vAlign w:val="center"/>
              </w:tcPr>
              <w:p w14:paraId="22D151BB" w14:textId="77777777" w:rsidR="00CF3589" w:rsidRPr="00F600E3" w:rsidRDefault="00CF3589" w:rsidP="003122B9">
                <w:pPr>
                  <w:spacing w:before="60" w:after="60"/>
                  <w:jc w:val="center"/>
                  <w:rPr>
                    <w:rFonts w:ascii="Calibri" w:eastAsia="Calibri" w:hAnsi="Calibri" w:cs="Times New Roman"/>
                    <w:b/>
                    <w:color w:val="262626"/>
                    <w:lang w:val="en-US"/>
                  </w:rPr>
                </w:pPr>
                <w:r w:rsidRPr="00F600E3">
                  <w:rPr>
                    <w:rFonts w:ascii="Calibri" w:eastAsia="Calibri" w:hAnsi="Calibri" w:cs="Times New Roman"/>
                    <w:b/>
                    <w:color w:val="262626"/>
                    <w:lang w:val="en-US"/>
                  </w:rPr>
                  <w:t>-</w:t>
                </w:r>
                <w:r>
                  <w:rPr>
                    <w:rFonts w:ascii="Calibri" w:eastAsia="Calibri" w:hAnsi="Calibri" w:cs="Times New Roman"/>
                    <w:b/>
                    <w:color w:val="262626"/>
                    <w:lang w:val="en-US"/>
                  </w:rPr>
                  <w:t xml:space="preserve"> </w:t>
                </w:r>
                <w:r w:rsidRPr="00F600E3">
                  <w:rPr>
                    <w:rFonts w:ascii="Calibri" w:eastAsia="Calibri" w:hAnsi="Calibri" w:cs="Times New Roman"/>
                    <w:b/>
                    <w:color w:val="262626"/>
                    <w:lang w:val="en-US"/>
                  </w:rPr>
                  <w:t>185</w:t>
                </w:r>
                <w:r>
                  <w:rPr>
                    <w:rFonts w:ascii="Calibri" w:eastAsia="Calibri" w:hAnsi="Calibri" w:cs="Times New Roman"/>
                    <w:b/>
                    <w:color w:val="262626"/>
                    <w:lang w:val="en-US"/>
                  </w:rPr>
                  <w:t>.0</w:t>
                </w:r>
              </w:p>
            </w:tc>
          </w:tr>
          <w:tr w:rsidR="00CF3589" w:rsidRPr="00F600E3" w14:paraId="6E54E66A" w14:textId="77777777" w:rsidTr="001624DD">
            <w:trPr>
              <w:trHeight w:val="510"/>
            </w:trPr>
            <w:tc>
              <w:tcPr>
                <w:tcW w:w="3518" w:type="dxa"/>
                <w:tcBorders>
                  <w:right w:val="nil"/>
                </w:tcBorders>
                <w:shd w:val="clear" w:color="auto" w:fill="D7EFF2" w:themeFill="accent5" w:themeFillTint="66"/>
                <w:vAlign w:val="center"/>
              </w:tcPr>
              <w:p w14:paraId="558E58C5" w14:textId="77777777" w:rsidR="00CF3589" w:rsidRPr="00F600E3" w:rsidRDefault="00CF3589" w:rsidP="003122B9">
                <w:pPr>
                  <w:spacing w:before="60" w:after="60"/>
                  <w:ind w:left="113"/>
                  <w:rPr>
                    <w:rFonts w:ascii="Calibri" w:eastAsia="Calibri" w:hAnsi="Calibri" w:cs="Times New Roman"/>
                    <w:b/>
                    <w:color w:val="262626"/>
                    <w:lang w:val="en-US"/>
                  </w:rPr>
                </w:pPr>
              </w:p>
            </w:tc>
            <w:tc>
              <w:tcPr>
                <w:tcW w:w="2587" w:type="dxa"/>
                <w:tcBorders>
                  <w:left w:val="nil"/>
                  <w:right w:val="nil"/>
                </w:tcBorders>
                <w:shd w:val="clear" w:color="auto" w:fill="D7EFF2" w:themeFill="accent5" w:themeFillTint="66"/>
                <w:vAlign w:val="center"/>
              </w:tcPr>
              <w:p w14:paraId="50F052AF" w14:textId="77777777" w:rsidR="00CF3589" w:rsidRPr="00F600E3" w:rsidRDefault="00CF3589" w:rsidP="003122B9">
                <w:pPr>
                  <w:spacing w:before="60" w:after="60"/>
                  <w:jc w:val="center"/>
                  <w:rPr>
                    <w:rFonts w:ascii="Calibri" w:eastAsia="Calibri" w:hAnsi="Calibri" w:cs="Times New Roman"/>
                    <w:b/>
                    <w:color w:val="262626"/>
                    <w:lang w:val="en-US"/>
                  </w:rPr>
                </w:pPr>
              </w:p>
            </w:tc>
            <w:tc>
              <w:tcPr>
                <w:tcW w:w="2588" w:type="dxa"/>
                <w:tcBorders>
                  <w:left w:val="nil"/>
                </w:tcBorders>
                <w:shd w:val="clear" w:color="auto" w:fill="D7EFF2" w:themeFill="accent5" w:themeFillTint="66"/>
                <w:vAlign w:val="center"/>
              </w:tcPr>
              <w:p w14:paraId="2EA0EA9A" w14:textId="77777777" w:rsidR="00CF3589" w:rsidRPr="00F600E3" w:rsidRDefault="00CF3589" w:rsidP="003122B9">
                <w:pPr>
                  <w:spacing w:before="60" w:after="60"/>
                  <w:jc w:val="center"/>
                  <w:rPr>
                    <w:rFonts w:ascii="Calibri" w:eastAsia="Calibri" w:hAnsi="Calibri" w:cs="Times New Roman"/>
                    <w:b/>
                    <w:color w:val="262626"/>
                    <w:lang w:val="en-US"/>
                  </w:rPr>
                </w:pPr>
              </w:p>
            </w:tc>
          </w:tr>
          <w:tr w:rsidR="00CF3589" w:rsidRPr="00F600E3" w14:paraId="47833190" w14:textId="77777777" w:rsidTr="001624DD">
            <w:trPr>
              <w:trHeight w:val="510"/>
            </w:trPr>
            <w:tc>
              <w:tcPr>
                <w:tcW w:w="3518" w:type="dxa"/>
                <w:shd w:val="clear" w:color="auto" w:fill="auto"/>
                <w:vAlign w:val="center"/>
              </w:tcPr>
              <w:p w14:paraId="4A1873DB" w14:textId="00E9D4E7" w:rsidR="00CF3589" w:rsidRPr="00F600E3" w:rsidRDefault="00CF3589" w:rsidP="003122B9">
                <w:pPr>
                  <w:spacing w:before="60" w:after="60"/>
                  <w:ind w:left="113"/>
                  <w:rPr>
                    <w:rFonts w:ascii="Calibri" w:eastAsia="Calibri" w:hAnsi="Calibri" w:cs="Times New Roman"/>
                    <w:b/>
                    <w:color w:val="262626"/>
                    <w:lang w:val="en-US"/>
                  </w:rPr>
                </w:pPr>
                <w:r w:rsidRPr="00F600E3">
                  <w:rPr>
                    <w:rFonts w:ascii="Calibri" w:eastAsia="Calibri" w:hAnsi="Calibri" w:cs="Times New Roman"/>
                    <w:b/>
                    <w:color w:val="262626"/>
                    <w:lang w:val="en-US"/>
                  </w:rPr>
                  <w:t>BCR</w:t>
                </w:r>
                <w:r>
                  <w:rPr>
                    <w:rFonts w:ascii="Calibri" w:eastAsia="Calibri" w:hAnsi="Calibri" w:cs="Times New Roman"/>
                    <w:b/>
                    <w:color w:val="262626"/>
                    <w:lang w:val="en-US"/>
                  </w:rPr>
                  <w:t xml:space="preserve"> (ratio of benefits to costs)</w:t>
                </w:r>
              </w:p>
            </w:tc>
            <w:tc>
              <w:tcPr>
                <w:tcW w:w="2587" w:type="dxa"/>
                <w:shd w:val="clear" w:color="auto" w:fill="auto"/>
                <w:vAlign w:val="center"/>
              </w:tcPr>
              <w:p w14:paraId="2721826F" w14:textId="77777777" w:rsidR="00CF3589" w:rsidRPr="00F600E3" w:rsidRDefault="00CF3589" w:rsidP="003122B9">
                <w:pPr>
                  <w:spacing w:before="60" w:after="60"/>
                  <w:jc w:val="center"/>
                  <w:rPr>
                    <w:rFonts w:ascii="Calibri" w:eastAsia="Calibri" w:hAnsi="Calibri" w:cs="Times New Roman"/>
                    <w:b/>
                    <w:color w:val="262626"/>
                    <w:lang w:val="en-US"/>
                  </w:rPr>
                </w:pPr>
                <w:r w:rsidRPr="00F600E3">
                  <w:rPr>
                    <w:rFonts w:ascii="Calibri" w:eastAsia="Calibri" w:hAnsi="Calibri" w:cs="Times New Roman"/>
                    <w:b/>
                    <w:color w:val="262626"/>
                    <w:lang w:val="en-US"/>
                  </w:rPr>
                  <w:t>1.33</w:t>
                </w:r>
              </w:p>
            </w:tc>
            <w:tc>
              <w:tcPr>
                <w:tcW w:w="2588" w:type="dxa"/>
                <w:shd w:val="clear" w:color="auto" w:fill="auto"/>
                <w:vAlign w:val="center"/>
              </w:tcPr>
              <w:p w14:paraId="4B95A90D" w14:textId="6AAB73C0" w:rsidR="00CF3589" w:rsidRPr="00F600E3" w:rsidRDefault="00CF3589" w:rsidP="003122B9">
                <w:pPr>
                  <w:spacing w:before="60" w:after="60"/>
                  <w:jc w:val="center"/>
                  <w:rPr>
                    <w:rFonts w:ascii="Calibri" w:eastAsia="Calibri" w:hAnsi="Calibri" w:cs="Times New Roman"/>
                    <w:b/>
                    <w:color w:val="262626"/>
                    <w:lang w:val="en-US"/>
                  </w:rPr>
                </w:pPr>
                <w:r w:rsidRPr="00F600E3">
                  <w:rPr>
                    <w:rFonts w:ascii="Calibri" w:eastAsia="Calibri" w:hAnsi="Calibri" w:cs="Times New Roman"/>
                    <w:b/>
                    <w:color w:val="262626"/>
                    <w:lang w:val="en-US"/>
                  </w:rPr>
                  <w:t>0.81</w:t>
                </w:r>
              </w:p>
            </w:tc>
          </w:tr>
        </w:tbl>
        <w:p w14:paraId="42C803D0" w14:textId="77777777" w:rsidR="00CF3589" w:rsidRDefault="00CF3589" w:rsidP="008A7326">
          <w:pPr>
            <w:spacing w:after="120" w:line="264" w:lineRule="auto"/>
            <w:rPr>
              <w:rFonts w:ascii="Calibri" w:eastAsia="Verdana" w:hAnsi="Calibri" w:cs="Calibri"/>
              <w:color w:val="000000"/>
              <w:lang w:val="en-US"/>
            </w:rPr>
          </w:pPr>
        </w:p>
        <w:p w14:paraId="215652EB" w14:textId="77777777" w:rsidR="008A7326" w:rsidRPr="001347DC" w:rsidRDefault="008A7326" w:rsidP="00073493">
          <w:pPr>
            <w:pStyle w:val="Heading2"/>
            <w:numPr>
              <w:ilvl w:val="1"/>
              <w:numId w:val="15"/>
            </w:numPr>
          </w:pPr>
          <w:bookmarkStart w:id="114" w:name="_Toc151719078"/>
          <w:r w:rsidRPr="001347DC">
            <w:t>Data</w:t>
          </w:r>
          <w:bookmarkEnd w:id="114"/>
        </w:p>
        <w:p w14:paraId="07B7C18D" w14:textId="77777777" w:rsidR="008A7326" w:rsidRDefault="008A7326" w:rsidP="008A7326">
          <w:pPr>
            <w:pStyle w:val="Heading3"/>
            <w:rPr>
              <w:rFonts w:eastAsia="Verdana"/>
              <w:lang w:val="en-US"/>
            </w:rPr>
          </w:pPr>
          <w:r>
            <w:rPr>
              <w:rFonts w:eastAsia="Verdana"/>
              <w:lang w:val="en-US"/>
            </w:rPr>
            <w:t>Collection method</w:t>
          </w:r>
        </w:p>
        <w:p w14:paraId="2F88F496" w14:textId="77777777" w:rsidR="008A7326" w:rsidRPr="00FC1C11" w:rsidRDefault="008A7326" w:rsidP="008A7326">
          <w:pPr>
            <w:spacing w:after="120" w:line="264" w:lineRule="auto"/>
            <w:rPr>
              <w:rFonts w:eastAsia="Verdana"/>
              <w:lang w:val="en-US"/>
            </w:rPr>
          </w:pPr>
          <w:r>
            <w:rPr>
              <w:rFonts w:ascii="Calibri" w:eastAsia="Verdana" w:hAnsi="Calibri" w:cs="Calibri"/>
              <w:color w:val="000000"/>
              <w:lang w:val="en-US"/>
            </w:rPr>
            <w:t>Data on consumer WTP and industry costs were collected through surveys and focus groups with consumers and hospitality businesses, and consultation with industry representative bodies. Government costs were collected through consultation with relevant Commonwealth and state and territory agencies or estimated based on past costs. A range of other resources were used to inform the CBA. This included past consultation feedback received by the department, and data from IBISWorld and the Australian Bureau of Statistics.</w:t>
          </w:r>
        </w:p>
        <w:p w14:paraId="341BDCB9" w14:textId="77777777" w:rsidR="008A7326" w:rsidRDefault="008A7326" w:rsidP="008A7326">
          <w:pPr>
            <w:pStyle w:val="Heading4"/>
            <w:rPr>
              <w:rFonts w:eastAsia="Verdana"/>
              <w:lang w:val="en-US"/>
            </w:rPr>
          </w:pPr>
          <w:r>
            <w:rPr>
              <w:rFonts w:eastAsia="Verdana"/>
              <w:lang w:val="en-US"/>
            </w:rPr>
            <w:t>Consumers</w:t>
          </w:r>
        </w:p>
        <w:p w14:paraId="3D9B89AD" w14:textId="0F8B56D6" w:rsidR="00F6281C" w:rsidRDefault="00F6281C" w:rsidP="00F6281C">
          <w:pPr>
            <w:spacing w:after="120" w:line="264" w:lineRule="auto"/>
            <w:rPr>
              <w:rFonts w:ascii="Calibri" w:eastAsia="Verdana" w:hAnsi="Calibri" w:cs="Calibri"/>
              <w:color w:val="000000"/>
              <w:lang w:val="en-US"/>
            </w:rPr>
          </w:pPr>
          <w:bookmarkStart w:id="115" w:name="_Hlk143523367"/>
          <w:r>
            <w:rPr>
              <w:rFonts w:ascii="Calibri" w:eastAsia="Verdana" w:hAnsi="Calibri" w:cs="Calibri"/>
              <w:color w:val="000000"/>
              <w:lang w:val="en-US"/>
            </w:rPr>
            <w:t>The key data inputs collected from consumers were:</w:t>
          </w:r>
        </w:p>
        <w:bookmarkEnd w:id="115"/>
        <w:p w14:paraId="1A30DBE8" w14:textId="090554B3" w:rsidR="008A7326" w:rsidRPr="0043284D" w:rsidRDefault="008A7326" w:rsidP="008A7326">
          <w:pPr>
            <w:numPr>
              <w:ilvl w:val="0"/>
              <w:numId w:val="1"/>
            </w:numPr>
          </w:pPr>
          <w:r w:rsidRPr="0043284D">
            <w:t>WTP by seafood type and business type</w:t>
          </w:r>
        </w:p>
        <w:p w14:paraId="5F710A8A" w14:textId="2C8F12AC" w:rsidR="008A7326" w:rsidRPr="0043284D" w:rsidRDefault="008A7326" w:rsidP="008A7326">
          <w:pPr>
            <w:numPr>
              <w:ilvl w:val="0"/>
              <w:numId w:val="1"/>
            </w:numPr>
          </w:pPr>
          <w:r w:rsidRPr="0043284D">
            <w:t>split of seafood consumption by seafood type</w:t>
          </w:r>
        </w:p>
        <w:p w14:paraId="0EAE3B9F" w14:textId="61B7E73B" w:rsidR="008A7326" w:rsidRPr="0043284D" w:rsidRDefault="008A7326" w:rsidP="008A7326">
          <w:pPr>
            <w:numPr>
              <w:ilvl w:val="0"/>
              <w:numId w:val="1"/>
            </w:numPr>
          </w:pPr>
          <w:r w:rsidRPr="0043284D">
            <w:t>monthly spend on seafood in a hospitality setting</w:t>
          </w:r>
        </w:p>
        <w:p w14:paraId="4D31F8B6" w14:textId="77777777" w:rsidR="008A7326" w:rsidRPr="0043284D" w:rsidRDefault="008A7326" w:rsidP="008A7326">
          <w:pPr>
            <w:numPr>
              <w:ilvl w:val="0"/>
              <w:numId w:val="1"/>
            </w:numPr>
          </w:pPr>
          <w:r w:rsidRPr="0043284D">
            <w:t>number of seafood items purchased monthly in a hospitality setting.</w:t>
          </w:r>
        </w:p>
        <w:p w14:paraId="111F2F91" w14:textId="77777777" w:rsidR="008A7326" w:rsidRDefault="008A7326" w:rsidP="008A7326">
          <w:pPr>
            <w:pStyle w:val="Heading4"/>
            <w:rPr>
              <w:rFonts w:eastAsia="Verdana"/>
              <w:lang w:val="en-US"/>
            </w:rPr>
          </w:pPr>
          <w:r>
            <w:rPr>
              <w:rFonts w:eastAsia="Verdana"/>
              <w:lang w:val="en-US"/>
            </w:rPr>
            <w:t>Businesses</w:t>
          </w:r>
        </w:p>
        <w:p w14:paraId="2A2D7D6E" w14:textId="668A15EA" w:rsidR="00F6281C" w:rsidRDefault="00F6281C" w:rsidP="00F6281C">
          <w:pPr>
            <w:spacing w:after="120" w:line="264" w:lineRule="auto"/>
            <w:rPr>
              <w:rFonts w:ascii="Calibri" w:eastAsia="Verdana" w:hAnsi="Calibri" w:cs="Calibri"/>
              <w:color w:val="000000"/>
              <w:lang w:val="en-US"/>
            </w:rPr>
          </w:pPr>
          <w:r>
            <w:rPr>
              <w:rFonts w:ascii="Calibri" w:eastAsia="Verdana" w:hAnsi="Calibri" w:cs="Calibri"/>
              <w:color w:val="000000"/>
              <w:lang w:val="en-US"/>
            </w:rPr>
            <w:t>The key data inputs collected from businesses were:</w:t>
          </w:r>
        </w:p>
        <w:p w14:paraId="1DA4097C" w14:textId="48A186B9" w:rsidR="008A7326" w:rsidRPr="0043284D" w:rsidRDefault="008A7326" w:rsidP="008A7326">
          <w:pPr>
            <w:numPr>
              <w:ilvl w:val="0"/>
              <w:numId w:val="1"/>
            </w:numPr>
          </w:pPr>
          <w:r w:rsidRPr="0043284D">
            <w:lastRenderedPageBreak/>
            <w:t>upfront compliance costs for each option</w:t>
          </w:r>
        </w:p>
        <w:p w14:paraId="390CA4C0" w14:textId="77BA40BE" w:rsidR="008A7326" w:rsidRPr="0043284D" w:rsidRDefault="008A7326" w:rsidP="008A7326">
          <w:pPr>
            <w:numPr>
              <w:ilvl w:val="0"/>
              <w:numId w:val="1"/>
            </w:numPr>
          </w:pPr>
          <w:r w:rsidRPr="0043284D">
            <w:t>menu changes needed per year under the status quo and for each option</w:t>
          </w:r>
        </w:p>
        <w:p w14:paraId="35193743" w14:textId="3F52BB8D" w:rsidR="008A7326" w:rsidRPr="0043284D" w:rsidRDefault="008A7326" w:rsidP="008A7326">
          <w:pPr>
            <w:numPr>
              <w:ilvl w:val="0"/>
              <w:numId w:val="1"/>
            </w:numPr>
          </w:pPr>
          <w:r w:rsidRPr="0043284D">
            <w:t>staff time needed per menu adjustment</w:t>
          </w:r>
        </w:p>
        <w:p w14:paraId="2369D331" w14:textId="5918B3CD" w:rsidR="008A7326" w:rsidRPr="0043284D" w:rsidRDefault="008A7326" w:rsidP="008A7326">
          <w:pPr>
            <w:numPr>
              <w:ilvl w:val="0"/>
              <w:numId w:val="1"/>
            </w:numPr>
          </w:pPr>
          <w:r w:rsidRPr="0043284D">
            <w:t>any additional ongoing costs for each option</w:t>
          </w:r>
        </w:p>
        <w:p w14:paraId="2DD7CE14" w14:textId="77777777" w:rsidR="008A7326" w:rsidRPr="0043284D" w:rsidRDefault="008A7326" w:rsidP="008A7326">
          <w:pPr>
            <w:numPr>
              <w:ilvl w:val="0"/>
              <w:numId w:val="1"/>
            </w:numPr>
          </w:pPr>
          <w:r w:rsidRPr="0043284D">
            <w:t>voluntary compliance rates under the status quo.</w:t>
          </w:r>
        </w:p>
        <w:p w14:paraId="4B098F7C" w14:textId="77777777" w:rsidR="008A7326" w:rsidRDefault="008A7326" w:rsidP="008A7326">
          <w:pPr>
            <w:pStyle w:val="Heading4"/>
            <w:rPr>
              <w:rFonts w:eastAsia="Verdana"/>
              <w:lang w:val="en-US"/>
            </w:rPr>
          </w:pPr>
          <w:r>
            <w:rPr>
              <w:rFonts w:eastAsia="Verdana"/>
              <w:lang w:val="en-US"/>
            </w:rPr>
            <w:t>Government</w:t>
          </w:r>
        </w:p>
        <w:p w14:paraId="48D2670E" w14:textId="234B8513" w:rsidR="008A7326" w:rsidRDefault="008A7326" w:rsidP="008A7326">
          <w:pPr>
            <w:spacing w:after="120" w:line="264" w:lineRule="auto"/>
            <w:rPr>
              <w:rFonts w:ascii="Calibri" w:eastAsia="Verdana" w:hAnsi="Calibri" w:cs="Calibri"/>
              <w:color w:val="000000"/>
              <w:lang w:val="en-US"/>
            </w:rPr>
          </w:pPr>
          <w:r>
            <w:rPr>
              <w:rFonts w:ascii="Calibri" w:eastAsia="Verdana" w:hAnsi="Calibri" w:cs="Calibri"/>
              <w:color w:val="000000"/>
              <w:lang w:val="en-US"/>
            </w:rPr>
            <w:t xml:space="preserve">The government </w:t>
          </w:r>
          <w:r w:rsidR="00695293">
            <w:rPr>
              <w:rFonts w:ascii="Calibri" w:eastAsia="Verdana" w:hAnsi="Calibri" w:cs="Calibri"/>
              <w:color w:val="000000"/>
              <w:lang w:val="en-US"/>
            </w:rPr>
            <w:t>data</w:t>
          </w:r>
          <w:r>
            <w:rPr>
              <w:rFonts w:ascii="Calibri" w:eastAsia="Verdana" w:hAnsi="Calibri" w:cs="Calibri"/>
              <w:color w:val="000000"/>
              <w:lang w:val="en-US"/>
            </w:rPr>
            <w:t xml:space="preserve"> collected included costs for:</w:t>
          </w:r>
        </w:p>
        <w:p w14:paraId="4AC86A36" w14:textId="4DB87A43" w:rsidR="008A7326" w:rsidRPr="0043284D" w:rsidRDefault="008A7326" w:rsidP="008A7326">
          <w:pPr>
            <w:numPr>
              <w:ilvl w:val="0"/>
              <w:numId w:val="1"/>
            </w:numPr>
          </w:pPr>
          <w:r w:rsidRPr="0043284D">
            <w:t xml:space="preserve">compliance inspections </w:t>
          </w:r>
        </w:p>
        <w:p w14:paraId="059F8990" w14:textId="39372D90" w:rsidR="008A7326" w:rsidRPr="0043284D" w:rsidRDefault="008A7326" w:rsidP="008A7326">
          <w:pPr>
            <w:numPr>
              <w:ilvl w:val="0"/>
              <w:numId w:val="1"/>
            </w:numPr>
          </w:pPr>
          <w:r w:rsidRPr="0043284D">
            <w:t>handling of enquiries and complaints</w:t>
          </w:r>
        </w:p>
        <w:p w14:paraId="546D1B06" w14:textId="14DBC342" w:rsidR="008A7326" w:rsidRPr="0043284D" w:rsidRDefault="008A7326" w:rsidP="008A7326">
          <w:pPr>
            <w:numPr>
              <w:ilvl w:val="0"/>
              <w:numId w:val="1"/>
            </w:numPr>
          </w:pPr>
          <w:r w:rsidRPr="0043284D">
            <w:t>reporting</w:t>
          </w:r>
        </w:p>
        <w:p w14:paraId="78B29A7B" w14:textId="4DDE7B90" w:rsidR="008A7326" w:rsidRPr="0043284D" w:rsidRDefault="008A7326" w:rsidP="008A7326">
          <w:pPr>
            <w:numPr>
              <w:ilvl w:val="0"/>
              <w:numId w:val="1"/>
            </w:numPr>
          </w:pPr>
          <w:r w:rsidRPr="0043284D">
            <w:t xml:space="preserve">staff training </w:t>
          </w:r>
        </w:p>
        <w:p w14:paraId="76DD50B3" w14:textId="6B37332E" w:rsidR="008A7326" w:rsidRPr="0043284D" w:rsidRDefault="008A7326" w:rsidP="008A7326">
          <w:pPr>
            <w:numPr>
              <w:ilvl w:val="0"/>
              <w:numId w:val="1"/>
            </w:numPr>
          </w:pPr>
          <w:r w:rsidRPr="0043284D">
            <w:t xml:space="preserve">development and dissemination of education and awareness materials and guidance </w:t>
          </w:r>
        </w:p>
        <w:p w14:paraId="236DD226" w14:textId="20E30701" w:rsidR="008A7326" w:rsidRPr="0043284D" w:rsidRDefault="008A7326" w:rsidP="008A7326">
          <w:pPr>
            <w:numPr>
              <w:ilvl w:val="0"/>
              <w:numId w:val="1"/>
            </w:numPr>
          </w:pPr>
          <w:r w:rsidRPr="0043284D">
            <w:t>administrative costs such as updating websites and resources</w:t>
          </w:r>
          <w:r w:rsidR="005F14BB">
            <w:t>.</w:t>
          </w:r>
        </w:p>
        <w:p w14:paraId="4723BDAB" w14:textId="77777777" w:rsidR="008A7326" w:rsidRDefault="008A7326" w:rsidP="008A7326">
          <w:pPr>
            <w:spacing w:after="120" w:line="264" w:lineRule="auto"/>
            <w:rPr>
              <w:rFonts w:ascii="Calibri" w:eastAsia="Verdana" w:hAnsi="Calibri" w:cs="Calibri"/>
              <w:color w:val="000000"/>
              <w:lang w:val="en-US"/>
            </w:rPr>
          </w:pPr>
          <w:r>
            <w:rPr>
              <w:rFonts w:ascii="Calibri" w:eastAsia="Verdana" w:hAnsi="Calibri" w:cs="Calibri"/>
              <w:color w:val="000000"/>
              <w:lang w:val="en-US"/>
            </w:rPr>
            <w:t>These costs were estimated based on:</w:t>
          </w:r>
        </w:p>
        <w:p w14:paraId="413015FF" w14:textId="3FB34CD1" w:rsidR="008A7326" w:rsidRPr="0043284D" w:rsidRDefault="008A7326" w:rsidP="008A7326">
          <w:pPr>
            <w:numPr>
              <w:ilvl w:val="0"/>
              <w:numId w:val="1"/>
            </w:numPr>
          </w:pPr>
          <w:r w:rsidRPr="0043284D">
            <w:t>the Commonwealth being responsible for compliance inspections, guidance materials, and education and awareness for consumers and businesses</w:t>
          </w:r>
        </w:p>
        <w:p w14:paraId="6CC8BF69" w14:textId="77777777" w:rsidR="008A7326" w:rsidRPr="0043284D" w:rsidRDefault="008A7326" w:rsidP="008A7326">
          <w:pPr>
            <w:numPr>
              <w:ilvl w:val="0"/>
              <w:numId w:val="1"/>
            </w:numPr>
          </w:pPr>
          <w:r w:rsidRPr="0043284D">
            <w:t>both Commonwealth and state and territory regulators being responsible for handling enquiries and complaints.</w:t>
          </w:r>
        </w:p>
        <w:p w14:paraId="6C640EEF" w14:textId="659E6B38" w:rsidR="008A7326" w:rsidRDefault="008A7326" w:rsidP="008A7326">
          <w:pPr>
            <w:rPr>
              <w:rFonts w:ascii="Calibri" w:eastAsia="Verdana" w:hAnsi="Calibri" w:cs="Calibri"/>
              <w:color w:val="000000"/>
              <w:lang w:val="en-US"/>
            </w:rPr>
          </w:pPr>
          <w:r>
            <w:rPr>
              <w:rFonts w:ascii="Calibri" w:eastAsia="Verdana" w:hAnsi="Calibri" w:cs="Calibri"/>
              <w:color w:val="000000"/>
              <w:lang w:val="en-US"/>
            </w:rPr>
            <w:t>Costs varied between jurisdictions due to range of factors including the size of individual states and territories and their regulatory approaches, and priorities.</w:t>
          </w:r>
          <w:r w:rsidR="00D906D1">
            <w:rPr>
              <w:rFonts w:ascii="Calibri" w:eastAsia="Verdana" w:hAnsi="Calibri" w:cs="Calibri"/>
              <w:color w:val="000000"/>
              <w:lang w:val="en-US"/>
            </w:rPr>
            <w:t xml:space="preserve"> The specific arrangements for implementation and compliance are still to be decided by Government.</w:t>
          </w:r>
        </w:p>
        <w:p w14:paraId="559DE753" w14:textId="77777777" w:rsidR="008A7326" w:rsidRPr="007F71A1" w:rsidRDefault="008A7326" w:rsidP="008A7326">
          <w:pPr>
            <w:pStyle w:val="Heading3"/>
            <w:rPr>
              <w:rFonts w:eastAsia="Verdana"/>
              <w:lang w:val="en-US"/>
            </w:rPr>
          </w:pPr>
          <w:r>
            <w:rPr>
              <w:rFonts w:eastAsia="Verdana"/>
              <w:lang w:val="en-US"/>
            </w:rPr>
            <w:t xml:space="preserve">Assumptions, limitations, and sensitivity analysis </w:t>
          </w:r>
        </w:p>
        <w:p w14:paraId="25C048C6" w14:textId="77777777" w:rsidR="008A7326" w:rsidRDefault="008A7326" w:rsidP="008A7326">
          <w:pPr>
            <w:pStyle w:val="Heading4"/>
            <w:rPr>
              <w:lang w:val="en-US"/>
            </w:rPr>
          </w:pPr>
          <w:r>
            <w:rPr>
              <w:lang w:val="en-US"/>
            </w:rPr>
            <w:t xml:space="preserve">Costs </w:t>
          </w:r>
        </w:p>
        <w:p w14:paraId="5CB4A3CD" w14:textId="344D0AB6" w:rsidR="008A7326" w:rsidRDefault="008A7326" w:rsidP="008A7326">
          <w:pPr>
            <w:rPr>
              <w:lang w:val="en-US"/>
            </w:rPr>
          </w:pPr>
          <w:r>
            <w:rPr>
              <w:lang w:val="en-US"/>
            </w:rPr>
            <w:t xml:space="preserve">The business survey was designed to only capture the impacts </w:t>
          </w:r>
          <w:r w:rsidR="005F14BB">
            <w:rPr>
              <w:lang w:val="en-US"/>
            </w:rPr>
            <w:t xml:space="preserve">specifically </w:t>
          </w:r>
          <w:r>
            <w:rPr>
              <w:lang w:val="en-US"/>
            </w:rPr>
            <w:t xml:space="preserve">due to seafood CoOL. For example, the costs from updating menus due to changes in seafood origin, and not for other reasons. Some businesses reported no increases in the expected frequency of menu changes due to seafood CoOL. To avoid understating the potential costs, a conservative minimum number of expected changes of 4 updates per year was used (in line with potential seasonal changes). </w:t>
          </w:r>
        </w:p>
        <w:p w14:paraId="18FCE171" w14:textId="09843131" w:rsidR="008A7326" w:rsidRDefault="008A7326" w:rsidP="008A7326">
          <w:pPr>
            <w:rPr>
              <w:lang w:val="en-US"/>
            </w:rPr>
          </w:pPr>
          <w:r>
            <w:rPr>
              <w:lang w:val="en-US"/>
            </w:rPr>
            <w:t xml:space="preserve">Some businesses may have inaccurately estimated the costs to comply with seafood CoOL because they have not </w:t>
          </w:r>
          <w:r w:rsidR="00EE72DC">
            <w:rPr>
              <w:lang w:val="en-US"/>
            </w:rPr>
            <w:t xml:space="preserve">implemented </w:t>
          </w:r>
          <w:r>
            <w:rPr>
              <w:lang w:val="en-US"/>
            </w:rPr>
            <w:t xml:space="preserve">it in practice. To </w:t>
          </w:r>
          <w:r w:rsidR="000D057E">
            <w:rPr>
              <w:lang w:val="en-US"/>
            </w:rPr>
            <w:t xml:space="preserve">prevent this from </w:t>
          </w:r>
          <w:r w:rsidR="005B7316">
            <w:rPr>
              <w:lang w:val="en-US"/>
            </w:rPr>
            <w:t xml:space="preserve">skewing </w:t>
          </w:r>
          <w:r w:rsidR="000D057E">
            <w:rPr>
              <w:lang w:val="en-US"/>
            </w:rPr>
            <w:t xml:space="preserve">the results, </w:t>
          </w:r>
          <w:r>
            <w:rPr>
              <w:lang w:val="en-US"/>
            </w:rPr>
            <w:t xml:space="preserve">the median values </w:t>
          </w:r>
          <w:r w:rsidR="007B68CA">
            <w:rPr>
              <w:lang w:val="en-US"/>
            </w:rPr>
            <w:t xml:space="preserve">(middle value in </w:t>
          </w:r>
          <w:r w:rsidR="008964D0">
            <w:rPr>
              <w:lang w:val="en-US"/>
            </w:rPr>
            <w:t xml:space="preserve">a </w:t>
          </w:r>
          <w:r w:rsidR="007B68CA">
            <w:rPr>
              <w:lang w:val="en-US"/>
            </w:rPr>
            <w:t xml:space="preserve">dataset) </w:t>
          </w:r>
          <w:r>
            <w:rPr>
              <w:lang w:val="en-US"/>
            </w:rPr>
            <w:t>were used in the CBA modelling</w:t>
          </w:r>
          <w:r w:rsidR="005F14BB">
            <w:rPr>
              <w:lang w:val="en-US"/>
            </w:rPr>
            <w:t>.</w:t>
          </w:r>
          <w:r>
            <w:rPr>
              <w:lang w:val="en-US"/>
            </w:rPr>
            <w:t xml:space="preserve"> </w:t>
          </w:r>
        </w:p>
        <w:p w14:paraId="38616A18" w14:textId="77777777" w:rsidR="008A7326" w:rsidRDefault="008A7326" w:rsidP="008A7326">
          <w:pPr>
            <w:pStyle w:val="Heading4"/>
            <w:rPr>
              <w:lang w:val="en-US"/>
            </w:rPr>
          </w:pPr>
          <w:r>
            <w:rPr>
              <w:lang w:val="en-US"/>
            </w:rPr>
            <w:t>Benefits</w:t>
          </w:r>
        </w:p>
        <w:p w14:paraId="00BAA0FF" w14:textId="38BAF750" w:rsidR="007B68CA" w:rsidRDefault="008A7326" w:rsidP="008A7326">
          <w:r>
            <w:rPr>
              <w:rFonts w:ascii="Calibri" w:eastAsia="Verdana" w:hAnsi="Calibri" w:cs="Calibri"/>
              <w:color w:val="000000"/>
              <w:lang w:val="en-US"/>
            </w:rPr>
            <w:t xml:space="preserve">Consumers were asked their WTP as how much they were willing to pay for seafood CoOL in a dollar amount. The dollar WTP was then converted into percentage WTP as the </w:t>
          </w:r>
          <w:r w:rsidRPr="00566491">
            <w:t>percentage of their total expenditure on seafood in a hospitality setting</w:t>
          </w:r>
          <w:r w:rsidR="007B68CA">
            <w:t>, per visit</w:t>
          </w:r>
          <w:r>
            <w:t xml:space="preserve">. </w:t>
          </w:r>
        </w:p>
        <w:p w14:paraId="23508B75" w14:textId="05C2B869" w:rsidR="008A7326" w:rsidRDefault="008A7326" w:rsidP="008A7326">
          <w:pPr>
            <w:rPr>
              <w:rFonts w:ascii="Calibri" w:eastAsia="Verdana" w:hAnsi="Calibri" w:cs="Calibri"/>
              <w:color w:val="000000"/>
              <w:lang w:val="en-US"/>
            </w:rPr>
          </w:pPr>
          <w:r>
            <w:rPr>
              <w:rFonts w:ascii="Calibri" w:eastAsia="Verdana" w:hAnsi="Calibri" w:cs="Calibri"/>
              <w:color w:val="000000"/>
              <w:lang w:val="en-US"/>
            </w:rPr>
            <w:lastRenderedPageBreak/>
            <w:t xml:space="preserve">For CBA modelling, the median value of </w:t>
          </w:r>
          <w:r w:rsidR="007B68CA">
            <w:rPr>
              <w:rFonts w:ascii="Calibri" w:eastAsia="Verdana" w:hAnsi="Calibri" w:cs="Calibri"/>
              <w:color w:val="000000"/>
              <w:lang w:val="en-US"/>
            </w:rPr>
            <w:t xml:space="preserve">the </w:t>
          </w:r>
          <w:r>
            <w:rPr>
              <w:rFonts w:ascii="Calibri" w:eastAsia="Verdana" w:hAnsi="Calibri" w:cs="Calibri"/>
              <w:color w:val="000000"/>
              <w:lang w:val="en-US"/>
            </w:rPr>
            <w:t xml:space="preserve">percentage WTP </w:t>
          </w:r>
          <w:r w:rsidR="007B68CA">
            <w:t xml:space="preserve">was </w:t>
          </w:r>
          <w:r w:rsidRPr="00016738">
            <w:t xml:space="preserve">applied to </w:t>
          </w:r>
          <w:r w:rsidR="005F14BB">
            <w:t xml:space="preserve">the </w:t>
          </w:r>
          <w:r w:rsidRPr="00016738">
            <w:t>median annual seafood spend per consumer</w:t>
          </w:r>
          <w:r>
            <w:t xml:space="preserve">, which was aggregated over </w:t>
          </w:r>
          <w:r>
            <w:rPr>
              <w:rFonts w:ascii="Calibri" w:eastAsia="Verdana" w:hAnsi="Calibri" w:cs="Calibri"/>
              <w:color w:val="000000"/>
              <w:lang w:val="en-US"/>
            </w:rPr>
            <w:t xml:space="preserve">the relevant population of Australian seafood consumers to get the total benefit of seafood CoOL. Based on research and responses to the consumer survey, it was assumed that approximately 33% of Australian consumers purchase seafood frequently enough to realise this benefit.  </w:t>
          </w:r>
        </w:p>
        <w:p w14:paraId="6402BDD3" w14:textId="2F5FE338" w:rsidR="008A7326" w:rsidRDefault="008A7326" w:rsidP="008A7326">
          <w:pPr>
            <w:rPr>
              <w:rFonts w:ascii="Calibri" w:eastAsia="Verdana" w:hAnsi="Calibri" w:cs="Calibri"/>
              <w:color w:val="000000"/>
              <w:lang w:val="en-US"/>
            </w:rPr>
          </w:pPr>
          <w:r>
            <w:rPr>
              <w:rFonts w:ascii="Calibri" w:eastAsia="Verdana" w:hAnsi="Calibri" w:cs="Calibri"/>
              <w:color w:val="000000"/>
              <w:lang w:val="en-US"/>
            </w:rPr>
            <w:t xml:space="preserve">There is often a difference in what consumers say they are willing to pay (their ‘stated preferences’) compared to what they are </w:t>
          </w:r>
          <w:proofErr w:type="gramStart"/>
          <w:r>
            <w:rPr>
              <w:rFonts w:ascii="Calibri" w:eastAsia="Verdana" w:hAnsi="Calibri" w:cs="Calibri"/>
              <w:color w:val="000000"/>
              <w:lang w:val="en-US"/>
            </w:rPr>
            <w:t>actually willing</w:t>
          </w:r>
          <w:proofErr w:type="gramEnd"/>
          <w:r>
            <w:rPr>
              <w:rFonts w:ascii="Calibri" w:eastAsia="Verdana" w:hAnsi="Calibri" w:cs="Calibri"/>
              <w:color w:val="000000"/>
              <w:lang w:val="en-US"/>
            </w:rPr>
            <w:t xml:space="preserve"> to pay in reality (their ‘revealed preferences’). This could be due to factors such as limitations on purchasing behaviors, such as costs, or other influences such as brand and quality. The CBA was adjusted to account for this known level of bias.</w:t>
          </w:r>
        </w:p>
        <w:p w14:paraId="58393BF1" w14:textId="77777777" w:rsidR="008A7326" w:rsidRDefault="008A7326" w:rsidP="008A7326">
          <w:pPr>
            <w:pStyle w:val="Heading4"/>
          </w:pPr>
          <w:r>
            <w:t>Representation</w:t>
          </w:r>
        </w:p>
        <w:p w14:paraId="26BD62CC" w14:textId="6EE32BA7" w:rsidR="008A7326" w:rsidRDefault="008A7326" w:rsidP="008A7326">
          <w:r>
            <w:t xml:space="preserve">The businesses that participated in the CBA provided coverage from all major types of hospitality businesses, such as restaurants, cafes, fast food and other takeaway stores, </w:t>
          </w:r>
          <w:proofErr w:type="gramStart"/>
          <w:r>
            <w:t>clubs</w:t>
          </w:r>
          <w:proofErr w:type="gramEnd"/>
          <w:r>
            <w:t xml:space="preserve"> and pubs. They also provided coverage from all states and territories in Australia, including both regional and metropolitan areas. However, there was limited coverage across some business categories, such as accommodation services and entertainment venues.</w:t>
          </w:r>
        </w:p>
        <w:p w14:paraId="4A83E235" w14:textId="06208D31" w:rsidR="008A7326" w:rsidRPr="00B2537C" w:rsidRDefault="008A7326" w:rsidP="008A7326">
          <w:pPr>
            <w:rPr>
              <w:rFonts w:ascii="Calibri" w:eastAsia="Verdana" w:hAnsi="Calibri" w:cs="Calibri"/>
              <w:color w:val="000000"/>
              <w:lang w:val="en-US"/>
            </w:rPr>
          </w:pPr>
          <w:r>
            <w:t xml:space="preserve">The consumer respondents </w:t>
          </w:r>
          <w:r w:rsidR="00F024BF">
            <w:t>represented</w:t>
          </w:r>
          <w:r>
            <w:t xml:space="preserve"> a range of income levels, age groups and seafood purchasing preferences and, similarly, provided coverage across all states and territories.</w:t>
          </w:r>
        </w:p>
        <w:p w14:paraId="4089EAA3" w14:textId="77777777" w:rsidR="008A7326" w:rsidRDefault="008A7326" w:rsidP="008A7326">
          <w:pPr>
            <w:pStyle w:val="Heading4"/>
            <w:rPr>
              <w:lang w:val="en-US"/>
            </w:rPr>
          </w:pPr>
          <w:r>
            <w:rPr>
              <w:lang w:val="en-US"/>
            </w:rPr>
            <w:t>Outliers</w:t>
          </w:r>
        </w:p>
        <w:p w14:paraId="05FB51D3" w14:textId="77777777" w:rsidR="008A7326" w:rsidRDefault="008A7326" w:rsidP="008A7326">
          <w:pPr>
            <w:rPr>
              <w:lang w:val="en-US"/>
            </w:rPr>
          </w:pPr>
          <w:r>
            <w:rPr>
              <w:lang w:val="en-US"/>
            </w:rPr>
            <w:t xml:space="preserve">Some outliers in the business costs and WTP were observed. These outliers were removed where it was seen to be a result of a participant incorrectly entering in their response or misunderstanding the question. They were also removed where they would disproportionately skew the results. </w:t>
          </w:r>
        </w:p>
        <w:p w14:paraId="157EC0A1" w14:textId="77777777" w:rsidR="008A7326" w:rsidRDefault="008A7326" w:rsidP="008A7326">
          <w:pPr>
            <w:pStyle w:val="Heading4"/>
            <w:rPr>
              <w:lang w:val="en-US"/>
            </w:rPr>
          </w:pPr>
          <w:r>
            <w:rPr>
              <w:lang w:val="en-US"/>
            </w:rPr>
            <w:t xml:space="preserve">Sensitivity analysis </w:t>
          </w:r>
        </w:p>
        <w:p w14:paraId="3AB0A413" w14:textId="77777777" w:rsidR="008A7326" w:rsidRDefault="008A7326" w:rsidP="008A7326">
          <w:pPr>
            <w:rPr>
              <w:lang w:val="en-US"/>
            </w:rPr>
          </w:pPr>
          <w:r>
            <w:rPr>
              <w:lang w:val="en-US"/>
            </w:rPr>
            <w:t>The CBA results are the most sensitive to:</w:t>
          </w:r>
        </w:p>
        <w:p w14:paraId="25934099" w14:textId="77777777" w:rsidR="008A7326" w:rsidRPr="00EE2F83" w:rsidRDefault="008A7326" w:rsidP="008A7326">
          <w:pPr>
            <w:numPr>
              <w:ilvl w:val="0"/>
              <w:numId w:val="1"/>
            </w:numPr>
          </w:pPr>
          <w:r w:rsidRPr="00EE2F83">
            <w:t>frequency of menu updates per year (due specifically to changes in seafood origin)</w:t>
          </w:r>
        </w:p>
        <w:p w14:paraId="1D22034D" w14:textId="77777777" w:rsidR="008A7326" w:rsidRDefault="008A7326" w:rsidP="008A7326">
          <w:pPr>
            <w:numPr>
              <w:ilvl w:val="0"/>
              <w:numId w:val="1"/>
            </w:numPr>
          </w:pPr>
          <w:r w:rsidRPr="00EE2F83">
            <w:t xml:space="preserve">percentage WTP change on a seafood menu item for </w:t>
          </w:r>
          <w:r>
            <w:t>se</w:t>
          </w:r>
          <w:r w:rsidRPr="00EE2F83">
            <w:t xml:space="preserve">afood CoOL information. </w:t>
          </w:r>
        </w:p>
        <w:p w14:paraId="3CE57305" w14:textId="77777777" w:rsidR="008A7326" w:rsidRDefault="008A7326" w:rsidP="008A7326">
          <w:r>
            <w:t xml:space="preserve">A sensitivity analysis was completed to assess the impacts that changes in these 2 key inputs would have on the CBA results. </w:t>
          </w:r>
        </w:p>
        <w:p w14:paraId="497A5CAF" w14:textId="77777777" w:rsidR="008A7326" w:rsidRDefault="008A7326" w:rsidP="008A7326">
          <w:pPr>
            <w:pStyle w:val="Heading5"/>
          </w:pPr>
          <w:r>
            <w:t>Frequency of menu updates</w:t>
          </w:r>
        </w:p>
        <w:p w14:paraId="7642858E" w14:textId="29D5463B" w:rsidR="008A7326" w:rsidRDefault="008A7326" w:rsidP="008A7326">
          <w:r>
            <w:t>Overall, less menu updates positively impact the BCR for both models because there would be less costs for businesses, and more menu updates negatively impact the BCR for both models because it would mean higher costs for businesses.</w:t>
          </w:r>
        </w:p>
        <w:p w14:paraId="5D3EF565" w14:textId="77777777" w:rsidR="008208D6" w:rsidRDefault="008208D6" w:rsidP="00FA5E07">
          <w:pPr>
            <w:pStyle w:val="Caption"/>
            <w:keepNext/>
          </w:pPr>
        </w:p>
        <w:p w14:paraId="2919531C" w14:textId="41866E36" w:rsidR="00F6281C" w:rsidRPr="00B91383" w:rsidRDefault="00F6281C" w:rsidP="00FA5E07">
          <w:pPr>
            <w:pStyle w:val="Caption"/>
            <w:keepNext/>
          </w:pPr>
          <w:r>
            <w:t>Table 2: Frequency of menu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requency of menu changes for AIM and Country models"/>
          </w:tblPr>
          <w:tblGrid>
            <w:gridCol w:w="4106"/>
            <w:gridCol w:w="2552"/>
            <w:gridCol w:w="2524"/>
          </w:tblGrid>
          <w:tr w:rsidR="008A7326" w:rsidRPr="000E459B" w14:paraId="51919A5B" w14:textId="77777777" w:rsidTr="00457D70">
            <w:trPr>
              <w:trHeight w:val="567"/>
            </w:trPr>
            <w:tc>
              <w:tcPr>
                <w:tcW w:w="4106" w:type="dxa"/>
                <w:shd w:val="clear" w:color="auto" w:fill="D7EFF2" w:themeFill="accent5" w:themeFillTint="66"/>
                <w:vAlign w:val="center"/>
              </w:tcPr>
              <w:p w14:paraId="3CBFC423" w14:textId="77777777" w:rsidR="008A7326" w:rsidRPr="000E459B" w:rsidRDefault="008A7326" w:rsidP="00457D70">
                <w:pPr>
                  <w:spacing w:before="60" w:after="60"/>
                </w:pPr>
                <w:r>
                  <w:rPr>
                    <w:b/>
                    <w:lang w:val="en-US"/>
                  </w:rPr>
                  <w:t>Frequency of menu changes</w:t>
                </w:r>
              </w:p>
            </w:tc>
            <w:tc>
              <w:tcPr>
                <w:tcW w:w="2552" w:type="dxa"/>
                <w:shd w:val="clear" w:color="auto" w:fill="D7EFF2" w:themeFill="accent5" w:themeFillTint="66"/>
                <w:vAlign w:val="center"/>
              </w:tcPr>
              <w:p w14:paraId="23D43960" w14:textId="77777777" w:rsidR="008A7326" w:rsidRPr="000E459B" w:rsidRDefault="008A7326" w:rsidP="00457D70">
                <w:pPr>
                  <w:spacing w:before="60" w:after="60"/>
                  <w:jc w:val="center"/>
                </w:pPr>
                <w:r>
                  <w:rPr>
                    <w:b/>
                    <w:lang w:val="en-US"/>
                  </w:rPr>
                  <w:t>BCR for AIM model</w:t>
                </w:r>
              </w:p>
            </w:tc>
            <w:tc>
              <w:tcPr>
                <w:tcW w:w="2524" w:type="dxa"/>
                <w:shd w:val="clear" w:color="auto" w:fill="D7EFF2" w:themeFill="accent5" w:themeFillTint="66"/>
                <w:vAlign w:val="center"/>
              </w:tcPr>
              <w:p w14:paraId="1FA9D65E" w14:textId="77777777" w:rsidR="008A7326" w:rsidRPr="000E459B" w:rsidRDefault="008A7326" w:rsidP="00457D70">
                <w:pPr>
                  <w:spacing w:before="60" w:after="60"/>
                  <w:jc w:val="center"/>
                  <w:rPr>
                    <w:b/>
                    <w:lang w:val="en-US"/>
                  </w:rPr>
                </w:pPr>
                <w:r>
                  <w:rPr>
                    <w:b/>
                    <w:lang w:val="en-US"/>
                  </w:rPr>
                  <w:t>BCR for Country model</w:t>
                </w:r>
              </w:p>
            </w:tc>
          </w:tr>
          <w:tr w:rsidR="008A7326" w:rsidRPr="000E459B" w14:paraId="02C7BA93" w14:textId="77777777" w:rsidTr="00457D70">
            <w:trPr>
              <w:trHeight w:val="567"/>
            </w:trPr>
            <w:tc>
              <w:tcPr>
                <w:tcW w:w="4106" w:type="dxa"/>
                <w:vAlign w:val="center"/>
              </w:tcPr>
              <w:p w14:paraId="59DB7677" w14:textId="77777777" w:rsidR="008A7326" w:rsidRPr="000E459B" w:rsidRDefault="008A7326" w:rsidP="00457D70">
                <w:pPr>
                  <w:spacing w:before="60" w:after="60"/>
                </w:pPr>
                <w:r>
                  <w:t>Less changes (2 updates per year)</w:t>
                </w:r>
              </w:p>
            </w:tc>
            <w:tc>
              <w:tcPr>
                <w:tcW w:w="2552" w:type="dxa"/>
                <w:vAlign w:val="center"/>
              </w:tcPr>
              <w:p w14:paraId="535C922A" w14:textId="77777777" w:rsidR="008A7326" w:rsidRPr="000E459B" w:rsidRDefault="008A7326" w:rsidP="00457D70">
                <w:pPr>
                  <w:spacing w:before="60" w:after="60"/>
                  <w:jc w:val="center"/>
                </w:pPr>
                <w:r>
                  <w:t>1.98</w:t>
                </w:r>
              </w:p>
            </w:tc>
            <w:tc>
              <w:tcPr>
                <w:tcW w:w="2524" w:type="dxa"/>
                <w:vAlign w:val="center"/>
              </w:tcPr>
              <w:p w14:paraId="2160346B" w14:textId="77777777" w:rsidR="008A7326" w:rsidRPr="000E459B" w:rsidRDefault="008A7326" w:rsidP="00457D70">
                <w:pPr>
                  <w:spacing w:before="60" w:after="60"/>
                  <w:jc w:val="center"/>
                </w:pPr>
                <w:r>
                  <w:t>1.2</w:t>
                </w:r>
              </w:p>
            </w:tc>
          </w:tr>
          <w:tr w:rsidR="008A7326" w:rsidRPr="000E459B" w14:paraId="59CAF1CD" w14:textId="77777777" w:rsidTr="00457D70">
            <w:trPr>
              <w:trHeight w:val="567"/>
            </w:trPr>
            <w:tc>
              <w:tcPr>
                <w:tcW w:w="4106" w:type="dxa"/>
                <w:vAlign w:val="center"/>
              </w:tcPr>
              <w:p w14:paraId="434D5ABD" w14:textId="77777777" w:rsidR="008A7326" w:rsidRPr="000E459B" w:rsidRDefault="008A7326" w:rsidP="00457D70">
                <w:pPr>
                  <w:spacing w:before="60" w:after="60"/>
                </w:pPr>
                <w:r w:rsidRPr="000E459B">
                  <w:t>Base</w:t>
                </w:r>
                <w:r>
                  <w:t xml:space="preserve"> scenario (4 updates per year)</w:t>
                </w:r>
                <w:r w:rsidRPr="000E459B">
                  <w:t xml:space="preserve"> </w:t>
                </w:r>
              </w:p>
            </w:tc>
            <w:tc>
              <w:tcPr>
                <w:tcW w:w="2552" w:type="dxa"/>
                <w:vAlign w:val="center"/>
              </w:tcPr>
              <w:p w14:paraId="099EED7E" w14:textId="77777777" w:rsidR="008A7326" w:rsidRPr="000E459B" w:rsidRDefault="008A7326" w:rsidP="00457D70">
                <w:pPr>
                  <w:spacing w:before="60" w:after="60"/>
                  <w:jc w:val="center"/>
                </w:pPr>
                <w:r>
                  <w:t>1.33</w:t>
                </w:r>
              </w:p>
            </w:tc>
            <w:tc>
              <w:tcPr>
                <w:tcW w:w="2524" w:type="dxa"/>
                <w:vAlign w:val="center"/>
              </w:tcPr>
              <w:p w14:paraId="3109A350" w14:textId="77777777" w:rsidR="008A7326" w:rsidRPr="000E459B" w:rsidRDefault="008A7326" w:rsidP="00457D70">
                <w:pPr>
                  <w:spacing w:before="60" w:after="60"/>
                  <w:jc w:val="center"/>
                </w:pPr>
                <w:r>
                  <w:t>0.81</w:t>
                </w:r>
              </w:p>
            </w:tc>
          </w:tr>
          <w:tr w:rsidR="008A7326" w:rsidRPr="000E459B" w14:paraId="44771DEA" w14:textId="77777777" w:rsidTr="00457D70">
            <w:trPr>
              <w:trHeight w:val="567"/>
            </w:trPr>
            <w:tc>
              <w:tcPr>
                <w:tcW w:w="4106" w:type="dxa"/>
                <w:vAlign w:val="center"/>
              </w:tcPr>
              <w:p w14:paraId="59AB3916" w14:textId="77777777" w:rsidR="008A7326" w:rsidRPr="000E459B" w:rsidRDefault="008A7326" w:rsidP="00457D70">
                <w:pPr>
                  <w:spacing w:before="60" w:after="60"/>
                </w:pPr>
                <w:r w:rsidRPr="000E459B">
                  <w:lastRenderedPageBreak/>
                  <w:t>More menu changes (6 updates per year)</w:t>
                </w:r>
              </w:p>
            </w:tc>
            <w:tc>
              <w:tcPr>
                <w:tcW w:w="2552" w:type="dxa"/>
                <w:vAlign w:val="center"/>
              </w:tcPr>
              <w:p w14:paraId="18B9E540" w14:textId="77777777" w:rsidR="008A7326" w:rsidRPr="000E459B" w:rsidRDefault="008A7326" w:rsidP="00457D70">
                <w:pPr>
                  <w:spacing w:before="60" w:after="60"/>
                  <w:jc w:val="center"/>
                </w:pPr>
                <w:r>
                  <w:t>1.0</w:t>
                </w:r>
              </w:p>
            </w:tc>
            <w:tc>
              <w:tcPr>
                <w:tcW w:w="2524" w:type="dxa"/>
                <w:vAlign w:val="center"/>
              </w:tcPr>
              <w:p w14:paraId="2E9C7D13" w14:textId="77777777" w:rsidR="008A7326" w:rsidRPr="000E459B" w:rsidRDefault="008A7326" w:rsidP="00457D70">
                <w:pPr>
                  <w:spacing w:before="60" w:after="60"/>
                  <w:jc w:val="center"/>
                </w:pPr>
                <w:r>
                  <w:t>0.61</w:t>
                </w:r>
              </w:p>
            </w:tc>
          </w:tr>
        </w:tbl>
        <w:p w14:paraId="28C375F2" w14:textId="77777777" w:rsidR="008A7326" w:rsidRDefault="008A7326" w:rsidP="008A7326"/>
        <w:p w14:paraId="6D9099E1" w14:textId="77777777" w:rsidR="008A7326" w:rsidRDefault="008A7326" w:rsidP="008A7326">
          <w:pPr>
            <w:pStyle w:val="Heading5"/>
          </w:pPr>
          <w:r w:rsidRPr="000E459B">
            <w:t>WTP</w:t>
          </w:r>
        </w:p>
        <w:p w14:paraId="58B3CC97" w14:textId="13E2DA7F" w:rsidR="008A7326" w:rsidRPr="00F024BF" w:rsidRDefault="008A7326" w:rsidP="008A7326">
          <w:r>
            <w:t xml:space="preserve">A lower WTP percentage negatively impacts the BCR because there would be less benefit to be gained, and a higher WTP percentage positively impacts the BCR because there would be more benefit. </w:t>
          </w:r>
        </w:p>
        <w:p w14:paraId="37F11C38" w14:textId="2C41711A" w:rsidR="00F6281C" w:rsidRPr="006E1B24" w:rsidRDefault="00F6281C" w:rsidP="00F6281C">
          <w:pPr>
            <w:pStyle w:val="Caption"/>
          </w:pPr>
          <w:r>
            <w:t>Table 3: WTP</w:t>
          </w:r>
        </w:p>
        <w:tbl>
          <w:tblPr>
            <w:tblStyle w:val="TableGrid1"/>
            <w:tblW w:w="0" w:type="auto"/>
            <w:tblLook w:val="04A0" w:firstRow="1" w:lastRow="0" w:firstColumn="1" w:lastColumn="0" w:noHBand="0" w:noVBand="1"/>
            <w:tblCaption w:val="Willingness to pay for AIM and Country models"/>
          </w:tblPr>
          <w:tblGrid>
            <w:gridCol w:w="4106"/>
            <w:gridCol w:w="2552"/>
            <w:gridCol w:w="2524"/>
          </w:tblGrid>
          <w:tr w:rsidR="008A7326" w:rsidRPr="000E459B" w14:paraId="7AB61D24" w14:textId="77777777" w:rsidTr="00457D70">
            <w:trPr>
              <w:trHeight w:val="567"/>
              <w:tblHeader/>
            </w:trPr>
            <w:tc>
              <w:tcPr>
                <w:tcW w:w="4106" w:type="dxa"/>
                <w:shd w:val="clear" w:color="auto" w:fill="D7EFF2" w:themeFill="accent5" w:themeFillTint="66"/>
                <w:vAlign w:val="center"/>
              </w:tcPr>
              <w:p w14:paraId="53554C2B" w14:textId="77777777" w:rsidR="008A7326" w:rsidRPr="000E459B" w:rsidRDefault="008A7326" w:rsidP="00457D70">
                <w:pPr>
                  <w:spacing w:before="60" w:after="60" w:line="259" w:lineRule="auto"/>
                </w:pPr>
                <w:r>
                  <w:rPr>
                    <w:b/>
                    <w:lang w:val="en-US"/>
                  </w:rPr>
                  <w:t>WTP</w:t>
                </w:r>
              </w:p>
            </w:tc>
            <w:tc>
              <w:tcPr>
                <w:tcW w:w="2552" w:type="dxa"/>
                <w:shd w:val="clear" w:color="auto" w:fill="D7EFF2" w:themeFill="accent5" w:themeFillTint="66"/>
                <w:vAlign w:val="center"/>
              </w:tcPr>
              <w:p w14:paraId="0A57FCF8" w14:textId="77777777" w:rsidR="008A7326" w:rsidRPr="000E459B" w:rsidRDefault="008A7326" w:rsidP="00457D70">
                <w:pPr>
                  <w:spacing w:before="60" w:after="60" w:line="259" w:lineRule="auto"/>
                  <w:jc w:val="center"/>
                </w:pPr>
                <w:r>
                  <w:rPr>
                    <w:b/>
                    <w:lang w:val="en-US"/>
                  </w:rPr>
                  <w:t>BCR for AIM model</w:t>
                </w:r>
              </w:p>
            </w:tc>
            <w:tc>
              <w:tcPr>
                <w:tcW w:w="2524" w:type="dxa"/>
                <w:shd w:val="clear" w:color="auto" w:fill="D7EFF2" w:themeFill="accent5" w:themeFillTint="66"/>
                <w:vAlign w:val="center"/>
              </w:tcPr>
              <w:p w14:paraId="6C90666C" w14:textId="77777777" w:rsidR="008A7326" w:rsidRPr="000E459B" w:rsidRDefault="008A7326" w:rsidP="00457D70">
                <w:pPr>
                  <w:spacing w:before="60" w:after="60" w:line="259" w:lineRule="auto"/>
                  <w:jc w:val="center"/>
                  <w:rPr>
                    <w:b/>
                    <w:lang w:val="en-US"/>
                  </w:rPr>
                </w:pPr>
                <w:r>
                  <w:rPr>
                    <w:b/>
                    <w:lang w:val="en-US"/>
                  </w:rPr>
                  <w:t>BCR for Country model</w:t>
                </w:r>
              </w:p>
            </w:tc>
          </w:tr>
          <w:tr w:rsidR="008A7326" w:rsidRPr="000E459B" w14:paraId="4D5058FD" w14:textId="77777777" w:rsidTr="00457D70">
            <w:trPr>
              <w:trHeight w:val="567"/>
            </w:trPr>
            <w:tc>
              <w:tcPr>
                <w:tcW w:w="4106" w:type="dxa"/>
                <w:vAlign w:val="center"/>
              </w:tcPr>
              <w:p w14:paraId="3788DB1A" w14:textId="77777777" w:rsidR="008A7326" w:rsidRPr="000E459B" w:rsidRDefault="008A7326" w:rsidP="00457D70">
                <w:pPr>
                  <w:spacing w:before="60" w:after="60" w:line="259" w:lineRule="auto"/>
                </w:pPr>
                <w:r>
                  <w:t>Lower WTP (5%)</w:t>
                </w:r>
              </w:p>
            </w:tc>
            <w:tc>
              <w:tcPr>
                <w:tcW w:w="2552" w:type="dxa"/>
                <w:vAlign w:val="center"/>
              </w:tcPr>
              <w:p w14:paraId="184A3303" w14:textId="77777777" w:rsidR="008A7326" w:rsidRPr="000E459B" w:rsidRDefault="008A7326" w:rsidP="00457D70">
                <w:pPr>
                  <w:spacing w:before="60" w:after="60" w:line="259" w:lineRule="auto"/>
                  <w:jc w:val="center"/>
                </w:pPr>
                <w:r>
                  <w:t>1.11</w:t>
                </w:r>
              </w:p>
            </w:tc>
            <w:tc>
              <w:tcPr>
                <w:tcW w:w="2524" w:type="dxa"/>
                <w:vAlign w:val="center"/>
              </w:tcPr>
              <w:p w14:paraId="7193C743" w14:textId="77777777" w:rsidR="008A7326" w:rsidRPr="000E459B" w:rsidRDefault="008A7326" w:rsidP="00457D70">
                <w:pPr>
                  <w:spacing w:before="60" w:after="60" w:line="259" w:lineRule="auto"/>
                  <w:jc w:val="center"/>
                </w:pPr>
                <w:r>
                  <w:t>0.67</w:t>
                </w:r>
              </w:p>
            </w:tc>
          </w:tr>
          <w:tr w:rsidR="008A7326" w:rsidRPr="000E459B" w14:paraId="4468155B" w14:textId="77777777" w:rsidTr="00457D70">
            <w:trPr>
              <w:trHeight w:val="567"/>
            </w:trPr>
            <w:tc>
              <w:tcPr>
                <w:tcW w:w="4106" w:type="dxa"/>
                <w:vAlign w:val="center"/>
              </w:tcPr>
              <w:p w14:paraId="1E72C14C" w14:textId="77777777" w:rsidR="008A7326" w:rsidRPr="000E459B" w:rsidRDefault="008A7326" w:rsidP="00457D70">
                <w:pPr>
                  <w:spacing w:before="60" w:after="60" w:line="259" w:lineRule="auto"/>
                </w:pPr>
                <w:r w:rsidRPr="000E459B">
                  <w:t>Base</w:t>
                </w:r>
                <w:r>
                  <w:t xml:space="preserve"> scenario (6%)</w:t>
                </w:r>
                <w:r w:rsidRPr="000E459B">
                  <w:t xml:space="preserve"> </w:t>
                </w:r>
              </w:p>
            </w:tc>
            <w:tc>
              <w:tcPr>
                <w:tcW w:w="2552" w:type="dxa"/>
                <w:vAlign w:val="center"/>
              </w:tcPr>
              <w:p w14:paraId="336E3CDA" w14:textId="77777777" w:rsidR="008A7326" w:rsidRPr="000E459B" w:rsidRDefault="008A7326" w:rsidP="00457D70">
                <w:pPr>
                  <w:spacing w:before="60" w:after="60" w:line="259" w:lineRule="auto"/>
                  <w:jc w:val="center"/>
                </w:pPr>
                <w:r>
                  <w:t>1.33</w:t>
                </w:r>
              </w:p>
            </w:tc>
            <w:tc>
              <w:tcPr>
                <w:tcW w:w="2524" w:type="dxa"/>
                <w:vAlign w:val="center"/>
              </w:tcPr>
              <w:p w14:paraId="27215289" w14:textId="77777777" w:rsidR="008A7326" w:rsidRPr="000E459B" w:rsidRDefault="008A7326" w:rsidP="00457D70">
                <w:pPr>
                  <w:spacing w:before="60" w:after="60" w:line="259" w:lineRule="auto"/>
                  <w:jc w:val="center"/>
                </w:pPr>
                <w:r>
                  <w:t>0.81</w:t>
                </w:r>
              </w:p>
            </w:tc>
          </w:tr>
          <w:tr w:rsidR="008A7326" w:rsidRPr="000E459B" w14:paraId="13D1D078" w14:textId="77777777" w:rsidTr="00457D70">
            <w:trPr>
              <w:trHeight w:val="567"/>
            </w:trPr>
            <w:tc>
              <w:tcPr>
                <w:tcW w:w="4106" w:type="dxa"/>
                <w:vAlign w:val="center"/>
              </w:tcPr>
              <w:p w14:paraId="680817C0" w14:textId="77777777" w:rsidR="008A7326" w:rsidRPr="000E459B" w:rsidRDefault="008A7326" w:rsidP="00457D70">
                <w:pPr>
                  <w:spacing w:before="60" w:after="60" w:line="259" w:lineRule="auto"/>
                </w:pPr>
                <w:r>
                  <w:t>Higher WTP (7%)</w:t>
                </w:r>
              </w:p>
            </w:tc>
            <w:tc>
              <w:tcPr>
                <w:tcW w:w="2552" w:type="dxa"/>
                <w:vAlign w:val="center"/>
              </w:tcPr>
              <w:p w14:paraId="19841CD5" w14:textId="77777777" w:rsidR="008A7326" w:rsidRPr="000E459B" w:rsidRDefault="008A7326" w:rsidP="00457D70">
                <w:pPr>
                  <w:spacing w:before="60" w:after="60" w:line="259" w:lineRule="auto"/>
                  <w:jc w:val="center"/>
                </w:pPr>
                <w:r>
                  <w:t>1.55</w:t>
                </w:r>
              </w:p>
            </w:tc>
            <w:tc>
              <w:tcPr>
                <w:tcW w:w="2524" w:type="dxa"/>
                <w:vAlign w:val="center"/>
              </w:tcPr>
              <w:p w14:paraId="7C52E96C" w14:textId="77777777" w:rsidR="008A7326" w:rsidRPr="000E459B" w:rsidRDefault="008A7326" w:rsidP="00457D70">
                <w:pPr>
                  <w:spacing w:before="60" w:after="60" w:line="259" w:lineRule="auto"/>
                  <w:jc w:val="center"/>
                </w:pPr>
                <w:r>
                  <w:t>0.94</w:t>
                </w:r>
              </w:p>
            </w:tc>
          </w:tr>
        </w:tbl>
        <w:p w14:paraId="7337455C" w14:textId="77777777" w:rsidR="008A7326" w:rsidRDefault="008A7326" w:rsidP="008A7326"/>
        <w:p w14:paraId="2A6CDC59" w14:textId="77777777" w:rsidR="008A7326" w:rsidRDefault="008A7326" w:rsidP="008A7326">
          <w:pPr>
            <w:pStyle w:val="Heading5"/>
          </w:pPr>
          <w:r>
            <w:t>Combined WTP and frequency of menu update</w:t>
          </w:r>
          <w:bookmarkStart w:id="116" w:name="_Toc141272747"/>
          <w:r>
            <w:t>s</w:t>
          </w:r>
        </w:p>
        <w:p w14:paraId="2D4E1AF9" w14:textId="48873E86" w:rsidR="008A7326" w:rsidRDefault="008A7326" w:rsidP="008A7326">
          <w:r>
            <w:t>In each instance except one (where more menu updates are required and the WTP is lower</w:t>
          </w:r>
          <w:r w:rsidR="00F024BF">
            <w:t>)</w:t>
          </w:r>
          <w:r>
            <w:t xml:space="preserve">, the AIM model returns a BCR of 1.0 or above, which indicates that the benefits of the AIM model would be equal to or above the costs. However, in most combinations of variables, the Country model returns a BCR of less than 1.0.  </w:t>
          </w:r>
        </w:p>
        <w:p w14:paraId="286D97BA" w14:textId="77777777" w:rsidR="008A7326" w:rsidRPr="00B74C60" w:rsidRDefault="008A7326" w:rsidP="008A7326">
          <w:pPr>
            <w:pStyle w:val="Caption"/>
            <w:keepNext/>
          </w:pPr>
          <w:r>
            <w:t xml:space="preserve">Table 4: Combined WTP and frequency of menu updates </w:t>
          </w:r>
        </w:p>
        <w:tbl>
          <w:tblPr>
            <w:tblStyle w:val="TableGrid1"/>
            <w:tblW w:w="0" w:type="auto"/>
            <w:tblLook w:val="04A0" w:firstRow="1" w:lastRow="0" w:firstColumn="1" w:lastColumn="0" w:noHBand="0" w:noVBand="1"/>
            <w:tblCaption w:val="Combined WTP and frequency of menu updates"/>
          </w:tblPr>
          <w:tblGrid>
            <w:gridCol w:w="4106"/>
            <w:gridCol w:w="2552"/>
            <w:gridCol w:w="2524"/>
          </w:tblGrid>
          <w:tr w:rsidR="008A7326" w:rsidRPr="000E459B" w14:paraId="76E02B3C" w14:textId="77777777" w:rsidTr="00457D70">
            <w:trPr>
              <w:trHeight w:val="567"/>
              <w:tblHeader/>
            </w:trPr>
            <w:tc>
              <w:tcPr>
                <w:tcW w:w="4106" w:type="dxa"/>
                <w:shd w:val="clear" w:color="auto" w:fill="D7EFF2" w:themeFill="accent5" w:themeFillTint="66"/>
                <w:vAlign w:val="center"/>
              </w:tcPr>
              <w:p w14:paraId="0F62892C" w14:textId="77777777" w:rsidR="008A7326" w:rsidRPr="000E459B" w:rsidRDefault="008A7326" w:rsidP="00457D70">
                <w:pPr>
                  <w:spacing w:before="60" w:after="60" w:line="259" w:lineRule="auto"/>
                  <w:rPr>
                    <w:b/>
                    <w:bCs/>
                  </w:rPr>
                </w:pPr>
                <w:r>
                  <w:rPr>
                    <w:b/>
                    <w:bCs/>
                  </w:rPr>
                  <w:t>Combination</w:t>
                </w:r>
              </w:p>
            </w:tc>
            <w:tc>
              <w:tcPr>
                <w:tcW w:w="2552" w:type="dxa"/>
                <w:shd w:val="clear" w:color="auto" w:fill="D7EFF2" w:themeFill="accent5" w:themeFillTint="66"/>
                <w:vAlign w:val="center"/>
              </w:tcPr>
              <w:p w14:paraId="52352537" w14:textId="77777777" w:rsidR="008A7326" w:rsidRPr="000E459B" w:rsidRDefault="008A7326" w:rsidP="00457D70">
                <w:pPr>
                  <w:spacing w:before="60" w:after="60" w:line="259" w:lineRule="auto"/>
                  <w:jc w:val="center"/>
                </w:pPr>
                <w:r>
                  <w:rPr>
                    <w:b/>
                    <w:lang w:val="en-US"/>
                  </w:rPr>
                  <w:t>BCR for AIM model</w:t>
                </w:r>
              </w:p>
            </w:tc>
            <w:tc>
              <w:tcPr>
                <w:tcW w:w="2524" w:type="dxa"/>
                <w:shd w:val="clear" w:color="auto" w:fill="D7EFF2" w:themeFill="accent5" w:themeFillTint="66"/>
                <w:vAlign w:val="center"/>
              </w:tcPr>
              <w:p w14:paraId="5BE18CB7" w14:textId="77777777" w:rsidR="008A7326" w:rsidRPr="000E459B" w:rsidRDefault="008A7326" w:rsidP="00457D70">
                <w:pPr>
                  <w:spacing w:before="60" w:after="60" w:line="259" w:lineRule="auto"/>
                  <w:jc w:val="center"/>
                  <w:rPr>
                    <w:b/>
                    <w:lang w:val="en-US"/>
                  </w:rPr>
                </w:pPr>
                <w:r>
                  <w:rPr>
                    <w:b/>
                    <w:lang w:val="en-US"/>
                  </w:rPr>
                  <w:t>BCR for Country model</w:t>
                </w:r>
              </w:p>
            </w:tc>
          </w:tr>
          <w:tr w:rsidR="008A7326" w:rsidRPr="000E459B" w14:paraId="0169D873" w14:textId="77777777" w:rsidTr="00457D70">
            <w:trPr>
              <w:trHeight w:val="751"/>
            </w:trPr>
            <w:tc>
              <w:tcPr>
                <w:tcW w:w="4106" w:type="dxa"/>
                <w:vAlign w:val="center"/>
              </w:tcPr>
              <w:p w14:paraId="10E78613" w14:textId="77777777" w:rsidR="008A7326" w:rsidRPr="007379C3" w:rsidRDefault="008A7326" w:rsidP="00457D70">
                <w:pPr>
                  <w:spacing w:before="60" w:after="60" w:line="259" w:lineRule="auto"/>
                </w:pPr>
                <w:r>
                  <w:t xml:space="preserve">Lower WTP (5%) </w:t>
                </w:r>
                <w:r>
                  <w:rPr>
                    <w:u w:val="single"/>
                  </w:rPr>
                  <w:t>and</w:t>
                </w:r>
                <w:r>
                  <w:t xml:space="preserve"> less menu changes   (2 updates per year)</w:t>
                </w:r>
              </w:p>
            </w:tc>
            <w:tc>
              <w:tcPr>
                <w:tcW w:w="2552" w:type="dxa"/>
                <w:vAlign w:val="center"/>
              </w:tcPr>
              <w:p w14:paraId="1D0F4253" w14:textId="77777777" w:rsidR="008A7326" w:rsidRPr="000E459B" w:rsidRDefault="008A7326" w:rsidP="00457D70">
                <w:pPr>
                  <w:spacing w:before="60" w:after="60" w:line="259" w:lineRule="auto"/>
                  <w:jc w:val="center"/>
                </w:pPr>
                <w:r>
                  <w:t>1.65</w:t>
                </w:r>
              </w:p>
            </w:tc>
            <w:tc>
              <w:tcPr>
                <w:tcW w:w="2524" w:type="dxa"/>
                <w:vAlign w:val="center"/>
              </w:tcPr>
              <w:p w14:paraId="6D701F33" w14:textId="77777777" w:rsidR="008A7326" w:rsidRPr="000E459B" w:rsidRDefault="008A7326" w:rsidP="00457D70">
                <w:pPr>
                  <w:spacing w:before="60" w:after="60" w:line="259" w:lineRule="auto"/>
                  <w:jc w:val="center"/>
                </w:pPr>
                <w:r>
                  <w:t>1.0</w:t>
                </w:r>
              </w:p>
            </w:tc>
          </w:tr>
          <w:tr w:rsidR="008A7326" w:rsidRPr="000E459B" w14:paraId="7DBF3881" w14:textId="77777777" w:rsidTr="00457D70">
            <w:trPr>
              <w:trHeight w:val="751"/>
            </w:trPr>
            <w:tc>
              <w:tcPr>
                <w:tcW w:w="4106" w:type="dxa"/>
                <w:vAlign w:val="center"/>
              </w:tcPr>
              <w:p w14:paraId="54A15D10" w14:textId="77777777" w:rsidR="008A7326" w:rsidRPr="000E459B" w:rsidRDefault="008A7326" w:rsidP="00457D70">
                <w:pPr>
                  <w:spacing w:before="60" w:after="60" w:line="259" w:lineRule="auto"/>
                </w:pPr>
                <w:r>
                  <w:t xml:space="preserve">Lower WTP (5%) </w:t>
                </w:r>
                <w:r w:rsidRPr="007379C3">
                  <w:rPr>
                    <w:u w:val="single"/>
                  </w:rPr>
                  <w:t>and</w:t>
                </w:r>
                <w:r>
                  <w:t xml:space="preserve"> b</w:t>
                </w:r>
                <w:r w:rsidRPr="007379C3">
                  <w:t>ase</w:t>
                </w:r>
                <w:r>
                  <w:t xml:space="preserve"> menu updates  (4 updates per year)</w:t>
                </w:r>
                <w:r w:rsidRPr="000E459B">
                  <w:t xml:space="preserve"> </w:t>
                </w:r>
              </w:p>
            </w:tc>
            <w:tc>
              <w:tcPr>
                <w:tcW w:w="2552" w:type="dxa"/>
                <w:vAlign w:val="center"/>
              </w:tcPr>
              <w:p w14:paraId="4D7C0BE0" w14:textId="77777777" w:rsidR="008A7326" w:rsidRPr="000E459B" w:rsidRDefault="008A7326" w:rsidP="00457D70">
                <w:pPr>
                  <w:spacing w:before="60" w:after="60" w:line="259" w:lineRule="auto"/>
                  <w:jc w:val="center"/>
                </w:pPr>
                <w:r>
                  <w:t>1.11</w:t>
                </w:r>
              </w:p>
            </w:tc>
            <w:tc>
              <w:tcPr>
                <w:tcW w:w="2524" w:type="dxa"/>
                <w:vAlign w:val="center"/>
              </w:tcPr>
              <w:p w14:paraId="2AE0663F" w14:textId="77777777" w:rsidR="008A7326" w:rsidRPr="000E459B" w:rsidRDefault="008A7326" w:rsidP="00457D70">
                <w:pPr>
                  <w:spacing w:before="60" w:after="60" w:line="259" w:lineRule="auto"/>
                  <w:jc w:val="center"/>
                </w:pPr>
                <w:r>
                  <w:t>0.67</w:t>
                </w:r>
              </w:p>
            </w:tc>
          </w:tr>
          <w:tr w:rsidR="008A7326" w:rsidRPr="000E459B" w14:paraId="0854D409" w14:textId="77777777" w:rsidTr="00457D70">
            <w:trPr>
              <w:trHeight w:val="751"/>
            </w:trPr>
            <w:tc>
              <w:tcPr>
                <w:tcW w:w="4106" w:type="dxa"/>
                <w:vAlign w:val="center"/>
              </w:tcPr>
              <w:p w14:paraId="2BE7A0DB" w14:textId="77777777" w:rsidR="008A7326" w:rsidRPr="000E459B" w:rsidRDefault="008A7326" w:rsidP="00457D70">
                <w:pPr>
                  <w:spacing w:before="60" w:after="60" w:line="259" w:lineRule="auto"/>
                </w:pPr>
                <w:r>
                  <w:t xml:space="preserve">Lower WTP (5%) </w:t>
                </w:r>
                <w:r w:rsidRPr="007379C3">
                  <w:rPr>
                    <w:u w:val="single"/>
                  </w:rPr>
                  <w:t>and</w:t>
                </w:r>
                <w:r>
                  <w:t xml:space="preserve"> m</w:t>
                </w:r>
                <w:r w:rsidRPr="007379C3">
                  <w:t>ore</w:t>
                </w:r>
                <w:r w:rsidRPr="000E459B">
                  <w:t xml:space="preserve"> menu changes (6 updates per year)</w:t>
                </w:r>
                <w:r>
                  <w:t xml:space="preserve"> </w:t>
                </w:r>
              </w:p>
            </w:tc>
            <w:tc>
              <w:tcPr>
                <w:tcW w:w="2552" w:type="dxa"/>
                <w:vAlign w:val="center"/>
              </w:tcPr>
              <w:p w14:paraId="7012ABED" w14:textId="77777777" w:rsidR="008A7326" w:rsidRPr="000E459B" w:rsidRDefault="008A7326" w:rsidP="00457D70">
                <w:pPr>
                  <w:spacing w:before="60" w:after="60" w:line="259" w:lineRule="auto"/>
                  <w:jc w:val="center"/>
                </w:pPr>
                <w:r>
                  <w:t>0.83</w:t>
                </w:r>
              </w:p>
            </w:tc>
            <w:tc>
              <w:tcPr>
                <w:tcW w:w="2524" w:type="dxa"/>
                <w:vAlign w:val="center"/>
              </w:tcPr>
              <w:p w14:paraId="175A900C" w14:textId="77777777" w:rsidR="008A7326" w:rsidRPr="000E459B" w:rsidRDefault="008A7326" w:rsidP="00457D70">
                <w:pPr>
                  <w:spacing w:before="60" w:after="60" w:line="259" w:lineRule="auto"/>
                  <w:jc w:val="center"/>
                </w:pPr>
                <w:r>
                  <w:t>0.51</w:t>
                </w:r>
              </w:p>
            </w:tc>
          </w:tr>
          <w:tr w:rsidR="008A7326" w:rsidRPr="000E459B" w14:paraId="76203312" w14:textId="77777777" w:rsidTr="00457D70">
            <w:trPr>
              <w:trHeight w:val="751"/>
            </w:trPr>
            <w:tc>
              <w:tcPr>
                <w:tcW w:w="4106" w:type="dxa"/>
                <w:vAlign w:val="center"/>
              </w:tcPr>
              <w:p w14:paraId="39570F2C" w14:textId="77777777" w:rsidR="008A7326" w:rsidRPr="000E459B" w:rsidRDefault="008A7326" w:rsidP="00457D70">
                <w:pPr>
                  <w:spacing w:before="60" w:after="60" w:line="259" w:lineRule="auto"/>
                </w:pPr>
                <w:r>
                  <w:t xml:space="preserve">Higher WTP (7%) </w:t>
                </w:r>
                <w:r>
                  <w:rPr>
                    <w:u w:val="single"/>
                  </w:rPr>
                  <w:t>and</w:t>
                </w:r>
                <w:r>
                  <w:t xml:space="preserve"> less menu changes  (2 updates per year)</w:t>
                </w:r>
              </w:p>
            </w:tc>
            <w:tc>
              <w:tcPr>
                <w:tcW w:w="2552" w:type="dxa"/>
                <w:vAlign w:val="center"/>
              </w:tcPr>
              <w:p w14:paraId="5BEDE3C6" w14:textId="77777777" w:rsidR="008A7326" w:rsidRDefault="008A7326" w:rsidP="00457D70">
                <w:pPr>
                  <w:spacing w:before="60" w:after="60" w:line="259" w:lineRule="auto"/>
                  <w:jc w:val="center"/>
                </w:pPr>
                <w:r>
                  <w:t>2.31</w:t>
                </w:r>
              </w:p>
            </w:tc>
            <w:tc>
              <w:tcPr>
                <w:tcW w:w="2524" w:type="dxa"/>
                <w:vAlign w:val="center"/>
              </w:tcPr>
              <w:p w14:paraId="50480622" w14:textId="77777777" w:rsidR="008A7326" w:rsidRDefault="008A7326" w:rsidP="00457D70">
                <w:pPr>
                  <w:spacing w:before="60" w:after="60" w:line="259" w:lineRule="auto"/>
                  <w:jc w:val="center"/>
                </w:pPr>
                <w:r>
                  <w:t>1.4</w:t>
                </w:r>
              </w:p>
            </w:tc>
          </w:tr>
          <w:tr w:rsidR="008A7326" w:rsidRPr="000E459B" w14:paraId="17032279" w14:textId="77777777" w:rsidTr="00457D70">
            <w:trPr>
              <w:trHeight w:val="751"/>
            </w:trPr>
            <w:tc>
              <w:tcPr>
                <w:tcW w:w="4106" w:type="dxa"/>
                <w:vAlign w:val="center"/>
              </w:tcPr>
              <w:p w14:paraId="4C5428E2" w14:textId="77777777" w:rsidR="008A7326" w:rsidRPr="000E459B" w:rsidRDefault="008A7326" w:rsidP="00457D70">
                <w:pPr>
                  <w:spacing w:before="60" w:after="60" w:line="259" w:lineRule="auto"/>
                </w:pPr>
                <w:r>
                  <w:t xml:space="preserve">Higher WTP (7%) </w:t>
                </w:r>
                <w:r w:rsidRPr="007379C3">
                  <w:rPr>
                    <w:u w:val="single"/>
                  </w:rPr>
                  <w:t>and</w:t>
                </w:r>
                <w:r>
                  <w:t xml:space="preserve"> b</w:t>
                </w:r>
                <w:r w:rsidRPr="007379C3">
                  <w:t>ase</w:t>
                </w:r>
                <w:r>
                  <w:t xml:space="preserve"> menu updates (4 updates per year)</w:t>
                </w:r>
                <w:r w:rsidRPr="000E459B">
                  <w:t xml:space="preserve"> </w:t>
                </w:r>
              </w:p>
            </w:tc>
            <w:tc>
              <w:tcPr>
                <w:tcW w:w="2552" w:type="dxa"/>
                <w:vAlign w:val="center"/>
              </w:tcPr>
              <w:p w14:paraId="53B13CF1" w14:textId="77777777" w:rsidR="008A7326" w:rsidRDefault="008A7326" w:rsidP="00457D70">
                <w:pPr>
                  <w:spacing w:before="60" w:after="60" w:line="259" w:lineRule="auto"/>
                  <w:jc w:val="center"/>
                </w:pPr>
                <w:r>
                  <w:t>1.55</w:t>
                </w:r>
              </w:p>
            </w:tc>
            <w:tc>
              <w:tcPr>
                <w:tcW w:w="2524" w:type="dxa"/>
                <w:vAlign w:val="center"/>
              </w:tcPr>
              <w:p w14:paraId="517BD765" w14:textId="77777777" w:rsidR="008A7326" w:rsidRDefault="008A7326" w:rsidP="00457D70">
                <w:pPr>
                  <w:spacing w:before="60" w:after="60" w:line="259" w:lineRule="auto"/>
                  <w:jc w:val="center"/>
                </w:pPr>
                <w:r>
                  <w:t>0.94</w:t>
                </w:r>
              </w:p>
            </w:tc>
          </w:tr>
          <w:tr w:rsidR="008A7326" w:rsidRPr="000E459B" w14:paraId="650FF079" w14:textId="77777777" w:rsidTr="00457D70">
            <w:trPr>
              <w:trHeight w:val="751"/>
            </w:trPr>
            <w:tc>
              <w:tcPr>
                <w:tcW w:w="4106" w:type="dxa"/>
                <w:vAlign w:val="center"/>
              </w:tcPr>
              <w:p w14:paraId="6E4E3B32" w14:textId="77777777" w:rsidR="008A7326" w:rsidRPr="000E459B" w:rsidRDefault="008A7326" w:rsidP="00457D70">
                <w:pPr>
                  <w:spacing w:before="60" w:after="60" w:line="259" w:lineRule="auto"/>
                </w:pPr>
                <w:r>
                  <w:t xml:space="preserve">Higher WTP (7%) </w:t>
                </w:r>
                <w:r w:rsidRPr="00BC2B25">
                  <w:rPr>
                    <w:u w:val="single"/>
                  </w:rPr>
                  <w:t>and</w:t>
                </w:r>
                <w:r>
                  <w:t xml:space="preserve"> m</w:t>
                </w:r>
                <w:r w:rsidRPr="007379C3">
                  <w:t>ore</w:t>
                </w:r>
                <w:r w:rsidRPr="000E459B">
                  <w:t xml:space="preserve"> menu changes (6 updates per year)</w:t>
                </w:r>
                <w:r>
                  <w:t xml:space="preserve"> </w:t>
                </w:r>
              </w:p>
            </w:tc>
            <w:tc>
              <w:tcPr>
                <w:tcW w:w="2552" w:type="dxa"/>
                <w:vAlign w:val="center"/>
              </w:tcPr>
              <w:p w14:paraId="4A41D2B1" w14:textId="77777777" w:rsidR="008A7326" w:rsidRDefault="008A7326" w:rsidP="00457D70">
                <w:pPr>
                  <w:spacing w:before="60" w:after="60" w:line="259" w:lineRule="auto"/>
                  <w:jc w:val="center"/>
                </w:pPr>
                <w:r>
                  <w:t>1.17</w:t>
                </w:r>
              </w:p>
            </w:tc>
            <w:tc>
              <w:tcPr>
                <w:tcW w:w="2524" w:type="dxa"/>
                <w:vAlign w:val="center"/>
              </w:tcPr>
              <w:p w14:paraId="5A3CAEEF" w14:textId="77777777" w:rsidR="008A7326" w:rsidRDefault="008A7326" w:rsidP="00457D70">
                <w:pPr>
                  <w:spacing w:before="60" w:after="60" w:line="259" w:lineRule="auto"/>
                  <w:jc w:val="center"/>
                </w:pPr>
                <w:r>
                  <w:t>0.71</w:t>
                </w:r>
              </w:p>
            </w:tc>
          </w:tr>
        </w:tbl>
        <w:p w14:paraId="2F893025" w14:textId="77777777" w:rsidR="008A7326" w:rsidRDefault="008A7326" w:rsidP="008A7326"/>
        <w:p w14:paraId="3D08BB48" w14:textId="77777777" w:rsidR="008A7326" w:rsidRPr="005D662D" w:rsidRDefault="008A7326" w:rsidP="00073493">
          <w:pPr>
            <w:pStyle w:val="Heading2"/>
            <w:numPr>
              <w:ilvl w:val="1"/>
              <w:numId w:val="15"/>
            </w:numPr>
          </w:pPr>
          <w:bookmarkStart w:id="117" w:name="_Toc151719079"/>
          <w:r w:rsidRPr="005D662D">
            <w:lastRenderedPageBreak/>
            <w:t>Option 1</w:t>
          </w:r>
          <w:r>
            <w:t xml:space="preserve">: </w:t>
          </w:r>
          <w:bookmarkEnd w:id="116"/>
          <w:r>
            <w:t>No change</w:t>
          </w:r>
          <w:bookmarkEnd w:id="117"/>
          <w:r>
            <w:tab/>
          </w:r>
          <w:r>
            <w:tab/>
          </w:r>
          <w:r>
            <w:tab/>
          </w:r>
          <w:r>
            <w:tab/>
          </w:r>
          <w:r>
            <w:tab/>
          </w:r>
        </w:p>
        <w:p w14:paraId="130589B5" w14:textId="77777777" w:rsidR="008A7326" w:rsidRPr="005D662D" w:rsidRDefault="008A7326" w:rsidP="008A7326">
          <w:pPr>
            <w:pStyle w:val="Heading3"/>
          </w:pPr>
          <w:r w:rsidRPr="005D662D">
            <w:t xml:space="preserve">Impact analysis </w:t>
          </w:r>
        </w:p>
        <w:p w14:paraId="5680A258" w14:textId="1C0EAA98" w:rsidR="008A7326" w:rsidRPr="005D662D" w:rsidRDefault="008A7326" w:rsidP="008A7326">
          <w:pPr>
            <w:rPr>
              <w:rFonts w:ascii="Calibri" w:eastAsia="Calibri" w:hAnsi="Calibri" w:cs="Times New Roman"/>
            </w:rPr>
          </w:pPr>
          <w:r w:rsidRPr="005D662D">
            <w:rPr>
              <w:rFonts w:ascii="Calibri" w:eastAsia="Calibri" w:hAnsi="Calibri" w:cs="Times New Roman"/>
            </w:rPr>
            <w:t>There would be no change to the current situation</w:t>
          </w:r>
          <w:r>
            <w:rPr>
              <w:rFonts w:ascii="Calibri" w:eastAsia="Calibri" w:hAnsi="Calibri" w:cs="Times New Roman"/>
            </w:rPr>
            <w:t>.</w:t>
          </w:r>
          <w:r w:rsidRPr="005D662D">
            <w:rPr>
              <w:rFonts w:ascii="Calibri" w:eastAsia="Calibri" w:hAnsi="Calibri" w:cs="Times New Roman"/>
            </w:rPr>
            <w:t xml:space="preserve"> </w:t>
          </w:r>
          <w:r>
            <w:rPr>
              <w:rFonts w:ascii="Calibri" w:eastAsia="Calibri" w:hAnsi="Calibri" w:cs="Times New Roman"/>
            </w:rPr>
            <w:t xml:space="preserve">Hospitality businesses would not have increased costs or impacts from complying with seafood CoOL. Government would not have </w:t>
          </w:r>
          <w:r w:rsidRPr="005D662D">
            <w:rPr>
              <w:rFonts w:ascii="Calibri" w:eastAsia="Calibri" w:hAnsi="Calibri" w:cs="Times New Roman"/>
            </w:rPr>
            <w:t>increase</w:t>
          </w:r>
          <w:r>
            <w:rPr>
              <w:rFonts w:ascii="Calibri" w:eastAsia="Calibri" w:hAnsi="Calibri" w:cs="Times New Roman"/>
            </w:rPr>
            <w:t>d</w:t>
          </w:r>
          <w:r w:rsidRPr="005D662D">
            <w:rPr>
              <w:rFonts w:ascii="Calibri" w:eastAsia="Calibri" w:hAnsi="Calibri" w:cs="Times New Roman"/>
            </w:rPr>
            <w:t xml:space="preserve"> regulatory costs. Consumers would not have greater access to seafood origin information and would continue to purchase seafood with limited or no origin information available. This would impact </w:t>
          </w:r>
          <w:r w:rsidR="00613173">
            <w:rPr>
              <w:rFonts w:ascii="Calibri" w:eastAsia="Calibri" w:hAnsi="Calibri" w:cs="Times New Roman"/>
            </w:rPr>
            <w:t>consumers’</w:t>
          </w:r>
          <w:r w:rsidRPr="005D662D">
            <w:rPr>
              <w:rFonts w:ascii="Calibri" w:eastAsia="Calibri" w:hAnsi="Calibri" w:cs="Times New Roman"/>
            </w:rPr>
            <w:t xml:space="preserve"> ability to make </w:t>
          </w:r>
          <w:r>
            <w:rPr>
              <w:rFonts w:ascii="Calibri" w:eastAsia="Calibri" w:hAnsi="Calibri" w:cs="Times New Roman"/>
            </w:rPr>
            <w:t xml:space="preserve">purchasing decisions </w:t>
          </w:r>
          <w:r w:rsidRPr="005D662D">
            <w:rPr>
              <w:rFonts w:ascii="Calibri" w:eastAsia="Calibri" w:hAnsi="Calibri" w:cs="Times New Roman"/>
            </w:rPr>
            <w:t xml:space="preserve">in line with their preferences. </w:t>
          </w:r>
        </w:p>
        <w:p w14:paraId="1FE0EFA6" w14:textId="77777777" w:rsidR="008A7326" w:rsidRPr="005D662D" w:rsidRDefault="008A7326" w:rsidP="008A7326">
          <w:pPr>
            <w:pStyle w:val="Heading3"/>
          </w:pPr>
          <w:r>
            <w:t>C</w:t>
          </w:r>
          <w:r w:rsidRPr="005D662D">
            <w:t>osts and benefits</w:t>
          </w:r>
        </w:p>
        <w:p w14:paraId="13567971" w14:textId="77777777" w:rsidR="008A7326" w:rsidRPr="005D662D" w:rsidRDefault="008A7326" w:rsidP="008A7326">
          <w:pPr>
            <w:pStyle w:val="Heading4"/>
            <w:rPr>
              <w:rFonts w:eastAsia="Calibri"/>
            </w:rPr>
          </w:pPr>
          <w:bookmarkStart w:id="118" w:name="_Toc141272748"/>
          <w:bookmarkStart w:id="119" w:name="_Toc141274659"/>
          <w:r w:rsidRPr="005D662D">
            <w:rPr>
              <w:rFonts w:eastAsia="Calibri"/>
            </w:rPr>
            <w:t>Costs</w:t>
          </w:r>
          <w:bookmarkEnd w:id="118"/>
          <w:bookmarkEnd w:id="119"/>
        </w:p>
        <w:p w14:paraId="777D981F" w14:textId="0B35F17A" w:rsidR="008A7326" w:rsidRPr="0043284D" w:rsidRDefault="008A7326" w:rsidP="008A7326">
          <w:pPr>
            <w:numPr>
              <w:ilvl w:val="0"/>
              <w:numId w:val="1"/>
            </w:numPr>
          </w:pPr>
          <w:r w:rsidRPr="0043284D">
            <w:t>Consumers lack consistent and sufficient access to origin information to make purchasing decisions</w:t>
          </w:r>
          <w:r w:rsidR="00FA5E07">
            <w:t>.</w:t>
          </w:r>
        </w:p>
        <w:p w14:paraId="2841E6AF" w14:textId="49C5CE81" w:rsidR="008A7326" w:rsidRPr="0043284D" w:rsidRDefault="008A7326" w:rsidP="008A7326">
          <w:pPr>
            <w:numPr>
              <w:ilvl w:val="0"/>
              <w:numId w:val="1"/>
            </w:numPr>
          </w:pPr>
          <w:r w:rsidRPr="0043284D">
            <w:t>Consumers cannot make purchasing decisions in line with their preferences</w:t>
          </w:r>
          <w:r w:rsidR="00FA5E07">
            <w:t>.</w:t>
          </w:r>
        </w:p>
        <w:p w14:paraId="033B8026" w14:textId="37552B36" w:rsidR="008A7326" w:rsidRPr="0043284D" w:rsidRDefault="008A7326" w:rsidP="008A7326">
          <w:pPr>
            <w:numPr>
              <w:ilvl w:val="0"/>
              <w:numId w:val="1"/>
            </w:numPr>
          </w:pPr>
          <w:r w:rsidRPr="0043284D">
            <w:t>Consumers continue to assume seafood is Australian when it is not</w:t>
          </w:r>
          <w:r w:rsidR="00FA5E07">
            <w:t>.</w:t>
          </w:r>
        </w:p>
        <w:p w14:paraId="1CAFEA9A" w14:textId="70D120AA" w:rsidR="008A7326" w:rsidRPr="0043284D" w:rsidRDefault="008A7326" w:rsidP="008A7326">
          <w:pPr>
            <w:numPr>
              <w:ilvl w:val="0"/>
              <w:numId w:val="1"/>
            </w:numPr>
          </w:pPr>
          <w:r w:rsidRPr="0043284D">
            <w:t>Consumers need to ask for origin information and hospitality staff may need to seek this information from the business manager or chef</w:t>
          </w:r>
          <w:r w:rsidR="00FA5E07">
            <w:t>.</w:t>
          </w:r>
        </w:p>
        <w:p w14:paraId="23C7E3A6" w14:textId="6E5A203B" w:rsidR="008A7326" w:rsidRPr="0043284D" w:rsidRDefault="008A7326" w:rsidP="008A7326">
          <w:pPr>
            <w:numPr>
              <w:ilvl w:val="0"/>
              <w:numId w:val="1"/>
            </w:numPr>
          </w:pPr>
          <w:r w:rsidRPr="0043284D">
            <w:t>Consumers may pay more for seafood dishes under the assumption they are Australian when they are not</w:t>
          </w:r>
          <w:r w:rsidR="00FA5E07">
            <w:t>.</w:t>
          </w:r>
        </w:p>
        <w:p w14:paraId="46752FA5" w14:textId="0942D3C4" w:rsidR="008A7326" w:rsidRPr="0043284D" w:rsidRDefault="008A7326" w:rsidP="008A7326">
          <w:pPr>
            <w:numPr>
              <w:ilvl w:val="0"/>
              <w:numId w:val="1"/>
            </w:numPr>
          </w:pPr>
          <w:r w:rsidRPr="0043284D">
            <w:t>Voluntary labelling remains uncommon</w:t>
          </w:r>
          <w:r w:rsidR="00FA5E07">
            <w:t>.</w:t>
          </w:r>
        </w:p>
        <w:p w14:paraId="18B1ACB4" w14:textId="345FDEBA" w:rsidR="008A7326" w:rsidRPr="0043284D" w:rsidRDefault="008A7326" w:rsidP="008A7326">
          <w:pPr>
            <w:numPr>
              <w:ilvl w:val="0"/>
              <w:numId w:val="1"/>
            </w:numPr>
          </w:pPr>
          <w:r w:rsidRPr="0043284D">
            <w:t>Businesses that do label their seafood continue having to compete with others that do not provide this information</w:t>
          </w:r>
          <w:r w:rsidR="00FA5E07">
            <w:t>.</w:t>
          </w:r>
        </w:p>
        <w:p w14:paraId="733B2E1C" w14:textId="1E5224E7" w:rsidR="008A7326" w:rsidRPr="0043284D" w:rsidRDefault="008A7326" w:rsidP="008A7326">
          <w:pPr>
            <w:numPr>
              <w:ilvl w:val="0"/>
              <w:numId w:val="1"/>
            </w:numPr>
          </w:pPr>
          <w:r w:rsidRPr="0043284D">
            <w:t>Businesses continue to label based on their own interpretations of ‘origin’, potentially causing confusion or misinterpretation</w:t>
          </w:r>
          <w:r w:rsidR="00FA5E07">
            <w:t>.</w:t>
          </w:r>
        </w:p>
        <w:p w14:paraId="4064D545" w14:textId="77777777" w:rsidR="008A7326" w:rsidRPr="0043284D" w:rsidRDefault="008A7326" w:rsidP="008A7326">
          <w:pPr>
            <w:numPr>
              <w:ilvl w:val="0"/>
              <w:numId w:val="1"/>
            </w:numPr>
          </w:pPr>
          <w:r w:rsidRPr="0043284D">
            <w:t>Information asymmetry problem continues.</w:t>
          </w:r>
        </w:p>
        <w:p w14:paraId="77567D86" w14:textId="77777777" w:rsidR="008A7326" w:rsidRPr="005D662D" w:rsidRDefault="008A7326" w:rsidP="008A7326">
          <w:pPr>
            <w:pStyle w:val="Heading4"/>
            <w:rPr>
              <w:rFonts w:eastAsia="Calibri"/>
            </w:rPr>
          </w:pPr>
          <w:bookmarkStart w:id="120" w:name="_Toc141272749"/>
          <w:bookmarkStart w:id="121" w:name="_Toc141274660"/>
          <w:r w:rsidRPr="005D662D">
            <w:rPr>
              <w:rFonts w:eastAsia="Calibri"/>
            </w:rPr>
            <w:t>Benefits</w:t>
          </w:r>
          <w:bookmarkEnd w:id="120"/>
          <w:bookmarkEnd w:id="121"/>
        </w:p>
        <w:p w14:paraId="4C1A6621" w14:textId="23573449" w:rsidR="008A7326" w:rsidRDefault="008A7326" w:rsidP="00073493">
          <w:pPr>
            <w:numPr>
              <w:ilvl w:val="0"/>
              <w:numId w:val="5"/>
            </w:numPr>
            <w:spacing w:after="120" w:line="264" w:lineRule="auto"/>
            <w:rPr>
              <w:rFonts w:ascii="Calibri" w:eastAsia="Calibri" w:hAnsi="Calibri" w:cs="Times New Roman"/>
            </w:rPr>
          </w:pPr>
          <w:r w:rsidRPr="005D662D">
            <w:rPr>
              <w:rFonts w:ascii="Calibri" w:eastAsia="Calibri" w:hAnsi="Calibri" w:cs="Times New Roman"/>
            </w:rPr>
            <w:t>No additional costs</w:t>
          </w:r>
          <w:r>
            <w:rPr>
              <w:rFonts w:ascii="Calibri" w:eastAsia="Calibri" w:hAnsi="Calibri" w:cs="Times New Roman"/>
            </w:rPr>
            <w:t xml:space="preserve"> to hospitality businesses</w:t>
          </w:r>
          <w:r w:rsidR="00FA5E07">
            <w:rPr>
              <w:rFonts w:ascii="Calibri" w:eastAsia="Calibri" w:hAnsi="Calibri" w:cs="Times New Roman"/>
            </w:rPr>
            <w:t>.</w:t>
          </w:r>
        </w:p>
        <w:p w14:paraId="2BCCE1EC" w14:textId="77777777" w:rsidR="008A7326" w:rsidRPr="005D662D" w:rsidRDefault="008A7326" w:rsidP="00073493">
          <w:pPr>
            <w:numPr>
              <w:ilvl w:val="0"/>
              <w:numId w:val="5"/>
            </w:numPr>
            <w:spacing w:after="120" w:line="264" w:lineRule="auto"/>
            <w:rPr>
              <w:rFonts w:ascii="Calibri" w:eastAsia="Calibri" w:hAnsi="Calibri" w:cs="Times New Roman"/>
            </w:rPr>
          </w:pPr>
          <w:r>
            <w:rPr>
              <w:rFonts w:ascii="Calibri" w:eastAsia="Calibri" w:hAnsi="Calibri" w:cs="Times New Roman"/>
            </w:rPr>
            <w:t>No additional costs to government.</w:t>
          </w:r>
        </w:p>
        <w:p w14:paraId="6E03DDB8" w14:textId="77777777" w:rsidR="008A7326" w:rsidRPr="005D662D" w:rsidRDefault="008A7326" w:rsidP="00073493">
          <w:pPr>
            <w:pStyle w:val="Heading2"/>
            <w:numPr>
              <w:ilvl w:val="1"/>
              <w:numId w:val="15"/>
            </w:numPr>
          </w:pPr>
          <w:bookmarkStart w:id="122" w:name="_Toc141272750"/>
          <w:bookmarkStart w:id="123" w:name="_Toc151719080"/>
          <w:r w:rsidRPr="005D662D">
            <w:t>Option 2</w:t>
          </w:r>
          <w:r>
            <w:t>:</w:t>
          </w:r>
          <w:r w:rsidRPr="005D662D">
            <w:t xml:space="preserve"> ACL information standard – AIM model</w:t>
          </w:r>
          <w:bookmarkEnd w:id="122"/>
          <w:bookmarkEnd w:id="123"/>
        </w:p>
        <w:p w14:paraId="255DC485" w14:textId="77777777" w:rsidR="008A7326" w:rsidRPr="005D662D" w:rsidRDefault="008A7326" w:rsidP="008A7326">
          <w:pPr>
            <w:pStyle w:val="Heading3"/>
          </w:pPr>
          <w:r w:rsidRPr="005D662D">
            <w:t>Impact analysis</w:t>
          </w:r>
        </w:p>
        <w:p w14:paraId="1948F2B8" w14:textId="7E0B57B8" w:rsidR="008A7326" w:rsidRPr="005D662D" w:rsidRDefault="008A7326" w:rsidP="008A7326">
          <w:pPr>
            <w:rPr>
              <w:rFonts w:ascii="Calibri" w:eastAsia="Calibri" w:hAnsi="Calibri" w:cs="Times New Roman"/>
            </w:rPr>
          </w:pPr>
          <w:r w:rsidRPr="005D662D">
            <w:rPr>
              <w:rFonts w:ascii="Calibri" w:eastAsia="Calibri" w:hAnsi="Calibri" w:cs="Times New Roman"/>
            </w:rPr>
            <w:t xml:space="preserve">The AIM model would result in increased regulatory requirements </w:t>
          </w:r>
          <w:r w:rsidR="00402C3A">
            <w:rPr>
              <w:rFonts w:ascii="Calibri" w:eastAsia="Calibri" w:hAnsi="Calibri" w:cs="Times New Roman"/>
            </w:rPr>
            <w:t xml:space="preserve">and costs </w:t>
          </w:r>
          <w:r w:rsidRPr="005D662D">
            <w:rPr>
              <w:rFonts w:ascii="Calibri" w:eastAsia="Calibri" w:hAnsi="Calibri" w:cs="Times New Roman"/>
            </w:rPr>
            <w:t xml:space="preserve">for impacted hospitality businesses and increased compliance and enforcement responsibilities </w:t>
          </w:r>
          <w:r w:rsidR="00402C3A">
            <w:rPr>
              <w:rFonts w:ascii="Calibri" w:eastAsia="Calibri" w:hAnsi="Calibri" w:cs="Times New Roman"/>
            </w:rPr>
            <w:t>and costs</w:t>
          </w:r>
          <w:r w:rsidRPr="005D662D">
            <w:rPr>
              <w:rFonts w:ascii="Calibri" w:eastAsia="Calibri" w:hAnsi="Calibri" w:cs="Times New Roman"/>
            </w:rPr>
            <w:t xml:space="preserve"> for government. </w:t>
          </w:r>
        </w:p>
        <w:p w14:paraId="1E942C80" w14:textId="77777777" w:rsidR="008A7326" w:rsidRDefault="008A7326" w:rsidP="008A7326">
          <w:pPr>
            <w:rPr>
              <w:rFonts w:ascii="Calibri" w:eastAsia="Calibri" w:hAnsi="Calibri" w:cs="Times New Roman"/>
            </w:rPr>
          </w:pPr>
          <w:r w:rsidRPr="005D662D">
            <w:rPr>
              <w:rFonts w:ascii="Calibri" w:eastAsia="Calibri" w:hAnsi="Calibri" w:cs="Times New Roman"/>
            </w:rPr>
            <w:t xml:space="preserve">Consumers would benefit from increased information to </w:t>
          </w:r>
          <w:r>
            <w:rPr>
              <w:rFonts w:ascii="Calibri" w:eastAsia="Calibri" w:hAnsi="Calibri" w:cs="Times New Roman"/>
            </w:rPr>
            <w:t>support</w:t>
          </w:r>
          <w:r w:rsidRPr="005D662D">
            <w:rPr>
              <w:rFonts w:ascii="Calibri" w:eastAsia="Calibri" w:hAnsi="Calibri" w:cs="Times New Roman"/>
            </w:rPr>
            <w:t xml:space="preserve"> their purchasing decisions, both through labelling and the </w:t>
          </w:r>
          <w:r>
            <w:rPr>
              <w:rFonts w:ascii="Calibri" w:eastAsia="Calibri" w:hAnsi="Calibri" w:cs="Times New Roman"/>
            </w:rPr>
            <w:t xml:space="preserve">government </w:t>
          </w:r>
          <w:r w:rsidRPr="005D662D">
            <w:rPr>
              <w:rFonts w:ascii="Calibri" w:eastAsia="Calibri" w:hAnsi="Calibri" w:cs="Times New Roman"/>
            </w:rPr>
            <w:t xml:space="preserve">education and awareness </w:t>
          </w:r>
          <w:r>
            <w:rPr>
              <w:rFonts w:ascii="Calibri" w:eastAsia="Calibri" w:hAnsi="Calibri" w:cs="Times New Roman"/>
            </w:rPr>
            <w:t xml:space="preserve">strategy </w:t>
          </w:r>
          <w:r w:rsidRPr="005D662D">
            <w:rPr>
              <w:rFonts w:ascii="Calibri" w:eastAsia="Calibri" w:hAnsi="Calibri" w:cs="Times New Roman"/>
            </w:rPr>
            <w:t>to introduce the regulatory changes.</w:t>
          </w:r>
        </w:p>
        <w:p w14:paraId="357BF20F" w14:textId="77777777" w:rsidR="008A7326" w:rsidRDefault="008A7326" w:rsidP="008A7326">
          <w:pPr>
            <w:rPr>
              <w:rFonts w:ascii="Calibri" w:eastAsia="Calibri" w:hAnsi="Calibri" w:cs="Times New Roman"/>
            </w:rPr>
          </w:pPr>
          <w:r>
            <w:rPr>
              <w:rFonts w:ascii="Calibri" w:eastAsia="Calibri" w:hAnsi="Calibri" w:cs="Times New Roman"/>
            </w:rPr>
            <w:lastRenderedPageBreak/>
            <w:t xml:space="preserve">The CBA indicates that the benefits of the AIM model would outweigh the costs. The BCR </w:t>
          </w:r>
          <w:r w:rsidRPr="001140EB">
            <w:rPr>
              <w:rFonts w:ascii="Calibri" w:eastAsia="Calibri" w:hAnsi="Calibri" w:cs="Times New Roman"/>
            </w:rPr>
            <w:t xml:space="preserve">was </w:t>
          </w:r>
          <w:r w:rsidRPr="002F24BE">
            <w:rPr>
              <w:rFonts w:ascii="Calibri" w:eastAsia="Calibri" w:hAnsi="Calibri" w:cs="Times New Roman"/>
            </w:rPr>
            <w:t xml:space="preserve">1.33 </w:t>
          </w:r>
          <w:r>
            <w:rPr>
              <w:rFonts w:ascii="Calibri" w:eastAsia="Calibri" w:hAnsi="Calibri" w:cs="Times New Roman"/>
            </w:rPr>
            <w:t>(</w:t>
          </w:r>
          <w:r w:rsidRPr="002F24BE">
            <w:rPr>
              <w:rFonts w:ascii="Calibri" w:eastAsia="Calibri" w:hAnsi="Calibri" w:cs="Times New Roman"/>
            </w:rPr>
            <w:t>or $1.33 in benefits for every dollar of cost)</w:t>
          </w:r>
          <w:r w:rsidRPr="001140EB">
            <w:rPr>
              <w:rFonts w:ascii="Calibri" w:eastAsia="Calibri" w:hAnsi="Calibri" w:cs="Times New Roman"/>
            </w:rPr>
            <w:t>.</w:t>
          </w:r>
          <w:r>
            <w:rPr>
              <w:rFonts w:ascii="Calibri" w:eastAsia="Calibri" w:hAnsi="Calibri" w:cs="Times New Roman"/>
            </w:rPr>
            <w:t xml:space="preserve"> This is based on a total benefit from consumer WTP of </w:t>
          </w:r>
          <w:r w:rsidRPr="001140EB">
            <w:rPr>
              <w:rFonts w:ascii="Calibri" w:eastAsia="Calibri" w:hAnsi="Calibri" w:cs="Times New Roman"/>
            </w:rPr>
            <w:t>$</w:t>
          </w:r>
          <w:r w:rsidRPr="002F24BE">
            <w:rPr>
              <w:rFonts w:ascii="Calibri" w:eastAsia="Calibri" w:hAnsi="Calibri" w:cs="Times New Roman"/>
            </w:rPr>
            <w:t>775</w:t>
          </w:r>
          <w:r>
            <w:rPr>
              <w:rFonts w:ascii="Calibri" w:eastAsia="Calibri" w:hAnsi="Calibri" w:cs="Times New Roman"/>
            </w:rPr>
            <w:t xml:space="preserve"> million and costs to industry and government of $58</w:t>
          </w:r>
          <w:r w:rsidRPr="001140EB">
            <w:rPr>
              <w:rFonts w:ascii="Calibri" w:eastAsia="Calibri" w:hAnsi="Calibri" w:cs="Times New Roman"/>
            </w:rPr>
            <w:t>3</w:t>
          </w:r>
          <w:r>
            <w:rPr>
              <w:rFonts w:ascii="Calibri" w:eastAsia="Calibri" w:hAnsi="Calibri" w:cs="Times New Roman"/>
            </w:rPr>
            <w:t xml:space="preserve"> million. </w:t>
          </w:r>
        </w:p>
        <w:p w14:paraId="6F01EED5" w14:textId="6D853AD0" w:rsidR="008A7326" w:rsidRDefault="008A7326" w:rsidP="008A7326">
          <w:pPr>
            <w:rPr>
              <w:rFonts w:ascii="Calibri" w:eastAsia="Calibri" w:hAnsi="Calibri" w:cs="Times New Roman"/>
            </w:rPr>
          </w:pPr>
          <w:r>
            <w:rPr>
              <w:rFonts w:ascii="Calibri" w:eastAsia="Calibri" w:hAnsi="Calibri" w:cs="Times New Roman"/>
            </w:rPr>
            <w:t xml:space="preserve">The estimated costs for businesses to comply with the AIM model </w:t>
          </w:r>
          <w:r w:rsidR="00402C3A">
            <w:rPr>
              <w:rFonts w:ascii="Calibri" w:eastAsia="Calibri" w:hAnsi="Calibri" w:cs="Times New Roman"/>
            </w:rPr>
            <w:t xml:space="preserve">are </w:t>
          </w:r>
          <w:r>
            <w:rPr>
              <w:rFonts w:ascii="Calibri" w:eastAsia="Calibri" w:hAnsi="Calibri" w:cs="Times New Roman"/>
            </w:rPr>
            <w:t>approximately:</w:t>
          </w:r>
        </w:p>
        <w:p w14:paraId="6309FA45" w14:textId="1702DAB1" w:rsidR="00F6281C" w:rsidRPr="0043284D" w:rsidRDefault="008A7326" w:rsidP="00F6281C">
          <w:pPr>
            <w:numPr>
              <w:ilvl w:val="0"/>
              <w:numId w:val="1"/>
            </w:numPr>
          </w:pPr>
          <w:r w:rsidRPr="0043284D">
            <w:t xml:space="preserve">$320 per business, or $16 million </w:t>
          </w:r>
          <w:r>
            <w:t>across all businesses</w:t>
          </w:r>
          <w:r w:rsidRPr="0043284D">
            <w:t xml:space="preserve">, </w:t>
          </w:r>
          <w:r w:rsidR="00F6281C" w:rsidRPr="0043284D">
            <w:t>in upfront</w:t>
          </w:r>
          <w:r w:rsidR="00F6281C">
            <w:t xml:space="preserve"> or once-off </w:t>
          </w:r>
          <w:r w:rsidR="00F6281C" w:rsidRPr="0043284D">
            <w:t xml:space="preserve">costs </w:t>
          </w:r>
        </w:p>
        <w:p w14:paraId="6EEAB251" w14:textId="638C7D15" w:rsidR="00F6281C" w:rsidRPr="0043284D" w:rsidRDefault="00F6281C" w:rsidP="00F6281C">
          <w:pPr>
            <w:numPr>
              <w:ilvl w:val="0"/>
              <w:numId w:val="1"/>
            </w:numPr>
          </w:pPr>
          <w:r w:rsidRPr="0043284D">
            <w:t>$1,650</w:t>
          </w:r>
          <w:r>
            <w:t xml:space="preserve"> </w:t>
          </w:r>
          <w:r w:rsidRPr="0043284D">
            <w:t xml:space="preserve">in ongoing costs per business, or $81 million </w:t>
          </w:r>
          <w:r>
            <w:t xml:space="preserve">across all businesses </w:t>
          </w:r>
          <w:r w:rsidRPr="0043284D">
            <w:t xml:space="preserve">(over 10 years). </w:t>
          </w:r>
          <w:r>
            <w:t>This represents an average spend of $165 per year.</w:t>
          </w:r>
        </w:p>
        <w:p w14:paraId="3D687490" w14:textId="2B2E41AA" w:rsidR="008A7326" w:rsidRDefault="008A7326" w:rsidP="008A7326">
          <w:pPr>
            <w:rPr>
              <w:rFonts w:ascii="Calibri" w:eastAsia="Calibri" w:hAnsi="Calibri" w:cs="Times New Roman"/>
            </w:rPr>
          </w:pPr>
          <w:r w:rsidRPr="006D4908">
            <w:rPr>
              <w:rFonts w:ascii="Calibri" w:eastAsia="Calibri" w:hAnsi="Calibri" w:cs="Times New Roman"/>
            </w:rPr>
            <w:t>The cost</w:t>
          </w:r>
          <w:r w:rsidR="00402C3A">
            <w:rPr>
              <w:rFonts w:ascii="Calibri" w:eastAsia="Calibri" w:hAnsi="Calibri" w:cs="Times New Roman"/>
            </w:rPr>
            <w:t>s</w:t>
          </w:r>
          <w:r w:rsidRPr="006D4908">
            <w:rPr>
              <w:rFonts w:ascii="Calibri" w:eastAsia="Calibri" w:hAnsi="Calibri" w:cs="Times New Roman"/>
            </w:rPr>
            <w:t xml:space="preserve"> to the Australian Government </w:t>
          </w:r>
          <w:r w:rsidR="00402C3A">
            <w:rPr>
              <w:rFonts w:ascii="Calibri" w:eastAsia="Calibri" w:hAnsi="Calibri" w:cs="Times New Roman"/>
            </w:rPr>
            <w:t>are</w:t>
          </w:r>
          <w:r w:rsidRPr="006D4908">
            <w:rPr>
              <w:rFonts w:ascii="Calibri" w:eastAsia="Calibri" w:hAnsi="Calibri" w:cs="Times New Roman"/>
            </w:rPr>
            <w:t xml:space="preserve"> estimated to be</w:t>
          </w:r>
          <w:r>
            <w:rPr>
              <w:rFonts w:ascii="Calibri" w:eastAsia="Calibri" w:hAnsi="Calibri" w:cs="Times New Roman"/>
            </w:rPr>
            <w:t>:</w:t>
          </w:r>
        </w:p>
        <w:p w14:paraId="6B4C8244" w14:textId="53F5ABCE" w:rsidR="008A7326" w:rsidRPr="0043284D" w:rsidRDefault="008A7326" w:rsidP="008A7326">
          <w:pPr>
            <w:numPr>
              <w:ilvl w:val="0"/>
              <w:numId w:val="1"/>
            </w:numPr>
          </w:pPr>
          <w:r w:rsidRPr="0043284D">
            <w:t>$4.2 million in upfront costs (over 3 years)</w:t>
          </w:r>
          <w:r w:rsidR="0080797C">
            <w:t>.</w:t>
          </w:r>
          <w:r w:rsidRPr="0043284D">
            <w:t xml:space="preserve"> </w:t>
          </w:r>
        </w:p>
        <w:p w14:paraId="712E4F41" w14:textId="77777777" w:rsidR="008A7326" w:rsidRPr="0043284D" w:rsidRDefault="008A7326" w:rsidP="008A7326">
          <w:pPr>
            <w:numPr>
              <w:ilvl w:val="0"/>
              <w:numId w:val="1"/>
            </w:numPr>
          </w:pPr>
          <w:r w:rsidRPr="0043284D">
            <w:t xml:space="preserve">$160,000 per year in ongoing costs (over 10 years). </w:t>
          </w:r>
        </w:p>
        <w:p w14:paraId="18A367D4" w14:textId="77777777" w:rsidR="008A7326" w:rsidRPr="006D4908" w:rsidRDefault="008A7326" w:rsidP="00780D7B">
          <w:r w:rsidRPr="006D4908">
            <w:t>State and territory costs vary across the board.</w:t>
          </w:r>
        </w:p>
        <w:p w14:paraId="4FD2E331" w14:textId="420D1F7E" w:rsidR="008A7326" w:rsidRPr="005D662D" w:rsidRDefault="008A7326" w:rsidP="008A7326">
          <w:pPr>
            <w:rPr>
              <w:rFonts w:ascii="Calibri" w:eastAsia="Calibri" w:hAnsi="Calibri" w:cs="Times New Roman"/>
            </w:rPr>
          </w:pPr>
          <w:r w:rsidRPr="005D662D">
            <w:rPr>
              <w:rFonts w:ascii="Calibri" w:eastAsia="Calibri" w:hAnsi="Calibri" w:cs="Times New Roman"/>
            </w:rPr>
            <w:t xml:space="preserve">Sources of seafood can change for a variety of reasons, including seasonal availability and supply chain disruptions or shortages. Requiring businesses to differentiate between Australian seafood, imported seafood, or dishes that contain a mix of both (rather than more specific country or region information) </w:t>
          </w:r>
          <w:r>
            <w:rPr>
              <w:rFonts w:ascii="Calibri" w:eastAsia="Calibri" w:hAnsi="Calibri" w:cs="Times New Roman"/>
            </w:rPr>
            <w:t>would</w:t>
          </w:r>
          <w:r w:rsidRPr="005D662D">
            <w:rPr>
              <w:rFonts w:ascii="Calibri" w:eastAsia="Calibri" w:hAnsi="Calibri" w:cs="Times New Roman"/>
            </w:rPr>
            <w:t xml:space="preserve"> </w:t>
          </w:r>
          <w:r w:rsidR="00F024BF">
            <w:rPr>
              <w:rFonts w:ascii="Calibri" w:eastAsia="Calibri" w:hAnsi="Calibri" w:cs="Times New Roman"/>
            </w:rPr>
            <w:t>increase</w:t>
          </w:r>
          <w:r w:rsidR="00F024BF" w:rsidRPr="005D662D">
            <w:rPr>
              <w:rFonts w:ascii="Calibri" w:eastAsia="Calibri" w:hAnsi="Calibri" w:cs="Times New Roman"/>
            </w:rPr>
            <w:t xml:space="preserve"> </w:t>
          </w:r>
          <w:r w:rsidRPr="005D662D">
            <w:rPr>
              <w:rFonts w:ascii="Calibri" w:eastAsia="Calibri" w:hAnsi="Calibri" w:cs="Times New Roman"/>
            </w:rPr>
            <w:t>the frequency of menu and information updates</w:t>
          </w:r>
          <w:r>
            <w:rPr>
              <w:rFonts w:ascii="Calibri" w:eastAsia="Calibri" w:hAnsi="Calibri" w:cs="Times New Roman"/>
            </w:rPr>
            <w:t xml:space="preserve"> needed</w:t>
          </w:r>
          <w:r w:rsidRPr="005D662D">
            <w:rPr>
              <w:rFonts w:ascii="Calibri" w:eastAsia="Calibri" w:hAnsi="Calibri" w:cs="Times New Roman"/>
            </w:rPr>
            <w:t xml:space="preserve">. </w:t>
          </w:r>
        </w:p>
        <w:p w14:paraId="6862AAF6" w14:textId="77777777" w:rsidR="008A7326" w:rsidRPr="00EA2033" w:rsidRDefault="008A7326" w:rsidP="008A7326">
          <w:r>
            <w:rPr>
              <w:rFonts w:ascii="Calibri" w:eastAsia="Calibri" w:hAnsi="Calibri" w:cs="Times New Roman"/>
            </w:rPr>
            <w:t xml:space="preserve">Approximately 43% of businesses indicated that they already use a system </w:t>
          </w:r>
          <w:proofErr w:type="gramStart"/>
          <w:r>
            <w:rPr>
              <w:rFonts w:ascii="Calibri" w:eastAsia="Calibri" w:hAnsi="Calibri" w:cs="Times New Roman"/>
            </w:rPr>
            <w:t>similar to</w:t>
          </w:r>
          <w:proofErr w:type="gramEnd"/>
          <w:r>
            <w:rPr>
              <w:rFonts w:ascii="Calibri" w:eastAsia="Calibri" w:hAnsi="Calibri" w:cs="Times New Roman"/>
            </w:rPr>
            <w:t xml:space="preserve"> the AIM model to label their seafood menu items and would not have to make major changes to their business practices for the AIM model.</w:t>
          </w:r>
        </w:p>
        <w:p w14:paraId="2C45893E" w14:textId="77777777" w:rsidR="008A7326" w:rsidRPr="005D662D" w:rsidRDefault="008A7326" w:rsidP="008A7326">
          <w:pPr>
            <w:pStyle w:val="Heading3"/>
          </w:pPr>
          <w:r>
            <w:t>C</w:t>
          </w:r>
          <w:r w:rsidRPr="005D662D">
            <w:t>osts and benefits</w:t>
          </w:r>
        </w:p>
        <w:p w14:paraId="02AEDC41" w14:textId="77777777" w:rsidR="008A7326" w:rsidRPr="001347DC" w:rsidRDefault="008A7326" w:rsidP="008A7326">
          <w:pPr>
            <w:pStyle w:val="Heading4"/>
          </w:pPr>
          <w:bookmarkStart w:id="124" w:name="_Toc141272751"/>
          <w:bookmarkStart w:id="125" w:name="_Toc141274662"/>
          <w:r w:rsidRPr="001347DC">
            <w:t>Costs</w:t>
          </w:r>
          <w:bookmarkEnd w:id="124"/>
          <w:bookmarkEnd w:id="125"/>
        </w:p>
        <w:p w14:paraId="09445D18" w14:textId="71BCBC5D" w:rsidR="008A7326" w:rsidRPr="0043284D" w:rsidRDefault="008A7326" w:rsidP="008A7326">
          <w:pPr>
            <w:numPr>
              <w:ilvl w:val="0"/>
              <w:numId w:val="1"/>
            </w:numPr>
          </w:pPr>
          <w:r w:rsidRPr="0043284D">
            <w:t>Hospitality businesses will incur costs such as updating menus, displays, training staff, as well as ongoing administration costs</w:t>
          </w:r>
          <w:r w:rsidR="00FA5E07">
            <w:t>.</w:t>
          </w:r>
        </w:p>
        <w:p w14:paraId="1EB40D08" w14:textId="444B59FA" w:rsidR="008A7326" w:rsidRPr="0043284D" w:rsidRDefault="008A7326" w:rsidP="008A7326">
          <w:pPr>
            <w:numPr>
              <w:ilvl w:val="0"/>
              <w:numId w:val="1"/>
            </w:numPr>
          </w:pPr>
          <w:r w:rsidRPr="0043284D">
            <w:t xml:space="preserve">Government will incur </w:t>
          </w:r>
          <w:r w:rsidR="00F024BF">
            <w:t xml:space="preserve">costs for </w:t>
          </w:r>
          <w:r w:rsidRPr="0043284D">
            <w:t xml:space="preserve">education and awareness </w:t>
          </w:r>
          <w:r w:rsidR="00F024BF">
            <w:t>materials and activities</w:t>
          </w:r>
          <w:r w:rsidRPr="0043284D">
            <w:t>, as well as ongoing compliance and enforcement costs and responsibilities</w:t>
          </w:r>
          <w:r w:rsidR="00FA5E07">
            <w:t>.</w:t>
          </w:r>
        </w:p>
        <w:p w14:paraId="7C64B5EC" w14:textId="77777777" w:rsidR="008A7326" w:rsidRPr="0043284D" w:rsidRDefault="008A7326" w:rsidP="008A7326">
          <w:pPr>
            <w:numPr>
              <w:ilvl w:val="0"/>
              <w:numId w:val="1"/>
            </w:numPr>
          </w:pPr>
          <w:r w:rsidRPr="0043284D">
            <w:t>Consumers may face higher costs if businesses pass their costs on.</w:t>
          </w:r>
        </w:p>
        <w:p w14:paraId="3EA4215F" w14:textId="77777777" w:rsidR="008A7326" w:rsidRPr="001347DC" w:rsidRDefault="008A7326" w:rsidP="008A7326">
          <w:pPr>
            <w:pStyle w:val="Heading4"/>
          </w:pPr>
          <w:bookmarkStart w:id="126" w:name="_Toc141272752"/>
          <w:bookmarkStart w:id="127" w:name="_Toc141274663"/>
          <w:r w:rsidRPr="001347DC">
            <w:t>Benefits</w:t>
          </w:r>
          <w:bookmarkEnd w:id="126"/>
          <w:bookmarkEnd w:id="127"/>
        </w:p>
        <w:p w14:paraId="39A11AB2" w14:textId="43C67C05" w:rsidR="008A7326" w:rsidRPr="0043284D" w:rsidRDefault="008A7326" w:rsidP="008A7326">
          <w:pPr>
            <w:numPr>
              <w:ilvl w:val="0"/>
              <w:numId w:val="1"/>
            </w:numPr>
          </w:pPr>
          <w:r w:rsidRPr="0043284D">
            <w:t>Consumers have access to consistent origin information in hospitality settings to base their purchasing decisions on</w:t>
          </w:r>
          <w:r w:rsidR="00FA5E07">
            <w:t>.</w:t>
          </w:r>
        </w:p>
        <w:p w14:paraId="7489E8B1" w14:textId="087A9687" w:rsidR="008A7326" w:rsidRPr="0043284D" w:rsidRDefault="008A7326" w:rsidP="008A7326">
          <w:pPr>
            <w:numPr>
              <w:ilvl w:val="0"/>
              <w:numId w:val="1"/>
            </w:numPr>
          </w:pPr>
          <w:r w:rsidRPr="0043284D">
            <w:t>Consumers can make purchasing decisions in line with their preferences</w:t>
          </w:r>
          <w:r w:rsidR="00FA5E07">
            <w:t>.</w:t>
          </w:r>
        </w:p>
        <w:p w14:paraId="69B0B9D2" w14:textId="1F489A79" w:rsidR="008A7326" w:rsidRPr="0043284D" w:rsidRDefault="008A7326" w:rsidP="008A7326">
          <w:pPr>
            <w:numPr>
              <w:ilvl w:val="0"/>
              <w:numId w:val="1"/>
            </w:numPr>
          </w:pPr>
          <w:r w:rsidRPr="0043284D">
            <w:t>Consumers are better educated about seafood origin</w:t>
          </w:r>
          <w:r w:rsidR="00FA5E07">
            <w:t>.</w:t>
          </w:r>
        </w:p>
        <w:p w14:paraId="3BD5A04E" w14:textId="4DADC215" w:rsidR="008A7326" w:rsidRPr="0043284D" w:rsidRDefault="008A7326" w:rsidP="008A7326">
          <w:pPr>
            <w:numPr>
              <w:ilvl w:val="0"/>
              <w:numId w:val="1"/>
            </w:numPr>
          </w:pPr>
          <w:r w:rsidRPr="0043284D">
            <w:t>Hospitality businesses would benefit from greater consumer confidence</w:t>
          </w:r>
          <w:r w:rsidR="00FA5E07">
            <w:t>.</w:t>
          </w:r>
        </w:p>
        <w:p w14:paraId="0D73A336" w14:textId="39089C88" w:rsidR="008A7326" w:rsidRPr="0043284D" w:rsidRDefault="008A7326" w:rsidP="008A7326">
          <w:pPr>
            <w:numPr>
              <w:ilvl w:val="0"/>
              <w:numId w:val="1"/>
            </w:numPr>
          </w:pPr>
          <w:r w:rsidRPr="0043284D">
            <w:t>Simple labelling model has a lower cost on business</w:t>
          </w:r>
          <w:r w:rsidR="00FA5E07">
            <w:t>.</w:t>
          </w:r>
        </w:p>
        <w:p w14:paraId="2848FE0C" w14:textId="77777777" w:rsidR="008A7326" w:rsidRPr="0043284D" w:rsidRDefault="008A7326" w:rsidP="008A7326">
          <w:pPr>
            <w:numPr>
              <w:ilvl w:val="0"/>
              <w:numId w:val="1"/>
            </w:numPr>
          </w:pPr>
          <w:r w:rsidRPr="0043284D">
            <w:t>The problem of asymmetry would be addressed.</w:t>
          </w:r>
        </w:p>
        <w:p w14:paraId="1346EB61" w14:textId="77777777" w:rsidR="008A7326" w:rsidRPr="005D662D" w:rsidRDefault="008A7326" w:rsidP="00073493">
          <w:pPr>
            <w:pStyle w:val="Heading2"/>
            <w:numPr>
              <w:ilvl w:val="1"/>
              <w:numId w:val="15"/>
            </w:numPr>
          </w:pPr>
          <w:bookmarkStart w:id="128" w:name="_Toc141272753"/>
          <w:bookmarkStart w:id="129" w:name="_Toc151719081"/>
          <w:r w:rsidRPr="005D662D">
            <w:lastRenderedPageBreak/>
            <w:t>Option 3</w:t>
          </w:r>
          <w:r>
            <w:t>:</w:t>
          </w:r>
          <w:r w:rsidRPr="005D662D">
            <w:t xml:space="preserve"> ACL information standard – </w:t>
          </w:r>
          <w:r>
            <w:t>C</w:t>
          </w:r>
          <w:r w:rsidRPr="005D662D">
            <w:t>ountry model</w:t>
          </w:r>
          <w:bookmarkEnd w:id="128"/>
          <w:bookmarkEnd w:id="129"/>
        </w:p>
        <w:p w14:paraId="22C093A0" w14:textId="77777777" w:rsidR="008A7326" w:rsidRPr="001347DC" w:rsidRDefault="008A7326" w:rsidP="008A7326">
          <w:pPr>
            <w:pStyle w:val="Heading3"/>
          </w:pPr>
          <w:bookmarkStart w:id="130" w:name="_Toc141272754"/>
          <w:bookmarkStart w:id="131" w:name="_Toc141274665"/>
          <w:r w:rsidRPr="001347DC">
            <w:t>Impact analysis</w:t>
          </w:r>
          <w:bookmarkEnd w:id="130"/>
          <w:bookmarkEnd w:id="131"/>
          <w:r w:rsidRPr="001347DC">
            <w:t xml:space="preserve"> </w:t>
          </w:r>
        </w:p>
        <w:p w14:paraId="50EC1B1E" w14:textId="20F0F4B0" w:rsidR="008A7326" w:rsidRDefault="008A7326" w:rsidP="008A7326">
          <w:pPr>
            <w:rPr>
              <w:rFonts w:ascii="Calibri" w:eastAsia="Calibri" w:hAnsi="Calibri" w:cs="Times New Roman"/>
            </w:rPr>
          </w:pPr>
          <w:r w:rsidRPr="005D662D">
            <w:rPr>
              <w:rFonts w:ascii="Calibri" w:eastAsia="Calibri" w:hAnsi="Calibri" w:cs="Times New Roman"/>
            </w:rPr>
            <w:t xml:space="preserve">The </w:t>
          </w:r>
          <w:r>
            <w:rPr>
              <w:rFonts w:ascii="Calibri" w:eastAsia="Calibri" w:hAnsi="Calibri" w:cs="Times New Roman"/>
            </w:rPr>
            <w:t>C</w:t>
          </w:r>
          <w:r w:rsidRPr="005D662D">
            <w:rPr>
              <w:rFonts w:ascii="Calibri" w:eastAsia="Calibri" w:hAnsi="Calibri" w:cs="Times New Roman"/>
            </w:rPr>
            <w:t xml:space="preserve">ountry model would result in increased regulatory requirements </w:t>
          </w:r>
          <w:r w:rsidR="00402C3A">
            <w:rPr>
              <w:rFonts w:ascii="Calibri" w:eastAsia="Calibri" w:hAnsi="Calibri" w:cs="Times New Roman"/>
            </w:rPr>
            <w:t>and costs</w:t>
          </w:r>
          <w:r w:rsidRPr="005D662D">
            <w:rPr>
              <w:rFonts w:ascii="Calibri" w:eastAsia="Calibri" w:hAnsi="Calibri" w:cs="Times New Roman"/>
            </w:rPr>
            <w:t xml:space="preserve"> for impacted hospitality businesses and increased compliance and enforcement responsibilities </w:t>
          </w:r>
          <w:r w:rsidR="00402C3A">
            <w:rPr>
              <w:rFonts w:ascii="Calibri" w:eastAsia="Calibri" w:hAnsi="Calibri" w:cs="Times New Roman"/>
            </w:rPr>
            <w:t xml:space="preserve">and costs </w:t>
          </w:r>
          <w:r w:rsidRPr="005D662D">
            <w:rPr>
              <w:rFonts w:ascii="Calibri" w:eastAsia="Calibri" w:hAnsi="Calibri" w:cs="Times New Roman"/>
            </w:rPr>
            <w:t xml:space="preserve">for government. </w:t>
          </w:r>
        </w:p>
        <w:p w14:paraId="0CD93E5F" w14:textId="1B08979F" w:rsidR="008A7326" w:rsidRDefault="00F6281C" w:rsidP="008A7326">
          <w:pPr>
            <w:rPr>
              <w:rFonts w:ascii="Calibri" w:eastAsia="Calibri" w:hAnsi="Calibri" w:cs="Times New Roman"/>
            </w:rPr>
          </w:pPr>
          <w:r>
            <w:rPr>
              <w:rFonts w:ascii="Calibri" w:eastAsia="Calibri" w:hAnsi="Calibri" w:cs="Times New Roman"/>
            </w:rPr>
            <w:t xml:space="preserve">The BCR </w:t>
          </w:r>
          <w:r w:rsidRPr="001140EB">
            <w:rPr>
              <w:rFonts w:ascii="Calibri" w:eastAsia="Calibri" w:hAnsi="Calibri" w:cs="Times New Roman"/>
            </w:rPr>
            <w:t xml:space="preserve">was 0.81 </w:t>
          </w:r>
          <w:r w:rsidR="008A7326" w:rsidRPr="001140EB">
            <w:rPr>
              <w:rFonts w:ascii="Calibri" w:eastAsia="Calibri" w:hAnsi="Calibri" w:cs="Times New Roman"/>
            </w:rPr>
            <w:t>(or $0.81 in benefits for every dollar of cost)</w:t>
          </w:r>
          <w:r w:rsidR="008A7326">
            <w:rPr>
              <w:rFonts w:ascii="Calibri" w:eastAsia="Calibri" w:hAnsi="Calibri" w:cs="Times New Roman"/>
            </w:rPr>
            <w:t xml:space="preserve"> compared to 1.33 (or $1.33 in benefits for every dollar of cost) for the AIM model. This is based on a total benefit from consumer WTP of $775 million (which is the same as the WTP for the AIM model) and costs to industry and government of $</w:t>
          </w:r>
          <w:r w:rsidR="008A7326" w:rsidRPr="001140EB">
            <w:rPr>
              <w:rFonts w:ascii="Calibri" w:eastAsia="Calibri" w:hAnsi="Calibri" w:cs="Times New Roman"/>
            </w:rPr>
            <w:t>960</w:t>
          </w:r>
          <w:r w:rsidR="008A7326">
            <w:rPr>
              <w:rFonts w:ascii="Calibri" w:eastAsia="Calibri" w:hAnsi="Calibri" w:cs="Times New Roman"/>
            </w:rPr>
            <w:t xml:space="preserve"> million.</w:t>
          </w:r>
          <w:r w:rsidR="008A7326" w:rsidRPr="005F50FC">
            <w:rPr>
              <w:rFonts w:ascii="Calibri" w:eastAsia="Calibri" w:hAnsi="Calibri" w:cs="Times New Roman"/>
            </w:rPr>
            <w:t xml:space="preserve"> </w:t>
          </w:r>
        </w:p>
        <w:p w14:paraId="053A6848" w14:textId="2899D33A" w:rsidR="008A7326" w:rsidRDefault="008A7326" w:rsidP="008A7326">
          <w:pPr>
            <w:rPr>
              <w:rFonts w:ascii="Calibri" w:eastAsia="Calibri" w:hAnsi="Calibri" w:cs="Times New Roman"/>
            </w:rPr>
          </w:pPr>
          <w:r>
            <w:rPr>
              <w:rFonts w:ascii="Calibri" w:eastAsia="Calibri" w:hAnsi="Calibri" w:cs="Times New Roman"/>
            </w:rPr>
            <w:t xml:space="preserve">The estimated costs for businesses to comply with the Country model </w:t>
          </w:r>
          <w:r w:rsidR="00402C3A">
            <w:rPr>
              <w:rFonts w:ascii="Calibri" w:eastAsia="Calibri" w:hAnsi="Calibri" w:cs="Times New Roman"/>
            </w:rPr>
            <w:t>are</w:t>
          </w:r>
          <w:r>
            <w:rPr>
              <w:rFonts w:ascii="Calibri" w:eastAsia="Calibri" w:hAnsi="Calibri" w:cs="Times New Roman"/>
            </w:rPr>
            <w:t xml:space="preserve"> approximately:</w:t>
          </w:r>
        </w:p>
        <w:p w14:paraId="08DF544A" w14:textId="227CD457" w:rsidR="00F6281C" w:rsidRPr="00861DB9" w:rsidRDefault="00F6281C" w:rsidP="00F6281C">
          <w:pPr>
            <w:numPr>
              <w:ilvl w:val="0"/>
              <w:numId w:val="1"/>
            </w:numPr>
          </w:pPr>
          <w:r w:rsidRPr="00861DB9">
            <w:t>$530 per business, or $26 million in total, in upfront costs</w:t>
          </w:r>
          <w:r>
            <w:t xml:space="preserve"> or once-off </w:t>
          </w:r>
          <w:r w:rsidRPr="0043284D">
            <w:t>costs</w:t>
          </w:r>
          <w:r w:rsidRPr="00861DB9">
            <w:t xml:space="preserve"> (compared to $320 per business or $16 million total for the AIM model) </w:t>
          </w:r>
        </w:p>
        <w:p w14:paraId="7AB15C71" w14:textId="77777777" w:rsidR="00F6281C" w:rsidRPr="00861DB9" w:rsidRDefault="00F6281C" w:rsidP="00F6281C">
          <w:pPr>
            <w:numPr>
              <w:ilvl w:val="0"/>
              <w:numId w:val="1"/>
            </w:numPr>
          </w:pPr>
          <w:r w:rsidRPr="00861DB9">
            <w:t xml:space="preserve">$2,750 per business, or $134 million total, in ongoing costs over 10 years (compared to $1,650 for the AIM model). </w:t>
          </w:r>
          <w:r>
            <w:t>This represents an average spend of $275 per year (compared to $165 per year for the AIM model).</w:t>
          </w:r>
        </w:p>
        <w:p w14:paraId="5C78DC6F" w14:textId="77777777" w:rsidR="008A7326" w:rsidRPr="008156DE" w:rsidRDefault="008A7326" w:rsidP="008A7326">
          <w:pPr>
            <w:rPr>
              <w:rFonts w:ascii="Calibri" w:eastAsia="Calibri" w:hAnsi="Calibri" w:cs="Times New Roman"/>
            </w:rPr>
          </w:pPr>
          <w:r w:rsidRPr="008156DE">
            <w:rPr>
              <w:rFonts w:ascii="Calibri" w:eastAsia="Calibri" w:hAnsi="Calibri" w:cs="Times New Roman"/>
            </w:rPr>
            <w:t xml:space="preserve">The costs to government did not differ between the AIM model and </w:t>
          </w:r>
          <w:r>
            <w:rPr>
              <w:rFonts w:ascii="Calibri" w:eastAsia="Calibri" w:hAnsi="Calibri" w:cs="Times New Roman"/>
            </w:rPr>
            <w:t>C</w:t>
          </w:r>
          <w:r w:rsidRPr="008156DE">
            <w:rPr>
              <w:rFonts w:ascii="Calibri" w:eastAsia="Calibri" w:hAnsi="Calibri" w:cs="Times New Roman"/>
            </w:rPr>
            <w:t>ountry model.</w:t>
          </w:r>
        </w:p>
        <w:p w14:paraId="23AD78B9" w14:textId="1A4CEC2E" w:rsidR="008A7326" w:rsidRPr="005D662D" w:rsidRDefault="008A7326" w:rsidP="008A7326">
          <w:pPr>
            <w:rPr>
              <w:rFonts w:ascii="Calibri" w:eastAsia="Calibri" w:hAnsi="Calibri" w:cs="Times New Roman"/>
            </w:rPr>
          </w:pPr>
          <w:r>
            <w:rPr>
              <w:rFonts w:ascii="Calibri" w:eastAsia="Calibri" w:hAnsi="Calibri" w:cs="Times New Roman"/>
            </w:rPr>
            <w:t xml:space="preserve">The </w:t>
          </w:r>
          <w:r w:rsidR="00402C3A">
            <w:rPr>
              <w:rFonts w:ascii="Calibri" w:eastAsia="Calibri" w:hAnsi="Calibri" w:cs="Times New Roman"/>
            </w:rPr>
            <w:t>business</w:t>
          </w:r>
          <w:r>
            <w:rPr>
              <w:rFonts w:ascii="Calibri" w:eastAsia="Calibri" w:hAnsi="Calibri" w:cs="Times New Roman"/>
            </w:rPr>
            <w:t xml:space="preserve"> costs for the Country model were higher because r</w:t>
          </w:r>
          <w:r w:rsidRPr="005D662D">
            <w:rPr>
              <w:rFonts w:ascii="Calibri" w:eastAsia="Calibri" w:hAnsi="Calibri" w:cs="Times New Roman"/>
            </w:rPr>
            <w:t>equiring businesses to identify the specific country of origin would increase the frequency of menu and information updates</w:t>
          </w:r>
          <w:r>
            <w:rPr>
              <w:rFonts w:ascii="Calibri" w:eastAsia="Calibri" w:hAnsi="Calibri" w:cs="Times New Roman"/>
            </w:rPr>
            <w:t xml:space="preserve"> needed</w:t>
          </w:r>
          <w:r w:rsidRPr="005D662D">
            <w:rPr>
              <w:rFonts w:ascii="Calibri" w:eastAsia="Calibri" w:hAnsi="Calibri" w:cs="Times New Roman"/>
            </w:rPr>
            <w:t>.</w:t>
          </w:r>
        </w:p>
        <w:p w14:paraId="50FD2859" w14:textId="77777777" w:rsidR="008A7326" w:rsidRPr="005D662D" w:rsidRDefault="008A7326" w:rsidP="008A7326">
          <w:pPr>
            <w:rPr>
              <w:rFonts w:ascii="Calibri" w:eastAsia="Calibri" w:hAnsi="Calibri" w:cs="Times New Roman"/>
            </w:rPr>
          </w:pPr>
          <w:r>
            <w:rPr>
              <w:rFonts w:ascii="Calibri" w:eastAsia="Calibri" w:hAnsi="Calibri" w:cs="Times New Roman"/>
            </w:rPr>
            <w:t xml:space="preserve">In contrast to the 43% of businesses that indicated they are already using a similar system to the AIM model to label their seafood, only 6% of businesses indicated that they label their seafood with the specific country of origin. Based on this information, more businesses would have to make more significant changes to comply with the Country model.  </w:t>
          </w:r>
        </w:p>
        <w:p w14:paraId="1B01C1B1" w14:textId="33AD6CE1" w:rsidR="008A7326" w:rsidRPr="005D662D" w:rsidRDefault="008A7326" w:rsidP="008A7326">
          <w:pPr>
            <w:rPr>
              <w:rFonts w:ascii="Calibri" w:eastAsia="Times New Roman" w:hAnsi="Calibri" w:cs="Times New Roman"/>
              <w:color w:val="005677"/>
              <w:sz w:val="32"/>
              <w:szCs w:val="40"/>
            </w:rPr>
          </w:pPr>
          <w:r w:rsidRPr="005D662D">
            <w:rPr>
              <w:rFonts w:ascii="Calibri" w:eastAsia="Calibri" w:hAnsi="Calibri" w:cs="Times New Roman"/>
            </w:rPr>
            <w:t>Consumers would benefit from increased information to support their purchasing decisions</w:t>
          </w:r>
          <w:r>
            <w:rPr>
              <w:rFonts w:ascii="Calibri" w:eastAsia="Calibri" w:hAnsi="Calibri" w:cs="Times New Roman"/>
            </w:rPr>
            <w:t xml:space="preserve">. Many consumers indicated in consultations on seafood CoOL that they would prefer to have more information, such as knowing the specific country of origin. However, the </w:t>
          </w:r>
          <w:r w:rsidR="00F024BF">
            <w:rPr>
              <w:rFonts w:ascii="Calibri" w:eastAsia="Calibri" w:hAnsi="Calibri" w:cs="Times New Roman"/>
            </w:rPr>
            <w:t>CBA survey data</w:t>
          </w:r>
          <w:r>
            <w:rPr>
              <w:rFonts w:ascii="Calibri" w:eastAsia="Calibri" w:hAnsi="Calibri" w:cs="Times New Roman"/>
            </w:rPr>
            <w:t xml:space="preserve"> did not show a difference in WTP for the Country model over the AIM model.</w:t>
          </w:r>
          <w:r w:rsidRPr="005D662D">
            <w:rPr>
              <w:rFonts w:ascii="Calibri" w:eastAsia="Calibri" w:hAnsi="Calibri" w:cs="Times New Roman"/>
            </w:rPr>
            <w:t xml:space="preserve"> </w:t>
          </w:r>
        </w:p>
        <w:p w14:paraId="2D70513C" w14:textId="77777777" w:rsidR="008A7326" w:rsidRPr="005D662D" w:rsidRDefault="008A7326" w:rsidP="008A7326">
          <w:pPr>
            <w:pStyle w:val="Heading3"/>
          </w:pPr>
          <w:r>
            <w:t>C</w:t>
          </w:r>
          <w:r w:rsidRPr="005D662D">
            <w:t>osts and benefits</w:t>
          </w:r>
        </w:p>
        <w:p w14:paraId="48E92B89" w14:textId="77777777" w:rsidR="008A7326" w:rsidRPr="001347DC" w:rsidRDefault="008A7326" w:rsidP="008A7326">
          <w:pPr>
            <w:pStyle w:val="Heading4"/>
          </w:pPr>
          <w:bookmarkStart w:id="132" w:name="_Toc141272755"/>
          <w:bookmarkStart w:id="133" w:name="_Toc141274666"/>
          <w:r w:rsidRPr="001347DC">
            <w:t>Costs</w:t>
          </w:r>
          <w:bookmarkEnd w:id="132"/>
          <w:bookmarkEnd w:id="133"/>
        </w:p>
        <w:p w14:paraId="3437FE36" w14:textId="008CDFD1" w:rsidR="008A7326" w:rsidRPr="00861DB9" w:rsidRDefault="008A7326" w:rsidP="008A7326">
          <w:pPr>
            <w:numPr>
              <w:ilvl w:val="0"/>
              <w:numId w:val="1"/>
            </w:numPr>
          </w:pPr>
          <w:r w:rsidRPr="00861DB9">
            <w:t>Hospitality businesses will incur greater costs such as updating menus, displays, training staff, as well as ongoing administration costs</w:t>
          </w:r>
          <w:r w:rsidR="00FA5E07">
            <w:t>.</w:t>
          </w:r>
        </w:p>
        <w:p w14:paraId="6320367B" w14:textId="43B36177" w:rsidR="008A7326" w:rsidRPr="00861DB9" w:rsidRDefault="008A7326" w:rsidP="008A7326">
          <w:pPr>
            <w:numPr>
              <w:ilvl w:val="0"/>
              <w:numId w:val="1"/>
            </w:numPr>
          </w:pPr>
          <w:r w:rsidRPr="00861DB9">
            <w:t xml:space="preserve">Government will </w:t>
          </w:r>
          <w:r w:rsidR="001624DD" w:rsidRPr="00861DB9">
            <w:t xml:space="preserve">incur </w:t>
          </w:r>
          <w:r w:rsidR="001624DD">
            <w:t>costs</w:t>
          </w:r>
          <w:r w:rsidR="00F024BF">
            <w:t xml:space="preserve"> for</w:t>
          </w:r>
          <w:r w:rsidRPr="00861DB9">
            <w:t xml:space="preserve"> education and awareness </w:t>
          </w:r>
          <w:r w:rsidR="00F024BF">
            <w:t>materials and activities</w:t>
          </w:r>
          <w:r w:rsidRPr="00861DB9">
            <w:t>, as well as ongoing compliance and enforcement costs and responsibility</w:t>
          </w:r>
          <w:r w:rsidR="00FA5E07">
            <w:t>.</w:t>
          </w:r>
        </w:p>
        <w:p w14:paraId="65D6F6DB" w14:textId="77777777" w:rsidR="008A7326" w:rsidRPr="00861DB9" w:rsidRDefault="008A7326" w:rsidP="008A7326">
          <w:pPr>
            <w:numPr>
              <w:ilvl w:val="0"/>
              <w:numId w:val="1"/>
            </w:numPr>
          </w:pPr>
          <w:r w:rsidRPr="00861DB9">
            <w:t>Consumers may face even higher costs if businesses pass their costs on.</w:t>
          </w:r>
        </w:p>
        <w:p w14:paraId="02C9182A" w14:textId="77777777" w:rsidR="008A7326" w:rsidRPr="00751053" w:rsidRDefault="008A7326" w:rsidP="008A7326">
          <w:pPr>
            <w:pStyle w:val="Heading4"/>
          </w:pPr>
          <w:r w:rsidRPr="00751053">
            <w:t>Benefits</w:t>
          </w:r>
        </w:p>
        <w:p w14:paraId="77B0A63F" w14:textId="5EBF83E5" w:rsidR="008A7326" w:rsidRPr="00861DB9" w:rsidRDefault="008A7326" w:rsidP="008A7326">
          <w:pPr>
            <w:numPr>
              <w:ilvl w:val="0"/>
              <w:numId w:val="1"/>
            </w:numPr>
          </w:pPr>
          <w:r w:rsidRPr="00861DB9">
            <w:t xml:space="preserve">Consumers </w:t>
          </w:r>
          <w:r w:rsidR="00145963">
            <w:t>would</w:t>
          </w:r>
          <w:r w:rsidRPr="00861DB9">
            <w:t xml:space="preserve"> have</w:t>
          </w:r>
          <w:r w:rsidR="00F024BF">
            <w:t xml:space="preserve"> greater</w:t>
          </w:r>
          <w:r w:rsidRPr="00861DB9">
            <w:t xml:space="preserve"> access to consistent origin information in hospitality settings to base their purchasing decisions</w:t>
          </w:r>
          <w:r w:rsidR="00FA5E07">
            <w:t>.</w:t>
          </w:r>
        </w:p>
        <w:p w14:paraId="043DE99F" w14:textId="2E9AF047" w:rsidR="008A7326" w:rsidRPr="00861DB9" w:rsidRDefault="008A7326" w:rsidP="008A7326">
          <w:pPr>
            <w:numPr>
              <w:ilvl w:val="0"/>
              <w:numId w:val="1"/>
            </w:numPr>
          </w:pPr>
          <w:r w:rsidRPr="00861DB9">
            <w:lastRenderedPageBreak/>
            <w:t>Hospitality businesses would benefit from greater consumer confidence in business</w:t>
          </w:r>
          <w:r w:rsidR="00FA5E07">
            <w:t>.</w:t>
          </w:r>
        </w:p>
        <w:p w14:paraId="563818D4" w14:textId="0FB2A09E" w:rsidR="008A7326" w:rsidRPr="00861DB9" w:rsidRDefault="008A7326" w:rsidP="008A7326">
          <w:pPr>
            <w:numPr>
              <w:ilvl w:val="0"/>
              <w:numId w:val="1"/>
            </w:numPr>
          </w:pPr>
          <w:r w:rsidRPr="00861DB9">
            <w:t xml:space="preserve">The problem of </w:t>
          </w:r>
          <w:r w:rsidR="00145963">
            <w:t xml:space="preserve">information </w:t>
          </w:r>
          <w:r w:rsidRPr="00861DB9">
            <w:t>asymmetry would be addressed.</w:t>
          </w:r>
        </w:p>
        <w:p w14:paraId="718AC0EB" w14:textId="1550C43C" w:rsidR="00DF0B1A" w:rsidRDefault="00DF0B1A">
          <w:pPr>
            <w:rPr>
              <w:rFonts w:ascii="Calibri" w:eastAsia="Calibri" w:hAnsi="Calibri" w:cs="Times New Roman"/>
            </w:rPr>
          </w:pPr>
          <w:r>
            <w:rPr>
              <w:rFonts w:ascii="Calibri" w:eastAsia="Calibri" w:hAnsi="Calibri" w:cs="Times New Roman"/>
            </w:rPr>
            <w:br w:type="page"/>
          </w:r>
        </w:p>
        <w:p w14:paraId="3BF7F6E0" w14:textId="1C8C3AEC" w:rsidR="005D662D" w:rsidRPr="005D662D" w:rsidRDefault="005D662D" w:rsidP="00073493">
          <w:pPr>
            <w:pStyle w:val="Heading1"/>
            <w:numPr>
              <w:ilvl w:val="0"/>
              <w:numId w:val="15"/>
            </w:numPr>
          </w:pPr>
          <w:bookmarkStart w:id="134" w:name="_Toc141700731"/>
          <w:bookmarkStart w:id="135" w:name="_Toc141700805"/>
          <w:bookmarkStart w:id="136" w:name="_Toc141700890"/>
          <w:bookmarkStart w:id="137" w:name="_Toc141700988"/>
          <w:bookmarkStart w:id="138" w:name="_Toc141701061"/>
          <w:bookmarkStart w:id="139" w:name="_Toc141701270"/>
          <w:bookmarkStart w:id="140" w:name="_Toc141701375"/>
          <w:bookmarkStart w:id="141" w:name="_Toc141774151"/>
          <w:bookmarkStart w:id="142" w:name="_Toc141700732"/>
          <w:bookmarkStart w:id="143" w:name="_Toc141700806"/>
          <w:bookmarkStart w:id="144" w:name="_Toc141700891"/>
          <w:bookmarkStart w:id="145" w:name="_Toc141700989"/>
          <w:bookmarkStart w:id="146" w:name="_Toc141701062"/>
          <w:bookmarkStart w:id="147" w:name="_Toc141701271"/>
          <w:bookmarkStart w:id="148" w:name="_Toc141701376"/>
          <w:bookmarkStart w:id="149" w:name="_Toc141774152"/>
          <w:bookmarkStart w:id="150" w:name="_Toc141700733"/>
          <w:bookmarkStart w:id="151" w:name="_Toc141700807"/>
          <w:bookmarkStart w:id="152" w:name="_Toc141700892"/>
          <w:bookmarkStart w:id="153" w:name="_Toc141700990"/>
          <w:bookmarkStart w:id="154" w:name="_Toc141701063"/>
          <w:bookmarkStart w:id="155" w:name="_Toc141701272"/>
          <w:bookmarkStart w:id="156" w:name="_Toc141701377"/>
          <w:bookmarkStart w:id="157" w:name="_Toc141774153"/>
          <w:bookmarkStart w:id="158" w:name="_Toc141700734"/>
          <w:bookmarkStart w:id="159" w:name="_Toc141700808"/>
          <w:bookmarkStart w:id="160" w:name="_Toc141700893"/>
          <w:bookmarkStart w:id="161" w:name="_Toc141700991"/>
          <w:bookmarkStart w:id="162" w:name="_Toc141701064"/>
          <w:bookmarkStart w:id="163" w:name="_Toc141701273"/>
          <w:bookmarkStart w:id="164" w:name="_Toc141701378"/>
          <w:bookmarkStart w:id="165" w:name="_Toc141774154"/>
          <w:bookmarkStart w:id="166" w:name="_Toc141272761"/>
          <w:bookmarkStart w:id="167" w:name="_Toc151719082"/>
          <w:bookmarkEnd w:id="111"/>
          <w:bookmarkEnd w:id="11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D662D">
            <w:lastRenderedPageBreak/>
            <w:t xml:space="preserve">Who did </w:t>
          </w:r>
          <w:r w:rsidR="00BC1BEE">
            <w:t>we</w:t>
          </w:r>
          <w:r w:rsidR="00BC1BEE" w:rsidRPr="005D662D">
            <w:t xml:space="preserve"> </w:t>
          </w:r>
          <w:r w:rsidRPr="005D662D">
            <w:t xml:space="preserve">consult and how did </w:t>
          </w:r>
          <w:r w:rsidR="00BC1BEE">
            <w:t>we</w:t>
          </w:r>
          <w:r w:rsidR="00BC1BEE" w:rsidRPr="005D662D">
            <w:t xml:space="preserve"> </w:t>
          </w:r>
          <w:r w:rsidRPr="005D662D">
            <w:t>incorporate their feedback?</w:t>
          </w:r>
          <w:bookmarkEnd w:id="166"/>
          <w:bookmarkEnd w:id="167"/>
        </w:p>
        <w:p w14:paraId="54734ED4" w14:textId="208F01BA" w:rsidR="00D8474E" w:rsidRDefault="00D8474E" w:rsidP="005D662D">
          <w:pPr>
            <w:rPr>
              <w:rFonts w:ascii="Calibri" w:eastAsia="Calibri" w:hAnsi="Calibri" w:cs="Times New Roman"/>
            </w:rPr>
          </w:pPr>
          <w:r>
            <w:rPr>
              <w:rFonts w:ascii="Calibri" w:eastAsia="Calibri" w:hAnsi="Calibri" w:cs="Times New Roman"/>
            </w:rPr>
            <w:t xml:space="preserve">This decision RIS is informed by </w:t>
          </w:r>
          <w:r w:rsidR="00C87D87">
            <w:rPr>
              <w:rFonts w:ascii="Calibri" w:eastAsia="Calibri" w:hAnsi="Calibri" w:cs="Times New Roman"/>
            </w:rPr>
            <w:t>contributions and feedback from</w:t>
          </w:r>
          <w:r w:rsidR="005D662D" w:rsidRPr="005D662D">
            <w:rPr>
              <w:rFonts w:ascii="Calibri" w:eastAsia="Calibri" w:hAnsi="Calibri" w:cs="Times New Roman"/>
            </w:rPr>
            <w:t xml:space="preserve"> </w:t>
          </w:r>
          <w:r>
            <w:rPr>
              <w:rFonts w:ascii="Calibri" w:eastAsia="Calibri" w:hAnsi="Calibri" w:cs="Times New Roman"/>
            </w:rPr>
            <w:t>a range of stakeholders, including:</w:t>
          </w:r>
        </w:p>
        <w:p w14:paraId="35595FBD" w14:textId="45AA6FAE" w:rsidR="00D8474E" w:rsidRPr="00365413" w:rsidRDefault="00D8474E" w:rsidP="00875EC1">
          <w:pPr>
            <w:numPr>
              <w:ilvl w:val="0"/>
              <w:numId w:val="1"/>
            </w:numPr>
          </w:pPr>
          <w:bookmarkStart w:id="168" w:name="_Hlk142491818"/>
          <w:r w:rsidRPr="00365413">
            <w:t>consumers and consumer groups</w:t>
          </w:r>
        </w:p>
        <w:p w14:paraId="02106B2E" w14:textId="368B4AEA" w:rsidR="00D8474E" w:rsidRPr="00365413" w:rsidRDefault="00D8474E" w:rsidP="00875EC1">
          <w:pPr>
            <w:numPr>
              <w:ilvl w:val="0"/>
              <w:numId w:val="1"/>
            </w:numPr>
          </w:pPr>
          <w:r w:rsidRPr="00365413">
            <w:t>hospitality businesses and industry groups</w:t>
          </w:r>
        </w:p>
        <w:p w14:paraId="0DC43B6D" w14:textId="18C5D1A5" w:rsidR="00D8474E" w:rsidRPr="00365413" w:rsidRDefault="00D8474E" w:rsidP="00875EC1">
          <w:pPr>
            <w:numPr>
              <w:ilvl w:val="0"/>
              <w:numId w:val="1"/>
            </w:numPr>
          </w:pPr>
          <w:r w:rsidRPr="00365413">
            <w:t xml:space="preserve">seafood producers, </w:t>
          </w:r>
          <w:r w:rsidR="00C87D87" w:rsidRPr="00365413">
            <w:t>importers,</w:t>
          </w:r>
          <w:r w:rsidRPr="00365413">
            <w:t xml:space="preserve"> and industry groups</w:t>
          </w:r>
        </w:p>
        <w:p w14:paraId="28807D73" w14:textId="78086A39" w:rsidR="00D8474E" w:rsidRPr="00365413" w:rsidRDefault="00D8474E" w:rsidP="00875EC1">
          <w:pPr>
            <w:numPr>
              <w:ilvl w:val="0"/>
              <w:numId w:val="1"/>
            </w:numPr>
          </w:pPr>
          <w:r w:rsidRPr="00365413">
            <w:t>government</w:t>
          </w:r>
        </w:p>
        <w:p w14:paraId="36309E1D" w14:textId="4B959272" w:rsidR="00D8474E" w:rsidRPr="008473E3" w:rsidRDefault="00D8474E" w:rsidP="00875EC1">
          <w:pPr>
            <w:numPr>
              <w:ilvl w:val="0"/>
              <w:numId w:val="1"/>
            </w:numPr>
          </w:pPr>
          <w:r w:rsidRPr="00365413">
            <w:t>other</w:t>
          </w:r>
          <w:r w:rsidR="00D224E2">
            <w:t>s</w:t>
          </w:r>
          <w:r w:rsidRPr="00365413">
            <w:t>, such as academia</w:t>
          </w:r>
          <w:r w:rsidR="00C87D87" w:rsidRPr="00365413">
            <w:rPr>
              <w:color w:val="262626"/>
            </w:rPr>
            <w:t xml:space="preserve">, </w:t>
          </w:r>
          <w:r w:rsidRPr="00365413">
            <w:rPr>
              <w:color w:val="262626"/>
            </w:rPr>
            <w:t>environmental and conservation groups</w:t>
          </w:r>
          <w:r w:rsidR="00CC4FCE">
            <w:rPr>
              <w:color w:val="262626"/>
            </w:rPr>
            <w:t>.</w:t>
          </w:r>
        </w:p>
        <w:p w14:paraId="3D55125D" w14:textId="216B339E" w:rsidR="00FA0AE7" w:rsidRPr="00331076" w:rsidRDefault="00FA0AE7" w:rsidP="00073493">
          <w:pPr>
            <w:pStyle w:val="Heading2"/>
            <w:numPr>
              <w:ilvl w:val="1"/>
              <w:numId w:val="15"/>
            </w:numPr>
          </w:pPr>
          <w:bookmarkStart w:id="169" w:name="_Toc151719083"/>
          <w:bookmarkEnd w:id="168"/>
          <w:r w:rsidRPr="00331076">
            <w:t>Consultation approach</w:t>
          </w:r>
          <w:bookmarkEnd w:id="169"/>
        </w:p>
        <w:p w14:paraId="2B402B83" w14:textId="59B991FD" w:rsidR="00C87D87" w:rsidRPr="00FA0AE7" w:rsidRDefault="00FA0AE7" w:rsidP="00365413">
          <w:pPr>
            <w:pStyle w:val="Heading3"/>
          </w:pPr>
          <w:r>
            <w:t>D</w:t>
          </w:r>
          <w:r w:rsidR="00C87D87" w:rsidRPr="00FA0AE7">
            <w:t xml:space="preserve">iscussion paper </w:t>
          </w:r>
        </w:p>
        <w:p w14:paraId="6BAA3704" w14:textId="4ABD339E" w:rsidR="00080035" w:rsidRDefault="00080035" w:rsidP="00EA2033">
          <w:r>
            <w:t>On 23 December 202</w:t>
          </w:r>
          <w:r w:rsidR="00BE0FB5">
            <w:t>2</w:t>
          </w:r>
          <w:r>
            <w:t>, t</w:t>
          </w:r>
          <w:r w:rsidR="00EA2033">
            <w:t xml:space="preserve">he department published </w:t>
          </w:r>
          <w:r w:rsidR="00331076">
            <w:t>‘</w:t>
          </w:r>
          <w:r w:rsidR="00331076" w:rsidRPr="00913CD0">
            <w:t>Country of origin labelling for seafood in hospitality: discussion paper</w:t>
          </w:r>
          <w:r w:rsidR="00331076">
            <w:t>’</w:t>
          </w:r>
          <w:r w:rsidR="00331076" w:rsidRPr="00875EC1">
            <w:t xml:space="preserve"> (DISR 2022)</w:t>
          </w:r>
          <w:r w:rsidR="00331076">
            <w:t xml:space="preserve"> </w:t>
          </w:r>
          <w:r w:rsidR="00EA2033">
            <w:t xml:space="preserve">on its </w:t>
          </w:r>
          <w:r>
            <w:t>c</w:t>
          </w:r>
          <w:r w:rsidR="00EA2033">
            <w:t xml:space="preserve">onsultation </w:t>
          </w:r>
          <w:r>
            <w:t>h</w:t>
          </w:r>
          <w:r w:rsidR="00EA2033">
            <w:t xml:space="preserve">ub which outlined a potential model for seafood CoOL consistent with the AIM model. </w:t>
          </w:r>
          <w:r>
            <w:t xml:space="preserve">The consultation closed on </w:t>
          </w:r>
          <w:r w:rsidR="00EA2033">
            <w:t xml:space="preserve">15 March 2023. </w:t>
          </w:r>
        </w:p>
        <w:p w14:paraId="19EB9E69" w14:textId="74767604" w:rsidR="00EA2033" w:rsidRDefault="00EA2033" w:rsidP="00EA2033">
          <w:r>
            <w:t xml:space="preserve">The department received 232 </w:t>
          </w:r>
          <w:r w:rsidR="00080035">
            <w:t xml:space="preserve">survey and written submissions in </w:t>
          </w:r>
          <w:r>
            <w:t>response to th</w:t>
          </w:r>
          <w:r w:rsidR="00080035">
            <w:t>e discussion paper</w:t>
          </w:r>
          <w:r w:rsidR="006F58AF">
            <w:t>. A breakdown of responses is below</w:t>
          </w:r>
          <w:r>
            <w:t>:</w:t>
          </w:r>
        </w:p>
        <w:p w14:paraId="7F9A5E40" w14:textId="6C5D7F80" w:rsidR="00B84C10" w:rsidRDefault="00B84C10" w:rsidP="00331076">
          <w:pPr>
            <w:pStyle w:val="Caption"/>
          </w:pPr>
          <w:r>
            <w:t xml:space="preserve">Table 5: Breakdown of </w:t>
          </w:r>
          <w:r w:rsidR="002855DF">
            <w:t xml:space="preserve">discussion paper </w:t>
          </w:r>
          <w:r>
            <w:t>submissions</w:t>
          </w:r>
        </w:p>
        <w:tbl>
          <w:tblPr>
            <w:tblStyle w:val="TableGrid"/>
            <w:tblW w:w="0" w:type="auto"/>
            <w:jc w:val="center"/>
            <w:tblLook w:val="04A0" w:firstRow="1" w:lastRow="0" w:firstColumn="1" w:lastColumn="0" w:noHBand="0" w:noVBand="1"/>
            <w:tblCaption w:val="Breakdown of discussion paper submissions"/>
          </w:tblPr>
          <w:tblGrid>
            <w:gridCol w:w="3433"/>
            <w:gridCol w:w="1524"/>
          </w:tblGrid>
          <w:tr w:rsidR="00080035" w14:paraId="0F73ACCC" w14:textId="77777777" w:rsidTr="00C921B2">
            <w:trPr>
              <w:tblHeader/>
              <w:jc w:val="center"/>
            </w:trPr>
            <w:tc>
              <w:tcPr>
                <w:tcW w:w="3433" w:type="dxa"/>
                <w:tcBorders>
                  <w:top w:val="single" w:sz="4" w:space="0" w:color="auto"/>
                  <w:left w:val="single" w:sz="4" w:space="0" w:color="auto"/>
                  <w:bottom w:val="single" w:sz="4" w:space="0" w:color="auto"/>
                  <w:right w:val="single" w:sz="4" w:space="0" w:color="auto"/>
                </w:tcBorders>
                <w:shd w:val="clear" w:color="auto" w:fill="D7EFF2" w:themeFill="accent5" w:themeFillTint="66"/>
                <w:hideMark/>
              </w:tcPr>
              <w:p w14:paraId="0E9F3E16" w14:textId="77777777" w:rsidR="00080035" w:rsidRPr="00080035" w:rsidRDefault="00080035" w:rsidP="004A349F">
                <w:pPr>
                  <w:spacing w:before="60" w:after="60"/>
                  <w:jc w:val="center"/>
                  <w:rPr>
                    <w:lang w:val="en-US"/>
                  </w:rPr>
                </w:pPr>
                <w:r w:rsidRPr="00C921B2">
                  <w:rPr>
                    <w:b/>
                    <w:bCs/>
                    <w:lang w:val="en-US"/>
                  </w:rPr>
                  <w:t>Type</w:t>
                </w:r>
              </w:p>
            </w:tc>
            <w:tc>
              <w:tcPr>
                <w:tcW w:w="1524" w:type="dxa"/>
                <w:tcBorders>
                  <w:top w:val="single" w:sz="4" w:space="0" w:color="auto"/>
                  <w:left w:val="single" w:sz="4" w:space="0" w:color="auto"/>
                  <w:bottom w:val="single" w:sz="4" w:space="0" w:color="auto"/>
                  <w:right w:val="single" w:sz="4" w:space="0" w:color="auto"/>
                </w:tcBorders>
                <w:shd w:val="clear" w:color="auto" w:fill="D7EFF2" w:themeFill="accent5" w:themeFillTint="66"/>
                <w:vAlign w:val="center"/>
                <w:hideMark/>
              </w:tcPr>
              <w:p w14:paraId="5BB6D0C3" w14:textId="77777777" w:rsidR="00080035" w:rsidRPr="00C921B2" w:rsidRDefault="00080035" w:rsidP="004A349F">
                <w:pPr>
                  <w:spacing w:before="60" w:after="60"/>
                  <w:jc w:val="center"/>
                  <w:rPr>
                    <w:b/>
                    <w:bCs/>
                    <w:lang w:val="en-US"/>
                  </w:rPr>
                </w:pPr>
                <w:r w:rsidRPr="00C921B2">
                  <w:rPr>
                    <w:b/>
                    <w:bCs/>
                    <w:lang w:val="en-US"/>
                  </w:rPr>
                  <w:t>Total</w:t>
                </w:r>
              </w:p>
            </w:tc>
          </w:tr>
          <w:tr w:rsidR="00080035" w14:paraId="761682A3" w14:textId="77777777" w:rsidTr="00C921B2">
            <w:trPr>
              <w:jc w:val="center"/>
            </w:trPr>
            <w:tc>
              <w:tcPr>
                <w:tcW w:w="3433" w:type="dxa"/>
                <w:tcBorders>
                  <w:top w:val="single" w:sz="4" w:space="0" w:color="auto"/>
                  <w:left w:val="single" w:sz="4" w:space="0" w:color="auto"/>
                  <w:bottom w:val="single" w:sz="4" w:space="0" w:color="auto"/>
                  <w:right w:val="single" w:sz="4" w:space="0" w:color="auto"/>
                </w:tcBorders>
                <w:hideMark/>
              </w:tcPr>
              <w:p w14:paraId="63B8CD6C" w14:textId="1606DC8F" w:rsidR="00080035" w:rsidRDefault="00080035" w:rsidP="004A349F">
                <w:pPr>
                  <w:spacing w:before="60" w:after="60"/>
                  <w:rPr>
                    <w:lang w:val="en-US"/>
                  </w:rPr>
                </w:pPr>
                <w:r>
                  <w:rPr>
                    <w:lang w:val="en-US"/>
                  </w:rPr>
                  <w:t>Consumers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CACA3D9" w14:textId="77777777" w:rsidR="00080035" w:rsidRDefault="00080035" w:rsidP="004A349F">
                <w:pPr>
                  <w:spacing w:before="60" w:after="60"/>
                  <w:jc w:val="center"/>
                  <w:rPr>
                    <w:b/>
                    <w:bCs/>
                    <w:lang w:val="en-US"/>
                  </w:rPr>
                </w:pPr>
                <w:r>
                  <w:rPr>
                    <w:b/>
                    <w:bCs/>
                    <w:lang w:val="en-US"/>
                  </w:rPr>
                  <w:t>157</w:t>
                </w:r>
              </w:p>
            </w:tc>
          </w:tr>
          <w:tr w:rsidR="00080035" w14:paraId="4558EAA6" w14:textId="77777777" w:rsidTr="00C921B2">
            <w:trPr>
              <w:jc w:val="center"/>
            </w:trPr>
            <w:tc>
              <w:tcPr>
                <w:tcW w:w="3433" w:type="dxa"/>
                <w:tcBorders>
                  <w:top w:val="single" w:sz="4" w:space="0" w:color="auto"/>
                  <w:left w:val="single" w:sz="4" w:space="0" w:color="auto"/>
                  <w:bottom w:val="single" w:sz="4" w:space="0" w:color="auto"/>
                  <w:right w:val="single" w:sz="4" w:space="0" w:color="auto"/>
                </w:tcBorders>
                <w:hideMark/>
              </w:tcPr>
              <w:p w14:paraId="589E9A01" w14:textId="77777777" w:rsidR="00080035" w:rsidRDefault="00080035" w:rsidP="004A349F">
                <w:pPr>
                  <w:spacing w:before="60" w:after="60"/>
                  <w:rPr>
                    <w:lang w:val="en-US"/>
                  </w:rPr>
                </w:pPr>
                <w:r>
                  <w:rPr>
                    <w:lang w:val="en-US"/>
                  </w:rPr>
                  <w:t>Consumer groups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18CE5CD" w14:textId="77777777" w:rsidR="00080035" w:rsidRDefault="00080035" w:rsidP="004A349F">
                <w:pPr>
                  <w:spacing w:before="60" w:after="60"/>
                  <w:jc w:val="center"/>
                  <w:rPr>
                    <w:b/>
                    <w:bCs/>
                    <w:lang w:val="en-US"/>
                  </w:rPr>
                </w:pPr>
                <w:r>
                  <w:rPr>
                    <w:b/>
                    <w:bCs/>
                    <w:lang w:val="en-US"/>
                  </w:rPr>
                  <w:t>1</w:t>
                </w:r>
              </w:p>
            </w:tc>
          </w:tr>
          <w:tr w:rsidR="00080035" w:rsidRPr="00DF04D2" w14:paraId="70533797" w14:textId="77777777" w:rsidTr="00080035">
            <w:trPr>
              <w:jc w:val="center"/>
            </w:trPr>
            <w:tc>
              <w:tcPr>
                <w:tcW w:w="3433" w:type="dxa"/>
                <w:tcBorders>
                  <w:top w:val="single" w:sz="4" w:space="0" w:color="auto"/>
                  <w:left w:val="single" w:sz="4" w:space="0" w:color="auto"/>
                  <w:bottom w:val="single" w:sz="4" w:space="0" w:color="auto"/>
                  <w:right w:val="single" w:sz="4" w:space="0" w:color="auto"/>
                </w:tcBorders>
              </w:tcPr>
              <w:p w14:paraId="3D1AA73C" w14:textId="4395235B" w:rsidR="00080035" w:rsidRPr="00DF04D2" w:rsidRDefault="00080035" w:rsidP="00080035">
                <w:pPr>
                  <w:spacing w:before="60" w:after="60"/>
                  <w:rPr>
                    <w:lang w:val="en-US"/>
                  </w:rPr>
                </w:pPr>
                <w:r w:rsidRPr="00221507">
                  <w:rPr>
                    <w:lang w:val="en-US"/>
                  </w:rPr>
                  <w:t>Hospitality businesses</w:t>
                </w:r>
              </w:p>
            </w:tc>
            <w:tc>
              <w:tcPr>
                <w:tcW w:w="1524" w:type="dxa"/>
                <w:tcBorders>
                  <w:top w:val="single" w:sz="4" w:space="0" w:color="auto"/>
                  <w:left w:val="single" w:sz="4" w:space="0" w:color="auto"/>
                  <w:bottom w:val="single" w:sz="4" w:space="0" w:color="auto"/>
                  <w:right w:val="single" w:sz="4" w:space="0" w:color="auto"/>
                </w:tcBorders>
                <w:vAlign w:val="center"/>
              </w:tcPr>
              <w:p w14:paraId="428E8363" w14:textId="4B7A37F2" w:rsidR="00080035" w:rsidRPr="00DF04D2" w:rsidRDefault="00080035" w:rsidP="00080035">
                <w:pPr>
                  <w:spacing w:before="60" w:after="60"/>
                  <w:jc w:val="center"/>
                  <w:rPr>
                    <w:b/>
                    <w:bCs/>
                    <w:lang w:val="en-US"/>
                  </w:rPr>
                </w:pPr>
                <w:r w:rsidRPr="00221507">
                  <w:rPr>
                    <w:b/>
                    <w:bCs/>
                    <w:lang w:val="en-US"/>
                  </w:rPr>
                  <w:t>13</w:t>
                </w:r>
              </w:p>
            </w:tc>
          </w:tr>
          <w:tr w:rsidR="00080035" w:rsidRPr="00DF04D2" w14:paraId="7D67D454" w14:textId="77777777" w:rsidTr="00080035">
            <w:trPr>
              <w:jc w:val="center"/>
            </w:trPr>
            <w:tc>
              <w:tcPr>
                <w:tcW w:w="3433" w:type="dxa"/>
                <w:tcBorders>
                  <w:top w:val="single" w:sz="4" w:space="0" w:color="auto"/>
                  <w:left w:val="single" w:sz="4" w:space="0" w:color="auto"/>
                  <w:bottom w:val="single" w:sz="4" w:space="0" w:color="auto"/>
                  <w:right w:val="single" w:sz="4" w:space="0" w:color="auto"/>
                </w:tcBorders>
              </w:tcPr>
              <w:p w14:paraId="438898C3" w14:textId="2AC1093F" w:rsidR="00080035" w:rsidRPr="00DF04D2" w:rsidRDefault="00080035" w:rsidP="00080035">
                <w:pPr>
                  <w:spacing w:before="60" w:after="60"/>
                  <w:rPr>
                    <w:lang w:val="en-US"/>
                  </w:rPr>
                </w:pPr>
                <w:r w:rsidRPr="00221507">
                  <w:rPr>
                    <w:lang w:val="en-US"/>
                  </w:rPr>
                  <w:t>Hospitality/retail groups</w:t>
                </w:r>
              </w:p>
            </w:tc>
            <w:tc>
              <w:tcPr>
                <w:tcW w:w="1524" w:type="dxa"/>
                <w:tcBorders>
                  <w:top w:val="single" w:sz="4" w:space="0" w:color="auto"/>
                  <w:left w:val="single" w:sz="4" w:space="0" w:color="auto"/>
                  <w:bottom w:val="single" w:sz="4" w:space="0" w:color="auto"/>
                  <w:right w:val="single" w:sz="4" w:space="0" w:color="auto"/>
                </w:tcBorders>
                <w:vAlign w:val="center"/>
              </w:tcPr>
              <w:p w14:paraId="6A5942E2" w14:textId="4A8C708E" w:rsidR="00080035" w:rsidRPr="00DF04D2" w:rsidRDefault="00080035" w:rsidP="00080035">
                <w:pPr>
                  <w:spacing w:before="60" w:after="60"/>
                  <w:jc w:val="center"/>
                  <w:rPr>
                    <w:b/>
                    <w:bCs/>
                    <w:lang w:val="en-US"/>
                  </w:rPr>
                </w:pPr>
                <w:r w:rsidRPr="00221507">
                  <w:rPr>
                    <w:b/>
                    <w:bCs/>
                    <w:lang w:val="en-US"/>
                  </w:rPr>
                  <w:t>4</w:t>
                </w:r>
              </w:p>
            </w:tc>
          </w:tr>
          <w:tr w:rsidR="00080035" w:rsidRPr="00DF04D2" w14:paraId="6055CD13" w14:textId="77777777" w:rsidTr="00C921B2">
            <w:trPr>
              <w:jc w:val="center"/>
            </w:trPr>
            <w:tc>
              <w:tcPr>
                <w:tcW w:w="3433" w:type="dxa"/>
                <w:tcBorders>
                  <w:top w:val="single" w:sz="4" w:space="0" w:color="auto"/>
                  <w:left w:val="single" w:sz="4" w:space="0" w:color="auto"/>
                  <w:bottom w:val="single" w:sz="4" w:space="0" w:color="auto"/>
                  <w:right w:val="single" w:sz="4" w:space="0" w:color="auto"/>
                </w:tcBorders>
                <w:hideMark/>
              </w:tcPr>
              <w:p w14:paraId="7F2EC1D6" w14:textId="77777777" w:rsidR="00080035" w:rsidRPr="00DF04D2" w:rsidRDefault="00080035" w:rsidP="004A349F">
                <w:pPr>
                  <w:spacing w:before="60" w:after="60"/>
                  <w:rPr>
                    <w:lang w:val="en-US"/>
                  </w:rPr>
                </w:pPr>
                <w:r w:rsidRPr="00DF04D2">
                  <w:rPr>
                    <w:lang w:val="en-US"/>
                  </w:rPr>
                  <w:t>Seafood producers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15D38B9" w14:textId="77777777" w:rsidR="00080035" w:rsidRPr="00DF04D2" w:rsidRDefault="00080035" w:rsidP="004A349F">
                <w:pPr>
                  <w:spacing w:before="60" w:after="60"/>
                  <w:jc w:val="center"/>
                  <w:rPr>
                    <w:b/>
                    <w:bCs/>
                    <w:lang w:val="en-US"/>
                  </w:rPr>
                </w:pPr>
                <w:r w:rsidRPr="00DF04D2">
                  <w:rPr>
                    <w:b/>
                    <w:bCs/>
                    <w:lang w:val="en-US"/>
                  </w:rPr>
                  <w:t>23</w:t>
                </w:r>
              </w:p>
            </w:tc>
          </w:tr>
          <w:tr w:rsidR="00080035" w14:paraId="04E0A156" w14:textId="77777777" w:rsidTr="00C921B2">
            <w:trPr>
              <w:jc w:val="center"/>
            </w:trPr>
            <w:tc>
              <w:tcPr>
                <w:tcW w:w="3433" w:type="dxa"/>
                <w:tcBorders>
                  <w:top w:val="single" w:sz="4" w:space="0" w:color="auto"/>
                  <w:left w:val="single" w:sz="4" w:space="0" w:color="auto"/>
                  <w:bottom w:val="single" w:sz="4" w:space="0" w:color="auto"/>
                  <w:right w:val="single" w:sz="4" w:space="0" w:color="auto"/>
                </w:tcBorders>
                <w:hideMark/>
              </w:tcPr>
              <w:p w14:paraId="56A930C3" w14:textId="77777777" w:rsidR="00080035" w:rsidRDefault="00080035" w:rsidP="004A349F">
                <w:pPr>
                  <w:spacing w:before="60" w:after="60"/>
                  <w:rPr>
                    <w:lang w:val="en-US"/>
                  </w:rPr>
                </w:pPr>
                <w:r>
                  <w:rPr>
                    <w:lang w:val="en-US"/>
                  </w:rPr>
                  <w:t>Seafood producer groups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9484736" w14:textId="77777777" w:rsidR="00080035" w:rsidRDefault="00080035" w:rsidP="004A349F">
                <w:pPr>
                  <w:spacing w:before="60" w:after="60"/>
                  <w:jc w:val="center"/>
                  <w:rPr>
                    <w:b/>
                    <w:bCs/>
                    <w:lang w:val="en-US"/>
                  </w:rPr>
                </w:pPr>
                <w:r>
                  <w:rPr>
                    <w:b/>
                    <w:bCs/>
                    <w:lang w:val="en-US"/>
                  </w:rPr>
                  <w:t>11</w:t>
                </w:r>
              </w:p>
            </w:tc>
          </w:tr>
          <w:tr w:rsidR="00080035" w14:paraId="1A7C5C4E" w14:textId="77777777" w:rsidTr="00C921B2">
            <w:trPr>
              <w:jc w:val="center"/>
            </w:trPr>
            <w:tc>
              <w:tcPr>
                <w:tcW w:w="3433" w:type="dxa"/>
                <w:tcBorders>
                  <w:top w:val="single" w:sz="4" w:space="0" w:color="auto"/>
                  <w:left w:val="single" w:sz="4" w:space="0" w:color="auto"/>
                  <w:bottom w:val="single" w:sz="4" w:space="0" w:color="auto"/>
                  <w:right w:val="single" w:sz="4" w:space="0" w:color="auto"/>
                </w:tcBorders>
                <w:hideMark/>
              </w:tcPr>
              <w:p w14:paraId="389A14FE" w14:textId="77777777" w:rsidR="00080035" w:rsidRDefault="00080035" w:rsidP="004A349F">
                <w:pPr>
                  <w:spacing w:before="60" w:after="60"/>
                  <w:rPr>
                    <w:lang w:val="en-US"/>
                  </w:rPr>
                </w:pPr>
                <w:r>
                  <w:rPr>
                    <w:lang w:val="en-US"/>
                  </w:rPr>
                  <w:t>Seafood importers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992A979" w14:textId="77777777" w:rsidR="00080035" w:rsidRDefault="00080035" w:rsidP="004A349F">
                <w:pPr>
                  <w:spacing w:before="60" w:after="60"/>
                  <w:jc w:val="center"/>
                  <w:rPr>
                    <w:b/>
                    <w:bCs/>
                    <w:lang w:val="en-US"/>
                  </w:rPr>
                </w:pPr>
                <w:r>
                  <w:rPr>
                    <w:b/>
                    <w:bCs/>
                    <w:lang w:val="en-US"/>
                  </w:rPr>
                  <w:t>1</w:t>
                </w:r>
              </w:p>
            </w:tc>
          </w:tr>
          <w:tr w:rsidR="00080035" w14:paraId="1A8125CD" w14:textId="77777777" w:rsidTr="00C921B2">
            <w:trPr>
              <w:jc w:val="center"/>
            </w:trPr>
            <w:tc>
              <w:tcPr>
                <w:tcW w:w="3433" w:type="dxa"/>
                <w:tcBorders>
                  <w:top w:val="single" w:sz="4" w:space="0" w:color="auto"/>
                  <w:left w:val="single" w:sz="4" w:space="0" w:color="auto"/>
                  <w:bottom w:val="single" w:sz="4" w:space="0" w:color="auto"/>
                  <w:right w:val="single" w:sz="4" w:space="0" w:color="auto"/>
                </w:tcBorders>
                <w:hideMark/>
              </w:tcPr>
              <w:p w14:paraId="2FEDCB8B" w14:textId="77777777" w:rsidR="00080035" w:rsidRDefault="00080035" w:rsidP="004A349F">
                <w:pPr>
                  <w:spacing w:before="60" w:after="60"/>
                  <w:rPr>
                    <w:lang w:val="en-US"/>
                  </w:rPr>
                </w:pPr>
                <w:r>
                  <w:rPr>
                    <w:lang w:val="en-US"/>
                  </w:rPr>
                  <w:t>Seafood importer groups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69FC623" w14:textId="77777777" w:rsidR="00080035" w:rsidRDefault="00080035" w:rsidP="004A349F">
                <w:pPr>
                  <w:spacing w:before="60" w:after="60"/>
                  <w:jc w:val="center"/>
                  <w:rPr>
                    <w:b/>
                    <w:bCs/>
                    <w:lang w:val="en-US"/>
                  </w:rPr>
                </w:pPr>
                <w:r>
                  <w:rPr>
                    <w:b/>
                    <w:bCs/>
                    <w:lang w:val="en-US"/>
                  </w:rPr>
                  <w:t>1</w:t>
                </w:r>
              </w:p>
            </w:tc>
          </w:tr>
          <w:tr w:rsidR="00080035" w:rsidRPr="00221507" w14:paraId="5372644C" w14:textId="77777777" w:rsidTr="00C921B2">
            <w:trPr>
              <w:jc w:val="center"/>
            </w:trPr>
            <w:tc>
              <w:tcPr>
                <w:tcW w:w="3433" w:type="dxa"/>
                <w:tcBorders>
                  <w:top w:val="single" w:sz="4" w:space="0" w:color="auto"/>
                  <w:left w:val="single" w:sz="4" w:space="0" w:color="auto"/>
                  <w:bottom w:val="single" w:sz="4" w:space="0" w:color="auto"/>
                  <w:right w:val="single" w:sz="4" w:space="0" w:color="auto"/>
                </w:tcBorders>
                <w:hideMark/>
              </w:tcPr>
              <w:p w14:paraId="73F6E8E2" w14:textId="77777777" w:rsidR="00080035" w:rsidRPr="00221507" w:rsidRDefault="00080035" w:rsidP="004A349F">
                <w:pPr>
                  <w:spacing w:before="60" w:after="60"/>
                  <w:rPr>
                    <w:lang w:val="en-US"/>
                  </w:rPr>
                </w:pPr>
                <w:r w:rsidRPr="00221507">
                  <w:rPr>
                    <w:lang w:val="en-US"/>
                  </w:rPr>
                  <w:t>Government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62563CC" w14:textId="77777777" w:rsidR="00080035" w:rsidRPr="00221507" w:rsidRDefault="00080035" w:rsidP="004A349F">
                <w:pPr>
                  <w:spacing w:before="60" w:after="60"/>
                  <w:jc w:val="center"/>
                  <w:rPr>
                    <w:b/>
                    <w:bCs/>
                    <w:lang w:val="en-US"/>
                  </w:rPr>
                </w:pPr>
                <w:r w:rsidRPr="00221507">
                  <w:rPr>
                    <w:b/>
                    <w:bCs/>
                    <w:lang w:val="en-US"/>
                  </w:rPr>
                  <w:t>7</w:t>
                </w:r>
              </w:p>
            </w:tc>
          </w:tr>
          <w:tr w:rsidR="00080035" w:rsidRPr="00221507" w14:paraId="62A4BDA9" w14:textId="77777777" w:rsidTr="00C921B2">
            <w:trPr>
              <w:jc w:val="center"/>
            </w:trPr>
            <w:tc>
              <w:tcPr>
                <w:tcW w:w="3433" w:type="dxa"/>
                <w:tcBorders>
                  <w:top w:val="single" w:sz="4" w:space="0" w:color="auto"/>
                  <w:left w:val="single" w:sz="4" w:space="0" w:color="auto"/>
                  <w:bottom w:val="single" w:sz="4" w:space="0" w:color="auto"/>
                  <w:right w:val="single" w:sz="4" w:space="0" w:color="auto"/>
                </w:tcBorders>
                <w:hideMark/>
              </w:tcPr>
              <w:p w14:paraId="667E939F" w14:textId="77777777" w:rsidR="00080035" w:rsidRPr="00221507" w:rsidRDefault="00080035" w:rsidP="004A349F">
                <w:pPr>
                  <w:spacing w:before="60" w:after="60"/>
                  <w:rPr>
                    <w:lang w:val="en-US"/>
                  </w:rPr>
                </w:pPr>
                <w:r w:rsidRPr="00221507">
                  <w:rPr>
                    <w:lang w:val="en-US"/>
                  </w:rPr>
                  <w:t>Other</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2877BCA" w14:textId="77777777" w:rsidR="00080035" w:rsidRPr="00221507" w:rsidRDefault="00080035" w:rsidP="004A349F">
                <w:pPr>
                  <w:spacing w:before="60" w:after="60"/>
                  <w:jc w:val="center"/>
                  <w:rPr>
                    <w:b/>
                    <w:bCs/>
                    <w:lang w:val="en-US"/>
                  </w:rPr>
                </w:pPr>
                <w:r w:rsidRPr="00221507">
                  <w:rPr>
                    <w:b/>
                    <w:bCs/>
                    <w:lang w:val="en-US"/>
                  </w:rPr>
                  <w:t>14</w:t>
                </w:r>
              </w:p>
            </w:tc>
          </w:tr>
          <w:tr w:rsidR="00080035" w:rsidRPr="00221507" w14:paraId="66791C74" w14:textId="77777777" w:rsidTr="00C921B2">
            <w:trPr>
              <w:jc w:val="center"/>
            </w:trPr>
            <w:tc>
              <w:tcPr>
                <w:tcW w:w="3433" w:type="dxa"/>
                <w:tcBorders>
                  <w:top w:val="single" w:sz="4" w:space="0" w:color="auto"/>
                  <w:left w:val="single" w:sz="4" w:space="0" w:color="auto"/>
                  <w:bottom w:val="single" w:sz="4" w:space="0" w:color="auto"/>
                  <w:right w:val="single" w:sz="4" w:space="0" w:color="auto"/>
                </w:tcBorders>
                <w:hideMark/>
              </w:tcPr>
              <w:p w14:paraId="650CEEF5" w14:textId="77777777" w:rsidR="00080035" w:rsidRPr="00221507" w:rsidRDefault="00080035" w:rsidP="004A349F">
                <w:pPr>
                  <w:spacing w:before="60" w:after="60"/>
                  <w:jc w:val="right"/>
                  <w:rPr>
                    <w:b/>
                    <w:bCs/>
                    <w:lang w:val="en-US"/>
                  </w:rPr>
                </w:pPr>
                <w:r w:rsidRPr="00221507">
                  <w:rPr>
                    <w:b/>
                    <w:bCs/>
                    <w:lang w:val="en-US"/>
                  </w:rPr>
                  <w:t>TOTAL</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220FC3B" w14:textId="77777777" w:rsidR="00080035" w:rsidRPr="00221507" w:rsidRDefault="00080035" w:rsidP="004A349F">
                <w:pPr>
                  <w:spacing w:before="60" w:after="60"/>
                  <w:jc w:val="center"/>
                  <w:rPr>
                    <w:b/>
                    <w:bCs/>
                    <w:lang w:val="en-US"/>
                  </w:rPr>
                </w:pPr>
                <w:r w:rsidRPr="00221507">
                  <w:rPr>
                    <w:b/>
                    <w:bCs/>
                    <w:lang w:val="en-US"/>
                  </w:rPr>
                  <w:t>232</w:t>
                </w:r>
              </w:p>
            </w:tc>
          </w:tr>
        </w:tbl>
        <w:p w14:paraId="7A57F3DA" w14:textId="77777777" w:rsidR="00080035" w:rsidRDefault="00080035" w:rsidP="00EA2033"/>
        <w:p w14:paraId="38E1DC17" w14:textId="40AEF51C" w:rsidR="0063330A" w:rsidRDefault="00080035" w:rsidP="0063330A">
          <w:r>
            <w:t>In the time the discussion paper was open for consultation, the d</w:t>
          </w:r>
          <w:r w:rsidR="0063330A">
            <w:t>epartment also received over 770 email submissions in response to the Australian Marine Conservation Society</w:t>
          </w:r>
          <w:r w:rsidR="00875EC1">
            <w:t xml:space="preserve"> (AMCS)</w:t>
          </w:r>
          <w:r w:rsidR="0063330A">
            <w:t xml:space="preserve"> ‘Demand Strong Seafood Labelling Laws’ campaign.</w:t>
          </w:r>
          <w:r w:rsidR="00DE7BB3">
            <w:t xml:space="preserve"> The AMCS campaign called for</w:t>
          </w:r>
          <w:r w:rsidR="001B58AF">
            <w:t xml:space="preserve"> labelling to include </w:t>
          </w:r>
          <w:r w:rsidR="001B58AF" w:rsidRPr="001B58AF">
            <w:t>the</w:t>
          </w:r>
          <w:r w:rsidR="000150E1">
            <w:t xml:space="preserve"> seafood</w:t>
          </w:r>
          <w:r w:rsidR="001B58AF" w:rsidRPr="001B58AF">
            <w:t xml:space="preserve"> </w:t>
          </w:r>
          <w:r w:rsidR="001B58AF" w:rsidRPr="001B58AF">
            <w:lastRenderedPageBreak/>
            <w:t xml:space="preserve">species, </w:t>
          </w:r>
          <w:r w:rsidR="000150E1">
            <w:t>the location of capture or farm location, fishing or farming method</w:t>
          </w:r>
          <w:r w:rsidR="001B58AF" w:rsidRPr="001B58AF">
            <w:t xml:space="preserve">, and </w:t>
          </w:r>
          <w:r w:rsidR="000150E1">
            <w:t xml:space="preserve">the nationality of fishing vessels, </w:t>
          </w:r>
          <w:r w:rsidR="001B58AF">
            <w:t xml:space="preserve">to help consumers identify </w:t>
          </w:r>
          <w:r w:rsidR="00632D5D">
            <w:t>sustainable and ethical seafood</w:t>
          </w:r>
          <w:r w:rsidR="00DE7BB3">
            <w:t>.</w:t>
          </w:r>
        </w:p>
        <w:p w14:paraId="2DAC3AC0" w14:textId="00A844DE" w:rsidR="00EA2033" w:rsidRDefault="00EA2033" w:rsidP="00EA2033">
          <w:r>
            <w:t xml:space="preserve">The discussion paper was provided to World Trade Organization </w:t>
          </w:r>
          <w:r w:rsidR="00CE1CBB">
            <w:t>(WTO)</w:t>
          </w:r>
          <w:r>
            <w:t xml:space="preserve"> partners through the Department of Foreign Affairs and Trade (DFAT) as notification of a potential regulatory change. Trading partners were provided the opportunity to comment from 11 January to 12 March 2023</w:t>
          </w:r>
          <w:r w:rsidR="00492D66">
            <w:t xml:space="preserve">, </w:t>
          </w:r>
          <w:r w:rsidR="00F52F39">
            <w:t>but</w:t>
          </w:r>
          <w:r w:rsidR="00492D66">
            <w:t xml:space="preserve"> no responses were received. </w:t>
          </w:r>
          <w:r>
            <w:t xml:space="preserve"> </w:t>
          </w:r>
        </w:p>
        <w:p w14:paraId="18107B09" w14:textId="532D3A99" w:rsidR="00C87D87" w:rsidRPr="00FA0AE7" w:rsidRDefault="00FA0AE7" w:rsidP="00365413">
          <w:pPr>
            <w:pStyle w:val="Heading3"/>
          </w:pPr>
          <w:r>
            <w:t>C</w:t>
          </w:r>
          <w:r w:rsidR="00C87D87" w:rsidRPr="00FA0AE7">
            <w:t>onsultation RIS</w:t>
          </w:r>
        </w:p>
        <w:p w14:paraId="7BA1D9D7" w14:textId="64272E82" w:rsidR="00D01FF9" w:rsidRDefault="00D01FF9" w:rsidP="0063330A">
          <w:r>
            <w:t>On 7 June 2023, t</w:t>
          </w:r>
          <w:r w:rsidR="0063330A">
            <w:t xml:space="preserve">he Assistant Treasurer, the Hon Stephen Jones MP, and Assistant Minister for Manufacturing, Senator the Hon Tim Ayres, wrote </w:t>
          </w:r>
          <w:r>
            <w:t>the C</w:t>
          </w:r>
          <w:r w:rsidR="0063330A">
            <w:t>onsumer Ministers with a proposal to amend the ACL to introduce seafood CoOL</w:t>
          </w:r>
          <w:r>
            <w:t>. The proposal was accompanied by the</w:t>
          </w:r>
          <w:r w:rsidR="0063330A">
            <w:t xml:space="preserve"> </w:t>
          </w:r>
          <w:r w:rsidR="00331076">
            <w:t>‘</w:t>
          </w:r>
          <w:r w:rsidR="00331076" w:rsidRPr="00331076">
            <w:t>Country of origin labelling for seafood in hospitality settings: consultation regulation impact statement</w:t>
          </w:r>
          <w:r w:rsidR="00331076">
            <w:t>’</w:t>
          </w:r>
          <w:r w:rsidR="00331076" w:rsidRPr="00331076">
            <w:t xml:space="preserve"> (DISR 2023a)</w:t>
          </w:r>
          <w:r w:rsidR="0063330A">
            <w:t xml:space="preserve">. </w:t>
          </w:r>
        </w:p>
        <w:p w14:paraId="56CE6074" w14:textId="61486FA6" w:rsidR="0063330A" w:rsidRDefault="0063330A" w:rsidP="0063330A">
          <w:r>
            <w:t xml:space="preserve">The consultation RIS was </w:t>
          </w:r>
          <w:r w:rsidRPr="005D662D">
            <w:t xml:space="preserve">released for public consultation </w:t>
          </w:r>
          <w:r w:rsidR="00D01FF9">
            <w:t xml:space="preserve">on the department’s consultation hub </w:t>
          </w:r>
          <w:r w:rsidRPr="005D662D">
            <w:t>between 3 July and 3 August 2023</w:t>
          </w:r>
          <w:r>
            <w:t xml:space="preserve">. </w:t>
          </w:r>
          <w:r w:rsidR="00492D66">
            <w:t>The department received 59 responses to this consultation. A breakdown of responses is below:</w:t>
          </w:r>
        </w:p>
        <w:p w14:paraId="32F018AF" w14:textId="55848AE7" w:rsidR="002855DF" w:rsidRDefault="002855DF" w:rsidP="00331076">
          <w:pPr>
            <w:pStyle w:val="Caption"/>
          </w:pPr>
          <w:r>
            <w:t>Table 6: Breakdown on consultation RIS submissions</w:t>
          </w:r>
        </w:p>
        <w:tbl>
          <w:tblPr>
            <w:tblStyle w:val="TableGrid"/>
            <w:tblW w:w="0" w:type="auto"/>
            <w:jc w:val="center"/>
            <w:tblLook w:val="04A0" w:firstRow="1" w:lastRow="0" w:firstColumn="1" w:lastColumn="0" w:noHBand="0" w:noVBand="1"/>
            <w:tblCaption w:val="Breakdown of consultation RIS submissions"/>
          </w:tblPr>
          <w:tblGrid>
            <w:gridCol w:w="3433"/>
            <w:gridCol w:w="1524"/>
          </w:tblGrid>
          <w:tr w:rsidR="00080035" w14:paraId="27E4633D" w14:textId="77777777" w:rsidTr="004A349F">
            <w:trPr>
              <w:tblHeader/>
              <w:jc w:val="center"/>
            </w:trPr>
            <w:tc>
              <w:tcPr>
                <w:tcW w:w="3433" w:type="dxa"/>
                <w:tcBorders>
                  <w:top w:val="single" w:sz="4" w:space="0" w:color="auto"/>
                  <w:left w:val="single" w:sz="4" w:space="0" w:color="auto"/>
                  <w:bottom w:val="single" w:sz="4" w:space="0" w:color="auto"/>
                  <w:right w:val="single" w:sz="4" w:space="0" w:color="auto"/>
                </w:tcBorders>
                <w:shd w:val="clear" w:color="auto" w:fill="D7EFF2" w:themeFill="accent5" w:themeFillTint="66"/>
                <w:hideMark/>
              </w:tcPr>
              <w:p w14:paraId="61B68D48" w14:textId="77777777" w:rsidR="00080035" w:rsidRPr="00080035" w:rsidRDefault="00080035" w:rsidP="004A349F">
                <w:pPr>
                  <w:spacing w:before="60" w:after="60"/>
                  <w:jc w:val="center"/>
                  <w:rPr>
                    <w:lang w:val="en-US"/>
                  </w:rPr>
                </w:pPr>
                <w:r w:rsidRPr="004A349F">
                  <w:rPr>
                    <w:b/>
                    <w:bCs/>
                    <w:lang w:val="en-US"/>
                  </w:rPr>
                  <w:t>Type</w:t>
                </w:r>
              </w:p>
            </w:tc>
            <w:tc>
              <w:tcPr>
                <w:tcW w:w="1524" w:type="dxa"/>
                <w:tcBorders>
                  <w:top w:val="single" w:sz="4" w:space="0" w:color="auto"/>
                  <w:left w:val="single" w:sz="4" w:space="0" w:color="auto"/>
                  <w:bottom w:val="single" w:sz="4" w:space="0" w:color="auto"/>
                  <w:right w:val="single" w:sz="4" w:space="0" w:color="auto"/>
                </w:tcBorders>
                <w:shd w:val="clear" w:color="auto" w:fill="D7EFF2" w:themeFill="accent5" w:themeFillTint="66"/>
                <w:vAlign w:val="center"/>
                <w:hideMark/>
              </w:tcPr>
              <w:p w14:paraId="3356E6E3" w14:textId="77777777" w:rsidR="00080035" w:rsidRPr="004A349F" w:rsidRDefault="00080035" w:rsidP="004A349F">
                <w:pPr>
                  <w:spacing w:before="60" w:after="60"/>
                  <w:jc w:val="center"/>
                  <w:rPr>
                    <w:b/>
                    <w:bCs/>
                    <w:lang w:val="en-US"/>
                  </w:rPr>
                </w:pPr>
                <w:r w:rsidRPr="004A349F">
                  <w:rPr>
                    <w:b/>
                    <w:bCs/>
                    <w:lang w:val="en-US"/>
                  </w:rPr>
                  <w:t>Total</w:t>
                </w:r>
              </w:p>
            </w:tc>
          </w:tr>
          <w:tr w:rsidR="00080035" w14:paraId="6F786096"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hideMark/>
              </w:tcPr>
              <w:p w14:paraId="7FBFEDA7" w14:textId="77777777" w:rsidR="00080035" w:rsidRDefault="00080035" w:rsidP="004A349F">
                <w:pPr>
                  <w:spacing w:before="60" w:after="60"/>
                  <w:rPr>
                    <w:lang w:val="en-US"/>
                  </w:rPr>
                </w:pPr>
                <w:r>
                  <w:rPr>
                    <w:lang w:val="en-US"/>
                  </w:rPr>
                  <w:t>Consumers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10D1F5A" w14:textId="17DAA17A" w:rsidR="00080035" w:rsidRDefault="00080035" w:rsidP="004A349F">
                <w:pPr>
                  <w:spacing w:before="60" w:after="60"/>
                  <w:jc w:val="center"/>
                  <w:rPr>
                    <w:b/>
                    <w:bCs/>
                    <w:lang w:val="en-US"/>
                  </w:rPr>
                </w:pPr>
                <w:r>
                  <w:rPr>
                    <w:b/>
                    <w:bCs/>
                    <w:lang w:val="en-US"/>
                  </w:rPr>
                  <w:t>22</w:t>
                </w:r>
              </w:p>
            </w:tc>
          </w:tr>
          <w:tr w:rsidR="00080035" w14:paraId="6A92D554"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hideMark/>
              </w:tcPr>
              <w:p w14:paraId="781E50BA" w14:textId="77777777" w:rsidR="00080035" w:rsidRDefault="00080035" w:rsidP="004A349F">
                <w:pPr>
                  <w:spacing w:before="60" w:after="60"/>
                  <w:rPr>
                    <w:lang w:val="en-US"/>
                  </w:rPr>
                </w:pPr>
                <w:r>
                  <w:rPr>
                    <w:lang w:val="en-US"/>
                  </w:rPr>
                  <w:t>Consumer groups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E0BED13" w14:textId="77777777" w:rsidR="00080035" w:rsidRDefault="00080035" w:rsidP="004A349F">
                <w:pPr>
                  <w:spacing w:before="60" w:after="60"/>
                  <w:jc w:val="center"/>
                  <w:rPr>
                    <w:b/>
                    <w:bCs/>
                    <w:lang w:val="en-US"/>
                  </w:rPr>
                </w:pPr>
                <w:r>
                  <w:rPr>
                    <w:b/>
                    <w:bCs/>
                    <w:lang w:val="en-US"/>
                  </w:rPr>
                  <w:t>1</w:t>
                </w:r>
              </w:p>
            </w:tc>
          </w:tr>
          <w:tr w:rsidR="00080035" w:rsidRPr="00DF04D2" w14:paraId="38196D48"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tcPr>
              <w:p w14:paraId="579A2CF2" w14:textId="54AE7F2B" w:rsidR="00080035" w:rsidRPr="00DF04D2" w:rsidRDefault="00080035" w:rsidP="00080035">
                <w:pPr>
                  <w:spacing w:before="60" w:after="60"/>
                  <w:rPr>
                    <w:lang w:val="en-US"/>
                  </w:rPr>
                </w:pPr>
                <w:r w:rsidRPr="00221507">
                  <w:rPr>
                    <w:lang w:val="en-US"/>
                  </w:rPr>
                  <w:t>Hospitality businesses</w:t>
                </w:r>
              </w:p>
            </w:tc>
            <w:tc>
              <w:tcPr>
                <w:tcW w:w="1524" w:type="dxa"/>
                <w:tcBorders>
                  <w:top w:val="single" w:sz="4" w:space="0" w:color="auto"/>
                  <w:left w:val="single" w:sz="4" w:space="0" w:color="auto"/>
                  <w:bottom w:val="single" w:sz="4" w:space="0" w:color="auto"/>
                  <w:right w:val="single" w:sz="4" w:space="0" w:color="auto"/>
                </w:tcBorders>
                <w:vAlign w:val="center"/>
              </w:tcPr>
              <w:p w14:paraId="50BB2F7B" w14:textId="635D6C4A" w:rsidR="00080035" w:rsidRPr="00DF04D2" w:rsidRDefault="00080035" w:rsidP="00080035">
                <w:pPr>
                  <w:spacing w:before="60" w:after="60"/>
                  <w:jc w:val="center"/>
                  <w:rPr>
                    <w:b/>
                    <w:bCs/>
                    <w:lang w:val="en-US"/>
                  </w:rPr>
                </w:pPr>
                <w:r w:rsidRPr="00221507">
                  <w:rPr>
                    <w:b/>
                    <w:bCs/>
                    <w:lang w:val="en-US"/>
                  </w:rPr>
                  <w:t>3</w:t>
                </w:r>
              </w:p>
            </w:tc>
          </w:tr>
          <w:tr w:rsidR="00080035" w:rsidRPr="00DF04D2" w14:paraId="0344F547"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tcPr>
              <w:p w14:paraId="428236B4" w14:textId="61DD716E" w:rsidR="00080035" w:rsidRPr="00DF04D2" w:rsidRDefault="00080035" w:rsidP="00080035">
                <w:pPr>
                  <w:spacing w:before="60" w:after="60"/>
                  <w:rPr>
                    <w:lang w:val="en-US"/>
                  </w:rPr>
                </w:pPr>
                <w:r w:rsidRPr="00221507">
                  <w:rPr>
                    <w:lang w:val="en-US"/>
                  </w:rPr>
                  <w:t>Hospitality/retail groups</w:t>
                </w:r>
              </w:p>
            </w:tc>
            <w:tc>
              <w:tcPr>
                <w:tcW w:w="1524" w:type="dxa"/>
                <w:tcBorders>
                  <w:top w:val="single" w:sz="4" w:space="0" w:color="auto"/>
                  <w:left w:val="single" w:sz="4" w:space="0" w:color="auto"/>
                  <w:bottom w:val="single" w:sz="4" w:space="0" w:color="auto"/>
                  <w:right w:val="single" w:sz="4" w:space="0" w:color="auto"/>
                </w:tcBorders>
                <w:vAlign w:val="center"/>
              </w:tcPr>
              <w:p w14:paraId="18795F2D" w14:textId="07557696" w:rsidR="00080035" w:rsidRPr="00DF04D2" w:rsidRDefault="00080035" w:rsidP="00080035">
                <w:pPr>
                  <w:spacing w:before="60" w:after="60"/>
                  <w:jc w:val="center"/>
                  <w:rPr>
                    <w:b/>
                    <w:bCs/>
                    <w:lang w:val="en-US"/>
                  </w:rPr>
                </w:pPr>
                <w:r w:rsidRPr="00221507">
                  <w:rPr>
                    <w:b/>
                    <w:bCs/>
                    <w:lang w:val="en-US"/>
                  </w:rPr>
                  <w:t>4</w:t>
                </w:r>
              </w:p>
            </w:tc>
          </w:tr>
          <w:tr w:rsidR="00080035" w:rsidRPr="00DF04D2" w14:paraId="15F9C045"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hideMark/>
              </w:tcPr>
              <w:p w14:paraId="1E0EF925" w14:textId="77777777" w:rsidR="00080035" w:rsidRPr="00DF04D2" w:rsidRDefault="00080035" w:rsidP="004A349F">
                <w:pPr>
                  <w:spacing w:before="60" w:after="60"/>
                  <w:rPr>
                    <w:lang w:val="en-US"/>
                  </w:rPr>
                </w:pPr>
                <w:r w:rsidRPr="00DF04D2">
                  <w:rPr>
                    <w:lang w:val="en-US"/>
                  </w:rPr>
                  <w:t>Seafood producers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F78BD0F" w14:textId="6C55C18D" w:rsidR="00080035" w:rsidRPr="00DF04D2" w:rsidRDefault="00CC4FCE" w:rsidP="004A349F">
                <w:pPr>
                  <w:spacing w:before="60" w:after="60"/>
                  <w:jc w:val="center"/>
                  <w:rPr>
                    <w:b/>
                    <w:bCs/>
                    <w:lang w:val="en-US"/>
                  </w:rPr>
                </w:pPr>
                <w:r>
                  <w:rPr>
                    <w:b/>
                    <w:bCs/>
                    <w:lang w:val="en-US"/>
                  </w:rPr>
                  <w:t>14</w:t>
                </w:r>
              </w:p>
            </w:tc>
          </w:tr>
          <w:tr w:rsidR="00080035" w14:paraId="25C96193"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hideMark/>
              </w:tcPr>
              <w:p w14:paraId="2951C60C" w14:textId="77777777" w:rsidR="00080035" w:rsidRDefault="00080035" w:rsidP="004A349F">
                <w:pPr>
                  <w:spacing w:before="60" w:after="60"/>
                  <w:rPr>
                    <w:lang w:val="en-US"/>
                  </w:rPr>
                </w:pPr>
                <w:r>
                  <w:rPr>
                    <w:lang w:val="en-US"/>
                  </w:rPr>
                  <w:t>Seafood producer groups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1278FEE" w14:textId="5B213A0F" w:rsidR="00080035" w:rsidRDefault="00CC4FCE" w:rsidP="004A349F">
                <w:pPr>
                  <w:spacing w:before="60" w:after="60"/>
                  <w:jc w:val="center"/>
                  <w:rPr>
                    <w:b/>
                    <w:bCs/>
                    <w:lang w:val="en-US"/>
                  </w:rPr>
                </w:pPr>
                <w:r>
                  <w:rPr>
                    <w:b/>
                    <w:bCs/>
                    <w:lang w:val="en-US"/>
                  </w:rPr>
                  <w:t>8</w:t>
                </w:r>
              </w:p>
            </w:tc>
          </w:tr>
          <w:tr w:rsidR="00080035" w14:paraId="2C54DD4E"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hideMark/>
              </w:tcPr>
              <w:p w14:paraId="39B0FC26" w14:textId="77777777" w:rsidR="00080035" w:rsidRDefault="00080035" w:rsidP="004A349F">
                <w:pPr>
                  <w:spacing w:before="60" w:after="60"/>
                  <w:rPr>
                    <w:lang w:val="en-US"/>
                  </w:rPr>
                </w:pPr>
                <w:r>
                  <w:rPr>
                    <w:lang w:val="en-US"/>
                  </w:rPr>
                  <w:t>Seafood importers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5C61D0A" w14:textId="241D0CF8" w:rsidR="00080035" w:rsidRDefault="00CC4FCE" w:rsidP="004A349F">
                <w:pPr>
                  <w:spacing w:before="60" w:after="60"/>
                  <w:jc w:val="center"/>
                  <w:rPr>
                    <w:b/>
                    <w:bCs/>
                    <w:lang w:val="en-US"/>
                  </w:rPr>
                </w:pPr>
                <w:r>
                  <w:rPr>
                    <w:b/>
                    <w:bCs/>
                    <w:lang w:val="en-US"/>
                  </w:rPr>
                  <w:t>0</w:t>
                </w:r>
              </w:p>
            </w:tc>
          </w:tr>
          <w:tr w:rsidR="00080035" w14:paraId="76ED91F8"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hideMark/>
              </w:tcPr>
              <w:p w14:paraId="4EBAB68D" w14:textId="77777777" w:rsidR="00080035" w:rsidRDefault="00080035" w:rsidP="004A349F">
                <w:pPr>
                  <w:spacing w:before="60" w:after="60"/>
                  <w:rPr>
                    <w:lang w:val="en-US"/>
                  </w:rPr>
                </w:pPr>
                <w:r>
                  <w:rPr>
                    <w:lang w:val="en-US"/>
                  </w:rPr>
                  <w:t>Seafood importer groups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BFA286B" w14:textId="77777777" w:rsidR="00080035" w:rsidRDefault="00080035" w:rsidP="004A349F">
                <w:pPr>
                  <w:spacing w:before="60" w:after="60"/>
                  <w:jc w:val="center"/>
                  <w:rPr>
                    <w:b/>
                    <w:bCs/>
                    <w:lang w:val="en-US"/>
                  </w:rPr>
                </w:pPr>
                <w:r>
                  <w:rPr>
                    <w:b/>
                    <w:bCs/>
                    <w:lang w:val="en-US"/>
                  </w:rPr>
                  <w:t>1</w:t>
                </w:r>
              </w:p>
            </w:tc>
          </w:tr>
          <w:tr w:rsidR="00080035" w:rsidRPr="00221507" w14:paraId="637D97D0"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hideMark/>
              </w:tcPr>
              <w:p w14:paraId="47E9261B" w14:textId="77777777" w:rsidR="00080035" w:rsidRPr="00221507" w:rsidRDefault="00080035" w:rsidP="004A349F">
                <w:pPr>
                  <w:spacing w:before="60" w:after="60"/>
                  <w:rPr>
                    <w:lang w:val="en-US"/>
                  </w:rPr>
                </w:pPr>
                <w:r w:rsidRPr="00221507">
                  <w:rPr>
                    <w:lang w:val="en-US"/>
                  </w:rPr>
                  <w:t>Government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667B452" w14:textId="425F9D26" w:rsidR="00080035" w:rsidRPr="00221507" w:rsidRDefault="00CC4FCE" w:rsidP="004A349F">
                <w:pPr>
                  <w:spacing w:before="60" w:after="60"/>
                  <w:jc w:val="center"/>
                  <w:rPr>
                    <w:b/>
                    <w:bCs/>
                    <w:lang w:val="en-US"/>
                  </w:rPr>
                </w:pPr>
                <w:r>
                  <w:rPr>
                    <w:b/>
                    <w:bCs/>
                    <w:lang w:val="en-US"/>
                  </w:rPr>
                  <w:t>3</w:t>
                </w:r>
              </w:p>
            </w:tc>
          </w:tr>
          <w:tr w:rsidR="00080035" w:rsidRPr="00221507" w14:paraId="77AD558A"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hideMark/>
              </w:tcPr>
              <w:p w14:paraId="6435E139" w14:textId="77777777" w:rsidR="00080035" w:rsidRPr="00221507" w:rsidRDefault="00080035" w:rsidP="004A349F">
                <w:pPr>
                  <w:spacing w:before="60" w:after="60"/>
                  <w:rPr>
                    <w:lang w:val="en-US"/>
                  </w:rPr>
                </w:pPr>
                <w:r w:rsidRPr="00221507">
                  <w:rPr>
                    <w:lang w:val="en-US"/>
                  </w:rPr>
                  <w:t>Other</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20E3FAC" w14:textId="7D1E9677" w:rsidR="00080035" w:rsidRPr="00221507" w:rsidRDefault="00CC4FCE" w:rsidP="004A349F">
                <w:pPr>
                  <w:spacing w:before="60" w:after="60"/>
                  <w:jc w:val="center"/>
                  <w:rPr>
                    <w:b/>
                    <w:bCs/>
                    <w:lang w:val="en-US"/>
                  </w:rPr>
                </w:pPr>
                <w:r>
                  <w:rPr>
                    <w:b/>
                    <w:bCs/>
                    <w:lang w:val="en-US"/>
                  </w:rPr>
                  <w:t>3</w:t>
                </w:r>
              </w:p>
            </w:tc>
          </w:tr>
          <w:tr w:rsidR="00080035" w:rsidRPr="00221507" w14:paraId="00E1B0A2" w14:textId="77777777" w:rsidTr="004A349F">
            <w:trPr>
              <w:jc w:val="center"/>
            </w:trPr>
            <w:tc>
              <w:tcPr>
                <w:tcW w:w="3433" w:type="dxa"/>
                <w:tcBorders>
                  <w:top w:val="single" w:sz="4" w:space="0" w:color="auto"/>
                  <w:left w:val="single" w:sz="4" w:space="0" w:color="auto"/>
                  <w:bottom w:val="single" w:sz="4" w:space="0" w:color="auto"/>
                  <w:right w:val="single" w:sz="4" w:space="0" w:color="auto"/>
                </w:tcBorders>
                <w:hideMark/>
              </w:tcPr>
              <w:p w14:paraId="4FB787D8" w14:textId="77777777" w:rsidR="00080035" w:rsidRPr="00221507" w:rsidRDefault="00080035" w:rsidP="004A349F">
                <w:pPr>
                  <w:spacing w:before="60" w:after="60"/>
                  <w:jc w:val="right"/>
                  <w:rPr>
                    <w:b/>
                    <w:bCs/>
                    <w:lang w:val="en-US"/>
                  </w:rPr>
                </w:pPr>
                <w:r w:rsidRPr="00221507">
                  <w:rPr>
                    <w:b/>
                    <w:bCs/>
                    <w:lang w:val="en-US"/>
                  </w:rPr>
                  <w:t>TOTAL</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EE34BD9" w14:textId="644CC4E3" w:rsidR="00080035" w:rsidRPr="00221507" w:rsidRDefault="00CC4FCE" w:rsidP="004A349F">
                <w:pPr>
                  <w:spacing w:before="60" w:after="60"/>
                  <w:jc w:val="center"/>
                  <w:rPr>
                    <w:b/>
                    <w:bCs/>
                    <w:lang w:val="en-US"/>
                  </w:rPr>
                </w:pPr>
                <w:r>
                  <w:rPr>
                    <w:b/>
                    <w:bCs/>
                    <w:lang w:val="en-US"/>
                  </w:rPr>
                  <w:t>59</w:t>
                </w:r>
              </w:p>
            </w:tc>
          </w:tr>
        </w:tbl>
        <w:p w14:paraId="3D562639" w14:textId="77777777" w:rsidR="00080035" w:rsidRDefault="00080035" w:rsidP="0063330A"/>
        <w:p w14:paraId="38019689" w14:textId="715C191F" w:rsidR="00DE7BB3" w:rsidRDefault="00CC4FCE" w:rsidP="00DE7BB3">
          <w:r>
            <w:t xml:space="preserve">In the time the consultation RIS was open for consultation, the department also received </w:t>
          </w:r>
          <w:r w:rsidRPr="00D224E2">
            <w:t>3</w:t>
          </w:r>
          <w:r w:rsidR="00CF114B">
            <w:t>,</w:t>
          </w:r>
          <w:r w:rsidRPr="00D224E2">
            <w:t>37</w:t>
          </w:r>
          <w:r w:rsidR="001B58AF">
            <w:t>8</w:t>
          </w:r>
          <w:r>
            <w:t xml:space="preserve"> email submissions in response to the AMCS ‘We need adequate seafood labelling’ campaign</w:t>
          </w:r>
          <w:r w:rsidR="006252A2">
            <w:t>,</w:t>
          </w:r>
          <w:r w:rsidR="001B58AF">
            <w:t xml:space="preserve"> which buil</w:t>
          </w:r>
          <w:r w:rsidR="006252A2">
            <w:t>t</w:t>
          </w:r>
          <w:r w:rsidR="001B58AF">
            <w:t xml:space="preserve"> on the organisation’s earlier campaign </w:t>
          </w:r>
          <w:r w:rsidR="006252A2">
            <w:t xml:space="preserve">and </w:t>
          </w:r>
          <w:r w:rsidR="001B58AF">
            <w:t>call</w:t>
          </w:r>
          <w:r w:rsidR="006252A2">
            <w:t>ed</w:t>
          </w:r>
          <w:r w:rsidR="001B58AF">
            <w:t xml:space="preserve"> for </w:t>
          </w:r>
          <w:r w:rsidR="006252A2">
            <w:t>labelling to include seafood</w:t>
          </w:r>
          <w:r w:rsidR="001B58AF" w:rsidRPr="001B58AF">
            <w:t xml:space="preserve"> species, where and how it was caught or farmed, and by</w:t>
          </w:r>
          <w:r w:rsidR="006252A2">
            <w:t xml:space="preserve"> whom</w:t>
          </w:r>
          <w:r>
            <w:t>.</w:t>
          </w:r>
        </w:p>
        <w:p w14:paraId="2EF633AC" w14:textId="5266A71A" w:rsidR="00492D66" w:rsidRDefault="00492D66" w:rsidP="00492D66">
          <w:r>
            <w:t xml:space="preserve">The consultation RIS was also provided to </w:t>
          </w:r>
          <w:r w:rsidR="00CE1CBB">
            <w:t>WTO</w:t>
          </w:r>
          <w:r>
            <w:t xml:space="preserve"> partners </w:t>
          </w:r>
          <w:r w:rsidR="00CE1CBB">
            <w:t xml:space="preserve">via </w:t>
          </w:r>
          <w:r>
            <w:t xml:space="preserve">DFAT as an update to the earlier notification of a potential regulatory change. Trading partners were also provided the opportunity to comment from 3 July to 3 August 2023, but no responses were received. </w:t>
          </w:r>
        </w:p>
        <w:p w14:paraId="46B062B4" w14:textId="682B5B0F" w:rsidR="00FA0AE7" w:rsidRDefault="00FA0AE7" w:rsidP="00492D66">
          <w:pPr>
            <w:pStyle w:val="Heading3"/>
          </w:pPr>
          <w:r>
            <w:lastRenderedPageBreak/>
            <w:t>CBA</w:t>
          </w:r>
        </w:p>
        <w:p w14:paraId="7953B688" w14:textId="446C90D6" w:rsidR="002D3BBE" w:rsidRDefault="00492D66" w:rsidP="00875EC1">
          <w:r>
            <w:t>Consultation was undertaken to collect quantitative and qualitative data to underpin the CBA</w:t>
          </w:r>
          <w:r w:rsidR="00CC4FCE">
            <w:t xml:space="preserve"> in June and July 2023</w:t>
          </w:r>
          <w:r>
            <w:t>. This included</w:t>
          </w:r>
          <w:r w:rsidR="002D3BBE">
            <w:t xml:space="preserve"> surveys which were distributed to consumers and businesses, a series of consumer focus groups, and direct stakeholder engagements with industry representatives. The consumer survey received 754 responses, the business survey received 364 responses, 40 consumers participated in the focus groups.</w:t>
          </w:r>
        </w:p>
        <w:p w14:paraId="78E455B9" w14:textId="0FF83C88" w:rsidR="00FA0AE7" w:rsidRDefault="00FA0AE7" w:rsidP="00476C72">
          <w:pPr>
            <w:pStyle w:val="Heading3"/>
          </w:pPr>
          <w:r>
            <w:t>Direct and informal engagement</w:t>
          </w:r>
        </w:p>
        <w:p w14:paraId="2790CC2C" w14:textId="4478B747" w:rsidR="00C87D87" w:rsidRPr="00476C72" w:rsidRDefault="00492D66" w:rsidP="00875EC1">
          <w:pPr>
            <w:pStyle w:val="BulletedListlvl1"/>
            <w:numPr>
              <w:ilvl w:val="0"/>
              <w:numId w:val="0"/>
            </w:numPr>
            <w:spacing w:after="160"/>
            <w:rPr>
              <w:sz w:val="22"/>
              <w:szCs w:val="22"/>
            </w:rPr>
          </w:pPr>
          <w:r>
            <w:rPr>
              <w:sz w:val="22"/>
              <w:szCs w:val="22"/>
            </w:rPr>
            <w:t xml:space="preserve">The department has had </w:t>
          </w:r>
          <w:r w:rsidR="00B60A1E">
            <w:rPr>
              <w:sz w:val="22"/>
              <w:szCs w:val="22"/>
            </w:rPr>
            <w:t xml:space="preserve">ongoing </w:t>
          </w:r>
          <w:r w:rsidR="00C87D87" w:rsidRPr="00476C72">
            <w:rPr>
              <w:sz w:val="22"/>
              <w:szCs w:val="22"/>
            </w:rPr>
            <w:t xml:space="preserve">direct engagement </w:t>
          </w:r>
          <w:r>
            <w:rPr>
              <w:sz w:val="22"/>
              <w:szCs w:val="22"/>
            </w:rPr>
            <w:t>with</w:t>
          </w:r>
          <w:r w:rsidR="00D925C3" w:rsidRPr="00476C72">
            <w:rPr>
              <w:sz w:val="22"/>
              <w:szCs w:val="22"/>
            </w:rPr>
            <w:t xml:space="preserve"> </w:t>
          </w:r>
          <w:r w:rsidR="00C87D87" w:rsidRPr="00476C72">
            <w:rPr>
              <w:sz w:val="22"/>
              <w:szCs w:val="22"/>
            </w:rPr>
            <w:t>key stakeholder from the hospitality and seafood sectors</w:t>
          </w:r>
          <w:r w:rsidR="00D925C3" w:rsidRPr="00476C72">
            <w:rPr>
              <w:sz w:val="22"/>
              <w:szCs w:val="22"/>
            </w:rPr>
            <w:t>, and Commonwealth, state</w:t>
          </w:r>
          <w:r w:rsidR="00D925C3">
            <w:rPr>
              <w:sz w:val="22"/>
              <w:szCs w:val="22"/>
            </w:rPr>
            <w:t>,</w:t>
          </w:r>
          <w:r w:rsidR="00D925C3" w:rsidRPr="00476C72">
            <w:rPr>
              <w:sz w:val="22"/>
              <w:szCs w:val="22"/>
            </w:rPr>
            <w:t xml:space="preserve"> and territory government agencies</w:t>
          </w:r>
          <w:r>
            <w:rPr>
              <w:sz w:val="22"/>
              <w:szCs w:val="22"/>
            </w:rPr>
            <w:t>, over 2022 and 2023</w:t>
          </w:r>
          <w:r w:rsidR="00C87D87" w:rsidRPr="00476C72">
            <w:rPr>
              <w:sz w:val="22"/>
              <w:szCs w:val="22"/>
            </w:rPr>
            <w:t>.</w:t>
          </w:r>
        </w:p>
        <w:p w14:paraId="7D3A2A56" w14:textId="349D5567" w:rsidR="00FA0AE7" w:rsidRPr="00331076" w:rsidRDefault="00FA0AE7" w:rsidP="00073493">
          <w:pPr>
            <w:pStyle w:val="Heading2"/>
            <w:numPr>
              <w:ilvl w:val="1"/>
              <w:numId w:val="15"/>
            </w:numPr>
          </w:pPr>
          <w:bookmarkStart w:id="170" w:name="_Toc151719084"/>
          <w:r w:rsidRPr="00A2477A">
            <w:t xml:space="preserve">Stakeholder </w:t>
          </w:r>
          <w:r w:rsidR="00BB28AB">
            <w:t>feedback</w:t>
          </w:r>
          <w:bookmarkEnd w:id="170"/>
        </w:p>
        <w:p w14:paraId="7FAE1E94" w14:textId="1050A790" w:rsidR="00FA0AE7" w:rsidRPr="00A2477A" w:rsidRDefault="00FA0AE7" w:rsidP="00A2477A">
          <w:pPr>
            <w:pStyle w:val="Heading3"/>
            <w:rPr>
              <w:rFonts w:eastAsia="Calibri"/>
            </w:rPr>
          </w:pPr>
          <w:r w:rsidRPr="00A2477A">
            <w:t>Consumers and consumer groups</w:t>
          </w:r>
        </w:p>
        <w:p w14:paraId="47312A61" w14:textId="661BF230" w:rsidR="00A66D1C" w:rsidRPr="00A66D1C" w:rsidRDefault="00A66D1C">
          <w:r>
            <w:t xml:space="preserve">Feedback from consumers and consumer groups is </w:t>
          </w:r>
          <w:r w:rsidRPr="00A66D1C">
            <w:t>overwhelmingly in</w:t>
          </w:r>
          <w:r>
            <w:t xml:space="preserve"> favour of seafood origin labelling (over 99% of </w:t>
          </w:r>
          <w:r w:rsidR="00A2477A">
            <w:t xml:space="preserve">consumer </w:t>
          </w:r>
          <w:r>
            <w:t>respon</w:t>
          </w:r>
          <w:r w:rsidR="00A2477A">
            <w:t>dents</w:t>
          </w:r>
          <w:r>
            <w:t>).</w:t>
          </w:r>
          <w:r w:rsidRPr="00A66D1C">
            <w:t xml:space="preserve"> </w:t>
          </w:r>
          <w:r>
            <w:t>Consumers especially want to know if the seafood they are consuming is Australian</w:t>
          </w:r>
          <w:r w:rsidRPr="00A66D1C">
            <w:t>.</w:t>
          </w:r>
        </w:p>
        <w:p w14:paraId="4E206C47" w14:textId="1858A707" w:rsidR="00BA6977" w:rsidRDefault="00875EC1" w:rsidP="00A2477A">
          <w:pPr>
            <w:pStyle w:val="Quote"/>
          </w:pPr>
          <w:r>
            <w:t>‘</w:t>
          </w:r>
          <w:r w:rsidR="00E16923" w:rsidRPr="00E16923">
            <w:t>As a consumer I wish to know the origin of any seafood products being sold to me either in restaurants or retail outlets</w:t>
          </w:r>
          <w:r w:rsidR="00573024">
            <w:t>.</w:t>
          </w:r>
          <w:r>
            <w:t>’</w:t>
          </w:r>
        </w:p>
        <w:p w14:paraId="44339C9C" w14:textId="5926FBA5" w:rsidR="00A66D1C" w:rsidRPr="00A66D1C" w:rsidRDefault="00A66D1C">
          <w:r w:rsidRPr="00A66D1C">
            <w:t>The Consumer</w:t>
          </w:r>
          <w:r w:rsidR="00F86863">
            <w:t>s’</w:t>
          </w:r>
          <w:r w:rsidRPr="00A66D1C">
            <w:t xml:space="preserve"> Federation Australia (CFA) prefer the </w:t>
          </w:r>
          <w:r>
            <w:t>C</w:t>
          </w:r>
          <w:r w:rsidRPr="00A66D1C">
            <w:t>ountry model (Option 3)</w:t>
          </w:r>
          <w:r>
            <w:t xml:space="preserve">, believing the </w:t>
          </w:r>
          <w:r w:rsidRPr="00A66D1C">
            <w:t>benefit of this model would be significant compared to the AIM model</w:t>
          </w:r>
          <w:r>
            <w:t>.</w:t>
          </w:r>
          <w:r w:rsidRPr="00A66D1C">
            <w:t xml:space="preserve"> CFA</w:t>
          </w:r>
          <w:r>
            <w:t xml:space="preserve"> also feels that</w:t>
          </w:r>
          <w:r w:rsidRPr="00A66D1C">
            <w:t xml:space="preserve"> consistency between </w:t>
          </w:r>
          <w:r w:rsidR="0039667A">
            <w:t>s</w:t>
          </w:r>
          <w:r w:rsidRPr="00A66D1C">
            <w:t>eafood CoOL and CoOL for Food will improve consumer awareness, understanding, and trust in the information and prevent confusion for businesses that operate in both retail and hospitality</w:t>
          </w:r>
          <w:r>
            <w:t xml:space="preserve"> settings</w:t>
          </w:r>
          <w:r w:rsidRPr="00A66D1C">
            <w:t>.</w:t>
          </w:r>
        </w:p>
        <w:p w14:paraId="0FCC7C1E" w14:textId="6ACCFDE3" w:rsidR="00FA0AE7" w:rsidRDefault="00A66D1C" w:rsidP="00A2477A">
          <w:pPr>
            <w:rPr>
              <w:highlight w:val="yellow"/>
            </w:rPr>
          </w:pPr>
          <w:r>
            <w:t>In response to the discussion paper</w:t>
          </w:r>
          <w:r w:rsidR="005B743D">
            <w:t>—</w:t>
          </w:r>
          <w:r>
            <w:t>which suggested that</w:t>
          </w:r>
          <w:r w:rsidR="00DF55E4">
            <w:t xml:space="preserve"> the</w:t>
          </w:r>
          <w:r>
            <w:t xml:space="preserve"> </w:t>
          </w:r>
          <w:r w:rsidRPr="00A66D1C">
            <w:t>“</w:t>
          </w:r>
          <w:proofErr w:type="spellStart"/>
          <w:r w:rsidR="005B743D">
            <w:t>i</w:t>
          </w:r>
          <w:proofErr w:type="spellEnd"/>
          <w:r w:rsidRPr="00A66D1C">
            <w:t xml:space="preserve">” in AIM </w:t>
          </w:r>
          <w:r w:rsidR="005B743D">
            <w:t xml:space="preserve">could represent “imported” or “international”—consumers responded that </w:t>
          </w:r>
          <w:r w:rsidRPr="00A66D1C">
            <w:t>“</w:t>
          </w:r>
          <w:r w:rsidR="005B743D">
            <w:t>i</w:t>
          </w:r>
          <w:r w:rsidRPr="00A66D1C">
            <w:t xml:space="preserve">nternational” </w:t>
          </w:r>
          <w:r w:rsidR="005B743D">
            <w:t xml:space="preserve">could be confusing and expressed a preference for “imported”. This feedback was taken onboard, and the term “imported” was adopted moving forward. </w:t>
          </w:r>
        </w:p>
        <w:p w14:paraId="41CC5502" w14:textId="07CDBDB2" w:rsidR="00FA0AE7" w:rsidRPr="00A2477A" w:rsidRDefault="005B743D" w:rsidP="00A2477A">
          <w:pPr>
            <w:pStyle w:val="Heading3"/>
            <w:rPr>
              <w:rFonts w:eastAsia="Calibri"/>
            </w:rPr>
          </w:pPr>
          <w:r w:rsidRPr="00A2477A">
            <w:rPr>
              <w:rFonts w:eastAsia="Calibri"/>
            </w:rPr>
            <w:t>Hospitality businesses and industry groups</w:t>
          </w:r>
        </w:p>
        <w:p w14:paraId="313F8FA4" w14:textId="2BC666DB" w:rsidR="0019439B" w:rsidRDefault="0019439B" w:rsidP="005B743D">
          <w:r>
            <w:t>F</w:t>
          </w:r>
          <w:r w:rsidR="005B743D" w:rsidRPr="005B743D">
            <w:t xml:space="preserve">eedback from the hospitality </w:t>
          </w:r>
          <w:r>
            <w:t>sector</w:t>
          </w:r>
          <w:r w:rsidR="005B743D" w:rsidRPr="005B743D">
            <w:t xml:space="preserve"> </w:t>
          </w:r>
          <w:r w:rsidR="003542DD">
            <w:t xml:space="preserve">in response to seafood CoOL </w:t>
          </w:r>
          <w:r w:rsidR="005B743D" w:rsidRPr="005B743D">
            <w:t>was mixed. Some industry stakeholders were very supportive</w:t>
          </w:r>
          <w:r>
            <w:t>,</w:t>
          </w:r>
          <w:r w:rsidR="005B743D" w:rsidRPr="005B743D">
            <w:t xml:space="preserve"> especially business already </w:t>
          </w:r>
          <w:r>
            <w:t>providing</w:t>
          </w:r>
          <w:r w:rsidR="005B743D" w:rsidRPr="005B743D">
            <w:t xml:space="preserve"> </w:t>
          </w:r>
          <w:r w:rsidR="0039667A">
            <w:t>s</w:t>
          </w:r>
          <w:r w:rsidR="005B743D" w:rsidRPr="005B743D">
            <w:t xml:space="preserve">eafood CoOL information to their patrons. </w:t>
          </w:r>
        </w:p>
        <w:p w14:paraId="0EA0E575" w14:textId="4B69DE02" w:rsidR="00907D7C" w:rsidRPr="00907D7C" w:rsidRDefault="00907D7C" w:rsidP="00907D7C">
          <w:pPr>
            <w:pStyle w:val="Quote"/>
          </w:pPr>
          <w:r>
            <w:t>’</w:t>
          </w:r>
          <w:r w:rsidRPr="00907D7C">
            <w:t>We don't have a problem with disclosing where our seafood products are from</w:t>
          </w:r>
          <w:r w:rsidR="00573024">
            <w:t>.</w:t>
          </w:r>
          <w:r>
            <w:t>’</w:t>
          </w:r>
        </w:p>
        <w:p w14:paraId="38F06FE1" w14:textId="4E704162" w:rsidR="005B743D" w:rsidRPr="005B743D" w:rsidRDefault="005B743D" w:rsidP="005B743D">
          <w:r w:rsidRPr="005B743D">
            <w:t>Hospitality industry peak bodies</w:t>
          </w:r>
          <w:r w:rsidR="00112594">
            <w:t xml:space="preserve"> consulted</w:t>
          </w:r>
          <w:r w:rsidR="00573024">
            <w:t xml:space="preserve"> include</w:t>
          </w:r>
          <w:r w:rsidRPr="005B743D">
            <w:t xml:space="preserve"> the Australian Hotels Association, Clubs Australia, the National Retail Association and the Restaurant and Catering </w:t>
          </w:r>
          <w:r w:rsidR="005F64C1">
            <w:t xml:space="preserve">Industry </w:t>
          </w:r>
          <w:r w:rsidRPr="005B743D">
            <w:t>Association of Australia</w:t>
          </w:r>
          <w:r w:rsidR="00573024">
            <w:t>. If support</w:t>
          </w:r>
          <w:r w:rsidR="006C5B09">
            <w:t>ive</w:t>
          </w:r>
          <w:r w:rsidR="00573024">
            <w:t xml:space="preserve"> of seafood CoOL, they provided </w:t>
          </w:r>
          <w:r w:rsidRPr="005B743D">
            <w:t xml:space="preserve">heavy qualifications. </w:t>
          </w:r>
          <w:r w:rsidRPr="00163DE0">
            <w:t xml:space="preserve">Mostly they were unsupportive of </w:t>
          </w:r>
          <w:r w:rsidR="00982105" w:rsidRPr="00A2477A">
            <w:t xml:space="preserve">any </w:t>
          </w:r>
          <w:r w:rsidR="00E56AE2" w:rsidRPr="00A2477A">
            <w:t xml:space="preserve">labelling </w:t>
          </w:r>
          <w:r w:rsidR="00982105" w:rsidRPr="00A2477A">
            <w:t>change</w:t>
          </w:r>
          <w:r w:rsidR="00573024">
            <w:t xml:space="preserve"> however, </w:t>
          </w:r>
          <w:r w:rsidR="006C5B09">
            <w:t xml:space="preserve">but </w:t>
          </w:r>
          <w:r w:rsidR="00982105" w:rsidRPr="00A2477A">
            <w:t>if change w</w:t>
          </w:r>
          <w:r w:rsidR="00E56AE2" w:rsidRPr="00A2477A">
            <w:t>ere</w:t>
          </w:r>
          <w:r w:rsidR="00982105" w:rsidRPr="00A2477A">
            <w:t xml:space="preserve"> to happen then </w:t>
          </w:r>
          <w:r w:rsidRPr="00163DE0">
            <w:t xml:space="preserve">the AIM </w:t>
          </w:r>
          <w:r w:rsidR="00D96C62">
            <w:t>m</w:t>
          </w:r>
          <w:r w:rsidRPr="00163DE0">
            <w:t>odel</w:t>
          </w:r>
          <w:r w:rsidR="00982105">
            <w:t xml:space="preserve"> was preferred</w:t>
          </w:r>
          <w:r w:rsidRPr="005B743D">
            <w:t xml:space="preserve">.  </w:t>
          </w:r>
          <w:r w:rsidRPr="005B743D">
            <w:tab/>
          </w:r>
        </w:p>
        <w:p w14:paraId="550C7B22" w14:textId="1D632A84" w:rsidR="00907D7C" w:rsidRDefault="00573024" w:rsidP="00C921B2">
          <w:pPr>
            <w:pStyle w:val="IntenseQuote"/>
            <w:spacing w:after="120"/>
            <w:ind w:left="862" w:right="862"/>
            <w:contextualSpacing/>
          </w:pPr>
          <w:r>
            <w:lastRenderedPageBreak/>
            <w:t>‘</w:t>
          </w:r>
          <w:r w:rsidR="00907D7C" w:rsidRPr="00907D7C">
            <w:t>In line with Clubs Australia’s submission to the initial consultation, we support the first of the three options outlined the RIS; maintaining the status quo. Alternatively, Clubs Australia supports Option 2 (AIM Model) over Option 3 (Country Model).</w:t>
          </w:r>
          <w:r>
            <w:t>’</w:t>
          </w:r>
        </w:p>
        <w:p w14:paraId="6F1A51E2" w14:textId="77AB35AE" w:rsidR="00DF55E4" w:rsidRPr="00573024" w:rsidRDefault="00573024" w:rsidP="001624DD">
          <w:pPr>
            <w:pStyle w:val="IntenseQuote"/>
            <w:spacing w:after="0"/>
            <w:ind w:left="862" w:right="862"/>
            <w:contextualSpacing/>
          </w:pPr>
          <w:r w:rsidRPr="00861DB9">
            <w:t>—</w:t>
          </w:r>
          <w:r>
            <w:t xml:space="preserve"> Clubs Australia</w:t>
          </w:r>
        </w:p>
        <w:p w14:paraId="7AE3CCF2" w14:textId="77777777" w:rsidR="00DF55E4" w:rsidRDefault="00DF55E4" w:rsidP="00DF55E4">
          <w:pPr>
            <w:spacing w:after="0"/>
          </w:pPr>
        </w:p>
        <w:p w14:paraId="44E5DFA3" w14:textId="55AA21E9" w:rsidR="00573024" w:rsidRDefault="00573024" w:rsidP="001624DD">
          <w:pPr>
            <w:spacing w:after="0"/>
          </w:pPr>
          <w:r w:rsidRPr="00A2477A">
            <w:t>Feedback from the hospitality sector</w:t>
          </w:r>
          <w:r>
            <w:t xml:space="preserve"> has informed the proposed transition period for introducing seafood CoOL, as well as the form and content of the education materials and communication strategy.</w:t>
          </w:r>
          <w:r w:rsidRPr="00A2477A">
            <w:t xml:space="preserve"> </w:t>
          </w:r>
        </w:p>
        <w:p w14:paraId="4E7EB932" w14:textId="39643046" w:rsidR="00D925C3" w:rsidRDefault="00D925C3" w:rsidP="00A2477A">
          <w:pPr>
            <w:pStyle w:val="Heading3"/>
            <w:rPr>
              <w:rFonts w:eastAsia="Calibri"/>
            </w:rPr>
          </w:pPr>
          <w:r>
            <w:rPr>
              <w:rFonts w:eastAsia="Calibri"/>
            </w:rPr>
            <w:t>Seafood producers, importers</w:t>
          </w:r>
          <w:r w:rsidR="00FD6844">
            <w:rPr>
              <w:rFonts w:eastAsia="Calibri"/>
            </w:rPr>
            <w:t>,</w:t>
          </w:r>
          <w:r>
            <w:rPr>
              <w:rFonts w:eastAsia="Calibri"/>
            </w:rPr>
            <w:t xml:space="preserve"> and industry groups</w:t>
          </w:r>
        </w:p>
        <w:p w14:paraId="1B52AA2B" w14:textId="666C4397" w:rsidR="00F723A9" w:rsidRDefault="00F723A9" w:rsidP="00F723A9">
          <w:r>
            <w:t>A diverse range of stakeholders make up the seafood industry, including fisher</w:t>
          </w:r>
          <w:r w:rsidR="00182C9F">
            <w:t>s</w:t>
          </w:r>
          <w:r>
            <w:t xml:space="preserve">, farmers, </w:t>
          </w:r>
          <w:r w:rsidR="00FD6844">
            <w:t>importers,</w:t>
          </w:r>
          <w:r>
            <w:t xml:space="preserve"> and merchants. Stakeholders from this group include the Tasmanian Seafood Industry Council, Australian Barramundi Farmers Association, The Master Fish Merchants' Association of Australia, Sydney Fish Market, WA Fishing Industry Council, Seafood Industry Australia, NSW Seafood Industry Council, Australian Council of Prawn Fisheries, Northern Seafoods, and Falcon Fishing Company. </w:t>
          </w:r>
        </w:p>
        <w:p w14:paraId="4BD88579" w14:textId="0640EBF7" w:rsidR="008E7E34" w:rsidRPr="00573024" w:rsidRDefault="00573024" w:rsidP="00C921B2">
          <w:pPr>
            <w:pStyle w:val="Quote"/>
          </w:pPr>
          <w:r>
            <w:t>‘</w:t>
          </w:r>
          <w:r w:rsidR="008E7E34" w:rsidRPr="00573024">
            <w:t>All seafood should have country of origin labelled on the display when purchasing of product in all outlets (grocery store, fish and chip shops, retail outlets, ETC), this is so people know where the seafood is coming from.</w:t>
          </w:r>
          <w:r>
            <w:t>’ – Seafood producer</w:t>
          </w:r>
        </w:p>
        <w:p w14:paraId="20E6BF90" w14:textId="2AF64088" w:rsidR="00D94CE7" w:rsidRDefault="00F723A9" w:rsidP="00F723A9">
          <w:r>
            <w:t xml:space="preserve">The </w:t>
          </w:r>
          <w:r w:rsidR="00FD6844">
            <w:t xml:space="preserve">Australian </w:t>
          </w:r>
          <w:r>
            <w:t>seafood industry has been</w:t>
          </w:r>
          <w:r w:rsidR="00D94CE7">
            <w:t xml:space="preserve"> advocating for </w:t>
          </w:r>
          <w:r w:rsidR="0039667A">
            <w:t>s</w:t>
          </w:r>
          <w:r w:rsidR="00D94CE7">
            <w:t>eafood CoOL for many years and is</w:t>
          </w:r>
          <w:r>
            <w:t xml:space="preserve"> overwhelmingly supportive of the AIM model</w:t>
          </w:r>
          <w:r w:rsidR="00D94CE7">
            <w:t xml:space="preserve">. As </w:t>
          </w:r>
          <w:r w:rsidR="00A11AB9">
            <w:t>consumers</w:t>
          </w:r>
          <w:r w:rsidR="00D94CE7">
            <w:t xml:space="preserve"> gain a greater understanding of where their seafood comes from, the industry expects increased demand from the hospitality and food service sector for locally sourced seafood over imports. Seafood importers oppose </w:t>
          </w:r>
          <w:r w:rsidR="0039667A">
            <w:t>s</w:t>
          </w:r>
          <w:r w:rsidR="00D94CE7">
            <w:t xml:space="preserve">eafood CoOL for this </w:t>
          </w:r>
          <w:r w:rsidR="006C5B09">
            <w:t xml:space="preserve">same </w:t>
          </w:r>
          <w:r w:rsidR="00D94CE7">
            <w:t xml:space="preserve">reason, in addition to believing many consumers mistakenly believe imported seafood is low-quality or unsafe. This feedback will inform the content of education materials.  </w:t>
          </w:r>
        </w:p>
        <w:p w14:paraId="0102F60E" w14:textId="07C5EC71" w:rsidR="008D3B06" w:rsidRPr="00573024" w:rsidRDefault="008D3B06" w:rsidP="00573024">
          <w:pPr>
            <w:pStyle w:val="Quote"/>
          </w:pPr>
          <w:r w:rsidRPr="00573024" w:rsidDel="008D3B06">
            <w:t xml:space="preserve"> </w:t>
          </w:r>
          <w:r w:rsidR="00573024" w:rsidRPr="00573024">
            <w:t>‘</w:t>
          </w:r>
          <w:r w:rsidRPr="00573024">
            <w:t>This has been a long time coming. We’re very happy to see it implemented. It will support our business by making others accountable for what they are selling, and it will promote the local seafood industry.</w:t>
          </w:r>
          <w:r w:rsidR="00573024" w:rsidRPr="00573024">
            <w:t>’</w:t>
          </w:r>
          <w:r w:rsidRPr="00573024">
            <w:t xml:space="preserve"> – Tobin Fish Tales, QLD</w:t>
          </w:r>
        </w:p>
        <w:p w14:paraId="08BEF1FA" w14:textId="64B375AC" w:rsidR="00573024" w:rsidRDefault="00573024" w:rsidP="00D94CE7">
          <w:r>
            <w:t>In response to the discussion paper, s</w:t>
          </w:r>
          <w:r w:rsidR="00D94CE7">
            <w:t xml:space="preserve">eafood stakeholders also raised the possible confusion of “imported” or “international” being used interchangeably, and preferred “imported” of the two. </w:t>
          </w:r>
        </w:p>
        <w:p w14:paraId="3ACDD9FB" w14:textId="44167D0B" w:rsidR="00573024" w:rsidRDefault="00573024" w:rsidP="00C921B2">
          <w:pPr>
            <w:pStyle w:val="IntenseQuote"/>
            <w:ind w:left="862" w:right="862"/>
            <w:contextualSpacing/>
          </w:pPr>
          <w:r>
            <w:t>‘</w:t>
          </w:r>
          <w:r w:rsidRPr="00573024">
            <w:t>To avoid confusion and misinterpretation, we believe either the term imported or international must be adopted and the two should not be interchangeable. The preference of NSWSIC is to use the terms, “Australian”, “imported</w:t>
          </w:r>
          <w:r w:rsidR="00DF55E4">
            <w:t>”</w:t>
          </w:r>
          <w:r w:rsidRPr="00573024">
            <w:t xml:space="preserve"> and “mixed origin” as this will be simpler and more readily understood</w:t>
          </w:r>
          <w:r w:rsidR="00384C7E">
            <w:t>.</w:t>
          </w:r>
          <w:r>
            <w:t xml:space="preserve">’ </w:t>
          </w:r>
        </w:p>
        <w:p w14:paraId="7449B4FE" w14:textId="1A07DD9F" w:rsidR="00573024" w:rsidRPr="00573024" w:rsidRDefault="00573024" w:rsidP="00C921B2">
          <w:pPr>
            <w:pStyle w:val="IntenseQuote"/>
            <w:ind w:left="862" w:right="862"/>
            <w:contextualSpacing/>
          </w:pPr>
          <w:r>
            <w:t>– NSW Seafood Industry Council</w:t>
          </w:r>
          <w:r w:rsidRPr="00573024">
            <w:t xml:space="preserve"> </w:t>
          </w:r>
        </w:p>
        <w:p w14:paraId="2CDE5343" w14:textId="1EFB509B" w:rsidR="00D94CE7" w:rsidRDefault="00D94CE7" w:rsidP="00D94CE7">
          <w:r>
            <w:t xml:space="preserve">They also emphasised the importance of </w:t>
          </w:r>
          <w:r w:rsidR="00FD6844">
            <w:t>ensuring a communication strategy that addresses the needs of the full spectrum of hospitality businesses</w:t>
          </w:r>
          <w:r>
            <w:t>.</w:t>
          </w:r>
          <w:r w:rsidR="00FD6844">
            <w:t xml:space="preserve"> The department has taken this feedback onboard and it will be used to inform education and guidance materials. </w:t>
          </w:r>
          <w:r>
            <w:t xml:space="preserve"> </w:t>
          </w:r>
        </w:p>
        <w:p w14:paraId="0DE9406E" w14:textId="77777777" w:rsidR="00D925C3" w:rsidRDefault="00D925C3" w:rsidP="00A2477A">
          <w:pPr>
            <w:pStyle w:val="Heading3"/>
            <w:rPr>
              <w:rFonts w:eastAsia="Calibri"/>
            </w:rPr>
          </w:pPr>
          <w:r>
            <w:rPr>
              <w:rFonts w:eastAsia="Calibri"/>
            </w:rPr>
            <w:lastRenderedPageBreak/>
            <w:t>Government</w:t>
          </w:r>
        </w:p>
        <w:p w14:paraId="6C718CE9" w14:textId="0B6BC64A" w:rsidR="006C5B09" w:rsidRDefault="00FD6844" w:rsidP="00BA2D4A">
          <w:pPr>
            <w:spacing w:line="240" w:lineRule="auto"/>
            <w:contextualSpacing/>
          </w:pPr>
          <w:r>
            <w:t xml:space="preserve">Government submissions varied in </w:t>
          </w:r>
          <w:r w:rsidR="00163DE0">
            <w:t xml:space="preserve">their </w:t>
          </w:r>
          <w:r>
            <w:t xml:space="preserve">support for </w:t>
          </w:r>
          <w:r w:rsidR="0039667A">
            <w:t>s</w:t>
          </w:r>
          <w:r>
            <w:t>eafood CoOL</w:t>
          </w:r>
          <w:r w:rsidR="00163DE0">
            <w:t>,</w:t>
          </w:r>
          <w:r>
            <w:t xml:space="preserve"> from either highly supportive to negative</w:t>
          </w:r>
          <w:r w:rsidR="00163DE0">
            <w:t xml:space="preserve">. This was expected considering </w:t>
          </w:r>
          <w:r w:rsidR="00BA6977">
            <w:t xml:space="preserve">the broad </w:t>
          </w:r>
          <w:r w:rsidR="00163DE0">
            <w:t>spectrum</w:t>
          </w:r>
          <w:r w:rsidR="00BA6977">
            <w:t xml:space="preserve"> of </w:t>
          </w:r>
          <w:r w:rsidR="00885446">
            <w:t xml:space="preserve">stakeholders and priorities </w:t>
          </w:r>
          <w:r w:rsidR="00BA6977">
            <w:t>across government</w:t>
          </w:r>
          <w:r>
            <w:t xml:space="preserve">. </w:t>
          </w:r>
        </w:p>
        <w:p w14:paraId="40A2BEE1" w14:textId="77777777" w:rsidR="002C2F44" w:rsidRDefault="002C2F44" w:rsidP="00BA2D4A">
          <w:pPr>
            <w:spacing w:line="240" w:lineRule="auto"/>
            <w:contextualSpacing/>
          </w:pPr>
        </w:p>
        <w:p w14:paraId="1AADDA64" w14:textId="4190D614" w:rsidR="00035268" w:rsidRDefault="00885446" w:rsidP="0010263F">
          <w:r>
            <w:t xml:space="preserve">Benefits of </w:t>
          </w:r>
          <w:r w:rsidR="0039667A">
            <w:t>s</w:t>
          </w:r>
          <w:r>
            <w:t xml:space="preserve">eafood CoOL </w:t>
          </w:r>
          <w:r w:rsidR="00035268">
            <w:t>highlighted by government stakeholders include:</w:t>
          </w:r>
        </w:p>
        <w:p w14:paraId="7EB9594A" w14:textId="6A13C1B6" w:rsidR="00FD6844" w:rsidRDefault="005F7573" w:rsidP="00A2477A">
          <w:pPr>
            <w:numPr>
              <w:ilvl w:val="0"/>
              <w:numId w:val="1"/>
            </w:numPr>
          </w:pPr>
          <w:r>
            <w:t>t</w:t>
          </w:r>
          <w:r w:rsidR="00FD6844">
            <w:t>ransparency</w:t>
          </w:r>
          <w:r w:rsidR="00035268">
            <w:t>:</w:t>
          </w:r>
          <w:r w:rsidR="00FD6844">
            <w:t xml:space="preserve"> consumers have a right to know exactly where the seafood they are buying comes from</w:t>
          </w:r>
        </w:p>
        <w:p w14:paraId="43315CD8" w14:textId="0A63CA65" w:rsidR="00FD6844" w:rsidRDefault="005F7573" w:rsidP="00A2477A">
          <w:pPr>
            <w:numPr>
              <w:ilvl w:val="0"/>
              <w:numId w:val="1"/>
            </w:numPr>
          </w:pPr>
          <w:r>
            <w:t>t</w:t>
          </w:r>
          <w:r w:rsidR="00FD6844">
            <w:t>raceability</w:t>
          </w:r>
          <w:r w:rsidR="00035268">
            <w:t>:</w:t>
          </w:r>
          <w:r w:rsidR="00FD6844">
            <w:t xml:space="preserve"> traceability of seafood through the supply chain is important for food safety and security</w:t>
          </w:r>
        </w:p>
        <w:p w14:paraId="57C39AA4" w14:textId="31583193" w:rsidR="00FD6844" w:rsidRDefault="005F7573" w:rsidP="00A2477A">
          <w:pPr>
            <w:numPr>
              <w:ilvl w:val="0"/>
              <w:numId w:val="1"/>
            </w:numPr>
          </w:pPr>
          <w:r>
            <w:t>c</w:t>
          </w:r>
          <w:r w:rsidR="00FD6844">
            <w:t>onsumer preference</w:t>
          </w:r>
          <w:r w:rsidR="00035268">
            <w:t>:</w:t>
          </w:r>
          <w:r w:rsidR="00FD6844">
            <w:t xml:space="preserve"> many consumers want information and prefer to buy products that are locally produced</w:t>
          </w:r>
        </w:p>
        <w:p w14:paraId="0252A119" w14:textId="253C0994" w:rsidR="00DF55E4" w:rsidRDefault="00DF55E4" w:rsidP="00DF55E4">
          <w:pPr>
            <w:numPr>
              <w:ilvl w:val="0"/>
              <w:numId w:val="1"/>
            </w:numPr>
          </w:pPr>
          <w:r>
            <w:t>differentiation: Australia is known for its high quality seafood and sustainable practices</w:t>
          </w:r>
          <w:r w:rsidR="0049657A">
            <w:t>.</w:t>
          </w:r>
        </w:p>
        <w:p w14:paraId="611ED2CE" w14:textId="44136677" w:rsidR="00BC0798" w:rsidRPr="005B743D" w:rsidRDefault="00BC0798" w:rsidP="00331076">
          <w:pPr>
            <w:pStyle w:val="IntenseQuote"/>
          </w:pPr>
          <w:r>
            <w:t xml:space="preserve">‘CoOL allows consumers to know exactly where the seafood they are buying comes from. This can increase transparency and trust between consumers and producers, especially if the product is known for its quality.’ </w:t>
          </w:r>
          <w:r w:rsidR="002855DF">
            <w:t>– Tasmanian Government</w:t>
          </w:r>
        </w:p>
        <w:p w14:paraId="5307E348" w14:textId="33E19FDB" w:rsidR="002855DF" w:rsidRDefault="0003020C" w:rsidP="0010263F">
          <w:r>
            <w:t xml:space="preserve">The most raised opposition to </w:t>
          </w:r>
          <w:r w:rsidR="0039667A">
            <w:t>s</w:t>
          </w:r>
          <w:r>
            <w:t xml:space="preserve">eafood CoOL by government stakeholders was the burden on business owners. </w:t>
          </w:r>
          <w:r w:rsidR="0010263F">
            <w:t xml:space="preserve">The </w:t>
          </w:r>
          <w:r w:rsidR="0010263F">
            <w:rPr>
              <w:rFonts w:ascii="Calibri" w:eastAsia="Calibri" w:hAnsi="Calibri" w:cs="Times New Roman"/>
            </w:rPr>
            <w:t>Australian Small Business and Family Enterprise Ombudsman</w:t>
          </w:r>
          <w:r w:rsidR="0010263F">
            <w:t xml:space="preserve"> </w:t>
          </w:r>
          <w:r w:rsidR="00FD6844">
            <w:t xml:space="preserve">and the NSW Small Business Commission </w:t>
          </w:r>
          <w:r>
            <w:t xml:space="preserve">expressed </w:t>
          </w:r>
          <w:r w:rsidR="00FD6844">
            <w:t xml:space="preserve">concern about the high cost of compliance </w:t>
          </w:r>
          <w:r w:rsidR="00885446">
            <w:t>the AIM model</w:t>
          </w:r>
          <w:r w:rsidR="00FD6844">
            <w:t xml:space="preserve"> will impose on hospitality businesses but noted the </w:t>
          </w:r>
          <w:r w:rsidR="00D96C62">
            <w:t>C</w:t>
          </w:r>
          <w:r w:rsidR="00FD6844">
            <w:t xml:space="preserve">ountry model would be even more onerous and costly. </w:t>
          </w:r>
          <w:r>
            <w:t>In their view t</w:t>
          </w:r>
          <w:r w:rsidR="00FD6844">
            <w:t xml:space="preserve">he variation between the AIM and </w:t>
          </w:r>
          <w:r w:rsidR="00D96C62">
            <w:t>C</w:t>
          </w:r>
          <w:r w:rsidR="00FD6844">
            <w:t>ountry models</w:t>
          </w:r>
          <w:r>
            <w:t>,</w:t>
          </w:r>
          <w:r w:rsidR="00FD6844">
            <w:t xml:space="preserve"> in terms of regulatory burden and benefit to consumers</w:t>
          </w:r>
          <w:r>
            <w:t>, was minimal</w:t>
          </w:r>
          <w:r w:rsidR="00FD6844">
            <w:t xml:space="preserve">. </w:t>
          </w:r>
        </w:p>
        <w:p w14:paraId="5E537A44" w14:textId="633051E9" w:rsidR="00BC0798" w:rsidRPr="002855DF" w:rsidRDefault="00BC0798" w:rsidP="001624DD">
          <w:pPr>
            <w:pStyle w:val="IntenseQuote"/>
          </w:pPr>
          <w:r w:rsidRPr="002855DF">
            <w:t>‘The impacts and challenges of this proposal have the potential to result in significant new compliance costs, especially when considering the financial and time cost associated with updating menus as well as having to do so on a more frequent basis because of any new requirements. If poorly designed, requirements may be unworkable for many small businesses.’</w:t>
          </w:r>
          <w:r w:rsidR="00F52F39">
            <w:t xml:space="preserve"> – NSW Small Business Commission</w:t>
          </w:r>
        </w:p>
        <w:p w14:paraId="36A0A9D8" w14:textId="7B5DE77A" w:rsidR="00D925C3" w:rsidRDefault="00D925C3" w:rsidP="00A2477A">
          <w:pPr>
            <w:pStyle w:val="Heading3"/>
            <w:rPr>
              <w:rFonts w:eastAsia="Calibri"/>
            </w:rPr>
          </w:pPr>
          <w:r>
            <w:rPr>
              <w:rFonts w:eastAsia="Calibri"/>
            </w:rPr>
            <w:t>Other</w:t>
          </w:r>
          <w:r w:rsidR="00BC0798">
            <w:rPr>
              <w:rFonts w:eastAsia="Calibri"/>
            </w:rPr>
            <w:t xml:space="preserve"> stakeholders</w:t>
          </w:r>
        </w:p>
        <w:p w14:paraId="1C9F8E36" w14:textId="408E269E" w:rsidR="00BC0798" w:rsidRDefault="00DD2D5B" w:rsidP="00BA6977">
          <w:r>
            <w:t xml:space="preserve">The department </w:t>
          </w:r>
          <w:r w:rsidR="00286BB7">
            <w:t xml:space="preserve">also </w:t>
          </w:r>
          <w:r>
            <w:t xml:space="preserve">received submissions from </w:t>
          </w:r>
          <w:r w:rsidR="00286BB7">
            <w:t xml:space="preserve">stakeholders across </w:t>
          </w:r>
          <w:r w:rsidR="00BA6977">
            <w:t>academi</w:t>
          </w:r>
          <w:r w:rsidR="00286BB7">
            <w:t xml:space="preserve">a, </w:t>
          </w:r>
          <w:proofErr w:type="gramStart"/>
          <w:r w:rsidR="00BA6977">
            <w:t>conservation</w:t>
          </w:r>
          <w:proofErr w:type="gramEnd"/>
          <w:r w:rsidR="00BA6977">
            <w:t xml:space="preserve"> and environmental groups</w:t>
          </w:r>
          <w:r w:rsidR="00286BB7">
            <w:t>.</w:t>
          </w:r>
          <w:r w:rsidR="00BA6977">
            <w:t xml:space="preserve"> The submissions were broadly supportive of </w:t>
          </w:r>
          <w:r w:rsidR="0039667A">
            <w:t>s</w:t>
          </w:r>
          <w:r w:rsidR="00286BB7">
            <w:t>eafood CoOL, acknowledging</w:t>
          </w:r>
          <w:r w:rsidR="00BA6977">
            <w:t xml:space="preserve"> that consumers need to understand where the seafood they eat comes from</w:t>
          </w:r>
          <w:r w:rsidR="00286BB7">
            <w:t xml:space="preserve">. </w:t>
          </w:r>
          <w:r w:rsidR="00BC0798">
            <w:t>Conservation and environmental groups encouraged the government to go further than the policy options, requiring not just country but region of origin, species, whether wild caught or farmed, and by whom.</w:t>
          </w:r>
        </w:p>
        <w:p w14:paraId="5E3018A6" w14:textId="23BD3859" w:rsidR="00BC0798" w:rsidRDefault="00BC0798" w:rsidP="00C921B2">
          <w:pPr>
            <w:pStyle w:val="IntenseQuote"/>
          </w:pPr>
          <w:r w:rsidRPr="00BC0798">
            <w:t xml:space="preserve">‘Labelling laws empower seafood buyers to make an informed choice by establishing consistent national end-product labelling requirements, at all points of sale for all wild and farmed fish products and seafood, that include species name </w:t>
          </w:r>
          <w:r w:rsidRPr="00BC0798">
            <w:lastRenderedPageBreak/>
            <w:t>(standardised common name and scientific) and:</w:t>
          </w:r>
          <w:r>
            <w:t xml:space="preserve"> </w:t>
          </w:r>
          <w:r w:rsidRPr="00BC0798">
            <w:t>fishing method, point of capture (to allow identification of stock and management body), vessel owner nationality (who caught it), OR farming method, and farm location (region, country) exporting country.</w:t>
          </w:r>
          <w:r>
            <w:t>’ – AMCS campaign email</w:t>
          </w:r>
        </w:p>
        <w:p w14:paraId="298598BF" w14:textId="66E93B94" w:rsidR="00BA6977" w:rsidRDefault="00286BB7" w:rsidP="00BA6977">
          <w:r>
            <w:t>Other feedback included the importance of effective</w:t>
          </w:r>
          <w:r w:rsidR="00BA6977">
            <w:t xml:space="preserve"> education </w:t>
          </w:r>
          <w:r>
            <w:t>and awareness to ensure acceptable</w:t>
          </w:r>
          <w:r w:rsidR="00BA6977">
            <w:t xml:space="preserve"> compliance </w:t>
          </w:r>
          <w:r>
            <w:t xml:space="preserve">levels, and </w:t>
          </w:r>
          <w:r w:rsidR="0010263F">
            <w:t xml:space="preserve">the need for </w:t>
          </w:r>
          <w:r>
            <w:t xml:space="preserve">ongoing monitoring </w:t>
          </w:r>
          <w:r w:rsidR="00BA6977">
            <w:t xml:space="preserve">and enforcement </w:t>
          </w:r>
          <w:r>
            <w:t>activities</w:t>
          </w:r>
          <w:r w:rsidR="00BA6977">
            <w:t xml:space="preserve">. </w:t>
          </w:r>
        </w:p>
        <w:p w14:paraId="6466875A" w14:textId="180D179D" w:rsidR="00885446" w:rsidRDefault="00BC0798" w:rsidP="00885446">
          <w:pPr>
            <w:pStyle w:val="Quote"/>
          </w:pPr>
          <w:r>
            <w:t>‘</w:t>
          </w:r>
          <w:r w:rsidR="00222894" w:rsidRPr="00222894">
            <w:t>A significant education process would be necessary and expected if the labelling is required by legislation</w:t>
          </w:r>
          <w:r>
            <w:t>.’</w:t>
          </w:r>
          <w:r w:rsidR="00885446">
            <w:t xml:space="preserve"> </w:t>
          </w:r>
        </w:p>
        <w:p w14:paraId="15194960" w14:textId="1ADCA879" w:rsidR="00BC0798" w:rsidRPr="00BC0798" w:rsidRDefault="00BC0798" w:rsidP="00C921B2">
          <w:pPr>
            <w:pStyle w:val="Heading3"/>
          </w:pPr>
          <w:r>
            <w:t>Other issues raised through consultation</w:t>
          </w:r>
        </w:p>
        <w:p w14:paraId="3B691D35" w14:textId="136FDCC1" w:rsidR="00BC0798" w:rsidRPr="00BC0798" w:rsidRDefault="00881093" w:rsidP="00BC0798">
          <w:bookmarkStart w:id="171" w:name="_Hlk142904405"/>
          <w:r>
            <w:t>Throughout</w:t>
          </w:r>
          <w:r w:rsidR="00BC0798" w:rsidRPr="00BC0798">
            <w:t xml:space="preserve"> consultation, stakeholders raised matters that were out of scope of seafood CoOL. </w:t>
          </w:r>
          <w:bookmarkEnd w:id="171"/>
          <w:r w:rsidR="00BC0798" w:rsidRPr="00BC0798">
            <w:t xml:space="preserve">These matters included: </w:t>
          </w:r>
        </w:p>
        <w:p w14:paraId="13E9FCFB" w14:textId="7ABA55F0" w:rsidR="004B27A2" w:rsidRDefault="004B27A2" w:rsidP="00C921B2">
          <w:pPr>
            <w:numPr>
              <w:ilvl w:val="0"/>
              <w:numId w:val="1"/>
            </w:numPr>
          </w:pPr>
          <w:r>
            <w:t>food safety</w:t>
          </w:r>
        </w:p>
        <w:p w14:paraId="4A925E5C" w14:textId="597FC2CF" w:rsidR="00BC0798" w:rsidRPr="00C921B2" w:rsidRDefault="00BC0798" w:rsidP="00C921B2">
          <w:pPr>
            <w:numPr>
              <w:ilvl w:val="0"/>
              <w:numId w:val="1"/>
            </w:numPr>
          </w:pPr>
          <w:r w:rsidRPr="00C921B2">
            <w:t xml:space="preserve">extensions to </w:t>
          </w:r>
          <w:r w:rsidR="00B10DB6">
            <w:t>s</w:t>
          </w:r>
          <w:r w:rsidRPr="00C921B2">
            <w:t>eafood CoO</w:t>
          </w:r>
          <w:r w:rsidR="00B10DB6">
            <w:t>L</w:t>
          </w:r>
          <w:r w:rsidRPr="00C921B2">
            <w:t xml:space="preserve"> labelling on seaweed, pet food, skin care and pharmaceuticals products</w:t>
          </w:r>
        </w:p>
        <w:p w14:paraId="45FE8BBC" w14:textId="15616B53" w:rsidR="00B10DB6" w:rsidRDefault="00B10DB6" w:rsidP="00BC0798">
          <w:pPr>
            <w:numPr>
              <w:ilvl w:val="0"/>
              <w:numId w:val="1"/>
            </w:numPr>
          </w:pPr>
          <w:r w:rsidRPr="009B6998">
            <w:t>sustainable fisheries and marine environments</w:t>
          </w:r>
          <w:r w:rsidRPr="00B10DB6">
            <w:t xml:space="preserve"> </w:t>
          </w:r>
        </w:p>
        <w:p w14:paraId="325AD10D" w14:textId="555F06C0" w:rsidR="00B10DB6" w:rsidRPr="00857C60" w:rsidRDefault="00B10DB6" w:rsidP="00B10DB6">
          <w:pPr>
            <w:numPr>
              <w:ilvl w:val="0"/>
              <w:numId w:val="1"/>
            </w:numPr>
          </w:pPr>
          <w:r w:rsidRPr="00857C60">
            <w:t>improving fish naming and species identification</w:t>
          </w:r>
        </w:p>
        <w:p w14:paraId="505A8BFF" w14:textId="3992C50C" w:rsidR="00BC0798" w:rsidRPr="00C921B2" w:rsidRDefault="00BC0798" w:rsidP="00C921B2">
          <w:pPr>
            <w:numPr>
              <w:ilvl w:val="0"/>
              <w:numId w:val="1"/>
            </w:numPr>
          </w:pPr>
          <w:r w:rsidRPr="00C921B2">
            <w:t xml:space="preserve">illegal, unreported, and unregulated fishing </w:t>
          </w:r>
          <w:r w:rsidRPr="00BC0798">
            <w:t>(</w:t>
          </w:r>
          <w:r w:rsidRPr="00C921B2">
            <w:t>known as IUU</w:t>
          </w:r>
          <w:r w:rsidRPr="00BC0798">
            <w:t>)</w:t>
          </w:r>
          <w:r w:rsidRPr="00C921B2">
            <w:t xml:space="preserve"> </w:t>
          </w:r>
        </w:p>
        <w:p w14:paraId="2E889558" w14:textId="4E9E3A45" w:rsidR="00B10DB6" w:rsidRPr="003B75BD" w:rsidRDefault="00B10DB6" w:rsidP="00B10DB6">
          <w:pPr>
            <w:numPr>
              <w:ilvl w:val="0"/>
              <w:numId w:val="1"/>
            </w:numPr>
          </w:pPr>
          <w:r w:rsidRPr="003B75BD">
            <w:t>import border controls</w:t>
          </w:r>
        </w:p>
        <w:p w14:paraId="3CB99F96" w14:textId="272E4BE6" w:rsidR="00BC0798" w:rsidRPr="00C921B2" w:rsidRDefault="00BC0798" w:rsidP="00C921B2">
          <w:pPr>
            <w:numPr>
              <w:ilvl w:val="0"/>
              <w:numId w:val="1"/>
            </w:numPr>
          </w:pPr>
          <w:r w:rsidRPr="00C921B2">
            <w:t xml:space="preserve">transnational crime </w:t>
          </w:r>
          <w:r w:rsidRPr="00BC0798">
            <w:t>–</w:t>
          </w:r>
          <w:r w:rsidRPr="00C921B2">
            <w:t xml:space="preserve"> slavery and environmental crime</w:t>
          </w:r>
        </w:p>
        <w:p w14:paraId="382C1130" w14:textId="3622806F" w:rsidR="00BC0798" w:rsidRPr="00C921B2" w:rsidRDefault="00B10DB6" w:rsidP="00C921B2">
          <w:pPr>
            <w:numPr>
              <w:ilvl w:val="0"/>
              <w:numId w:val="1"/>
            </w:numPr>
          </w:pPr>
          <w:r w:rsidRPr="00FA22D4">
            <w:t xml:space="preserve">provenance testing </w:t>
          </w:r>
          <w:r>
            <w:t xml:space="preserve">and </w:t>
          </w:r>
          <w:r w:rsidR="00BC0798" w:rsidRPr="00C921B2">
            <w:t>seafood fraud</w:t>
          </w:r>
        </w:p>
        <w:p w14:paraId="275191D6" w14:textId="1FD0B13E" w:rsidR="00BC0798" w:rsidRPr="00C921B2" w:rsidRDefault="00BC0798" w:rsidP="00C921B2">
          <w:pPr>
            <w:numPr>
              <w:ilvl w:val="0"/>
              <w:numId w:val="1"/>
            </w:numPr>
          </w:pPr>
          <w:r w:rsidRPr="00C921B2">
            <w:t>seafood trade and supply chains.</w:t>
          </w:r>
        </w:p>
        <w:p w14:paraId="68EACA71" w14:textId="1C442389" w:rsidR="00BC0798" w:rsidRPr="00BC0798" w:rsidRDefault="00BC0798" w:rsidP="00BC0798">
          <w:r w:rsidRPr="00BC0798">
            <w:t xml:space="preserve">The department will share the information provided to the </w:t>
          </w:r>
          <w:r w:rsidR="00B10DB6">
            <w:t xml:space="preserve">relevant Australian </w:t>
          </w:r>
          <w:r w:rsidRPr="00BC0798">
            <w:t xml:space="preserve">Government </w:t>
          </w:r>
          <w:r w:rsidR="00B10DB6">
            <w:t xml:space="preserve">agencies </w:t>
          </w:r>
          <w:r w:rsidRPr="00BC0798">
            <w:t>with policy responsibility.</w:t>
          </w:r>
        </w:p>
        <w:p w14:paraId="52B7771B" w14:textId="777F6BD2" w:rsidR="005D662D" w:rsidRPr="00BC0798" w:rsidRDefault="005D662D" w:rsidP="00D925C3">
          <w:pPr>
            <w:rPr>
              <w:rFonts w:ascii="Calibri" w:eastAsia="Calibri" w:hAnsi="Calibri" w:cs="Times New Roman"/>
            </w:rPr>
          </w:pPr>
          <w:r w:rsidRPr="00BC0798">
            <w:rPr>
              <w:rFonts w:ascii="Calibri" w:eastAsia="Calibri" w:hAnsi="Calibri" w:cs="Times New Roman"/>
            </w:rPr>
            <w:br w:type="page"/>
          </w:r>
        </w:p>
        <w:p w14:paraId="63612D29" w14:textId="71BE512C" w:rsidR="005D662D" w:rsidRPr="005D662D" w:rsidRDefault="005D662D" w:rsidP="00073493">
          <w:pPr>
            <w:pStyle w:val="Heading1"/>
            <w:numPr>
              <w:ilvl w:val="0"/>
              <w:numId w:val="15"/>
            </w:numPr>
          </w:pPr>
          <w:bookmarkStart w:id="172" w:name="_Toc141272764"/>
          <w:bookmarkStart w:id="173" w:name="_Toc151719085"/>
          <w:r w:rsidRPr="005D662D">
            <w:lastRenderedPageBreak/>
            <w:t xml:space="preserve">What is the best option from those </w:t>
          </w:r>
          <w:r w:rsidR="00C002EA">
            <w:t>we</w:t>
          </w:r>
          <w:r w:rsidR="00C002EA" w:rsidRPr="005D662D">
            <w:t xml:space="preserve"> </w:t>
          </w:r>
          <w:r w:rsidRPr="005D662D">
            <w:t>have considered</w:t>
          </w:r>
          <w:r w:rsidR="00A5528C">
            <w:t xml:space="preserve"> and how will it be implemented</w:t>
          </w:r>
          <w:r w:rsidRPr="005D662D">
            <w:t>?</w:t>
          </w:r>
          <w:bookmarkEnd w:id="172"/>
          <w:bookmarkEnd w:id="173"/>
        </w:p>
        <w:p w14:paraId="220E5C62" w14:textId="6E5854B7" w:rsidR="005D662D" w:rsidRPr="005D662D" w:rsidRDefault="001F63A2" w:rsidP="00023DAA">
          <w:r>
            <w:t>T</w:t>
          </w:r>
          <w:r w:rsidR="005D662D" w:rsidRPr="005D662D">
            <w:t xml:space="preserve">he best </w:t>
          </w:r>
          <w:r>
            <w:t xml:space="preserve">policy </w:t>
          </w:r>
          <w:r w:rsidR="005D662D" w:rsidRPr="005D662D">
            <w:t xml:space="preserve">option </w:t>
          </w:r>
          <w:r>
            <w:t>was determined</w:t>
          </w:r>
          <w:r w:rsidR="005D662D" w:rsidRPr="005D662D">
            <w:t xml:space="preserve"> by considering </w:t>
          </w:r>
          <w:r>
            <w:t>which option is</w:t>
          </w:r>
          <w:r w:rsidR="005D662D" w:rsidRPr="005D662D">
            <w:t xml:space="preserve"> likely </w:t>
          </w:r>
          <w:r>
            <w:t>to best</w:t>
          </w:r>
          <w:r w:rsidR="005D662D" w:rsidRPr="005D662D">
            <w:t xml:space="preserve"> achieve the objectives</w:t>
          </w:r>
          <w:r>
            <w:t xml:space="preserve"> of </w:t>
          </w:r>
          <w:r w:rsidR="0039667A">
            <w:t>s</w:t>
          </w:r>
          <w:r>
            <w:t>eafood CoOL</w:t>
          </w:r>
          <w:r w:rsidR="005D662D" w:rsidRPr="005D662D">
            <w:t xml:space="preserve"> and </w:t>
          </w:r>
          <w:r>
            <w:t>has the highest</w:t>
          </w:r>
          <w:r w:rsidR="005D662D" w:rsidRPr="005D662D">
            <w:t xml:space="preserve"> estimated net benefit.</w:t>
          </w:r>
        </w:p>
        <w:p w14:paraId="1BFAD0F4" w14:textId="2EB7DE20" w:rsidR="005D662D" w:rsidRPr="005D662D" w:rsidRDefault="005D662D" w:rsidP="00023DAA">
          <w:r w:rsidRPr="005D662D">
            <w:t xml:space="preserve">The preferred regulatory option closely aligns with option </w:t>
          </w:r>
          <w:r w:rsidR="00A642FD">
            <w:t>considered</w:t>
          </w:r>
          <w:r w:rsidR="00A642FD" w:rsidRPr="005D662D">
            <w:t xml:space="preserve"> </w:t>
          </w:r>
          <w:r w:rsidRPr="005D662D">
            <w:t xml:space="preserve">within the department’s discussion paper and the </w:t>
          </w:r>
          <w:r w:rsidR="00062992">
            <w:t>c</w:t>
          </w:r>
          <w:r w:rsidRPr="005D662D">
            <w:t>onsultation RIS.</w:t>
          </w:r>
        </w:p>
        <w:p w14:paraId="002EE0B5" w14:textId="6528FD3C" w:rsidR="005D662D" w:rsidRPr="005D662D" w:rsidRDefault="005D662D" w:rsidP="00023DAA">
          <w:r w:rsidRPr="005D662D">
            <w:rPr>
              <w:lang w:val="en-US"/>
            </w:rPr>
            <w:t xml:space="preserve">The results of the CBA indicate that </w:t>
          </w:r>
          <w:r w:rsidR="0039667A">
            <w:rPr>
              <w:lang w:val="en-US"/>
            </w:rPr>
            <w:t>s</w:t>
          </w:r>
          <w:r w:rsidRPr="005D662D">
            <w:rPr>
              <w:lang w:val="en-US"/>
            </w:rPr>
            <w:t xml:space="preserve">eafood CoOL requirements under the AIM model (Option 2) result in </w:t>
          </w:r>
          <w:r w:rsidR="003607E1">
            <w:rPr>
              <w:lang w:val="en-US"/>
            </w:rPr>
            <w:t xml:space="preserve">highest net benefit with a </w:t>
          </w:r>
          <w:r w:rsidRPr="005D662D">
            <w:rPr>
              <w:lang w:val="en-US"/>
            </w:rPr>
            <w:t xml:space="preserve">BCR </w:t>
          </w:r>
          <w:r w:rsidRPr="00BC0798">
            <w:rPr>
              <w:lang w:val="en-US"/>
            </w:rPr>
            <w:t>(1.</w:t>
          </w:r>
          <w:r w:rsidR="00861DB9" w:rsidRPr="00C921B2">
            <w:rPr>
              <w:lang w:val="en-US"/>
            </w:rPr>
            <w:t>33</w:t>
          </w:r>
          <w:r w:rsidR="003607E1" w:rsidRPr="00C921B2">
            <w:rPr>
              <w:lang w:val="en-US"/>
            </w:rPr>
            <w:t>)</w:t>
          </w:r>
          <w:r w:rsidRPr="005D662D">
            <w:rPr>
              <w:lang w:val="en-US"/>
            </w:rPr>
            <w:t xml:space="preserve"> with consumer utility </w:t>
          </w:r>
          <w:r w:rsidR="00EA6810">
            <w:rPr>
              <w:lang w:val="en-US"/>
            </w:rPr>
            <w:t xml:space="preserve">benefits </w:t>
          </w:r>
          <w:r w:rsidRPr="005D662D">
            <w:rPr>
              <w:lang w:val="en-US"/>
            </w:rPr>
            <w:t>outweighing the costs to industry and government.</w:t>
          </w:r>
        </w:p>
        <w:p w14:paraId="216F3ED9" w14:textId="77777777" w:rsidR="005D662D" w:rsidRPr="005D662D" w:rsidRDefault="005D662D" w:rsidP="00073493">
          <w:pPr>
            <w:pStyle w:val="Heading2"/>
            <w:numPr>
              <w:ilvl w:val="1"/>
              <w:numId w:val="15"/>
            </w:numPr>
          </w:pPr>
          <w:bookmarkStart w:id="174" w:name="_Toc135727245"/>
          <w:bookmarkStart w:id="175" w:name="_Toc136419199"/>
          <w:bookmarkStart w:id="176" w:name="_Toc136425253"/>
          <w:bookmarkStart w:id="177" w:name="_Toc140662059"/>
          <w:bookmarkStart w:id="178" w:name="_Toc141272765"/>
          <w:bookmarkStart w:id="179" w:name="_Toc151719086"/>
          <w:r w:rsidRPr="005D662D">
            <w:t>Recommendation</w:t>
          </w:r>
          <w:bookmarkEnd w:id="174"/>
          <w:bookmarkEnd w:id="175"/>
          <w:bookmarkEnd w:id="176"/>
          <w:bookmarkEnd w:id="177"/>
          <w:bookmarkEnd w:id="178"/>
          <w:bookmarkEnd w:id="179"/>
        </w:p>
        <w:p w14:paraId="539D80A3" w14:textId="51687154" w:rsidR="005D662D" w:rsidRPr="00875EC1" w:rsidRDefault="005D662D" w:rsidP="00875EC1">
          <w:pPr>
            <w:rPr>
              <w:rFonts w:ascii="Calibri" w:eastAsia="Calibri" w:hAnsi="Calibri" w:cs="Times New Roman"/>
              <w:b/>
              <w:bCs/>
              <w:lang w:val="en-US"/>
            </w:rPr>
          </w:pPr>
          <w:r w:rsidRPr="005D662D">
            <w:rPr>
              <w:rFonts w:ascii="Calibri" w:eastAsia="Calibri" w:hAnsi="Calibri" w:cs="Times New Roman"/>
              <w:lang w:val="en-US"/>
            </w:rPr>
            <w:t xml:space="preserve">Based on this decision RIS and stakeholder </w:t>
          </w:r>
          <w:r w:rsidR="00062992">
            <w:rPr>
              <w:rFonts w:ascii="Calibri" w:eastAsia="Calibri" w:hAnsi="Calibri" w:cs="Times New Roman"/>
              <w:lang w:val="en-US"/>
            </w:rPr>
            <w:t>consultation throughout the policy design process</w:t>
          </w:r>
          <w:r w:rsidRPr="005D662D">
            <w:rPr>
              <w:rFonts w:ascii="Calibri" w:eastAsia="Calibri" w:hAnsi="Calibri" w:cs="Times New Roman"/>
              <w:lang w:val="en-US"/>
            </w:rPr>
            <w:t xml:space="preserve">, it is recommended that Consumer Ministers agree </w:t>
          </w:r>
          <w:r w:rsidR="00062992" w:rsidRPr="003607E1">
            <w:rPr>
              <w:rFonts w:ascii="Calibri" w:eastAsia="Calibri" w:hAnsi="Calibri" w:cs="Times New Roman"/>
              <w:b/>
              <w:bCs/>
              <w:lang w:val="en-US"/>
            </w:rPr>
            <w:t>Option 2</w:t>
          </w:r>
          <w:r w:rsidR="00D60415">
            <w:rPr>
              <w:rFonts w:ascii="Calibri" w:eastAsia="Calibri" w:hAnsi="Calibri" w:cs="Times New Roman"/>
              <w:b/>
              <w:bCs/>
              <w:lang w:val="en-US"/>
            </w:rPr>
            <w:t>: ACL information standard</w:t>
          </w:r>
          <w:r w:rsidR="00062992" w:rsidRPr="003607E1">
            <w:rPr>
              <w:rFonts w:ascii="Calibri" w:eastAsia="Calibri" w:hAnsi="Calibri" w:cs="Times New Roman"/>
              <w:b/>
              <w:bCs/>
              <w:lang w:val="en-US"/>
            </w:rPr>
            <w:t xml:space="preserve"> – </w:t>
          </w:r>
          <w:r w:rsidRPr="003607E1">
            <w:rPr>
              <w:rFonts w:ascii="Calibri" w:eastAsia="Calibri" w:hAnsi="Calibri" w:cs="Times New Roman"/>
              <w:b/>
              <w:bCs/>
              <w:lang w:val="en-US"/>
            </w:rPr>
            <w:t>AIM</w:t>
          </w:r>
          <w:r w:rsidR="00062992" w:rsidRPr="003607E1">
            <w:rPr>
              <w:rFonts w:ascii="Calibri" w:eastAsia="Calibri" w:hAnsi="Calibri" w:cs="Times New Roman"/>
              <w:b/>
              <w:bCs/>
              <w:lang w:val="en-US"/>
            </w:rPr>
            <w:t xml:space="preserve"> </w:t>
          </w:r>
          <w:r w:rsidRPr="003607E1">
            <w:rPr>
              <w:rFonts w:ascii="Calibri" w:eastAsia="Calibri" w:hAnsi="Calibri" w:cs="Times New Roman"/>
              <w:b/>
              <w:bCs/>
              <w:lang w:val="en-US"/>
            </w:rPr>
            <w:t>model</w:t>
          </w:r>
          <w:r w:rsidR="00062992">
            <w:rPr>
              <w:rFonts w:ascii="Calibri" w:eastAsia="Calibri" w:hAnsi="Calibri" w:cs="Times New Roman"/>
              <w:lang w:val="en-US"/>
            </w:rPr>
            <w:t>.</w:t>
          </w:r>
        </w:p>
        <w:p w14:paraId="5C5CCA59" w14:textId="1F72A6AD" w:rsidR="005D662D" w:rsidRPr="005D662D" w:rsidRDefault="005D662D" w:rsidP="005D662D">
          <w:pPr>
            <w:rPr>
              <w:rFonts w:ascii="Calibri" w:eastAsia="Calibri" w:hAnsi="Calibri" w:cs="Times New Roman"/>
              <w:iCs/>
            </w:rPr>
          </w:pPr>
          <w:r w:rsidRPr="005D662D">
            <w:rPr>
              <w:rFonts w:ascii="Calibri" w:eastAsia="Calibri" w:hAnsi="Calibri" w:cs="Times New Roman"/>
              <w:iCs/>
            </w:rPr>
            <w:t xml:space="preserve">Regulating menu labelling via the </w:t>
          </w:r>
          <w:r w:rsidR="00852D48">
            <w:rPr>
              <w:rFonts w:ascii="Calibri" w:eastAsia="Calibri" w:hAnsi="Calibri" w:cs="Times New Roman"/>
              <w:iCs/>
            </w:rPr>
            <w:t>Seafood CoOL</w:t>
          </w:r>
          <w:r w:rsidRPr="005D662D">
            <w:rPr>
              <w:rFonts w:ascii="Calibri" w:eastAsia="Calibri" w:hAnsi="Calibri" w:cs="Times New Roman"/>
              <w:iCs/>
            </w:rPr>
            <w:t xml:space="preserve"> Standard</w:t>
          </w:r>
          <w:r w:rsidR="00852D48">
            <w:rPr>
              <w:rFonts w:ascii="Calibri" w:eastAsia="Calibri" w:hAnsi="Calibri" w:cs="Times New Roman"/>
              <w:iCs/>
            </w:rPr>
            <w:t xml:space="preserve"> </w:t>
          </w:r>
          <w:r w:rsidRPr="005D662D">
            <w:rPr>
              <w:rFonts w:ascii="Calibri" w:eastAsia="Calibri" w:hAnsi="Calibri" w:cs="Times New Roman"/>
            </w:rPr>
            <w:t xml:space="preserve">would result in one consistent menu labelling system for Australia. It </w:t>
          </w:r>
          <w:r w:rsidRPr="005D662D">
            <w:rPr>
              <w:rFonts w:ascii="Calibri" w:eastAsia="Calibri" w:hAnsi="Calibri" w:cs="Times New Roman"/>
              <w:iCs/>
            </w:rPr>
            <w:t>is the option most likely to</w:t>
          </w:r>
          <w:r w:rsidR="003607E1">
            <w:rPr>
              <w:rFonts w:ascii="Calibri" w:eastAsia="Calibri" w:hAnsi="Calibri" w:cs="Times New Roman"/>
              <w:iCs/>
            </w:rPr>
            <w:t xml:space="preserve"> achieve the objectives of </w:t>
          </w:r>
          <w:r w:rsidR="0039667A">
            <w:rPr>
              <w:rFonts w:ascii="Calibri" w:eastAsia="Calibri" w:hAnsi="Calibri" w:cs="Times New Roman"/>
              <w:iCs/>
            </w:rPr>
            <w:t>s</w:t>
          </w:r>
          <w:r w:rsidR="003607E1">
            <w:rPr>
              <w:rFonts w:ascii="Calibri" w:eastAsia="Calibri" w:hAnsi="Calibri" w:cs="Times New Roman"/>
              <w:iCs/>
            </w:rPr>
            <w:t>eafood CoOL. That is, it will</w:t>
          </w:r>
          <w:r w:rsidRPr="005D662D">
            <w:rPr>
              <w:rFonts w:ascii="Calibri" w:eastAsia="Calibri" w:hAnsi="Calibri" w:cs="Times New Roman"/>
              <w:iCs/>
            </w:rPr>
            <w:t xml:space="preserve">:   </w:t>
          </w:r>
        </w:p>
        <w:p w14:paraId="2F4E4112" w14:textId="2430B883" w:rsidR="003607E1" w:rsidRDefault="003607E1">
          <w:pPr>
            <w:numPr>
              <w:ilvl w:val="0"/>
              <w:numId w:val="1"/>
            </w:numPr>
          </w:pPr>
          <w:r>
            <w:t xml:space="preserve">provide increased information to consumers about the origin of seafood in hospitality settings that is consistent and reliable </w:t>
          </w:r>
        </w:p>
        <w:p w14:paraId="5EE48A8A" w14:textId="7C2347F6" w:rsidR="00D80E49" w:rsidRDefault="00D80E49">
          <w:pPr>
            <w:numPr>
              <w:ilvl w:val="0"/>
              <w:numId w:val="1"/>
            </w:numPr>
          </w:pPr>
          <w:r>
            <w:t>provide hospitality businesses with greater certainty about how to label their seafood</w:t>
          </w:r>
        </w:p>
        <w:p w14:paraId="57D30B5F" w14:textId="75859FE5" w:rsidR="003607E1" w:rsidRDefault="003607E1">
          <w:pPr>
            <w:numPr>
              <w:ilvl w:val="0"/>
              <w:numId w:val="1"/>
            </w:numPr>
          </w:pPr>
          <w:r>
            <w:t>be simple for hospitality businesses to comply with to minimise the impost or burdens</w:t>
          </w:r>
          <w:r w:rsidR="00BC0798">
            <w:t>.</w:t>
          </w:r>
          <w:r>
            <w:t xml:space="preserve"> </w:t>
          </w:r>
        </w:p>
        <w:p w14:paraId="3ACC6EBE" w14:textId="65FD5A98" w:rsidR="005D662D" w:rsidRDefault="005D662D" w:rsidP="001347DC">
          <w:pPr>
            <w:rPr>
              <w:lang w:val="en-US"/>
            </w:rPr>
          </w:pPr>
          <w:bookmarkStart w:id="180" w:name="_Toc140662060"/>
          <w:bookmarkStart w:id="181" w:name="_Toc141272766"/>
          <w:bookmarkStart w:id="182" w:name="_Toc141274677"/>
          <w:bookmarkStart w:id="183" w:name="_Toc135727246"/>
          <w:bookmarkStart w:id="184" w:name="_Toc136419200"/>
          <w:bookmarkStart w:id="185" w:name="_Toc136425254"/>
          <w:r w:rsidRPr="005D662D">
            <w:t>Option 2 has the greatest net benefit and the most support from stakeholders</w:t>
          </w:r>
          <w:bookmarkEnd w:id="180"/>
          <w:r w:rsidR="00D80E49">
            <w:t xml:space="preserve"> overall. </w:t>
          </w:r>
          <w:r w:rsidRPr="005D662D">
            <w:rPr>
              <w:lang w:val="en-US"/>
            </w:rPr>
            <w:t xml:space="preserve">Under the AIM model, total monetised benefits of consumer WTP for </w:t>
          </w:r>
          <w:r w:rsidR="0039667A">
            <w:rPr>
              <w:lang w:val="en-US"/>
            </w:rPr>
            <w:t>s</w:t>
          </w:r>
          <w:r w:rsidRPr="005D662D">
            <w:rPr>
              <w:lang w:val="en-US"/>
            </w:rPr>
            <w:t xml:space="preserve">eafood CoOL are estimated to be approximately </w:t>
          </w:r>
          <w:r w:rsidRPr="00244A78">
            <w:rPr>
              <w:lang w:val="en-US"/>
            </w:rPr>
            <w:t>$</w:t>
          </w:r>
          <w:r w:rsidR="00244A78" w:rsidRPr="00244A78">
            <w:rPr>
              <w:lang w:val="en-US"/>
            </w:rPr>
            <w:t>775</w:t>
          </w:r>
          <w:r w:rsidRPr="005D662D">
            <w:rPr>
              <w:lang w:val="en-US"/>
            </w:rPr>
            <w:t xml:space="preserve"> million in NPV terms over </w:t>
          </w:r>
          <w:r w:rsidR="00244A78">
            <w:rPr>
              <w:lang w:val="en-US"/>
            </w:rPr>
            <w:t>10</w:t>
          </w:r>
          <w:r w:rsidRPr="005D662D">
            <w:rPr>
              <w:lang w:val="en-US"/>
            </w:rPr>
            <w:t xml:space="preserve"> years, yielding a BCR </w:t>
          </w:r>
          <w:r w:rsidRPr="00244A78">
            <w:rPr>
              <w:lang w:val="en-US"/>
            </w:rPr>
            <w:t>of 1.</w:t>
          </w:r>
          <w:r w:rsidR="00244A78" w:rsidRPr="00244A78">
            <w:rPr>
              <w:lang w:val="en-US"/>
            </w:rPr>
            <w:t>33</w:t>
          </w:r>
          <w:r w:rsidRPr="005D662D">
            <w:rPr>
              <w:lang w:val="en-US"/>
            </w:rPr>
            <w:t xml:space="preserve">. Total costs are estimated to </w:t>
          </w:r>
          <w:r w:rsidRPr="00244A78">
            <w:rPr>
              <w:lang w:val="en-US"/>
            </w:rPr>
            <w:t>be $</w:t>
          </w:r>
          <w:r w:rsidR="00244A78" w:rsidRPr="00244A78">
            <w:rPr>
              <w:lang w:val="en-US"/>
            </w:rPr>
            <w:t>584</w:t>
          </w:r>
          <w:r w:rsidRPr="00244A78">
            <w:rPr>
              <w:lang w:val="en-US"/>
            </w:rPr>
            <w:t xml:space="preserve"> million</w:t>
          </w:r>
          <w:r w:rsidRPr="005D662D">
            <w:rPr>
              <w:lang w:val="en-US"/>
            </w:rPr>
            <w:t xml:space="preserve"> in NPV terms over </w:t>
          </w:r>
          <w:r w:rsidR="00BC0798">
            <w:rPr>
              <w:lang w:val="en-US"/>
            </w:rPr>
            <w:t>10</w:t>
          </w:r>
          <w:r w:rsidR="00BC0798" w:rsidRPr="005D662D">
            <w:rPr>
              <w:lang w:val="en-US"/>
            </w:rPr>
            <w:t xml:space="preserve"> </w:t>
          </w:r>
          <w:r w:rsidRPr="005D662D">
            <w:rPr>
              <w:lang w:val="en-US"/>
            </w:rPr>
            <w:t xml:space="preserve">years. </w:t>
          </w:r>
          <w:bookmarkEnd w:id="181"/>
          <w:bookmarkEnd w:id="182"/>
        </w:p>
        <w:p w14:paraId="430E599C" w14:textId="44F8201D" w:rsidR="00852D48" w:rsidRPr="00F1267B" w:rsidRDefault="00163DE0" w:rsidP="001347DC">
          <w:r w:rsidRPr="00C921B2">
            <w:t xml:space="preserve">The AIM model </w:t>
          </w:r>
          <w:r w:rsidR="00780D7B">
            <w:t>should be</w:t>
          </w:r>
          <w:r w:rsidRPr="00C921B2">
            <w:t xml:space="preserve"> relatively simple to implement. The requirement that only one letter be added next to each dish on printed menus and/or menu boards is one with minimal impact, and one that reduces the amount of time and money hospitality businesses will need to spend on implementation. This will, in turn, encourage early and consistent adoption by hospitality businesses should the model be applied.</w:t>
          </w:r>
          <w:r w:rsidRPr="00BC0798">
            <w:t xml:space="preserve"> </w:t>
          </w:r>
        </w:p>
        <w:p w14:paraId="4FC12F9C" w14:textId="77777777" w:rsidR="005D662D" w:rsidRPr="005D662D" w:rsidRDefault="005D662D" w:rsidP="00073493">
          <w:pPr>
            <w:pStyle w:val="Heading2"/>
            <w:numPr>
              <w:ilvl w:val="1"/>
              <w:numId w:val="15"/>
            </w:numPr>
          </w:pPr>
          <w:bookmarkStart w:id="186" w:name="_Toc140662061"/>
          <w:bookmarkStart w:id="187" w:name="_Toc141272767"/>
          <w:bookmarkStart w:id="188" w:name="_Toc151719087"/>
          <w:r w:rsidRPr="005D662D">
            <w:t>Why are the other options not preferred?</w:t>
          </w:r>
          <w:bookmarkEnd w:id="183"/>
          <w:bookmarkEnd w:id="184"/>
          <w:bookmarkEnd w:id="185"/>
          <w:bookmarkEnd w:id="186"/>
          <w:bookmarkEnd w:id="187"/>
          <w:bookmarkEnd w:id="188"/>
        </w:p>
        <w:p w14:paraId="5B8004E5" w14:textId="3E35B7D6" w:rsidR="00852D48" w:rsidRDefault="00852D48" w:rsidP="00680EB6">
          <w:pPr>
            <w:pStyle w:val="Heading3"/>
            <w:rPr>
              <w:rFonts w:eastAsia="Calibri"/>
            </w:rPr>
          </w:pPr>
          <w:r>
            <w:rPr>
              <w:rFonts w:eastAsia="Calibri"/>
            </w:rPr>
            <w:t>Option 1</w:t>
          </w:r>
          <w:r w:rsidR="001D0E64">
            <w:rPr>
              <w:rFonts w:eastAsia="Calibri"/>
            </w:rPr>
            <w:t>:</w:t>
          </w:r>
          <w:r>
            <w:rPr>
              <w:rFonts w:eastAsia="Calibri"/>
            </w:rPr>
            <w:t xml:space="preserve"> No change</w:t>
          </w:r>
        </w:p>
        <w:p w14:paraId="414C638A" w14:textId="61587D01" w:rsidR="005D662D" w:rsidRPr="005D662D" w:rsidRDefault="005D662D" w:rsidP="005D662D">
          <w:pPr>
            <w:rPr>
              <w:rFonts w:ascii="Verdana" w:eastAsia="Verdana" w:hAnsi="Verdana" w:cs="Times New Roman"/>
              <w:color w:val="000000"/>
              <w:sz w:val="18"/>
              <w:lang w:val="en-US"/>
            </w:rPr>
          </w:pPr>
          <w:r w:rsidRPr="005D662D">
            <w:rPr>
              <w:rFonts w:ascii="Calibri" w:eastAsia="Calibri" w:hAnsi="Calibri" w:cs="Times New Roman"/>
            </w:rPr>
            <w:t xml:space="preserve">Option 1 was </w:t>
          </w:r>
          <w:r w:rsidR="00BC0798">
            <w:rPr>
              <w:rFonts w:ascii="Calibri" w:eastAsia="Calibri" w:hAnsi="Calibri" w:cs="Times New Roman"/>
            </w:rPr>
            <w:t>determined un</w:t>
          </w:r>
          <w:r w:rsidRPr="005D662D">
            <w:rPr>
              <w:rFonts w:ascii="Calibri" w:eastAsia="Calibri" w:hAnsi="Calibri" w:cs="Times New Roman"/>
            </w:rPr>
            <w:t>acceptable as</w:t>
          </w:r>
          <w:r w:rsidR="00BC0798">
            <w:rPr>
              <w:rFonts w:ascii="Calibri" w:eastAsia="Calibri" w:hAnsi="Calibri" w:cs="Times New Roman"/>
            </w:rPr>
            <w:t xml:space="preserve"> it would not satisfy</w:t>
          </w:r>
          <w:r w:rsidRPr="005D662D">
            <w:rPr>
              <w:rFonts w:ascii="Calibri" w:eastAsia="Calibri" w:hAnsi="Calibri" w:cs="Times New Roman"/>
            </w:rPr>
            <w:t xml:space="preserve"> consumers and the Australian seafood industry</w:t>
          </w:r>
          <w:r w:rsidR="00BC0798">
            <w:rPr>
              <w:rFonts w:ascii="Calibri" w:eastAsia="Calibri" w:hAnsi="Calibri" w:cs="Times New Roman"/>
            </w:rPr>
            <w:t xml:space="preserve"> who</w:t>
          </w:r>
          <w:r w:rsidRPr="005D662D">
            <w:rPr>
              <w:rFonts w:ascii="Calibri" w:eastAsia="Calibri" w:hAnsi="Calibri" w:cs="Times New Roman"/>
            </w:rPr>
            <w:t xml:space="preserve"> have been calling for change for years to introduce a </w:t>
          </w:r>
          <w:r w:rsidR="001D0E64">
            <w:rPr>
              <w:rFonts w:ascii="Calibri" w:eastAsia="Calibri" w:hAnsi="Calibri" w:cs="Times New Roman"/>
            </w:rPr>
            <w:t>s</w:t>
          </w:r>
          <w:r w:rsidRPr="005D662D">
            <w:rPr>
              <w:rFonts w:ascii="Calibri" w:eastAsia="Calibri" w:hAnsi="Calibri" w:cs="Times New Roman"/>
            </w:rPr>
            <w:t>eafood CoOL into hospitality settings.</w:t>
          </w:r>
          <w:r w:rsidRPr="005D662D">
            <w:rPr>
              <w:rFonts w:ascii="Verdana" w:eastAsia="Verdana" w:hAnsi="Verdana" w:cs="Times New Roman"/>
              <w:color w:val="000000"/>
              <w:sz w:val="18"/>
              <w:lang w:val="en-US"/>
            </w:rPr>
            <w:t xml:space="preserve"> </w:t>
          </w:r>
        </w:p>
        <w:p w14:paraId="5767430A" w14:textId="778273F1" w:rsidR="00852D48" w:rsidRDefault="00852D48" w:rsidP="00680EB6">
          <w:pPr>
            <w:pStyle w:val="Heading3"/>
            <w:rPr>
              <w:rFonts w:eastAsia="Calibri"/>
              <w:lang w:val="en-US"/>
            </w:rPr>
          </w:pPr>
          <w:r>
            <w:rPr>
              <w:rFonts w:eastAsia="Calibri"/>
              <w:lang w:val="en-US"/>
            </w:rPr>
            <w:lastRenderedPageBreak/>
            <w:t xml:space="preserve">Option </w:t>
          </w:r>
          <w:r w:rsidR="003607E1">
            <w:rPr>
              <w:rFonts w:eastAsia="Calibri"/>
              <w:lang w:val="en-US"/>
            </w:rPr>
            <w:t>3</w:t>
          </w:r>
          <w:r w:rsidR="001D0E64">
            <w:rPr>
              <w:rFonts w:eastAsia="Calibri"/>
              <w:lang w:val="en-US"/>
            </w:rPr>
            <w:t>:</w:t>
          </w:r>
          <w:r>
            <w:rPr>
              <w:rFonts w:eastAsia="Calibri"/>
              <w:lang w:val="en-US"/>
            </w:rPr>
            <w:t xml:space="preserve"> </w:t>
          </w:r>
          <w:r w:rsidR="001D0E64">
            <w:rPr>
              <w:rFonts w:eastAsia="Calibri"/>
              <w:lang w:val="en-US"/>
            </w:rPr>
            <w:t xml:space="preserve">ACL </w:t>
          </w:r>
          <w:r w:rsidR="00D60415">
            <w:rPr>
              <w:rFonts w:eastAsia="Calibri"/>
              <w:lang w:val="en-US"/>
            </w:rPr>
            <w:t>i</w:t>
          </w:r>
          <w:r w:rsidR="001D0E64">
            <w:rPr>
              <w:rFonts w:eastAsia="Calibri"/>
              <w:lang w:val="en-US"/>
            </w:rPr>
            <w:t xml:space="preserve">nformation </w:t>
          </w:r>
          <w:r w:rsidR="00D60415">
            <w:rPr>
              <w:rFonts w:eastAsia="Calibri"/>
              <w:lang w:val="en-US"/>
            </w:rPr>
            <w:t>s</w:t>
          </w:r>
          <w:r w:rsidR="001D0E64">
            <w:rPr>
              <w:rFonts w:eastAsia="Calibri"/>
              <w:lang w:val="en-US"/>
            </w:rPr>
            <w:t xml:space="preserve">tandard – </w:t>
          </w:r>
          <w:r>
            <w:rPr>
              <w:rFonts w:eastAsia="Calibri"/>
              <w:lang w:val="en-US"/>
            </w:rPr>
            <w:t>Country model</w:t>
          </w:r>
        </w:p>
        <w:p w14:paraId="2B0F6F68" w14:textId="7982E8BD" w:rsidR="00852D48" w:rsidRDefault="00852D48" w:rsidP="005D662D">
          <w:pPr>
            <w:rPr>
              <w:rFonts w:ascii="Calibri" w:eastAsia="Calibri" w:hAnsi="Calibri" w:cs="Times New Roman"/>
              <w:lang w:val="en-US"/>
            </w:rPr>
          </w:pPr>
          <w:r>
            <w:rPr>
              <w:rFonts w:ascii="Calibri" w:eastAsia="Calibri" w:hAnsi="Calibri" w:cs="Times New Roman"/>
              <w:lang w:val="en-US"/>
            </w:rPr>
            <w:t xml:space="preserve">The CBA determined the costs associated with the </w:t>
          </w:r>
          <w:r w:rsidR="00357DAB">
            <w:rPr>
              <w:rFonts w:ascii="Calibri" w:eastAsia="Calibri" w:hAnsi="Calibri" w:cs="Times New Roman"/>
              <w:lang w:val="en-US"/>
            </w:rPr>
            <w:t>C</w:t>
          </w:r>
          <w:r>
            <w:rPr>
              <w:rFonts w:ascii="Calibri" w:eastAsia="Calibri" w:hAnsi="Calibri" w:cs="Times New Roman"/>
              <w:lang w:val="en-US"/>
            </w:rPr>
            <w:t xml:space="preserve">ountry model would exceed the benefits realised, with a BCR of </w:t>
          </w:r>
          <w:r w:rsidRPr="00244A78">
            <w:rPr>
              <w:rFonts w:ascii="Calibri" w:eastAsia="Calibri" w:hAnsi="Calibri" w:cs="Times New Roman"/>
              <w:lang w:val="en-US"/>
            </w:rPr>
            <w:t>0.8</w:t>
          </w:r>
          <w:r w:rsidR="00244A78" w:rsidRPr="00680EB6">
            <w:rPr>
              <w:rFonts w:ascii="Calibri" w:eastAsia="Calibri" w:hAnsi="Calibri" w:cs="Times New Roman"/>
              <w:lang w:val="en-US"/>
            </w:rPr>
            <w:t>1</w:t>
          </w:r>
          <w:r w:rsidR="005D662D" w:rsidRPr="005D662D">
            <w:rPr>
              <w:rFonts w:ascii="Calibri" w:eastAsia="Calibri" w:hAnsi="Calibri" w:cs="Times New Roman"/>
              <w:lang w:val="en-US"/>
            </w:rPr>
            <w:t xml:space="preserve">. Costs to industry </w:t>
          </w:r>
          <w:r>
            <w:rPr>
              <w:rFonts w:ascii="Calibri" w:eastAsia="Calibri" w:hAnsi="Calibri" w:cs="Times New Roman"/>
              <w:lang w:val="en-US"/>
            </w:rPr>
            <w:t>would be s</w:t>
          </w:r>
          <w:r w:rsidR="005D662D" w:rsidRPr="005D662D">
            <w:rPr>
              <w:rFonts w:ascii="Calibri" w:eastAsia="Calibri" w:hAnsi="Calibri" w:cs="Times New Roman"/>
              <w:lang w:val="en-US"/>
            </w:rPr>
            <w:t>ignificantly</w:t>
          </w:r>
          <w:r>
            <w:rPr>
              <w:rFonts w:ascii="Calibri" w:eastAsia="Calibri" w:hAnsi="Calibri" w:cs="Times New Roman"/>
              <w:lang w:val="en-US"/>
            </w:rPr>
            <w:t xml:space="preserve"> higher compared to the AIM model,</w:t>
          </w:r>
          <w:r w:rsidR="005D662D" w:rsidRPr="005D662D">
            <w:rPr>
              <w:rFonts w:ascii="Calibri" w:eastAsia="Calibri" w:hAnsi="Calibri" w:cs="Times New Roman"/>
              <w:lang w:val="en-US"/>
            </w:rPr>
            <w:t xml:space="preserve"> due </w:t>
          </w:r>
          <w:r>
            <w:rPr>
              <w:rFonts w:ascii="Calibri" w:eastAsia="Calibri" w:hAnsi="Calibri" w:cs="Times New Roman"/>
              <w:lang w:val="en-US"/>
            </w:rPr>
            <w:t xml:space="preserve">primarily </w:t>
          </w:r>
          <w:r w:rsidR="005D662D" w:rsidRPr="005D662D">
            <w:rPr>
              <w:rFonts w:ascii="Calibri" w:eastAsia="Calibri" w:hAnsi="Calibri" w:cs="Times New Roman"/>
              <w:lang w:val="en-US"/>
            </w:rPr>
            <w:t>to</w:t>
          </w:r>
          <w:r>
            <w:rPr>
              <w:rFonts w:ascii="Calibri" w:eastAsia="Calibri" w:hAnsi="Calibri" w:cs="Times New Roman"/>
              <w:lang w:val="en-US"/>
            </w:rPr>
            <w:t>:</w:t>
          </w:r>
        </w:p>
        <w:p w14:paraId="4F54A722" w14:textId="384E928E" w:rsidR="00852D48" w:rsidRPr="00680EB6" w:rsidRDefault="005D662D" w:rsidP="00680EB6">
          <w:pPr>
            <w:numPr>
              <w:ilvl w:val="0"/>
              <w:numId w:val="1"/>
            </w:numPr>
          </w:pPr>
          <w:r w:rsidRPr="00680EB6">
            <w:t>higher upfront costs to establish labelling practices</w:t>
          </w:r>
        </w:p>
        <w:p w14:paraId="03348C5F" w14:textId="0CA6C8A6" w:rsidR="00852D48" w:rsidRPr="00680EB6" w:rsidRDefault="005D662D" w:rsidP="00680EB6">
          <w:pPr>
            <w:numPr>
              <w:ilvl w:val="0"/>
              <w:numId w:val="1"/>
            </w:numPr>
          </w:pPr>
          <w:r w:rsidRPr="00680EB6">
            <w:t>greater frequency of menu updates to comply with specific country labelling standards</w:t>
          </w:r>
          <w:r w:rsidR="00852D48">
            <w:t>.</w:t>
          </w:r>
        </w:p>
        <w:p w14:paraId="2A93863E" w14:textId="7C6A560A" w:rsidR="005D662D" w:rsidRPr="005D662D" w:rsidRDefault="00163DE0" w:rsidP="00852D48">
          <w:pPr>
            <w:rPr>
              <w:rFonts w:ascii="Verdana" w:eastAsia="Verdana" w:hAnsi="Verdana"/>
              <w:color w:val="000000"/>
              <w:spacing w:val="-1"/>
              <w:sz w:val="18"/>
              <w:lang w:val="en-US"/>
            </w:rPr>
          </w:pPr>
          <w:r>
            <w:rPr>
              <w:lang w:val="en-US"/>
            </w:rPr>
            <w:t>The CBA found that b</w:t>
          </w:r>
          <w:r w:rsidR="00852D48">
            <w:rPr>
              <w:lang w:val="en-US"/>
            </w:rPr>
            <w:t>enefits to c</w:t>
          </w:r>
          <w:r w:rsidR="005D662D" w:rsidRPr="005D662D">
            <w:rPr>
              <w:lang w:val="en-US"/>
            </w:rPr>
            <w:t>onsumer</w:t>
          </w:r>
          <w:r w:rsidR="00852D48">
            <w:rPr>
              <w:lang w:val="en-US"/>
            </w:rPr>
            <w:t>s</w:t>
          </w:r>
          <w:r w:rsidR="005D662D" w:rsidRPr="005D662D">
            <w:rPr>
              <w:lang w:val="en-US"/>
            </w:rPr>
            <w:t xml:space="preserve"> </w:t>
          </w:r>
          <w:r w:rsidR="00852D48">
            <w:rPr>
              <w:lang w:val="en-US"/>
            </w:rPr>
            <w:t>would</w:t>
          </w:r>
          <w:r w:rsidR="00852D48" w:rsidRPr="005D662D">
            <w:rPr>
              <w:lang w:val="en-US"/>
            </w:rPr>
            <w:t xml:space="preserve"> </w:t>
          </w:r>
          <w:r w:rsidR="005D662D" w:rsidRPr="005D662D">
            <w:rPr>
              <w:lang w:val="en-US"/>
            </w:rPr>
            <w:t xml:space="preserve">not materially increase </w:t>
          </w:r>
          <w:r w:rsidR="00852D48">
            <w:rPr>
              <w:lang w:val="en-US"/>
            </w:rPr>
            <w:t>under th</w:t>
          </w:r>
          <w:r>
            <w:rPr>
              <w:lang w:val="en-US"/>
            </w:rPr>
            <w:t>e Country</w:t>
          </w:r>
          <w:r w:rsidR="00852D48">
            <w:rPr>
              <w:lang w:val="en-US"/>
            </w:rPr>
            <w:t xml:space="preserve"> model</w:t>
          </w:r>
          <w:r>
            <w:rPr>
              <w:lang w:val="en-US"/>
            </w:rPr>
            <w:t xml:space="preserve"> (compared to the AIM model) because, although consumers valued knowing the country of origin for imported seafood, their willingness to pay for this information did not equal or exceed the additional costs to businesses.</w:t>
          </w:r>
          <w:r w:rsidR="00852D48">
            <w:rPr>
              <w:lang w:val="en-US"/>
            </w:rPr>
            <w:t xml:space="preserve"> </w:t>
          </w:r>
        </w:p>
        <w:p w14:paraId="7966A247" w14:textId="6D9F7EB8" w:rsidR="005D662D" w:rsidRPr="005D662D" w:rsidRDefault="005D662D" w:rsidP="005D662D">
          <w:pPr>
            <w:rPr>
              <w:rFonts w:ascii="Calibri" w:eastAsia="Calibri" w:hAnsi="Calibri" w:cs="Times New Roman"/>
            </w:rPr>
          </w:pPr>
          <w:r w:rsidRPr="005D662D">
            <w:rPr>
              <w:rFonts w:ascii="Calibri" w:eastAsia="Calibri" w:hAnsi="Calibri" w:cs="Times New Roman"/>
              <w:lang w:val="en-US"/>
            </w:rPr>
            <w:t xml:space="preserve">Total costs under this option are estimated to be </w:t>
          </w:r>
          <w:r w:rsidRPr="00244A78">
            <w:rPr>
              <w:rFonts w:ascii="Calibri" w:eastAsia="Calibri" w:hAnsi="Calibri" w:cs="Times New Roman"/>
              <w:lang w:val="en-US"/>
            </w:rPr>
            <w:t>$</w:t>
          </w:r>
          <w:r w:rsidR="00244A78" w:rsidRPr="00244A78">
            <w:rPr>
              <w:rFonts w:ascii="Calibri" w:eastAsia="Calibri" w:hAnsi="Calibri" w:cs="Times New Roman"/>
              <w:lang w:val="en-US"/>
            </w:rPr>
            <w:t>960</w:t>
          </w:r>
          <w:r w:rsidR="001D0E64">
            <w:rPr>
              <w:rFonts w:ascii="Calibri" w:eastAsia="Calibri" w:hAnsi="Calibri" w:cs="Times New Roman"/>
              <w:lang w:val="en-US"/>
            </w:rPr>
            <w:t xml:space="preserve"> </w:t>
          </w:r>
          <w:r w:rsidRPr="00244A78">
            <w:rPr>
              <w:rFonts w:ascii="Calibri" w:eastAsia="Calibri" w:hAnsi="Calibri" w:cs="Times New Roman"/>
              <w:lang w:val="en-US"/>
            </w:rPr>
            <w:t>million in NPV</w:t>
          </w:r>
          <w:r w:rsidRPr="005D662D">
            <w:rPr>
              <w:rFonts w:ascii="Calibri" w:eastAsia="Calibri" w:hAnsi="Calibri" w:cs="Times New Roman"/>
              <w:lang w:val="en-US"/>
            </w:rPr>
            <w:t xml:space="preserve"> terms over </w:t>
          </w:r>
          <w:r w:rsidR="00244A78">
            <w:rPr>
              <w:rFonts w:ascii="Calibri" w:eastAsia="Calibri" w:hAnsi="Calibri" w:cs="Times New Roman"/>
              <w:lang w:val="en-US"/>
            </w:rPr>
            <w:t xml:space="preserve">10 </w:t>
          </w:r>
          <w:r w:rsidRPr="005D662D">
            <w:rPr>
              <w:rFonts w:ascii="Calibri" w:eastAsia="Calibri" w:hAnsi="Calibri" w:cs="Times New Roman"/>
              <w:lang w:val="en-US"/>
            </w:rPr>
            <w:t xml:space="preserve">years, with benefits estimated at </w:t>
          </w:r>
          <w:r w:rsidRPr="00244A78">
            <w:rPr>
              <w:rFonts w:ascii="Calibri" w:eastAsia="Calibri" w:hAnsi="Calibri" w:cs="Times New Roman"/>
              <w:lang w:val="en-US"/>
            </w:rPr>
            <w:t>$</w:t>
          </w:r>
          <w:r w:rsidR="00244A78">
            <w:rPr>
              <w:rFonts w:ascii="Calibri" w:eastAsia="Calibri" w:hAnsi="Calibri" w:cs="Times New Roman"/>
              <w:lang w:val="en-US"/>
            </w:rPr>
            <w:t>775</w:t>
          </w:r>
          <w:r w:rsidRPr="00244A78">
            <w:rPr>
              <w:rFonts w:ascii="Calibri" w:eastAsia="Calibri" w:hAnsi="Calibri" w:cs="Times New Roman"/>
              <w:lang w:val="en-US"/>
            </w:rPr>
            <w:t xml:space="preserve"> million</w:t>
          </w:r>
          <w:r w:rsidRPr="005D662D">
            <w:rPr>
              <w:rFonts w:ascii="Calibri" w:eastAsia="Calibri" w:hAnsi="Calibri" w:cs="Times New Roman"/>
              <w:lang w:val="en-US"/>
            </w:rPr>
            <w:t xml:space="preserve">. Benefits </w:t>
          </w:r>
          <w:r w:rsidR="0004583B">
            <w:rPr>
              <w:rFonts w:ascii="Calibri" w:eastAsia="Calibri" w:hAnsi="Calibri" w:cs="Times New Roman"/>
              <w:lang w:val="en-US"/>
            </w:rPr>
            <w:t>did</w:t>
          </w:r>
          <w:r w:rsidRPr="005D662D">
            <w:rPr>
              <w:rFonts w:ascii="Calibri" w:eastAsia="Calibri" w:hAnsi="Calibri" w:cs="Times New Roman"/>
              <w:lang w:val="en-US"/>
            </w:rPr>
            <w:t xml:space="preserve"> not increase relative to the AIM model, as data captured in the consumer survey and during focus groups did not indicate a material difference in monetised value between the </w:t>
          </w:r>
          <w:r w:rsidR="001D0E64">
            <w:rPr>
              <w:rFonts w:ascii="Calibri" w:eastAsia="Calibri" w:hAnsi="Calibri" w:cs="Times New Roman"/>
              <w:lang w:val="en-US"/>
            </w:rPr>
            <w:t>2</w:t>
          </w:r>
          <w:r w:rsidRPr="005D662D">
            <w:rPr>
              <w:rFonts w:ascii="Calibri" w:eastAsia="Calibri" w:hAnsi="Calibri" w:cs="Times New Roman"/>
              <w:lang w:val="en-US"/>
            </w:rPr>
            <w:t xml:space="preserve"> options. The costs and benefits under the </w:t>
          </w:r>
          <w:r w:rsidR="0004583B">
            <w:rPr>
              <w:rFonts w:ascii="Calibri" w:eastAsia="Calibri" w:hAnsi="Calibri" w:cs="Times New Roman"/>
              <w:lang w:val="en-US"/>
            </w:rPr>
            <w:t>C</w:t>
          </w:r>
          <w:r w:rsidRPr="005D662D">
            <w:rPr>
              <w:rFonts w:ascii="Calibri" w:eastAsia="Calibri" w:hAnsi="Calibri" w:cs="Times New Roman"/>
              <w:lang w:val="en-US"/>
            </w:rPr>
            <w:t>ountry model yield</w:t>
          </w:r>
          <w:r w:rsidR="0004583B">
            <w:rPr>
              <w:rFonts w:ascii="Calibri" w:eastAsia="Calibri" w:hAnsi="Calibri" w:cs="Times New Roman"/>
              <w:lang w:val="en-US"/>
            </w:rPr>
            <w:t>ed</w:t>
          </w:r>
          <w:r w:rsidRPr="005D662D">
            <w:rPr>
              <w:rFonts w:ascii="Calibri" w:eastAsia="Calibri" w:hAnsi="Calibri" w:cs="Times New Roman"/>
              <w:lang w:val="en-US"/>
            </w:rPr>
            <w:t xml:space="preserve"> a BCR of </w:t>
          </w:r>
          <w:r w:rsidRPr="00244A78">
            <w:rPr>
              <w:rFonts w:ascii="Calibri" w:eastAsia="Calibri" w:hAnsi="Calibri" w:cs="Times New Roman"/>
              <w:lang w:val="en-US"/>
            </w:rPr>
            <w:t>0.8</w:t>
          </w:r>
          <w:r w:rsidR="00244A78" w:rsidRPr="00244A78">
            <w:rPr>
              <w:rFonts w:ascii="Calibri" w:eastAsia="Calibri" w:hAnsi="Calibri" w:cs="Times New Roman"/>
              <w:lang w:val="en-US"/>
            </w:rPr>
            <w:t>1</w:t>
          </w:r>
          <w:r w:rsidRPr="005D662D">
            <w:rPr>
              <w:rFonts w:ascii="Calibri" w:eastAsia="Calibri" w:hAnsi="Calibri" w:cs="Times New Roman"/>
              <w:lang w:val="en-US"/>
            </w:rPr>
            <w:t xml:space="preserve">. Members of the Australian </w:t>
          </w:r>
          <w:r w:rsidR="00244A78">
            <w:rPr>
              <w:rFonts w:ascii="Calibri" w:eastAsia="Calibri" w:hAnsi="Calibri" w:cs="Times New Roman"/>
              <w:lang w:val="en-US"/>
            </w:rPr>
            <w:t>s</w:t>
          </w:r>
          <w:r w:rsidRPr="005D662D">
            <w:rPr>
              <w:rFonts w:ascii="Calibri" w:eastAsia="Calibri" w:hAnsi="Calibri" w:cs="Times New Roman"/>
              <w:lang w:val="en-US"/>
            </w:rPr>
            <w:t xml:space="preserve">eafood </w:t>
          </w:r>
          <w:r w:rsidR="00244A78">
            <w:rPr>
              <w:rFonts w:ascii="Calibri" w:eastAsia="Calibri" w:hAnsi="Calibri" w:cs="Times New Roman"/>
              <w:lang w:val="en-US"/>
            </w:rPr>
            <w:t>i</w:t>
          </w:r>
          <w:r w:rsidRPr="005D662D">
            <w:rPr>
              <w:rFonts w:ascii="Calibri" w:eastAsia="Calibri" w:hAnsi="Calibri" w:cs="Times New Roman"/>
              <w:lang w:val="en-US"/>
            </w:rPr>
            <w:t xml:space="preserve">ndustry </w:t>
          </w:r>
          <w:r w:rsidR="001D0E64">
            <w:rPr>
              <w:rFonts w:ascii="Calibri" w:eastAsia="Calibri" w:hAnsi="Calibri" w:cs="Times New Roman"/>
              <w:lang w:val="en-US"/>
            </w:rPr>
            <w:t xml:space="preserve">also </w:t>
          </w:r>
          <w:r w:rsidRPr="005D662D">
            <w:rPr>
              <w:rFonts w:ascii="Calibri" w:eastAsia="Calibri" w:hAnsi="Calibri" w:cs="Times New Roman"/>
              <w:lang w:val="en-US"/>
            </w:rPr>
            <w:t xml:space="preserve">acknowledge that </w:t>
          </w:r>
          <w:r w:rsidR="001D0E64" w:rsidRPr="00C921B2">
            <w:rPr>
              <w:rFonts w:ascii="Calibri" w:eastAsia="Calibri" w:hAnsi="Calibri" w:cs="Times New Roman"/>
              <w:lang w:val="en-US"/>
            </w:rPr>
            <w:t>O</w:t>
          </w:r>
          <w:r w:rsidRPr="00C921B2">
            <w:rPr>
              <w:rFonts w:ascii="Calibri" w:eastAsia="Calibri" w:hAnsi="Calibri" w:cs="Times New Roman"/>
              <w:lang w:val="en-US"/>
            </w:rPr>
            <w:t>ption 3</w:t>
          </w:r>
          <w:r w:rsidRPr="005D662D">
            <w:rPr>
              <w:rFonts w:ascii="Calibri" w:eastAsia="Calibri" w:hAnsi="Calibri" w:cs="Times New Roman"/>
              <w:lang w:val="en-US"/>
            </w:rPr>
            <w:t xml:space="preserve"> places too much </w:t>
          </w:r>
          <w:r w:rsidRPr="005D662D">
            <w:rPr>
              <w:rFonts w:ascii="Calibri" w:eastAsia="Calibri" w:hAnsi="Calibri" w:cs="Times New Roman"/>
            </w:rPr>
            <w:t>burden on hospitality businesses to change their menu labelling due to the seasonality of seafood supply and rising administrative costs.</w:t>
          </w:r>
        </w:p>
        <w:p w14:paraId="345F5985" w14:textId="11EF6011" w:rsidR="005D662D" w:rsidRPr="001347DC" w:rsidRDefault="00255700" w:rsidP="00FA5E07">
          <w:pPr>
            <w:pStyle w:val="IntenseQuote"/>
          </w:pPr>
          <w:r>
            <w:t>‘</w:t>
          </w:r>
          <w:r w:rsidR="005D662D" w:rsidRPr="005D662D">
            <w:t>The country model is not a preferred option. The costs of providing greater detail are not outweighed by the benefits to the consumer of this greater detail.</w:t>
          </w:r>
          <w:r>
            <w:t xml:space="preserve">’ </w:t>
          </w:r>
          <w:r w:rsidR="00163DE0">
            <w:t xml:space="preserve">              </w:t>
          </w:r>
          <w:r w:rsidRPr="00A345FB">
            <w:t>—</w:t>
          </w:r>
          <w:r>
            <w:t xml:space="preserve"> </w:t>
          </w:r>
          <w:r w:rsidR="005D662D" w:rsidRPr="005D662D">
            <w:t>Tasmanian Seafood Industry Council</w:t>
          </w:r>
          <w:r w:rsidR="005D662D" w:rsidRPr="001347DC">
            <w:t xml:space="preserve"> </w:t>
          </w:r>
        </w:p>
        <w:p w14:paraId="7270A239" w14:textId="77777777" w:rsidR="00A5528C" w:rsidRPr="005D662D" w:rsidRDefault="00A5528C" w:rsidP="00073493">
          <w:pPr>
            <w:pStyle w:val="Heading2"/>
            <w:numPr>
              <w:ilvl w:val="1"/>
              <w:numId w:val="15"/>
            </w:numPr>
          </w:pPr>
          <w:bookmarkStart w:id="189" w:name="_Toc151719088"/>
          <w:bookmarkStart w:id="190" w:name="_Toc135727248"/>
          <w:bookmarkStart w:id="191" w:name="_Toc136419202"/>
          <w:bookmarkStart w:id="192" w:name="_Toc136425256"/>
          <w:r w:rsidRPr="005D662D">
            <w:t>Implementation</w:t>
          </w:r>
          <w:bookmarkEnd w:id="189"/>
        </w:p>
        <w:p w14:paraId="3F822A97" w14:textId="71FC0EA7" w:rsidR="005D662D" w:rsidRPr="005D662D" w:rsidRDefault="005D662D" w:rsidP="001347DC">
          <w:r w:rsidRPr="005D662D">
            <w:t xml:space="preserve">Delivering </w:t>
          </w:r>
          <w:r w:rsidR="0039667A">
            <w:t>s</w:t>
          </w:r>
          <w:r w:rsidR="00E4182B">
            <w:t xml:space="preserve">eafood CoOL through the AIM model </w:t>
          </w:r>
          <w:r w:rsidRPr="005D662D">
            <w:t xml:space="preserve">will </w:t>
          </w:r>
          <w:r w:rsidR="00E4182B">
            <w:t>involve</w:t>
          </w:r>
          <w:r w:rsidRPr="005D662D">
            <w:t>:</w:t>
          </w:r>
        </w:p>
        <w:p w14:paraId="067E744C" w14:textId="3002AB4B" w:rsidR="005D662D" w:rsidRPr="00875EC1" w:rsidRDefault="00583501" w:rsidP="00680EB6">
          <w:pPr>
            <w:numPr>
              <w:ilvl w:val="0"/>
              <w:numId w:val="1"/>
            </w:numPr>
          </w:pPr>
          <w:r w:rsidRPr="00680EB6">
            <w:t xml:space="preserve">finalisation and </w:t>
          </w:r>
          <w:r w:rsidR="005D662D" w:rsidRPr="00875EC1">
            <w:t xml:space="preserve">enactment of the </w:t>
          </w:r>
          <w:r w:rsidR="00E4182B" w:rsidRPr="00875EC1">
            <w:t>Seafood CoOL</w:t>
          </w:r>
          <w:r w:rsidR="005D662D" w:rsidRPr="00875EC1">
            <w:t xml:space="preserve"> Standard</w:t>
          </w:r>
        </w:p>
        <w:p w14:paraId="2D44D7CB" w14:textId="71722227" w:rsidR="00583501" w:rsidRPr="00875EC1" w:rsidRDefault="00583501" w:rsidP="00680EB6">
          <w:pPr>
            <w:numPr>
              <w:ilvl w:val="0"/>
              <w:numId w:val="1"/>
            </w:numPr>
          </w:pPr>
          <w:r w:rsidRPr="00875EC1">
            <w:t>development of clear and accessible guidance materials for businesses in a range of languages</w:t>
          </w:r>
        </w:p>
        <w:p w14:paraId="77C84D96" w14:textId="42951E11" w:rsidR="00E4182B" w:rsidRPr="00875EC1" w:rsidRDefault="00E4182B" w:rsidP="00680EB6">
          <w:pPr>
            <w:numPr>
              <w:ilvl w:val="0"/>
              <w:numId w:val="1"/>
            </w:numPr>
          </w:pPr>
          <w:r w:rsidRPr="00875EC1">
            <w:t>implementation of a communication strategy to raise awareness and educate consumers and hospitality businesses about the new requirements</w:t>
          </w:r>
        </w:p>
        <w:p w14:paraId="7AA6BE71" w14:textId="76802417" w:rsidR="00E4182B" w:rsidRPr="00875EC1" w:rsidRDefault="005D662D" w:rsidP="00680EB6">
          <w:pPr>
            <w:numPr>
              <w:ilvl w:val="0"/>
              <w:numId w:val="1"/>
            </w:numPr>
          </w:pPr>
          <w:r w:rsidRPr="00875EC1">
            <w:t>monitoring</w:t>
          </w:r>
          <w:r w:rsidR="00E4182B" w:rsidRPr="00875EC1">
            <w:t xml:space="preserve"> and</w:t>
          </w:r>
          <w:r w:rsidR="00583501" w:rsidRPr="00875EC1">
            <w:t xml:space="preserve"> compliance activities </w:t>
          </w:r>
        </w:p>
        <w:p w14:paraId="3FC921BC" w14:textId="78BBA939" w:rsidR="00583501" w:rsidRPr="00875EC1" w:rsidRDefault="00583501" w:rsidP="00680EB6">
          <w:pPr>
            <w:numPr>
              <w:ilvl w:val="0"/>
              <w:numId w:val="1"/>
            </w:numPr>
          </w:pPr>
          <w:r w:rsidRPr="00875EC1">
            <w:t>evaluation of the effectiveness of the scheme.</w:t>
          </w:r>
        </w:p>
        <w:bookmarkEnd w:id="190"/>
        <w:bookmarkEnd w:id="191"/>
        <w:bookmarkEnd w:id="192"/>
        <w:p w14:paraId="26AB8E34" w14:textId="1ACD4737" w:rsidR="005D662D" w:rsidRPr="005D662D" w:rsidRDefault="005D662D" w:rsidP="00023DAA">
          <w:r w:rsidRPr="005D662D">
            <w:t xml:space="preserve">Should Consumer Ministers agree to the preferred option in this decision RIS (Option 2), the ACL will be amended to reflect the proposed additional regulation </w:t>
          </w:r>
          <w:r w:rsidR="00957B22">
            <w:t>as</w:t>
          </w:r>
          <w:r w:rsidRPr="005D662D">
            <w:t xml:space="preserve"> described in Option 2.</w:t>
          </w:r>
          <w:r w:rsidR="00331076">
            <w:t xml:space="preserve"> The Seafood CoOL Standard </w:t>
          </w:r>
          <w:r w:rsidR="004B27A2">
            <w:t xml:space="preserve">would most likely be signed </w:t>
          </w:r>
          <w:r w:rsidR="00D60415">
            <w:t>in mid-2024</w:t>
          </w:r>
          <w:r w:rsidR="004B27A2">
            <w:t xml:space="preserve">, however this would be subject to other </w:t>
          </w:r>
          <w:r w:rsidR="005D224B">
            <w:t>g</w:t>
          </w:r>
          <w:r w:rsidR="004B27A2">
            <w:t>overnment priorities</w:t>
          </w:r>
          <w:r w:rsidR="004B27A2" w:rsidRPr="004B27A2">
            <w:t xml:space="preserve"> </w:t>
          </w:r>
          <w:r w:rsidR="004B27A2" w:rsidRPr="005D662D">
            <w:t>and the need to ensure sufficient consultation to resolve the various complexities of any proposed reforms</w:t>
          </w:r>
          <w:r w:rsidR="004B27A2">
            <w:t>.</w:t>
          </w:r>
        </w:p>
        <w:p w14:paraId="1E7B211B" w14:textId="7A041643" w:rsidR="005D662D" w:rsidRPr="005D662D" w:rsidRDefault="005D662D" w:rsidP="00023DAA">
          <w:r w:rsidRPr="005D662D">
            <w:t xml:space="preserve">To help ensure </w:t>
          </w:r>
          <w:r w:rsidR="0039667A">
            <w:t>s</w:t>
          </w:r>
          <w:r w:rsidRPr="005D662D">
            <w:t>eafood CoOL is successful, it should be implemented consistently across all jurisdictions.</w:t>
          </w:r>
        </w:p>
        <w:p w14:paraId="3E2048D4" w14:textId="224DC131" w:rsidR="00C64679" w:rsidRPr="005D662D" w:rsidRDefault="005D662D" w:rsidP="004B27A2">
          <w:r w:rsidRPr="005D662D">
            <w:lastRenderedPageBreak/>
            <w:t xml:space="preserve">Respondents to the discussion paper </w:t>
          </w:r>
          <w:r w:rsidR="004B27A2">
            <w:t>and c</w:t>
          </w:r>
          <w:r w:rsidR="004B27A2" w:rsidRPr="005D662D">
            <w:t xml:space="preserve">onsultation RIS </w:t>
          </w:r>
          <w:r w:rsidRPr="005D662D">
            <w:t xml:space="preserve">emphasised the importance of a comprehensive, accessible, and inclusive education and awareness </w:t>
          </w:r>
          <w:r w:rsidR="0004583B">
            <w:t>strategy</w:t>
          </w:r>
          <w:r w:rsidR="0004583B" w:rsidRPr="005D662D">
            <w:t xml:space="preserve"> </w:t>
          </w:r>
          <w:r w:rsidRPr="005D662D">
            <w:t xml:space="preserve">to accompany the introduction of </w:t>
          </w:r>
          <w:r w:rsidR="0039667A">
            <w:t>s</w:t>
          </w:r>
          <w:r w:rsidRPr="005D662D">
            <w:t>eafood CoOL. The</w:t>
          </w:r>
          <w:r w:rsidR="0004583B">
            <w:t xml:space="preserve"> strategy </w:t>
          </w:r>
          <w:r w:rsidRPr="005D662D">
            <w:t xml:space="preserve">would need to cover a nation-wide audience and be targeted towards consumers, impacted businesses, and seafood suppliers. </w:t>
          </w:r>
        </w:p>
        <w:p w14:paraId="65654217" w14:textId="77777777" w:rsidR="005D662D" w:rsidRPr="005D662D" w:rsidRDefault="005D662D" w:rsidP="00073493">
          <w:pPr>
            <w:pStyle w:val="Heading2"/>
            <w:numPr>
              <w:ilvl w:val="1"/>
              <w:numId w:val="15"/>
            </w:numPr>
          </w:pPr>
          <w:bookmarkStart w:id="193" w:name="_Toc140662065"/>
          <w:bookmarkStart w:id="194" w:name="_Toc141272771"/>
          <w:bookmarkStart w:id="195" w:name="_Toc151719089"/>
          <w:r w:rsidRPr="005D662D">
            <w:t>Transition period</w:t>
          </w:r>
          <w:bookmarkEnd w:id="193"/>
          <w:bookmarkEnd w:id="194"/>
          <w:bookmarkEnd w:id="195"/>
        </w:p>
        <w:p w14:paraId="7993A609" w14:textId="58F0ACCB" w:rsidR="005D662D" w:rsidRPr="005D662D" w:rsidRDefault="005D662D" w:rsidP="00023DAA">
          <w:r w:rsidRPr="005D662D">
            <w:t>Consumer</w:t>
          </w:r>
          <w:r w:rsidR="0032483E">
            <w:t>s and consumer</w:t>
          </w:r>
          <w:r w:rsidRPr="005D662D">
            <w:t xml:space="preserve"> groups generally favoured a relatively short transition period of no more than </w:t>
          </w:r>
          <w:r w:rsidR="004B27A2">
            <w:t>6</w:t>
          </w:r>
          <w:r w:rsidRPr="005D662D">
            <w:t xml:space="preserve"> months, so that consumers can benefit from the changes as early as possible.</w:t>
          </w:r>
          <w:r w:rsidR="004B27A2">
            <w:t xml:space="preserve"> </w:t>
          </w:r>
          <w:r w:rsidRPr="005D662D">
            <w:t xml:space="preserve">Respondents from the hospitality industry generally indicated that a longer transition period would be necessary. </w:t>
          </w:r>
        </w:p>
        <w:p w14:paraId="3055B02A" w14:textId="7347CAAC" w:rsidR="005D662D" w:rsidRPr="005D662D" w:rsidRDefault="005D662D" w:rsidP="00023DAA">
          <w:r w:rsidRPr="005D662D">
            <w:t xml:space="preserve">Overall, it appeared to be the general industry consensus that, for a range of updates, a period of </w:t>
          </w:r>
          <w:r w:rsidR="004B27A2">
            <w:t>6</w:t>
          </w:r>
          <w:r w:rsidRPr="005D662D">
            <w:t xml:space="preserve"> months may be possible but, for certain updates, 12–18 months would be an appropriate transition period. Industry respondents noted that the burden of implementation would be felt significantly by smaller businesses.</w:t>
          </w:r>
        </w:p>
        <w:p w14:paraId="62540FB3" w14:textId="01812937" w:rsidR="005D662D" w:rsidRPr="005D662D" w:rsidRDefault="005D662D" w:rsidP="00023DAA">
          <w:r w:rsidRPr="005D662D">
            <w:t xml:space="preserve">The </w:t>
          </w:r>
          <w:r w:rsidR="004B27A2">
            <w:t xml:space="preserve">draft </w:t>
          </w:r>
          <w:r w:rsidRPr="005D662D">
            <w:t>Seafood CoOL S</w:t>
          </w:r>
          <w:r w:rsidR="0039667A">
            <w:t>tandard</w:t>
          </w:r>
          <w:r w:rsidR="004B27A2">
            <w:t xml:space="preserve"> has been proposed to commence on</w:t>
          </w:r>
          <w:r w:rsidRPr="005D662D">
            <w:t xml:space="preserve"> 1 January 2025</w:t>
          </w:r>
          <w:r w:rsidR="004B27A2">
            <w:t>, with an awareness and education strategy rolled out from mid-2024.</w:t>
          </w:r>
        </w:p>
        <w:p w14:paraId="4DEB3B11" w14:textId="77777777" w:rsidR="005D662D" w:rsidRPr="005D662D" w:rsidRDefault="005D662D" w:rsidP="00073493">
          <w:pPr>
            <w:pStyle w:val="Heading2"/>
            <w:numPr>
              <w:ilvl w:val="1"/>
              <w:numId w:val="15"/>
            </w:numPr>
          </w:pPr>
          <w:bookmarkStart w:id="196" w:name="_Toc140662066"/>
          <w:bookmarkStart w:id="197" w:name="_Toc141272772"/>
          <w:bookmarkStart w:id="198" w:name="_Toc151719090"/>
          <w:r w:rsidRPr="005D662D">
            <w:t>Implementation risks</w:t>
          </w:r>
          <w:bookmarkEnd w:id="196"/>
          <w:bookmarkEnd w:id="197"/>
          <w:bookmarkEnd w:id="198"/>
        </w:p>
        <w:p w14:paraId="7A9263F3" w14:textId="1BF93278" w:rsidR="00AB08C5" w:rsidRDefault="00AB08C5" w:rsidP="00023DAA">
          <w:r>
            <w:t xml:space="preserve">ACL regulators have expressed concern about potentially high levels of non-compliance with </w:t>
          </w:r>
          <w:r w:rsidR="00337682">
            <w:t>s</w:t>
          </w:r>
          <w:r>
            <w:t xml:space="preserve">eafood CoOL. </w:t>
          </w:r>
          <w:r w:rsidR="00D01F88">
            <w:t xml:space="preserve">Non-compliance may be for </w:t>
          </w:r>
          <w:proofErr w:type="gramStart"/>
          <w:r w:rsidR="00D01F88">
            <w:t>a number of</w:t>
          </w:r>
          <w:proofErr w:type="gramEnd"/>
          <w:r w:rsidR="00D01F88">
            <w:t xml:space="preserve"> reasons, from a lack of education and awareness to deliberate mislabelling. Concerns about non-compliance primarily </w:t>
          </w:r>
          <w:r>
            <w:t xml:space="preserve">stem from the size and complexity of the hospitality sector </w:t>
          </w:r>
          <w:r w:rsidR="00337682">
            <w:t xml:space="preserve">(including </w:t>
          </w:r>
          <w:r>
            <w:t xml:space="preserve">the significant number of small businesses and </w:t>
          </w:r>
          <w:r w:rsidR="00B642A7">
            <w:t xml:space="preserve">culturally and linguistically diverse </w:t>
          </w:r>
          <w:r w:rsidR="005F298A">
            <w:t xml:space="preserve">(CALD) </w:t>
          </w:r>
          <w:r w:rsidR="00B642A7">
            <w:t>business owners</w:t>
          </w:r>
          <w:r w:rsidR="00337682">
            <w:t>), and the lack of regulator capacity to carry ou</w:t>
          </w:r>
          <w:r w:rsidR="0004583B">
            <w:t>t</w:t>
          </w:r>
          <w:r w:rsidR="00337682">
            <w:t xml:space="preserve"> high levels of inspections across jurisdictions</w:t>
          </w:r>
          <w:r>
            <w:t xml:space="preserve">. </w:t>
          </w:r>
        </w:p>
        <w:p w14:paraId="5DFE58F0" w14:textId="15E1F82E" w:rsidR="00D01F88" w:rsidRDefault="00D01F88" w:rsidP="00023DAA">
          <w:r>
            <w:t xml:space="preserve">To address these concerns, the department consulted with Commonwealth, </w:t>
          </w:r>
          <w:proofErr w:type="gramStart"/>
          <w:r>
            <w:t>state</w:t>
          </w:r>
          <w:proofErr w:type="gramEnd"/>
          <w:r>
            <w:t xml:space="preserve"> and territory regulators to develop a ‘base model’ implementation and compliance framework for seafood CoOL that addressed these concerns. This framework informed the government costings for the CBA, and included</w:t>
          </w:r>
          <w:r w:rsidR="009C0C25">
            <w:t>:</w:t>
          </w:r>
          <w:r>
            <w:t xml:space="preserve"> </w:t>
          </w:r>
        </w:p>
        <w:p w14:paraId="64AFD686" w14:textId="4211EBE0" w:rsidR="00D01F88" w:rsidRDefault="00D01F88" w:rsidP="00073493">
          <w:pPr>
            <w:pStyle w:val="ListParagraph"/>
            <w:numPr>
              <w:ilvl w:val="0"/>
              <w:numId w:val="16"/>
            </w:numPr>
            <w:ind w:left="760" w:hanging="357"/>
            <w:contextualSpacing w:val="0"/>
          </w:pPr>
          <w:r>
            <w:t xml:space="preserve">a broad education and awareness strategy </w:t>
          </w:r>
          <w:r w:rsidR="00D4766B">
            <w:t xml:space="preserve">across </w:t>
          </w:r>
          <w:proofErr w:type="gramStart"/>
          <w:r w:rsidR="00D4766B">
            <w:t>a number of</w:t>
          </w:r>
          <w:proofErr w:type="gramEnd"/>
          <w:r w:rsidR="00D4766B">
            <w:t xml:space="preserve"> mediums and translated into multiple languages</w:t>
          </w:r>
        </w:p>
        <w:p w14:paraId="59E9C341" w14:textId="6952F937" w:rsidR="00D01F88" w:rsidRDefault="00D4766B" w:rsidP="00073493">
          <w:pPr>
            <w:pStyle w:val="ListParagraph"/>
            <w:numPr>
              <w:ilvl w:val="0"/>
              <w:numId w:val="16"/>
            </w:numPr>
            <w:ind w:left="760" w:hanging="357"/>
            <w:contextualSpacing w:val="0"/>
          </w:pPr>
          <w:r>
            <w:t xml:space="preserve">up to </w:t>
          </w:r>
          <w:r w:rsidR="00D01F88">
            <w:t>750 onsite inspections per year over the first 3 years of seafood CoOL.</w:t>
          </w:r>
        </w:p>
        <w:p w14:paraId="2ADF8CAD" w14:textId="2CD2CC70" w:rsidR="00021B92" w:rsidRDefault="00D01F88" w:rsidP="00D01F88">
          <w:r>
            <w:t xml:space="preserve">The final implementation and compliance framework for seafood CoOL is subject </w:t>
          </w:r>
          <w:r w:rsidR="00AA0F40">
            <w:t>to</w:t>
          </w:r>
          <w:r w:rsidR="00FA5E07">
            <w:t xml:space="preserve"> </w:t>
          </w:r>
          <w:r w:rsidR="009C0C25">
            <w:t>g</w:t>
          </w:r>
          <w:r>
            <w:t>overnment decision.</w:t>
          </w:r>
        </w:p>
        <w:p w14:paraId="01CB6B4B" w14:textId="69AF4B11" w:rsidR="005F298A" w:rsidRDefault="00021B92" w:rsidP="00D01F88">
          <w:r>
            <w:br w:type="page"/>
          </w:r>
        </w:p>
        <w:p w14:paraId="26AB1749" w14:textId="06C0E7A3" w:rsidR="00A5528C" w:rsidRDefault="00A5528C" w:rsidP="00073493">
          <w:pPr>
            <w:pStyle w:val="Heading1"/>
            <w:numPr>
              <w:ilvl w:val="0"/>
              <w:numId w:val="15"/>
            </w:numPr>
          </w:pPr>
          <w:bookmarkStart w:id="199" w:name="_Toc151719091"/>
          <w:r w:rsidRPr="00A5528C">
            <w:lastRenderedPageBreak/>
            <w:t xml:space="preserve">How will </w:t>
          </w:r>
          <w:r w:rsidR="00426E59">
            <w:t>we</w:t>
          </w:r>
          <w:r w:rsidRPr="00A5528C">
            <w:t xml:space="preserve"> evaluate </w:t>
          </w:r>
          <w:r w:rsidR="00426E59">
            <w:t>the</w:t>
          </w:r>
          <w:r w:rsidRPr="00A5528C">
            <w:t xml:space="preserve"> chosen option</w:t>
          </w:r>
          <w:r w:rsidR="00021B92">
            <w:t xml:space="preserve"> against the success metrics</w:t>
          </w:r>
          <w:r w:rsidRPr="00A5528C">
            <w:t>?</w:t>
          </w:r>
          <w:bookmarkEnd w:id="199"/>
        </w:p>
        <w:p w14:paraId="16C55984" w14:textId="0680C5DE" w:rsidR="005D662D" w:rsidRPr="00342F2B" w:rsidRDefault="00361CB5" w:rsidP="005D662D">
          <w:pPr>
            <w:rPr>
              <w:color w:val="000000"/>
            </w:rPr>
          </w:pPr>
          <w:bookmarkStart w:id="200" w:name="_Hlk141889277"/>
          <w:r>
            <w:rPr>
              <w:color w:val="000000"/>
            </w:rPr>
            <w:t xml:space="preserve">Seafood CoOL would </w:t>
          </w:r>
          <w:r w:rsidRPr="008D6511">
            <w:rPr>
              <w:color w:val="000000"/>
            </w:rPr>
            <w:t xml:space="preserve">be subject to ongoing monitoring and analysis of outcomes. </w:t>
          </w:r>
          <w:r w:rsidR="00342F2B">
            <w:rPr>
              <w:rFonts w:ascii="Calibri" w:eastAsia="Calibri" w:hAnsi="Calibri" w:cs="Times New Roman"/>
            </w:rPr>
            <w:t>This</w:t>
          </w:r>
          <w:r w:rsidR="00CE78C3">
            <w:rPr>
              <w:rFonts w:ascii="Calibri" w:eastAsia="Calibri" w:hAnsi="Calibri" w:cs="Times New Roman"/>
            </w:rPr>
            <w:t xml:space="preserve"> </w:t>
          </w:r>
          <w:r>
            <w:rPr>
              <w:rFonts w:ascii="Calibri" w:eastAsia="Calibri" w:hAnsi="Calibri" w:cs="Times New Roman"/>
            </w:rPr>
            <w:t>would</w:t>
          </w:r>
          <w:r w:rsidR="005D662D" w:rsidRPr="005D662D">
            <w:rPr>
              <w:rFonts w:ascii="Calibri" w:eastAsia="Calibri" w:hAnsi="Calibri" w:cs="Times New Roman"/>
            </w:rPr>
            <w:t xml:space="preserve"> </w:t>
          </w:r>
          <w:r w:rsidR="00CE78C3">
            <w:rPr>
              <w:rFonts w:ascii="Calibri" w:eastAsia="Calibri" w:hAnsi="Calibri" w:cs="Times New Roman"/>
            </w:rPr>
            <w:t>include</w:t>
          </w:r>
          <w:r w:rsidR="005D662D" w:rsidRPr="005D662D">
            <w:rPr>
              <w:rFonts w:ascii="Calibri" w:eastAsia="Calibri" w:hAnsi="Calibri" w:cs="Times New Roman"/>
            </w:rPr>
            <w:t xml:space="preserve"> a</w:t>
          </w:r>
          <w:r w:rsidR="00E631A0">
            <w:rPr>
              <w:rFonts w:ascii="Calibri" w:eastAsia="Calibri" w:hAnsi="Calibri" w:cs="Times New Roman"/>
            </w:rPr>
            <w:t>n</w:t>
          </w:r>
          <w:r w:rsidR="005D662D" w:rsidRPr="005D662D">
            <w:rPr>
              <w:rFonts w:ascii="Calibri" w:eastAsia="Calibri" w:hAnsi="Calibri" w:cs="Times New Roman"/>
            </w:rPr>
            <w:t xml:space="preserve"> evaluation </w:t>
          </w:r>
          <w:r w:rsidR="00E631A0">
            <w:rPr>
              <w:rFonts w:ascii="Calibri" w:eastAsia="Calibri" w:hAnsi="Calibri" w:cs="Times New Roman"/>
            </w:rPr>
            <w:t xml:space="preserve">of </w:t>
          </w:r>
          <w:r w:rsidR="00A2416B">
            <w:rPr>
              <w:rFonts w:ascii="Calibri" w:eastAsia="Calibri" w:hAnsi="Calibri" w:cs="Times New Roman"/>
            </w:rPr>
            <w:t>seafood CoOL</w:t>
          </w:r>
          <w:r w:rsidR="00E631A0">
            <w:rPr>
              <w:rFonts w:ascii="Calibri" w:eastAsia="Calibri" w:hAnsi="Calibri" w:cs="Times New Roman"/>
            </w:rPr>
            <w:t xml:space="preserve"> </w:t>
          </w:r>
          <w:r>
            <w:rPr>
              <w:rFonts w:ascii="Calibri" w:eastAsia="Calibri" w:hAnsi="Calibri" w:cs="Times New Roman"/>
            </w:rPr>
            <w:t xml:space="preserve">2 years after </w:t>
          </w:r>
          <w:r w:rsidR="00E631A0">
            <w:rPr>
              <w:rFonts w:ascii="Calibri" w:eastAsia="Calibri" w:hAnsi="Calibri" w:cs="Times New Roman"/>
            </w:rPr>
            <w:t>it</w:t>
          </w:r>
          <w:r>
            <w:rPr>
              <w:rFonts w:ascii="Calibri" w:eastAsia="Calibri" w:hAnsi="Calibri" w:cs="Times New Roman"/>
            </w:rPr>
            <w:t xml:space="preserve"> becomes mandatory</w:t>
          </w:r>
          <w:r w:rsidR="00CE78C3">
            <w:rPr>
              <w:rFonts w:ascii="Calibri" w:eastAsia="Calibri" w:hAnsi="Calibri" w:cs="Times New Roman"/>
            </w:rPr>
            <w:t>.</w:t>
          </w:r>
          <w:r>
            <w:rPr>
              <w:rFonts w:ascii="Calibri" w:eastAsia="Calibri" w:hAnsi="Calibri" w:cs="Times New Roman"/>
            </w:rPr>
            <w:t xml:space="preserve"> </w:t>
          </w:r>
          <w:r w:rsidR="00CE78C3">
            <w:rPr>
              <w:rFonts w:ascii="Calibri" w:eastAsia="Calibri" w:hAnsi="Calibri" w:cs="Times New Roman"/>
            </w:rPr>
            <w:t>The evaluation</w:t>
          </w:r>
          <w:r w:rsidR="00342F2B">
            <w:rPr>
              <w:rFonts w:ascii="Calibri" w:eastAsia="Calibri" w:hAnsi="Calibri" w:cs="Times New Roman"/>
            </w:rPr>
            <w:t xml:space="preserve"> </w:t>
          </w:r>
          <w:r w:rsidR="00CE78C3">
            <w:rPr>
              <w:rFonts w:ascii="Calibri" w:eastAsia="Calibri" w:hAnsi="Calibri" w:cs="Times New Roman"/>
            </w:rPr>
            <w:t>would assess</w:t>
          </w:r>
          <w:r w:rsidR="00C44F10">
            <w:rPr>
              <w:rFonts w:ascii="Calibri" w:eastAsia="Calibri" w:hAnsi="Calibri" w:cs="Times New Roman"/>
            </w:rPr>
            <w:t xml:space="preserve"> whether</w:t>
          </w:r>
          <w:r w:rsidR="0097043C">
            <w:rPr>
              <w:rFonts w:ascii="Calibri" w:eastAsia="Calibri" w:hAnsi="Calibri" w:cs="Times New Roman"/>
            </w:rPr>
            <w:t xml:space="preserve"> the scheme</w:t>
          </w:r>
          <w:r>
            <w:rPr>
              <w:rFonts w:ascii="Calibri" w:eastAsia="Calibri" w:hAnsi="Calibri" w:cs="Times New Roman"/>
            </w:rPr>
            <w:t xml:space="preserve"> </w:t>
          </w:r>
          <w:r w:rsidR="00C44F10">
            <w:rPr>
              <w:rFonts w:ascii="Calibri" w:eastAsia="Calibri" w:hAnsi="Calibri" w:cs="Times New Roman"/>
            </w:rPr>
            <w:t xml:space="preserve">has been successful in achieving its objectives </w:t>
          </w:r>
          <w:r>
            <w:rPr>
              <w:rFonts w:ascii="Calibri" w:eastAsia="Calibri" w:hAnsi="Calibri" w:cs="Times New Roman"/>
            </w:rPr>
            <w:t xml:space="preserve">and if further </w:t>
          </w:r>
          <w:r w:rsidR="00CE78C3">
            <w:rPr>
              <w:rFonts w:ascii="Calibri" w:eastAsia="Calibri" w:hAnsi="Calibri" w:cs="Times New Roman"/>
            </w:rPr>
            <w:t>action is</w:t>
          </w:r>
          <w:r>
            <w:rPr>
              <w:rFonts w:ascii="Calibri" w:eastAsia="Calibri" w:hAnsi="Calibri" w:cs="Times New Roman"/>
            </w:rPr>
            <w:t xml:space="preserve"> needed</w:t>
          </w:r>
          <w:r w:rsidR="0097043C">
            <w:rPr>
              <w:rFonts w:ascii="Calibri" w:eastAsia="Calibri" w:hAnsi="Calibri" w:cs="Times New Roman"/>
            </w:rPr>
            <w:t>.</w:t>
          </w:r>
          <w:r w:rsidR="005428B9">
            <w:rPr>
              <w:rFonts w:ascii="Calibri" w:eastAsia="Calibri" w:hAnsi="Calibri" w:cs="Times New Roman"/>
            </w:rPr>
            <w:t xml:space="preserve"> </w:t>
          </w:r>
        </w:p>
        <w:p w14:paraId="54FF6674" w14:textId="1FA9C6CE" w:rsidR="00361CB5" w:rsidRDefault="00361CB5" w:rsidP="00361CB5">
          <w:pPr>
            <w:rPr>
              <w:color w:val="000000"/>
            </w:rPr>
          </w:pPr>
          <w:r>
            <w:rPr>
              <w:color w:val="000000"/>
            </w:rPr>
            <w:t>T</w:t>
          </w:r>
          <w:r w:rsidRPr="008D6511">
            <w:rPr>
              <w:color w:val="000000"/>
            </w:rPr>
            <w:t xml:space="preserve">he effectiveness of </w:t>
          </w:r>
          <w:r w:rsidR="0039667A">
            <w:rPr>
              <w:color w:val="000000"/>
            </w:rPr>
            <w:t>s</w:t>
          </w:r>
          <w:r>
            <w:rPr>
              <w:color w:val="000000"/>
            </w:rPr>
            <w:t>eafood CoOL</w:t>
          </w:r>
          <w:r w:rsidRPr="008D6511">
            <w:rPr>
              <w:color w:val="000000"/>
            </w:rPr>
            <w:t xml:space="preserve"> </w:t>
          </w:r>
          <w:r w:rsidR="00AB08C5">
            <w:rPr>
              <w:color w:val="000000"/>
            </w:rPr>
            <w:t>could</w:t>
          </w:r>
          <w:r w:rsidR="00AB08C5" w:rsidRPr="008D6511">
            <w:rPr>
              <w:color w:val="000000"/>
            </w:rPr>
            <w:t xml:space="preserve"> </w:t>
          </w:r>
          <w:r w:rsidRPr="008D6511">
            <w:rPr>
              <w:color w:val="000000"/>
            </w:rPr>
            <w:t>be tracked by</w:t>
          </w:r>
          <w:r>
            <w:rPr>
              <w:color w:val="000000"/>
            </w:rPr>
            <w:t xml:space="preserve"> </w:t>
          </w:r>
          <w:r w:rsidRPr="008D6511">
            <w:rPr>
              <w:color w:val="000000"/>
            </w:rPr>
            <w:t>metrics</w:t>
          </w:r>
          <w:r>
            <w:rPr>
              <w:color w:val="000000"/>
            </w:rPr>
            <w:t xml:space="preserve"> such as:</w:t>
          </w:r>
          <w:r w:rsidRPr="008D6511">
            <w:rPr>
              <w:color w:val="000000"/>
            </w:rPr>
            <w:t xml:space="preserve"> </w:t>
          </w:r>
        </w:p>
        <w:p w14:paraId="4B88A837" w14:textId="0CBB8D94" w:rsidR="004B27A2" w:rsidRDefault="004B27A2" w:rsidP="00A10BE8">
          <w:pPr>
            <w:numPr>
              <w:ilvl w:val="0"/>
              <w:numId w:val="1"/>
            </w:numPr>
          </w:pPr>
          <w:r>
            <w:t>changes</w:t>
          </w:r>
          <w:r w:rsidR="00AB08C5">
            <w:t xml:space="preserve"> in</w:t>
          </w:r>
          <w:r>
            <w:t xml:space="preserve"> consumer behaviour</w:t>
          </w:r>
          <w:r w:rsidR="00AB08C5">
            <w:t xml:space="preserve">, including purchasing decisions, </w:t>
          </w:r>
          <w:proofErr w:type="gramStart"/>
          <w:r w:rsidR="00AB08C5">
            <w:t>as a result of</w:t>
          </w:r>
          <w:proofErr w:type="gramEnd"/>
          <w:r w:rsidR="00AB08C5">
            <w:t xml:space="preserve"> seafood CoOL</w:t>
          </w:r>
        </w:p>
        <w:p w14:paraId="650A5C1C" w14:textId="7C701DF5" w:rsidR="00361CB5" w:rsidRPr="008D6511" w:rsidRDefault="00AB08C5" w:rsidP="00A10BE8">
          <w:pPr>
            <w:numPr>
              <w:ilvl w:val="0"/>
              <w:numId w:val="1"/>
            </w:numPr>
          </w:pPr>
          <w:r>
            <w:t xml:space="preserve">complaints and </w:t>
          </w:r>
          <w:r w:rsidR="00361CB5" w:rsidRPr="00A10BE8">
            <w:t xml:space="preserve">compliance </w:t>
          </w:r>
          <w:r>
            <w:t xml:space="preserve">levels </w:t>
          </w:r>
          <w:r w:rsidR="004B27A2">
            <w:t>across hospitality sector</w:t>
          </w:r>
        </w:p>
        <w:p w14:paraId="02C5AAE3" w14:textId="0596F787" w:rsidR="00156AF9" w:rsidRDefault="00361CB5" w:rsidP="00A10BE8">
          <w:pPr>
            <w:numPr>
              <w:ilvl w:val="0"/>
              <w:numId w:val="1"/>
            </w:numPr>
          </w:pPr>
          <w:r w:rsidRPr="00A10BE8">
            <w:t xml:space="preserve">business </w:t>
          </w:r>
          <w:r w:rsidR="00AB08C5">
            <w:t>implementation and compliance costs attributable to seafood CoOL</w:t>
          </w:r>
          <w:r w:rsidR="00F81DE4" w:rsidRPr="00A10BE8">
            <w:t>.</w:t>
          </w:r>
        </w:p>
        <w:p w14:paraId="31D98281" w14:textId="0BA29EBC" w:rsidR="00361CB5" w:rsidRDefault="005428B9" w:rsidP="005D662D">
          <w:pPr>
            <w:rPr>
              <w:color w:val="000000"/>
            </w:rPr>
          </w:pPr>
          <w:r w:rsidRPr="00C8648C">
            <w:rPr>
              <w:color w:val="000000"/>
            </w:rPr>
            <w:t xml:space="preserve">Specific </w:t>
          </w:r>
          <w:r w:rsidR="00AB08C5">
            <w:rPr>
              <w:color w:val="000000"/>
            </w:rPr>
            <w:t xml:space="preserve">evaluation </w:t>
          </w:r>
          <w:r w:rsidRPr="00C8648C">
            <w:rPr>
              <w:color w:val="000000"/>
            </w:rPr>
            <w:t xml:space="preserve">plans </w:t>
          </w:r>
          <w:r w:rsidR="00AB08C5">
            <w:rPr>
              <w:color w:val="000000"/>
            </w:rPr>
            <w:t>would</w:t>
          </w:r>
          <w:r w:rsidRPr="00C8648C">
            <w:rPr>
              <w:color w:val="000000"/>
            </w:rPr>
            <w:t xml:space="preserve"> be finalised</w:t>
          </w:r>
          <w:r>
            <w:rPr>
              <w:color w:val="000000"/>
            </w:rPr>
            <w:t xml:space="preserve"> following implementation.</w:t>
          </w:r>
        </w:p>
        <w:p w14:paraId="10FAC34E" w14:textId="4492D8C0" w:rsidR="00342F2B" w:rsidRPr="00156AF9" w:rsidRDefault="00342F2B" w:rsidP="00342F2B">
          <w:pPr>
            <w:rPr>
              <w:color w:val="000000"/>
            </w:rPr>
          </w:pPr>
          <w:r>
            <w:rPr>
              <w:color w:val="000000"/>
            </w:rPr>
            <w:t>M</w:t>
          </w:r>
          <w:r w:rsidRPr="008D6511">
            <w:rPr>
              <w:color w:val="000000"/>
            </w:rPr>
            <w:t xml:space="preserve">onitoring and analysis activities </w:t>
          </w:r>
          <w:r>
            <w:rPr>
              <w:color w:val="000000"/>
            </w:rPr>
            <w:t>would</w:t>
          </w:r>
          <w:r w:rsidRPr="008D6511">
            <w:rPr>
              <w:color w:val="000000"/>
            </w:rPr>
            <w:t xml:space="preserve"> </w:t>
          </w:r>
          <w:r>
            <w:rPr>
              <w:color w:val="000000"/>
            </w:rPr>
            <w:t>be</w:t>
          </w:r>
          <w:r w:rsidRPr="008D6511">
            <w:rPr>
              <w:color w:val="000000"/>
            </w:rPr>
            <w:t xml:space="preserve"> deliver</w:t>
          </w:r>
          <w:r>
            <w:rPr>
              <w:color w:val="000000"/>
            </w:rPr>
            <w:t>ed</w:t>
          </w:r>
          <w:r w:rsidRPr="008D6511">
            <w:rPr>
              <w:color w:val="000000"/>
            </w:rPr>
            <w:t xml:space="preserve"> consistent with the Commonwealth Evaluation Policy. </w:t>
          </w:r>
          <w:r>
            <w:rPr>
              <w:color w:val="000000"/>
            </w:rPr>
            <w:t>The f</w:t>
          </w:r>
          <w:r w:rsidRPr="008D6511">
            <w:rPr>
              <w:color w:val="000000"/>
            </w:rPr>
            <w:t>indings and lessons learned</w:t>
          </w:r>
          <w:r>
            <w:rPr>
              <w:color w:val="000000"/>
            </w:rPr>
            <w:t xml:space="preserve"> would</w:t>
          </w:r>
          <w:r w:rsidRPr="008D6511">
            <w:rPr>
              <w:color w:val="000000"/>
            </w:rPr>
            <w:t xml:space="preserve"> be used to support continuous improvement and future decision-making in policy design</w:t>
          </w:r>
          <w:r>
            <w:rPr>
              <w:color w:val="000000"/>
            </w:rPr>
            <w:t xml:space="preserve">. </w:t>
          </w:r>
          <w:r w:rsidR="00F81DE4">
            <w:rPr>
              <w:color w:val="000000"/>
            </w:rPr>
            <w:t>The evaluation would</w:t>
          </w:r>
          <w:r w:rsidRPr="008D6511">
            <w:rPr>
              <w:color w:val="000000"/>
            </w:rPr>
            <w:t xml:space="preserve"> also be shared with relevant governance bodies and stakeholders</w:t>
          </w:r>
          <w:r w:rsidR="00133972">
            <w:rPr>
              <w:color w:val="000000"/>
            </w:rPr>
            <w:t>.</w:t>
          </w:r>
        </w:p>
        <w:bookmarkEnd w:id="200"/>
        <w:p w14:paraId="4FFFC3DB" w14:textId="77777777" w:rsidR="005D662D" w:rsidRPr="005D662D" w:rsidRDefault="005D662D" w:rsidP="005D662D">
          <w:pPr>
            <w:rPr>
              <w:rFonts w:ascii="Calibri" w:eastAsia="Calibri" w:hAnsi="Calibri" w:cs="Times New Roman"/>
            </w:rPr>
          </w:pPr>
        </w:p>
        <w:p w14:paraId="22097B95" w14:textId="77777777" w:rsidR="005D662D" w:rsidRDefault="005D662D" w:rsidP="005D662D">
          <w:pPr>
            <w:rPr>
              <w:rFonts w:ascii="Calibri" w:eastAsia="Calibri" w:hAnsi="Calibri" w:cs="Times New Roman"/>
            </w:rPr>
          </w:pPr>
        </w:p>
        <w:p w14:paraId="60D6C07E" w14:textId="77777777" w:rsidR="004E4E94" w:rsidRDefault="004E4E94" w:rsidP="005D662D">
          <w:pPr>
            <w:rPr>
              <w:rFonts w:ascii="Calibri" w:eastAsia="Calibri" w:hAnsi="Calibri" w:cs="Times New Roman"/>
            </w:rPr>
          </w:pPr>
        </w:p>
        <w:p w14:paraId="29A398E9" w14:textId="77777777" w:rsidR="004E4E94" w:rsidRDefault="004E4E94" w:rsidP="005D662D">
          <w:pPr>
            <w:rPr>
              <w:rFonts w:ascii="Calibri" w:eastAsia="Calibri" w:hAnsi="Calibri" w:cs="Times New Roman"/>
            </w:rPr>
          </w:pPr>
        </w:p>
        <w:p w14:paraId="042DF525" w14:textId="77777777" w:rsidR="004E4E94" w:rsidRDefault="004E4E94" w:rsidP="005D662D">
          <w:pPr>
            <w:rPr>
              <w:rFonts w:ascii="Calibri" w:eastAsia="Calibri" w:hAnsi="Calibri" w:cs="Times New Roman"/>
            </w:rPr>
          </w:pPr>
        </w:p>
        <w:p w14:paraId="7A15D7ED" w14:textId="77777777" w:rsidR="00AB08C5" w:rsidRDefault="00AB08C5">
          <w:pPr>
            <w:rPr>
              <w:rFonts w:asciiTheme="majorHAnsi" w:eastAsiaTheme="majorEastAsia" w:hAnsiTheme="majorHAnsi" w:cstheme="majorBidi"/>
              <w:color w:val="005677" w:themeColor="text2"/>
              <w:sz w:val="48"/>
              <w:szCs w:val="32"/>
            </w:rPr>
          </w:pPr>
          <w:bookmarkStart w:id="201" w:name="_Toc142746440"/>
          <w:bookmarkStart w:id="202" w:name="_Toc142746441"/>
          <w:bookmarkStart w:id="203" w:name="_Toc142746442"/>
          <w:bookmarkStart w:id="204" w:name="_Toc142746443"/>
          <w:bookmarkStart w:id="205" w:name="_Toc142746444"/>
          <w:bookmarkStart w:id="206" w:name="_Toc142746445"/>
          <w:bookmarkStart w:id="207" w:name="_Toc142746446"/>
          <w:bookmarkStart w:id="208" w:name="_Toc142746447"/>
          <w:bookmarkStart w:id="209" w:name="_Toc142746448"/>
          <w:bookmarkStart w:id="210" w:name="_Toc142746449"/>
          <w:bookmarkStart w:id="211" w:name="_Toc142746450"/>
          <w:bookmarkStart w:id="212" w:name="_Toc142746451"/>
          <w:bookmarkStart w:id="213" w:name="_Toc142746452"/>
          <w:bookmarkStart w:id="214" w:name="_Toc142746453"/>
          <w:bookmarkStart w:id="215" w:name="_Toc142746454"/>
          <w:bookmarkStart w:id="216" w:name="_Toc142746455"/>
          <w:bookmarkStart w:id="217" w:name="_Toc142746456"/>
          <w:bookmarkStart w:id="218" w:name="_Toc142746457"/>
          <w:bookmarkStart w:id="219" w:name="_Toc142746458"/>
          <w:bookmarkStart w:id="220" w:name="_Toc142746459"/>
          <w:bookmarkStart w:id="221" w:name="_Toc141272774"/>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br w:type="page"/>
          </w:r>
        </w:p>
        <w:p w14:paraId="70165494" w14:textId="14DCEA51" w:rsidR="005D662D" w:rsidRPr="00545B4C" w:rsidRDefault="005D662D" w:rsidP="00073493">
          <w:pPr>
            <w:pStyle w:val="Heading1"/>
            <w:numPr>
              <w:ilvl w:val="0"/>
              <w:numId w:val="15"/>
            </w:numPr>
          </w:pPr>
          <w:bookmarkStart w:id="222" w:name="_Toc151719092"/>
          <w:r w:rsidRPr="00545B4C">
            <w:lastRenderedPageBreak/>
            <w:t>Conclusion</w:t>
          </w:r>
          <w:bookmarkEnd w:id="221"/>
          <w:bookmarkEnd w:id="222"/>
          <w:r w:rsidRPr="00545B4C">
            <w:t xml:space="preserve"> </w:t>
          </w:r>
        </w:p>
        <w:p w14:paraId="594D279A" w14:textId="3DA6327C" w:rsidR="005D662D" w:rsidRPr="005D662D" w:rsidRDefault="005D662D" w:rsidP="00023DAA">
          <w:pPr>
            <w:rPr>
              <w:lang w:val="en-US"/>
            </w:rPr>
          </w:pPr>
          <w:r w:rsidRPr="005D662D">
            <w:rPr>
              <w:lang w:val="en-US"/>
            </w:rPr>
            <w:t xml:space="preserve">The </w:t>
          </w:r>
          <w:r w:rsidR="0015772C">
            <w:rPr>
              <w:lang w:val="en-US"/>
            </w:rPr>
            <w:t>s</w:t>
          </w:r>
          <w:r w:rsidRPr="005D662D">
            <w:rPr>
              <w:lang w:val="en-US"/>
            </w:rPr>
            <w:t xml:space="preserve">eafood CoOL AIM </w:t>
          </w:r>
          <w:r w:rsidR="0015772C">
            <w:rPr>
              <w:lang w:val="en-US"/>
            </w:rPr>
            <w:t>m</w:t>
          </w:r>
          <w:r w:rsidRPr="005D662D">
            <w:rPr>
              <w:lang w:val="en-US"/>
            </w:rPr>
            <w:t>odel would provide substantial benefits for consumers and the economy.</w:t>
          </w:r>
          <w:r w:rsidR="00AB08C5">
            <w:rPr>
              <w:lang w:val="en-US"/>
            </w:rPr>
            <w:t xml:space="preserve"> </w:t>
          </w:r>
          <w:r w:rsidRPr="005D662D">
            <w:rPr>
              <w:lang w:val="en-US"/>
            </w:rPr>
            <w:t xml:space="preserve">It is low cost, low burden but gives consumers enough evidence of </w:t>
          </w:r>
          <w:r w:rsidR="0015772C">
            <w:rPr>
              <w:lang w:val="en-US"/>
            </w:rPr>
            <w:t>s</w:t>
          </w:r>
          <w:r w:rsidRPr="005D662D">
            <w:rPr>
              <w:lang w:val="en-US"/>
            </w:rPr>
            <w:t xml:space="preserve">eafood CoOL to seek more information. </w:t>
          </w:r>
        </w:p>
        <w:p w14:paraId="7FF5199B" w14:textId="4CBC6757" w:rsidR="005D662D" w:rsidRPr="005D662D" w:rsidRDefault="005D662D" w:rsidP="00023DAA">
          <w:pPr>
            <w:rPr>
              <w:lang w:val="en-US"/>
            </w:rPr>
          </w:pPr>
          <w:r w:rsidRPr="005D662D">
            <w:rPr>
              <w:lang w:val="en-US"/>
            </w:rPr>
            <w:t xml:space="preserve">It will assist the hospitality sector and Australian seafood industry by making sure that </w:t>
          </w:r>
          <w:r w:rsidR="0015772C">
            <w:rPr>
              <w:lang w:val="en-US"/>
            </w:rPr>
            <w:t>s</w:t>
          </w:r>
          <w:r w:rsidRPr="005D662D">
            <w:rPr>
              <w:lang w:val="en-US"/>
            </w:rPr>
            <w:t>eafood CoOL is accurate and not misleading consumers as to the origin of seafood.</w:t>
          </w:r>
        </w:p>
        <w:p w14:paraId="4F4911B4" w14:textId="77777777" w:rsidR="005D662D" w:rsidRPr="005D662D" w:rsidRDefault="005D662D" w:rsidP="005D662D">
          <w:pPr>
            <w:spacing w:after="120" w:line="264" w:lineRule="auto"/>
            <w:rPr>
              <w:rFonts w:ascii="Calibri" w:eastAsia="Calibri" w:hAnsi="Calibri" w:cs="Times New Roman"/>
              <w:color w:val="262626"/>
            </w:rPr>
          </w:pPr>
        </w:p>
        <w:p w14:paraId="4138F49E" w14:textId="77777777" w:rsidR="005D662D" w:rsidRPr="005D662D" w:rsidRDefault="005D662D" w:rsidP="005D662D">
          <w:pPr>
            <w:spacing w:after="120" w:line="264" w:lineRule="auto"/>
            <w:rPr>
              <w:rFonts w:ascii="Calibri" w:eastAsia="Calibri" w:hAnsi="Calibri" w:cs="Times New Roman"/>
              <w:color w:val="262626"/>
              <w:sz w:val="20"/>
              <w:szCs w:val="20"/>
            </w:rPr>
          </w:pPr>
        </w:p>
        <w:p w14:paraId="410D1D27" w14:textId="77777777" w:rsidR="005D662D" w:rsidRPr="005D662D" w:rsidRDefault="005D662D" w:rsidP="005D662D">
          <w:pPr>
            <w:spacing w:after="120" w:line="264" w:lineRule="auto"/>
            <w:rPr>
              <w:rFonts w:ascii="Century Gothic" w:eastAsia="Calibri" w:hAnsi="Century Gothic" w:cs="Times New Roman"/>
              <w:b/>
              <w:color w:val="014463"/>
              <w:sz w:val="60"/>
              <w:szCs w:val="60"/>
            </w:rPr>
          </w:pPr>
          <w:r w:rsidRPr="005D662D">
            <w:rPr>
              <w:rFonts w:ascii="Calibri" w:eastAsia="Calibri" w:hAnsi="Calibri" w:cs="Times New Roman"/>
              <w:color w:val="262626"/>
              <w:sz w:val="20"/>
              <w:szCs w:val="20"/>
            </w:rPr>
            <w:br w:type="page"/>
          </w:r>
        </w:p>
        <w:p w14:paraId="2F242D26" w14:textId="46B80FC0" w:rsidR="005D662D" w:rsidRPr="005D662D" w:rsidRDefault="005D662D" w:rsidP="00A133D2">
          <w:pPr>
            <w:pStyle w:val="Heading1"/>
          </w:pPr>
          <w:bookmarkStart w:id="223" w:name="_Toc151719093"/>
          <w:r w:rsidRPr="005D662D">
            <w:lastRenderedPageBreak/>
            <w:t>Reference</w:t>
          </w:r>
          <w:r w:rsidR="00924DF6">
            <w:t>s</w:t>
          </w:r>
          <w:bookmarkEnd w:id="223"/>
        </w:p>
        <w:p w14:paraId="19E4C554" w14:textId="77777777"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 xml:space="preserve">ABARES (Australian Bureau of Agricultural and Resource Economics and Sciences) (2022) </w:t>
          </w:r>
          <w:hyperlink r:id="rId16" w:history="1">
            <w:r w:rsidRPr="005D662D">
              <w:rPr>
                <w:rFonts w:ascii="Calibri" w:eastAsia="Calibri" w:hAnsi="Calibri" w:cs="Times New Roman"/>
                <w:i/>
                <w:iCs/>
                <w:color w:val="015F8B"/>
                <w:u w:val="single"/>
              </w:rPr>
              <w:t>Australian Fisheries and Aquaculture Statistics 2021</w:t>
            </w:r>
          </w:hyperlink>
          <w:r w:rsidRPr="005D662D">
            <w:rPr>
              <w:rFonts w:ascii="Calibri" w:eastAsia="Calibri" w:hAnsi="Calibri" w:cs="Times New Roman"/>
              <w:color w:val="262626"/>
            </w:rPr>
            <w:t>, ABARES, 2022.</w:t>
          </w:r>
        </w:p>
        <w:p w14:paraId="7B98C0F4" w14:textId="1933CD4C" w:rsidR="00942E12" w:rsidRPr="005D662D" w:rsidRDefault="00942E12" w:rsidP="005D662D">
          <w:pPr>
            <w:spacing w:after="120" w:line="264" w:lineRule="auto"/>
            <w:rPr>
              <w:rFonts w:ascii="Calibri" w:eastAsia="Calibri" w:hAnsi="Calibri" w:cs="Times New Roman"/>
              <w:color w:val="262626"/>
            </w:rPr>
          </w:pPr>
          <w:r w:rsidRPr="001347DC">
            <w:rPr>
              <w:rFonts w:ascii="Calibri" w:eastAsia="Calibri" w:hAnsi="Calibri" w:cs="Times New Roman"/>
              <w:color w:val="262626"/>
            </w:rPr>
            <w:t>Blewett</w:t>
          </w:r>
          <w:r>
            <w:rPr>
              <w:rFonts w:ascii="Calibri" w:eastAsia="Calibri" w:hAnsi="Calibri" w:cs="Times New Roman"/>
              <w:color w:val="262626"/>
            </w:rPr>
            <w:t xml:space="preserve"> </w:t>
          </w:r>
          <w:r w:rsidRPr="001347DC">
            <w:rPr>
              <w:rFonts w:ascii="Calibri" w:eastAsia="Calibri" w:hAnsi="Calibri" w:cs="Times New Roman"/>
              <w:color w:val="262626"/>
            </w:rPr>
            <w:t>N</w:t>
          </w:r>
          <w:r>
            <w:rPr>
              <w:rFonts w:ascii="Calibri" w:eastAsia="Calibri" w:hAnsi="Calibri" w:cs="Times New Roman"/>
              <w:color w:val="262626"/>
            </w:rPr>
            <w:t xml:space="preserve">, Goddard N, Pettigrew S, Reynolds C, </w:t>
          </w:r>
          <w:proofErr w:type="spellStart"/>
          <w:r>
            <w:rPr>
              <w:rFonts w:ascii="Calibri" w:eastAsia="Calibri" w:hAnsi="Calibri" w:cs="Times New Roman"/>
              <w:color w:val="262626"/>
            </w:rPr>
            <w:t>Yeatman</w:t>
          </w:r>
          <w:proofErr w:type="spellEnd"/>
          <w:r>
            <w:rPr>
              <w:rFonts w:ascii="Calibri" w:eastAsia="Calibri" w:hAnsi="Calibri" w:cs="Times New Roman"/>
              <w:color w:val="262626"/>
            </w:rPr>
            <w:t xml:space="preserve"> H</w:t>
          </w:r>
          <w:r w:rsidRPr="001347DC">
            <w:rPr>
              <w:rFonts w:ascii="Calibri" w:eastAsia="Calibri" w:hAnsi="Calibri" w:cs="Times New Roman"/>
              <w:color w:val="262626"/>
            </w:rPr>
            <w:t xml:space="preserve"> (2011) </w:t>
          </w:r>
          <w:r w:rsidRPr="001347DC">
            <w:rPr>
              <w:rFonts w:ascii="Calibri" w:eastAsia="Calibri" w:hAnsi="Calibri" w:cs="Times New Roman"/>
              <w:i/>
              <w:iCs/>
              <w:color w:val="262626"/>
            </w:rPr>
            <w:t>Labelling Logic - the Final Report of the Review of Food Labelling Law and Policy</w:t>
          </w:r>
          <w:r w:rsidRPr="001347DC">
            <w:rPr>
              <w:rFonts w:ascii="Calibri" w:eastAsia="Calibri" w:hAnsi="Calibri" w:cs="Times New Roman"/>
              <w:color w:val="262626"/>
            </w:rPr>
            <w:t>, Report to Australia and New Zealand Food Regulation Ministerial Council, 2011.</w:t>
          </w:r>
        </w:p>
        <w:p w14:paraId="729FF8E7" w14:textId="18C5EBA6" w:rsidR="005D662D" w:rsidRPr="005D662D" w:rsidRDefault="005D662D" w:rsidP="005D662D">
          <w:pPr>
            <w:spacing w:after="120" w:line="264" w:lineRule="auto"/>
            <w:rPr>
              <w:rFonts w:ascii="Calibri" w:eastAsia="Calibri" w:hAnsi="Calibri" w:cs="Times New Roman"/>
              <w:i/>
              <w:iCs/>
              <w:color w:val="262626"/>
            </w:rPr>
          </w:pPr>
          <w:proofErr w:type="spellStart"/>
          <w:r w:rsidRPr="005D662D">
            <w:rPr>
              <w:rFonts w:ascii="Calibri" w:eastAsia="Calibri" w:hAnsi="Calibri" w:cs="Times New Roman"/>
              <w:color w:val="262626"/>
            </w:rPr>
            <w:t>Calogeras</w:t>
          </w:r>
          <w:proofErr w:type="spellEnd"/>
          <w:r w:rsidRPr="005D662D">
            <w:rPr>
              <w:rFonts w:ascii="Calibri" w:eastAsia="Calibri" w:hAnsi="Calibri" w:cs="Times New Roman"/>
              <w:color w:val="262626"/>
            </w:rPr>
            <w:t xml:space="preserve"> C, Morgan S, </w:t>
          </w:r>
          <w:proofErr w:type="spellStart"/>
          <w:r w:rsidRPr="005D662D">
            <w:rPr>
              <w:rFonts w:ascii="Calibri" w:eastAsia="Calibri" w:hAnsi="Calibri" w:cs="Times New Roman"/>
              <w:color w:val="262626"/>
            </w:rPr>
            <w:t>Sarneckis</w:t>
          </w:r>
          <w:proofErr w:type="spellEnd"/>
          <w:r w:rsidRPr="005D662D">
            <w:rPr>
              <w:rFonts w:ascii="Calibri" w:eastAsia="Calibri" w:hAnsi="Calibri" w:cs="Times New Roman"/>
              <w:color w:val="262626"/>
            </w:rPr>
            <w:t xml:space="preserve"> K, Cooper L, Lee T. Y (2011</w:t>
          </w:r>
          <w:r w:rsidRPr="005D662D">
            <w:rPr>
              <w:rFonts w:ascii="Calibri" w:eastAsia="Calibri" w:hAnsi="Calibri" w:cs="Times New Roman"/>
              <w:i/>
              <w:iCs/>
              <w:color w:val="262626"/>
            </w:rPr>
            <w:t>)</w:t>
          </w:r>
          <w:r w:rsidRPr="005D662D">
            <w:rPr>
              <w:rFonts w:ascii="Calibri" w:eastAsia="Calibri" w:hAnsi="Calibri" w:cs="Times New Roman"/>
              <w:color w:val="262626"/>
            </w:rPr>
            <w:t xml:space="preserve"> </w:t>
          </w:r>
          <w:hyperlink r:id="rId17" w:history="1">
            <w:r w:rsidRPr="005D662D">
              <w:rPr>
                <w:rFonts w:ascii="Calibri" w:eastAsia="Calibri" w:hAnsi="Calibri" w:cs="Times New Roman"/>
                <w:i/>
                <w:iCs/>
                <w:color w:val="015F8B"/>
                <w:u w:val="single"/>
              </w:rPr>
              <w:t>Tracking the impacts on seafood consumption at dining venues rising from the Northern Territory's seafood labelling laws [PDF 4876KB]</w:t>
            </w:r>
          </w:hyperlink>
          <w:r w:rsidRPr="005D662D">
            <w:rPr>
              <w:rFonts w:ascii="Calibri" w:eastAsia="Calibri" w:hAnsi="Calibri" w:cs="Times New Roman"/>
              <w:color w:val="262626"/>
            </w:rPr>
            <w:t>, Fisheries Research and Development Corporation (FDRC) June 2011.</w:t>
          </w:r>
        </w:p>
        <w:p w14:paraId="7E1CBBBD" w14:textId="77777777"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CHOICE (2022</w:t>
          </w:r>
          <w:r w:rsidRPr="005D662D">
            <w:rPr>
              <w:rFonts w:ascii="Calibri" w:eastAsia="Calibri" w:hAnsi="Calibri" w:cs="Times New Roman"/>
              <w:i/>
              <w:iCs/>
              <w:color w:val="262626"/>
            </w:rPr>
            <w:t xml:space="preserve">) </w:t>
          </w:r>
          <w:hyperlink r:id="rId18" w:history="1">
            <w:r w:rsidRPr="005D662D">
              <w:rPr>
                <w:rFonts w:ascii="Calibri" w:eastAsia="Calibri" w:hAnsi="Calibri" w:cs="Times New Roman"/>
                <w:i/>
                <w:iCs/>
                <w:color w:val="015F8B"/>
                <w:u w:val="single"/>
              </w:rPr>
              <w:t>Submission to the Department of Industry, Science, Energy and Resources evaluation of country of origin labelling for food</w:t>
            </w:r>
          </w:hyperlink>
          <w:r w:rsidRPr="005D662D">
            <w:rPr>
              <w:rFonts w:ascii="Calibri" w:eastAsia="Calibri" w:hAnsi="Calibri" w:cs="Times New Roman"/>
              <w:i/>
              <w:iCs/>
              <w:color w:val="262626"/>
            </w:rPr>
            <w:t xml:space="preserve"> (DISR),</w:t>
          </w:r>
          <w:r w:rsidRPr="005D662D">
            <w:rPr>
              <w:rFonts w:ascii="Calibri" w:eastAsia="Calibri" w:hAnsi="Calibri" w:cs="Times New Roman"/>
              <w:color w:val="262626"/>
            </w:rPr>
            <w:t xml:space="preserve"> DISR consultation hub. </w:t>
          </w:r>
        </w:p>
        <w:p w14:paraId="2F5B2B63" w14:textId="418387AE" w:rsid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 xml:space="preserve">Colmar Brunton (2015) </w:t>
          </w:r>
          <w:hyperlink r:id="rId19" w:history="1">
            <w:r w:rsidRPr="005D662D">
              <w:rPr>
                <w:rFonts w:ascii="Calibri" w:eastAsia="Calibri" w:hAnsi="Calibri" w:cs="Times New Roman"/>
                <w:i/>
                <w:iCs/>
                <w:color w:val="015F8B"/>
                <w:u w:val="single"/>
              </w:rPr>
              <w:t>Country of Origin Food Labelling Research</w:t>
            </w:r>
          </w:hyperlink>
          <w:r w:rsidRPr="005D662D">
            <w:rPr>
              <w:rFonts w:ascii="Calibri" w:eastAsia="Calibri" w:hAnsi="Calibri" w:cs="Times New Roman"/>
              <w:i/>
              <w:iCs/>
              <w:color w:val="262626"/>
            </w:rPr>
            <w:t xml:space="preserve"> </w:t>
          </w:r>
          <w:r w:rsidRPr="005D662D">
            <w:rPr>
              <w:rFonts w:ascii="Calibri" w:eastAsia="Calibri" w:hAnsi="Calibri" w:cs="Times New Roman"/>
              <w:color w:val="262626"/>
            </w:rPr>
            <w:t>[PDF 1.36MB], Report to the Australian Government Department of Industry and Science, Colmar Brunton.</w:t>
          </w:r>
        </w:p>
        <w:p w14:paraId="6DF8FB92" w14:textId="7FBDF51C" w:rsidR="00887EC2" w:rsidRPr="00887EC2" w:rsidRDefault="00887EC2" w:rsidP="005D662D">
          <w:pPr>
            <w:spacing w:after="120" w:line="264" w:lineRule="auto"/>
            <w:rPr>
              <w:rFonts w:ascii="Calibri" w:eastAsia="Calibri" w:hAnsi="Calibri" w:cs="Times New Roman"/>
              <w:color w:val="262626"/>
            </w:rPr>
          </w:pPr>
          <w:r>
            <w:rPr>
              <w:rFonts w:ascii="Calibri" w:eastAsia="Calibri" w:hAnsi="Calibri" w:cs="Times New Roman"/>
              <w:color w:val="262626"/>
            </w:rPr>
            <w:t>DAFF (Department of Agriculture, Fisheries and Forestry) (2023)</w:t>
          </w:r>
          <w:r w:rsidRPr="00887EC2">
            <w:t xml:space="preserve"> </w:t>
          </w:r>
          <w:hyperlink r:id="rId20" w:anchor=":~:text=It%20has%20been%20estimated%20that,is%20imported%2C%20predominantly%20from%20Asia" w:history="1">
            <w:r w:rsidRPr="001347DC">
              <w:rPr>
                <w:rStyle w:val="Hyperlink"/>
                <w:i/>
                <w:iCs/>
              </w:rPr>
              <w:t>Australia's seafood trade</w:t>
            </w:r>
          </w:hyperlink>
          <w:r>
            <w:rPr>
              <w:i/>
              <w:iCs/>
            </w:rPr>
            <w:t xml:space="preserve">, </w:t>
          </w:r>
          <w:r w:rsidRPr="001347DC">
            <w:t>DAFF website</w:t>
          </w:r>
          <w:r>
            <w:t>, accessed 2 August 2023.</w:t>
          </w:r>
          <w:r w:rsidRPr="00887EC2">
            <w:t xml:space="preserve"> </w:t>
          </w:r>
        </w:p>
        <w:p w14:paraId="579C33D4" w14:textId="7BEE0163"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Deloitte (Deloitte Access Economics) (2021</w:t>
          </w:r>
          <w:r w:rsidR="0047504A">
            <w:rPr>
              <w:rFonts w:ascii="Calibri" w:eastAsia="Calibri" w:hAnsi="Calibri" w:cs="Times New Roman"/>
              <w:color w:val="262626"/>
            </w:rPr>
            <w:t>b</w:t>
          </w:r>
          <w:r w:rsidRPr="005D662D">
            <w:rPr>
              <w:rFonts w:ascii="Calibri" w:eastAsia="Calibri" w:hAnsi="Calibri" w:cs="Times New Roman"/>
              <w:color w:val="262626"/>
            </w:rPr>
            <w:t xml:space="preserve">) </w:t>
          </w:r>
          <w:hyperlink r:id="rId21" w:history="1">
            <w:r w:rsidRPr="005D662D">
              <w:rPr>
                <w:rFonts w:ascii="Calibri" w:eastAsia="Calibri" w:hAnsi="Calibri" w:cs="Times New Roman"/>
                <w:i/>
                <w:iCs/>
                <w:color w:val="015F8B"/>
                <w:u w:val="single"/>
              </w:rPr>
              <w:t>Evaluation of country of origin labelling reforms cost benefit analysis</w:t>
            </w:r>
          </w:hyperlink>
          <w:r w:rsidRPr="005D662D">
            <w:rPr>
              <w:rFonts w:ascii="Calibri" w:eastAsia="Calibri" w:hAnsi="Calibri" w:cs="Times New Roman"/>
              <w:i/>
              <w:iCs/>
              <w:color w:val="262626"/>
            </w:rPr>
            <w:t>,</w:t>
          </w:r>
          <w:r w:rsidRPr="005D662D">
            <w:rPr>
              <w:rFonts w:ascii="Calibri" w:eastAsia="Calibri" w:hAnsi="Calibri" w:cs="Times New Roman"/>
              <w:color w:val="262626"/>
            </w:rPr>
            <w:t xml:space="preserve"> report to the Australian Government Department of Industry, Science, Energy and Resources, Deloitte.</w:t>
          </w:r>
        </w:p>
        <w:p w14:paraId="1E7D3511" w14:textId="7D70FE90" w:rsid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Deloitte (Deloitte Access Economics) (2021</w:t>
          </w:r>
          <w:r w:rsidR="0047504A">
            <w:rPr>
              <w:rFonts w:ascii="Calibri" w:eastAsia="Calibri" w:hAnsi="Calibri" w:cs="Times New Roman"/>
              <w:color w:val="262626"/>
            </w:rPr>
            <w:t>a</w:t>
          </w:r>
          <w:r w:rsidRPr="005D662D">
            <w:rPr>
              <w:rFonts w:ascii="Calibri" w:eastAsia="Calibri" w:hAnsi="Calibri" w:cs="Times New Roman"/>
              <w:color w:val="262626"/>
            </w:rPr>
            <w:t xml:space="preserve">) </w:t>
          </w:r>
          <w:hyperlink r:id="rId22" w:history="1">
            <w:r w:rsidRPr="005D662D">
              <w:rPr>
                <w:rFonts w:ascii="Calibri" w:eastAsia="Calibri" w:hAnsi="Calibri" w:cs="Times New Roman"/>
                <w:i/>
                <w:iCs/>
                <w:color w:val="015F8B"/>
                <w:u w:val="single"/>
              </w:rPr>
              <w:t>Evaluation of country of origin labelling reforms final report</w:t>
            </w:r>
          </w:hyperlink>
          <w:r w:rsidRPr="005D662D">
            <w:rPr>
              <w:rFonts w:ascii="Calibri" w:eastAsia="Calibri" w:hAnsi="Calibri" w:cs="Times New Roman"/>
              <w:i/>
              <w:iCs/>
              <w:color w:val="262626"/>
            </w:rPr>
            <w:t>,</w:t>
          </w:r>
          <w:r w:rsidRPr="005D662D">
            <w:rPr>
              <w:rFonts w:ascii="Calibri" w:eastAsia="Calibri" w:hAnsi="Calibri" w:cs="Times New Roman"/>
              <w:color w:val="262626"/>
            </w:rPr>
            <w:t xml:space="preserve"> report to the Australian Government Department of Industry, Science, Energy and Resources, Deloitte.</w:t>
          </w:r>
        </w:p>
        <w:p w14:paraId="72E2DA36" w14:textId="609E2E7A" w:rsidR="00D42069" w:rsidRPr="00D42069" w:rsidRDefault="00D42069" w:rsidP="005D662D">
          <w:pPr>
            <w:spacing w:after="120" w:line="264" w:lineRule="auto"/>
            <w:rPr>
              <w:rFonts w:ascii="Calibri" w:eastAsia="Calibri" w:hAnsi="Calibri" w:cs="Times New Roman"/>
              <w:color w:val="262626"/>
            </w:rPr>
          </w:pPr>
          <w:r>
            <w:rPr>
              <w:rFonts w:ascii="Calibri" w:eastAsia="Calibri" w:hAnsi="Calibri" w:cs="Times New Roman"/>
              <w:color w:val="262626"/>
            </w:rPr>
            <w:t xml:space="preserve">Deloitte (Deloitte Access Economics (2023) </w:t>
          </w:r>
          <w:r>
            <w:rPr>
              <w:rFonts w:ascii="Calibri" w:eastAsia="Calibri" w:hAnsi="Calibri" w:cs="Times New Roman"/>
              <w:i/>
              <w:iCs/>
              <w:color w:val="262626"/>
            </w:rPr>
            <w:t xml:space="preserve">Country of Origin Labelling for Seafood in Hospitality Settings costs benefit analysis, </w:t>
          </w:r>
          <w:r>
            <w:rPr>
              <w:rFonts w:ascii="Calibri" w:eastAsia="Calibri" w:hAnsi="Calibri" w:cs="Times New Roman"/>
              <w:color w:val="262626"/>
            </w:rPr>
            <w:t>report to the Australian Government Department of Industry, Science and Resources, Deloitte.</w:t>
          </w:r>
        </w:p>
        <w:p w14:paraId="5A1B41E0" w14:textId="57BBCCBA" w:rsidR="00DD15AC" w:rsidRPr="005D662D" w:rsidRDefault="00DD15AC" w:rsidP="005D662D">
          <w:pPr>
            <w:spacing w:after="120" w:line="264" w:lineRule="auto"/>
            <w:rPr>
              <w:rFonts w:ascii="Calibri" w:eastAsia="Calibri" w:hAnsi="Calibri" w:cs="Times New Roman"/>
              <w:color w:val="262626"/>
            </w:rPr>
          </w:pPr>
          <w:r w:rsidRPr="0091072C">
            <w:rPr>
              <w:rFonts w:ascii="Calibri" w:eastAsia="Calibri" w:hAnsi="Calibri" w:cs="Times New Roman"/>
              <w:color w:val="262626"/>
            </w:rPr>
            <w:t>DISR (Department of Industry, Science and Resources) (2022</w:t>
          </w:r>
          <w:r w:rsidRPr="001347DC">
            <w:rPr>
              <w:rFonts w:ascii="Calibri" w:eastAsia="Calibri" w:hAnsi="Calibri" w:cs="Times New Roman"/>
              <w:i/>
              <w:iCs/>
              <w:color w:val="262626"/>
            </w:rPr>
            <w:t>)</w:t>
          </w:r>
          <w:r w:rsidR="005176DC" w:rsidRPr="001347DC">
            <w:rPr>
              <w:rFonts w:ascii="Calibri" w:eastAsia="Calibri" w:hAnsi="Calibri" w:cs="Times New Roman"/>
              <w:i/>
              <w:iCs/>
              <w:color w:val="262626"/>
            </w:rPr>
            <w:t xml:space="preserve"> </w:t>
          </w:r>
          <w:hyperlink r:id="rId23" w:history="1">
            <w:r w:rsidR="005176DC" w:rsidRPr="001347DC">
              <w:rPr>
                <w:rStyle w:val="Hyperlink"/>
                <w:rFonts w:ascii="Calibri" w:eastAsia="Calibri" w:hAnsi="Calibri" w:cs="Times New Roman"/>
                <w:i/>
                <w:iCs/>
              </w:rPr>
              <w:t>Country of origin labelling for seafood in hospitality settings discussion paper</w:t>
            </w:r>
          </w:hyperlink>
          <w:r w:rsidR="005176DC">
            <w:rPr>
              <w:rFonts w:ascii="Calibri" w:eastAsia="Calibri" w:hAnsi="Calibri" w:cs="Times New Roman"/>
              <w:color w:val="262626"/>
            </w:rPr>
            <w:t>, DISR, 2022</w:t>
          </w:r>
          <w:r w:rsidR="00780D7B">
            <w:rPr>
              <w:rFonts w:ascii="Calibri" w:eastAsia="Calibri" w:hAnsi="Calibri" w:cs="Times New Roman"/>
              <w:color w:val="262626"/>
            </w:rPr>
            <w:t>.</w:t>
          </w:r>
          <w:r>
            <w:rPr>
              <w:rFonts w:ascii="Calibri" w:eastAsia="Calibri" w:hAnsi="Calibri" w:cs="Times New Roman"/>
              <w:color w:val="262626"/>
            </w:rPr>
            <w:t xml:space="preserve"> </w:t>
          </w:r>
        </w:p>
        <w:p w14:paraId="310F7378" w14:textId="0C22A433" w:rsidR="00CB6CDC" w:rsidRPr="00D40588" w:rsidRDefault="00CB6CDC" w:rsidP="00CB6CDC">
          <w:pPr>
            <w:spacing w:after="120" w:line="264" w:lineRule="auto"/>
            <w:rPr>
              <w:rFonts w:ascii="Calibri" w:eastAsia="Calibri" w:hAnsi="Calibri" w:cs="Times New Roman"/>
              <w:color w:val="262626"/>
            </w:rPr>
          </w:pPr>
          <w:r>
            <w:rPr>
              <w:rFonts w:ascii="Calibri" w:eastAsia="Calibri" w:hAnsi="Calibri" w:cs="Times New Roman"/>
              <w:color w:val="262626"/>
            </w:rPr>
            <w:t xml:space="preserve">DISR (2023a) </w:t>
          </w:r>
          <w:r>
            <w:rPr>
              <w:rFonts w:ascii="Calibri" w:eastAsia="Calibri" w:hAnsi="Calibri" w:cs="Times New Roman"/>
              <w:i/>
              <w:iCs/>
              <w:color w:val="262626"/>
            </w:rPr>
            <w:t>Country of origin labelling for seafood in hospitality settings consultation regulation impact statement</w:t>
          </w:r>
          <w:r>
            <w:rPr>
              <w:rFonts w:ascii="Calibri" w:eastAsia="Calibri" w:hAnsi="Calibri" w:cs="Times New Roman"/>
              <w:color w:val="262626"/>
            </w:rPr>
            <w:t>, DISR, 2023.</w:t>
          </w:r>
        </w:p>
        <w:p w14:paraId="22E1D06E" w14:textId="3171B876" w:rsidR="00CB6CDC" w:rsidRDefault="00CB6CDC" w:rsidP="005D662D">
          <w:pPr>
            <w:spacing w:after="120" w:line="264" w:lineRule="auto"/>
            <w:rPr>
              <w:rFonts w:ascii="Calibri" w:eastAsia="Calibri" w:hAnsi="Calibri" w:cs="Times New Roman"/>
              <w:color w:val="262626"/>
            </w:rPr>
          </w:pPr>
          <w:bookmarkStart w:id="224" w:name="_Hlk142663624"/>
          <w:r>
            <w:rPr>
              <w:rFonts w:ascii="Calibri" w:eastAsia="Calibri" w:hAnsi="Calibri" w:cs="Times New Roman"/>
              <w:color w:val="262626"/>
            </w:rPr>
            <w:t>DISR (unpublished) internal industry analysis conducted by Analysis</w:t>
          </w:r>
          <w:r w:rsidRPr="00FA1DD8">
            <w:rPr>
              <w:rFonts w:ascii="Calibri" w:eastAsia="Calibri" w:hAnsi="Calibri" w:cs="Times New Roman"/>
              <w:color w:val="262626"/>
            </w:rPr>
            <w:t xml:space="preserve"> and Insights Division</w:t>
          </w:r>
          <w:r>
            <w:rPr>
              <w:rFonts w:ascii="Calibri" w:eastAsia="Calibri" w:hAnsi="Calibri" w:cs="Times New Roman"/>
              <w:color w:val="262626"/>
            </w:rPr>
            <w:t>, accessed 26 June 2023.</w:t>
          </w:r>
        </w:p>
        <w:bookmarkEnd w:id="224"/>
        <w:p w14:paraId="2244ECA1" w14:textId="501819F5"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DISR (2023</w:t>
          </w:r>
          <w:r w:rsidR="00CB6CDC">
            <w:rPr>
              <w:rFonts w:ascii="Calibri" w:eastAsia="Calibri" w:hAnsi="Calibri" w:cs="Times New Roman"/>
              <w:color w:val="262626"/>
            </w:rPr>
            <w:t>b</w:t>
          </w:r>
          <w:r w:rsidRPr="005D662D">
            <w:rPr>
              <w:rFonts w:ascii="Calibri" w:eastAsia="Calibri" w:hAnsi="Calibri" w:cs="Times New Roman"/>
              <w:color w:val="262626"/>
            </w:rPr>
            <w:t xml:space="preserve">) </w:t>
          </w:r>
          <w:hyperlink r:id="rId24" w:history="1">
            <w:r w:rsidRPr="005D662D">
              <w:rPr>
                <w:rFonts w:ascii="Calibri" w:eastAsia="Calibri" w:hAnsi="Calibri" w:cs="Times New Roman"/>
                <w:color w:val="015F8B"/>
                <w:u w:val="single"/>
              </w:rPr>
              <w:t>Responses to the consultation on the country of origin labelling for seafood in hospitality settings discussion paper</w:t>
            </w:r>
          </w:hyperlink>
          <w:r w:rsidRPr="005D662D">
            <w:rPr>
              <w:rFonts w:ascii="Calibri" w:eastAsia="Calibri" w:hAnsi="Calibri" w:cs="Times New Roman"/>
              <w:color w:val="262626"/>
            </w:rPr>
            <w:t>, DISR, 2023.</w:t>
          </w:r>
        </w:p>
        <w:p w14:paraId="4936AA0A" w14:textId="77777777"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 xml:space="preserve">FRDC (Fisheries Research and Development Corporation) (2020) </w:t>
          </w:r>
          <w:hyperlink r:id="rId25" w:anchor="toc-australian-seafood-imports" w:history="1">
            <w:r w:rsidRPr="005D662D">
              <w:rPr>
                <w:rFonts w:ascii="Calibri" w:eastAsia="Calibri" w:hAnsi="Calibri" w:cs="Times New Roman"/>
                <w:i/>
                <w:iCs/>
                <w:color w:val="015F8B"/>
                <w:u w:val="single"/>
              </w:rPr>
              <w:t>Australian seafood exports</w:t>
            </w:r>
          </w:hyperlink>
          <w:r w:rsidRPr="005D662D">
            <w:rPr>
              <w:rFonts w:ascii="Calibri" w:eastAsia="Calibri" w:hAnsi="Calibri" w:cs="Times New Roman"/>
              <w:color w:val="262626"/>
            </w:rPr>
            <w:t>, FRDC, accessed May 2023.</w:t>
          </w:r>
        </w:p>
        <w:p w14:paraId="68956A5E" w14:textId="03303825" w:rsidR="008E2C0F" w:rsidRPr="005D662D" w:rsidRDefault="008E2C0F" w:rsidP="005D662D">
          <w:pPr>
            <w:spacing w:after="120" w:line="264" w:lineRule="auto"/>
            <w:rPr>
              <w:rFonts w:ascii="Calibri" w:eastAsia="Calibri" w:hAnsi="Calibri" w:cs="Times New Roman"/>
              <w:color w:val="262626"/>
            </w:rPr>
          </w:pPr>
          <w:r>
            <w:rPr>
              <w:rFonts w:ascii="Calibri" w:eastAsia="Calibri" w:hAnsi="Calibri" w:cs="Times New Roman"/>
              <w:color w:val="262626"/>
            </w:rPr>
            <w:t>FSANZ (2023)</w:t>
          </w:r>
          <w:r w:rsidRPr="008E2C0F">
            <w:t xml:space="preserve"> </w:t>
          </w:r>
          <w:hyperlink r:id="rId26" w:history="1">
            <w:r>
              <w:rPr>
                <w:rStyle w:val="Hyperlink"/>
                <w:rFonts w:ascii="Calibri" w:eastAsia="Calibri" w:hAnsi="Calibri" w:cs="Times New Roman"/>
              </w:rPr>
              <w:t xml:space="preserve">Food standards and food labelling </w:t>
            </w:r>
          </w:hyperlink>
          <w:r>
            <w:rPr>
              <w:rFonts w:ascii="Calibri" w:eastAsia="Calibri" w:hAnsi="Calibri" w:cs="Times New Roman"/>
              <w:color w:val="262626"/>
            </w:rPr>
            <w:t xml:space="preserve"> </w:t>
          </w:r>
        </w:p>
        <w:p w14:paraId="3DF5E2C2" w14:textId="77777777"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 xml:space="preserve">IBISWorld (2020) </w:t>
          </w:r>
          <w:r w:rsidRPr="005D662D">
            <w:rPr>
              <w:rFonts w:ascii="Calibri" w:eastAsia="Calibri" w:hAnsi="Calibri" w:cs="Times New Roman"/>
              <w:i/>
              <w:iCs/>
              <w:color w:val="262626"/>
            </w:rPr>
            <w:t>Seafood Retailing in Australia: Fish out of water: The outbreak of COVID-19 has reduced industry demand and revenue</w:t>
          </w:r>
          <w:r w:rsidRPr="005D662D">
            <w:rPr>
              <w:rFonts w:ascii="Calibri" w:eastAsia="Calibri" w:hAnsi="Calibri" w:cs="Times New Roman"/>
              <w:color w:val="262626"/>
            </w:rPr>
            <w:t>, IBISWorld, accessed March 2023.</w:t>
          </w:r>
        </w:p>
        <w:p w14:paraId="7F47E83B" w14:textId="3BEAB6F4" w:rsidR="00071034" w:rsidRPr="00071034" w:rsidRDefault="00071034" w:rsidP="00071034">
          <w:r w:rsidRPr="00B964BF">
            <w:lastRenderedPageBreak/>
            <w:t>IBISWorld</w:t>
          </w:r>
          <w:r>
            <w:t xml:space="preserve"> (2023) </w:t>
          </w:r>
          <w:r w:rsidRPr="00087AF4">
            <w:rPr>
              <w:i/>
              <w:iCs/>
            </w:rPr>
            <w:t>Industry Research Reports – Australia, reference period 2018 - 2023</w:t>
          </w:r>
          <w:r>
            <w:rPr>
              <w:i/>
              <w:iCs/>
            </w:rPr>
            <w:t xml:space="preserve">, </w:t>
          </w:r>
          <w:r>
            <w:t>IBISWorld, accessed 2023.</w:t>
          </w:r>
          <w:r w:rsidR="00A2416B">
            <w:t xml:space="preserve"> </w:t>
          </w:r>
        </w:p>
        <w:p w14:paraId="1D0909FD" w14:textId="77777777"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Jobs and Skills Australia (2023)</w:t>
          </w:r>
          <w:r w:rsidRPr="005D662D">
            <w:rPr>
              <w:rFonts w:ascii="Calibri" w:eastAsia="Calibri" w:hAnsi="Calibri" w:cs="Times New Roman"/>
              <w:i/>
              <w:iCs/>
              <w:color w:val="262626"/>
            </w:rPr>
            <w:t xml:space="preserve"> </w:t>
          </w:r>
          <w:hyperlink r:id="rId27" w:anchor=":~:text=Accommodation%20and%20Food%20Services%20is,main%20job%20in%20this%20industry" w:history="1">
            <w:r w:rsidRPr="005D662D">
              <w:rPr>
                <w:rFonts w:ascii="Calibri" w:eastAsia="Calibri" w:hAnsi="Calibri" w:cs="Times New Roman"/>
                <w:i/>
                <w:iCs/>
                <w:color w:val="015F8B"/>
                <w:u w:val="single"/>
              </w:rPr>
              <w:t>Labour market insights: accommodation and food services</w:t>
            </w:r>
            <w:r w:rsidRPr="005D662D">
              <w:rPr>
                <w:rFonts w:ascii="Calibri" w:eastAsia="Calibri" w:hAnsi="Calibri" w:cs="Times New Roman"/>
                <w:color w:val="015F8B"/>
                <w:u w:val="single"/>
              </w:rPr>
              <w:t>, Jobs and Skills Australia</w:t>
            </w:r>
          </w:hyperlink>
          <w:r w:rsidRPr="005D662D">
            <w:rPr>
              <w:rFonts w:ascii="Calibri" w:eastAsia="Calibri" w:hAnsi="Calibri" w:cs="Times New Roman"/>
              <w:color w:val="262626"/>
            </w:rPr>
            <w:t>, Australian Government, accessed April 2023.</w:t>
          </w:r>
        </w:p>
        <w:p w14:paraId="7ED0FCC2" w14:textId="71AD74AF"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 xml:space="preserve">Lawley, M (2015) </w:t>
          </w:r>
          <w:hyperlink r:id="rId28" w:history="1">
            <w:r w:rsidRPr="005D662D">
              <w:rPr>
                <w:rFonts w:ascii="Calibri" w:eastAsia="Calibri" w:hAnsi="Calibri" w:cs="Times New Roman"/>
                <w:i/>
                <w:iCs/>
                <w:color w:val="015F8B"/>
                <w:u w:val="single"/>
              </w:rPr>
              <w:t>A Final Seafood Omnibus: Evaluating changes in consumer attitudes and behaviours</w:t>
            </w:r>
          </w:hyperlink>
          <w:r w:rsidRPr="005D662D">
            <w:rPr>
              <w:rFonts w:ascii="Calibri" w:eastAsia="Calibri" w:hAnsi="Calibri" w:cs="Times New Roman"/>
              <w:color w:val="262626"/>
            </w:rPr>
            <w:t xml:space="preserve"> report to the Australian Seafood Cooperative Research Centre (Seafood CRC), 2015. </w:t>
          </w:r>
        </w:p>
        <w:p w14:paraId="327D941D" w14:textId="327D2367" w:rsidR="005D662D" w:rsidRPr="005D662D" w:rsidRDefault="005D662D" w:rsidP="005D662D">
          <w:pPr>
            <w:spacing w:after="120" w:line="264" w:lineRule="auto"/>
            <w:rPr>
              <w:rFonts w:ascii="Calibri" w:eastAsia="Calibri" w:hAnsi="Calibri" w:cs="Times New Roman"/>
              <w:color w:val="262626"/>
            </w:rPr>
          </w:pPr>
          <w:proofErr w:type="spellStart"/>
          <w:r w:rsidRPr="008B660B">
            <w:rPr>
              <w:rFonts w:ascii="Calibri" w:eastAsia="Calibri" w:hAnsi="Calibri" w:cs="Times New Roman"/>
              <w:color w:val="262626"/>
            </w:rPr>
            <w:t>Minarelli</w:t>
          </w:r>
          <w:proofErr w:type="spellEnd"/>
          <w:r w:rsidRPr="008B660B">
            <w:rPr>
              <w:rFonts w:ascii="Calibri" w:eastAsia="Calibri" w:hAnsi="Calibri" w:cs="Times New Roman"/>
              <w:color w:val="262626"/>
            </w:rPr>
            <w:t xml:space="preserve"> F</w:t>
          </w:r>
          <w:r w:rsidR="007414FF" w:rsidRPr="001347DC">
            <w:rPr>
              <w:rFonts w:ascii="Calibri" w:eastAsia="Calibri" w:hAnsi="Calibri" w:cs="Times New Roman"/>
              <w:color w:val="262626"/>
            </w:rPr>
            <w:t xml:space="preserve">, </w:t>
          </w:r>
          <w:proofErr w:type="spellStart"/>
          <w:r w:rsidR="007414FF" w:rsidRPr="001347DC">
            <w:rPr>
              <w:rFonts w:ascii="Calibri" w:eastAsia="Calibri" w:hAnsi="Calibri" w:cs="Times New Roman"/>
              <w:color w:val="262626"/>
            </w:rPr>
            <w:t>Galioto</w:t>
          </w:r>
          <w:proofErr w:type="spellEnd"/>
          <w:r w:rsidR="007414FF" w:rsidRPr="001347DC">
            <w:rPr>
              <w:rFonts w:ascii="Calibri" w:eastAsia="Calibri" w:hAnsi="Calibri" w:cs="Times New Roman"/>
              <w:color w:val="262626"/>
            </w:rPr>
            <w:t xml:space="preserve"> F, Raggi M, </w:t>
          </w:r>
          <w:proofErr w:type="spellStart"/>
          <w:r w:rsidR="007414FF" w:rsidRPr="001347DC">
            <w:rPr>
              <w:rFonts w:ascii="Calibri" w:eastAsia="Calibri" w:hAnsi="Calibri" w:cs="Times New Roman"/>
              <w:color w:val="262626"/>
            </w:rPr>
            <w:t>Viaggi</w:t>
          </w:r>
          <w:proofErr w:type="spellEnd"/>
          <w:r w:rsidR="007414FF" w:rsidRPr="001347DC">
            <w:rPr>
              <w:rFonts w:ascii="Calibri" w:eastAsia="Calibri" w:hAnsi="Calibri" w:cs="Times New Roman"/>
              <w:color w:val="262626"/>
            </w:rPr>
            <w:t xml:space="preserve"> D</w:t>
          </w:r>
          <w:r w:rsidRPr="008B660B">
            <w:rPr>
              <w:rFonts w:ascii="Calibri" w:eastAsia="Calibri" w:hAnsi="Calibri" w:cs="Times New Roman"/>
              <w:color w:val="262626"/>
            </w:rPr>
            <w:t xml:space="preserve"> (2016</w:t>
          </w:r>
          <w:r w:rsidRPr="001347DC">
            <w:rPr>
              <w:rFonts w:ascii="Calibri" w:eastAsia="Calibri" w:hAnsi="Calibri" w:cs="Times New Roman"/>
            </w:rPr>
            <w:t>)</w:t>
          </w:r>
          <w:r w:rsidRPr="001347DC">
            <w:rPr>
              <w:rFonts w:ascii="Calibri" w:eastAsia="Calibri" w:hAnsi="Calibri" w:cs="Times New Roman"/>
              <w:sz w:val="20"/>
              <w:szCs w:val="20"/>
            </w:rPr>
            <w:t xml:space="preserve"> </w:t>
          </w:r>
          <w:r w:rsidR="008B660B" w:rsidRPr="001347DC">
            <w:rPr>
              <w:rFonts w:ascii="Calibri" w:eastAsia="Calibri" w:hAnsi="Calibri" w:cs="Times New Roman"/>
              <w:u w:val="single"/>
            </w:rPr>
            <w:t>‘</w:t>
          </w:r>
          <w:r w:rsidR="008B660B" w:rsidRPr="001347DC">
            <w:rPr>
              <w:rFonts w:ascii="Calibri" w:eastAsia="Calibri" w:hAnsi="Calibri" w:cs="Times New Roman"/>
            </w:rPr>
            <w:t>Asymmetric information along the food supply chain’</w:t>
          </w:r>
          <w:r w:rsidR="008B660B" w:rsidRPr="001347DC">
            <w:rPr>
              <w:rFonts w:ascii="Calibri" w:eastAsia="Calibri" w:hAnsi="Calibri" w:cs="Times New Roman"/>
              <w:color w:val="262626"/>
            </w:rPr>
            <w:t xml:space="preserve">, in Wilcox A and Mills K (eds) </w:t>
          </w:r>
          <w:hyperlink r:id="rId29" w:history="1">
            <w:r w:rsidR="008B660B" w:rsidRPr="001347DC">
              <w:rPr>
                <w:rStyle w:val="Hyperlink"/>
                <w:rFonts w:ascii="Calibri" w:eastAsia="Calibri" w:hAnsi="Calibri" w:cs="Times New Roman"/>
                <w:i/>
                <w:iCs/>
              </w:rPr>
              <w:t>Social and Technological Transformation of Farming Systems: Diverging and Converging Pathways Proceedings of the 12th European International Farming Systems Association symposium Volume 3</w:t>
            </w:r>
          </w:hyperlink>
          <w:r w:rsidR="008B660B" w:rsidRPr="001347DC">
            <w:rPr>
              <w:rFonts w:ascii="Calibri" w:eastAsia="Calibri" w:hAnsi="Calibri" w:cs="Times New Roman"/>
              <w:color w:val="262626"/>
            </w:rPr>
            <w:t xml:space="preserve">, Harper Adams </w:t>
          </w:r>
          <w:r w:rsidRPr="008B660B">
            <w:rPr>
              <w:rFonts w:ascii="Calibri" w:eastAsia="Calibri" w:hAnsi="Calibri" w:cs="Times New Roman"/>
              <w:color w:val="262626"/>
            </w:rPr>
            <w:t>University</w:t>
          </w:r>
          <w:r w:rsidR="008B660B" w:rsidRPr="001347DC">
            <w:rPr>
              <w:rFonts w:ascii="Calibri" w:eastAsia="Calibri" w:hAnsi="Calibri" w:cs="Times New Roman"/>
              <w:color w:val="262626"/>
            </w:rPr>
            <w:t xml:space="preserve">, </w:t>
          </w:r>
          <w:r w:rsidRPr="008B660B">
            <w:rPr>
              <w:rFonts w:ascii="Calibri" w:eastAsia="Calibri" w:hAnsi="Calibri" w:cs="Times New Roman"/>
              <w:color w:val="262626"/>
            </w:rPr>
            <w:t>2016.</w:t>
          </w:r>
        </w:p>
        <w:p w14:paraId="16A7FD45" w14:textId="77777777"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 xml:space="preserve">Standing Committee on Agriculture and Industry (House of Representatives Standing Committee on Agriculture and Industry) (2014) </w:t>
          </w:r>
          <w:hyperlink r:id="rId30" w:history="1">
            <w:r w:rsidRPr="005D662D">
              <w:rPr>
                <w:rFonts w:ascii="Calibri" w:eastAsia="Calibri" w:hAnsi="Calibri" w:cs="Times New Roman"/>
                <w:i/>
                <w:iCs/>
                <w:color w:val="015F8B"/>
                <w:u w:val="single"/>
              </w:rPr>
              <w:t>A clearer message for consumers: Report on the inquiry into country of origin labelling for food</w:t>
            </w:r>
          </w:hyperlink>
          <w:r w:rsidRPr="005D662D">
            <w:rPr>
              <w:rFonts w:ascii="Calibri" w:eastAsia="Calibri" w:hAnsi="Calibri" w:cs="Times New Roman"/>
              <w:color w:val="262626"/>
            </w:rPr>
            <w:t>, Australian Government, October 2014.</w:t>
          </w:r>
        </w:p>
        <w:p w14:paraId="45AC06A6" w14:textId="77777777" w:rsidR="005D662D" w:rsidRP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 xml:space="preserve">Statista (Statista Research Department) (2023) </w:t>
          </w:r>
          <w:hyperlink r:id="rId31" w:history="1">
            <w:r w:rsidRPr="005D662D">
              <w:rPr>
                <w:rFonts w:ascii="Calibri" w:eastAsia="Calibri" w:hAnsi="Calibri" w:cs="Times New Roman"/>
                <w:i/>
                <w:iCs/>
                <w:color w:val="015F8B"/>
                <w:u w:val="single"/>
              </w:rPr>
              <w:t>Annual revenue of cafes, restaurants and takeaway food services in Australia from 2004 to 2022</w:t>
            </w:r>
          </w:hyperlink>
          <w:r w:rsidRPr="005D662D">
            <w:rPr>
              <w:rFonts w:ascii="Calibri" w:eastAsia="Calibri" w:hAnsi="Calibri" w:cs="Times New Roman"/>
              <w:color w:val="262626"/>
            </w:rPr>
            <w:t>, Statista website, accessed April 2023.</w:t>
          </w:r>
        </w:p>
        <w:p w14:paraId="7387EC30" w14:textId="77777777" w:rsidR="005D662D" w:rsidRPr="005D662D" w:rsidRDefault="005D662D" w:rsidP="005D662D">
          <w:pPr>
            <w:spacing w:after="120" w:line="264" w:lineRule="auto"/>
            <w:rPr>
              <w:rFonts w:ascii="Calibri" w:eastAsia="Calibri" w:hAnsi="Calibri" w:cs="Times New Roman"/>
              <w:i/>
              <w:iCs/>
              <w:color w:val="262626"/>
            </w:rPr>
          </w:pPr>
          <w:proofErr w:type="spellStart"/>
          <w:r w:rsidRPr="005D662D">
            <w:rPr>
              <w:rFonts w:ascii="Calibri" w:eastAsia="Calibri" w:hAnsi="Calibri" w:cs="Times New Roman"/>
              <w:color w:val="262626"/>
            </w:rPr>
            <w:t>SafeFood</w:t>
          </w:r>
          <w:proofErr w:type="spellEnd"/>
          <w:r w:rsidRPr="005D662D">
            <w:rPr>
              <w:rFonts w:ascii="Calibri" w:eastAsia="Calibri" w:hAnsi="Calibri" w:cs="Times New Roman"/>
              <w:color w:val="262626"/>
            </w:rPr>
            <w:t xml:space="preserve"> Queensland (2021</w:t>
          </w:r>
          <w:hyperlink r:id="rId32" w:history="1">
            <w:r w:rsidRPr="005D662D">
              <w:rPr>
                <w:rFonts w:ascii="Calibri" w:eastAsia="Calibri" w:hAnsi="Calibri" w:cs="Times New Roman"/>
                <w:color w:val="015F8B"/>
                <w:u w:val="single"/>
              </w:rPr>
              <w:t>)</w:t>
            </w:r>
            <w:r w:rsidRPr="005D662D">
              <w:rPr>
                <w:rFonts w:ascii="Calibri" w:eastAsia="Calibri" w:hAnsi="Calibri" w:cs="Times New Roman"/>
                <w:i/>
                <w:iCs/>
                <w:color w:val="015F8B"/>
                <w:u w:val="single"/>
              </w:rPr>
              <w:t xml:space="preserve"> Spotlight on…Australia’s Seafood Industry</w:t>
            </w:r>
          </w:hyperlink>
          <w:r w:rsidRPr="005D662D">
            <w:rPr>
              <w:rFonts w:ascii="Calibri" w:eastAsia="Calibri" w:hAnsi="Calibri" w:cs="Times New Roman"/>
              <w:i/>
              <w:iCs/>
              <w:color w:val="262626"/>
            </w:rPr>
            <w:t xml:space="preserve">, </w:t>
          </w:r>
          <w:proofErr w:type="spellStart"/>
          <w:r w:rsidRPr="005D662D">
            <w:rPr>
              <w:rFonts w:ascii="Calibri" w:eastAsia="Calibri" w:hAnsi="Calibri" w:cs="Times New Roman"/>
              <w:color w:val="262626"/>
            </w:rPr>
            <w:t>SafeFood</w:t>
          </w:r>
          <w:proofErr w:type="spellEnd"/>
          <w:r w:rsidRPr="005D662D">
            <w:rPr>
              <w:rFonts w:ascii="Calibri" w:eastAsia="Calibri" w:hAnsi="Calibri" w:cs="Times New Roman"/>
              <w:color w:val="262626"/>
            </w:rPr>
            <w:t xml:space="preserve"> Queensland, 2021.</w:t>
          </w:r>
          <w:r w:rsidRPr="005D662D">
            <w:rPr>
              <w:rFonts w:ascii="Calibri" w:eastAsia="Calibri" w:hAnsi="Calibri" w:cs="Times New Roman"/>
              <w:i/>
              <w:iCs/>
              <w:color w:val="262626"/>
            </w:rPr>
            <w:t xml:space="preserve"> </w:t>
          </w:r>
        </w:p>
        <w:p w14:paraId="407CDE21" w14:textId="77777777" w:rsidR="005D662D" w:rsidRPr="005D662D" w:rsidRDefault="005D662D" w:rsidP="005D662D">
          <w:pPr>
            <w:spacing w:after="120" w:line="264" w:lineRule="auto"/>
            <w:rPr>
              <w:rFonts w:ascii="Calibri" w:eastAsia="Calibri" w:hAnsi="Calibri" w:cs="Times New Roman"/>
              <w:color w:val="262626"/>
            </w:rPr>
          </w:pPr>
          <w:proofErr w:type="spellStart"/>
          <w:r w:rsidRPr="005D662D">
            <w:rPr>
              <w:rFonts w:ascii="Calibri" w:eastAsia="Calibri" w:hAnsi="Calibri" w:cs="Times New Roman"/>
              <w:color w:val="262626"/>
            </w:rPr>
            <w:t>SavvySME</w:t>
          </w:r>
          <w:proofErr w:type="spellEnd"/>
          <w:r w:rsidRPr="005D662D">
            <w:rPr>
              <w:rFonts w:ascii="Calibri" w:eastAsia="Calibri" w:hAnsi="Calibri" w:cs="Times New Roman"/>
              <w:color w:val="262626"/>
            </w:rPr>
            <w:t xml:space="preserve"> (2023) </w:t>
          </w:r>
          <w:hyperlink r:id="rId33" w:history="1">
            <w:r w:rsidRPr="005D662D">
              <w:rPr>
                <w:rFonts w:ascii="Calibri" w:eastAsia="Calibri" w:hAnsi="Calibri" w:cs="Times New Roman"/>
                <w:i/>
                <w:iCs/>
                <w:color w:val="015F8B"/>
                <w:u w:val="single"/>
              </w:rPr>
              <w:t>A guide to the Hospitality Industry</w:t>
            </w:r>
          </w:hyperlink>
          <w:r w:rsidRPr="005D662D">
            <w:rPr>
              <w:rFonts w:ascii="Calibri" w:eastAsia="Calibri" w:hAnsi="Calibri" w:cs="Times New Roman"/>
              <w:i/>
              <w:iCs/>
              <w:color w:val="262626"/>
            </w:rPr>
            <w:t xml:space="preserve">, </w:t>
          </w:r>
          <w:proofErr w:type="spellStart"/>
          <w:r w:rsidRPr="005D662D">
            <w:rPr>
              <w:rFonts w:ascii="Calibri" w:eastAsia="Calibri" w:hAnsi="Calibri" w:cs="Times New Roman"/>
              <w:color w:val="262626"/>
            </w:rPr>
            <w:t>SavvySME</w:t>
          </w:r>
          <w:proofErr w:type="spellEnd"/>
          <w:r w:rsidRPr="005D662D">
            <w:rPr>
              <w:rFonts w:ascii="Calibri" w:eastAsia="Calibri" w:hAnsi="Calibri" w:cs="Times New Roman"/>
              <w:color w:val="262626"/>
            </w:rPr>
            <w:t>,</w:t>
          </w:r>
          <w:r w:rsidRPr="005D662D">
            <w:rPr>
              <w:rFonts w:ascii="Calibri" w:eastAsia="Calibri" w:hAnsi="Calibri" w:cs="Times New Roman"/>
              <w:i/>
              <w:iCs/>
              <w:color w:val="262626"/>
            </w:rPr>
            <w:t xml:space="preserve"> </w:t>
          </w:r>
          <w:r w:rsidRPr="005D662D">
            <w:rPr>
              <w:rFonts w:ascii="Calibri" w:eastAsia="Calibri" w:hAnsi="Calibri" w:cs="Times New Roman"/>
              <w:color w:val="262626"/>
            </w:rPr>
            <w:t>accessed</w:t>
          </w:r>
          <w:r w:rsidRPr="005D662D">
            <w:rPr>
              <w:rFonts w:ascii="Calibri" w:eastAsia="Calibri" w:hAnsi="Calibri" w:cs="Times New Roman"/>
              <w:i/>
              <w:iCs/>
              <w:color w:val="262626"/>
            </w:rPr>
            <w:t xml:space="preserve"> </w:t>
          </w:r>
          <w:r w:rsidRPr="005D662D">
            <w:rPr>
              <w:rFonts w:ascii="Calibri" w:eastAsia="Calibri" w:hAnsi="Calibri" w:cs="Times New Roman"/>
              <w:color w:val="262626"/>
            </w:rPr>
            <w:t>April 2023.</w:t>
          </w:r>
        </w:p>
        <w:p w14:paraId="11627906" w14:textId="77777777" w:rsidR="005D662D" w:rsidRDefault="005D662D" w:rsidP="005D662D">
          <w:pPr>
            <w:spacing w:after="120" w:line="264" w:lineRule="auto"/>
            <w:rPr>
              <w:rFonts w:ascii="Calibri" w:eastAsia="Calibri" w:hAnsi="Calibri" w:cs="Times New Roman"/>
              <w:color w:val="262626"/>
            </w:rPr>
          </w:pPr>
          <w:r w:rsidRPr="005D662D">
            <w:rPr>
              <w:rFonts w:ascii="Calibri" w:eastAsia="Calibri" w:hAnsi="Calibri" w:cs="Times New Roman"/>
              <w:color w:val="262626"/>
            </w:rPr>
            <w:t xml:space="preserve">The Hon Ed Husic MP (25 October 2022) </w:t>
          </w:r>
          <w:hyperlink r:id="rId34" w:history="1">
            <w:r w:rsidRPr="005D662D">
              <w:rPr>
                <w:rFonts w:ascii="Calibri" w:eastAsia="Calibri" w:hAnsi="Calibri" w:cs="Times New Roman"/>
                <w:i/>
                <w:iCs/>
                <w:color w:val="015F8B"/>
                <w:u w:val="single"/>
              </w:rPr>
              <w:t>Backing regional industry and delivering secure jobs of the future</w:t>
            </w:r>
          </w:hyperlink>
          <w:r w:rsidRPr="005D662D">
            <w:rPr>
              <w:rFonts w:ascii="Calibri" w:eastAsia="Calibri" w:hAnsi="Calibri" w:cs="Times New Roman"/>
              <w:i/>
              <w:iCs/>
              <w:color w:val="262626"/>
            </w:rPr>
            <w:t xml:space="preserve"> </w:t>
          </w:r>
          <w:r w:rsidRPr="005D662D">
            <w:rPr>
              <w:rFonts w:ascii="Calibri" w:eastAsia="Calibri" w:hAnsi="Calibri" w:cs="Times New Roman"/>
              <w:color w:val="262626"/>
            </w:rPr>
            <w:t xml:space="preserve">[Budget media release], Australian Government, </w:t>
          </w:r>
          <w:bookmarkStart w:id="225" w:name="_Hlk140580136"/>
          <w:r w:rsidRPr="005D662D">
            <w:rPr>
              <w:rFonts w:ascii="Calibri" w:eastAsia="Calibri" w:hAnsi="Calibri" w:cs="Times New Roman"/>
              <w:color w:val="262626"/>
            </w:rPr>
            <w:t>accessed 9 May 2023.</w:t>
          </w:r>
          <w:bookmarkEnd w:id="225"/>
        </w:p>
        <w:p w14:paraId="7503C39B" w14:textId="7775C317" w:rsidR="0018044F" w:rsidRDefault="00EB1194" w:rsidP="005D662D">
          <w:pPr>
            <w:spacing w:after="120" w:line="264" w:lineRule="auto"/>
            <w:rPr>
              <w:rFonts w:ascii="Calibri" w:eastAsia="Calibri" w:hAnsi="Calibri" w:cs="Times New Roman"/>
              <w:color w:val="262626"/>
            </w:rPr>
          </w:pPr>
          <w:r>
            <w:rPr>
              <w:rFonts w:ascii="Calibri" w:eastAsia="Calibri" w:hAnsi="Calibri" w:cs="Times New Roman"/>
              <w:color w:val="262626"/>
            </w:rPr>
            <w:t xml:space="preserve">The Office of Impact Analysis (OIA) (2023) </w:t>
          </w:r>
          <w:hyperlink r:id="rId35" w:history="1">
            <w:r w:rsidRPr="001347DC">
              <w:rPr>
                <w:rStyle w:val="Hyperlink"/>
                <w:rFonts w:ascii="Calibri" w:eastAsia="Calibri" w:hAnsi="Calibri" w:cs="Times New Roman"/>
                <w:i/>
                <w:iCs/>
              </w:rPr>
              <w:t>Regulatory Impact Analysis Guide for Ministers’ Meetings and National Standard Setting Bodies</w:t>
            </w:r>
          </w:hyperlink>
          <w:r>
            <w:rPr>
              <w:rFonts w:ascii="Calibri" w:eastAsia="Calibri" w:hAnsi="Calibri" w:cs="Times New Roman"/>
              <w:i/>
              <w:iCs/>
              <w:color w:val="262626"/>
            </w:rPr>
            <w:t xml:space="preserve">, </w:t>
          </w:r>
          <w:r w:rsidRPr="001347DC">
            <w:rPr>
              <w:rFonts w:ascii="Calibri" w:eastAsia="Calibri" w:hAnsi="Calibri" w:cs="Times New Roman"/>
              <w:color w:val="262626"/>
            </w:rPr>
            <w:t xml:space="preserve">Department of Prime Minister and Cabinet, Australian </w:t>
          </w:r>
        </w:p>
        <w:p w14:paraId="09C99747" w14:textId="697FA76B" w:rsidR="005D662D" w:rsidRPr="005D662D" w:rsidRDefault="005D662D" w:rsidP="005D662D">
          <w:pPr>
            <w:spacing w:after="120" w:line="264" w:lineRule="auto"/>
            <w:rPr>
              <w:rFonts w:ascii="Calibri" w:eastAsia="Calibri" w:hAnsi="Calibri" w:cs="Times New Roman"/>
              <w:color w:val="262626"/>
            </w:rPr>
          </w:pPr>
          <w:r w:rsidRPr="00AA7C8B">
            <w:rPr>
              <w:rFonts w:ascii="Calibri" w:eastAsia="Calibri" w:hAnsi="Calibri" w:cs="Times New Roman"/>
              <w:color w:val="262626"/>
            </w:rPr>
            <w:t xml:space="preserve">United Nations Food and Agricultura Organisation  </w:t>
          </w:r>
          <w:hyperlink r:id="rId36" w:history="1">
            <w:r w:rsidRPr="00AA7C8B">
              <w:rPr>
                <w:rFonts w:ascii="Calibri" w:eastAsia="Calibri" w:hAnsi="Calibri" w:cs="Times New Roman"/>
                <w:color w:val="015F8B"/>
                <w:u w:val="single"/>
              </w:rPr>
              <w:t>State of fisheries and aquaculture report 2023</w:t>
            </w:r>
          </w:hyperlink>
          <w:r w:rsidRPr="00AA7C8B">
            <w:rPr>
              <w:rFonts w:ascii="Calibri" w:eastAsia="Calibri" w:hAnsi="Calibri" w:cs="Times New Roman"/>
              <w:color w:val="262626"/>
            </w:rPr>
            <w:t xml:space="preserve"> accessed 30 June 2023.</w:t>
          </w:r>
        </w:p>
        <w:p w14:paraId="15BD25D5" w14:textId="77777777" w:rsidR="005D662D" w:rsidRPr="005D662D" w:rsidRDefault="005D662D" w:rsidP="005D662D">
          <w:pPr>
            <w:spacing w:after="120" w:line="264" w:lineRule="auto"/>
            <w:rPr>
              <w:rFonts w:ascii="Calibri" w:eastAsia="Calibri" w:hAnsi="Calibri" w:cs="Times New Roman"/>
              <w:color w:val="262626"/>
            </w:rPr>
          </w:pPr>
        </w:p>
        <w:p w14:paraId="14612836" w14:textId="77777777" w:rsidR="005D662D" w:rsidRPr="005D662D" w:rsidRDefault="005D662D" w:rsidP="005D662D">
          <w:pPr>
            <w:spacing w:after="120" w:line="264" w:lineRule="auto"/>
            <w:rPr>
              <w:rFonts w:ascii="Calibri" w:eastAsia="Calibri" w:hAnsi="Calibri" w:cs="Times New Roman"/>
              <w:color w:val="262626"/>
            </w:rPr>
          </w:pPr>
        </w:p>
        <w:p w14:paraId="6E504C32" w14:textId="77777777" w:rsidR="005D662D" w:rsidRPr="005D662D" w:rsidRDefault="005D662D" w:rsidP="005D662D">
          <w:pPr>
            <w:spacing w:after="120" w:line="264" w:lineRule="auto"/>
            <w:rPr>
              <w:rFonts w:ascii="Century Gothic" w:eastAsia="Calibri" w:hAnsi="Century Gothic" w:cs="Times New Roman"/>
              <w:b/>
              <w:color w:val="014463"/>
            </w:rPr>
          </w:pPr>
          <w:r w:rsidRPr="005D662D">
            <w:rPr>
              <w:rFonts w:ascii="Calibri" w:eastAsia="Calibri" w:hAnsi="Calibri" w:cs="Times New Roman"/>
              <w:color w:val="262626"/>
            </w:rPr>
            <w:br w:type="page"/>
          </w:r>
        </w:p>
        <w:p w14:paraId="19881D4B" w14:textId="77777777" w:rsidR="005D662D" w:rsidRPr="005D662D" w:rsidRDefault="005D662D" w:rsidP="00E85241">
          <w:pPr>
            <w:pStyle w:val="Heading1"/>
            <w:jc w:val="right"/>
          </w:pPr>
          <w:bookmarkStart w:id="226" w:name="_Toc151719094"/>
          <w:r w:rsidRPr="005D662D">
            <w:lastRenderedPageBreak/>
            <w:t>Appendix A</w:t>
          </w:r>
          <w:bookmarkEnd w:id="226"/>
        </w:p>
        <w:p w14:paraId="59EDAB6B" w14:textId="77777777" w:rsidR="005D662D" w:rsidRPr="005D662D" w:rsidRDefault="005D662D" w:rsidP="00331076">
          <w:pPr>
            <w:pStyle w:val="Heading2"/>
          </w:pPr>
          <w:bookmarkStart w:id="227" w:name="_Toc140662074"/>
          <w:bookmarkStart w:id="228" w:name="_Toc141274692"/>
          <w:bookmarkStart w:id="229" w:name="_Toc151719095"/>
          <w:bookmarkStart w:id="230" w:name="_Hlk140738045"/>
          <w:r w:rsidRPr="005D662D">
            <w:t>Previous reviews</w:t>
          </w:r>
          <w:bookmarkEnd w:id="227"/>
          <w:bookmarkEnd w:id="228"/>
          <w:bookmarkEnd w:id="229"/>
        </w:p>
        <w:bookmarkEnd w:id="230"/>
        <w:p w14:paraId="0DD619D7" w14:textId="77777777" w:rsidR="005D662D" w:rsidRPr="005D662D" w:rsidRDefault="005D662D" w:rsidP="005D662D">
          <w:pPr>
            <w:rPr>
              <w:rFonts w:ascii="Calibri" w:eastAsia="Calibri" w:hAnsi="Calibri" w:cs="Calibri"/>
            </w:rPr>
          </w:pPr>
          <w:r w:rsidRPr="005D662D" w:rsidDel="00AB4099">
            <w:rPr>
              <w:rFonts w:ascii="Calibri" w:eastAsia="Calibri" w:hAnsi="Calibri" w:cs="Calibri"/>
            </w:rPr>
            <w:t>This issue has been examined numerous times in the past by varying levels of government, by industry, and consumer groups</w:t>
          </w:r>
          <w:r w:rsidRPr="005D662D">
            <w:rPr>
              <w:rFonts w:ascii="Calibri" w:eastAsia="Calibri" w:hAnsi="Calibri" w:cs="Calibri"/>
            </w:rPr>
            <w:t xml:space="preserve">, including: </w:t>
          </w:r>
        </w:p>
        <w:p w14:paraId="69AA0B25" w14:textId="77777777"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 xml:space="preserve">Labelling Logic: Review of Food Labelling Law and Policy, an independent review of national food labelling law and policy, conducted by Dr Neil Blewett in 2011 (2011 Blewett Review) </w:t>
          </w:r>
        </w:p>
        <w:p w14:paraId="3B7A7391" w14:textId="77777777"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 xml:space="preserve">Senate Rural and Regional Affairs and Transport References Committee inquiry into the requirements for labelling of seafood and seafood products in 2014 </w:t>
          </w:r>
        </w:p>
        <w:p w14:paraId="63B05572" w14:textId="77777777"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 xml:space="preserve">House of Representatives Standing Committee on Agriculture and inquiry into CoOL for food in 2014 </w:t>
          </w:r>
        </w:p>
        <w:p w14:paraId="7ECAD319" w14:textId="77777777"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Senate Rural and Regional Affairs and Transport Legislation Committee inquiry into the Food Standards Amendment (Fish Labelling) Bill 2015, a private Senator’s bill, in 2015</w:t>
          </w:r>
        </w:p>
        <w:p w14:paraId="46115A5F" w14:textId="77777777"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Joint Select Committee on Northern Australia inquiry into opportunities for expanding aquaculture in Northern Australia in 2016</w:t>
          </w:r>
        </w:p>
        <w:p w14:paraId="22C4C4C2" w14:textId="77777777"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Productivity Commission inquiry into Regulation of Australian Marine Fisheries and Aquaculture Sectors in 2016</w:t>
          </w:r>
        </w:p>
        <w:p w14:paraId="71BCFC92" w14:textId="5757A8F0"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 xml:space="preserve">Seafood Origin Working Group (Industry-led), chaired by the Hon Craig </w:t>
          </w:r>
          <w:proofErr w:type="spellStart"/>
          <w:r w:rsidRPr="005D662D">
            <w:rPr>
              <w:rFonts w:ascii="Calibri" w:eastAsia="Calibri" w:hAnsi="Calibri" w:cs="Calibri"/>
            </w:rPr>
            <w:t>Laundy</w:t>
          </w:r>
          <w:proofErr w:type="spellEnd"/>
          <w:r w:rsidRPr="005D662D">
            <w:rPr>
              <w:rFonts w:ascii="Calibri" w:eastAsia="Calibri" w:hAnsi="Calibri" w:cs="Calibri"/>
            </w:rPr>
            <w:t xml:space="preserve"> MP, former Assistant Minister for Industry, Innovation and Science, in 2017</w:t>
          </w:r>
        </w:p>
        <w:p w14:paraId="7A3272C8" w14:textId="77777777"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The Australia and New Zealand Ministerial Forum on Food Regulation and the former Legislative and Governance Forum on Consumer Affairs consideration of extending origin labelling to seafood in food service in 2018</w:t>
          </w:r>
        </w:p>
        <w:p w14:paraId="19B29469" w14:textId="5CF826EF"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 xml:space="preserve">Department of Industry, Science and </w:t>
          </w:r>
          <w:bookmarkStart w:id="231" w:name="_Hlk133576567"/>
          <w:bookmarkStart w:id="232" w:name="_Hlk133572215"/>
          <w:r w:rsidRPr="005D662D">
            <w:rPr>
              <w:rFonts w:ascii="Calibri" w:eastAsia="Calibri" w:hAnsi="Calibri" w:cs="Calibri"/>
            </w:rPr>
            <w:t>Resources ‘Evaluation of Country of Origin Labelling for Food 2020-2021’</w:t>
          </w:r>
          <w:r w:rsidR="00A2416B">
            <w:rPr>
              <w:rFonts w:ascii="Calibri" w:eastAsia="Calibri" w:hAnsi="Calibri" w:cs="Calibri"/>
            </w:rPr>
            <w:t xml:space="preserve"> (CoOL Evaluation)</w:t>
          </w:r>
        </w:p>
        <w:bookmarkEnd w:id="231"/>
        <w:p w14:paraId="72F446A6" w14:textId="77777777" w:rsidR="005D662D" w:rsidRPr="005D662D"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Queensland Parliament ‘Food (Labelling of Seafood) Amendment Bill 2021’</w:t>
          </w:r>
        </w:p>
        <w:bookmarkEnd w:id="232"/>
        <w:p w14:paraId="20474B96" w14:textId="77777777" w:rsidR="005D662D" w:rsidRPr="005D662D" w:rsidDel="00AB4099" w:rsidRDefault="005D662D" w:rsidP="00073493">
          <w:pPr>
            <w:numPr>
              <w:ilvl w:val="0"/>
              <w:numId w:val="13"/>
            </w:numPr>
            <w:ind w:left="709" w:hanging="357"/>
            <w:rPr>
              <w:rFonts w:ascii="Calibri" w:eastAsia="Calibri" w:hAnsi="Calibri" w:cs="Calibri"/>
            </w:rPr>
          </w:pPr>
          <w:r w:rsidRPr="005D662D">
            <w:rPr>
              <w:rFonts w:ascii="Calibri" w:eastAsia="Calibri" w:hAnsi="Calibri" w:cs="Calibri"/>
            </w:rPr>
            <w:t>The House of Representatives Standing Committee on Agriculture and Water Resources inquiry into Australian aquaculture sector 2022.</w:t>
          </w:r>
        </w:p>
        <w:p w14:paraId="6A2B87F1" w14:textId="22736884" w:rsidR="005D662D" w:rsidRPr="005D662D" w:rsidRDefault="005D662D" w:rsidP="005D662D">
          <w:pPr>
            <w:rPr>
              <w:rFonts w:ascii="Calibri" w:eastAsia="Calibri" w:hAnsi="Calibri" w:cs="Calibri"/>
            </w:rPr>
          </w:pPr>
          <w:r w:rsidRPr="005D662D" w:rsidDel="00AB4099">
            <w:rPr>
              <w:rFonts w:ascii="Calibri" w:eastAsia="Calibri" w:hAnsi="Calibri" w:cs="Calibri"/>
            </w:rPr>
            <w:t xml:space="preserve">The most recent investigation on the issue undertaken by the </w:t>
          </w:r>
          <w:r w:rsidRPr="005D662D">
            <w:rPr>
              <w:rFonts w:ascii="Calibri" w:eastAsia="Calibri" w:hAnsi="Calibri" w:cs="Calibri"/>
            </w:rPr>
            <w:t xml:space="preserve">department </w:t>
          </w:r>
          <w:r w:rsidRPr="005D662D" w:rsidDel="00AB4099">
            <w:rPr>
              <w:rFonts w:ascii="Calibri" w:eastAsia="Calibri" w:hAnsi="Calibri" w:cs="Calibri"/>
            </w:rPr>
            <w:t>was the</w:t>
          </w:r>
          <w:r w:rsidR="00A2416B">
            <w:rPr>
              <w:rFonts w:ascii="Calibri" w:eastAsia="Calibri" w:hAnsi="Calibri" w:cs="Calibri"/>
            </w:rPr>
            <w:t xml:space="preserve"> CoOL Evaluation</w:t>
          </w:r>
          <w:r w:rsidRPr="005D662D" w:rsidDel="00AB4099">
            <w:rPr>
              <w:rFonts w:ascii="Calibri" w:eastAsia="Calibri" w:hAnsi="Calibri" w:cs="Calibri"/>
            </w:rPr>
            <w:t xml:space="preserve">. </w:t>
          </w:r>
          <w:r w:rsidRPr="005D662D">
            <w:rPr>
              <w:rFonts w:ascii="Calibri" w:eastAsia="Calibri" w:hAnsi="Calibri" w:cs="Calibri"/>
            </w:rPr>
            <w:t xml:space="preserve">The matter of increasing information for consumers on the purchasing of seafood in hospitality settings was not fully assessed in this report. </w:t>
          </w:r>
        </w:p>
        <w:p w14:paraId="230B0936" w14:textId="77777777" w:rsidR="005D662D" w:rsidRPr="005D662D" w:rsidRDefault="005D662D" w:rsidP="005D662D">
          <w:pPr>
            <w:rPr>
              <w:rFonts w:ascii="Calibri" w:eastAsia="Calibri" w:hAnsi="Calibri" w:cs="Calibri"/>
            </w:rPr>
          </w:pPr>
          <w:r w:rsidRPr="005D662D" w:rsidDel="00AB4099">
            <w:rPr>
              <w:rFonts w:ascii="Calibri" w:eastAsia="Calibri" w:hAnsi="Calibri" w:cs="Calibri"/>
            </w:rPr>
            <w:t>Th</w:t>
          </w:r>
          <w:r w:rsidRPr="005D662D">
            <w:rPr>
              <w:rFonts w:ascii="Calibri" w:eastAsia="Calibri" w:hAnsi="Calibri" w:cs="Calibri"/>
            </w:rPr>
            <w:t>e</w:t>
          </w:r>
          <w:r w:rsidRPr="005D662D" w:rsidDel="00AB4099">
            <w:rPr>
              <w:rFonts w:ascii="Calibri" w:eastAsia="Calibri" w:hAnsi="Calibri" w:cs="Calibri"/>
            </w:rPr>
            <w:t xml:space="preserve"> </w:t>
          </w:r>
          <w:r w:rsidRPr="005D662D">
            <w:rPr>
              <w:rFonts w:ascii="Calibri" w:eastAsia="Calibri" w:hAnsi="Calibri" w:cs="Calibri"/>
            </w:rPr>
            <w:t>CoOL E</w:t>
          </w:r>
          <w:r w:rsidRPr="005D662D" w:rsidDel="00AB4099">
            <w:rPr>
              <w:rFonts w:ascii="Calibri" w:eastAsia="Calibri" w:hAnsi="Calibri" w:cs="Calibri"/>
            </w:rPr>
            <w:t xml:space="preserve">valuation found that the </w:t>
          </w:r>
          <w:r w:rsidRPr="005D662D">
            <w:rPr>
              <w:rFonts w:ascii="Calibri" w:eastAsia="Calibri" w:hAnsi="Calibri" w:cs="Calibri"/>
            </w:rPr>
            <w:t>benefits</w:t>
          </w:r>
          <w:r w:rsidRPr="005D662D" w:rsidDel="00AB4099">
            <w:rPr>
              <w:rFonts w:ascii="Calibri" w:eastAsia="Calibri" w:hAnsi="Calibri" w:cs="Calibri"/>
            </w:rPr>
            <w:t xml:space="preserve"> of seafood labelling in hospitality would </w:t>
          </w:r>
          <w:r w:rsidRPr="005D662D">
            <w:rPr>
              <w:rFonts w:ascii="Calibri" w:eastAsia="Calibri" w:hAnsi="Calibri" w:cs="Calibri"/>
            </w:rPr>
            <w:t xml:space="preserve">probably </w:t>
          </w:r>
          <w:r w:rsidRPr="005D662D" w:rsidDel="00AB4099">
            <w:rPr>
              <w:rFonts w:ascii="Calibri" w:eastAsia="Calibri" w:hAnsi="Calibri" w:cs="Calibri"/>
            </w:rPr>
            <w:t xml:space="preserve">not outweigh the </w:t>
          </w:r>
          <w:r w:rsidRPr="005D662D">
            <w:rPr>
              <w:rFonts w:ascii="Calibri" w:eastAsia="Calibri" w:hAnsi="Calibri" w:cs="Calibri"/>
            </w:rPr>
            <w:t>costs, but no investigation of this matter was undertaken. The s</w:t>
          </w:r>
          <w:r w:rsidRPr="005D662D" w:rsidDel="00AB4099">
            <w:rPr>
              <w:rFonts w:ascii="Calibri" w:eastAsia="Calibri" w:hAnsi="Calibri" w:cs="Calibri"/>
            </w:rPr>
            <w:t xml:space="preserve">elling </w:t>
          </w:r>
          <w:r w:rsidRPr="005D662D">
            <w:rPr>
              <w:rFonts w:ascii="Calibri" w:eastAsia="Calibri" w:hAnsi="Calibri" w:cs="Calibri"/>
            </w:rPr>
            <w:t xml:space="preserve">of seafood in hospitality settings was </w:t>
          </w:r>
          <w:r w:rsidRPr="005D662D" w:rsidDel="00AB4099">
            <w:rPr>
              <w:rFonts w:ascii="Calibri" w:eastAsia="Calibri" w:hAnsi="Calibri" w:cs="Calibri"/>
            </w:rPr>
            <w:t>not the primary focus of the evaluation</w:t>
          </w:r>
          <w:r w:rsidRPr="005D662D">
            <w:rPr>
              <w:rFonts w:ascii="Calibri" w:eastAsia="Calibri" w:hAnsi="Calibri" w:cs="Calibri"/>
            </w:rPr>
            <w:t xml:space="preserve"> and there was no cost benefit analysis undertaken. The findings of this report </w:t>
          </w:r>
          <w:r w:rsidRPr="005D662D" w:rsidDel="00AB4099">
            <w:rPr>
              <w:rFonts w:ascii="Calibri" w:eastAsia="Calibri" w:hAnsi="Calibri" w:cs="Calibri"/>
            </w:rPr>
            <w:t xml:space="preserve">were indicative only and that </w:t>
          </w:r>
          <w:r w:rsidRPr="005D662D">
            <w:rPr>
              <w:rFonts w:ascii="Calibri" w:eastAsia="Calibri" w:hAnsi="Calibri" w:cs="Calibri"/>
            </w:rPr>
            <w:t xml:space="preserve">it stated that </w:t>
          </w:r>
          <w:r w:rsidRPr="005D662D" w:rsidDel="00AB4099">
            <w:rPr>
              <w:rFonts w:ascii="Calibri" w:eastAsia="Calibri" w:hAnsi="Calibri" w:cs="Calibri"/>
            </w:rPr>
            <w:t xml:space="preserve">a more in-depth assessment </w:t>
          </w:r>
          <w:r w:rsidRPr="005D662D">
            <w:rPr>
              <w:rFonts w:ascii="Calibri" w:eastAsia="Calibri" w:hAnsi="Calibri" w:cs="Calibri"/>
            </w:rPr>
            <w:t>was</w:t>
          </w:r>
          <w:r w:rsidRPr="005D662D" w:rsidDel="00AB4099">
            <w:rPr>
              <w:rFonts w:ascii="Calibri" w:eastAsia="Calibri" w:hAnsi="Calibri" w:cs="Calibri"/>
            </w:rPr>
            <w:t xml:space="preserve"> required. </w:t>
          </w:r>
        </w:p>
        <w:p w14:paraId="796D1C3A" w14:textId="77777777" w:rsidR="005D662D" w:rsidRPr="005D662D" w:rsidDel="00AB4099" w:rsidRDefault="005D662D" w:rsidP="005D662D">
          <w:pPr>
            <w:rPr>
              <w:rFonts w:ascii="Calibri" w:eastAsia="Calibri" w:hAnsi="Calibri" w:cs="Calibri"/>
            </w:rPr>
          </w:pPr>
          <w:r w:rsidRPr="005D662D">
            <w:rPr>
              <w:rFonts w:ascii="Calibri" w:eastAsia="Calibri" w:hAnsi="Calibri" w:cs="Calibri"/>
            </w:rPr>
            <w:lastRenderedPageBreak/>
            <w:t>What the report did find was that m</w:t>
          </w:r>
          <w:r w:rsidRPr="005D662D" w:rsidDel="00AB4099">
            <w:rPr>
              <w:rFonts w:ascii="Calibri" w:eastAsia="Calibri" w:hAnsi="Calibri" w:cs="Calibri"/>
            </w:rPr>
            <w:t xml:space="preserve">andatory labelling was found to be more beneficial than voluntary </w:t>
          </w:r>
          <w:r w:rsidRPr="005D662D">
            <w:rPr>
              <w:rFonts w:ascii="Calibri" w:eastAsia="Calibri" w:hAnsi="Calibri" w:cs="Calibri"/>
            </w:rPr>
            <w:t xml:space="preserve">labelling or information giving to consumers. It was the mandatory labelling information that was </w:t>
          </w:r>
          <w:r w:rsidRPr="005D662D" w:rsidDel="00AB4099">
            <w:rPr>
              <w:rFonts w:ascii="Calibri" w:eastAsia="Calibri" w:hAnsi="Calibri" w:cs="Calibri"/>
            </w:rPr>
            <w:t>driv</w:t>
          </w:r>
          <w:r w:rsidRPr="005D662D">
            <w:rPr>
              <w:rFonts w:ascii="Calibri" w:eastAsia="Calibri" w:hAnsi="Calibri" w:cs="Calibri"/>
            </w:rPr>
            <w:t xml:space="preserve">ing </w:t>
          </w:r>
          <w:r w:rsidRPr="005D662D" w:rsidDel="00AB4099">
            <w:rPr>
              <w:rFonts w:ascii="Calibri" w:eastAsia="Calibri" w:hAnsi="Calibri" w:cs="Calibri"/>
            </w:rPr>
            <w:t>the increased benefits to consumers.</w:t>
          </w:r>
        </w:p>
        <w:p w14:paraId="69E0E570" w14:textId="77777777" w:rsidR="005D662D" w:rsidRPr="005D662D" w:rsidDel="00AB4099" w:rsidRDefault="005D662D" w:rsidP="005D662D">
          <w:pPr>
            <w:rPr>
              <w:rFonts w:ascii="Calibri" w:eastAsia="Calibri" w:hAnsi="Calibri" w:cs="Calibri"/>
            </w:rPr>
          </w:pPr>
          <w:r w:rsidRPr="005D662D" w:rsidDel="00AB4099">
            <w:rPr>
              <w:rFonts w:ascii="Calibri" w:eastAsia="Calibri" w:hAnsi="Calibri" w:cs="Calibri"/>
            </w:rPr>
            <w:t>The Northern Territory (NT) is currently the only Australian jurisdiction with a form of mandatory origin labelling. Under legislation introduced in 2008, fish retailers (such as restaurants, food vans, supermarkets) are required to label seafood as imported if it was not harvested in Australia. Imported seafood must be labelled with an ‘</w:t>
          </w:r>
          <w:proofErr w:type="spellStart"/>
          <w:r w:rsidRPr="005D662D" w:rsidDel="00AB4099">
            <w:rPr>
              <w:rFonts w:ascii="Calibri" w:eastAsia="Calibri" w:hAnsi="Calibri" w:cs="Calibri"/>
            </w:rPr>
            <w:t>i</w:t>
          </w:r>
          <w:proofErr w:type="spellEnd"/>
          <w:r w:rsidRPr="005D662D" w:rsidDel="00AB4099">
            <w:rPr>
              <w:rFonts w:ascii="Calibri" w:eastAsia="Calibri" w:hAnsi="Calibri" w:cs="Calibri"/>
            </w:rPr>
            <w:t xml:space="preserve">’ or an ‘I’ on packaging, menus, display boards, pamphlets, and other advertising materials. Dishes containing seafood of mixed origins need to be labelled as ‘contains imported seafood products.’ </w:t>
          </w:r>
        </w:p>
        <w:p w14:paraId="73CEEA01" w14:textId="61A22B4E" w:rsidR="005D662D" w:rsidRPr="005D662D" w:rsidDel="00AB4099" w:rsidRDefault="007572FF" w:rsidP="005D662D">
          <w:pPr>
            <w:keepNext/>
            <w:rPr>
              <w:rFonts w:ascii="Calibri" w:eastAsia="Calibri" w:hAnsi="Calibri" w:cs="Calibri"/>
            </w:rPr>
          </w:pPr>
          <w:r>
            <w:rPr>
              <w:rFonts w:ascii="Calibri" w:eastAsia="Calibri" w:hAnsi="Calibri" w:cs="Calibri"/>
            </w:rPr>
            <w:t xml:space="preserve">A </w:t>
          </w:r>
          <w:r w:rsidR="005D662D" w:rsidRPr="005D662D" w:rsidDel="00AB4099">
            <w:rPr>
              <w:rFonts w:ascii="Calibri" w:eastAsia="Calibri" w:hAnsi="Calibri" w:cs="Calibri"/>
            </w:rPr>
            <w:t>review</w:t>
          </w:r>
          <w:r>
            <w:rPr>
              <w:rFonts w:ascii="Calibri" w:eastAsia="Calibri" w:hAnsi="Calibri" w:cs="Calibri"/>
            </w:rPr>
            <w:t xml:space="preserve"> was conducted </w:t>
          </w:r>
          <w:r w:rsidR="001624DD">
            <w:rPr>
              <w:rFonts w:ascii="Calibri" w:eastAsia="Calibri" w:hAnsi="Calibri" w:cs="Calibri"/>
            </w:rPr>
            <w:t xml:space="preserve">on </w:t>
          </w:r>
          <w:r w:rsidR="001624DD" w:rsidRPr="005D662D" w:rsidDel="00AB4099">
            <w:rPr>
              <w:rFonts w:ascii="Calibri" w:eastAsia="Calibri" w:hAnsi="Calibri" w:cs="Calibri"/>
            </w:rPr>
            <w:t>the</w:t>
          </w:r>
          <w:r w:rsidR="005D662D" w:rsidRPr="005D662D" w:rsidDel="00AB4099">
            <w:rPr>
              <w:rFonts w:ascii="Calibri" w:eastAsia="Calibri" w:hAnsi="Calibri" w:cs="Calibri"/>
            </w:rPr>
            <w:t xml:space="preserve"> NT scheme </w:t>
          </w:r>
          <w:r>
            <w:rPr>
              <w:rFonts w:ascii="Calibri" w:eastAsia="Calibri" w:hAnsi="Calibri" w:cs="Calibri"/>
            </w:rPr>
            <w:t xml:space="preserve">for the FRDC </w:t>
          </w:r>
          <w:r w:rsidR="005D662D" w:rsidRPr="005D662D" w:rsidDel="00AB4099">
            <w:rPr>
              <w:rFonts w:ascii="Calibri" w:eastAsia="Calibri" w:hAnsi="Calibri" w:cs="Calibri"/>
            </w:rPr>
            <w:t>in 2011</w:t>
          </w:r>
          <w:r w:rsidR="005D662D" w:rsidRPr="005D662D">
            <w:rPr>
              <w:rFonts w:ascii="Calibri" w:eastAsia="Calibri" w:hAnsi="Calibri" w:cs="Calibri"/>
            </w:rPr>
            <w:t xml:space="preserve"> (</w:t>
          </w:r>
          <w:proofErr w:type="spellStart"/>
          <w:r>
            <w:rPr>
              <w:rFonts w:ascii="Calibri" w:eastAsia="Calibri" w:hAnsi="Calibri" w:cs="Times New Roman"/>
              <w:color w:val="262626"/>
            </w:rPr>
            <w:t>Calogeras</w:t>
          </w:r>
          <w:proofErr w:type="spellEnd"/>
          <w:r>
            <w:rPr>
              <w:rFonts w:ascii="Calibri" w:eastAsia="Calibri" w:hAnsi="Calibri" w:cs="Times New Roman"/>
              <w:color w:val="262626"/>
            </w:rPr>
            <w:t xml:space="preserve"> et al. 2011</w:t>
          </w:r>
          <w:r w:rsidR="005D662D" w:rsidRPr="005D662D">
            <w:rPr>
              <w:rFonts w:ascii="Calibri" w:eastAsia="Calibri" w:hAnsi="Calibri" w:cs="Calibri"/>
            </w:rPr>
            <w:t>).</w:t>
          </w:r>
          <w:r w:rsidR="005D662D" w:rsidRPr="005D662D" w:rsidDel="00AB4099">
            <w:rPr>
              <w:rFonts w:ascii="Calibri" w:eastAsia="Calibri" w:hAnsi="Calibri" w:cs="Calibri"/>
            </w:rPr>
            <w:t xml:space="preserve"> It found there was support from the food services sector and consumers, compliance was relatively high, and business costs appeared to be relatively modest. However, it also found that some consumers </w:t>
          </w:r>
          <w:r w:rsidR="005D662D" w:rsidRPr="005D662D">
            <w:rPr>
              <w:rFonts w:ascii="Calibri" w:eastAsia="Calibri" w:hAnsi="Calibri" w:cs="Calibri"/>
            </w:rPr>
            <w:t>mistakenly</w:t>
          </w:r>
          <w:r w:rsidR="005D662D" w:rsidRPr="005D662D" w:rsidDel="00AB4099">
            <w:rPr>
              <w:rFonts w:ascii="Calibri" w:eastAsia="Calibri" w:hAnsi="Calibri" w:cs="Calibri"/>
            </w:rPr>
            <w:t xml:space="preserve"> assumed </w:t>
          </w:r>
          <w:r w:rsidR="005D662D" w:rsidRPr="005D662D">
            <w:rPr>
              <w:rFonts w:ascii="Calibri" w:eastAsia="Calibri" w:hAnsi="Calibri" w:cs="Calibri"/>
            </w:rPr>
            <w:t xml:space="preserve">that </w:t>
          </w:r>
          <w:r w:rsidR="005D662D" w:rsidRPr="005D662D" w:rsidDel="00AB4099">
            <w:rPr>
              <w:rFonts w:ascii="Calibri" w:eastAsia="Calibri" w:hAnsi="Calibri" w:cs="Calibri"/>
            </w:rPr>
            <w:t>unlabelled seafood was imported</w:t>
          </w:r>
          <w:r w:rsidR="005D662D" w:rsidRPr="005D662D">
            <w:rPr>
              <w:rFonts w:ascii="Calibri" w:eastAsia="Calibri" w:hAnsi="Calibri" w:cs="Calibri"/>
            </w:rPr>
            <w:t>, instead of seafood with Australian origin not requiring labelling.</w:t>
          </w:r>
        </w:p>
        <w:p w14:paraId="63F40CEA" w14:textId="77777777" w:rsidR="005D662D" w:rsidRPr="005D662D" w:rsidDel="00AB4099" w:rsidRDefault="005D662D" w:rsidP="005D662D">
          <w:pPr>
            <w:rPr>
              <w:rFonts w:ascii="Calibri" w:eastAsia="Calibri" w:hAnsi="Calibri" w:cs="Calibri"/>
            </w:rPr>
          </w:pPr>
          <w:r w:rsidRPr="005D662D" w:rsidDel="00AB4099">
            <w:rPr>
              <w:rFonts w:ascii="Calibri" w:eastAsia="Calibri" w:hAnsi="Calibri" w:cs="Calibri"/>
            </w:rPr>
            <w:t>Other Australian state and territory governments have also considered mandatory origin labelling for seafood in past years. Most recently with Queensland Government</w:t>
          </w:r>
          <w:r w:rsidRPr="005D662D">
            <w:rPr>
              <w:rFonts w:ascii="Calibri" w:eastAsia="Calibri" w:hAnsi="Calibri" w:cs="Calibri"/>
            </w:rPr>
            <w:t xml:space="preserve">’s ‘Food (Labelling of Seafood) Amendment Bill 2021’ </w:t>
          </w:r>
          <w:r w:rsidRPr="005D662D" w:rsidDel="00AB4099">
            <w:rPr>
              <w:rFonts w:ascii="Calibri" w:eastAsia="Calibri" w:hAnsi="Calibri" w:cs="Calibri"/>
            </w:rPr>
            <w:t>referring the issue to the Commonwealth in 2022</w:t>
          </w:r>
          <w:r w:rsidRPr="005D662D">
            <w:rPr>
              <w:rFonts w:ascii="Calibri" w:eastAsia="Calibri" w:hAnsi="Calibri" w:cs="Calibri"/>
            </w:rPr>
            <w:t xml:space="preserve"> as it was a consumer information, rather than a food safety matter</w:t>
          </w:r>
          <w:r w:rsidRPr="005D662D" w:rsidDel="00AB4099">
            <w:rPr>
              <w:rFonts w:ascii="Calibri" w:eastAsia="Calibri" w:hAnsi="Calibri" w:cs="Calibri"/>
            </w:rPr>
            <w:t xml:space="preserve">. </w:t>
          </w:r>
        </w:p>
        <w:p w14:paraId="24A06439" w14:textId="7A7F606C" w:rsidR="005D662D" w:rsidRPr="005D662D" w:rsidRDefault="005D662D" w:rsidP="005D662D">
          <w:pPr>
            <w:rPr>
              <w:rFonts w:ascii="Calibri" w:eastAsia="Calibri" w:hAnsi="Calibri" w:cs="Calibri"/>
            </w:rPr>
          </w:pPr>
          <w:r w:rsidRPr="005D662D" w:rsidDel="00AB4099">
            <w:rPr>
              <w:rFonts w:ascii="Calibri" w:eastAsia="Calibri" w:hAnsi="Calibri" w:cs="Calibri"/>
            </w:rPr>
            <w:t xml:space="preserve">There have also been various similar industry and government initiatives and resources on seafood origin, including </w:t>
          </w:r>
          <w:r w:rsidR="00C130C8">
            <w:rPr>
              <w:rFonts w:ascii="Calibri" w:eastAsia="Calibri" w:hAnsi="Calibri" w:cs="Calibri"/>
            </w:rPr>
            <w:t xml:space="preserve">to </w:t>
          </w:r>
          <w:r w:rsidRPr="005D662D" w:rsidDel="00AB4099">
            <w:rPr>
              <w:rFonts w:ascii="Calibri" w:eastAsia="Calibri" w:hAnsi="Calibri" w:cs="Calibri"/>
            </w:rPr>
            <w:t>encourag</w:t>
          </w:r>
          <w:r w:rsidR="00C130C8">
            <w:rPr>
              <w:rFonts w:ascii="Calibri" w:eastAsia="Calibri" w:hAnsi="Calibri" w:cs="Calibri"/>
            </w:rPr>
            <w:t>e</w:t>
          </w:r>
          <w:r w:rsidRPr="005D662D" w:rsidDel="00AB4099">
            <w:rPr>
              <w:rFonts w:ascii="Calibri" w:eastAsia="Calibri" w:hAnsi="Calibri" w:cs="Calibri"/>
            </w:rPr>
            <w:t xml:space="preserve"> </w:t>
          </w:r>
          <w:r w:rsidR="00350076">
            <w:rPr>
              <w:rFonts w:ascii="Calibri" w:eastAsia="Calibri" w:hAnsi="Calibri" w:cs="Calibri"/>
            </w:rPr>
            <w:t>consumers</w:t>
          </w:r>
          <w:r w:rsidRPr="005D662D" w:rsidDel="00AB4099">
            <w:rPr>
              <w:rFonts w:ascii="Calibri" w:eastAsia="Calibri" w:hAnsi="Calibri" w:cs="Calibri"/>
            </w:rPr>
            <w:t xml:space="preserve"> to ask about it when dining out and helping them find Australian seafood if it aligns with their preferences. For example, while not directly related to origin labelling, the seafood industry has taken action to help educate consumers about seafood origin. </w:t>
          </w:r>
        </w:p>
        <w:p w14:paraId="225FCCB4" w14:textId="200D1F06" w:rsidR="000906F2" w:rsidRPr="005D662D" w:rsidRDefault="000906F2" w:rsidP="000906F2">
          <w:pPr>
            <w:rPr>
              <w:rFonts w:ascii="Calibri" w:eastAsia="Calibri" w:hAnsi="Calibri" w:cs="Calibri"/>
            </w:rPr>
          </w:pPr>
          <w:r w:rsidRPr="005D662D" w:rsidDel="00AB4099">
            <w:rPr>
              <w:rFonts w:ascii="Calibri" w:eastAsia="Calibri" w:hAnsi="Calibri" w:cs="Calibri"/>
            </w:rPr>
            <w:t xml:space="preserve">In 2020, Seafood Industry Australia launched the Great Australian Seafood brand, website, and marketing campaign, which was funded by the Australian Government under the $1 billion COVID-19 Relief and Recovery fund. </w:t>
          </w:r>
        </w:p>
        <w:p w14:paraId="503CDCDF" w14:textId="301B80EC" w:rsidR="000906F2" w:rsidRPr="005D662D" w:rsidRDefault="000906F2" w:rsidP="000906F2">
          <w:pPr>
            <w:rPr>
              <w:rFonts w:ascii="Calibri" w:eastAsia="Calibri" w:hAnsi="Calibri" w:cs="Calibri"/>
            </w:rPr>
          </w:pPr>
          <w:r w:rsidRPr="005D662D" w:rsidDel="00AB4099">
            <w:rPr>
              <w:rFonts w:ascii="Calibri" w:eastAsia="Calibri" w:hAnsi="Calibri" w:cs="Calibri"/>
            </w:rPr>
            <w:t xml:space="preserve">The Great Australian Seafood website </w:t>
          </w:r>
          <w:r w:rsidR="00771FBD">
            <w:rPr>
              <w:rFonts w:ascii="Calibri" w:eastAsia="Calibri" w:hAnsi="Calibri" w:cs="Calibri"/>
            </w:rPr>
            <w:t>helps provide origin information through its</w:t>
          </w:r>
          <w:r w:rsidRPr="005D662D" w:rsidDel="00AB4099">
            <w:rPr>
              <w:rFonts w:ascii="Calibri" w:eastAsia="Calibri" w:hAnsi="Calibri" w:cs="Calibri"/>
            </w:rPr>
            <w:t xml:space="preserve"> Fish Finder tool </w:t>
          </w:r>
          <w:r w:rsidR="00771FBD">
            <w:rPr>
              <w:rFonts w:ascii="Calibri" w:eastAsia="Calibri" w:hAnsi="Calibri" w:cs="Calibri"/>
            </w:rPr>
            <w:t>which allows</w:t>
          </w:r>
          <w:r w:rsidRPr="005D662D" w:rsidDel="00AB4099">
            <w:rPr>
              <w:rFonts w:ascii="Calibri" w:eastAsia="Calibri" w:hAnsi="Calibri" w:cs="Calibri"/>
            </w:rPr>
            <w:t xml:space="preserve"> consumers</w:t>
          </w:r>
          <w:r w:rsidR="00771FBD">
            <w:rPr>
              <w:rFonts w:ascii="Calibri" w:eastAsia="Calibri" w:hAnsi="Calibri" w:cs="Calibri"/>
            </w:rPr>
            <w:t xml:space="preserve"> to</w:t>
          </w:r>
          <w:r w:rsidRPr="005D662D" w:rsidDel="00AB4099">
            <w:rPr>
              <w:rFonts w:ascii="Calibri" w:eastAsia="Calibri" w:hAnsi="Calibri" w:cs="Calibri"/>
            </w:rPr>
            <w:t xml:space="preserve"> search for suppliers and fish and chip businesses that sell Australian seafood near them. </w:t>
          </w:r>
        </w:p>
        <w:p w14:paraId="49F23BCA" w14:textId="3E3F5A1D" w:rsidR="000906F2" w:rsidRPr="005D662D" w:rsidDel="00AB4099" w:rsidRDefault="000906F2" w:rsidP="000906F2">
          <w:pPr>
            <w:rPr>
              <w:rFonts w:ascii="Calibri" w:eastAsia="Calibri" w:hAnsi="Calibri" w:cs="Calibri"/>
            </w:rPr>
          </w:pPr>
          <w:r w:rsidRPr="005D662D" w:rsidDel="00AB4099">
            <w:rPr>
              <w:rFonts w:ascii="Calibri" w:eastAsia="Calibri" w:hAnsi="Calibri" w:cs="Calibri"/>
            </w:rPr>
            <w:t>Other initiatives</w:t>
          </w:r>
          <w:r w:rsidR="00771FBD">
            <w:rPr>
              <w:rFonts w:ascii="Calibri" w:eastAsia="Calibri" w:hAnsi="Calibri" w:cs="Calibri"/>
            </w:rPr>
            <w:t xml:space="preserve"> that help provide origin information</w:t>
          </w:r>
          <w:r w:rsidRPr="005D662D" w:rsidDel="00AB4099">
            <w:rPr>
              <w:rFonts w:ascii="Calibri" w:eastAsia="Calibri" w:hAnsi="Calibri" w:cs="Calibri"/>
            </w:rPr>
            <w:t xml:space="preserve"> include:</w:t>
          </w:r>
        </w:p>
        <w:p w14:paraId="6CEC99FC" w14:textId="77777777" w:rsidR="000906F2" w:rsidRPr="005D662D" w:rsidDel="00AB4099" w:rsidRDefault="000906F2" w:rsidP="00073493">
          <w:pPr>
            <w:numPr>
              <w:ilvl w:val="0"/>
              <w:numId w:val="12"/>
            </w:numPr>
            <w:ind w:left="714" w:hanging="357"/>
            <w:rPr>
              <w:rFonts w:ascii="Calibri" w:eastAsia="Calibri" w:hAnsi="Calibri" w:cs="Calibri"/>
            </w:rPr>
          </w:pPr>
          <w:r w:rsidRPr="005D662D" w:rsidDel="00AB4099">
            <w:rPr>
              <w:rFonts w:ascii="Calibri" w:eastAsia="Calibri" w:hAnsi="Calibri" w:cs="Calibri"/>
            </w:rPr>
            <w:t xml:space="preserve">the New South Wales Government’s </w:t>
          </w:r>
          <w:hyperlink r:id="rId37" w:history="1">
            <w:r w:rsidRPr="005D662D" w:rsidDel="00AB4099">
              <w:rPr>
                <w:rFonts w:ascii="Calibri" w:eastAsia="Calibri" w:hAnsi="Calibri" w:cs="Calibri"/>
                <w:color w:val="0070AE"/>
                <w:u w:val="single"/>
              </w:rPr>
              <w:t>Eat More Seafood</w:t>
            </w:r>
          </w:hyperlink>
          <w:r w:rsidRPr="005D662D" w:rsidDel="00AB4099">
            <w:rPr>
              <w:rFonts w:ascii="Calibri" w:eastAsia="Calibri" w:hAnsi="Calibri" w:cs="Calibri"/>
            </w:rPr>
            <w:t xml:space="preserve"> program, which provides grants for projects to increase community awareness of the benefits of buying seafood locally</w:t>
          </w:r>
        </w:p>
        <w:p w14:paraId="4BDC3E13" w14:textId="1E94B5DE" w:rsidR="000906F2" w:rsidRPr="005D662D" w:rsidDel="00AB4099" w:rsidRDefault="000906F2" w:rsidP="00073493">
          <w:pPr>
            <w:numPr>
              <w:ilvl w:val="0"/>
              <w:numId w:val="12"/>
            </w:numPr>
            <w:ind w:left="714" w:hanging="357"/>
            <w:rPr>
              <w:rFonts w:ascii="Calibri" w:eastAsia="Calibri" w:hAnsi="Calibri" w:cs="Calibri"/>
            </w:rPr>
          </w:pPr>
          <w:r w:rsidRPr="005D662D" w:rsidDel="00AB4099">
            <w:rPr>
              <w:rFonts w:ascii="Calibri" w:eastAsia="Calibri" w:hAnsi="Calibri" w:cs="Calibri"/>
            </w:rPr>
            <w:t xml:space="preserve">the Tasmanian Seafood Industry Council’s (TSIC) </w:t>
          </w:r>
          <w:hyperlink r:id="rId38" w:history="1">
            <w:r w:rsidRPr="005D662D" w:rsidDel="00AB4099">
              <w:rPr>
                <w:rFonts w:ascii="Calibri" w:eastAsia="Calibri" w:hAnsi="Calibri" w:cs="Calibri"/>
                <w:color w:val="0070AE"/>
                <w:u w:val="single"/>
              </w:rPr>
              <w:t>Eat More Tassie Seafood</w:t>
            </w:r>
          </w:hyperlink>
          <w:r w:rsidRPr="005D662D" w:rsidDel="00AB4099">
            <w:rPr>
              <w:rFonts w:ascii="Calibri" w:eastAsia="Calibri" w:hAnsi="Calibri" w:cs="Calibri"/>
            </w:rPr>
            <w:t xml:space="preserve"> grant for projects that promote Tasmanian seafood, and TSIC’s </w:t>
          </w:r>
          <w:hyperlink r:id="rId39" w:history="1">
            <w:r w:rsidRPr="005D662D" w:rsidDel="00AB4099">
              <w:rPr>
                <w:rFonts w:ascii="Calibri" w:eastAsia="Calibri" w:hAnsi="Calibri" w:cs="Calibri"/>
                <w:color w:val="0070AE"/>
                <w:u w:val="single"/>
              </w:rPr>
              <w:t>Seafood Trail</w:t>
            </w:r>
          </w:hyperlink>
          <w:r w:rsidRPr="005D662D" w:rsidDel="00AB4099">
            <w:rPr>
              <w:rFonts w:ascii="Calibri" w:eastAsia="Calibri" w:hAnsi="Calibri" w:cs="Calibri"/>
            </w:rPr>
            <w:t xml:space="preserve"> which promotes </w:t>
          </w:r>
          <w:r w:rsidR="00470AB1">
            <w:rPr>
              <w:rFonts w:ascii="Calibri" w:eastAsia="Calibri" w:hAnsi="Calibri" w:cs="Calibri"/>
            </w:rPr>
            <w:t xml:space="preserve">local </w:t>
          </w:r>
          <w:r w:rsidRPr="005D662D" w:rsidDel="00AB4099">
            <w:rPr>
              <w:rFonts w:ascii="Calibri" w:eastAsia="Calibri" w:hAnsi="Calibri" w:cs="Calibri"/>
            </w:rPr>
            <w:t>seafood tourism</w:t>
          </w:r>
        </w:p>
        <w:p w14:paraId="30B39A6B" w14:textId="6B9516DF" w:rsidR="000906F2" w:rsidRPr="00AB303C" w:rsidRDefault="00F24B22" w:rsidP="00073493">
          <w:pPr>
            <w:numPr>
              <w:ilvl w:val="0"/>
              <w:numId w:val="12"/>
            </w:numPr>
            <w:ind w:left="714" w:hanging="357"/>
            <w:rPr>
              <w:rFonts w:ascii="Calibri" w:eastAsia="Calibri" w:hAnsi="Calibri" w:cs="Calibri"/>
            </w:rPr>
          </w:pPr>
          <w:hyperlink r:id="rId40" w:history="1">
            <w:r w:rsidR="000906F2" w:rsidRPr="00AB303C" w:rsidDel="00AB4099">
              <w:rPr>
                <w:rFonts w:ascii="Calibri" w:eastAsia="Calibri" w:hAnsi="Calibri" w:cs="Calibri"/>
                <w:color w:val="0070AE"/>
                <w:u w:val="single"/>
              </w:rPr>
              <w:t>Safe Food Queensland</w:t>
            </w:r>
          </w:hyperlink>
          <w:r w:rsidR="000906F2" w:rsidRPr="00AB303C" w:rsidDel="00AB4099">
            <w:rPr>
              <w:rFonts w:ascii="Calibri" w:eastAsia="Calibri" w:hAnsi="Calibri" w:cs="Calibri"/>
            </w:rPr>
            <w:t xml:space="preserve"> information on Australian seafood.</w:t>
          </w:r>
        </w:p>
        <w:p w14:paraId="1FD85E23" w14:textId="68A8E4AF" w:rsidR="00E3027E" w:rsidRPr="00F1267B" w:rsidRDefault="00F24B22" w:rsidP="00F1267B">
          <w:pPr>
            <w:keepNext/>
            <w:keepLines/>
            <w:spacing w:before="240" w:after="80"/>
            <w:outlineLvl w:val="0"/>
            <w:rPr>
              <w:rFonts w:asciiTheme="majorHAnsi" w:eastAsiaTheme="majorEastAsia" w:hAnsiTheme="majorHAnsi" w:cstheme="majorBidi"/>
              <w:color w:val="1B9590" w:themeColor="accent3"/>
              <w:sz w:val="40"/>
              <w:szCs w:val="48"/>
            </w:rPr>
          </w:pPr>
        </w:p>
        <w:bookmarkEnd w:id="8" w:displacedByCustomXml="next"/>
        <w:bookmarkEnd w:id="7" w:displacedByCustomXml="next"/>
        <w:bookmarkEnd w:id="6" w:displacedByCustomXml="next"/>
      </w:sdtContent>
    </w:sdt>
    <w:sectPr w:rsidR="00E3027E" w:rsidRPr="00F1267B" w:rsidSect="00162477">
      <w:headerReference w:type="default" r:id="rId41"/>
      <w:footerReference w:type="default" r:id="rId42"/>
      <w:headerReference w:type="first" r:id="rId43"/>
      <w:footerReference w:type="first" r:id="rId44"/>
      <w:pgSz w:w="11906" w:h="16838"/>
      <w:pgMar w:top="1276" w:right="1274"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23AD" w14:textId="77777777" w:rsidR="003A7D56" w:rsidRDefault="003A7D56" w:rsidP="00B251DB">
      <w:pPr>
        <w:spacing w:after="0" w:line="240" w:lineRule="auto"/>
      </w:pPr>
      <w:r>
        <w:separator/>
      </w:r>
    </w:p>
  </w:endnote>
  <w:endnote w:type="continuationSeparator" w:id="0">
    <w:p w14:paraId="6DD8BDBB" w14:textId="77777777" w:rsidR="003A7D56" w:rsidRDefault="003A7D56" w:rsidP="00B251DB">
      <w:pPr>
        <w:spacing w:after="0" w:line="240" w:lineRule="auto"/>
      </w:pPr>
      <w:r>
        <w:continuationSeparator/>
      </w:r>
    </w:p>
  </w:endnote>
  <w:endnote w:type="continuationNotice" w:id="1">
    <w:p w14:paraId="51C70F2C" w14:textId="77777777" w:rsidR="00A11877" w:rsidRDefault="00A11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D45A" w14:textId="09DC7546" w:rsidR="007E43E2" w:rsidRPr="007E43E2" w:rsidRDefault="00F24B22" w:rsidP="00587A78">
    <w:pPr>
      <w:pStyle w:val="Footer"/>
      <w:ind w:left="-426" w:hanging="141"/>
      <w:jc w:val="center"/>
      <w:rPr>
        <w:b/>
        <w:color w:val="FF0000"/>
        <w:sz w:val="28"/>
      </w:rPr>
    </w:pPr>
    <w:sdt>
      <w:sdtPr>
        <w:alias w:val="Title"/>
        <w:tag w:val=""/>
        <w:id w:val="-1005120900"/>
        <w:placeholder>
          <w:docPart w:val="4F2983108E184FC48F94CD194E47B7F1"/>
        </w:placeholder>
        <w:dataBinding w:prefixMappings="xmlns:ns0='http://purl.org/dc/elements/1.1/' xmlns:ns1='http://schemas.openxmlformats.org/package/2006/metadata/core-properties' " w:xpath="/ns1:coreProperties[1]/ns0:title[1]" w:storeItemID="{6C3C8BC8-F283-45AE-878A-BAB7291924A1}"/>
        <w:text/>
      </w:sdtPr>
      <w:sdtEndPr/>
      <w:sdtContent>
        <w:r w:rsidR="008F518F">
          <w:t>Country of origin labelling for seafood in hospitality settings</w:t>
        </w:r>
      </w:sdtContent>
    </w:sdt>
    <w:r w:rsidR="00BD0F8A">
      <w:tab/>
      <w:t>industry.gov.au</w:t>
    </w:r>
    <w:r w:rsidR="00162477">
      <w:t xml:space="preserve">   </w:t>
    </w:r>
    <w:sdt>
      <w:sdtPr>
        <w:id w:val="-104490174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5A6E7B">
          <w:rPr>
            <w:noProof/>
          </w:rPr>
          <w:t>4</w:t>
        </w:r>
        <w:r w:rsidR="00BD0F8A">
          <w:rPr>
            <w:noProof/>
          </w:rPr>
          <w:fldChar w:fldCharType="end"/>
        </w:r>
      </w:sdtContent>
    </w:sdt>
    <w:r w:rsidR="007E43E2" w:rsidRPr="007E43E2">
      <w:rPr>
        <w:b/>
        <w:color w:val="FF0000"/>
        <w:sz w:val="28"/>
      </w:rPr>
      <w:t xml:space="preserve"> </w:t>
    </w:r>
  </w:p>
  <w:p w14:paraId="55D3C060" w14:textId="77777777" w:rsidR="00953418" w:rsidRDefault="009534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BCF5" w14:textId="0DD6DFAA" w:rsidR="003B6387" w:rsidRPr="00587A78" w:rsidRDefault="00607188" w:rsidP="00587A78">
    <w:pPr>
      <w:pStyle w:val="Footer"/>
      <w:rPr>
        <w:b/>
        <w:bCs/>
        <w:iCs/>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4C8D" w14:textId="77777777" w:rsidR="003A7D56" w:rsidRDefault="003A7D56" w:rsidP="00B251DB">
      <w:pPr>
        <w:spacing w:after="0" w:line="240" w:lineRule="auto"/>
      </w:pPr>
      <w:r>
        <w:separator/>
      </w:r>
    </w:p>
  </w:footnote>
  <w:footnote w:type="continuationSeparator" w:id="0">
    <w:p w14:paraId="449E9300" w14:textId="77777777" w:rsidR="003A7D56" w:rsidRDefault="003A7D56" w:rsidP="00B251DB">
      <w:pPr>
        <w:spacing w:after="0" w:line="240" w:lineRule="auto"/>
      </w:pPr>
      <w:r>
        <w:continuationSeparator/>
      </w:r>
    </w:p>
  </w:footnote>
  <w:footnote w:type="continuationNotice" w:id="1">
    <w:p w14:paraId="79832DD7" w14:textId="77777777" w:rsidR="00A11877" w:rsidRDefault="00A11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C723" w14:textId="10A0E3C2" w:rsidR="008D5AD4" w:rsidRPr="007E43E2" w:rsidRDefault="008D5AD4" w:rsidP="00F21E41">
    <w:pPr>
      <w:pStyle w:val="Footer"/>
      <w:jc w:val="center"/>
      <w:rPr>
        <w:b/>
        <w:color w:val="FF0000"/>
        <w:sz w:val="28"/>
      </w:rPr>
    </w:pPr>
  </w:p>
  <w:p w14:paraId="2015E029" w14:textId="77777777" w:rsidR="00953418" w:rsidRDefault="009534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0D76" w14:textId="77777777" w:rsidR="00806473" w:rsidRDefault="00A540AE">
    <w:pPr>
      <w:pStyle w:val="Header"/>
    </w:pPr>
    <w:r>
      <w:rPr>
        <w:noProof/>
        <w:lang w:eastAsia="en-AU"/>
      </w:rPr>
      <mc:AlternateContent>
        <mc:Choice Requires="wps">
          <w:drawing>
            <wp:anchor distT="0" distB="0" distL="114300" distR="114300" simplePos="0" relativeHeight="251657216" behindDoc="1" locked="0" layoutInCell="1" allowOverlap="1" wp14:anchorId="1BFF4555" wp14:editId="2B137C69">
              <wp:simplePos x="0" y="0"/>
              <wp:positionH relativeFrom="page">
                <wp:align>left</wp:align>
              </wp:positionH>
              <wp:positionV relativeFrom="page">
                <wp:align>top</wp:align>
              </wp:positionV>
              <wp:extent cx="7560000" cy="10692000"/>
              <wp:effectExtent l="0" t="0" r="22225" b="1460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AE7A3" id="Rectangle 1" o:spid="_x0000_s1026" alt="&quot;&quot;" style="position:absolute;margin-left:0;margin-top:0;width:595.3pt;height:841.9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" fillcolor="#00283e [3205]" strokecolor="#484a4c [1604]" strokeweight="1pt">
              <v:fill color2="#1b9590 [3206]" colors="0 #00283e;33423f #005677;1 #1b9590" focus="100%" type="gradient"/>
              <w10:wrap anchorx="page" anchory="page"/>
            </v:rect>
          </w:pict>
        </mc:Fallback>
      </mc:AlternateContent>
    </w:r>
    <w:r w:rsidRPr="00180BF8">
      <w:rPr>
        <w:noProof/>
        <w:lang w:eastAsia="en-AU"/>
      </w:rPr>
      <w:drawing>
        <wp:inline distT="0" distB="0" distL="0" distR="0" wp14:anchorId="25989A45" wp14:editId="6A62FF89">
          <wp:extent cx="2323099" cy="678934"/>
          <wp:effectExtent l="0" t="0" r="1270" b="6985"/>
          <wp:docPr id="14" name="Picture 14"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23099" cy="67893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F0"/>
    <w:multiLevelType w:val="hybridMultilevel"/>
    <w:tmpl w:val="28A25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939598" w:themeColor="accent1"/>
      </w:rPr>
    </w:lvl>
    <w:lvl w:ilvl="1">
      <w:start w:val="1"/>
      <w:numFmt w:val="lowerRoman"/>
      <w:lvlText w:val="%2"/>
      <w:lvlJc w:val="left"/>
      <w:pPr>
        <w:ind w:left="691" w:hanging="288"/>
      </w:pPr>
      <w:rPr>
        <w:rFonts w:hint="default"/>
        <w:color w:val="939598" w:themeColor="accent1"/>
      </w:rPr>
    </w:lvl>
    <w:lvl w:ilvl="2">
      <w:start w:val="1"/>
      <w:numFmt w:val="upperRoman"/>
      <w:lvlText w:val="%3"/>
      <w:lvlJc w:val="left"/>
      <w:pPr>
        <w:ind w:left="979" w:hanging="288"/>
      </w:pPr>
      <w:rPr>
        <w:rFonts w:hint="default"/>
        <w:color w:val="939598"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2323254C"/>
    <w:multiLevelType w:val="multilevel"/>
    <w:tmpl w:val="0E4AB068"/>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5E43CA"/>
    <w:multiLevelType w:val="hybridMultilevel"/>
    <w:tmpl w:val="BED80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0975ED"/>
    <w:multiLevelType w:val="hybridMultilevel"/>
    <w:tmpl w:val="91667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4467732A"/>
    <w:multiLevelType w:val="hybridMultilevel"/>
    <w:tmpl w:val="EBCA510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46C110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BF0597"/>
    <w:multiLevelType w:val="hybridMultilevel"/>
    <w:tmpl w:val="313A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E44838"/>
    <w:multiLevelType w:val="hybridMultilevel"/>
    <w:tmpl w:val="A968A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0100CB76"/>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o"/>
      <w:lvlJc w:val="left"/>
      <w:pPr>
        <w:ind w:left="2345" w:hanging="360"/>
      </w:pPr>
      <w:rPr>
        <w:rFonts w:ascii="Courier New" w:hAnsi="Courier New" w:cs="Courier New"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67A31859"/>
    <w:multiLevelType w:val="hybridMultilevel"/>
    <w:tmpl w:val="8B6E7B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6" w15:restartNumberingAfterBreak="0">
    <w:nsid w:val="7F9F4C9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45848347">
    <w:abstractNumId w:val="9"/>
  </w:num>
  <w:num w:numId="2" w16cid:durableId="365369150">
    <w:abstractNumId w:val="3"/>
  </w:num>
  <w:num w:numId="3" w16cid:durableId="1275288389">
    <w:abstractNumId w:val="10"/>
  </w:num>
  <w:num w:numId="4" w16cid:durableId="1595671198">
    <w:abstractNumId w:val="4"/>
  </w:num>
  <w:num w:numId="5" w16cid:durableId="697312452">
    <w:abstractNumId w:val="0"/>
  </w:num>
  <w:num w:numId="6" w16cid:durableId="517427759">
    <w:abstractNumId w:val="11"/>
  </w:num>
  <w:num w:numId="7" w16cid:durableId="432366130">
    <w:abstractNumId w:val="12"/>
  </w:num>
  <w:num w:numId="8" w16cid:durableId="303856874">
    <w:abstractNumId w:val="5"/>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 w16cid:durableId="1600748260">
    <w:abstractNumId w:val="1"/>
  </w:num>
  <w:num w:numId="10" w16cid:durableId="1476723617">
    <w:abstractNumId w:val="15"/>
  </w:num>
  <w:num w:numId="11" w16cid:durableId="1916430701">
    <w:abstractNumId w:val="14"/>
  </w:num>
  <w:num w:numId="12" w16cid:durableId="1491750529">
    <w:abstractNumId w:val="8"/>
  </w:num>
  <w:num w:numId="13" w16cid:durableId="2032144674">
    <w:abstractNumId w:val="13"/>
  </w:num>
  <w:num w:numId="14" w16cid:durableId="1660303167">
    <w:abstractNumId w:val="2"/>
  </w:num>
  <w:num w:numId="15" w16cid:durableId="776945129">
    <w:abstractNumId w:val="7"/>
  </w:num>
  <w:num w:numId="16" w16cid:durableId="1297299554">
    <w:abstractNumId w:val="6"/>
  </w:num>
  <w:num w:numId="17" w16cid:durableId="207519796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56"/>
    <w:rsid w:val="00001F08"/>
    <w:rsid w:val="00002072"/>
    <w:rsid w:val="000043F8"/>
    <w:rsid w:val="00004A06"/>
    <w:rsid w:val="00005F09"/>
    <w:rsid w:val="00005F15"/>
    <w:rsid w:val="00006C38"/>
    <w:rsid w:val="00010074"/>
    <w:rsid w:val="000106AF"/>
    <w:rsid w:val="000131AD"/>
    <w:rsid w:val="00013CDE"/>
    <w:rsid w:val="000150E1"/>
    <w:rsid w:val="00020BA7"/>
    <w:rsid w:val="00021B92"/>
    <w:rsid w:val="00022FD6"/>
    <w:rsid w:val="00023DAA"/>
    <w:rsid w:val="000262ED"/>
    <w:rsid w:val="00026446"/>
    <w:rsid w:val="00026884"/>
    <w:rsid w:val="00027854"/>
    <w:rsid w:val="0003020C"/>
    <w:rsid w:val="00031538"/>
    <w:rsid w:val="000317A1"/>
    <w:rsid w:val="00031C8E"/>
    <w:rsid w:val="00032995"/>
    <w:rsid w:val="00034BD0"/>
    <w:rsid w:val="00034BFE"/>
    <w:rsid w:val="00035268"/>
    <w:rsid w:val="000361C2"/>
    <w:rsid w:val="00045082"/>
    <w:rsid w:val="0004583B"/>
    <w:rsid w:val="00052E34"/>
    <w:rsid w:val="000552B3"/>
    <w:rsid w:val="00057AEB"/>
    <w:rsid w:val="00057C56"/>
    <w:rsid w:val="00060CD7"/>
    <w:rsid w:val="00062992"/>
    <w:rsid w:val="00065153"/>
    <w:rsid w:val="00066128"/>
    <w:rsid w:val="0006658A"/>
    <w:rsid w:val="00067082"/>
    <w:rsid w:val="00067C72"/>
    <w:rsid w:val="0007067B"/>
    <w:rsid w:val="00071034"/>
    <w:rsid w:val="00073493"/>
    <w:rsid w:val="00073A47"/>
    <w:rsid w:val="00077098"/>
    <w:rsid w:val="00080035"/>
    <w:rsid w:val="00081D07"/>
    <w:rsid w:val="0009022C"/>
    <w:rsid w:val="000906F2"/>
    <w:rsid w:val="00091EFF"/>
    <w:rsid w:val="00094A89"/>
    <w:rsid w:val="00095569"/>
    <w:rsid w:val="000961B1"/>
    <w:rsid w:val="00097EBA"/>
    <w:rsid w:val="000A1844"/>
    <w:rsid w:val="000A1F7C"/>
    <w:rsid w:val="000C0AF3"/>
    <w:rsid w:val="000C2F35"/>
    <w:rsid w:val="000C3494"/>
    <w:rsid w:val="000C5E11"/>
    <w:rsid w:val="000D0045"/>
    <w:rsid w:val="000D057E"/>
    <w:rsid w:val="000D5F7E"/>
    <w:rsid w:val="000D790C"/>
    <w:rsid w:val="000E0B57"/>
    <w:rsid w:val="000E30ED"/>
    <w:rsid w:val="000E41A4"/>
    <w:rsid w:val="000E459B"/>
    <w:rsid w:val="000E599A"/>
    <w:rsid w:val="000E713B"/>
    <w:rsid w:val="000F16FB"/>
    <w:rsid w:val="000F2564"/>
    <w:rsid w:val="000F51F4"/>
    <w:rsid w:val="000F55B9"/>
    <w:rsid w:val="001018D9"/>
    <w:rsid w:val="0010263F"/>
    <w:rsid w:val="00102717"/>
    <w:rsid w:val="00105B04"/>
    <w:rsid w:val="00105F5E"/>
    <w:rsid w:val="001115F9"/>
    <w:rsid w:val="00112594"/>
    <w:rsid w:val="001140EB"/>
    <w:rsid w:val="00115D7E"/>
    <w:rsid w:val="0011794E"/>
    <w:rsid w:val="001258B3"/>
    <w:rsid w:val="001260C6"/>
    <w:rsid w:val="00133972"/>
    <w:rsid w:val="001347DC"/>
    <w:rsid w:val="00135D0A"/>
    <w:rsid w:val="00136CD4"/>
    <w:rsid w:val="001374CD"/>
    <w:rsid w:val="0014091C"/>
    <w:rsid w:val="00141D70"/>
    <w:rsid w:val="00141EF3"/>
    <w:rsid w:val="001428D2"/>
    <w:rsid w:val="001428D8"/>
    <w:rsid w:val="0014517B"/>
    <w:rsid w:val="00145963"/>
    <w:rsid w:val="00153C15"/>
    <w:rsid w:val="00156AF9"/>
    <w:rsid w:val="0015772C"/>
    <w:rsid w:val="00162477"/>
    <w:rsid w:val="001624DD"/>
    <w:rsid w:val="0016258E"/>
    <w:rsid w:val="0016272F"/>
    <w:rsid w:val="0016296B"/>
    <w:rsid w:val="00163DE0"/>
    <w:rsid w:val="00166E79"/>
    <w:rsid w:val="00172619"/>
    <w:rsid w:val="00173F24"/>
    <w:rsid w:val="00177E68"/>
    <w:rsid w:val="0018044F"/>
    <w:rsid w:val="00181CC8"/>
    <w:rsid w:val="00181DEC"/>
    <w:rsid w:val="00182C9F"/>
    <w:rsid w:val="00192C58"/>
    <w:rsid w:val="0019439B"/>
    <w:rsid w:val="00194BB6"/>
    <w:rsid w:val="0019591D"/>
    <w:rsid w:val="00197351"/>
    <w:rsid w:val="001A74A2"/>
    <w:rsid w:val="001B0246"/>
    <w:rsid w:val="001B05AB"/>
    <w:rsid w:val="001B2015"/>
    <w:rsid w:val="001B58AF"/>
    <w:rsid w:val="001B69E2"/>
    <w:rsid w:val="001B6A52"/>
    <w:rsid w:val="001C26A4"/>
    <w:rsid w:val="001C434B"/>
    <w:rsid w:val="001C5BE6"/>
    <w:rsid w:val="001C68FE"/>
    <w:rsid w:val="001C7A02"/>
    <w:rsid w:val="001D0E64"/>
    <w:rsid w:val="001D1B4E"/>
    <w:rsid w:val="001D216A"/>
    <w:rsid w:val="001D2E82"/>
    <w:rsid w:val="001D3673"/>
    <w:rsid w:val="001D52FD"/>
    <w:rsid w:val="001D7464"/>
    <w:rsid w:val="001E226B"/>
    <w:rsid w:val="001E34E1"/>
    <w:rsid w:val="001E6CBF"/>
    <w:rsid w:val="001F2B69"/>
    <w:rsid w:val="001F2E4C"/>
    <w:rsid w:val="001F5AB1"/>
    <w:rsid w:val="001F63A2"/>
    <w:rsid w:val="002008C5"/>
    <w:rsid w:val="00201C07"/>
    <w:rsid w:val="002044AD"/>
    <w:rsid w:val="00204805"/>
    <w:rsid w:val="00205DF3"/>
    <w:rsid w:val="002063E2"/>
    <w:rsid w:val="002066EC"/>
    <w:rsid w:val="002113B4"/>
    <w:rsid w:val="00214CC2"/>
    <w:rsid w:val="0022083E"/>
    <w:rsid w:val="00221034"/>
    <w:rsid w:val="00222894"/>
    <w:rsid w:val="00222D0B"/>
    <w:rsid w:val="0022435D"/>
    <w:rsid w:val="00226B53"/>
    <w:rsid w:val="002319DE"/>
    <w:rsid w:val="0023239B"/>
    <w:rsid w:val="00234572"/>
    <w:rsid w:val="00234CCE"/>
    <w:rsid w:val="00235AD6"/>
    <w:rsid w:val="002379FE"/>
    <w:rsid w:val="00240C11"/>
    <w:rsid w:val="002410F5"/>
    <w:rsid w:val="00241D3D"/>
    <w:rsid w:val="00244260"/>
    <w:rsid w:val="00244A78"/>
    <w:rsid w:val="0024660E"/>
    <w:rsid w:val="00247068"/>
    <w:rsid w:val="0025169F"/>
    <w:rsid w:val="00251F13"/>
    <w:rsid w:val="00254DA8"/>
    <w:rsid w:val="00255700"/>
    <w:rsid w:val="00264B42"/>
    <w:rsid w:val="0026709A"/>
    <w:rsid w:val="002676DF"/>
    <w:rsid w:val="00270392"/>
    <w:rsid w:val="00272B04"/>
    <w:rsid w:val="00276323"/>
    <w:rsid w:val="00276E63"/>
    <w:rsid w:val="00283832"/>
    <w:rsid w:val="002855DF"/>
    <w:rsid w:val="00285FEC"/>
    <w:rsid w:val="00286228"/>
    <w:rsid w:val="00286BB7"/>
    <w:rsid w:val="00290021"/>
    <w:rsid w:val="00295D7C"/>
    <w:rsid w:val="002973BA"/>
    <w:rsid w:val="002A0B0E"/>
    <w:rsid w:val="002A2B0F"/>
    <w:rsid w:val="002B15B2"/>
    <w:rsid w:val="002B18FB"/>
    <w:rsid w:val="002B3B7D"/>
    <w:rsid w:val="002B3CD3"/>
    <w:rsid w:val="002B5C69"/>
    <w:rsid w:val="002B6CDA"/>
    <w:rsid w:val="002C2785"/>
    <w:rsid w:val="002C2F44"/>
    <w:rsid w:val="002C3455"/>
    <w:rsid w:val="002C6E0E"/>
    <w:rsid w:val="002D10DC"/>
    <w:rsid w:val="002D230B"/>
    <w:rsid w:val="002D3A3A"/>
    <w:rsid w:val="002D3BBE"/>
    <w:rsid w:val="002D58B4"/>
    <w:rsid w:val="002D7048"/>
    <w:rsid w:val="002E1E75"/>
    <w:rsid w:val="002E3DE4"/>
    <w:rsid w:val="002E5F66"/>
    <w:rsid w:val="002F14AF"/>
    <w:rsid w:val="002F1E57"/>
    <w:rsid w:val="002F24BE"/>
    <w:rsid w:val="002F3226"/>
    <w:rsid w:val="002F4A20"/>
    <w:rsid w:val="002F4EAF"/>
    <w:rsid w:val="002F6934"/>
    <w:rsid w:val="00303BDB"/>
    <w:rsid w:val="00305BB9"/>
    <w:rsid w:val="003143FA"/>
    <w:rsid w:val="003151BE"/>
    <w:rsid w:val="0032483E"/>
    <w:rsid w:val="00331058"/>
    <w:rsid w:val="00331076"/>
    <w:rsid w:val="0033215F"/>
    <w:rsid w:val="003337BC"/>
    <w:rsid w:val="0033508B"/>
    <w:rsid w:val="003367A9"/>
    <w:rsid w:val="00337682"/>
    <w:rsid w:val="0034046F"/>
    <w:rsid w:val="0034160A"/>
    <w:rsid w:val="00342E45"/>
    <w:rsid w:val="00342F2B"/>
    <w:rsid w:val="00345C1F"/>
    <w:rsid w:val="003464FD"/>
    <w:rsid w:val="00350076"/>
    <w:rsid w:val="003536AA"/>
    <w:rsid w:val="003542DD"/>
    <w:rsid w:val="003547C0"/>
    <w:rsid w:val="003558E9"/>
    <w:rsid w:val="00357DAB"/>
    <w:rsid w:val="003607E1"/>
    <w:rsid w:val="00361CB5"/>
    <w:rsid w:val="00361EE0"/>
    <w:rsid w:val="00362114"/>
    <w:rsid w:val="00362213"/>
    <w:rsid w:val="00365413"/>
    <w:rsid w:val="00365544"/>
    <w:rsid w:val="0036595C"/>
    <w:rsid w:val="00370AC8"/>
    <w:rsid w:val="00370B37"/>
    <w:rsid w:val="00371459"/>
    <w:rsid w:val="00372C98"/>
    <w:rsid w:val="00373FE6"/>
    <w:rsid w:val="00374471"/>
    <w:rsid w:val="003763CC"/>
    <w:rsid w:val="003826C8"/>
    <w:rsid w:val="003827F2"/>
    <w:rsid w:val="0038399F"/>
    <w:rsid w:val="00384C7E"/>
    <w:rsid w:val="00386AB1"/>
    <w:rsid w:val="0039142A"/>
    <w:rsid w:val="00391DEB"/>
    <w:rsid w:val="00394235"/>
    <w:rsid w:val="0039667A"/>
    <w:rsid w:val="003A02C8"/>
    <w:rsid w:val="003A3484"/>
    <w:rsid w:val="003A6A0F"/>
    <w:rsid w:val="003A7D56"/>
    <w:rsid w:val="003A7D71"/>
    <w:rsid w:val="003B26F5"/>
    <w:rsid w:val="003B2FF2"/>
    <w:rsid w:val="003B6387"/>
    <w:rsid w:val="003C054B"/>
    <w:rsid w:val="003C314A"/>
    <w:rsid w:val="003C5BF5"/>
    <w:rsid w:val="003C6BF0"/>
    <w:rsid w:val="003D38ED"/>
    <w:rsid w:val="003D40CA"/>
    <w:rsid w:val="003D4AD8"/>
    <w:rsid w:val="003D7C96"/>
    <w:rsid w:val="003F1C10"/>
    <w:rsid w:val="003F24C3"/>
    <w:rsid w:val="003F38DD"/>
    <w:rsid w:val="003F5988"/>
    <w:rsid w:val="0040053E"/>
    <w:rsid w:val="0040152C"/>
    <w:rsid w:val="00402BE2"/>
    <w:rsid w:val="00402C3A"/>
    <w:rsid w:val="00413AE4"/>
    <w:rsid w:val="00421B91"/>
    <w:rsid w:val="00423290"/>
    <w:rsid w:val="004235D6"/>
    <w:rsid w:val="00426E59"/>
    <w:rsid w:val="0043284D"/>
    <w:rsid w:val="00433087"/>
    <w:rsid w:val="004334D4"/>
    <w:rsid w:val="00437D5B"/>
    <w:rsid w:val="0044082B"/>
    <w:rsid w:val="004427D8"/>
    <w:rsid w:val="00442EF1"/>
    <w:rsid w:val="0044408E"/>
    <w:rsid w:val="00445475"/>
    <w:rsid w:val="0045139A"/>
    <w:rsid w:val="00452A80"/>
    <w:rsid w:val="004632E9"/>
    <w:rsid w:val="00463BCB"/>
    <w:rsid w:val="00465529"/>
    <w:rsid w:val="0046678C"/>
    <w:rsid w:val="00470AB1"/>
    <w:rsid w:val="004713FE"/>
    <w:rsid w:val="0047504A"/>
    <w:rsid w:val="00476C72"/>
    <w:rsid w:val="00480BC6"/>
    <w:rsid w:val="00481128"/>
    <w:rsid w:val="00481B56"/>
    <w:rsid w:val="00482248"/>
    <w:rsid w:val="0048438C"/>
    <w:rsid w:val="004918D8"/>
    <w:rsid w:val="00491F4A"/>
    <w:rsid w:val="00492D66"/>
    <w:rsid w:val="00494F61"/>
    <w:rsid w:val="0049657A"/>
    <w:rsid w:val="004A0311"/>
    <w:rsid w:val="004A2C94"/>
    <w:rsid w:val="004A4230"/>
    <w:rsid w:val="004A4534"/>
    <w:rsid w:val="004A5FEB"/>
    <w:rsid w:val="004A678C"/>
    <w:rsid w:val="004B27A2"/>
    <w:rsid w:val="004B4254"/>
    <w:rsid w:val="004B5994"/>
    <w:rsid w:val="004B5B85"/>
    <w:rsid w:val="004C2E25"/>
    <w:rsid w:val="004C581F"/>
    <w:rsid w:val="004D00E1"/>
    <w:rsid w:val="004D1D7B"/>
    <w:rsid w:val="004D2458"/>
    <w:rsid w:val="004D3B0F"/>
    <w:rsid w:val="004D4C93"/>
    <w:rsid w:val="004E4E94"/>
    <w:rsid w:val="004E58E5"/>
    <w:rsid w:val="004E608F"/>
    <w:rsid w:val="004E60EB"/>
    <w:rsid w:val="004E6C47"/>
    <w:rsid w:val="004E6E95"/>
    <w:rsid w:val="004E75D2"/>
    <w:rsid w:val="004F10E9"/>
    <w:rsid w:val="004F2C07"/>
    <w:rsid w:val="004F4D42"/>
    <w:rsid w:val="00502ADF"/>
    <w:rsid w:val="00503033"/>
    <w:rsid w:val="005046B8"/>
    <w:rsid w:val="00504D15"/>
    <w:rsid w:val="00511840"/>
    <w:rsid w:val="00514454"/>
    <w:rsid w:val="00516B0E"/>
    <w:rsid w:val="005176DC"/>
    <w:rsid w:val="00521CA5"/>
    <w:rsid w:val="00522B49"/>
    <w:rsid w:val="00524286"/>
    <w:rsid w:val="0052748F"/>
    <w:rsid w:val="00527FD6"/>
    <w:rsid w:val="005304D5"/>
    <w:rsid w:val="00531F93"/>
    <w:rsid w:val="00535D99"/>
    <w:rsid w:val="00536B63"/>
    <w:rsid w:val="00536CBB"/>
    <w:rsid w:val="00536F1F"/>
    <w:rsid w:val="005372FE"/>
    <w:rsid w:val="005428B9"/>
    <w:rsid w:val="00545B4C"/>
    <w:rsid w:val="005478B6"/>
    <w:rsid w:val="0056042B"/>
    <w:rsid w:val="00562B30"/>
    <w:rsid w:val="005641F8"/>
    <w:rsid w:val="0056526B"/>
    <w:rsid w:val="0056697C"/>
    <w:rsid w:val="00566CFD"/>
    <w:rsid w:val="00573024"/>
    <w:rsid w:val="005736D7"/>
    <w:rsid w:val="00583501"/>
    <w:rsid w:val="00584B74"/>
    <w:rsid w:val="00586811"/>
    <w:rsid w:val="00587A78"/>
    <w:rsid w:val="00592FA8"/>
    <w:rsid w:val="00593869"/>
    <w:rsid w:val="005973ED"/>
    <w:rsid w:val="005A08A0"/>
    <w:rsid w:val="005A250B"/>
    <w:rsid w:val="005A26F6"/>
    <w:rsid w:val="005A6E7B"/>
    <w:rsid w:val="005A711A"/>
    <w:rsid w:val="005B2778"/>
    <w:rsid w:val="005B5BD1"/>
    <w:rsid w:val="005B7316"/>
    <w:rsid w:val="005B743D"/>
    <w:rsid w:val="005C2A05"/>
    <w:rsid w:val="005C43CB"/>
    <w:rsid w:val="005C736F"/>
    <w:rsid w:val="005D224B"/>
    <w:rsid w:val="005D38BB"/>
    <w:rsid w:val="005D523B"/>
    <w:rsid w:val="005D57A0"/>
    <w:rsid w:val="005D662D"/>
    <w:rsid w:val="005E219B"/>
    <w:rsid w:val="005E397C"/>
    <w:rsid w:val="005E3CE9"/>
    <w:rsid w:val="005E79BB"/>
    <w:rsid w:val="005F14BB"/>
    <w:rsid w:val="005F23EF"/>
    <w:rsid w:val="005F298A"/>
    <w:rsid w:val="005F4534"/>
    <w:rsid w:val="005F50FC"/>
    <w:rsid w:val="005F64C1"/>
    <w:rsid w:val="005F7573"/>
    <w:rsid w:val="0060044C"/>
    <w:rsid w:val="006029B0"/>
    <w:rsid w:val="00603DDF"/>
    <w:rsid w:val="0060554A"/>
    <w:rsid w:val="00607188"/>
    <w:rsid w:val="006101F9"/>
    <w:rsid w:val="00611C5F"/>
    <w:rsid w:val="00613173"/>
    <w:rsid w:val="00617F77"/>
    <w:rsid w:val="00620CDE"/>
    <w:rsid w:val="006252A2"/>
    <w:rsid w:val="00630082"/>
    <w:rsid w:val="00631A00"/>
    <w:rsid w:val="00632349"/>
    <w:rsid w:val="00632D5D"/>
    <w:rsid w:val="0063330A"/>
    <w:rsid w:val="00635545"/>
    <w:rsid w:val="006368B5"/>
    <w:rsid w:val="006424EC"/>
    <w:rsid w:val="006425F4"/>
    <w:rsid w:val="00643F21"/>
    <w:rsid w:val="00647EAF"/>
    <w:rsid w:val="00652BCD"/>
    <w:rsid w:val="00653074"/>
    <w:rsid w:val="006560EC"/>
    <w:rsid w:val="00657629"/>
    <w:rsid w:val="00661ED7"/>
    <w:rsid w:val="0066332C"/>
    <w:rsid w:val="00665159"/>
    <w:rsid w:val="00670610"/>
    <w:rsid w:val="00671D1D"/>
    <w:rsid w:val="00680EB6"/>
    <w:rsid w:val="00681FC9"/>
    <w:rsid w:val="0068286F"/>
    <w:rsid w:val="006846DE"/>
    <w:rsid w:val="00695293"/>
    <w:rsid w:val="00697567"/>
    <w:rsid w:val="006A19C8"/>
    <w:rsid w:val="006A2DE2"/>
    <w:rsid w:val="006A3BB8"/>
    <w:rsid w:val="006A5106"/>
    <w:rsid w:val="006A7BAC"/>
    <w:rsid w:val="006B23C2"/>
    <w:rsid w:val="006B62CB"/>
    <w:rsid w:val="006B6C13"/>
    <w:rsid w:val="006B7767"/>
    <w:rsid w:val="006C4C9C"/>
    <w:rsid w:val="006C57E6"/>
    <w:rsid w:val="006C5B09"/>
    <w:rsid w:val="006D05CE"/>
    <w:rsid w:val="006D2221"/>
    <w:rsid w:val="006D40DA"/>
    <w:rsid w:val="006D4908"/>
    <w:rsid w:val="006D6C1D"/>
    <w:rsid w:val="006E0171"/>
    <w:rsid w:val="006E01DA"/>
    <w:rsid w:val="006E1B24"/>
    <w:rsid w:val="006E1E6A"/>
    <w:rsid w:val="006E1ED0"/>
    <w:rsid w:val="006E2449"/>
    <w:rsid w:val="006E4001"/>
    <w:rsid w:val="006E4667"/>
    <w:rsid w:val="006E556A"/>
    <w:rsid w:val="006F2732"/>
    <w:rsid w:val="006F55B8"/>
    <w:rsid w:val="006F5693"/>
    <w:rsid w:val="006F58A5"/>
    <w:rsid w:val="006F58AF"/>
    <w:rsid w:val="006F5FAF"/>
    <w:rsid w:val="006F6F76"/>
    <w:rsid w:val="00700BE0"/>
    <w:rsid w:val="00700FD1"/>
    <w:rsid w:val="0070171F"/>
    <w:rsid w:val="00705E62"/>
    <w:rsid w:val="007066B5"/>
    <w:rsid w:val="00711349"/>
    <w:rsid w:val="007116B6"/>
    <w:rsid w:val="007136EC"/>
    <w:rsid w:val="0071479A"/>
    <w:rsid w:val="00716D5D"/>
    <w:rsid w:val="007171FE"/>
    <w:rsid w:val="00717596"/>
    <w:rsid w:val="00720E39"/>
    <w:rsid w:val="00723C5D"/>
    <w:rsid w:val="0072526B"/>
    <w:rsid w:val="00727187"/>
    <w:rsid w:val="00730235"/>
    <w:rsid w:val="00731068"/>
    <w:rsid w:val="00731C5A"/>
    <w:rsid w:val="00732001"/>
    <w:rsid w:val="007379C3"/>
    <w:rsid w:val="00740E03"/>
    <w:rsid w:val="007414FF"/>
    <w:rsid w:val="00741E74"/>
    <w:rsid w:val="00742A0C"/>
    <w:rsid w:val="00751053"/>
    <w:rsid w:val="00751504"/>
    <w:rsid w:val="00751BC1"/>
    <w:rsid w:val="007572FF"/>
    <w:rsid w:val="00757C13"/>
    <w:rsid w:val="00761C97"/>
    <w:rsid w:val="00763014"/>
    <w:rsid w:val="00763D4A"/>
    <w:rsid w:val="007664A3"/>
    <w:rsid w:val="00771FBD"/>
    <w:rsid w:val="00780D7B"/>
    <w:rsid w:val="007815D1"/>
    <w:rsid w:val="00782C5F"/>
    <w:rsid w:val="007833EE"/>
    <w:rsid w:val="007834EB"/>
    <w:rsid w:val="00783B07"/>
    <w:rsid w:val="0078559D"/>
    <w:rsid w:val="00785D36"/>
    <w:rsid w:val="00787460"/>
    <w:rsid w:val="0079078A"/>
    <w:rsid w:val="00791684"/>
    <w:rsid w:val="007926BA"/>
    <w:rsid w:val="007940FD"/>
    <w:rsid w:val="007A66D4"/>
    <w:rsid w:val="007A73FA"/>
    <w:rsid w:val="007B31CB"/>
    <w:rsid w:val="007B553F"/>
    <w:rsid w:val="007B68CA"/>
    <w:rsid w:val="007B68E1"/>
    <w:rsid w:val="007C174A"/>
    <w:rsid w:val="007C196C"/>
    <w:rsid w:val="007C578B"/>
    <w:rsid w:val="007C6C54"/>
    <w:rsid w:val="007C6DC6"/>
    <w:rsid w:val="007D15D9"/>
    <w:rsid w:val="007D42C8"/>
    <w:rsid w:val="007D4F90"/>
    <w:rsid w:val="007E0A1D"/>
    <w:rsid w:val="007E155E"/>
    <w:rsid w:val="007E253A"/>
    <w:rsid w:val="007E43A7"/>
    <w:rsid w:val="007E43E2"/>
    <w:rsid w:val="007E6D56"/>
    <w:rsid w:val="007E7879"/>
    <w:rsid w:val="007E788D"/>
    <w:rsid w:val="007F71A1"/>
    <w:rsid w:val="00802BD9"/>
    <w:rsid w:val="00806473"/>
    <w:rsid w:val="008071F2"/>
    <w:rsid w:val="0080797C"/>
    <w:rsid w:val="00807C25"/>
    <w:rsid w:val="00811F0E"/>
    <w:rsid w:val="00813A27"/>
    <w:rsid w:val="00813F95"/>
    <w:rsid w:val="008156DE"/>
    <w:rsid w:val="008166EE"/>
    <w:rsid w:val="008170DB"/>
    <w:rsid w:val="008208D6"/>
    <w:rsid w:val="00822F02"/>
    <w:rsid w:val="00823473"/>
    <w:rsid w:val="00824E58"/>
    <w:rsid w:val="00836145"/>
    <w:rsid w:val="0083723A"/>
    <w:rsid w:val="008420C4"/>
    <w:rsid w:val="008422EA"/>
    <w:rsid w:val="00843662"/>
    <w:rsid w:val="00844A8B"/>
    <w:rsid w:val="008473E3"/>
    <w:rsid w:val="008512B3"/>
    <w:rsid w:val="00851862"/>
    <w:rsid w:val="00851F7F"/>
    <w:rsid w:val="00852D48"/>
    <w:rsid w:val="00853A7A"/>
    <w:rsid w:val="00853BE0"/>
    <w:rsid w:val="00855AC5"/>
    <w:rsid w:val="00855EC0"/>
    <w:rsid w:val="00856944"/>
    <w:rsid w:val="00861DB9"/>
    <w:rsid w:val="00862EE4"/>
    <w:rsid w:val="008640B2"/>
    <w:rsid w:val="00873275"/>
    <w:rsid w:val="00875EC1"/>
    <w:rsid w:val="00880304"/>
    <w:rsid w:val="00880F60"/>
    <w:rsid w:val="00881093"/>
    <w:rsid w:val="008814E6"/>
    <w:rsid w:val="00883F02"/>
    <w:rsid w:val="0088463F"/>
    <w:rsid w:val="00885446"/>
    <w:rsid w:val="00885871"/>
    <w:rsid w:val="00886660"/>
    <w:rsid w:val="008867B1"/>
    <w:rsid w:val="00887EC2"/>
    <w:rsid w:val="00890C36"/>
    <w:rsid w:val="00892550"/>
    <w:rsid w:val="00892B6E"/>
    <w:rsid w:val="00893ECF"/>
    <w:rsid w:val="00895D29"/>
    <w:rsid w:val="008964D0"/>
    <w:rsid w:val="008970B9"/>
    <w:rsid w:val="008A126D"/>
    <w:rsid w:val="008A2EED"/>
    <w:rsid w:val="008A565E"/>
    <w:rsid w:val="008A7326"/>
    <w:rsid w:val="008A7CC0"/>
    <w:rsid w:val="008B1205"/>
    <w:rsid w:val="008B21F4"/>
    <w:rsid w:val="008B4894"/>
    <w:rsid w:val="008B4DC6"/>
    <w:rsid w:val="008B660B"/>
    <w:rsid w:val="008B75FC"/>
    <w:rsid w:val="008C07FC"/>
    <w:rsid w:val="008C17F2"/>
    <w:rsid w:val="008C2115"/>
    <w:rsid w:val="008C30FC"/>
    <w:rsid w:val="008C32FA"/>
    <w:rsid w:val="008C7838"/>
    <w:rsid w:val="008D1B2D"/>
    <w:rsid w:val="008D3888"/>
    <w:rsid w:val="008D3B06"/>
    <w:rsid w:val="008D5AD4"/>
    <w:rsid w:val="008E2C0F"/>
    <w:rsid w:val="008E3DEF"/>
    <w:rsid w:val="008E5295"/>
    <w:rsid w:val="008E5812"/>
    <w:rsid w:val="008E794D"/>
    <w:rsid w:val="008E7E34"/>
    <w:rsid w:val="008F16D7"/>
    <w:rsid w:val="008F1FD3"/>
    <w:rsid w:val="008F245E"/>
    <w:rsid w:val="008F2F5A"/>
    <w:rsid w:val="008F3DF2"/>
    <w:rsid w:val="008F518F"/>
    <w:rsid w:val="008F5F35"/>
    <w:rsid w:val="008F7A55"/>
    <w:rsid w:val="008F7FAA"/>
    <w:rsid w:val="00900D99"/>
    <w:rsid w:val="00904038"/>
    <w:rsid w:val="00904A54"/>
    <w:rsid w:val="009066C5"/>
    <w:rsid w:val="00907D7C"/>
    <w:rsid w:val="0091072C"/>
    <w:rsid w:val="0091114F"/>
    <w:rsid w:val="0091237A"/>
    <w:rsid w:val="00913CD0"/>
    <w:rsid w:val="00916752"/>
    <w:rsid w:val="00920698"/>
    <w:rsid w:val="00924DF6"/>
    <w:rsid w:val="00934704"/>
    <w:rsid w:val="0093501E"/>
    <w:rsid w:val="00937430"/>
    <w:rsid w:val="009376C0"/>
    <w:rsid w:val="009378D1"/>
    <w:rsid w:val="00941996"/>
    <w:rsid w:val="009419F0"/>
    <w:rsid w:val="00942861"/>
    <w:rsid w:val="00942D7F"/>
    <w:rsid w:val="00942E12"/>
    <w:rsid w:val="009437ED"/>
    <w:rsid w:val="00943B91"/>
    <w:rsid w:val="00945B26"/>
    <w:rsid w:val="00945FD8"/>
    <w:rsid w:val="00950BEE"/>
    <w:rsid w:val="00953418"/>
    <w:rsid w:val="00957B22"/>
    <w:rsid w:val="009679A8"/>
    <w:rsid w:val="009702CD"/>
    <w:rsid w:val="0097043C"/>
    <w:rsid w:val="009744BC"/>
    <w:rsid w:val="009769EE"/>
    <w:rsid w:val="00976A8F"/>
    <w:rsid w:val="00976FD2"/>
    <w:rsid w:val="00977826"/>
    <w:rsid w:val="00980463"/>
    <w:rsid w:val="00981963"/>
    <w:rsid w:val="00982105"/>
    <w:rsid w:val="00984ABF"/>
    <w:rsid w:val="00993C8C"/>
    <w:rsid w:val="00994ADF"/>
    <w:rsid w:val="00996D3D"/>
    <w:rsid w:val="009A11DD"/>
    <w:rsid w:val="009A15B4"/>
    <w:rsid w:val="009A2B72"/>
    <w:rsid w:val="009A2C93"/>
    <w:rsid w:val="009A549D"/>
    <w:rsid w:val="009A73D9"/>
    <w:rsid w:val="009B2F62"/>
    <w:rsid w:val="009B5A01"/>
    <w:rsid w:val="009B7A0A"/>
    <w:rsid w:val="009C0141"/>
    <w:rsid w:val="009C0C25"/>
    <w:rsid w:val="009C2522"/>
    <w:rsid w:val="009C2528"/>
    <w:rsid w:val="009C41E5"/>
    <w:rsid w:val="009D149A"/>
    <w:rsid w:val="009D19CC"/>
    <w:rsid w:val="009E7E14"/>
    <w:rsid w:val="009F09D3"/>
    <w:rsid w:val="009F16DE"/>
    <w:rsid w:val="009F1D38"/>
    <w:rsid w:val="009F42FD"/>
    <w:rsid w:val="009F62E9"/>
    <w:rsid w:val="00A03620"/>
    <w:rsid w:val="00A03780"/>
    <w:rsid w:val="00A06D90"/>
    <w:rsid w:val="00A10BE8"/>
    <w:rsid w:val="00A11877"/>
    <w:rsid w:val="00A11AB9"/>
    <w:rsid w:val="00A1269A"/>
    <w:rsid w:val="00A1333F"/>
    <w:rsid w:val="00A133D2"/>
    <w:rsid w:val="00A13ED7"/>
    <w:rsid w:val="00A153F8"/>
    <w:rsid w:val="00A1646B"/>
    <w:rsid w:val="00A170DD"/>
    <w:rsid w:val="00A1756D"/>
    <w:rsid w:val="00A210DE"/>
    <w:rsid w:val="00A218BC"/>
    <w:rsid w:val="00A21B96"/>
    <w:rsid w:val="00A235AD"/>
    <w:rsid w:val="00A2416B"/>
    <w:rsid w:val="00A2477A"/>
    <w:rsid w:val="00A26216"/>
    <w:rsid w:val="00A26236"/>
    <w:rsid w:val="00A263CE"/>
    <w:rsid w:val="00A265A5"/>
    <w:rsid w:val="00A331D4"/>
    <w:rsid w:val="00A34EAE"/>
    <w:rsid w:val="00A34EB1"/>
    <w:rsid w:val="00A40255"/>
    <w:rsid w:val="00A40D46"/>
    <w:rsid w:val="00A4316E"/>
    <w:rsid w:val="00A45FB0"/>
    <w:rsid w:val="00A4622C"/>
    <w:rsid w:val="00A52768"/>
    <w:rsid w:val="00A52F3D"/>
    <w:rsid w:val="00A5345E"/>
    <w:rsid w:val="00A534BD"/>
    <w:rsid w:val="00A53786"/>
    <w:rsid w:val="00A540AE"/>
    <w:rsid w:val="00A5528C"/>
    <w:rsid w:val="00A554F4"/>
    <w:rsid w:val="00A56F37"/>
    <w:rsid w:val="00A60BFA"/>
    <w:rsid w:val="00A642FD"/>
    <w:rsid w:val="00A66D1C"/>
    <w:rsid w:val="00A731BB"/>
    <w:rsid w:val="00A73F6F"/>
    <w:rsid w:val="00A76CE6"/>
    <w:rsid w:val="00A7714F"/>
    <w:rsid w:val="00A83EEC"/>
    <w:rsid w:val="00A856FC"/>
    <w:rsid w:val="00A85A95"/>
    <w:rsid w:val="00A87CB0"/>
    <w:rsid w:val="00A91E1C"/>
    <w:rsid w:val="00A925AB"/>
    <w:rsid w:val="00A941F4"/>
    <w:rsid w:val="00A9439E"/>
    <w:rsid w:val="00A9695B"/>
    <w:rsid w:val="00A97D8C"/>
    <w:rsid w:val="00AA0F40"/>
    <w:rsid w:val="00AA357E"/>
    <w:rsid w:val="00AA3EFA"/>
    <w:rsid w:val="00AA420E"/>
    <w:rsid w:val="00AA704E"/>
    <w:rsid w:val="00AA740C"/>
    <w:rsid w:val="00AA7C8B"/>
    <w:rsid w:val="00AB08C5"/>
    <w:rsid w:val="00AB204F"/>
    <w:rsid w:val="00AB2451"/>
    <w:rsid w:val="00AB303C"/>
    <w:rsid w:val="00AB5876"/>
    <w:rsid w:val="00AB6EB3"/>
    <w:rsid w:val="00AB7891"/>
    <w:rsid w:val="00AC0E63"/>
    <w:rsid w:val="00AC31E3"/>
    <w:rsid w:val="00AC7529"/>
    <w:rsid w:val="00AD2DE3"/>
    <w:rsid w:val="00AD2E47"/>
    <w:rsid w:val="00AD4953"/>
    <w:rsid w:val="00AD65B2"/>
    <w:rsid w:val="00AD6A35"/>
    <w:rsid w:val="00AE3EE7"/>
    <w:rsid w:val="00AE4325"/>
    <w:rsid w:val="00AE47CC"/>
    <w:rsid w:val="00AE4899"/>
    <w:rsid w:val="00AE5859"/>
    <w:rsid w:val="00AF3786"/>
    <w:rsid w:val="00AF58F8"/>
    <w:rsid w:val="00B015D9"/>
    <w:rsid w:val="00B04CB0"/>
    <w:rsid w:val="00B06CA7"/>
    <w:rsid w:val="00B104F5"/>
    <w:rsid w:val="00B10ACD"/>
    <w:rsid w:val="00B10DB6"/>
    <w:rsid w:val="00B15A6B"/>
    <w:rsid w:val="00B21250"/>
    <w:rsid w:val="00B21EE1"/>
    <w:rsid w:val="00B251DB"/>
    <w:rsid w:val="00B2537C"/>
    <w:rsid w:val="00B2670B"/>
    <w:rsid w:val="00B26C25"/>
    <w:rsid w:val="00B26F5A"/>
    <w:rsid w:val="00B27315"/>
    <w:rsid w:val="00B32E9F"/>
    <w:rsid w:val="00B333E7"/>
    <w:rsid w:val="00B341B9"/>
    <w:rsid w:val="00B35C0C"/>
    <w:rsid w:val="00B37AA3"/>
    <w:rsid w:val="00B37F97"/>
    <w:rsid w:val="00B41AC5"/>
    <w:rsid w:val="00B447A3"/>
    <w:rsid w:val="00B46F59"/>
    <w:rsid w:val="00B5162B"/>
    <w:rsid w:val="00B54D14"/>
    <w:rsid w:val="00B57E4C"/>
    <w:rsid w:val="00B60A1E"/>
    <w:rsid w:val="00B62539"/>
    <w:rsid w:val="00B62813"/>
    <w:rsid w:val="00B63616"/>
    <w:rsid w:val="00B642A7"/>
    <w:rsid w:val="00B669BE"/>
    <w:rsid w:val="00B74A0A"/>
    <w:rsid w:val="00B74C60"/>
    <w:rsid w:val="00B75EF2"/>
    <w:rsid w:val="00B76398"/>
    <w:rsid w:val="00B77228"/>
    <w:rsid w:val="00B7736B"/>
    <w:rsid w:val="00B811B9"/>
    <w:rsid w:val="00B81760"/>
    <w:rsid w:val="00B84C10"/>
    <w:rsid w:val="00B85735"/>
    <w:rsid w:val="00B91229"/>
    <w:rsid w:val="00B91383"/>
    <w:rsid w:val="00B929FE"/>
    <w:rsid w:val="00B9422E"/>
    <w:rsid w:val="00B9705B"/>
    <w:rsid w:val="00BA2D4A"/>
    <w:rsid w:val="00BA330D"/>
    <w:rsid w:val="00BA6977"/>
    <w:rsid w:val="00BA6CD3"/>
    <w:rsid w:val="00BB081C"/>
    <w:rsid w:val="00BB200D"/>
    <w:rsid w:val="00BB28AB"/>
    <w:rsid w:val="00BB3189"/>
    <w:rsid w:val="00BC0798"/>
    <w:rsid w:val="00BC1BEE"/>
    <w:rsid w:val="00BC460A"/>
    <w:rsid w:val="00BC6272"/>
    <w:rsid w:val="00BC6931"/>
    <w:rsid w:val="00BC7336"/>
    <w:rsid w:val="00BD0A0F"/>
    <w:rsid w:val="00BD0F8A"/>
    <w:rsid w:val="00BD1FE6"/>
    <w:rsid w:val="00BD2EB9"/>
    <w:rsid w:val="00BD69D3"/>
    <w:rsid w:val="00BE04AF"/>
    <w:rsid w:val="00BE0FB5"/>
    <w:rsid w:val="00BE16D9"/>
    <w:rsid w:val="00BE26B5"/>
    <w:rsid w:val="00BE69EB"/>
    <w:rsid w:val="00BE6EEA"/>
    <w:rsid w:val="00BE7BAC"/>
    <w:rsid w:val="00BF017D"/>
    <w:rsid w:val="00BF2BAB"/>
    <w:rsid w:val="00C002EA"/>
    <w:rsid w:val="00C016A5"/>
    <w:rsid w:val="00C02830"/>
    <w:rsid w:val="00C03BE7"/>
    <w:rsid w:val="00C04BA8"/>
    <w:rsid w:val="00C05A85"/>
    <w:rsid w:val="00C130C8"/>
    <w:rsid w:val="00C15E6D"/>
    <w:rsid w:val="00C16495"/>
    <w:rsid w:val="00C16867"/>
    <w:rsid w:val="00C21E0B"/>
    <w:rsid w:val="00C24F5D"/>
    <w:rsid w:val="00C268A3"/>
    <w:rsid w:val="00C30A4F"/>
    <w:rsid w:val="00C30D41"/>
    <w:rsid w:val="00C34C4B"/>
    <w:rsid w:val="00C35259"/>
    <w:rsid w:val="00C42A0C"/>
    <w:rsid w:val="00C44F10"/>
    <w:rsid w:val="00C47DB8"/>
    <w:rsid w:val="00C53837"/>
    <w:rsid w:val="00C557AE"/>
    <w:rsid w:val="00C55830"/>
    <w:rsid w:val="00C61F51"/>
    <w:rsid w:val="00C64679"/>
    <w:rsid w:val="00C65C04"/>
    <w:rsid w:val="00C66A94"/>
    <w:rsid w:val="00C70C41"/>
    <w:rsid w:val="00C71C2D"/>
    <w:rsid w:val="00C72A60"/>
    <w:rsid w:val="00C7793A"/>
    <w:rsid w:val="00C77BE2"/>
    <w:rsid w:val="00C80540"/>
    <w:rsid w:val="00C81408"/>
    <w:rsid w:val="00C85A55"/>
    <w:rsid w:val="00C86F7F"/>
    <w:rsid w:val="00C87D87"/>
    <w:rsid w:val="00C921B2"/>
    <w:rsid w:val="00C9252A"/>
    <w:rsid w:val="00C93633"/>
    <w:rsid w:val="00C94014"/>
    <w:rsid w:val="00C95062"/>
    <w:rsid w:val="00C9608D"/>
    <w:rsid w:val="00C97F69"/>
    <w:rsid w:val="00CA39D6"/>
    <w:rsid w:val="00CA75F8"/>
    <w:rsid w:val="00CB061E"/>
    <w:rsid w:val="00CB47B7"/>
    <w:rsid w:val="00CB53AE"/>
    <w:rsid w:val="00CB6CDC"/>
    <w:rsid w:val="00CC0314"/>
    <w:rsid w:val="00CC071A"/>
    <w:rsid w:val="00CC224A"/>
    <w:rsid w:val="00CC2AD6"/>
    <w:rsid w:val="00CC4FCE"/>
    <w:rsid w:val="00CD07ED"/>
    <w:rsid w:val="00CD3C20"/>
    <w:rsid w:val="00CD53DE"/>
    <w:rsid w:val="00CD7DAB"/>
    <w:rsid w:val="00CE1467"/>
    <w:rsid w:val="00CE1CBB"/>
    <w:rsid w:val="00CE4BC0"/>
    <w:rsid w:val="00CE78C3"/>
    <w:rsid w:val="00CF114B"/>
    <w:rsid w:val="00CF2660"/>
    <w:rsid w:val="00CF31EB"/>
    <w:rsid w:val="00CF3589"/>
    <w:rsid w:val="00CF45B9"/>
    <w:rsid w:val="00CF6AD9"/>
    <w:rsid w:val="00D01F88"/>
    <w:rsid w:val="00D01FF9"/>
    <w:rsid w:val="00D040E7"/>
    <w:rsid w:val="00D045C6"/>
    <w:rsid w:val="00D05F46"/>
    <w:rsid w:val="00D060C7"/>
    <w:rsid w:val="00D101C6"/>
    <w:rsid w:val="00D13864"/>
    <w:rsid w:val="00D16783"/>
    <w:rsid w:val="00D16BCC"/>
    <w:rsid w:val="00D220CF"/>
    <w:rsid w:val="00D224E2"/>
    <w:rsid w:val="00D22CD2"/>
    <w:rsid w:val="00D22F6B"/>
    <w:rsid w:val="00D340CF"/>
    <w:rsid w:val="00D3438A"/>
    <w:rsid w:val="00D36BE8"/>
    <w:rsid w:val="00D374C8"/>
    <w:rsid w:val="00D40588"/>
    <w:rsid w:val="00D419CB"/>
    <w:rsid w:val="00D42069"/>
    <w:rsid w:val="00D42557"/>
    <w:rsid w:val="00D4369D"/>
    <w:rsid w:val="00D45A92"/>
    <w:rsid w:val="00D4766B"/>
    <w:rsid w:val="00D5044F"/>
    <w:rsid w:val="00D53280"/>
    <w:rsid w:val="00D54CF5"/>
    <w:rsid w:val="00D54EB4"/>
    <w:rsid w:val="00D60415"/>
    <w:rsid w:val="00D63FFE"/>
    <w:rsid w:val="00D7134A"/>
    <w:rsid w:val="00D74878"/>
    <w:rsid w:val="00D765A0"/>
    <w:rsid w:val="00D76C3B"/>
    <w:rsid w:val="00D775F5"/>
    <w:rsid w:val="00D80E49"/>
    <w:rsid w:val="00D8273A"/>
    <w:rsid w:val="00D841E9"/>
    <w:rsid w:val="00D8474E"/>
    <w:rsid w:val="00D85C21"/>
    <w:rsid w:val="00D906D1"/>
    <w:rsid w:val="00D925C3"/>
    <w:rsid w:val="00D94CE7"/>
    <w:rsid w:val="00D96C62"/>
    <w:rsid w:val="00D97F5F"/>
    <w:rsid w:val="00DB35C5"/>
    <w:rsid w:val="00DC35EF"/>
    <w:rsid w:val="00DC44DB"/>
    <w:rsid w:val="00DC57B4"/>
    <w:rsid w:val="00DD06BF"/>
    <w:rsid w:val="00DD15AC"/>
    <w:rsid w:val="00DD2D5B"/>
    <w:rsid w:val="00DD3AA9"/>
    <w:rsid w:val="00DD3DFD"/>
    <w:rsid w:val="00DD5A60"/>
    <w:rsid w:val="00DE0068"/>
    <w:rsid w:val="00DE1ED8"/>
    <w:rsid w:val="00DE33AA"/>
    <w:rsid w:val="00DE4121"/>
    <w:rsid w:val="00DE6121"/>
    <w:rsid w:val="00DE754D"/>
    <w:rsid w:val="00DE7BB3"/>
    <w:rsid w:val="00DF0B1A"/>
    <w:rsid w:val="00DF55E4"/>
    <w:rsid w:val="00DF7270"/>
    <w:rsid w:val="00DF73FB"/>
    <w:rsid w:val="00E00D27"/>
    <w:rsid w:val="00E01D7D"/>
    <w:rsid w:val="00E037D4"/>
    <w:rsid w:val="00E15DBB"/>
    <w:rsid w:val="00E16923"/>
    <w:rsid w:val="00E20CD8"/>
    <w:rsid w:val="00E2383E"/>
    <w:rsid w:val="00E248A0"/>
    <w:rsid w:val="00E24C31"/>
    <w:rsid w:val="00E24FFF"/>
    <w:rsid w:val="00E27FC5"/>
    <w:rsid w:val="00E3027E"/>
    <w:rsid w:val="00E339B0"/>
    <w:rsid w:val="00E365E1"/>
    <w:rsid w:val="00E4182B"/>
    <w:rsid w:val="00E430AA"/>
    <w:rsid w:val="00E4385A"/>
    <w:rsid w:val="00E4486E"/>
    <w:rsid w:val="00E52365"/>
    <w:rsid w:val="00E554D0"/>
    <w:rsid w:val="00E56AE2"/>
    <w:rsid w:val="00E60349"/>
    <w:rsid w:val="00E62E8D"/>
    <w:rsid w:val="00E631A0"/>
    <w:rsid w:val="00E6598E"/>
    <w:rsid w:val="00E67D9E"/>
    <w:rsid w:val="00E70A68"/>
    <w:rsid w:val="00E70C47"/>
    <w:rsid w:val="00E712DC"/>
    <w:rsid w:val="00E725A0"/>
    <w:rsid w:val="00E74F68"/>
    <w:rsid w:val="00E80E7B"/>
    <w:rsid w:val="00E83039"/>
    <w:rsid w:val="00E84555"/>
    <w:rsid w:val="00E85241"/>
    <w:rsid w:val="00E85545"/>
    <w:rsid w:val="00E90A3C"/>
    <w:rsid w:val="00E920E2"/>
    <w:rsid w:val="00E9223E"/>
    <w:rsid w:val="00E947EF"/>
    <w:rsid w:val="00E95361"/>
    <w:rsid w:val="00E96A3F"/>
    <w:rsid w:val="00EA08F9"/>
    <w:rsid w:val="00EA1240"/>
    <w:rsid w:val="00EA2033"/>
    <w:rsid w:val="00EA2471"/>
    <w:rsid w:val="00EA6408"/>
    <w:rsid w:val="00EA6810"/>
    <w:rsid w:val="00EB1194"/>
    <w:rsid w:val="00EB2791"/>
    <w:rsid w:val="00EB34CB"/>
    <w:rsid w:val="00EB63C9"/>
    <w:rsid w:val="00EC11BF"/>
    <w:rsid w:val="00EC1E42"/>
    <w:rsid w:val="00EC7DBA"/>
    <w:rsid w:val="00EC7F38"/>
    <w:rsid w:val="00ED07E7"/>
    <w:rsid w:val="00ED0F97"/>
    <w:rsid w:val="00ED34F3"/>
    <w:rsid w:val="00ED5B66"/>
    <w:rsid w:val="00ED720C"/>
    <w:rsid w:val="00ED7F1B"/>
    <w:rsid w:val="00EE2F83"/>
    <w:rsid w:val="00EE476B"/>
    <w:rsid w:val="00EE4DBA"/>
    <w:rsid w:val="00EE719B"/>
    <w:rsid w:val="00EE72DC"/>
    <w:rsid w:val="00EF416A"/>
    <w:rsid w:val="00F024BF"/>
    <w:rsid w:val="00F02F70"/>
    <w:rsid w:val="00F04166"/>
    <w:rsid w:val="00F04B18"/>
    <w:rsid w:val="00F05219"/>
    <w:rsid w:val="00F06A6E"/>
    <w:rsid w:val="00F076CD"/>
    <w:rsid w:val="00F10D3C"/>
    <w:rsid w:val="00F12655"/>
    <w:rsid w:val="00F1267B"/>
    <w:rsid w:val="00F14D76"/>
    <w:rsid w:val="00F14FDA"/>
    <w:rsid w:val="00F16EE7"/>
    <w:rsid w:val="00F1767D"/>
    <w:rsid w:val="00F21E41"/>
    <w:rsid w:val="00F22BB9"/>
    <w:rsid w:val="00F24B22"/>
    <w:rsid w:val="00F273EA"/>
    <w:rsid w:val="00F30174"/>
    <w:rsid w:val="00F33ED7"/>
    <w:rsid w:val="00F37EC8"/>
    <w:rsid w:val="00F4077B"/>
    <w:rsid w:val="00F4281E"/>
    <w:rsid w:val="00F42D9F"/>
    <w:rsid w:val="00F449E4"/>
    <w:rsid w:val="00F455AB"/>
    <w:rsid w:val="00F46329"/>
    <w:rsid w:val="00F52F39"/>
    <w:rsid w:val="00F571A7"/>
    <w:rsid w:val="00F600E3"/>
    <w:rsid w:val="00F6281C"/>
    <w:rsid w:val="00F6750D"/>
    <w:rsid w:val="00F7167A"/>
    <w:rsid w:val="00F723A9"/>
    <w:rsid w:val="00F7786E"/>
    <w:rsid w:val="00F816D9"/>
    <w:rsid w:val="00F81DE4"/>
    <w:rsid w:val="00F8388A"/>
    <w:rsid w:val="00F84BB0"/>
    <w:rsid w:val="00F8540A"/>
    <w:rsid w:val="00F85EB2"/>
    <w:rsid w:val="00F86863"/>
    <w:rsid w:val="00F9228F"/>
    <w:rsid w:val="00F94D14"/>
    <w:rsid w:val="00F952BA"/>
    <w:rsid w:val="00F95682"/>
    <w:rsid w:val="00F97972"/>
    <w:rsid w:val="00FA0AE7"/>
    <w:rsid w:val="00FA1DD8"/>
    <w:rsid w:val="00FA5E07"/>
    <w:rsid w:val="00FA6EC6"/>
    <w:rsid w:val="00FB07E0"/>
    <w:rsid w:val="00FB5D82"/>
    <w:rsid w:val="00FC1C11"/>
    <w:rsid w:val="00FC2249"/>
    <w:rsid w:val="00FC3000"/>
    <w:rsid w:val="00FC3638"/>
    <w:rsid w:val="00FC5B5E"/>
    <w:rsid w:val="00FD3954"/>
    <w:rsid w:val="00FD6844"/>
    <w:rsid w:val="00FE1954"/>
    <w:rsid w:val="00FE585C"/>
    <w:rsid w:val="00FE7DB2"/>
    <w:rsid w:val="00FE7F44"/>
    <w:rsid w:val="00FF07BA"/>
    <w:rsid w:val="00FF2642"/>
    <w:rsid w:val="00FF3419"/>
    <w:rsid w:val="00FF548D"/>
    <w:rsid w:val="00FF6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00A3"/>
  <w15:chartTrackingRefBased/>
  <w15:docId w15:val="{21AD703D-9FF8-44B6-AF28-A122286A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0E0B57"/>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0E30ED"/>
    <w:pPr>
      <w:keepNext/>
      <w:keepLines/>
      <w:spacing w:before="40" w:after="0"/>
      <w:outlineLvl w:val="3"/>
    </w:pPr>
    <w:rPr>
      <w:rFonts w:asciiTheme="majorHAnsi" w:eastAsiaTheme="majorEastAsia" w:hAnsiTheme="majorHAnsi" w:cstheme="majorBidi"/>
      <w:iCs/>
      <w:color w:val="146F6B" w:themeColor="accent3" w:themeShade="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0E30ED"/>
    <w:pPr>
      <w:keepNext/>
      <w:keepLines/>
      <w:spacing w:before="40" w:after="0"/>
      <w:outlineLvl w:val="5"/>
    </w:pPr>
    <w:rPr>
      <w:rFonts w:asciiTheme="majorHAnsi" w:eastAsiaTheme="majorEastAsia" w:hAnsiTheme="majorHAnsi" w:cstheme="majorBidi"/>
      <w:color w:val="146F6B" w:themeColor="accent3" w:themeShade="BF"/>
    </w:rPr>
  </w:style>
  <w:style w:type="paragraph" w:styleId="Heading7">
    <w:name w:val="heading 7"/>
    <w:basedOn w:val="Normal"/>
    <w:next w:val="Normal"/>
    <w:link w:val="Heading7Char"/>
    <w:uiPriority w:val="9"/>
    <w:semiHidden/>
    <w:unhideWhenUsed/>
    <w:qFormat/>
    <w:rsid w:val="000E0B57"/>
    <w:pPr>
      <w:keepNext/>
      <w:keepLines/>
      <w:spacing w:before="40" w:after="0"/>
      <w:outlineLvl w:val="6"/>
    </w:pPr>
    <w:rPr>
      <w:rFonts w:asciiTheme="majorHAnsi" w:eastAsiaTheme="majorEastAsia" w:hAnsiTheme="majorHAnsi" w:cstheme="majorBidi"/>
      <w:i/>
      <w:iCs/>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0E0B57"/>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0E30ED"/>
    <w:rPr>
      <w:rFonts w:asciiTheme="majorHAnsi" w:eastAsiaTheme="majorEastAsia" w:hAnsiTheme="majorHAnsi" w:cstheme="majorBidi"/>
      <w:iCs/>
      <w:color w:val="146F6B" w:themeColor="accent3" w:themeShade="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ist Paragraph1,List Paragraph11,List Paragraph2,Figure_name,Bullet- First level,Listenabsatz1,Bullet point,List Paragraph Number,L,List Bullet 1,Body Bullets 1,Bullet Point,Bullet points,Bulleted Para,Content descriptions"/>
    <w:basedOn w:val="Normal"/>
    <w:link w:val="ListParagraphChar"/>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45139A"/>
    <w:pPr>
      <w:tabs>
        <w:tab w:val="left" w:pos="440"/>
        <w:tab w:val="right" w:leader="dot" w:pos="9072"/>
      </w:tabs>
      <w:spacing w:after="100"/>
    </w:pPr>
  </w:style>
  <w:style w:type="paragraph" w:styleId="TOC2">
    <w:name w:val="toc 2"/>
    <w:basedOn w:val="Normal"/>
    <w:next w:val="Normal"/>
    <w:autoRedefine/>
    <w:uiPriority w:val="39"/>
    <w:unhideWhenUsed/>
    <w:rsid w:val="00D85C21"/>
    <w:pPr>
      <w:tabs>
        <w:tab w:val="right" w:leader="dot" w:pos="9182"/>
      </w:tabs>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0E30ED"/>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46F6B" w:themeFill="accent3" w:themeFillShade="BF"/>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0E30ED"/>
    <w:rPr>
      <w:rFonts w:asciiTheme="majorHAnsi" w:eastAsiaTheme="majorEastAsia" w:hAnsiTheme="majorHAnsi" w:cstheme="majorBidi"/>
      <w:color w:val="146F6B" w:themeColor="accent3" w:themeShade="BF"/>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031C8E"/>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shd w:val="clear" w:color="auto" w:fill="6D6F72" w:themeFill="accent1" w:themeFillShade="BF"/>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character" w:customStyle="1" w:styleId="Heading7Char">
    <w:name w:val="Heading 7 Char"/>
    <w:basedOn w:val="DefaultParagraphFont"/>
    <w:link w:val="Heading7"/>
    <w:uiPriority w:val="9"/>
    <w:semiHidden/>
    <w:rsid w:val="000E0B57"/>
    <w:rPr>
      <w:rFonts w:asciiTheme="majorHAnsi" w:eastAsiaTheme="majorEastAsia" w:hAnsiTheme="majorHAnsi" w:cstheme="majorBidi"/>
      <w:i/>
      <w:iCs/>
      <w:color w:val="005677" w:themeColor="text2"/>
    </w:rPr>
  </w:style>
  <w:style w:type="character" w:styleId="CommentReference">
    <w:name w:val="annotation reference"/>
    <w:basedOn w:val="DefaultParagraphFont"/>
    <w:uiPriority w:val="99"/>
    <w:semiHidden/>
    <w:unhideWhenUsed/>
    <w:rsid w:val="00823473"/>
    <w:rPr>
      <w:sz w:val="16"/>
      <w:szCs w:val="16"/>
    </w:rPr>
  </w:style>
  <w:style w:type="paragraph" w:styleId="CommentText">
    <w:name w:val="annotation text"/>
    <w:basedOn w:val="Normal"/>
    <w:link w:val="CommentTextChar"/>
    <w:uiPriority w:val="99"/>
    <w:unhideWhenUsed/>
    <w:rsid w:val="00823473"/>
    <w:pPr>
      <w:spacing w:line="240" w:lineRule="auto"/>
    </w:pPr>
    <w:rPr>
      <w:sz w:val="20"/>
      <w:szCs w:val="20"/>
    </w:rPr>
  </w:style>
  <w:style w:type="character" w:customStyle="1" w:styleId="CommentTextChar">
    <w:name w:val="Comment Text Char"/>
    <w:basedOn w:val="DefaultParagraphFont"/>
    <w:link w:val="CommentText"/>
    <w:uiPriority w:val="99"/>
    <w:rsid w:val="00823473"/>
    <w:rPr>
      <w:sz w:val="20"/>
      <w:szCs w:val="20"/>
    </w:rPr>
  </w:style>
  <w:style w:type="character" w:styleId="UnresolvedMention">
    <w:name w:val="Unresolved Mention"/>
    <w:basedOn w:val="DefaultParagraphFont"/>
    <w:uiPriority w:val="99"/>
    <w:semiHidden/>
    <w:unhideWhenUsed/>
    <w:rsid w:val="003C054B"/>
    <w:rPr>
      <w:color w:val="605E5C"/>
      <w:shd w:val="clear" w:color="auto" w:fill="E1DFDD"/>
    </w:rPr>
  </w:style>
  <w:style w:type="character" w:customStyle="1" w:styleId="ui-provider">
    <w:name w:val="ui-provider"/>
    <w:basedOn w:val="DefaultParagraphFont"/>
    <w:rsid w:val="007D15D9"/>
  </w:style>
  <w:style w:type="paragraph" w:styleId="NormalWeb">
    <w:name w:val="Normal (Web)"/>
    <w:basedOn w:val="Normal"/>
    <w:uiPriority w:val="99"/>
    <w:semiHidden/>
    <w:unhideWhenUsed/>
    <w:rsid w:val="00631A0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39"/>
    <w:rsid w:val="005D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5D66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next w:val="GridTable1Light"/>
    <w:uiPriority w:val="46"/>
    <w:rsid w:val="005D66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next w:val="ListTable3-Accent2"/>
    <w:uiPriority w:val="48"/>
    <w:rsid w:val="005D662D"/>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customStyle="1" w:styleId="ListTable3-Accent31">
    <w:name w:val="List Table 3 - Accent 31"/>
    <w:basedOn w:val="TableNormal"/>
    <w:next w:val="ListTable3-Accent3"/>
    <w:uiPriority w:val="48"/>
    <w:rsid w:val="005D662D"/>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46F6B" w:themeFill="accent3" w:themeFillShade="BF"/>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table" w:customStyle="1" w:styleId="GridTable4-Accent21">
    <w:name w:val="Grid Table 4 - Accent 21"/>
    <w:basedOn w:val="TableNormal"/>
    <w:next w:val="GridTable4-Accent2"/>
    <w:uiPriority w:val="49"/>
    <w:rsid w:val="005D662D"/>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customStyle="1" w:styleId="GridTable1Light-Accent21">
    <w:name w:val="Grid Table 1 Light - Accent 21"/>
    <w:basedOn w:val="TableNormal"/>
    <w:next w:val="GridTable1Light-Accent2"/>
    <w:uiPriority w:val="46"/>
    <w:rsid w:val="005D662D"/>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next w:val="GridTable5Dark-Accent1"/>
    <w:uiPriority w:val="50"/>
    <w:rsid w:val="005D66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customStyle="1" w:styleId="GridTable4-Accent11">
    <w:name w:val="Grid Table 4 - Accent 11"/>
    <w:basedOn w:val="TableNormal"/>
    <w:next w:val="GridTable4-Accent1"/>
    <w:uiPriority w:val="49"/>
    <w:rsid w:val="005D662D"/>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shd w:val="clear" w:color="auto" w:fill="6D6F72" w:themeFill="accent1" w:themeFillShade="BF"/>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customStyle="1" w:styleId="GridTable4-Accent51">
    <w:name w:val="Grid Table 4 - Accent 51"/>
    <w:basedOn w:val="TableNormal"/>
    <w:next w:val="GridTable4-Accent5"/>
    <w:uiPriority w:val="49"/>
    <w:rsid w:val="005D662D"/>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customStyle="1" w:styleId="GridTable4-Accent41">
    <w:name w:val="Grid Table 4 - Accent 41"/>
    <w:basedOn w:val="TableNormal"/>
    <w:next w:val="GridTable4-Accent4"/>
    <w:uiPriority w:val="49"/>
    <w:rsid w:val="005D662D"/>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customStyle="1" w:styleId="GridTable4-Accent31">
    <w:name w:val="Grid Table 4 - Accent 31"/>
    <w:basedOn w:val="TableNormal"/>
    <w:next w:val="GridTable4-Accent3"/>
    <w:uiPriority w:val="49"/>
    <w:rsid w:val="005D662D"/>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table" w:customStyle="1" w:styleId="ListTable1Light-Accent41">
    <w:name w:val="List Table 1 Light - Accent 41"/>
    <w:basedOn w:val="TableNormal"/>
    <w:next w:val="ListTable1Light-Accent4"/>
    <w:uiPriority w:val="46"/>
    <w:rsid w:val="005D662D"/>
    <w:pPr>
      <w:spacing w:after="0" w:line="240" w:lineRule="auto"/>
    </w:pPr>
    <w:tblPr>
      <w:tblStyleRowBandSize w:val="1"/>
      <w:tblStyleColBandSize w:val="1"/>
    </w:tblPr>
    <w:tblStylePr w:type="firstRow">
      <w:rPr>
        <w:b/>
        <w:bCs/>
      </w:rPr>
      <w:tblPr/>
      <w:tcPr>
        <w:tcBorders>
          <w:bottom w:val="single" w:sz="4" w:space="0" w:color="A0DCDC"/>
        </w:tcBorders>
      </w:tcPr>
    </w:tblStylePr>
    <w:tblStylePr w:type="lastRow">
      <w:rPr>
        <w:b/>
        <w:bCs/>
      </w:rPr>
      <w:tblPr/>
      <w:tcPr>
        <w:tcBorders>
          <w:top w:val="single" w:sz="4" w:space="0" w:color="A0DCDC"/>
        </w:tcBorders>
      </w:tcPr>
    </w:tblStylePr>
    <w:tblStylePr w:type="firstCol">
      <w:rPr>
        <w:b/>
        <w:bCs/>
      </w:rPr>
    </w:tblStylePr>
    <w:tblStylePr w:type="lastCol">
      <w:rPr>
        <w:b/>
        <w:bCs/>
      </w:rPr>
    </w:tblStylePr>
    <w:tblStylePr w:type="band1Vert">
      <w:tblPr/>
      <w:tcPr>
        <w:shd w:val="clear" w:color="auto" w:fill="DFF3F3"/>
      </w:tcPr>
    </w:tblStylePr>
    <w:tblStylePr w:type="band1Horz">
      <w:tblPr/>
      <w:tcPr>
        <w:shd w:val="clear" w:color="auto" w:fill="DFF3F3"/>
      </w:tcPr>
    </w:tblStylePr>
  </w:style>
  <w:style w:type="table" w:styleId="ListTable1Light-Accent4">
    <w:name w:val="List Table 1 Light Accent 4"/>
    <w:basedOn w:val="TableNormal"/>
    <w:uiPriority w:val="46"/>
    <w:rsid w:val="005D662D"/>
    <w:pPr>
      <w:spacing w:after="0" w:line="240" w:lineRule="auto"/>
    </w:pPr>
    <w:tblPr>
      <w:tblStyleRowBandSize w:val="1"/>
      <w:tblStyleColBandSize w:val="1"/>
    </w:tblPr>
    <w:tblStylePr w:type="firstRow">
      <w:rPr>
        <w:b/>
        <w:bCs/>
      </w:rPr>
      <w:tblPr/>
      <w:tcPr>
        <w:tcBorders>
          <w:bottom w:val="single" w:sz="4" w:space="0" w:color="A0DCDC" w:themeColor="accent4" w:themeTint="99"/>
        </w:tcBorders>
      </w:tcPr>
    </w:tblStylePr>
    <w:tblStylePr w:type="lastRow">
      <w:rPr>
        <w:b/>
        <w:bCs/>
      </w:rPr>
      <w:tblPr/>
      <w:tcPr>
        <w:tcBorders>
          <w:top w:val="single" w:sz="4" w:space="0" w:color="A0DCDC" w:themeColor="accent4" w:themeTint="99"/>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customStyle="1" w:styleId="TableGrid11">
    <w:name w:val="Table Grid11"/>
    <w:basedOn w:val="TableNormal"/>
    <w:next w:val="TableGrid"/>
    <w:uiPriority w:val="39"/>
    <w:rsid w:val="005D662D"/>
    <w:pPr>
      <w:spacing w:after="0" w:line="240" w:lineRule="auto"/>
    </w:pPr>
    <w:rPr>
      <w:color w:val="26262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DefaultTableStyle">
    <w:name w:val="PMC Default Table Style"/>
    <w:basedOn w:val="TableNormal"/>
    <w:uiPriority w:val="99"/>
    <w:rsid w:val="005D662D"/>
    <w:pPr>
      <w:spacing w:before="60" w:after="60" w:line="264" w:lineRule="auto"/>
    </w:pPr>
    <w:rPr>
      <w:color w:val="262626"/>
      <w:sz w:val="18"/>
      <w:szCs w:val="20"/>
    </w:rPr>
    <w:tblPr>
      <w:tblStyleRowBandSize w:val="1"/>
      <w:tblBorders>
        <w:bottom w:val="single" w:sz="18" w:space="0" w:color="D1D1D1"/>
        <w:insideH w:val="single" w:sz="4" w:space="0" w:color="D1D1D1"/>
      </w:tblBorders>
    </w:tblPr>
    <w:tcPr>
      <w:shd w:val="clear" w:color="auto" w:fill="FFFFFF"/>
    </w:tcPr>
    <w:tblStylePr w:type="firstRow">
      <w:rPr>
        <w:rFonts w:ascii="Century Gothic" w:hAnsi="Century Gothic"/>
        <w:b/>
        <w:color w:val="262626"/>
        <w:sz w:val="18"/>
      </w:rPr>
      <w:tblPr/>
      <w:trPr>
        <w:tblHeader/>
      </w:trPr>
      <w:tcPr>
        <w:shd w:val="clear" w:color="auto" w:fill="D1D1D1"/>
      </w:tcPr>
    </w:tblStylePr>
    <w:tblStylePr w:type="band1Horz">
      <w:rPr>
        <w:rFonts w:ascii="Calibri" w:hAnsi="Calibri"/>
        <w:sz w:val="18"/>
      </w:rPr>
    </w:tblStylePr>
    <w:tblStylePr w:type="band2Horz">
      <w:pPr>
        <w:wordWrap/>
        <w:spacing w:beforeLines="0" w:afterLines="0" w:line="264" w:lineRule="auto"/>
        <w:contextualSpacing w:val="0"/>
      </w:pPr>
      <w:rPr>
        <w:rFonts w:ascii="Calibri" w:hAnsi="Calibri"/>
        <w:b w:val="0"/>
        <w:color w:val="262626"/>
        <w:sz w:val="18"/>
      </w:rPr>
      <w:tblPr/>
      <w:tcPr>
        <w:shd w:val="clear" w:color="auto" w:fill="FFFFFF"/>
      </w:tcPr>
    </w:tblStylePr>
  </w:style>
  <w:style w:type="paragraph" w:customStyle="1" w:styleId="TableBullet">
    <w:name w:val="Table Bullet"/>
    <w:basedOn w:val="ListParagraph"/>
    <w:uiPriority w:val="11"/>
    <w:qFormat/>
    <w:rsid w:val="005D662D"/>
    <w:pPr>
      <w:numPr>
        <w:numId w:val="6"/>
      </w:numPr>
      <w:spacing w:before="40" w:after="40" w:line="240" w:lineRule="auto"/>
      <w:ind w:left="720" w:hanging="360"/>
      <w:contextualSpacing w:val="0"/>
    </w:pPr>
    <w:rPr>
      <w:color w:val="262626"/>
      <w:sz w:val="18"/>
      <w:szCs w:val="20"/>
    </w:rPr>
  </w:style>
  <w:style w:type="paragraph" w:customStyle="1" w:styleId="NumberedListlvl1">
    <w:name w:val="Numbered List lvl1"/>
    <w:basedOn w:val="ListParagraph"/>
    <w:uiPriority w:val="9"/>
    <w:qFormat/>
    <w:rsid w:val="005D662D"/>
    <w:pPr>
      <w:numPr>
        <w:numId w:val="11"/>
      </w:numPr>
      <w:spacing w:after="0" w:line="264" w:lineRule="auto"/>
      <w:contextualSpacing w:val="0"/>
    </w:pPr>
    <w:rPr>
      <w:color w:val="262626"/>
      <w:sz w:val="20"/>
      <w:szCs w:val="20"/>
    </w:rPr>
  </w:style>
  <w:style w:type="paragraph" w:customStyle="1" w:styleId="BulletedListlvl1">
    <w:name w:val="Bulleted List lvl1"/>
    <w:uiPriority w:val="10"/>
    <w:qFormat/>
    <w:rsid w:val="005D662D"/>
    <w:pPr>
      <w:numPr>
        <w:numId w:val="7"/>
      </w:numPr>
      <w:spacing w:after="0" w:line="264" w:lineRule="auto"/>
    </w:pPr>
    <w:rPr>
      <w:color w:val="262626"/>
      <w:sz w:val="20"/>
      <w:szCs w:val="20"/>
    </w:rPr>
  </w:style>
  <w:style w:type="paragraph" w:customStyle="1" w:styleId="NumberedListlvl2">
    <w:name w:val="Numbered List lvl2"/>
    <w:basedOn w:val="NumberedListlvl1"/>
    <w:uiPriority w:val="9"/>
    <w:rsid w:val="005D662D"/>
    <w:pPr>
      <w:numPr>
        <w:ilvl w:val="1"/>
      </w:numPr>
    </w:pPr>
  </w:style>
  <w:style w:type="paragraph" w:styleId="BodyText">
    <w:name w:val="Body Text"/>
    <w:basedOn w:val="Normal"/>
    <w:link w:val="BodyTextChar"/>
    <w:qFormat/>
    <w:rsid w:val="005D662D"/>
    <w:pPr>
      <w:spacing w:after="120" w:line="264" w:lineRule="auto"/>
    </w:pPr>
    <w:rPr>
      <w:color w:val="262626"/>
      <w:sz w:val="20"/>
      <w:szCs w:val="20"/>
    </w:rPr>
  </w:style>
  <w:style w:type="character" w:customStyle="1" w:styleId="BodyTextChar">
    <w:name w:val="Body Text Char"/>
    <w:basedOn w:val="DefaultParagraphFont"/>
    <w:link w:val="BodyText"/>
    <w:rsid w:val="005D662D"/>
    <w:rPr>
      <w:color w:val="262626"/>
      <w:sz w:val="20"/>
      <w:szCs w:val="20"/>
    </w:rPr>
  </w:style>
  <w:style w:type="paragraph" w:customStyle="1" w:styleId="BulletedListlvl2">
    <w:name w:val="Bulleted List lvl2"/>
    <w:basedOn w:val="BulletedListlvl1"/>
    <w:uiPriority w:val="10"/>
    <w:rsid w:val="005D662D"/>
    <w:pPr>
      <w:numPr>
        <w:ilvl w:val="1"/>
      </w:numPr>
      <w:ind w:left="1021" w:hanging="283"/>
    </w:pPr>
  </w:style>
  <w:style w:type="paragraph" w:customStyle="1" w:styleId="TableBody">
    <w:name w:val="Table Body"/>
    <w:basedOn w:val="Normal"/>
    <w:uiPriority w:val="11"/>
    <w:qFormat/>
    <w:rsid w:val="005D662D"/>
    <w:pPr>
      <w:spacing w:before="40" w:after="40" w:line="264" w:lineRule="auto"/>
    </w:pPr>
    <w:rPr>
      <w:color w:val="000000"/>
      <w:sz w:val="18"/>
      <w:szCs w:val="20"/>
    </w:rPr>
  </w:style>
  <w:style w:type="paragraph" w:customStyle="1" w:styleId="NumberedListlvl3">
    <w:name w:val="Numbered List lvl3"/>
    <w:basedOn w:val="NumberedListlvl1"/>
    <w:uiPriority w:val="9"/>
    <w:rsid w:val="005D662D"/>
    <w:pPr>
      <w:numPr>
        <w:ilvl w:val="2"/>
      </w:numPr>
    </w:pPr>
  </w:style>
  <w:style w:type="paragraph" w:customStyle="1" w:styleId="BasicParagraph">
    <w:name w:val="[Basic Paragraph]"/>
    <w:basedOn w:val="Normal"/>
    <w:uiPriority w:val="99"/>
    <w:semiHidden/>
    <w:rsid w:val="005D662D"/>
    <w:pPr>
      <w:autoSpaceDE w:val="0"/>
      <w:autoSpaceDN w:val="0"/>
      <w:adjustRightInd w:val="0"/>
      <w:spacing w:after="0" w:line="288" w:lineRule="auto"/>
      <w:textAlignment w:val="center"/>
    </w:pPr>
    <w:rPr>
      <w:rFonts w:cs="Minion Pro"/>
      <w:color w:val="000000"/>
      <w:sz w:val="20"/>
      <w:szCs w:val="20"/>
      <w:lang w:val="en-GB"/>
    </w:rPr>
  </w:style>
  <w:style w:type="paragraph" w:customStyle="1" w:styleId="TableHeading">
    <w:name w:val="Table Heading"/>
    <w:basedOn w:val="Normal"/>
    <w:uiPriority w:val="11"/>
    <w:qFormat/>
    <w:rsid w:val="005D662D"/>
    <w:pPr>
      <w:spacing w:after="120" w:line="264" w:lineRule="auto"/>
    </w:pPr>
    <w:rPr>
      <w:rFonts w:ascii="Century Gothic" w:hAnsi="Century Gothic"/>
      <w:bCs/>
      <w:color w:val="FFFFFF"/>
      <w:sz w:val="18"/>
      <w:szCs w:val="20"/>
    </w:rPr>
  </w:style>
  <w:style w:type="paragraph" w:customStyle="1" w:styleId="ProtectiveMarking">
    <w:name w:val="Protective Marking"/>
    <w:basedOn w:val="Normal"/>
    <w:uiPriority w:val="13"/>
    <w:qFormat/>
    <w:rsid w:val="005D662D"/>
    <w:pPr>
      <w:spacing w:after="0" w:line="240" w:lineRule="auto"/>
      <w:jc w:val="center"/>
    </w:pPr>
    <w:rPr>
      <w:rFonts w:ascii="Century Gothic" w:hAnsi="Century Gothic"/>
      <w:caps/>
      <w:noProof/>
      <w:color w:val="CD1719"/>
      <w:sz w:val="16"/>
      <w:szCs w:val="20"/>
    </w:rPr>
  </w:style>
  <w:style w:type="table" w:customStyle="1" w:styleId="PMCTableStyle2">
    <w:name w:val="PMC Table Style 2"/>
    <w:basedOn w:val="TableNormal"/>
    <w:uiPriority w:val="99"/>
    <w:rsid w:val="005D662D"/>
    <w:pPr>
      <w:spacing w:before="60" w:after="60" w:line="264" w:lineRule="auto"/>
    </w:pPr>
    <w:rPr>
      <w:color w:val="262626"/>
      <w:sz w:val="20"/>
      <w:szCs w:val="20"/>
    </w:rPr>
    <w:tblPr>
      <w:tblStyleRowBandSize w:val="1"/>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Century Gothic" w:hAnsi="Century Gothic"/>
        <w:b/>
        <w:color w:val="FFFFFF"/>
        <w:sz w:val="18"/>
      </w:rPr>
      <w:tblPr/>
      <w:tcPr>
        <w:shd w:val="clear" w:color="auto" w:fill="014463"/>
      </w:tcPr>
    </w:tblStylePr>
    <w:tblStylePr w:type="lastRow">
      <w:tblPr/>
      <w:tcPr>
        <w:shd w:val="clear" w:color="auto" w:fill="E6E6E6"/>
      </w:tcPr>
    </w:tblStylePr>
    <w:tblStylePr w:type="band2Horz">
      <w:rPr>
        <w:rFonts w:ascii="Calibri" w:hAnsi="Calibri"/>
        <w:b w:val="0"/>
        <w:color w:val="262626"/>
      </w:rPr>
      <w:tblPr/>
      <w:tcPr>
        <w:shd w:val="clear" w:color="auto" w:fill="FFFFFF"/>
      </w:tcPr>
    </w:tblStylePr>
  </w:style>
  <w:style w:type="paragraph" w:customStyle="1" w:styleId="CoverTitle">
    <w:name w:val="Cover Title"/>
    <w:basedOn w:val="NoSpacing"/>
    <w:uiPriority w:val="11"/>
    <w:qFormat/>
    <w:rsid w:val="005D662D"/>
    <w:pPr>
      <w:spacing w:before="40" w:after="560" w:line="216" w:lineRule="auto"/>
      <w:contextualSpacing/>
    </w:pPr>
    <w:rPr>
      <w:rFonts w:ascii="Century Gothic" w:eastAsia="Calibri" w:hAnsi="Century Gothic"/>
      <w:b/>
      <w:color w:val="FFFFFF"/>
      <w:sz w:val="120"/>
      <w:szCs w:val="72"/>
      <w:lang w:val="en-AU"/>
    </w:rPr>
  </w:style>
  <w:style w:type="paragraph" w:customStyle="1" w:styleId="CoverByline">
    <w:name w:val="Cover Byline"/>
    <w:basedOn w:val="NoSpacing"/>
    <w:uiPriority w:val="11"/>
    <w:qFormat/>
    <w:rsid w:val="005D662D"/>
    <w:pPr>
      <w:spacing w:after="360" w:line="264" w:lineRule="auto"/>
      <w:contextualSpacing/>
    </w:pPr>
    <w:rPr>
      <w:rFonts w:ascii="Century Gothic" w:eastAsia="Calibri" w:hAnsi="Century Gothic"/>
      <w:b/>
      <w:color w:val="FFFFFF"/>
      <w:sz w:val="44"/>
      <w:szCs w:val="28"/>
      <w:lang w:val="en-AU"/>
    </w:rPr>
  </w:style>
  <w:style w:type="paragraph" w:customStyle="1" w:styleId="CoverDetails">
    <w:name w:val="Cover Details"/>
    <w:basedOn w:val="NoSpacing"/>
    <w:uiPriority w:val="11"/>
    <w:qFormat/>
    <w:rsid w:val="005D662D"/>
    <w:pPr>
      <w:spacing w:after="240" w:line="264" w:lineRule="auto"/>
      <w:contextualSpacing/>
    </w:pPr>
    <w:rPr>
      <w:rFonts w:eastAsia="Calibri"/>
      <w:color w:val="FFFFFF"/>
      <w:sz w:val="24"/>
      <w:szCs w:val="28"/>
      <w:lang w:val="en-AU"/>
    </w:rPr>
  </w:style>
  <w:style w:type="paragraph" w:customStyle="1" w:styleId="Footerline">
    <w:name w:val="Footer line"/>
    <w:uiPriority w:val="11"/>
    <w:qFormat/>
    <w:rsid w:val="005D662D"/>
    <w:pPr>
      <w:spacing w:before="20" w:after="240" w:line="264" w:lineRule="auto"/>
    </w:pPr>
    <w:rPr>
      <w:caps/>
      <w:noProof/>
      <w:color w:val="25303B"/>
      <w:sz w:val="20"/>
      <w:szCs w:val="20"/>
    </w:rPr>
  </w:style>
  <w:style w:type="paragraph" w:customStyle="1" w:styleId="TableNumbering">
    <w:name w:val="Table Numbering"/>
    <w:uiPriority w:val="11"/>
    <w:qFormat/>
    <w:rsid w:val="005D662D"/>
    <w:pPr>
      <w:numPr>
        <w:numId w:val="8"/>
      </w:numPr>
      <w:spacing w:before="40" w:after="40" w:line="264" w:lineRule="auto"/>
      <w:ind w:left="1080" w:hanging="720"/>
    </w:pPr>
    <w:rPr>
      <w:color w:val="000000"/>
      <w:sz w:val="18"/>
      <w:szCs w:val="20"/>
    </w:rPr>
  </w:style>
  <w:style w:type="paragraph" w:styleId="List">
    <w:name w:val="List"/>
    <w:uiPriority w:val="4"/>
    <w:semiHidden/>
    <w:rsid w:val="005D662D"/>
    <w:pPr>
      <w:numPr>
        <w:numId w:val="9"/>
      </w:numPr>
      <w:spacing w:after="120" w:line="324" w:lineRule="auto"/>
      <w:ind w:left="567" w:hanging="283"/>
    </w:pPr>
    <w:rPr>
      <w:color w:val="464E52"/>
      <w:sz w:val="18"/>
      <w:szCs w:val="18"/>
    </w:rPr>
  </w:style>
  <w:style w:type="paragraph" w:customStyle="1" w:styleId="EmphasisPanelHeading">
    <w:name w:val="Emphasis Panel Heading"/>
    <w:basedOn w:val="Normal"/>
    <w:uiPriority w:val="11"/>
    <w:qFormat/>
    <w:rsid w:val="005D662D"/>
    <w:pPr>
      <w:keepLines/>
      <w:pBdr>
        <w:top w:val="single" w:sz="4" w:space="8" w:color="D1D1D1"/>
        <w:left w:val="single" w:sz="4" w:space="8" w:color="D1D1D1"/>
        <w:bottom w:val="single" w:sz="4" w:space="8" w:color="D1D1D1"/>
        <w:right w:val="single" w:sz="4" w:space="8" w:color="D1D1D1"/>
      </w:pBdr>
      <w:shd w:val="clear" w:color="auto" w:fill="D1D1D1"/>
      <w:spacing w:before="60" w:after="60" w:line="240" w:lineRule="atLeast"/>
      <w:ind w:left="198" w:right="215"/>
    </w:pPr>
    <w:rPr>
      <w:rFonts w:ascii="Century Gothic" w:eastAsia="Times New Roman" w:hAnsi="Century Gothic" w:cs="Times New Roman"/>
      <w:b/>
      <w:color w:val="014463"/>
      <w:sz w:val="24"/>
      <w:szCs w:val="24"/>
      <w:lang w:val="en-US"/>
    </w:rPr>
  </w:style>
  <w:style w:type="paragraph" w:customStyle="1" w:styleId="EmphasisPanelBody">
    <w:name w:val="Emphasis Panel Body"/>
    <w:basedOn w:val="Normal"/>
    <w:uiPriority w:val="11"/>
    <w:qFormat/>
    <w:rsid w:val="005D662D"/>
    <w:pPr>
      <w:keepLines/>
      <w:pBdr>
        <w:top w:val="single" w:sz="4" w:space="8" w:color="D1D1D1"/>
        <w:left w:val="single" w:sz="4" w:space="8" w:color="D1D1D1"/>
        <w:bottom w:val="single" w:sz="4" w:space="8" w:color="D1D1D1"/>
        <w:right w:val="single" w:sz="4" w:space="8" w:color="D1D1D1"/>
      </w:pBdr>
      <w:shd w:val="clear" w:color="auto" w:fill="D1D1D1"/>
      <w:spacing w:before="120" w:after="120" w:line="264" w:lineRule="auto"/>
      <w:ind w:left="198" w:right="215"/>
    </w:pPr>
    <w:rPr>
      <w:rFonts w:eastAsia="Times New Roman" w:cs="Calibri"/>
      <w:color w:val="262626"/>
      <w:sz w:val="20"/>
      <w:szCs w:val="20"/>
      <w:lang w:val="en-US"/>
    </w:rPr>
  </w:style>
  <w:style w:type="paragraph" w:customStyle="1" w:styleId="EmphasisPanelBullet">
    <w:name w:val="Emphasis Panel Bullet"/>
    <w:uiPriority w:val="11"/>
    <w:qFormat/>
    <w:rsid w:val="005D662D"/>
    <w:pPr>
      <w:keepLines/>
      <w:numPr>
        <w:numId w:val="10"/>
      </w:numPr>
      <w:pBdr>
        <w:top w:val="single" w:sz="4" w:space="8" w:color="D1D1D1"/>
        <w:left w:val="single" w:sz="4" w:space="8" w:color="D1D1D1"/>
        <w:bottom w:val="single" w:sz="4" w:space="8" w:color="D1D1D1"/>
        <w:right w:val="single" w:sz="4" w:space="8" w:color="D1D1D1"/>
      </w:pBdr>
      <w:shd w:val="clear" w:color="auto" w:fill="D1D1D1"/>
      <w:spacing w:before="120" w:after="120" w:line="264" w:lineRule="auto"/>
      <w:ind w:right="215"/>
    </w:pPr>
    <w:rPr>
      <w:rFonts w:eastAsia="Times New Roman" w:cs="Calibri"/>
      <w:color w:val="262626"/>
      <w:sz w:val="20"/>
      <w:lang w:val="en-US"/>
    </w:rPr>
  </w:style>
  <w:style w:type="paragraph" w:customStyle="1" w:styleId="BulletedListlvl3">
    <w:name w:val="Bulleted List lvl3"/>
    <w:basedOn w:val="BulletedListlvl2"/>
    <w:uiPriority w:val="10"/>
    <w:rsid w:val="005D662D"/>
    <w:pPr>
      <w:numPr>
        <w:ilvl w:val="2"/>
      </w:numPr>
      <w:ind w:left="2160" w:hanging="360"/>
    </w:pPr>
    <w:rPr>
      <w:sz w:val="19"/>
      <w:szCs w:val="19"/>
    </w:rPr>
  </w:style>
  <w:style w:type="table" w:customStyle="1" w:styleId="Clear">
    <w:name w:val="Clear"/>
    <w:basedOn w:val="TableNormal"/>
    <w:uiPriority w:val="99"/>
    <w:rsid w:val="005D662D"/>
    <w:pPr>
      <w:spacing w:after="0" w:line="240" w:lineRule="auto"/>
    </w:pPr>
    <w:rPr>
      <w:color w:val="014463"/>
      <w:sz w:val="20"/>
      <w:szCs w:val="18"/>
    </w:rPr>
    <w:tblPr>
      <w:tblCellMar>
        <w:left w:w="0" w:type="dxa"/>
        <w:right w:w="0" w:type="dxa"/>
      </w:tblCellMar>
    </w:tblPr>
  </w:style>
  <w:style w:type="paragraph" w:styleId="FootnoteText">
    <w:name w:val="footnote text"/>
    <w:basedOn w:val="Normal"/>
    <w:link w:val="FootnoteTextChar"/>
    <w:uiPriority w:val="99"/>
    <w:rsid w:val="005D662D"/>
    <w:pPr>
      <w:spacing w:after="0" w:line="240" w:lineRule="auto"/>
    </w:pPr>
    <w:rPr>
      <w:color w:val="262626"/>
      <w:sz w:val="20"/>
      <w:szCs w:val="20"/>
    </w:rPr>
  </w:style>
  <w:style w:type="character" w:customStyle="1" w:styleId="FootnoteTextChar">
    <w:name w:val="Footnote Text Char"/>
    <w:basedOn w:val="DefaultParagraphFont"/>
    <w:link w:val="FootnoteText"/>
    <w:uiPriority w:val="99"/>
    <w:rsid w:val="005D662D"/>
    <w:rPr>
      <w:color w:val="262626"/>
      <w:sz w:val="20"/>
      <w:szCs w:val="20"/>
    </w:rPr>
  </w:style>
  <w:style w:type="character" w:styleId="FootnoteReference">
    <w:name w:val="footnote reference"/>
    <w:basedOn w:val="DefaultParagraphFont"/>
    <w:uiPriority w:val="99"/>
    <w:rsid w:val="005D662D"/>
    <w:rPr>
      <w:vertAlign w:val="superscript"/>
    </w:rPr>
  </w:style>
  <w:style w:type="table" w:customStyle="1" w:styleId="TableGrid111">
    <w:name w:val="Table Grid111"/>
    <w:basedOn w:val="TableNormal"/>
    <w:next w:val="TableGrid"/>
    <w:uiPriority w:val="39"/>
    <w:rsid w:val="005D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5D662D"/>
    <w:pPr>
      <w:spacing w:after="0" w:line="240" w:lineRule="auto"/>
    </w:pPr>
    <w:rPr>
      <w:color w:val="26262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411">
    <w:name w:val="List Table 1 Light - Accent 411"/>
    <w:basedOn w:val="TableNormal"/>
    <w:next w:val="ListTable1Light-Accent4"/>
    <w:uiPriority w:val="46"/>
    <w:rsid w:val="005D662D"/>
    <w:pPr>
      <w:spacing w:after="0" w:line="240" w:lineRule="auto"/>
    </w:pPr>
    <w:tblPr>
      <w:tblStyleRowBandSize w:val="1"/>
      <w:tblStyleColBandSize w:val="1"/>
    </w:tblPr>
    <w:tblStylePr w:type="firstRow">
      <w:rPr>
        <w:b/>
        <w:bCs/>
      </w:rPr>
      <w:tblPr/>
      <w:tcPr>
        <w:tcBorders>
          <w:bottom w:val="single" w:sz="4" w:space="0" w:color="A0DCDC"/>
        </w:tcBorders>
      </w:tcPr>
    </w:tblStylePr>
    <w:tblStylePr w:type="lastRow">
      <w:rPr>
        <w:b/>
        <w:bCs/>
      </w:rPr>
      <w:tblPr/>
      <w:tcPr>
        <w:tcBorders>
          <w:top w:val="single" w:sz="4" w:space="0" w:color="A0DCDC"/>
        </w:tcBorders>
      </w:tcPr>
    </w:tblStylePr>
    <w:tblStylePr w:type="firstCol">
      <w:rPr>
        <w:b/>
        <w:bCs/>
      </w:rPr>
    </w:tblStylePr>
    <w:tblStylePr w:type="lastCol">
      <w:rPr>
        <w:b/>
        <w:bCs/>
      </w:rPr>
    </w:tblStylePr>
    <w:tblStylePr w:type="band1Vert">
      <w:tblPr/>
      <w:tcPr>
        <w:shd w:val="clear" w:color="auto" w:fill="DFF3F3"/>
      </w:tcPr>
    </w:tblStylePr>
    <w:tblStylePr w:type="band1Horz">
      <w:tblPr/>
      <w:tcPr>
        <w:shd w:val="clear" w:color="auto" w:fill="DFF3F3"/>
      </w:tcPr>
    </w:tblStylePr>
  </w:style>
  <w:style w:type="table" w:customStyle="1" w:styleId="ListTable1Light-Accent42">
    <w:name w:val="List Table 1 Light - Accent 42"/>
    <w:basedOn w:val="TableNormal"/>
    <w:next w:val="ListTable1Light-Accent4"/>
    <w:uiPriority w:val="46"/>
    <w:rsid w:val="005D662D"/>
    <w:pPr>
      <w:spacing w:after="0" w:line="240" w:lineRule="auto"/>
    </w:pPr>
    <w:rPr>
      <w:color w:val="262626"/>
      <w:sz w:val="20"/>
      <w:szCs w:val="20"/>
    </w:rPr>
    <w:tblPr>
      <w:tblStyleRowBandSize w:val="1"/>
      <w:tblStyleColBandSize w:val="1"/>
    </w:tblPr>
    <w:tblStylePr w:type="firstRow">
      <w:rPr>
        <w:b/>
        <w:bCs/>
      </w:rPr>
      <w:tblPr/>
      <w:tcPr>
        <w:tcBorders>
          <w:bottom w:val="single" w:sz="4" w:space="0" w:color="ED9764"/>
        </w:tcBorders>
      </w:tcPr>
    </w:tblStylePr>
    <w:tblStylePr w:type="lastRow">
      <w:rPr>
        <w:b/>
        <w:bCs/>
      </w:rPr>
      <w:tblPr/>
      <w:tcPr>
        <w:tcBorders>
          <w:top w:val="single" w:sz="4" w:space="0" w:color="ED9764"/>
        </w:tcBorders>
      </w:tcPr>
    </w:tblStylePr>
    <w:tblStylePr w:type="firstCol">
      <w:rPr>
        <w:b/>
        <w:bCs/>
      </w:rPr>
    </w:tblStylePr>
    <w:tblStylePr w:type="lastCol">
      <w:rPr>
        <w:b/>
        <w:bCs/>
      </w:rPr>
    </w:tblStylePr>
    <w:tblStylePr w:type="band1Vert">
      <w:tblPr/>
      <w:tcPr>
        <w:shd w:val="clear" w:color="auto" w:fill="F9DCCB"/>
      </w:tcPr>
    </w:tblStylePr>
    <w:tblStylePr w:type="band1Horz">
      <w:tblPr/>
      <w:tcPr>
        <w:shd w:val="clear" w:color="auto" w:fill="F9DCCB"/>
      </w:tcPr>
    </w:tblStylePr>
  </w:style>
  <w:style w:type="paragraph" w:styleId="Revision">
    <w:name w:val="Revision"/>
    <w:hidden/>
    <w:uiPriority w:val="99"/>
    <w:semiHidden/>
    <w:rsid w:val="003143FA"/>
    <w:pPr>
      <w:spacing w:after="0" w:line="240" w:lineRule="auto"/>
    </w:pPr>
  </w:style>
  <w:style w:type="paragraph" w:styleId="CommentSubject">
    <w:name w:val="annotation subject"/>
    <w:basedOn w:val="CommentText"/>
    <w:next w:val="CommentText"/>
    <w:link w:val="CommentSubjectChar"/>
    <w:uiPriority w:val="99"/>
    <w:semiHidden/>
    <w:unhideWhenUsed/>
    <w:rsid w:val="00A11877"/>
    <w:rPr>
      <w:b/>
      <w:bCs/>
    </w:rPr>
  </w:style>
  <w:style w:type="character" w:customStyle="1" w:styleId="CommentSubjectChar">
    <w:name w:val="Comment Subject Char"/>
    <w:basedOn w:val="CommentTextChar"/>
    <w:link w:val="CommentSubject"/>
    <w:uiPriority w:val="99"/>
    <w:semiHidden/>
    <w:rsid w:val="00A11877"/>
    <w:rPr>
      <w:b/>
      <w:bCs/>
      <w:sz w:val="20"/>
      <w:szCs w:val="20"/>
    </w:rPr>
  </w:style>
  <w:style w:type="character" w:styleId="FollowedHyperlink">
    <w:name w:val="FollowedHyperlink"/>
    <w:basedOn w:val="DefaultParagraphFont"/>
    <w:uiPriority w:val="99"/>
    <w:semiHidden/>
    <w:unhideWhenUsed/>
    <w:rsid w:val="00C30A4F"/>
    <w:rPr>
      <w:color w:val="551A8B" w:themeColor="followedHyperlink"/>
      <w:u w:val="single"/>
    </w:rPr>
  </w:style>
  <w:style w:type="character" w:customStyle="1" w:styleId="ListParagraphChar">
    <w:name w:val="List Paragraph Char"/>
    <w:aliases w:val="Recommendation Char,List Paragraph1 Char,List Paragraph11 Char,List Paragraph2 Char,Figure_name Char,Bullet- First level Char,Listenabsatz1 Char,Bullet point Char,List Paragraph Number Char,L Char,List Bullet 1 Char,Bullet Point Char"/>
    <w:basedOn w:val="DefaultParagraphFont"/>
    <w:link w:val="ListParagraph"/>
    <w:uiPriority w:val="34"/>
    <w:qFormat/>
    <w:locked/>
    <w:rsid w:val="009F62E9"/>
  </w:style>
  <w:style w:type="paragraph" w:customStyle="1" w:styleId="Style1">
    <w:name w:val="Style1"/>
    <w:basedOn w:val="Heading1"/>
    <w:link w:val="Style1Char"/>
    <w:rsid w:val="00A34EAE"/>
    <w:pPr>
      <w:numPr>
        <w:numId w:val="14"/>
      </w:numPr>
    </w:pPr>
  </w:style>
  <w:style w:type="paragraph" w:customStyle="1" w:styleId="Style2">
    <w:name w:val="Style2"/>
    <w:basedOn w:val="Heading2"/>
    <w:link w:val="Style2Char"/>
    <w:rsid w:val="00A34EAE"/>
  </w:style>
  <w:style w:type="character" w:customStyle="1" w:styleId="Style1Char">
    <w:name w:val="Style1 Char"/>
    <w:basedOn w:val="Heading1Char"/>
    <w:link w:val="Style1"/>
    <w:rsid w:val="00A34EAE"/>
    <w:rPr>
      <w:rFonts w:asciiTheme="majorHAnsi" w:eastAsiaTheme="majorEastAsia" w:hAnsiTheme="majorHAnsi" w:cstheme="majorBidi"/>
      <w:color w:val="005677" w:themeColor="text2"/>
      <w:sz w:val="48"/>
      <w:szCs w:val="32"/>
    </w:rPr>
  </w:style>
  <w:style w:type="paragraph" w:customStyle="1" w:styleId="Style1List">
    <w:name w:val="Style 1 List"/>
    <w:basedOn w:val="Style1"/>
    <w:rsid w:val="00B62539"/>
  </w:style>
  <w:style w:type="character" w:customStyle="1" w:styleId="Style2Char">
    <w:name w:val="Style2 Char"/>
    <w:basedOn w:val="Heading2Char"/>
    <w:link w:val="Style2"/>
    <w:rsid w:val="00A34EAE"/>
    <w:rPr>
      <w:rFonts w:asciiTheme="majorHAnsi" w:eastAsiaTheme="majorEastAsia" w:hAnsiTheme="majorHAnsi" w:cstheme="majorBidi"/>
      <w:color w:val="1B9590" w:themeColor="accent3"/>
      <w:sz w:val="40"/>
      <w:szCs w:val="48"/>
    </w:rPr>
  </w:style>
  <w:style w:type="paragraph" w:customStyle="1" w:styleId="pf0">
    <w:name w:val="pf0"/>
    <w:basedOn w:val="Normal"/>
    <w:rsid w:val="00C805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805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979">
      <w:bodyDiv w:val="1"/>
      <w:marLeft w:val="0"/>
      <w:marRight w:val="0"/>
      <w:marTop w:val="0"/>
      <w:marBottom w:val="0"/>
      <w:divBdr>
        <w:top w:val="none" w:sz="0" w:space="0" w:color="auto"/>
        <w:left w:val="none" w:sz="0" w:space="0" w:color="auto"/>
        <w:bottom w:val="none" w:sz="0" w:space="0" w:color="auto"/>
        <w:right w:val="none" w:sz="0" w:space="0" w:color="auto"/>
      </w:divBdr>
    </w:div>
    <w:div w:id="62870866">
      <w:bodyDiv w:val="1"/>
      <w:marLeft w:val="0"/>
      <w:marRight w:val="0"/>
      <w:marTop w:val="0"/>
      <w:marBottom w:val="0"/>
      <w:divBdr>
        <w:top w:val="none" w:sz="0" w:space="0" w:color="auto"/>
        <w:left w:val="none" w:sz="0" w:space="0" w:color="auto"/>
        <w:bottom w:val="none" w:sz="0" w:space="0" w:color="auto"/>
        <w:right w:val="none" w:sz="0" w:space="0" w:color="auto"/>
      </w:divBdr>
    </w:div>
    <w:div w:id="70397756">
      <w:bodyDiv w:val="1"/>
      <w:marLeft w:val="0"/>
      <w:marRight w:val="0"/>
      <w:marTop w:val="0"/>
      <w:marBottom w:val="0"/>
      <w:divBdr>
        <w:top w:val="none" w:sz="0" w:space="0" w:color="auto"/>
        <w:left w:val="none" w:sz="0" w:space="0" w:color="auto"/>
        <w:bottom w:val="none" w:sz="0" w:space="0" w:color="auto"/>
        <w:right w:val="none" w:sz="0" w:space="0" w:color="auto"/>
      </w:divBdr>
    </w:div>
    <w:div w:id="83034568">
      <w:bodyDiv w:val="1"/>
      <w:marLeft w:val="0"/>
      <w:marRight w:val="0"/>
      <w:marTop w:val="0"/>
      <w:marBottom w:val="0"/>
      <w:divBdr>
        <w:top w:val="none" w:sz="0" w:space="0" w:color="auto"/>
        <w:left w:val="none" w:sz="0" w:space="0" w:color="auto"/>
        <w:bottom w:val="none" w:sz="0" w:space="0" w:color="auto"/>
        <w:right w:val="none" w:sz="0" w:space="0" w:color="auto"/>
      </w:divBdr>
    </w:div>
    <w:div w:id="87235214">
      <w:bodyDiv w:val="1"/>
      <w:marLeft w:val="0"/>
      <w:marRight w:val="0"/>
      <w:marTop w:val="0"/>
      <w:marBottom w:val="0"/>
      <w:divBdr>
        <w:top w:val="none" w:sz="0" w:space="0" w:color="auto"/>
        <w:left w:val="none" w:sz="0" w:space="0" w:color="auto"/>
        <w:bottom w:val="none" w:sz="0" w:space="0" w:color="auto"/>
        <w:right w:val="none" w:sz="0" w:space="0" w:color="auto"/>
      </w:divBdr>
    </w:div>
    <w:div w:id="104421291">
      <w:bodyDiv w:val="1"/>
      <w:marLeft w:val="0"/>
      <w:marRight w:val="0"/>
      <w:marTop w:val="0"/>
      <w:marBottom w:val="0"/>
      <w:divBdr>
        <w:top w:val="none" w:sz="0" w:space="0" w:color="auto"/>
        <w:left w:val="none" w:sz="0" w:space="0" w:color="auto"/>
        <w:bottom w:val="none" w:sz="0" w:space="0" w:color="auto"/>
        <w:right w:val="none" w:sz="0" w:space="0" w:color="auto"/>
      </w:divBdr>
    </w:div>
    <w:div w:id="144587029">
      <w:bodyDiv w:val="1"/>
      <w:marLeft w:val="0"/>
      <w:marRight w:val="0"/>
      <w:marTop w:val="0"/>
      <w:marBottom w:val="0"/>
      <w:divBdr>
        <w:top w:val="none" w:sz="0" w:space="0" w:color="auto"/>
        <w:left w:val="none" w:sz="0" w:space="0" w:color="auto"/>
        <w:bottom w:val="none" w:sz="0" w:space="0" w:color="auto"/>
        <w:right w:val="none" w:sz="0" w:space="0" w:color="auto"/>
      </w:divBdr>
    </w:div>
    <w:div w:id="209654785">
      <w:bodyDiv w:val="1"/>
      <w:marLeft w:val="0"/>
      <w:marRight w:val="0"/>
      <w:marTop w:val="0"/>
      <w:marBottom w:val="0"/>
      <w:divBdr>
        <w:top w:val="none" w:sz="0" w:space="0" w:color="auto"/>
        <w:left w:val="none" w:sz="0" w:space="0" w:color="auto"/>
        <w:bottom w:val="none" w:sz="0" w:space="0" w:color="auto"/>
        <w:right w:val="none" w:sz="0" w:space="0" w:color="auto"/>
      </w:divBdr>
    </w:div>
    <w:div w:id="307634944">
      <w:bodyDiv w:val="1"/>
      <w:marLeft w:val="0"/>
      <w:marRight w:val="0"/>
      <w:marTop w:val="0"/>
      <w:marBottom w:val="0"/>
      <w:divBdr>
        <w:top w:val="none" w:sz="0" w:space="0" w:color="auto"/>
        <w:left w:val="none" w:sz="0" w:space="0" w:color="auto"/>
        <w:bottom w:val="none" w:sz="0" w:space="0" w:color="auto"/>
        <w:right w:val="none" w:sz="0" w:space="0" w:color="auto"/>
      </w:divBdr>
    </w:div>
    <w:div w:id="382608191">
      <w:bodyDiv w:val="1"/>
      <w:marLeft w:val="0"/>
      <w:marRight w:val="0"/>
      <w:marTop w:val="0"/>
      <w:marBottom w:val="0"/>
      <w:divBdr>
        <w:top w:val="none" w:sz="0" w:space="0" w:color="auto"/>
        <w:left w:val="none" w:sz="0" w:space="0" w:color="auto"/>
        <w:bottom w:val="none" w:sz="0" w:space="0" w:color="auto"/>
        <w:right w:val="none" w:sz="0" w:space="0" w:color="auto"/>
      </w:divBdr>
    </w:div>
    <w:div w:id="392967056">
      <w:bodyDiv w:val="1"/>
      <w:marLeft w:val="0"/>
      <w:marRight w:val="0"/>
      <w:marTop w:val="0"/>
      <w:marBottom w:val="0"/>
      <w:divBdr>
        <w:top w:val="none" w:sz="0" w:space="0" w:color="auto"/>
        <w:left w:val="none" w:sz="0" w:space="0" w:color="auto"/>
        <w:bottom w:val="none" w:sz="0" w:space="0" w:color="auto"/>
        <w:right w:val="none" w:sz="0" w:space="0" w:color="auto"/>
      </w:divBdr>
    </w:div>
    <w:div w:id="420637256">
      <w:bodyDiv w:val="1"/>
      <w:marLeft w:val="0"/>
      <w:marRight w:val="0"/>
      <w:marTop w:val="0"/>
      <w:marBottom w:val="0"/>
      <w:divBdr>
        <w:top w:val="none" w:sz="0" w:space="0" w:color="auto"/>
        <w:left w:val="none" w:sz="0" w:space="0" w:color="auto"/>
        <w:bottom w:val="none" w:sz="0" w:space="0" w:color="auto"/>
        <w:right w:val="none" w:sz="0" w:space="0" w:color="auto"/>
      </w:divBdr>
    </w:div>
    <w:div w:id="471215628">
      <w:bodyDiv w:val="1"/>
      <w:marLeft w:val="0"/>
      <w:marRight w:val="0"/>
      <w:marTop w:val="0"/>
      <w:marBottom w:val="0"/>
      <w:divBdr>
        <w:top w:val="none" w:sz="0" w:space="0" w:color="auto"/>
        <w:left w:val="none" w:sz="0" w:space="0" w:color="auto"/>
        <w:bottom w:val="none" w:sz="0" w:space="0" w:color="auto"/>
        <w:right w:val="none" w:sz="0" w:space="0" w:color="auto"/>
      </w:divBdr>
    </w:div>
    <w:div w:id="534927363">
      <w:bodyDiv w:val="1"/>
      <w:marLeft w:val="0"/>
      <w:marRight w:val="0"/>
      <w:marTop w:val="0"/>
      <w:marBottom w:val="0"/>
      <w:divBdr>
        <w:top w:val="none" w:sz="0" w:space="0" w:color="auto"/>
        <w:left w:val="none" w:sz="0" w:space="0" w:color="auto"/>
        <w:bottom w:val="none" w:sz="0" w:space="0" w:color="auto"/>
        <w:right w:val="none" w:sz="0" w:space="0" w:color="auto"/>
      </w:divBdr>
    </w:div>
    <w:div w:id="548035023">
      <w:bodyDiv w:val="1"/>
      <w:marLeft w:val="0"/>
      <w:marRight w:val="0"/>
      <w:marTop w:val="0"/>
      <w:marBottom w:val="0"/>
      <w:divBdr>
        <w:top w:val="none" w:sz="0" w:space="0" w:color="auto"/>
        <w:left w:val="none" w:sz="0" w:space="0" w:color="auto"/>
        <w:bottom w:val="none" w:sz="0" w:space="0" w:color="auto"/>
        <w:right w:val="none" w:sz="0" w:space="0" w:color="auto"/>
      </w:divBdr>
    </w:div>
    <w:div w:id="602349670">
      <w:bodyDiv w:val="1"/>
      <w:marLeft w:val="0"/>
      <w:marRight w:val="0"/>
      <w:marTop w:val="0"/>
      <w:marBottom w:val="0"/>
      <w:divBdr>
        <w:top w:val="none" w:sz="0" w:space="0" w:color="auto"/>
        <w:left w:val="none" w:sz="0" w:space="0" w:color="auto"/>
        <w:bottom w:val="none" w:sz="0" w:space="0" w:color="auto"/>
        <w:right w:val="none" w:sz="0" w:space="0" w:color="auto"/>
      </w:divBdr>
    </w:div>
    <w:div w:id="645935923">
      <w:bodyDiv w:val="1"/>
      <w:marLeft w:val="0"/>
      <w:marRight w:val="0"/>
      <w:marTop w:val="0"/>
      <w:marBottom w:val="0"/>
      <w:divBdr>
        <w:top w:val="none" w:sz="0" w:space="0" w:color="auto"/>
        <w:left w:val="none" w:sz="0" w:space="0" w:color="auto"/>
        <w:bottom w:val="none" w:sz="0" w:space="0" w:color="auto"/>
        <w:right w:val="none" w:sz="0" w:space="0" w:color="auto"/>
      </w:divBdr>
    </w:div>
    <w:div w:id="652759748">
      <w:bodyDiv w:val="1"/>
      <w:marLeft w:val="0"/>
      <w:marRight w:val="0"/>
      <w:marTop w:val="0"/>
      <w:marBottom w:val="0"/>
      <w:divBdr>
        <w:top w:val="none" w:sz="0" w:space="0" w:color="auto"/>
        <w:left w:val="none" w:sz="0" w:space="0" w:color="auto"/>
        <w:bottom w:val="none" w:sz="0" w:space="0" w:color="auto"/>
        <w:right w:val="none" w:sz="0" w:space="0" w:color="auto"/>
      </w:divBdr>
    </w:div>
    <w:div w:id="687214038">
      <w:bodyDiv w:val="1"/>
      <w:marLeft w:val="0"/>
      <w:marRight w:val="0"/>
      <w:marTop w:val="0"/>
      <w:marBottom w:val="0"/>
      <w:divBdr>
        <w:top w:val="none" w:sz="0" w:space="0" w:color="auto"/>
        <w:left w:val="none" w:sz="0" w:space="0" w:color="auto"/>
        <w:bottom w:val="none" w:sz="0" w:space="0" w:color="auto"/>
        <w:right w:val="none" w:sz="0" w:space="0" w:color="auto"/>
      </w:divBdr>
    </w:div>
    <w:div w:id="720204523">
      <w:bodyDiv w:val="1"/>
      <w:marLeft w:val="0"/>
      <w:marRight w:val="0"/>
      <w:marTop w:val="0"/>
      <w:marBottom w:val="0"/>
      <w:divBdr>
        <w:top w:val="none" w:sz="0" w:space="0" w:color="auto"/>
        <w:left w:val="none" w:sz="0" w:space="0" w:color="auto"/>
        <w:bottom w:val="none" w:sz="0" w:space="0" w:color="auto"/>
        <w:right w:val="none" w:sz="0" w:space="0" w:color="auto"/>
      </w:divBdr>
    </w:div>
    <w:div w:id="738091953">
      <w:bodyDiv w:val="1"/>
      <w:marLeft w:val="0"/>
      <w:marRight w:val="0"/>
      <w:marTop w:val="0"/>
      <w:marBottom w:val="0"/>
      <w:divBdr>
        <w:top w:val="none" w:sz="0" w:space="0" w:color="auto"/>
        <w:left w:val="none" w:sz="0" w:space="0" w:color="auto"/>
        <w:bottom w:val="none" w:sz="0" w:space="0" w:color="auto"/>
        <w:right w:val="none" w:sz="0" w:space="0" w:color="auto"/>
      </w:divBdr>
    </w:div>
    <w:div w:id="864756807">
      <w:bodyDiv w:val="1"/>
      <w:marLeft w:val="0"/>
      <w:marRight w:val="0"/>
      <w:marTop w:val="0"/>
      <w:marBottom w:val="0"/>
      <w:divBdr>
        <w:top w:val="none" w:sz="0" w:space="0" w:color="auto"/>
        <w:left w:val="none" w:sz="0" w:space="0" w:color="auto"/>
        <w:bottom w:val="none" w:sz="0" w:space="0" w:color="auto"/>
        <w:right w:val="none" w:sz="0" w:space="0" w:color="auto"/>
      </w:divBdr>
    </w:div>
    <w:div w:id="890575996">
      <w:bodyDiv w:val="1"/>
      <w:marLeft w:val="0"/>
      <w:marRight w:val="0"/>
      <w:marTop w:val="0"/>
      <w:marBottom w:val="0"/>
      <w:divBdr>
        <w:top w:val="none" w:sz="0" w:space="0" w:color="auto"/>
        <w:left w:val="none" w:sz="0" w:space="0" w:color="auto"/>
        <w:bottom w:val="none" w:sz="0" w:space="0" w:color="auto"/>
        <w:right w:val="none" w:sz="0" w:space="0" w:color="auto"/>
      </w:divBdr>
    </w:div>
    <w:div w:id="892351714">
      <w:bodyDiv w:val="1"/>
      <w:marLeft w:val="0"/>
      <w:marRight w:val="0"/>
      <w:marTop w:val="0"/>
      <w:marBottom w:val="0"/>
      <w:divBdr>
        <w:top w:val="none" w:sz="0" w:space="0" w:color="auto"/>
        <w:left w:val="none" w:sz="0" w:space="0" w:color="auto"/>
        <w:bottom w:val="none" w:sz="0" w:space="0" w:color="auto"/>
        <w:right w:val="none" w:sz="0" w:space="0" w:color="auto"/>
      </w:divBdr>
    </w:div>
    <w:div w:id="985007413">
      <w:bodyDiv w:val="1"/>
      <w:marLeft w:val="0"/>
      <w:marRight w:val="0"/>
      <w:marTop w:val="0"/>
      <w:marBottom w:val="0"/>
      <w:divBdr>
        <w:top w:val="none" w:sz="0" w:space="0" w:color="auto"/>
        <w:left w:val="none" w:sz="0" w:space="0" w:color="auto"/>
        <w:bottom w:val="none" w:sz="0" w:space="0" w:color="auto"/>
        <w:right w:val="none" w:sz="0" w:space="0" w:color="auto"/>
      </w:divBdr>
    </w:div>
    <w:div w:id="1029333604">
      <w:bodyDiv w:val="1"/>
      <w:marLeft w:val="0"/>
      <w:marRight w:val="0"/>
      <w:marTop w:val="0"/>
      <w:marBottom w:val="0"/>
      <w:divBdr>
        <w:top w:val="none" w:sz="0" w:space="0" w:color="auto"/>
        <w:left w:val="none" w:sz="0" w:space="0" w:color="auto"/>
        <w:bottom w:val="none" w:sz="0" w:space="0" w:color="auto"/>
        <w:right w:val="none" w:sz="0" w:space="0" w:color="auto"/>
      </w:divBdr>
    </w:div>
    <w:div w:id="1030447868">
      <w:bodyDiv w:val="1"/>
      <w:marLeft w:val="0"/>
      <w:marRight w:val="0"/>
      <w:marTop w:val="0"/>
      <w:marBottom w:val="0"/>
      <w:divBdr>
        <w:top w:val="none" w:sz="0" w:space="0" w:color="auto"/>
        <w:left w:val="none" w:sz="0" w:space="0" w:color="auto"/>
        <w:bottom w:val="none" w:sz="0" w:space="0" w:color="auto"/>
        <w:right w:val="none" w:sz="0" w:space="0" w:color="auto"/>
      </w:divBdr>
    </w:div>
    <w:div w:id="1039085716">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51658826">
      <w:bodyDiv w:val="1"/>
      <w:marLeft w:val="0"/>
      <w:marRight w:val="0"/>
      <w:marTop w:val="0"/>
      <w:marBottom w:val="0"/>
      <w:divBdr>
        <w:top w:val="none" w:sz="0" w:space="0" w:color="auto"/>
        <w:left w:val="none" w:sz="0" w:space="0" w:color="auto"/>
        <w:bottom w:val="none" w:sz="0" w:space="0" w:color="auto"/>
        <w:right w:val="none" w:sz="0" w:space="0" w:color="auto"/>
      </w:divBdr>
    </w:div>
    <w:div w:id="1088576601">
      <w:bodyDiv w:val="1"/>
      <w:marLeft w:val="0"/>
      <w:marRight w:val="0"/>
      <w:marTop w:val="0"/>
      <w:marBottom w:val="0"/>
      <w:divBdr>
        <w:top w:val="none" w:sz="0" w:space="0" w:color="auto"/>
        <w:left w:val="none" w:sz="0" w:space="0" w:color="auto"/>
        <w:bottom w:val="none" w:sz="0" w:space="0" w:color="auto"/>
        <w:right w:val="none" w:sz="0" w:space="0" w:color="auto"/>
      </w:divBdr>
    </w:div>
    <w:div w:id="1124544160">
      <w:bodyDiv w:val="1"/>
      <w:marLeft w:val="0"/>
      <w:marRight w:val="0"/>
      <w:marTop w:val="0"/>
      <w:marBottom w:val="0"/>
      <w:divBdr>
        <w:top w:val="none" w:sz="0" w:space="0" w:color="auto"/>
        <w:left w:val="none" w:sz="0" w:space="0" w:color="auto"/>
        <w:bottom w:val="none" w:sz="0" w:space="0" w:color="auto"/>
        <w:right w:val="none" w:sz="0" w:space="0" w:color="auto"/>
      </w:divBdr>
    </w:div>
    <w:div w:id="1130593823">
      <w:bodyDiv w:val="1"/>
      <w:marLeft w:val="0"/>
      <w:marRight w:val="0"/>
      <w:marTop w:val="0"/>
      <w:marBottom w:val="0"/>
      <w:divBdr>
        <w:top w:val="none" w:sz="0" w:space="0" w:color="auto"/>
        <w:left w:val="none" w:sz="0" w:space="0" w:color="auto"/>
        <w:bottom w:val="none" w:sz="0" w:space="0" w:color="auto"/>
        <w:right w:val="none" w:sz="0" w:space="0" w:color="auto"/>
      </w:divBdr>
    </w:div>
    <w:div w:id="1148521611">
      <w:bodyDiv w:val="1"/>
      <w:marLeft w:val="0"/>
      <w:marRight w:val="0"/>
      <w:marTop w:val="0"/>
      <w:marBottom w:val="0"/>
      <w:divBdr>
        <w:top w:val="none" w:sz="0" w:space="0" w:color="auto"/>
        <w:left w:val="none" w:sz="0" w:space="0" w:color="auto"/>
        <w:bottom w:val="none" w:sz="0" w:space="0" w:color="auto"/>
        <w:right w:val="none" w:sz="0" w:space="0" w:color="auto"/>
      </w:divBdr>
    </w:div>
    <w:div w:id="1158690841">
      <w:bodyDiv w:val="1"/>
      <w:marLeft w:val="0"/>
      <w:marRight w:val="0"/>
      <w:marTop w:val="0"/>
      <w:marBottom w:val="0"/>
      <w:divBdr>
        <w:top w:val="none" w:sz="0" w:space="0" w:color="auto"/>
        <w:left w:val="none" w:sz="0" w:space="0" w:color="auto"/>
        <w:bottom w:val="none" w:sz="0" w:space="0" w:color="auto"/>
        <w:right w:val="none" w:sz="0" w:space="0" w:color="auto"/>
      </w:divBdr>
    </w:div>
    <w:div w:id="1165898156">
      <w:bodyDiv w:val="1"/>
      <w:marLeft w:val="0"/>
      <w:marRight w:val="0"/>
      <w:marTop w:val="0"/>
      <w:marBottom w:val="0"/>
      <w:divBdr>
        <w:top w:val="none" w:sz="0" w:space="0" w:color="auto"/>
        <w:left w:val="none" w:sz="0" w:space="0" w:color="auto"/>
        <w:bottom w:val="none" w:sz="0" w:space="0" w:color="auto"/>
        <w:right w:val="none" w:sz="0" w:space="0" w:color="auto"/>
      </w:divBdr>
    </w:div>
    <w:div w:id="1239287893">
      <w:bodyDiv w:val="1"/>
      <w:marLeft w:val="0"/>
      <w:marRight w:val="0"/>
      <w:marTop w:val="0"/>
      <w:marBottom w:val="0"/>
      <w:divBdr>
        <w:top w:val="none" w:sz="0" w:space="0" w:color="auto"/>
        <w:left w:val="none" w:sz="0" w:space="0" w:color="auto"/>
        <w:bottom w:val="none" w:sz="0" w:space="0" w:color="auto"/>
        <w:right w:val="none" w:sz="0" w:space="0" w:color="auto"/>
      </w:divBdr>
    </w:div>
    <w:div w:id="1255631712">
      <w:bodyDiv w:val="1"/>
      <w:marLeft w:val="0"/>
      <w:marRight w:val="0"/>
      <w:marTop w:val="0"/>
      <w:marBottom w:val="0"/>
      <w:divBdr>
        <w:top w:val="none" w:sz="0" w:space="0" w:color="auto"/>
        <w:left w:val="none" w:sz="0" w:space="0" w:color="auto"/>
        <w:bottom w:val="none" w:sz="0" w:space="0" w:color="auto"/>
        <w:right w:val="none" w:sz="0" w:space="0" w:color="auto"/>
      </w:divBdr>
    </w:div>
    <w:div w:id="1284384801">
      <w:bodyDiv w:val="1"/>
      <w:marLeft w:val="0"/>
      <w:marRight w:val="0"/>
      <w:marTop w:val="0"/>
      <w:marBottom w:val="0"/>
      <w:divBdr>
        <w:top w:val="none" w:sz="0" w:space="0" w:color="auto"/>
        <w:left w:val="none" w:sz="0" w:space="0" w:color="auto"/>
        <w:bottom w:val="none" w:sz="0" w:space="0" w:color="auto"/>
        <w:right w:val="none" w:sz="0" w:space="0" w:color="auto"/>
      </w:divBdr>
    </w:div>
    <w:div w:id="1350835063">
      <w:bodyDiv w:val="1"/>
      <w:marLeft w:val="0"/>
      <w:marRight w:val="0"/>
      <w:marTop w:val="0"/>
      <w:marBottom w:val="0"/>
      <w:divBdr>
        <w:top w:val="none" w:sz="0" w:space="0" w:color="auto"/>
        <w:left w:val="none" w:sz="0" w:space="0" w:color="auto"/>
        <w:bottom w:val="none" w:sz="0" w:space="0" w:color="auto"/>
        <w:right w:val="none" w:sz="0" w:space="0" w:color="auto"/>
      </w:divBdr>
    </w:div>
    <w:div w:id="1406882117">
      <w:bodyDiv w:val="1"/>
      <w:marLeft w:val="0"/>
      <w:marRight w:val="0"/>
      <w:marTop w:val="0"/>
      <w:marBottom w:val="0"/>
      <w:divBdr>
        <w:top w:val="none" w:sz="0" w:space="0" w:color="auto"/>
        <w:left w:val="none" w:sz="0" w:space="0" w:color="auto"/>
        <w:bottom w:val="none" w:sz="0" w:space="0" w:color="auto"/>
        <w:right w:val="none" w:sz="0" w:space="0" w:color="auto"/>
      </w:divBdr>
    </w:div>
    <w:div w:id="1434858846">
      <w:bodyDiv w:val="1"/>
      <w:marLeft w:val="0"/>
      <w:marRight w:val="0"/>
      <w:marTop w:val="0"/>
      <w:marBottom w:val="0"/>
      <w:divBdr>
        <w:top w:val="none" w:sz="0" w:space="0" w:color="auto"/>
        <w:left w:val="none" w:sz="0" w:space="0" w:color="auto"/>
        <w:bottom w:val="none" w:sz="0" w:space="0" w:color="auto"/>
        <w:right w:val="none" w:sz="0" w:space="0" w:color="auto"/>
      </w:divBdr>
    </w:div>
    <w:div w:id="1443920414">
      <w:bodyDiv w:val="1"/>
      <w:marLeft w:val="0"/>
      <w:marRight w:val="0"/>
      <w:marTop w:val="0"/>
      <w:marBottom w:val="0"/>
      <w:divBdr>
        <w:top w:val="none" w:sz="0" w:space="0" w:color="auto"/>
        <w:left w:val="none" w:sz="0" w:space="0" w:color="auto"/>
        <w:bottom w:val="none" w:sz="0" w:space="0" w:color="auto"/>
        <w:right w:val="none" w:sz="0" w:space="0" w:color="auto"/>
      </w:divBdr>
    </w:div>
    <w:div w:id="1650092018">
      <w:bodyDiv w:val="1"/>
      <w:marLeft w:val="0"/>
      <w:marRight w:val="0"/>
      <w:marTop w:val="0"/>
      <w:marBottom w:val="0"/>
      <w:divBdr>
        <w:top w:val="none" w:sz="0" w:space="0" w:color="auto"/>
        <w:left w:val="none" w:sz="0" w:space="0" w:color="auto"/>
        <w:bottom w:val="none" w:sz="0" w:space="0" w:color="auto"/>
        <w:right w:val="none" w:sz="0" w:space="0" w:color="auto"/>
      </w:divBdr>
    </w:div>
    <w:div w:id="1660845559">
      <w:bodyDiv w:val="1"/>
      <w:marLeft w:val="0"/>
      <w:marRight w:val="0"/>
      <w:marTop w:val="0"/>
      <w:marBottom w:val="0"/>
      <w:divBdr>
        <w:top w:val="none" w:sz="0" w:space="0" w:color="auto"/>
        <w:left w:val="none" w:sz="0" w:space="0" w:color="auto"/>
        <w:bottom w:val="none" w:sz="0" w:space="0" w:color="auto"/>
        <w:right w:val="none" w:sz="0" w:space="0" w:color="auto"/>
      </w:divBdr>
    </w:div>
    <w:div w:id="1708336971">
      <w:bodyDiv w:val="1"/>
      <w:marLeft w:val="0"/>
      <w:marRight w:val="0"/>
      <w:marTop w:val="0"/>
      <w:marBottom w:val="0"/>
      <w:divBdr>
        <w:top w:val="none" w:sz="0" w:space="0" w:color="auto"/>
        <w:left w:val="none" w:sz="0" w:space="0" w:color="auto"/>
        <w:bottom w:val="none" w:sz="0" w:space="0" w:color="auto"/>
        <w:right w:val="none" w:sz="0" w:space="0" w:color="auto"/>
      </w:divBdr>
    </w:div>
    <w:div w:id="1723359461">
      <w:bodyDiv w:val="1"/>
      <w:marLeft w:val="0"/>
      <w:marRight w:val="0"/>
      <w:marTop w:val="0"/>
      <w:marBottom w:val="0"/>
      <w:divBdr>
        <w:top w:val="none" w:sz="0" w:space="0" w:color="auto"/>
        <w:left w:val="none" w:sz="0" w:space="0" w:color="auto"/>
        <w:bottom w:val="none" w:sz="0" w:space="0" w:color="auto"/>
        <w:right w:val="none" w:sz="0" w:space="0" w:color="auto"/>
      </w:divBdr>
    </w:div>
    <w:div w:id="1771005383">
      <w:bodyDiv w:val="1"/>
      <w:marLeft w:val="0"/>
      <w:marRight w:val="0"/>
      <w:marTop w:val="0"/>
      <w:marBottom w:val="0"/>
      <w:divBdr>
        <w:top w:val="none" w:sz="0" w:space="0" w:color="auto"/>
        <w:left w:val="none" w:sz="0" w:space="0" w:color="auto"/>
        <w:bottom w:val="none" w:sz="0" w:space="0" w:color="auto"/>
        <w:right w:val="none" w:sz="0" w:space="0" w:color="auto"/>
      </w:divBdr>
    </w:div>
    <w:div w:id="1783963591">
      <w:bodyDiv w:val="1"/>
      <w:marLeft w:val="0"/>
      <w:marRight w:val="0"/>
      <w:marTop w:val="0"/>
      <w:marBottom w:val="0"/>
      <w:divBdr>
        <w:top w:val="none" w:sz="0" w:space="0" w:color="auto"/>
        <w:left w:val="none" w:sz="0" w:space="0" w:color="auto"/>
        <w:bottom w:val="none" w:sz="0" w:space="0" w:color="auto"/>
        <w:right w:val="none" w:sz="0" w:space="0" w:color="auto"/>
      </w:divBdr>
    </w:div>
    <w:div w:id="1784033129">
      <w:bodyDiv w:val="1"/>
      <w:marLeft w:val="0"/>
      <w:marRight w:val="0"/>
      <w:marTop w:val="0"/>
      <w:marBottom w:val="0"/>
      <w:divBdr>
        <w:top w:val="none" w:sz="0" w:space="0" w:color="auto"/>
        <w:left w:val="none" w:sz="0" w:space="0" w:color="auto"/>
        <w:bottom w:val="none" w:sz="0" w:space="0" w:color="auto"/>
        <w:right w:val="none" w:sz="0" w:space="0" w:color="auto"/>
      </w:divBdr>
    </w:div>
    <w:div w:id="1854611823">
      <w:bodyDiv w:val="1"/>
      <w:marLeft w:val="0"/>
      <w:marRight w:val="0"/>
      <w:marTop w:val="0"/>
      <w:marBottom w:val="0"/>
      <w:divBdr>
        <w:top w:val="none" w:sz="0" w:space="0" w:color="auto"/>
        <w:left w:val="none" w:sz="0" w:space="0" w:color="auto"/>
        <w:bottom w:val="none" w:sz="0" w:space="0" w:color="auto"/>
        <w:right w:val="none" w:sz="0" w:space="0" w:color="auto"/>
      </w:divBdr>
    </w:div>
    <w:div w:id="1866941448">
      <w:bodyDiv w:val="1"/>
      <w:marLeft w:val="0"/>
      <w:marRight w:val="0"/>
      <w:marTop w:val="0"/>
      <w:marBottom w:val="0"/>
      <w:divBdr>
        <w:top w:val="none" w:sz="0" w:space="0" w:color="auto"/>
        <w:left w:val="none" w:sz="0" w:space="0" w:color="auto"/>
        <w:bottom w:val="none" w:sz="0" w:space="0" w:color="auto"/>
        <w:right w:val="none" w:sz="0" w:space="0" w:color="auto"/>
      </w:divBdr>
    </w:div>
    <w:div w:id="1951819464">
      <w:bodyDiv w:val="1"/>
      <w:marLeft w:val="0"/>
      <w:marRight w:val="0"/>
      <w:marTop w:val="0"/>
      <w:marBottom w:val="0"/>
      <w:divBdr>
        <w:top w:val="none" w:sz="0" w:space="0" w:color="auto"/>
        <w:left w:val="none" w:sz="0" w:space="0" w:color="auto"/>
        <w:bottom w:val="none" w:sz="0" w:space="0" w:color="auto"/>
        <w:right w:val="none" w:sz="0" w:space="0" w:color="auto"/>
      </w:divBdr>
    </w:div>
    <w:div w:id="2061394817">
      <w:bodyDiv w:val="1"/>
      <w:marLeft w:val="0"/>
      <w:marRight w:val="0"/>
      <w:marTop w:val="0"/>
      <w:marBottom w:val="0"/>
      <w:divBdr>
        <w:top w:val="none" w:sz="0" w:space="0" w:color="auto"/>
        <w:left w:val="none" w:sz="0" w:space="0" w:color="auto"/>
        <w:bottom w:val="none" w:sz="0" w:space="0" w:color="auto"/>
        <w:right w:val="none" w:sz="0" w:space="0" w:color="auto"/>
      </w:divBdr>
    </w:div>
    <w:div w:id="2116512835">
      <w:bodyDiv w:val="1"/>
      <w:marLeft w:val="0"/>
      <w:marRight w:val="0"/>
      <w:marTop w:val="0"/>
      <w:marBottom w:val="0"/>
      <w:divBdr>
        <w:top w:val="none" w:sz="0" w:space="0" w:color="auto"/>
        <w:left w:val="none" w:sz="0" w:space="0" w:color="auto"/>
        <w:bottom w:val="none" w:sz="0" w:space="0" w:color="auto"/>
        <w:right w:val="none" w:sz="0" w:space="0" w:color="auto"/>
      </w:divBdr>
    </w:div>
    <w:div w:id="21386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consult.industry.gov.au/evaluation-of-country-of-origin-labelling-for-food" TargetMode="External"/><Relationship Id="rId26" Type="http://schemas.openxmlformats.org/officeDocument/2006/relationships/hyperlink" Target="https://www.foodstandards.gov.au/consumer/labelling/pages/default.aspx" TargetMode="External"/><Relationship Id="rId39" Type="http://schemas.openxmlformats.org/officeDocument/2006/relationships/hyperlink" Target="https://www.tsic.org.au/seafoodtrail.html" TargetMode="External"/><Relationship Id="rId21" Type="http://schemas.openxmlformats.org/officeDocument/2006/relationships/hyperlink" Target="https://www.industry.gov.au/publications/country-origin-labelling-food-reforms-evaluation" TargetMode="External"/><Relationship Id="rId34" Type="http://schemas.openxmlformats.org/officeDocument/2006/relationships/hyperlink" Target="https://www.minister.industry.gov.au/ministers/husic/media-releases/backing-regional-industry-and-delivering-secure-jobs-futur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griculture.gov.au/abares/research-topics/fisheries/fisheries-and-aquaculture-statistics/seafood-consumption" TargetMode="External"/><Relationship Id="rId29" Type="http://schemas.openxmlformats.org/officeDocument/2006/relationships/hyperlink" Target="https://www.harper-adams.ac.uk/events/ifsa/workshops.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sult.industry.gov.au/cool-for-seafood-in-hospitality/survey/list" TargetMode="External"/><Relationship Id="rId32" Type="http://schemas.openxmlformats.org/officeDocument/2006/relationships/hyperlink" Target="https://www.safefood.qld.gov.au/newsroom/spotlight-on-the-seafood-industry/?keyword=seafood" TargetMode="External"/><Relationship Id="rId37" Type="http://schemas.openxmlformats.org/officeDocument/2006/relationships/hyperlink" Target="https://www.dpi.nsw.gov.au/fishing/commercial/consultation/Eat-More-NSW-Seafood-Program" TargetMode="External"/><Relationship Id="rId40" Type="http://schemas.openxmlformats.org/officeDocument/2006/relationships/hyperlink" Target="https://www.safefood.qld.gov.au/newsroom/spotlight-on-the-seafood-industry/?keyword=seafood"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consult.industry.gov.au/cool-for-seafood-in-hospitality" TargetMode="External"/><Relationship Id="rId28" Type="http://schemas.openxmlformats.org/officeDocument/2006/relationships/hyperlink" Target="https://www.frdc.com.au/project/2015-702" TargetMode="External"/><Relationship Id="rId36" Type="http://schemas.openxmlformats.org/officeDocument/2006/relationships/hyperlink" Target="https://www.fao.org/state-of-fisheries-aquaculture" TargetMode="External"/><Relationship Id="rId10" Type="http://schemas.openxmlformats.org/officeDocument/2006/relationships/footnotes" Target="footnotes.xml"/><Relationship Id="rId19" Type="http://schemas.openxmlformats.org/officeDocument/2006/relationships/hyperlink" Target="https://www.industry.gov.au/sites/default/files/May%202018/document/pdf/country_of_origin_labelling_decision_regulation_impact_statement.pdf?acsf_files_redirect" TargetMode="External"/><Relationship Id="rId31" Type="http://schemas.openxmlformats.org/officeDocument/2006/relationships/hyperlink" Target="https://www.statista.com/statistics/653860/australia-cafes-restaurants-and-takeaway-food-services-turnover/"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hyperlink" Target="https://www.industry.gov.au/publications/country-origin-labelling-food-reforms-evaluation" TargetMode="External"/><Relationship Id="rId27" Type="http://schemas.openxmlformats.org/officeDocument/2006/relationships/hyperlink" Target="https://labourmarketinsights.gov.au/industries/industry-details?industryCode=H" TargetMode="External"/><Relationship Id="rId30" Type="http://schemas.openxmlformats.org/officeDocument/2006/relationships/hyperlink" Target="https://www.aph.gov.au/Parliamentary_Business/Committees/House/Agriculture_and_Industry/Food_Labelling/Report" TargetMode="External"/><Relationship Id="rId35" Type="http://schemas.openxmlformats.org/officeDocument/2006/relationships/hyperlink" Target="https://oia.pmc.gov.au/resources/guidance-impact-analysis/regulatory-impact-analysis-guide-ministers-meetings-and-national" TargetMode="External"/><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rdc.com.au/sites/default/files/products/2009-216-DLD.pdf" TargetMode="External"/><Relationship Id="rId25" Type="http://schemas.openxmlformats.org/officeDocument/2006/relationships/hyperlink" Target="https://www.frdc.com.au/australian-seafood-trade-and-market-access" TargetMode="External"/><Relationship Id="rId33" Type="http://schemas.openxmlformats.org/officeDocument/2006/relationships/hyperlink" Target="http://www.savvysme.com.au/industry/hospitality-and-tourism" TargetMode="External"/><Relationship Id="rId38" Type="http://schemas.openxmlformats.org/officeDocument/2006/relationships/hyperlink" Target="https://www.tsic.org.au/eatmoreseafood.html" TargetMode="External"/><Relationship Id="rId46" Type="http://schemas.openxmlformats.org/officeDocument/2006/relationships/glossaryDocument" Target="glossary/document.xml"/><Relationship Id="rId20" Type="http://schemas.openxmlformats.org/officeDocument/2006/relationships/hyperlink" Target="https://www.agriculture.gov.au/agriculture-land/fisheries/aus-seafood-trade"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2983108E184FC48F94CD194E47B7F1"/>
        <w:category>
          <w:name w:val="General"/>
          <w:gallery w:val="placeholder"/>
        </w:category>
        <w:types>
          <w:type w:val="bbPlcHdr"/>
        </w:types>
        <w:behaviors>
          <w:behavior w:val="content"/>
        </w:behaviors>
        <w:guid w:val="{146D7E23-D6CC-4AE2-AA92-4766F688E61F}"/>
      </w:docPartPr>
      <w:docPartBody>
        <w:p w:rsidR="00A921F3" w:rsidRDefault="00A921F3">
          <w:pPr>
            <w:pStyle w:val="4F2983108E184FC48F94CD194E47B7F1"/>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F3"/>
    <w:rsid w:val="00061D70"/>
    <w:rsid w:val="000A6CA1"/>
    <w:rsid w:val="000D4530"/>
    <w:rsid w:val="001428C0"/>
    <w:rsid w:val="001B6A1D"/>
    <w:rsid w:val="001C276B"/>
    <w:rsid w:val="001C4478"/>
    <w:rsid w:val="00301D71"/>
    <w:rsid w:val="003041D8"/>
    <w:rsid w:val="003746FA"/>
    <w:rsid w:val="003A720C"/>
    <w:rsid w:val="004D46C7"/>
    <w:rsid w:val="004E3DF5"/>
    <w:rsid w:val="00532DC6"/>
    <w:rsid w:val="006135DE"/>
    <w:rsid w:val="006E3B17"/>
    <w:rsid w:val="007B2360"/>
    <w:rsid w:val="007C0AC8"/>
    <w:rsid w:val="007E1525"/>
    <w:rsid w:val="00814A40"/>
    <w:rsid w:val="00A921F3"/>
    <w:rsid w:val="00D46A54"/>
    <w:rsid w:val="00D612D7"/>
    <w:rsid w:val="00DA5F14"/>
    <w:rsid w:val="00F80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2983108E184FC48F94CD194E47B7F1">
    <w:name w:val="4F2983108E184FC48F94CD194E47B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DOCID-322795542-41707</_dlc_DocId>
    <_dlc_DocIdUrl xmlns="4195ad5f-cdf2-4c4a-8d9b-b7944a108e98">
      <Url>https://pmc01.sharepoint.com/sites/CRMOBPR/_layouts/15/DocIdRedir.aspx?ID=DOCID-322795542-41707</Url>
      <Description>DOCID-322795542-41707</Description>
    </_dlc_DocIdUrl>
    <_ip_UnifiedCompliancePolicyUIAction xmlns="http://schemas.microsoft.com/sharepoint/v3" xsi:nil="true"/>
    <_ip_UnifiedCompliancePolicyProperties xmlns="http://schemas.microsoft.com/sharepoint/v3" xsi:nil="true"/>
    <lcf76f155ced4ddcb4097134ff3c332f xmlns="26285671-540d-468b-b7a1-f3e0438dd51a">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E1F2-8E4E-4E05-A9EE-A5209056AB25}"/>
</file>

<file path=customXml/itemProps2.xml><?xml version="1.0" encoding="utf-8"?>
<ds:datastoreItem xmlns:ds="http://schemas.openxmlformats.org/officeDocument/2006/customXml" ds:itemID="{B7F9839D-DAA9-453B-85C9-AACB8F289FE2}">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3"/>
    <ds:schemaRef ds:uri="http://schemas.openxmlformats.org/package/2006/metadata/core-properties"/>
    <ds:schemaRef ds:uri="http://schemas.microsoft.com/sharepoint/v4"/>
    <ds:schemaRef ds:uri="cdd73b99-b600-467d-8b05-41f33179978b"/>
  </ds:schemaRefs>
</ds:datastoreItem>
</file>

<file path=customXml/itemProps3.xml><?xml version="1.0" encoding="utf-8"?>
<ds:datastoreItem xmlns:ds="http://schemas.openxmlformats.org/officeDocument/2006/customXml" ds:itemID="{412C77F0-EFCC-4AC8-A72C-546BB14A436A}"/>
</file>

<file path=customXml/itemProps4.xml><?xml version="1.0" encoding="utf-8"?>
<ds:datastoreItem xmlns:ds="http://schemas.openxmlformats.org/officeDocument/2006/customXml" ds:itemID="{A82A0879-6FF3-4295-936A-E241D1E7531B}">
  <ds:schemaRefs>
    <ds:schemaRef ds:uri="http://schemas.microsoft.com/sharepoint/v3/contenttype/forms"/>
  </ds:schemaRefs>
</ds:datastoreItem>
</file>

<file path=customXml/itemProps5.xml><?xml version="1.0" encoding="utf-8"?>
<ds:datastoreItem xmlns:ds="http://schemas.openxmlformats.org/officeDocument/2006/customXml" ds:itemID="{8A2B090C-EFD9-471F-9906-1C488456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14348</Words>
  <Characters>81789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Country of origin labelling for seafood in hospitality settings</vt:lpstr>
    </vt:vector>
  </TitlesOfParts>
  <Manager/>
  <Company/>
  <LinksUpToDate>false</LinksUpToDate>
  <CharactersWithSpaces>95946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of origin labelling for seafood in hospitality settings</dc:title>
  <dc:subject/>
  <cp:keywords/>
  <dc:description/>
  <cp:lastPrinted>2023-11-23T23:33:00Z</cp:lastPrinted>
  <dcterms:created xsi:type="dcterms:W3CDTF">2023-11-24T00:53:00Z</dcterms:created>
  <dcterms:modified xsi:type="dcterms:W3CDTF">2023-11-24T00:53:00Z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MediaServiceImageTags">
    <vt:lpwstr/>
  </property>
  <property fmtid="{D5CDD505-2E9C-101B-9397-08002B2CF9AE}" pid="4" name="_dlc_DocIdItemGuid">
    <vt:lpwstr>d877484c-6971-4aec-98a9-0e45aad1b266</vt:lpwstr>
  </property>
  <property fmtid="{D5CDD505-2E9C-101B-9397-08002B2CF9AE}" pid="5" name="DocHub_Year">
    <vt:lpwstr/>
  </property>
  <property fmtid="{D5CDD505-2E9C-101B-9397-08002B2CF9AE}" pid="6" name="DocHub_DocumentType">
    <vt:lpwstr>1232;#Regulatory Impact Statement|b67cf5e3-3946-4a1a-b234-9cb1fda6ff32</vt:lpwstr>
  </property>
  <property fmtid="{D5CDD505-2E9C-101B-9397-08002B2CF9AE}" pid="7" name="DocHub_SecurityClassification">
    <vt:lpwstr>30;#OFFICIAL|6106d03b-a1a0-4e30-9d91-d5e9fb4314f9</vt:lpwstr>
  </property>
  <property fmtid="{D5CDD505-2E9C-101B-9397-08002B2CF9AE}" pid="8" name="DocHub_DepartmentalDivisions">
    <vt:lpwstr/>
  </property>
  <property fmtid="{D5CDD505-2E9C-101B-9397-08002B2CF9AE}" pid="9" name="DocHub_GovernmentEntities">
    <vt:lpwstr/>
  </property>
  <property fmtid="{D5CDD505-2E9C-101B-9397-08002B2CF9AE}" pid="10" name="DocHub_EconomicTheme">
    <vt:lpwstr/>
  </property>
  <property fmtid="{D5CDD505-2E9C-101B-9397-08002B2CF9AE}" pid="11" name="DocHub_PolicyScope">
    <vt:lpwstr/>
  </property>
  <property fmtid="{D5CDD505-2E9C-101B-9397-08002B2CF9AE}" pid="12" name="DocHub_PortfolioPerspective">
    <vt:lpwstr/>
  </property>
  <property fmtid="{D5CDD505-2E9C-101B-9397-08002B2CF9AE}" pid="13" name="DocHub_WorkActivity">
    <vt:lpwstr>328;#Legislation and Regulation|6cbc66f5-f4a2-4565-a58b-d5f2d2ac9bd0</vt:lpwstr>
  </property>
  <property fmtid="{D5CDD505-2E9C-101B-9397-08002B2CF9AE}" pid="14" name="DocHub_CoOLSubCategory">
    <vt:lpwstr/>
  </property>
  <property fmtid="{D5CDD505-2E9C-101B-9397-08002B2CF9AE}" pid="15" name="DocHub_Policy">
    <vt:lpwstr/>
  </property>
  <property fmtid="{D5CDD505-2E9C-101B-9397-08002B2CF9AE}" pid="16" name="DocHub_Keywords">
    <vt:lpwstr>1141;#seafood CoOL|e8d0d618-7b5a-42fd-8c9e-ff49a7780366</vt:lpwstr>
  </property>
  <property fmtid="{D5CDD505-2E9C-101B-9397-08002B2CF9AE}" pid="17" name="DocHub_Theme">
    <vt:lpwstr/>
  </property>
</Properties>
</file>