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1697" w14:textId="11F0D30C" w:rsidR="00E203C2" w:rsidRDefault="00E203C2" w:rsidP="00E203C2">
      <w:r>
        <w:rPr>
          <w:noProof/>
          <w:lang w:eastAsia="en-GB" w:bidi="ar-SA"/>
        </w:rPr>
        <w:drawing>
          <wp:inline distT="0" distB="0" distL="0" distR="0" wp14:anchorId="66195670" wp14:editId="5EDD3DE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2719791" w14:textId="77777777" w:rsidR="00E203C2" w:rsidRDefault="00E203C2" w:rsidP="00E203C2"/>
    <w:p w14:paraId="1CB44A9B" w14:textId="22D59F1E" w:rsidR="00BA5672" w:rsidRPr="007D0FEA" w:rsidRDefault="00BA5672" w:rsidP="00BA5672">
      <w:pPr>
        <w:rPr>
          <w:b/>
          <w:sz w:val="28"/>
          <w:szCs w:val="28"/>
        </w:rPr>
      </w:pPr>
      <w:r w:rsidRPr="00AD5356">
        <w:rPr>
          <w:b/>
          <w:sz w:val="28"/>
          <w:szCs w:val="28"/>
          <w:highlight w:val="yellow"/>
        </w:rPr>
        <w:t>XX</w:t>
      </w:r>
      <w:r w:rsidR="001B5139">
        <w:rPr>
          <w:b/>
          <w:sz w:val="28"/>
          <w:szCs w:val="28"/>
        </w:rPr>
        <w:t xml:space="preserve"> &lt;Date&gt;</w:t>
      </w:r>
    </w:p>
    <w:p w14:paraId="4B9ED960" w14:textId="77777777" w:rsidR="00BA5672" w:rsidRDefault="00BA5672" w:rsidP="00BA5672">
      <w:pPr>
        <w:rPr>
          <w:b/>
          <w:color w:val="FF0000"/>
          <w:sz w:val="28"/>
          <w:szCs w:val="28"/>
        </w:rPr>
      </w:pPr>
      <w:r w:rsidRPr="00AD5356">
        <w:rPr>
          <w:b/>
          <w:color w:val="FF0000"/>
          <w:sz w:val="28"/>
          <w:szCs w:val="28"/>
          <w:highlight w:val="yellow"/>
        </w:rPr>
        <w:t>[XX-1X]</w:t>
      </w:r>
    </w:p>
    <w:p w14:paraId="1A36BA9E" w14:textId="77777777" w:rsidR="0057615C" w:rsidRPr="0057615C" w:rsidRDefault="0057615C" w:rsidP="00690206">
      <w:pPr>
        <w:pStyle w:val="FSTitle"/>
        <w:rPr>
          <w:b/>
          <w:sz w:val="22"/>
        </w:rPr>
      </w:pPr>
    </w:p>
    <w:p w14:paraId="249B1740" w14:textId="77777777" w:rsidR="00BA24E2" w:rsidRDefault="00BA24E2" w:rsidP="00E203C2"/>
    <w:p w14:paraId="6CD7B143" w14:textId="1594B735" w:rsidR="00D056F1" w:rsidRPr="0002136F" w:rsidRDefault="007038C9" w:rsidP="00690206">
      <w:pPr>
        <w:pStyle w:val="FSTitle"/>
        <w:rPr>
          <w:b/>
        </w:rPr>
      </w:pPr>
      <w:r>
        <w:rPr>
          <w:b/>
        </w:rPr>
        <w:t xml:space="preserve">Decision </w:t>
      </w:r>
      <w:r w:rsidR="00DD5CAB" w:rsidRPr="0002136F">
        <w:rPr>
          <w:b/>
        </w:rPr>
        <w:t>Regulation Impact Statement</w:t>
      </w:r>
    </w:p>
    <w:p w14:paraId="29B84E54" w14:textId="77777777" w:rsidR="00E203C2" w:rsidRPr="00DD5CAB" w:rsidRDefault="00E203C2" w:rsidP="00690206"/>
    <w:p w14:paraId="1EA1B114" w14:textId="5928EBFE" w:rsidR="00D056F1" w:rsidRDefault="00DD5CAB" w:rsidP="00690206">
      <w:pPr>
        <w:pStyle w:val="FSTitle"/>
      </w:pPr>
      <w:r w:rsidRPr="00DD5CAB">
        <w:t>P1052 – Primary Production and Processing Requirements for Horticulture (Berries, Leafy Vegetables and Melons)</w:t>
      </w:r>
    </w:p>
    <w:p w14:paraId="3C130776" w14:textId="6969D089" w:rsidR="00E203C2" w:rsidRPr="00B37BF0" w:rsidRDefault="00E203C2" w:rsidP="00E203C2">
      <w:pPr>
        <w:pBdr>
          <w:bottom w:val="single" w:sz="12" w:space="1" w:color="auto"/>
        </w:pBdr>
        <w:spacing w:line="280" w:lineRule="exact"/>
        <w:rPr>
          <w:rFonts w:cs="Arial"/>
          <w:bCs/>
        </w:rPr>
      </w:pPr>
    </w:p>
    <w:p w14:paraId="41120060" w14:textId="77777777" w:rsidR="00E203C2" w:rsidRPr="00B37BF0" w:rsidRDefault="00E203C2" w:rsidP="00E203C2"/>
    <w:p w14:paraId="42B13C03" w14:textId="4062C287" w:rsidR="00FB4E61" w:rsidRDefault="00092CDA" w:rsidP="00FB4E61">
      <w:pPr>
        <w:pStyle w:val="Heading1"/>
        <w:spacing w:before="0"/>
      </w:pPr>
      <w:bookmarkStart w:id="0" w:name="_Toc286391001"/>
      <w:bookmarkStart w:id="1" w:name="_Toc300933414"/>
      <w:bookmarkStart w:id="2" w:name="_Toc78896397"/>
      <w:bookmarkStart w:id="3" w:name="_Toc85635257"/>
      <w:bookmarkStart w:id="4" w:name="_Toc97643815"/>
      <w:bookmarkStart w:id="5" w:name="_Toc97653200"/>
      <w:bookmarkStart w:id="6" w:name="_Toc97739352"/>
      <w:bookmarkStart w:id="7" w:name="_Toc97823769"/>
      <w:bookmarkStart w:id="8" w:name="_Toc97823935"/>
      <w:r w:rsidRPr="00092CDA">
        <w:t xml:space="preserve">Executive </w:t>
      </w:r>
      <w:r w:rsidR="00B12F1E">
        <w:t>s</w:t>
      </w:r>
      <w:r w:rsidRPr="00092CDA">
        <w:t>ummary</w:t>
      </w:r>
      <w:bookmarkEnd w:id="0"/>
      <w:bookmarkEnd w:id="1"/>
      <w:bookmarkEnd w:id="2"/>
      <w:bookmarkEnd w:id="3"/>
      <w:bookmarkEnd w:id="4"/>
      <w:bookmarkEnd w:id="5"/>
      <w:bookmarkEnd w:id="6"/>
      <w:bookmarkEnd w:id="7"/>
      <w:bookmarkEnd w:id="8"/>
    </w:p>
    <w:p w14:paraId="50B07284" w14:textId="507212D0" w:rsidR="001D13A5" w:rsidRDefault="001D13A5" w:rsidP="001D13A5">
      <w:r w:rsidRPr="00716986">
        <w:t xml:space="preserve">Fresh fruit and vegetables are </w:t>
      </w:r>
      <w:r>
        <w:t>an important</w:t>
      </w:r>
      <w:r w:rsidRPr="00716986">
        <w:t xml:space="preserve"> </w:t>
      </w:r>
      <w:r>
        <w:t>part of</w:t>
      </w:r>
      <w:r w:rsidRPr="00716986">
        <w:t xml:space="preserve"> a healthy diet, and horticultural produce in Australia is generally considered safe. However, in Australia and internationally, foodborne illness, deaths, product recalls and other food safety incidents continue to be associated with fresh horticultural produce. </w:t>
      </w:r>
      <w:r w:rsidR="00FC7899">
        <w:t>Food</w:t>
      </w:r>
      <w:r>
        <w:t>borne illnesses can be reduced</w:t>
      </w:r>
      <w:r w:rsidRPr="00716986">
        <w:t xml:space="preserve"> through appropriate food safety measures. </w:t>
      </w:r>
    </w:p>
    <w:p w14:paraId="4A177A23" w14:textId="51478778" w:rsidR="00344E4D" w:rsidRPr="00FB4E61" w:rsidRDefault="00344E4D" w:rsidP="00344E4D"/>
    <w:p w14:paraId="01B55E92" w14:textId="784619C9" w:rsidR="00344E4D" w:rsidRDefault="00077468" w:rsidP="00344E4D">
      <w:pPr>
        <w:rPr>
          <w:lang w:val="en-AU"/>
        </w:rPr>
      </w:pPr>
      <w:r>
        <w:rPr>
          <w:lang w:val="en-AU"/>
        </w:rPr>
        <w:t>This</w:t>
      </w:r>
      <w:r w:rsidR="00344E4D">
        <w:rPr>
          <w:lang w:val="en-AU"/>
        </w:rPr>
        <w:t xml:space="preserve"> </w:t>
      </w:r>
      <w:r w:rsidR="001D13A5">
        <w:rPr>
          <w:lang w:val="en-AU"/>
        </w:rPr>
        <w:t>Decision Regulation Impact Statement (</w:t>
      </w:r>
      <w:r w:rsidR="00344E4D">
        <w:rPr>
          <w:lang w:val="en-AU"/>
        </w:rPr>
        <w:t>DRIS</w:t>
      </w:r>
      <w:r w:rsidR="001D13A5">
        <w:rPr>
          <w:lang w:val="en-AU"/>
        </w:rPr>
        <w:t>)</w:t>
      </w:r>
      <w:r w:rsidR="00344E4D">
        <w:rPr>
          <w:lang w:val="en-AU"/>
        </w:rPr>
        <w:t xml:space="preserve"> </w:t>
      </w:r>
      <w:r w:rsidR="001D13A5">
        <w:rPr>
          <w:lang w:val="en-AU"/>
        </w:rPr>
        <w:t>relates to Proposal P1052 and</w:t>
      </w:r>
      <w:r w:rsidR="00344E4D">
        <w:rPr>
          <w:lang w:val="en-AU"/>
        </w:rPr>
        <w:t xml:space="preserve"> examines regulatory and non-regulatory measures</w:t>
      </w:r>
      <w:r w:rsidR="005335DC">
        <w:rPr>
          <w:lang w:val="en-AU"/>
        </w:rPr>
        <w:t xml:space="preserve"> as options</w:t>
      </w:r>
      <w:r w:rsidR="00344E4D">
        <w:rPr>
          <w:lang w:val="en-AU"/>
        </w:rPr>
        <w:t xml:space="preserve"> to address public health and safety risks from </w:t>
      </w:r>
      <w:r w:rsidR="00147536">
        <w:rPr>
          <w:lang w:val="en-AU"/>
        </w:rPr>
        <w:t>microbiological hazards</w:t>
      </w:r>
      <w:r w:rsidR="00344E4D">
        <w:rPr>
          <w:lang w:val="en-AU"/>
        </w:rPr>
        <w:t xml:space="preserve"> that can be present in </w:t>
      </w:r>
      <w:r w:rsidR="00147536">
        <w:rPr>
          <w:lang w:val="en-AU"/>
        </w:rPr>
        <w:t xml:space="preserve">fresh </w:t>
      </w:r>
      <w:r w:rsidR="00C25A0D">
        <w:rPr>
          <w:lang w:val="en-AU"/>
        </w:rPr>
        <w:t>berries, leafy vegetables</w:t>
      </w:r>
      <w:r w:rsidR="005025FC">
        <w:rPr>
          <w:lang w:val="en-AU"/>
        </w:rPr>
        <w:t xml:space="preserve"> (e.g. lettuce, </w:t>
      </w:r>
      <w:r w:rsidR="0099359B">
        <w:rPr>
          <w:lang w:val="en-AU"/>
        </w:rPr>
        <w:t xml:space="preserve">baby spinach, </w:t>
      </w:r>
      <w:r w:rsidR="005025FC">
        <w:rPr>
          <w:lang w:val="en-AU"/>
        </w:rPr>
        <w:t>herbs)</w:t>
      </w:r>
      <w:r w:rsidR="00C25A0D">
        <w:rPr>
          <w:lang w:val="en-AU"/>
        </w:rPr>
        <w:t xml:space="preserve"> </w:t>
      </w:r>
      <w:r w:rsidR="00344E4D">
        <w:rPr>
          <w:lang w:val="en-AU"/>
        </w:rPr>
        <w:t>and melons.</w:t>
      </w:r>
      <w:r w:rsidR="001D13A5">
        <w:rPr>
          <w:lang w:val="en-AU"/>
        </w:rPr>
        <w:t xml:space="preserve"> It incorporates evidence gather</w:t>
      </w:r>
      <w:r w:rsidR="003247E0">
        <w:rPr>
          <w:lang w:val="en-AU"/>
        </w:rPr>
        <w:t>ed</w:t>
      </w:r>
      <w:r w:rsidR="001D13A5">
        <w:rPr>
          <w:lang w:val="en-AU"/>
        </w:rPr>
        <w:t xml:space="preserve"> </w:t>
      </w:r>
      <w:r w:rsidR="00E840BF">
        <w:rPr>
          <w:lang w:val="en-AU"/>
        </w:rPr>
        <w:t xml:space="preserve">in </w:t>
      </w:r>
      <w:r w:rsidR="001D13A5">
        <w:rPr>
          <w:lang w:val="en-AU"/>
        </w:rPr>
        <w:t>two rounds of general consultation and other targeted engagement.</w:t>
      </w:r>
      <w:r w:rsidR="00FB4E61">
        <w:rPr>
          <w:lang w:val="en-AU"/>
        </w:rPr>
        <w:t xml:space="preserve"> </w:t>
      </w:r>
      <w:r w:rsidR="001D0B1D">
        <w:rPr>
          <w:lang w:val="en-AU"/>
        </w:rPr>
        <w:t>Protecting p</w:t>
      </w:r>
      <w:r w:rsidR="00B04F09">
        <w:rPr>
          <w:lang w:val="en-AU"/>
        </w:rPr>
        <w:t xml:space="preserve">ublic health is </w:t>
      </w:r>
      <w:r w:rsidR="001D0B1D">
        <w:rPr>
          <w:lang w:val="en-AU"/>
        </w:rPr>
        <w:t>a key</w:t>
      </w:r>
      <w:r w:rsidR="00B04F09">
        <w:rPr>
          <w:lang w:val="en-AU"/>
        </w:rPr>
        <w:t xml:space="preserve"> priority in FSANZ’s consideration of options.</w:t>
      </w:r>
    </w:p>
    <w:p w14:paraId="1A51E7E6" w14:textId="31B9A21A" w:rsidR="00C25A0D" w:rsidRDefault="00C25A0D" w:rsidP="00344E4D">
      <w:pPr>
        <w:rPr>
          <w:lang w:val="en-AU"/>
        </w:rPr>
      </w:pPr>
    </w:p>
    <w:p w14:paraId="12379D36" w14:textId="345836B2" w:rsidR="00C25A0D" w:rsidRDefault="00077468" w:rsidP="00C25A0D">
      <w:pPr>
        <w:rPr>
          <w:lang w:val="en-AU"/>
        </w:rPr>
      </w:pPr>
      <w:r>
        <w:rPr>
          <w:lang w:val="en-AU"/>
        </w:rPr>
        <w:t>The scope of this</w:t>
      </w:r>
      <w:r w:rsidR="00C25A0D">
        <w:rPr>
          <w:lang w:val="en-AU"/>
        </w:rPr>
        <w:t xml:space="preserve"> </w:t>
      </w:r>
      <w:r w:rsidR="00EB1E26">
        <w:rPr>
          <w:lang w:val="en-AU"/>
        </w:rPr>
        <w:t>p</w:t>
      </w:r>
      <w:r w:rsidR="001D13A5">
        <w:rPr>
          <w:lang w:val="en-AU"/>
        </w:rPr>
        <w:t>roposal</w:t>
      </w:r>
      <w:r w:rsidR="00C25A0D">
        <w:rPr>
          <w:lang w:val="en-AU"/>
        </w:rPr>
        <w:t xml:space="preserve"> only covers Australian domestic growers and primary processers </w:t>
      </w:r>
      <w:r>
        <w:rPr>
          <w:lang w:val="en-AU"/>
        </w:rPr>
        <w:t xml:space="preserve">(e.g. </w:t>
      </w:r>
      <w:r w:rsidR="00147536">
        <w:rPr>
          <w:lang w:val="en-AU"/>
        </w:rPr>
        <w:t>production and initial handling</w:t>
      </w:r>
      <w:r>
        <w:rPr>
          <w:lang w:val="en-AU"/>
        </w:rPr>
        <w:t xml:space="preserve">) </w:t>
      </w:r>
      <w:r w:rsidR="00C25A0D">
        <w:rPr>
          <w:lang w:val="en-AU"/>
        </w:rPr>
        <w:t xml:space="preserve">of the </w:t>
      </w:r>
      <w:r>
        <w:rPr>
          <w:lang w:val="en-AU"/>
        </w:rPr>
        <w:t xml:space="preserve">three </w:t>
      </w:r>
      <w:r w:rsidR="00147536">
        <w:rPr>
          <w:lang w:val="en-AU"/>
        </w:rPr>
        <w:t xml:space="preserve">commodity </w:t>
      </w:r>
      <w:r>
        <w:rPr>
          <w:lang w:val="en-AU"/>
        </w:rPr>
        <w:t>group</w:t>
      </w:r>
      <w:r w:rsidR="00C25A0D">
        <w:rPr>
          <w:lang w:val="en-AU"/>
        </w:rPr>
        <w:t>s</w:t>
      </w:r>
      <w:r>
        <w:rPr>
          <w:lang w:val="en-AU"/>
        </w:rPr>
        <w:t>.</w:t>
      </w:r>
      <w:r w:rsidR="00C25A0D">
        <w:rPr>
          <w:lang w:val="en-AU"/>
        </w:rPr>
        <w:t xml:space="preserve"> </w:t>
      </w:r>
      <w:r>
        <w:rPr>
          <w:lang w:val="en-AU"/>
        </w:rPr>
        <w:t>This DRIS</w:t>
      </w:r>
      <w:r w:rsidR="00C25A0D">
        <w:rPr>
          <w:lang w:val="en-AU"/>
        </w:rPr>
        <w:t xml:space="preserve"> does not cover </w:t>
      </w:r>
      <w:r w:rsidR="00032BA3">
        <w:rPr>
          <w:lang w:val="en-AU"/>
        </w:rPr>
        <w:t>New Zealand or other countries</w:t>
      </w:r>
      <w:r w:rsidR="00E840BF">
        <w:rPr>
          <w:lang w:val="en-AU"/>
        </w:rPr>
        <w:t>,</w:t>
      </w:r>
      <w:r w:rsidR="00032BA3">
        <w:rPr>
          <w:lang w:val="en-AU"/>
        </w:rPr>
        <w:t xml:space="preserve"> </w:t>
      </w:r>
      <w:r w:rsidR="00C25A0D">
        <w:rPr>
          <w:lang w:val="en-AU"/>
        </w:rPr>
        <w:t>imports or stag</w:t>
      </w:r>
      <w:r w:rsidR="005335DC">
        <w:rPr>
          <w:lang w:val="en-AU"/>
        </w:rPr>
        <w:t xml:space="preserve">es of supply after growing and </w:t>
      </w:r>
      <w:r w:rsidR="00C25A0D">
        <w:rPr>
          <w:lang w:val="en-AU"/>
        </w:rPr>
        <w:t xml:space="preserve">primary processing. For instance, wholesale, retail or substantive processing that changes the </w:t>
      </w:r>
      <w:r w:rsidR="00763B66">
        <w:rPr>
          <w:lang w:val="en-AU"/>
        </w:rPr>
        <w:t xml:space="preserve">nature of </w:t>
      </w:r>
      <w:r w:rsidR="00616034">
        <w:rPr>
          <w:lang w:val="en-AU"/>
        </w:rPr>
        <w:t>commodities</w:t>
      </w:r>
      <w:r w:rsidR="00C25A0D">
        <w:rPr>
          <w:lang w:val="en-AU"/>
        </w:rPr>
        <w:t xml:space="preserve"> (e.g. </w:t>
      </w:r>
      <w:r w:rsidR="00147536">
        <w:rPr>
          <w:lang w:val="en-AU"/>
        </w:rPr>
        <w:t xml:space="preserve">cutting whole fruit, </w:t>
      </w:r>
      <w:r w:rsidR="00C25A0D">
        <w:rPr>
          <w:lang w:val="en-AU"/>
        </w:rPr>
        <w:t xml:space="preserve">juicing or slicing) are out-of-scope.  </w:t>
      </w:r>
    </w:p>
    <w:p w14:paraId="054F36F0" w14:textId="737DE359" w:rsidR="00344E4D" w:rsidRDefault="00344E4D" w:rsidP="00344E4D">
      <w:pPr>
        <w:rPr>
          <w:lang w:val="en-AU"/>
        </w:rPr>
      </w:pPr>
    </w:p>
    <w:p w14:paraId="07B0F588" w14:textId="5B19F81F" w:rsidR="005025FC" w:rsidRDefault="00344E4D" w:rsidP="00344E4D">
      <w:pPr>
        <w:rPr>
          <w:lang w:val="en-AU"/>
        </w:rPr>
      </w:pPr>
      <w:r>
        <w:rPr>
          <w:lang w:val="en-AU"/>
        </w:rPr>
        <w:t>It is estimated that f</w:t>
      </w:r>
      <w:r w:rsidR="00FC7899">
        <w:rPr>
          <w:lang w:val="en-AU"/>
        </w:rPr>
        <w:t>ood</w:t>
      </w:r>
      <w:r>
        <w:rPr>
          <w:lang w:val="en-AU"/>
        </w:rPr>
        <w:t>b</w:t>
      </w:r>
      <w:r w:rsidR="00C25A0D">
        <w:rPr>
          <w:lang w:val="en-AU"/>
        </w:rPr>
        <w:t>orne illnesses</w:t>
      </w:r>
      <w:r w:rsidR="007D5F3F">
        <w:rPr>
          <w:lang w:val="en-AU"/>
        </w:rPr>
        <w:t xml:space="preserve"> from </w:t>
      </w:r>
      <w:r w:rsidR="00E840BF">
        <w:rPr>
          <w:lang w:val="en-AU"/>
        </w:rPr>
        <w:t xml:space="preserve">in-scope </w:t>
      </w:r>
      <w:r w:rsidR="00147536">
        <w:rPr>
          <w:lang w:val="en-AU"/>
        </w:rPr>
        <w:t xml:space="preserve">commodities </w:t>
      </w:r>
      <w:r w:rsidR="00C25A0D">
        <w:rPr>
          <w:lang w:val="en-AU"/>
        </w:rPr>
        <w:t>cost Australia</w:t>
      </w:r>
      <w:r w:rsidR="00E840BF">
        <w:rPr>
          <w:lang w:val="en-AU"/>
        </w:rPr>
        <w:t>n consumers and the Australian health-care system</w:t>
      </w:r>
      <w:r w:rsidR="006D5E2D">
        <w:rPr>
          <w:lang w:val="en-AU"/>
        </w:rPr>
        <w:t xml:space="preserve"> $</w:t>
      </w:r>
      <w:r w:rsidR="00FC6310">
        <w:rPr>
          <w:lang w:val="en-AU"/>
        </w:rPr>
        <w:t xml:space="preserve">20.8 </w:t>
      </w:r>
      <w:r w:rsidR="006D5E2D">
        <w:rPr>
          <w:lang w:val="en-AU"/>
        </w:rPr>
        <w:t>million</w:t>
      </w:r>
      <w:r>
        <w:rPr>
          <w:lang w:val="en-AU"/>
        </w:rPr>
        <w:t xml:space="preserve"> </w:t>
      </w:r>
      <w:r w:rsidR="006D5E2D">
        <w:rPr>
          <w:lang w:val="en-AU"/>
        </w:rPr>
        <w:t xml:space="preserve">a </w:t>
      </w:r>
      <w:r>
        <w:rPr>
          <w:lang w:val="en-AU"/>
        </w:rPr>
        <w:t>year</w:t>
      </w:r>
      <w:r w:rsidR="006D5E2D">
        <w:rPr>
          <w:lang w:val="en-AU"/>
        </w:rPr>
        <w:t xml:space="preserve">. Additionally, there are substantial costs to industry and </w:t>
      </w:r>
      <w:r w:rsidR="00E840BF">
        <w:rPr>
          <w:lang w:val="en-AU"/>
        </w:rPr>
        <w:t xml:space="preserve">state and territory governments </w:t>
      </w:r>
      <w:r w:rsidR="005025FC">
        <w:rPr>
          <w:lang w:val="en-AU"/>
        </w:rPr>
        <w:t xml:space="preserve">in </w:t>
      </w:r>
      <w:r w:rsidR="00550E5C">
        <w:rPr>
          <w:lang w:val="en-AU"/>
        </w:rPr>
        <w:t>managing major food safety incidents</w:t>
      </w:r>
      <w:r w:rsidR="0026559C">
        <w:rPr>
          <w:lang w:val="en-AU"/>
        </w:rPr>
        <w:t>,</w:t>
      </w:r>
      <w:r w:rsidR="00550E5C">
        <w:rPr>
          <w:lang w:val="en-AU"/>
        </w:rPr>
        <w:t xml:space="preserve"> including the </w:t>
      </w:r>
      <w:r w:rsidR="006D5E2D">
        <w:rPr>
          <w:lang w:val="en-AU"/>
        </w:rPr>
        <w:t xml:space="preserve">recalls of contaminated </w:t>
      </w:r>
      <w:r w:rsidR="00147536">
        <w:rPr>
          <w:lang w:val="en-AU"/>
        </w:rPr>
        <w:t>produce</w:t>
      </w:r>
      <w:r w:rsidR="006D5E2D">
        <w:rPr>
          <w:lang w:val="en-AU"/>
        </w:rPr>
        <w:t>. Such costs include direct recall costs</w:t>
      </w:r>
      <w:r w:rsidR="00550E5C">
        <w:rPr>
          <w:lang w:val="en-AU"/>
        </w:rPr>
        <w:t>,</w:t>
      </w:r>
      <w:r w:rsidR="006D5E2D">
        <w:rPr>
          <w:lang w:val="en-AU"/>
        </w:rPr>
        <w:t xml:space="preserve"> </w:t>
      </w:r>
      <w:r w:rsidR="00550E5C">
        <w:rPr>
          <w:lang w:val="en-AU"/>
        </w:rPr>
        <w:t xml:space="preserve">the loss of produce and the cost of its disposal.  </w:t>
      </w:r>
    </w:p>
    <w:p w14:paraId="24A15D30" w14:textId="77777777" w:rsidR="005025FC" w:rsidRDefault="005025FC" w:rsidP="00344E4D">
      <w:pPr>
        <w:rPr>
          <w:lang w:val="en-AU"/>
        </w:rPr>
      </w:pPr>
    </w:p>
    <w:p w14:paraId="259DEDBE" w14:textId="47CF578B" w:rsidR="00344E4D" w:rsidRDefault="005025FC" w:rsidP="00344E4D">
      <w:pPr>
        <w:rPr>
          <w:lang w:val="en-AU"/>
        </w:rPr>
      </w:pPr>
      <w:r>
        <w:rPr>
          <w:lang w:val="en-AU"/>
        </w:rPr>
        <w:t>Food safety incidents</w:t>
      </w:r>
      <w:r w:rsidR="00550E5C">
        <w:rPr>
          <w:lang w:val="en-AU"/>
        </w:rPr>
        <w:t xml:space="preserve"> can also result in</w:t>
      </w:r>
      <w:r w:rsidR="006D5E2D">
        <w:rPr>
          <w:lang w:val="en-AU"/>
        </w:rPr>
        <w:t xml:space="preserve"> substantive loss</w:t>
      </w:r>
      <w:r w:rsidR="00D857DF">
        <w:rPr>
          <w:lang w:val="en-AU"/>
        </w:rPr>
        <w:t>es</w:t>
      </w:r>
      <w:r w:rsidR="006D5E2D">
        <w:rPr>
          <w:lang w:val="en-AU"/>
        </w:rPr>
        <w:t xml:space="preserve"> of </w:t>
      </w:r>
      <w:r w:rsidR="00550E5C">
        <w:rPr>
          <w:lang w:val="en-AU"/>
        </w:rPr>
        <w:t xml:space="preserve">future </w:t>
      </w:r>
      <w:r w:rsidR="006D5E2D">
        <w:rPr>
          <w:lang w:val="en-AU"/>
        </w:rPr>
        <w:t xml:space="preserve">sales </w:t>
      </w:r>
      <w:r w:rsidR="00550E5C">
        <w:rPr>
          <w:lang w:val="en-AU"/>
        </w:rPr>
        <w:t>for the implicated business and sometimes the wider industry</w:t>
      </w:r>
      <w:r>
        <w:rPr>
          <w:lang w:val="en-AU"/>
        </w:rPr>
        <w:t>,</w:t>
      </w:r>
      <w:r w:rsidR="00550E5C">
        <w:rPr>
          <w:lang w:val="en-AU"/>
        </w:rPr>
        <w:t xml:space="preserve"> as consumer</w:t>
      </w:r>
      <w:r>
        <w:rPr>
          <w:lang w:val="en-AU"/>
        </w:rPr>
        <w:t>s</w:t>
      </w:r>
      <w:r w:rsidR="00550E5C">
        <w:rPr>
          <w:lang w:val="en-AU"/>
        </w:rPr>
        <w:t xml:space="preserve"> may contin</w:t>
      </w:r>
      <w:r>
        <w:rPr>
          <w:lang w:val="en-AU"/>
        </w:rPr>
        <w:t>u</w:t>
      </w:r>
      <w:r w:rsidR="00550E5C">
        <w:rPr>
          <w:lang w:val="en-AU"/>
        </w:rPr>
        <w:t>e to avoid the product</w:t>
      </w:r>
      <w:r w:rsidR="006D5E2D">
        <w:rPr>
          <w:lang w:val="en-AU"/>
        </w:rPr>
        <w:t>.</w:t>
      </w:r>
      <w:r w:rsidR="00550E5C">
        <w:rPr>
          <w:lang w:val="en-AU"/>
        </w:rPr>
        <w:t xml:space="preserve"> For </w:t>
      </w:r>
      <w:r>
        <w:rPr>
          <w:lang w:val="en-AU"/>
        </w:rPr>
        <w:t>instance</w:t>
      </w:r>
      <w:r w:rsidR="00550E5C">
        <w:rPr>
          <w:lang w:val="en-AU"/>
        </w:rPr>
        <w:t xml:space="preserve">, </w:t>
      </w:r>
      <w:r>
        <w:rPr>
          <w:lang w:val="en-AU"/>
        </w:rPr>
        <w:t xml:space="preserve">Melons Australia reported </w:t>
      </w:r>
      <w:r w:rsidR="00550E5C">
        <w:rPr>
          <w:lang w:val="en-AU"/>
        </w:rPr>
        <w:t>a</w:t>
      </w:r>
      <w:r w:rsidR="006D5E2D">
        <w:rPr>
          <w:lang w:val="en-AU"/>
        </w:rPr>
        <w:t xml:space="preserve"> </w:t>
      </w:r>
      <w:r w:rsidR="00763B66">
        <w:rPr>
          <w:lang w:val="en-AU"/>
        </w:rPr>
        <w:t xml:space="preserve">$100 million </w:t>
      </w:r>
      <w:r w:rsidR="006D5E2D">
        <w:rPr>
          <w:lang w:val="en-AU"/>
        </w:rPr>
        <w:t xml:space="preserve">plus loss of </w:t>
      </w:r>
      <w:r>
        <w:rPr>
          <w:lang w:val="en-AU"/>
        </w:rPr>
        <w:t xml:space="preserve">melons </w:t>
      </w:r>
      <w:r w:rsidR="006D5E2D">
        <w:rPr>
          <w:lang w:val="en-AU"/>
        </w:rPr>
        <w:t>market sales value in year</w:t>
      </w:r>
      <w:r>
        <w:rPr>
          <w:lang w:val="en-AU"/>
        </w:rPr>
        <w:t>s</w:t>
      </w:r>
      <w:r w:rsidR="006D5E2D">
        <w:rPr>
          <w:lang w:val="en-AU"/>
        </w:rPr>
        <w:t xml:space="preserve"> following a widespread</w:t>
      </w:r>
      <w:r>
        <w:rPr>
          <w:lang w:val="en-AU"/>
        </w:rPr>
        <w:t xml:space="preserve"> </w:t>
      </w:r>
      <w:r w:rsidR="00BD115B" w:rsidRPr="00F44540">
        <w:rPr>
          <w:i/>
          <w:lang w:val="en-AU"/>
        </w:rPr>
        <w:t>L</w:t>
      </w:r>
      <w:r w:rsidRPr="00F44540">
        <w:rPr>
          <w:i/>
          <w:lang w:val="en-AU"/>
        </w:rPr>
        <w:t>isteria</w:t>
      </w:r>
      <w:r w:rsidR="006D5E2D">
        <w:rPr>
          <w:lang w:val="en-AU"/>
        </w:rPr>
        <w:t xml:space="preserve"> illness outbreak</w:t>
      </w:r>
      <w:r w:rsidR="00763B66">
        <w:rPr>
          <w:lang w:val="en-AU"/>
        </w:rPr>
        <w:t xml:space="preserve"> </w:t>
      </w:r>
      <w:r w:rsidR="00D857DF">
        <w:rPr>
          <w:lang w:val="en-AU"/>
        </w:rPr>
        <w:t>in</w:t>
      </w:r>
      <w:r w:rsidR="00763B66">
        <w:rPr>
          <w:lang w:val="en-AU"/>
        </w:rPr>
        <w:t xml:space="preserve"> melons</w:t>
      </w:r>
      <w:r>
        <w:rPr>
          <w:lang w:val="en-AU"/>
        </w:rPr>
        <w:t xml:space="preserve"> in 2018.</w:t>
      </w:r>
      <w:r w:rsidR="00763B66">
        <w:rPr>
          <w:lang w:val="en-AU"/>
        </w:rPr>
        <w:t xml:space="preserve"> </w:t>
      </w:r>
      <w:r w:rsidR="00963C5B">
        <w:rPr>
          <w:lang w:val="en-AU"/>
        </w:rPr>
        <w:t xml:space="preserve">Total costs from outbreaks are </w:t>
      </w:r>
      <w:r w:rsidR="00E840BF">
        <w:rPr>
          <w:lang w:val="en-AU"/>
        </w:rPr>
        <w:t xml:space="preserve">both </w:t>
      </w:r>
      <w:r w:rsidR="0005651B">
        <w:rPr>
          <w:lang w:val="en-AU"/>
        </w:rPr>
        <w:t>unpredictable and varia</w:t>
      </w:r>
      <w:r w:rsidR="00963C5B">
        <w:rPr>
          <w:lang w:val="en-AU"/>
        </w:rPr>
        <w:t>ble.</w:t>
      </w:r>
      <w:r w:rsidR="006D5E2D">
        <w:rPr>
          <w:lang w:val="en-AU"/>
        </w:rPr>
        <w:t xml:space="preserve"> </w:t>
      </w:r>
    </w:p>
    <w:p w14:paraId="5EBF109F" w14:textId="77777777" w:rsidR="00956E45" w:rsidRDefault="00956E45" w:rsidP="00344E4D">
      <w:pPr>
        <w:rPr>
          <w:lang w:val="en-AU"/>
        </w:rPr>
      </w:pPr>
    </w:p>
    <w:p w14:paraId="0954078A" w14:textId="7DFB8AB6" w:rsidR="006D5E2D" w:rsidRDefault="006D5E2D" w:rsidP="00344E4D">
      <w:pPr>
        <w:rPr>
          <w:lang w:val="en-AU"/>
        </w:rPr>
      </w:pPr>
      <w:r>
        <w:rPr>
          <w:lang w:val="en-AU"/>
        </w:rPr>
        <w:t xml:space="preserve">The options </w:t>
      </w:r>
      <w:r w:rsidR="00550E5C">
        <w:rPr>
          <w:lang w:val="en-AU"/>
        </w:rPr>
        <w:t xml:space="preserve">explored in the DRIS </w:t>
      </w:r>
      <w:r>
        <w:rPr>
          <w:lang w:val="en-AU"/>
        </w:rPr>
        <w:t xml:space="preserve">target parts of the growing and </w:t>
      </w:r>
      <w:r w:rsidR="003247E0">
        <w:rPr>
          <w:lang w:val="en-AU"/>
        </w:rPr>
        <w:t xml:space="preserve">primary </w:t>
      </w:r>
      <w:r>
        <w:rPr>
          <w:lang w:val="en-AU"/>
        </w:rPr>
        <w:t xml:space="preserve">processing supply chain where risks are </w:t>
      </w:r>
      <w:r w:rsidR="00550E5C">
        <w:rPr>
          <w:lang w:val="en-AU"/>
        </w:rPr>
        <w:t>created</w:t>
      </w:r>
      <w:r w:rsidR="005025FC">
        <w:rPr>
          <w:lang w:val="en-AU"/>
        </w:rPr>
        <w:t>.</w:t>
      </w:r>
      <w:r w:rsidR="008E5A8A">
        <w:rPr>
          <w:lang w:val="en-AU"/>
        </w:rPr>
        <w:t xml:space="preserve"> The options include:</w:t>
      </w:r>
    </w:p>
    <w:p w14:paraId="781C7DD6" w14:textId="196431E7" w:rsidR="005025FC" w:rsidRDefault="005025FC" w:rsidP="0001160F">
      <w:pPr>
        <w:pStyle w:val="ListParagraph"/>
        <w:numPr>
          <w:ilvl w:val="0"/>
          <w:numId w:val="35"/>
        </w:numPr>
        <w:rPr>
          <w:lang w:val="en-AU"/>
        </w:rPr>
      </w:pPr>
      <w:r>
        <w:rPr>
          <w:lang w:val="en-AU"/>
        </w:rPr>
        <w:t xml:space="preserve">Option 1: Status </w:t>
      </w:r>
      <w:r w:rsidR="00634A02">
        <w:rPr>
          <w:lang w:val="en-AU"/>
        </w:rPr>
        <w:t>q</w:t>
      </w:r>
      <w:r>
        <w:rPr>
          <w:lang w:val="en-AU"/>
        </w:rPr>
        <w:t>uo</w:t>
      </w:r>
    </w:p>
    <w:p w14:paraId="61F295E7" w14:textId="794F1F51" w:rsidR="005025FC" w:rsidRDefault="005025FC" w:rsidP="0001160F">
      <w:pPr>
        <w:pStyle w:val="ListParagraph"/>
        <w:numPr>
          <w:ilvl w:val="0"/>
          <w:numId w:val="35"/>
        </w:numPr>
        <w:rPr>
          <w:lang w:val="en-AU"/>
        </w:rPr>
      </w:pPr>
      <w:r>
        <w:rPr>
          <w:lang w:val="en-AU"/>
        </w:rPr>
        <w:t xml:space="preserve">Option 2: Regulation only: </w:t>
      </w:r>
      <w:r w:rsidR="00AF49C3">
        <w:rPr>
          <w:lang w:val="en-AU"/>
        </w:rPr>
        <w:t>regulatory oversight of fresh berries,</w:t>
      </w:r>
      <w:r w:rsidR="003247E0">
        <w:rPr>
          <w:lang w:val="en-AU"/>
        </w:rPr>
        <w:t xml:space="preserve"> leafy vegetables and </w:t>
      </w:r>
      <w:r w:rsidR="003247E0">
        <w:rPr>
          <w:lang w:val="en-AU"/>
        </w:rPr>
        <w:lastRenderedPageBreak/>
        <w:t>melons</w:t>
      </w:r>
      <w:r w:rsidR="003938FC">
        <w:rPr>
          <w:lang w:val="en-AU"/>
        </w:rPr>
        <w:t xml:space="preserve"> through national standard/s</w:t>
      </w:r>
      <w:r w:rsidR="00AF49C3">
        <w:rPr>
          <w:lang w:val="en-AU"/>
        </w:rPr>
        <w:t xml:space="preserve"> </w:t>
      </w:r>
      <w:r>
        <w:rPr>
          <w:lang w:val="en-AU"/>
        </w:rPr>
        <w:t xml:space="preserve"> </w:t>
      </w:r>
    </w:p>
    <w:p w14:paraId="1801835A" w14:textId="575DBCA7" w:rsidR="005025FC" w:rsidRDefault="005025FC" w:rsidP="0001160F">
      <w:pPr>
        <w:pStyle w:val="ListParagraph"/>
        <w:numPr>
          <w:ilvl w:val="0"/>
          <w:numId w:val="35"/>
        </w:numPr>
        <w:rPr>
          <w:lang w:val="en-AU"/>
        </w:rPr>
      </w:pPr>
      <w:r>
        <w:rPr>
          <w:lang w:val="en-AU"/>
        </w:rPr>
        <w:t>Option 3, Preferred: Regulation</w:t>
      </w:r>
      <w:r w:rsidR="003247E0">
        <w:rPr>
          <w:lang w:val="en-AU"/>
        </w:rPr>
        <w:t xml:space="preserve"> (as for</w:t>
      </w:r>
      <w:r>
        <w:rPr>
          <w:lang w:val="en-AU"/>
        </w:rPr>
        <w:t xml:space="preserve"> option 2) plus supporting non-regulatory guidance</w:t>
      </w:r>
    </w:p>
    <w:p w14:paraId="3EE030BD" w14:textId="228AEFE4" w:rsidR="005025FC" w:rsidRPr="005025FC" w:rsidRDefault="005025FC" w:rsidP="0001160F">
      <w:pPr>
        <w:pStyle w:val="ListParagraph"/>
        <w:numPr>
          <w:ilvl w:val="0"/>
          <w:numId w:val="35"/>
        </w:numPr>
        <w:rPr>
          <w:lang w:val="en-AU"/>
        </w:rPr>
      </w:pPr>
      <w:r>
        <w:rPr>
          <w:lang w:val="en-AU"/>
        </w:rPr>
        <w:t>Option 4: Non-regulation only</w:t>
      </w:r>
      <w:r w:rsidR="0001160F">
        <w:rPr>
          <w:lang w:val="en-AU"/>
        </w:rPr>
        <w:t>.</w:t>
      </w:r>
    </w:p>
    <w:p w14:paraId="4D93E535" w14:textId="4826F7FF" w:rsidR="008E5A8A" w:rsidRDefault="008E5A8A" w:rsidP="00344E4D">
      <w:pPr>
        <w:rPr>
          <w:lang w:val="en-AU"/>
        </w:rPr>
      </w:pPr>
    </w:p>
    <w:p w14:paraId="5A96F0C6" w14:textId="33F58FCB" w:rsidR="008E5A8A" w:rsidRDefault="005025FC" w:rsidP="00344E4D">
      <w:pPr>
        <w:rPr>
          <w:lang w:val="en-AU"/>
        </w:rPr>
      </w:pPr>
      <w:r>
        <w:rPr>
          <w:lang w:val="en-AU"/>
        </w:rPr>
        <w:t xml:space="preserve">Option 3 is </w:t>
      </w:r>
      <w:r w:rsidR="003938FC">
        <w:rPr>
          <w:lang w:val="en-AU"/>
        </w:rPr>
        <w:t xml:space="preserve">FSANZ’s </w:t>
      </w:r>
      <w:r>
        <w:rPr>
          <w:lang w:val="en-AU"/>
        </w:rPr>
        <w:t xml:space="preserve">preferred option </w:t>
      </w:r>
      <w:r w:rsidR="0001160F">
        <w:rPr>
          <w:lang w:val="en-AU"/>
        </w:rPr>
        <w:t xml:space="preserve">for best targeting </w:t>
      </w:r>
      <w:r w:rsidR="00FC7899">
        <w:rPr>
          <w:lang w:val="en-AU"/>
        </w:rPr>
        <w:t xml:space="preserve">key food safety </w:t>
      </w:r>
      <w:r w:rsidR="0001160F">
        <w:rPr>
          <w:lang w:val="en-AU"/>
        </w:rPr>
        <w:t>risks</w:t>
      </w:r>
      <w:r w:rsidR="003938FC">
        <w:rPr>
          <w:lang w:val="en-AU"/>
        </w:rPr>
        <w:t xml:space="preserve"> and reducing foodborne illness attributed to berries, leafy vegetables and melons</w:t>
      </w:r>
      <w:r w:rsidR="0001160F">
        <w:rPr>
          <w:lang w:val="en-AU"/>
        </w:rPr>
        <w:t xml:space="preserve">. Option 3 includes </w:t>
      </w:r>
      <w:r w:rsidR="003938FC">
        <w:rPr>
          <w:lang w:val="en-AU"/>
        </w:rPr>
        <w:t xml:space="preserve">regulatory requirements for </w:t>
      </w:r>
      <w:r>
        <w:rPr>
          <w:lang w:val="en-AU"/>
        </w:rPr>
        <w:t xml:space="preserve">managing inputs </w:t>
      </w:r>
      <w:r w:rsidR="003247E0">
        <w:rPr>
          <w:lang w:val="en-AU"/>
        </w:rPr>
        <w:t xml:space="preserve">for growing </w:t>
      </w:r>
      <w:r>
        <w:rPr>
          <w:lang w:val="en-AU"/>
        </w:rPr>
        <w:t xml:space="preserve">to ensure they are </w:t>
      </w:r>
      <w:r w:rsidR="003938FC">
        <w:rPr>
          <w:lang w:val="en-AU"/>
        </w:rPr>
        <w:t xml:space="preserve">safe </w:t>
      </w:r>
      <w:r>
        <w:rPr>
          <w:lang w:val="en-AU"/>
        </w:rPr>
        <w:t>(water, fertiliser and other inputs), mandating worker training, cleaning of premises and equipment, traceability</w:t>
      </w:r>
      <w:r w:rsidR="000468BE">
        <w:rPr>
          <w:lang w:val="en-AU"/>
        </w:rPr>
        <w:t>,</w:t>
      </w:r>
      <w:r>
        <w:rPr>
          <w:lang w:val="en-AU"/>
        </w:rPr>
        <w:t xml:space="preserve"> and not selling </w:t>
      </w:r>
      <w:r w:rsidR="00BD115B">
        <w:rPr>
          <w:lang w:val="en-AU"/>
        </w:rPr>
        <w:t>unsafe food</w:t>
      </w:r>
      <w:r>
        <w:rPr>
          <w:lang w:val="en-AU"/>
        </w:rPr>
        <w:t xml:space="preserve">. </w:t>
      </w:r>
      <w:r w:rsidR="003938FC">
        <w:rPr>
          <w:lang w:val="en-AU"/>
        </w:rPr>
        <w:t>This option</w:t>
      </w:r>
      <w:r w:rsidR="00BD115B">
        <w:rPr>
          <w:lang w:val="en-AU"/>
        </w:rPr>
        <w:t xml:space="preserve"> also includes guidance and education as non-regulatory tools to support </w:t>
      </w:r>
      <w:r w:rsidR="003938FC">
        <w:rPr>
          <w:lang w:val="en-AU"/>
        </w:rPr>
        <w:t xml:space="preserve">the </w:t>
      </w:r>
      <w:r w:rsidR="00BD115B">
        <w:rPr>
          <w:lang w:val="en-AU"/>
        </w:rPr>
        <w:t>standards.</w:t>
      </w:r>
    </w:p>
    <w:p w14:paraId="6AAE9761" w14:textId="77777777" w:rsidR="0001160F" w:rsidRDefault="0001160F" w:rsidP="00344E4D">
      <w:pPr>
        <w:rPr>
          <w:lang w:val="en-AU"/>
        </w:rPr>
      </w:pPr>
    </w:p>
    <w:p w14:paraId="762AE034" w14:textId="04FB4495" w:rsidR="001D7150" w:rsidRPr="001D7150" w:rsidRDefault="001D7150" w:rsidP="00344E4D">
      <w:pPr>
        <w:rPr>
          <w:i/>
          <w:lang w:val="en-AU"/>
        </w:rPr>
      </w:pPr>
      <w:r w:rsidRPr="001D7150">
        <w:rPr>
          <w:i/>
          <w:lang w:val="en-AU"/>
        </w:rPr>
        <w:t>Berries and melons</w:t>
      </w:r>
    </w:p>
    <w:p w14:paraId="6B345477" w14:textId="5FB40B36" w:rsidR="00956E45" w:rsidRDefault="00956E45" w:rsidP="00344E4D">
      <w:pPr>
        <w:rPr>
          <w:lang w:val="en-AU"/>
        </w:rPr>
      </w:pPr>
      <w:r>
        <w:rPr>
          <w:lang w:val="en-AU"/>
        </w:rPr>
        <w:t xml:space="preserve">All options </w:t>
      </w:r>
      <w:r w:rsidR="008E5A8A">
        <w:rPr>
          <w:lang w:val="en-AU"/>
        </w:rPr>
        <w:t xml:space="preserve">moving from </w:t>
      </w:r>
      <w:r>
        <w:rPr>
          <w:lang w:val="en-AU"/>
        </w:rPr>
        <w:t xml:space="preserve">the </w:t>
      </w:r>
      <w:r w:rsidR="00634A02">
        <w:rPr>
          <w:lang w:val="en-AU"/>
        </w:rPr>
        <w:t>status q</w:t>
      </w:r>
      <w:r>
        <w:rPr>
          <w:lang w:val="en-AU"/>
        </w:rPr>
        <w:t>uo show net benefits for berries and melons</w:t>
      </w:r>
      <w:r w:rsidR="009628D3">
        <w:rPr>
          <w:lang w:val="en-AU"/>
        </w:rPr>
        <w:t>. The preferred option gives</w:t>
      </w:r>
      <w:r w:rsidR="00FC6544">
        <w:rPr>
          <w:lang w:val="en-AU"/>
        </w:rPr>
        <w:t xml:space="preserve"> strong net benefits for berries and melons with</w:t>
      </w:r>
      <w:r>
        <w:rPr>
          <w:lang w:val="en-AU"/>
        </w:rPr>
        <w:t xml:space="preserve"> </w:t>
      </w:r>
      <w:r w:rsidR="00D055A2">
        <w:rPr>
          <w:lang w:val="en-AU"/>
        </w:rPr>
        <w:t>central estimate</w:t>
      </w:r>
      <w:r w:rsidR="009371A8">
        <w:rPr>
          <w:lang w:val="en-AU"/>
        </w:rPr>
        <w:t>s</w:t>
      </w:r>
      <w:r w:rsidR="00D055A2">
        <w:rPr>
          <w:lang w:val="en-AU"/>
        </w:rPr>
        <w:t xml:space="preserve"> of</w:t>
      </w:r>
      <w:r>
        <w:rPr>
          <w:lang w:val="en-AU"/>
        </w:rPr>
        <w:t>:</w:t>
      </w:r>
    </w:p>
    <w:p w14:paraId="0E29E9DF" w14:textId="7D091E9E" w:rsidR="00956E45" w:rsidRPr="00956E45" w:rsidRDefault="00D055A2" w:rsidP="00956E45">
      <w:pPr>
        <w:pStyle w:val="ListParagraph"/>
        <w:numPr>
          <w:ilvl w:val="0"/>
          <w:numId w:val="35"/>
        </w:numPr>
        <w:rPr>
          <w:lang w:val="en-AU"/>
        </w:rPr>
      </w:pPr>
      <w:r>
        <w:rPr>
          <w:lang w:val="en-AU"/>
        </w:rPr>
        <w:t xml:space="preserve">$0.5 costs for every </w:t>
      </w:r>
      <w:r w:rsidR="00956E45" w:rsidRPr="00956E45" w:rsidDel="00D055A2">
        <w:rPr>
          <w:lang w:val="en-AU"/>
        </w:rPr>
        <w:t>$</w:t>
      </w:r>
      <w:r w:rsidR="00956E45" w:rsidRPr="00956E45">
        <w:rPr>
          <w:lang w:val="en-AU"/>
        </w:rPr>
        <w:t>1 benefit for berries</w:t>
      </w:r>
    </w:p>
    <w:p w14:paraId="3145FC95" w14:textId="1F4BEAC5" w:rsidR="00956E45" w:rsidRDefault="00956E45" w:rsidP="00956E45">
      <w:pPr>
        <w:pStyle w:val="ListParagraph"/>
        <w:numPr>
          <w:ilvl w:val="0"/>
          <w:numId w:val="35"/>
        </w:numPr>
        <w:rPr>
          <w:lang w:val="en-AU"/>
        </w:rPr>
      </w:pPr>
      <w:r w:rsidRPr="00956E45">
        <w:rPr>
          <w:lang w:val="en-AU"/>
        </w:rPr>
        <w:t>$0.</w:t>
      </w:r>
      <w:r w:rsidR="007D6438">
        <w:rPr>
          <w:lang w:val="en-AU"/>
        </w:rPr>
        <w:t>1</w:t>
      </w:r>
      <w:r w:rsidRPr="00956E45">
        <w:rPr>
          <w:lang w:val="en-AU"/>
        </w:rPr>
        <w:t xml:space="preserve"> costs for every $1 benefit for melons</w:t>
      </w:r>
      <w:r>
        <w:rPr>
          <w:lang w:val="en-AU"/>
        </w:rPr>
        <w:t>.</w:t>
      </w:r>
    </w:p>
    <w:p w14:paraId="7465B304" w14:textId="4BC0A9A3" w:rsidR="00956E45" w:rsidRDefault="00956E45" w:rsidP="00956E45">
      <w:pPr>
        <w:rPr>
          <w:lang w:val="en-AU"/>
        </w:rPr>
      </w:pPr>
    </w:p>
    <w:p w14:paraId="3938A35D" w14:textId="417A7713" w:rsidR="001D7150" w:rsidRPr="001D7150" w:rsidRDefault="001D7150" w:rsidP="00956E45">
      <w:pPr>
        <w:rPr>
          <w:i/>
          <w:lang w:val="en-AU"/>
        </w:rPr>
      </w:pPr>
      <w:r w:rsidRPr="001D7150">
        <w:rPr>
          <w:i/>
          <w:lang w:val="en-AU"/>
        </w:rPr>
        <w:t>Leafy vegetables</w:t>
      </w:r>
    </w:p>
    <w:p w14:paraId="15483386" w14:textId="1B16B1B4" w:rsidR="00F87A18" w:rsidRDefault="00956E45" w:rsidP="00344E4D">
      <w:pPr>
        <w:rPr>
          <w:lang w:val="en-AU"/>
        </w:rPr>
      </w:pPr>
      <w:r>
        <w:rPr>
          <w:lang w:val="en-AU"/>
        </w:rPr>
        <w:t xml:space="preserve">Net benefits of the proposed options are </w:t>
      </w:r>
      <w:r w:rsidR="007C1806">
        <w:rPr>
          <w:lang w:val="en-AU"/>
        </w:rPr>
        <w:t>also positive</w:t>
      </w:r>
      <w:r w:rsidR="009628D3">
        <w:rPr>
          <w:lang w:val="en-AU"/>
        </w:rPr>
        <w:t xml:space="preserve"> for leafy vegetables</w:t>
      </w:r>
      <w:r w:rsidR="007C1806">
        <w:rPr>
          <w:lang w:val="en-AU"/>
        </w:rPr>
        <w:t xml:space="preserve">, although </w:t>
      </w:r>
      <w:r w:rsidR="00FC6544">
        <w:rPr>
          <w:lang w:val="en-AU"/>
        </w:rPr>
        <w:t>the preferred</w:t>
      </w:r>
      <w:r w:rsidR="003938FC">
        <w:rPr>
          <w:lang w:val="en-AU"/>
        </w:rPr>
        <w:t xml:space="preserve"> option 3</w:t>
      </w:r>
      <w:r w:rsidR="00FC6544">
        <w:rPr>
          <w:lang w:val="en-AU"/>
        </w:rPr>
        <w:t xml:space="preserve"> is </w:t>
      </w:r>
      <w:r w:rsidR="007C1806">
        <w:rPr>
          <w:lang w:val="en-AU"/>
        </w:rPr>
        <w:t xml:space="preserve">not as positive as for the other </w:t>
      </w:r>
      <w:r w:rsidR="00616034">
        <w:rPr>
          <w:lang w:val="en-AU"/>
        </w:rPr>
        <w:t>commodities</w:t>
      </w:r>
      <w:r w:rsidR="00BF54A2">
        <w:rPr>
          <w:lang w:val="en-AU"/>
        </w:rPr>
        <w:t>,</w:t>
      </w:r>
      <w:r w:rsidR="00616034">
        <w:rPr>
          <w:lang w:val="en-AU"/>
        </w:rPr>
        <w:t xml:space="preserve"> </w:t>
      </w:r>
      <w:r w:rsidR="00E27894">
        <w:rPr>
          <w:lang w:val="en-AU"/>
        </w:rPr>
        <w:t>as a percentage of costs of the regulations</w:t>
      </w:r>
      <w:r w:rsidR="003247E0">
        <w:rPr>
          <w:lang w:val="en-AU"/>
        </w:rPr>
        <w:t xml:space="preserve">. </w:t>
      </w:r>
      <w:r w:rsidR="003938FC">
        <w:rPr>
          <w:lang w:val="en-AU"/>
        </w:rPr>
        <w:t>O</w:t>
      </w:r>
      <w:r w:rsidR="009628D3">
        <w:rPr>
          <w:lang w:val="en-AU"/>
        </w:rPr>
        <w:t xml:space="preserve">ption </w:t>
      </w:r>
      <w:r w:rsidR="003938FC">
        <w:rPr>
          <w:lang w:val="en-AU"/>
        </w:rPr>
        <w:t xml:space="preserve">3 </w:t>
      </w:r>
      <w:r w:rsidR="009628D3">
        <w:rPr>
          <w:lang w:val="en-AU"/>
        </w:rPr>
        <w:t xml:space="preserve">gives </w:t>
      </w:r>
      <w:r w:rsidR="007C1806">
        <w:rPr>
          <w:lang w:val="en-AU"/>
        </w:rPr>
        <w:t xml:space="preserve">a </w:t>
      </w:r>
      <w:r w:rsidR="0005651B">
        <w:rPr>
          <w:lang w:val="en-AU"/>
        </w:rPr>
        <w:t xml:space="preserve">central estimate </w:t>
      </w:r>
      <w:r w:rsidR="007C1806">
        <w:rPr>
          <w:lang w:val="en-AU"/>
        </w:rPr>
        <w:t>of</w:t>
      </w:r>
      <w:r>
        <w:rPr>
          <w:lang w:val="en-AU"/>
        </w:rPr>
        <w:t xml:space="preserve"> $0.</w:t>
      </w:r>
      <w:r w:rsidR="007D6438">
        <w:rPr>
          <w:lang w:val="en-AU"/>
        </w:rPr>
        <w:t>7</w:t>
      </w:r>
      <w:r>
        <w:rPr>
          <w:lang w:val="en-AU"/>
        </w:rPr>
        <w:t xml:space="preserve"> costs for every $1 benefit. </w:t>
      </w:r>
    </w:p>
    <w:p w14:paraId="2A040C37" w14:textId="261D0DE5" w:rsidR="001B2D57" w:rsidRDefault="001B2D57" w:rsidP="00344E4D">
      <w:pPr>
        <w:rPr>
          <w:lang w:val="en-AU"/>
        </w:rPr>
      </w:pPr>
    </w:p>
    <w:p w14:paraId="43AADC8A" w14:textId="009699C6" w:rsidR="001B2D57" w:rsidRDefault="001B2D57" w:rsidP="00344E4D">
      <w:pPr>
        <w:rPr>
          <w:lang w:val="en-AU"/>
        </w:rPr>
      </w:pPr>
      <w:r>
        <w:rPr>
          <w:lang w:val="en-AU"/>
        </w:rPr>
        <w:t>The above figures do not include further substantial benefits of avoided major incidents with associated management, recalls and sales impacts.</w:t>
      </w:r>
      <w:r w:rsidR="00D055A2">
        <w:rPr>
          <w:lang w:val="en-AU"/>
        </w:rPr>
        <w:t xml:space="preserve"> </w:t>
      </w:r>
    </w:p>
    <w:p w14:paraId="52BA0BAE" w14:textId="77777777" w:rsidR="00F87A18" w:rsidRDefault="00F87A18" w:rsidP="00893F1F">
      <w:pPr>
        <w:rPr>
          <w:i/>
          <w:lang w:val="en-AU"/>
        </w:rPr>
      </w:pPr>
    </w:p>
    <w:p w14:paraId="25AAB857" w14:textId="6BDB2F7F" w:rsidR="00F87A18" w:rsidRPr="00893F1F" w:rsidRDefault="00F87A18" w:rsidP="00893F1F">
      <w:pPr>
        <w:rPr>
          <w:i/>
          <w:lang w:val="en-AU"/>
        </w:rPr>
      </w:pPr>
      <w:r w:rsidRPr="00893F1F">
        <w:rPr>
          <w:i/>
          <w:lang w:val="en-AU"/>
        </w:rPr>
        <w:t>Implementation</w:t>
      </w:r>
    </w:p>
    <w:p w14:paraId="4E844AB7" w14:textId="6E58F74D" w:rsidR="0001160F" w:rsidRDefault="008E5A8A" w:rsidP="00893F1F">
      <w:pPr>
        <w:rPr>
          <w:lang w:val="en-AU"/>
        </w:rPr>
      </w:pPr>
      <w:r>
        <w:rPr>
          <w:lang w:val="en-AU"/>
        </w:rPr>
        <w:t xml:space="preserve">The </w:t>
      </w:r>
      <w:r w:rsidR="000468BE">
        <w:rPr>
          <w:lang w:val="en-AU"/>
        </w:rPr>
        <w:t xml:space="preserve">states and territories </w:t>
      </w:r>
      <w:r w:rsidR="00B33604">
        <w:rPr>
          <w:lang w:val="en-AU"/>
        </w:rPr>
        <w:t xml:space="preserve">are responsible for </w:t>
      </w:r>
      <w:r>
        <w:rPr>
          <w:lang w:val="en-AU"/>
        </w:rPr>
        <w:t>implement</w:t>
      </w:r>
      <w:r w:rsidR="00B33604">
        <w:rPr>
          <w:lang w:val="en-AU"/>
        </w:rPr>
        <w:t xml:space="preserve">ing and enforcing </w:t>
      </w:r>
      <w:r w:rsidR="000468BE">
        <w:rPr>
          <w:lang w:val="en-AU"/>
        </w:rPr>
        <w:t>the</w:t>
      </w:r>
      <w:r>
        <w:rPr>
          <w:lang w:val="en-AU"/>
        </w:rPr>
        <w:t xml:space="preserve"> standard</w:t>
      </w:r>
      <w:r w:rsidR="000468BE">
        <w:rPr>
          <w:lang w:val="en-AU"/>
        </w:rPr>
        <w:t>s</w:t>
      </w:r>
      <w:r>
        <w:rPr>
          <w:lang w:val="en-AU"/>
        </w:rPr>
        <w:t xml:space="preserve">. </w:t>
      </w:r>
      <w:r w:rsidR="00F87A18">
        <w:rPr>
          <w:lang w:val="en-AU"/>
        </w:rPr>
        <w:t>In estimating costs, a</w:t>
      </w:r>
      <w:r>
        <w:rPr>
          <w:lang w:val="en-AU"/>
        </w:rPr>
        <w:t xml:space="preserve"> series of assumptions hav</w:t>
      </w:r>
      <w:r w:rsidR="00567E81">
        <w:rPr>
          <w:lang w:val="en-AU"/>
        </w:rPr>
        <w:t xml:space="preserve">e been made about what </w:t>
      </w:r>
      <w:r w:rsidR="00BF54A2">
        <w:rPr>
          <w:lang w:val="en-AU"/>
        </w:rPr>
        <w:t>implementation</w:t>
      </w:r>
      <w:r>
        <w:rPr>
          <w:lang w:val="en-AU"/>
        </w:rPr>
        <w:t xml:space="preserve"> </w:t>
      </w:r>
      <w:r w:rsidR="00F87A18">
        <w:rPr>
          <w:lang w:val="en-AU"/>
        </w:rPr>
        <w:t xml:space="preserve">could </w:t>
      </w:r>
      <w:r>
        <w:rPr>
          <w:lang w:val="en-AU"/>
        </w:rPr>
        <w:t>practically look like</w:t>
      </w:r>
      <w:r w:rsidR="001B2D57">
        <w:rPr>
          <w:lang w:val="en-AU"/>
        </w:rPr>
        <w:t>, noting some degree of uncertainty</w:t>
      </w:r>
      <w:r w:rsidR="0055128A">
        <w:rPr>
          <w:lang w:val="en-AU"/>
        </w:rPr>
        <w:t xml:space="preserve"> and </w:t>
      </w:r>
      <w:r w:rsidR="00992C16">
        <w:rPr>
          <w:lang w:val="en-AU"/>
        </w:rPr>
        <w:t>several</w:t>
      </w:r>
      <w:r w:rsidR="0055128A">
        <w:rPr>
          <w:lang w:val="en-AU"/>
        </w:rPr>
        <w:t xml:space="preserve"> compliance options may be possible</w:t>
      </w:r>
      <w:r w:rsidR="00B33604">
        <w:rPr>
          <w:lang w:val="en-AU"/>
        </w:rPr>
        <w:t xml:space="preserve">. </w:t>
      </w:r>
      <w:r w:rsidR="001B2D57">
        <w:rPr>
          <w:lang w:val="en-AU"/>
        </w:rPr>
        <w:t>T</w:t>
      </w:r>
      <w:r w:rsidR="00F87A18">
        <w:rPr>
          <w:lang w:val="en-AU"/>
        </w:rPr>
        <w:t>he implementation approach</w:t>
      </w:r>
      <w:r>
        <w:rPr>
          <w:lang w:val="en-AU"/>
        </w:rPr>
        <w:t xml:space="preserve"> by jurisdictions </w:t>
      </w:r>
      <w:r w:rsidR="00F87A18">
        <w:rPr>
          <w:lang w:val="en-AU"/>
        </w:rPr>
        <w:t xml:space="preserve">cannot be determined until a standard is set. It is possible that </w:t>
      </w:r>
      <w:r w:rsidR="0001160F">
        <w:rPr>
          <w:lang w:val="en-AU"/>
        </w:rPr>
        <w:t>further increase</w:t>
      </w:r>
      <w:r w:rsidR="00F87A18">
        <w:rPr>
          <w:lang w:val="en-AU"/>
        </w:rPr>
        <w:t>s in</w:t>
      </w:r>
      <w:r w:rsidR="0001160F">
        <w:rPr>
          <w:lang w:val="en-AU"/>
        </w:rPr>
        <w:t xml:space="preserve"> net benefits </w:t>
      </w:r>
      <w:r w:rsidR="00F87A18">
        <w:rPr>
          <w:lang w:val="en-AU"/>
        </w:rPr>
        <w:t xml:space="preserve">could occur </w:t>
      </w:r>
      <w:r w:rsidR="0001160F">
        <w:rPr>
          <w:lang w:val="en-AU"/>
        </w:rPr>
        <w:t xml:space="preserve">by reducing the potential burden on industry. Such </w:t>
      </w:r>
      <w:r w:rsidR="00F87A18">
        <w:rPr>
          <w:lang w:val="en-AU"/>
        </w:rPr>
        <w:t xml:space="preserve">implementation approaches </w:t>
      </w:r>
      <w:r w:rsidR="0001160F">
        <w:rPr>
          <w:lang w:val="en-AU"/>
        </w:rPr>
        <w:t>could include:</w:t>
      </w:r>
    </w:p>
    <w:p w14:paraId="5FD55B6F" w14:textId="4EB78A2D" w:rsidR="0001160F" w:rsidRDefault="0001160F" w:rsidP="0001160F">
      <w:pPr>
        <w:pStyle w:val="ListParagraph"/>
        <w:numPr>
          <w:ilvl w:val="0"/>
          <w:numId w:val="35"/>
        </w:numPr>
        <w:rPr>
          <w:lang w:val="en-AU"/>
        </w:rPr>
      </w:pPr>
      <w:r>
        <w:rPr>
          <w:lang w:val="en-AU"/>
        </w:rPr>
        <w:t xml:space="preserve">low-cost recognition of existing market-led </w:t>
      </w:r>
      <w:r w:rsidR="003938FC">
        <w:rPr>
          <w:lang w:val="en-AU"/>
        </w:rPr>
        <w:t xml:space="preserve">food safety schemes </w:t>
      </w:r>
      <w:r>
        <w:rPr>
          <w:lang w:val="en-AU"/>
        </w:rPr>
        <w:t>in demonstrating regulatory compliance</w:t>
      </w:r>
      <w:r w:rsidR="003938FC">
        <w:rPr>
          <w:lang w:val="en-AU"/>
        </w:rPr>
        <w:t>—a</w:t>
      </w:r>
      <w:r w:rsidR="00B33604">
        <w:rPr>
          <w:lang w:val="en-AU"/>
        </w:rPr>
        <w:t>t</w:t>
      </w:r>
      <w:r w:rsidR="00FC47F6">
        <w:rPr>
          <w:lang w:val="en-AU"/>
        </w:rPr>
        <w:t xml:space="preserve"> least 60% of </w:t>
      </w:r>
      <w:r w:rsidR="00F87A18">
        <w:rPr>
          <w:lang w:val="en-AU"/>
        </w:rPr>
        <w:t>a</w:t>
      </w:r>
      <w:r w:rsidR="00FC47F6">
        <w:rPr>
          <w:lang w:val="en-AU"/>
        </w:rPr>
        <w:t>ffect</w:t>
      </w:r>
      <w:r w:rsidR="003938FC">
        <w:rPr>
          <w:lang w:val="en-AU"/>
        </w:rPr>
        <w:t>ed businesses are already on the</w:t>
      </w:r>
      <w:r w:rsidR="00FC47F6">
        <w:rPr>
          <w:lang w:val="en-AU"/>
        </w:rPr>
        <w:t>se schemes</w:t>
      </w:r>
    </w:p>
    <w:p w14:paraId="65EF4F26" w14:textId="14A4DC0E" w:rsidR="008D1575" w:rsidRDefault="0001160F" w:rsidP="0001160F">
      <w:pPr>
        <w:pStyle w:val="ListParagraph"/>
        <w:numPr>
          <w:ilvl w:val="0"/>
          <w:numId w:val="35"/>
        </w:numPr>
        <w:rPr>
          <w:lang w:val="en-AU"/>
        </w:rPr>
      </w:pPr>
      <w:r>
        <w:rPr>
          <w:lang w:val="en-AU"/>
        </w:rPr>
        <w:t>accommodating small businesses</w:t>
      </w:r>
      <w:r w:rsidR="00A1007F">
        <w:rPr>
          <w:lang w:val="en-AU"/>
        </w:rPr>
        <w:t xml:space="preserve"> (many of wh</w:t>
      </w:r>
      <w:r w:rsidR="00F87A18">
        <w:rPr>
          <w:lang w:val="en-AU"/>
        </w:rPr>
        <w:t>ich</w:t>
      </w:r>
      <w:r w:rsidR="00A1007F">
        <w:rPr>
          <w:lang w:val="en-AU"/>
        </w:rPr>
        <w:t xml:space="preserve"> f</w:t>
      </w:r>
      <w:r w:rsidR="00E40519">
        <w:rPr>
          <w:lang w:val="en-AU"/>
        </w:rPr>
        <w:t>ace challenges</w:t>
      </w:r>
      <w:r w:rsidR="00A1007F">
        <w:rPr>
          <w:lang w:val="en-AU"/>
        </w:rPr>
        <w:t xml:space="preserve"> in the post-</w:t>
      </w:r>
      <w:r w:rsidR="009C60E7">
        <w:rPr>
          <w:lang w:val="en-AU"/>
        </w:rPr>
        <w:t>C</w:t>
      </w:r>
      <w:r w:rsidR="00BE4FF3">
        <w:rPr>
          <w:lang w:val="en-AU"/>
        </w:rPr>
        <w:t>OVID</w:t>
      </w:r>
      <w:r w:rsidR="00A1007F">
        <w:rPr>
          <w:lang w:val="en-AU"/>
        </w:rPr>
        <w:t xml:space="preserve"> environment)</w:t>
      </w:r>
      <w:r>
        <w:rPr>
          <w:lang w:val="en-AU"/>
        </w:rPr>
        <w:t xml:space="preserve">, such as through </w:t>
      </w:r>
      <w:r w:rsidR="00F87A18">
        <w:rPr>
          <w:lang w:val="en-AU"/>
        </w:rPr>
        <w:t xml:space="preserve">an emphasis on education about food safety, </w:t>
      </w:r>
      <w:r w:rsidR="00A05C5C">
        <w:rPr>
          <w:lang w:val="en-AU"/>
        </w:rPr>
        <w:t>assessing and minimising</w:t>
      </w:r>
      <w:r>
        <w:rPr>
          <w:lang w:val="en-AU"/>
        </w:rPr>
        <w:t xml:space="preserve"> compliance </w:t>
      </w:r>
      <w:r w:rsidR="00A05C5C">
        <w:rPr>
          <w:lang w:val="en-AU"/>
        </w:rPr>
        <w:t xml:space="preserve">burdens to small businesses where appropriate, </w:t>
      </w:r>
      <w:r>
        <w:rPr>
          <w:lang w:val="en-AU"/>
        </w:rPr>
        <w:t xml:space="preserve">and/or </w:t>
      </w:r>
      <w:r w:rsidR="00A05C5C">
        <w:rPr>
          <w:lang w:val="en-AU"/>
        </w:rPr>
        <w:t xml:space="preserve">providing </w:t>
      </w:r>
      <w:r>
        <w:rPr>
          <w:lang w:val="en-AU"/>
        </w:rPr>
        <w:t xml:space="preserve">greater support </w:t>
      </w:r>
      <w:r w:rsidR="00A03DB4">
        <w:rPr>
          <w:lang w:val="en-AU"/>
        </w:rPr>
        <w:t>with</w:t>
      </w:r>
      <w:r>
        <w:rPr>
          <w:lang w:val="en-AU"/>
        </w:rPr>
        <w:t xml:space="preserve"> compliance.</w:t>
      </w:r>
    </w:p>
    <w:p w14:paraId="05524D1E" w14:textId="77777777" w:rsidR="0001160F" w:rsidRPr="0001160F" w:rsidRDefault="0001160F" w:rsidP="0001160F">
      <w:pPr>
        <w:pStyle w:val="ListParagraph"/>
        <w:ind w:left="360"/>
        <w:rPr>
          <w:lang w:val="en-AU"/>
        </w:rPr>
      </w:pPr>
    </w:p>
    <w:p w14:paraId="31B3C09D" w14:textId="5B130CE9" w:rsidR="0001160F" w:rsidRDefault="009628D3" w:rsidP="009628D3">
      <w:pPr>
        <w:rPr>
          <w:lang w:val="en-AU"/>
        </w:rPr>
      </w:pPr>
      <w:r>
        <w:rPr>
          <w:lang w:val="en-AU"/>
        </w:rPr>
        <w:t>There</w:t>
      </w:r>
      <w:r w:rsidR="0038176E">
        <w:rPr>
          <w:lang w:val="en-AU"/>
        </w:rPr>
        <w:t xml:space="preserve"> have been two rounds of consultat</w:t>
      </w:r>
      <w:r w:rsidR="00EB1E26">
        <w:rPr>
          <w:lang w:val="en-AU"/>
        </w:rPr>
        <w:t>ion on this Proposal P1052. The second round</w:t>
      </w:r>
      <w:r w:rsidR="0038176E">
        <w:rPr>
          <w:lang w:val="en-AU"/>
        </w:rPr>
        <w:t xml:space="preserve"> included </w:t>
      </w:r>
      <w:r w:rsidR="00890D71">
        <w:rPr>
          <w:lang w:val="en-AU"/>
        </w:rPr>
        <w:t xml:space="preserve">consultation on </w:t>
      </w:r>
      <w:r w:rsidR="0038176E">
        <w:rPr>
          <w:lang w:val="en-AU"/>
        </w:rPr>
        <w:t>a</w:t>
      </w:r>
      <w:r>
        <w:rPr>
          <w:lang w:val="en-AU"/>
        </w:rPr>
        <w:t xml:space="preserve"> Consultation RIS</w:t>
      </w:r>
      <w:r w:rsidR="00930787">
        <w:rPr>
          <w:lang w:val="en-AU"/>
        </w:rPr>
        <w:t xml:space="preserve"> (CRIS)</w:t>
      </w:r>
      <w:r>
        <w:rPr>
          <w:lang w:val="en-AU"/>
        </w:rPr>
        <w:t xml:space="preserve"> </w:t>
      </w:r>
      <w:r w:rsidR="00890D71">
        <w:rPr>
          <w:lang w:val="en-AU"/>
        </w:rPr>
        <w:t>that</w:t>
      </w:r>
      <w:r w:rsidR="0001160F">
        <w:rPr>
          <w:lang w:val="en-AU"/>
        </w:rPr>
        <w:t xml:space="preserve"> was</w:t>
      </w:r>
      <w:r w:rsidR="00890D71">
        <w:rPr>
          <w:lang w:val="en-AU"/>
        </w:rPr>
        <w:t xml:space="preserve"> </w:t>
      </w:r>
      <w:r w:rsidR="0038176E">
        <w:rPr>
          <w:lang w:val="en-AU"/>
        </w:rPr>
        <w:t xml:space="preserve">approved by the Office of Best Practice Regulation (OBPR), Ref </w:t>
      </w:r>
      <w:r w:rsidR="0038176E" w:rsidRPr="0038176E">
        <w:rPr>
          <w:lang w:val="en-AU"/>
        </w:rPr>
        <w:t>ID 44097</w:t>
      </w:r>
      <w:r w:rsidR="0038176E">
        <w:rPr>
          <w:lang w:val="en-AU"/>
        </w:rPr>
        <w:t>.</w:t>
      </w:r>
    </w:p>
    <w:p w14:paraId="556D7E68" w14:textId="22187C18" w:rsidR="009628D3" w:rsidRDefault="009628D3" w:rsidP="009628D3">
      <w:pPr>
        <w:rPr>
          <w:lang w:val="en-AU"/>
        </w:rPr>
      </w:pPr>
    </w:p>
    <w:p w14:paraId="16EAE3D8" w14:textId="77777777" w:rsidR="00A20F60" w:rsidRDefault="0005651B" w:rsidP="00344E4D">
      <w:pPr>
        <w:rPr>
          <w:lang w:val="en-AU"/>
        </w:rPr>
      </w:pPr>
      <w:r>
        <w:rPr>
          <w:lang w:val="en-AU"/>
        </w:rPr>
        <w:t xml:space="preserve">During </w:t>
      </w:r>
      <w:r w:rsidR="00D034AA">
        <w:rPr>
          <w:lang w:val="en-AU"/>
        </w:rPr>
        <w:t xml:space="preserve">consultation, stakeholders provided FSANZ with new information on business numbers, </w:t>
      </w:r>
      <w:r w:rsidR="00BF54A2">
        <w:rPr>
          <w:lang w:val="en-AU"/>
        </w:rPr>
        <w:t xml:space="preserve">numbers of businesses on market-led schemes, </w:t>
      </w:r>
      <w:r w:rsidR="00D034AA">
        <w:rPr>
          <w:lang w:val="en-AU"/>
        </w:rPr>
        <w:t>number of harvest days a year, costs of food recalls and other useful information. FSANZ</w:t>
      </w:r>
      <w:r w:rsidR="00890D71">
        <w:rPr>
          <w:lang w:val="en-AU"/>
        </w:rPr>
        <w:t xml:space="preserve">’s </w:t>
      </w:r>
      <w:r w:rsidR="00D034AA">
        <w:rPr>
          <w:lang w:val="en-AU"/>
        </w:rPr>
        <w:t xml:space="preserve">Cost of Illness model </w:t>
      </w:r>
      <w:r w:rsidR="00890D71">
        <w:rPr>
          <w:lang w:val="en-AU"/>
        </w:rPr>
        <w:t>has also been substantially revised during this period as part of a separate research project</w:t>
      </w:r>
      <w:r w:rsidR="00D034AA">
        <w:rPr>
          <w:lang w:val="en-AU"/>
        </w:rPr>
        <w:t>.</w:t>
      </w:r>
    </w:p>
    <w:p w14:paraId="1345D54F" w14:textId="77777777" w:rsidR="00A20F60" w:rsidRDefault="00A20F60" w:rsidP="00344E4D">
      <w:pPr>
        <w:rPr>
          <w:lang w:val="en-AU"/>
        </w:rPr>
      </w:pPr>
    </w:p>
    <w:p w14:paraId="507A9245" w14:textId="3C0BB134" w:rsidR="00344E4D" w:rsidRDefault="00D034AA" w:rsidP="00344E4D">
      <w:pPr>
        <w:rPr>
          <w:lang w:val="en-AU"/>
        </w:rPr>
      </w:pPr>
      <w:r>
        <w:rPr>
          <w:lang w:val="en-AU"/>
        </w:rPr>
        <w:t xml:space="preserve">The </w:t>
      </w:r>
      <w:r w:rsidR="00BE4FF3">
        <w:rPr>
          <w:lang w:val="en-AU"/>
        </w:rPr>
        <w:t>best and most up-</w:t>
      </w:r>
      <w:r w:rsidR="00890D71">
        <w:rPr>
          <w:lang w:val="en-AU"/>
        </w:rPr>
        <w:t>to</w:t>
      </w:r>
      <w:r w:rsidR="00BE4FF3">
        <w:rPr>
          <w:lang w:val="en-AU"/>
        </w:rPr>
        <w:t>-</w:t>
      </w:r>
      <w:r w:rsidR="00890D71">
        <w:rPr>
          <w:lang w:val="en-AU"/>
        </w:rPr>
        <w:t>date information has been used</w:t>
      </w:r>
      <w:r>
        <w:rPr>
          <w:lang w:val="en-AU"/>
        </w:rPr>
        <w:t xml:space="preserve"> </w:t>
      </w:r>
      <w:r w:rsidR="00890D71">
        <w:rPr>
          <w:lang w:val="en-AU"/>
        </w:rPr>
        <w:t xml:space="preserve">to calculate the </w:t>
      </w:r>
      <w:r>
        <w:rPr>
          <w:lang w:val="en-AU"/>
        </w:rPr>
        <w:t xml:space="preserve">costs and benefits of options for this DRIS. </w:t>
      </w:r>
      <w:r w:rsidR="00D70F0D" w:rsidRPr="00A20F60">
        <w:rPr>
          <w:lang w:val="en-AU"/>
        </w:rPr>
        <w:t>The OBPR has assessed this DRIS as adequate to inform a final decision</w:t>
      </w:r>
      <w:r w:rsidR="00252DD4">
        <w:rPr>
          <w:lang w:val="en-AU"/>
        </w:rPr>
        <w:t>,</w:t>
      </w:r>
      <w:r w:rsidR="00D70F0D" w:rsidRPr="00A20F60">
        <w:rPr>
          <w:lang w:val="en-AU"/>
        </w:rPr>
        <w:t xml:space="preserve"> in accordance with the requirements of the </w:t>
      </w:r>
      <w:r w:rsidR="00D70F0D" w:rsidRPr="00252DD4">
        <w:rPr>
          <w:i/>
          <w:lang w:val="en-AU"/>
        </w:rPr>
        <w:t>Regulatory Impact Analysis Guide for Ministers’ Meetings and National Standard Setting Bodies</w:t>
      </w:r>
      <w:r w:rsidR="00D70F0D" w:rsidRPr="00A20F60">
        <w:rPr>
          <w:lang w:val="en-AU"/>
        </w:rPr>
        <w:t xml:space="preserve">. </w:t>
      </w:r>
      <w:r w:rsidR="00E954F4">
        <w:rPr>
          <w:lang w:val="en-AU"/>
        </w:rPr>
        <w:t>(</w:t>
      </w:r>
      <w:r w:rsidR="00D70F0D" w:rsidRPr="00A20F60">
        <w:rPr>
          <w:lang w:val="en-AU"/>
        </w:rPr>
        <w:t>OBPR Letter</w:t>
      </w:r>
      <w:r w:rsidR="00252DD4">
        <w:rPr>
          <w:lang w:val="en-AU"/>
        </w:rPr>
        <w:t xml:space="preserve"> dated</w:t>
      </w:r>
      <w:r w:rsidR="00D70F0D" w:rsidRPr="00A20F60">
        <w:rPr>
          <w:lang w:val="en-AU"/>
        </w:rPr>
        <w:t xml:space="preserve"> 18 March 2022 and Reference: OBPR22-01822</w:t>
      </w:r>
      <w:r w:rsidR="00E954F4">
        <w:rPr>
          <w:lang w:val="en-AU"/>
        </w:rPr>
        <w:t>)</w:t>
      </w:r>
    </w:p>
    <w:p w14:paraId="4487B1B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186946E2" w14:textId="55CF9F95" w:rsidR="00564CE1"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97823935" w:history="1">
        <w:r w:rsidR="00564CE1" w:rsidRPr="00772291">
          <w:rPr>
            <w:rStyle w:val="Hyperlink"/>
            <w:noProof/>
          </w:rPr>
          <w:t>Executive summary</w:t>
        </w:r>
        <w:r w:rsidR="00564CE1">
          <w:rPr>
            <w:noProof/>
            <w:webHidden/>
          </w:rPr>
          <w:tab/>
        </w:r>
        <w:r w:rsidR="00564CE1">
          <w:rPr>
            <w:noProof/>
            <w:webHidden/>
          </w:rPr>
          <w:fldChar w:fldCharType="begin"/>
        </w:r>
        <w:r w:rsidR="00564CE1">
          <w:rPr>
            <w:noProof/>
            <w:webHidden/>
          </w:rPr>
          <w:instrText xml:space="preserve"> PAGEREF _Toc97823935 \h </w:instrText>
        </w:r>
        <w:r w:rsidR="00564CE1">
          <w:rPr>
            <w:noProof/>
            <w:webHidden/>
          </w:rPr>
        </w:r>
        <w:r w:rsidR="00564CE1">
          <w:rPr>
            <w:noProof/>
            <w:webHidden/>
          </w:rPr>
          <w:fldChar w:fldCharType="separate"/>
        </w:r>
        <w:r w:rsidR="00EF29C3">
          <w:rPr>
            <w:noProof/>
            <w:webHidden/>
          </w:rPr>
          <w:t>1</w:t>
        </w:r>
        <w:r w:rsidR="00564CE1">
          <w:rPr>
            <w:noProof/>
            <w:webHidden/>
          </w:rPr>
          <w:fldChar w:fldCharType="end"/>
        </w:r>
      </w:hyperlink>
    </w:p>
    <w:p w14:paraId="19D11037" w14:textId="3A1AF63C"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36" w:history="1">
        <w:r w:rsidR="00564CE1" w:rsidRPr="00772291">
          <w:rPr>
            <w:rStyle w:val="Hyperlink"/>
            <w:noProof/>
          </w:rPr>
          <w:t>1.</w:t>
        </w:r>
        <w:r w:rsidR="00564CE1">
          <w:rPr>
            <w:rFonts w:eastAsiaTheme="minorEastAsia" w:cstheme="minorBidi"/>
            <w:b w:val="0"/>
            <w:bCs w:val="0"/>
            <w:caps w:val="0"/>
            <w:noProof/>
            <w:sz w:val="22"/>
            <w:szCs w:val="22"/>
            <w:lang w:eastAsia="en-GB" w:bidi="ar-SA"/>
          </w:rPr>
          <w:tab/>
        </w:r>
        <w:r w:rsidR="00564CE1" w:rsidRPr="00772291">
          <w:rPr>
            <w:rStyle w:val="Hyperlink"/>
            <w:noProof/>
          </w:rPr>
          <w:t>Introduction</w:t>
        </w:r>
        <w:r w:rsidR="00564CE1">
          <w:rPr>
            <w:noProof/>
            <w:webHidden/>
          </w:rPr>
          <w:tab/>
        </w:r>
        <w:r w:rsidR="00564CE1">
          <w:rPr>
            <w:noProof/>
            <w:webHidden/>
          </w:rPr>
          <w:fldChar w:fldCharType="begin"/>
        </w:r>
        <w:r w:rsidR="00564CE1">
          <w:rPr>
            <w:noProof/>
            <w:webHidden/>
          </w:rPr>
          <w:instrText xml:space="preserve"> PAGEREF _Toc97823936 \h </w:instrText>
        </w:r>
        <w:r w:rsidR="00564CE1">
          <w:rPr>
            <w:noProof/>
            <w:webHidden/>
          </w:rPr>
        </w:r>
        <w:r w:rsidR="00564CE1">
          <w:rPr>
            <w:noProof/>
            <w:webHidden/>
          </w:rPr>
          <w:fldChar w:fldCharType="separate"/>
        </w:r>
        <w:r w:rsidR="00EF29C3">
          <w:rPr>
            <w:noProof/>
            <w:webHidden/>
          </w:rPr>
          <w:t>5</w:t>
        </w:r>
        <w:r w:rsidR="00564CE1">
          <w:rPr>
            <w:noProof/>
            <w:webHidden/>
          </w:rPr>
          <w:fldChar w:fldCharType="end"/>
        </w:r>
      </w:hyperlink>
    </w:p>
    <w:p w14:paraId="0467C5BB" w14:textId="3F493116"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37" w:history="1">
        <w:r w:rsidR="00564CE1" w:rsidRPr="00772291">
          <w:rPr>
            <w:rStyle w:val="Hyperlink"/>
            <w:rFonts w:eastAsiaTheme="majorEastAsia"/>
            <w:noProof/>
          </w:rPr>
          <w:t>2.</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rPr>
          <w:t>Scope of the proposal</w:t>
        </w:r>
        <w:r w:rsidR="00564CE1">
          <w:rPr>
            <w:noProof/>
            <w:webHidden/>
          </w:rPr>
          <w:tab/>
        </w:r>
        <w:r w:rsidR="00564CE1">
          <w:rPr>
            <w:noProof/>
            <w:webHidden/>
          </w:rPr>
          <w:fldChar w:fldCharType="begin"/>
        </w:r>
        <w:r w:rsidR="00564CE1">
          <w:rPr>
            <w:noProof/>
            <w:webHidden/>
          </w:rPr>
          <w:instrText xml:space="preserve"> PAGEREF _Toc97823937 \h </w:instrText>
        </w:r>
        <w:r w:rsidR="00564CE1">
          <w:rPr>
            <w:noProof/>
            <w:webHidden/>
          </w:rPr>
        </w:r>
        <w:r w:rsidR="00564CE1">
          <w:rPr>
            <w:noProof/>
            <w:webHidden/>
          </w:rPr>
          <w:fldChar w:fldCharType="separate"/>
        </w:r>
        <w:r w:rsidR="00EF29C3">
          <w:rPr>
            <w:noProof/>
            <w:webHidden/>
          </w:rPr>
          <w:t>5</w:t>
        </w:r>
        <w:r w:rsidR="00564CE1">
          <w:rPr>
            <w:noProof/>
            <w:webHidden/>
          </w:rPr>
          <w:fldChar w:fldCharType="end"/>
        </w:r>
      </w:hyperlink>
    </w:p>
    <w:p w14:paraId="1C194FCF" w14:textId="1FC1F4D1" w:rsidR="00564CE1" w:rsidRDefault="00000000">
      <w:pPr>
        <w:pStyle w:val="TOC2"/>
        <w:rPr>
          <w:rFonts w:eastAsiaTheme="minorEastAsia" w:cstheme="minorBidi"/>
          <w:smallCaps w:val="0"/>
          <w:noProof/>
          <w:sz w:val="22"/>
          <w:szCs w:val="22"/>
          <w:lang w:eastAsia="en-GB" w:bidi="ar-SA"/>
        </w:rPr>
      </w:pPr>
      <w:hyperlink w:anchor="_Toc97823938" w:history="1">
        <w:r w:rsidR="00564CE1" w:rsidRPr="00772291">
          <w:rPr>
            <w:rStyle w:val="Hyperlink"/>
            <w:noProof/>
            <w:lang w:val="en-AU" w:eastAsia="en-GB"/>
          </w:rPr>
          <w:t>2.1</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Commodities</w:t>
        </w:r>
        <w:r w:rsidR="00564CE1">
          <w:rPr>
            <w:noProof/>
            <w:webHidden/>
          </w:rPr>
          <w:tab/>
        </w:r>
        <w:r w:rsidR="00564CE1">
          <w:rPr>
            <w:noProof/>
            <w:webHidden/>
          </w:rPr>
          <w:fldChar w:fldCharType="begin"/>
        </w:r>
        <w:r w:rsidR="00564CE1">
          <w:rPr>
            <w:noProof/>
            <w:webHidden/>
          </w:rPr>
          <w:instrText xml:space="preserve"> PAGEREF _Toc97823938 \h </w:instrText>
        </w:r>
        <w:r w:rsidR="00564CE1">
          <w:rPr>
            <w:noProof/>
            <w:webHidden/>
          </w:rPr>
        </w:r>
        <w:r w:rsidR="00564CE1">
          <w:rPr>
            <w:noProof/>
            <w:webHidden/>
          </w:rPr>
          <w:fldChar w:fldCharType="separate"/>
        </w:r>
        <w:r w:rsidR="00EF29C3">
          <w:rPr>
            <w:noProof/>
            <w:webHidden/>
          </w:rPr>
          <w:t>6</w:t>
        </w:r>
        <w:r w:rsidR="00564CE1">
          <w:rPr>
            <w:noProof/>
            <w:webHidden/>
          </w:rPr>
          <w:fldChar w:fldCharType="end"/>
        </w:r>
      </w:hyperlink>
    </w:p>
    <w:p w14:paraId="12176682" w14:textId="341E6E39"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39" w:history="1">
        <w:r w:rsidR="00564CE1" w:rsidRPr="00772291">
          <w:rPr>
            <w:rStyle w:val="Hyperlink"/>
            <w:noProof/>
          </w:rPr>
          <w:t>Berries</w:t>
        </w:r>
        <w:r w:rsidR="00564CE1">
          <w:rPr>
            <w:noProof/>
            <w:webHidden/>
          </w:rPr>
          <w:tab/>
        </w:r>
        <w:r w:rsidR="00564CE1">
          <w:rPr>
            <w:noProof/>
            <w:webHidden/>
          </w:rPr>
          <w:fldChar w:fldCharType="begin"/>
        </w:r>
        <w:r w:rsidR="00564CE1">
          <w:rPr>
            <w:noProof/>
            <w:webHidden/>
          </w:rPr>
          <w:instrText xml:space="preserve"> PAGEREF _Toc97823939 \h </w:instrText>
        </w:r>
        <w:r w:rsidR="00564CE1">
          <w:rPr>
            <w:noProof/>
            <w:webHidden/>
          </w:rPr>
        </w:r>
        <w:r w:rsidR="00564CE1">
          <w:rPr>
            <w:noProof/>
            <w:webHidden/>
          </w:rPr>
          <w:fldChar w:fldCharType="separate"/>
        </w:r>
        <w:r w:rsidR="00EF29C3">
          <w:rPr>
            <w:noProof/>
            <w:webHidden/>
          </w:rPr>
          <w:t>6</w:t>
        </w:r>
        <w:r w:rsidR="00564CE1">
          <w:rPr>
            <w:noProof/>
            <w:webHidden/>
          </w:rPr>
          <w:fldChar w:fldCharType="end"/>
        </w:r>
      </w:hyperlink>
    </w:p>
    <w:p w14:paraId="26C44672" w14:textId="117819F4"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40" w:history="1">
        <w:r w:rsidR="00564CE1" w:rsidRPr="00772291">
          <w:rPr>
            <w:rStyle w:val="Hyperlink"/>
            <w:noProof/>
          </w:rPr>
          <w:t>Leafy vegetables</w:t>
        </w:r>
        <w:r w:rsidR="00564CE1">
          <w:rPr>
            <w:noProof/>
            <w:webHidden/>
          </w:rPr>
          <w:tab/>
        </w:r>
        <w:r w:rsidR="00564CE1">
          <w:rPr>
            <w:noProof/>
            <w:webHidden/>
          </w:rPr>
          <w:fldChar w:fldCharType="begin"/>
        </w:r>
        <w:r w:rsidR="00564CE1">
          <w:rPr>
            <w:noProof/>
            <w:webHidden/>
          </w:rPr>
          <w:instrText xml:space="preserve"> PAGEREF _Toc97823940 \h </w:instrText>
        </w:r>
        <w:r w:rsidR="00564CE1">
          <w:rPr>
            <w:noProof/>
            <w:webHidden/>
          </w:rPr>
        </w:r>
        <w:r w:rsidR="00564CE1">
          <w:rPr>
            <w:noProof/>
            <w:webHidden/>
          </w:rPr>
          <w:fldChar w:fldCharType="separate"/>
        </w:r>
        <w:r w:rsidR="00EF29C3">
          <w:rPr>
            <w:noProof/>
            <w:webHidden/>
          </w:rPr>
          <w:t>6</w:t>
        </w:r>
        <w:r w:rsidR="00564CE1">
          <w:rPr>
            <w:noProof/>
            <w:webHidden/>
          </w:rPr>
          <w:fldChar w:fldCharType="end"/>
        </w:r>
      </w:hyperlink>
    </w:p>
    <w:p w14:paraId="52CF4640" w14:textId="5370F559"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41" w:history="1">
        <w:r w:rsidR="00564CE1" w:rsidRPr="00772291">
          <w:rPr>
            <w:rStyle w:val="Hyperlink"/>
            <w:noProof/>
          </w:rPr>
          <w:t>Melons</w:t>
        </w:r>
        <w:r w:rsidR="00564CE1">
          <w:rPr>
            <w:noProof/>
            <w:webHidden/>
          </w:rPr>
          <w:tab/>
        </w:r>
        <w:r w:rsidR="00564CE1">
          <w:rPr>
            <w:noProof/>
            <w:webHidden/>
          </w:rPr>
          <w:fldChar w:fldCharType="begin"/>
        </w:r>
        <w:r w:rsidR="00564CE1">
          <w:rPr>
            <w:noProof/>
            <w:webHidden/>
          </w:rPr>
          <w:instrText xml:space="preserve"> PAGEREF _Toc97823941 \h </w:instrText>
        </w:r>
        <w:r w:rsidR="00564CE1">
          <w:rPr>
            <w:noProof/>
            <w:webHidden/>
          </w:rPr>
        </w:r>
        <w:r w:rsidR="00564CE1">
          <w:rPr>
            <w:noProof/>
            <w:webHidden/>
          </w:rPr>
          <w:fldChar w:fldCharType="separate"/>
        </w:r>
        <w:r w:rsidR="00EF29C3">
          <w:rPr>
            <w:noProof/>
            <w:webHidden/>
          </w:rPr>
          <w:t>6</w:t>
        </w:r>
        <w:r w:rsidR="00564CE1">
          <w:rPr>
            <w:noProof/>
            <w:webHidden/>
          </w:rPr>
          <w:fldChar w:fldCharType="end"/>
        </w:r>
      </w:hyperlink>
    </w:p>
    <w:p w14:paraId="74C6DFFC" w14:textId="0AD23074" w:rsidR="00564CE1" w:rsidRDefault="00000000">
      <w:pPr>
        <w:pStyle w:val="TOC2"/>
        <w:rPr>
          <w:rFonts w:eastAsiaTheme="minorEastAsia" w:cstheme="minorBidi"/>
          <w:smallCaps w:val="0"/>
          <w:noProof/>
          <w:sz w:val="22"/>
          <w:szCs w:val="22"/>
          <w:lang w:eastAsia="en-GB" w:bidi="ar-SA"/>
        </w:rPr>
      </w:pPr>
      <w:hyperlink w:anchor="_Toc97823942" w:history="1">
        <w:r w:rsidR="00564CE1" w:rsidRPr="00772291">
          <w:rPr>
            <w:rStyle w:val="Hyperlink"/>
            <w:noProof/>
            <w:lang w:val="en-AU" w:eastAsia="en-GB"/>
          </w:rPr>
          <w:t>2.2</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Activities</w:t>
        </w:r>
        <w:r w:rsidR="00564CE1">
          <w:rPr>
            <w:noProof/>
            <w:webHidden/>
          </w:rPr>
          <w:tab/>
        </w:r>
        <w:r w:rsidR="00564CE1">
          <w:rPr>
            <w:noProof/>
            <w:webHidden/>
          </w:rPr>
          <w:fldChar w:fldCharType="begin"/>
        </w:r>
        <w:r w:rsidR="00564CE1">
          <w:rPr>
            <w:noProof/>
            <w:webHidden/>
          </w:rPr>
          <w:instrText xml:space="preserve"> PAGEREF _Toc97823942 \h </w:instrText>
        </w:r>
        <w:r w:rsidR="00564CE1">
          <w:rPr>
            <w:noProof/>
            <w:webHidden/>
          </w:rPr>
        </w:r>
        <w:r w:rsidR="00564CE1">
          <w:rPr>
            <w:noProof/>
            <w:webHidden/>
          </w:rPr>
          <w:fldChar w:fldCharType="separate"/>
        </w:r>
        <w:r w:rsidR="00EF29C3">
          <w:rPr>
            <w:noProof/>
            <w:webHidden/>
          </w:rPr>
          <w:t>7</w:t>
        </w:r>
        <w:r w:rsidR="00564CE1">
          <w:rPr>
            <w:noProof/>
            <w:webHidden/>
          </w:rPr>
          <w:fldChar w:fldCharType="end"/>
        </w:r>
      </w:hyperlink>
    </w:p>
    <w:p w14:paraId="0C8BC57B" w14:textId="67B09B31"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43" w:history="1">
        <w:r w:rsidR="00564CE1" w:rsidRPr="00772291">
          <w:rPr>
            <w:rStyle w:val="Hyperlink"/>
            <w:noProof/>
          </w:rPr>
          <w:t>Primary production</w:t>
        </w:r>
        <w:r w:rsidR="00564CE1">
          <w:rPr>
            <w:noProof/>
            <w:webHidden/>
          </w:rPr>
          <w:tab/>
        </w:r>
        <w:r w:rsidR="00564CE1">
          <w:rPr>
            <w:noProof/>
            <w:webHidden/>
          </w:rPr>
          <w:fldChar w:fldCharType="begin"/>
        </w:r>
        <w:r w:rsidR="00564CE1">
          <w:rPr>
            <w:noProof/>
            <w:webHidden/>
          </w:rPr>
          <w:instrText xml:space="preserve"> PAGEREF _Toc97823943 \h </w:instrText>
        </w:r>
        <w:r w:rsidR="00564CE1">
          <w:rPr>
            <w:noProof/>
            <w:webHidden/>
          </w:rPr>
        </w:r>
        <w:r w:rsidR="00564CE1">
          <w:rPr>
            <w:noProof/>
            <w:webHidden/>
          </w:rPr>
          <w:fldChar w:fldCharType="separate"/>
        </w:r>
        <w:r w:rsidR="00EF29C3">
          <w:rPr>
            <w:noProof/>
            <w:webHidden/>
          </w:rPr>
          <w:t>7</w:t>
        </w:r>
        <w:r w:rsidR="00564CE1">
          <w:rPr>
            <w:noProof/>
            <w:webHidden/>
          </w:rPr>
          <w:fldChar w:fldCharType="end"/>
        </w:r>
      </w:hyperlink>
    </w:p>
    <w:p w14:paraId="6923A7C5" w14:textId="6327563F"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44" w:history="1">
        <w:r w:rsidR="00564CE1" w:rsidRPr="00772291">
          <w:rPr>
            <w:rStyle w:val="Hyperlink"/>
            <w:noProof/>
          </w:rPr>
          <w:t>Primary processing</w:t>
        </w:r>
        <w:r w:rsidR="00564CE1">
          <w:rPr>
            <w:noProof/>
            <w:webHidden/>
          </w:rPr>
          <w:tab/>
        </w:r>
        <w:r w:rsidR="00564CE1">
          <w:rPr>
            <w:noProof/>
            <w:webHidden/>
          </w:rPr>
          <w:fldChar w:fldCharType="begin"/>
        </w:r>
        <w:r w:rsidR="00564CE1">
          <w:rPr>
            <w:noProof/>
            <w:webHidden/>
          </w:rPr>
          <w:instrText xml:space="preserve"> PAGEREF _Toc97823944 \h </w:instrText>
        </w:r>
        <w:r w:rsidR="00564CE1">
          <w:rPr>
            <w:noProof/>
            <w:webHidden/>
          </w:rPr>
        </w:r>
        <w:r w:rsidR="00564CE1">
          <w:rPr>
            <w:noProof/>
            <w:webHidden/>
          </w:rPr>
          <w:fldChar w:fldCharType="separate"/>
        </w:r>
        <w:r w:rsidR="00EF29C3">
          <w:rPr>
            <w:noProof/>
            <w:webHidden/>
          </w:rPr>
          <w:t>7</w:t>
        </w:r>
        <w:r w:rsidR="00564CE1">
          <w:rPr>
            <w:noProof/>
            <w:webHidden/>
          </w:rPr>
          <w:fldChar w:fldCharType="end"/>
        </w:r>
      </w:hyperlink>
    </w:p>
    <w:p w14:paraId="17E8113A" w14:textId="52ABF611"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45" w:history="1">
        <w:r w:rsidR="00564CE1" w:rsidRPr="00772291">
          <w:rPr>
            <w:rStyle w:val="Hyperlink"/>
            <w:rFonts w:eastAsiaTheme="majorEastAsia"/>
            <w:noProof/>
          </w:rPr>
          <w:t>3.</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rPr>
          <w:t>Purpose</w:t>
        </w:r>
        <w:r w:rsidR="00564CE1" w:rsidRPr="00772291">
          <w:rPr>
            <w:rStyle w:val="Hyperlink"/>
            <w:rFonts w:eastAsiaTheme="majorEastAsia"/>
            <w:noProof/>
            <w:lang w:val="en-AU" w:eastAsia="en-GB"/>
          </w:rPr>
          <w:t xml:space="preserve"> of this document</w:t>
        </w:r>
        <w:r w:rsidR="00564CE1">
          <w:rPr>
            <w:noProof/>
            <w:webHidden/>
          </w:rPr>
          <w:tab/>
        </w:r>
        <w:r w:rsidR="00564CE1">
          <w:rPr>
            <w:noProof/>
            <w:webHidden/>
          </w:rPr>
          <w:fldChar w:fldCharType="begin"/>
        </w:r>
        <w:r w:rsidR="00564CE1">
          <w:rPr>
            <w:noProof/>
            <w:webHidden/>
          </w:rPr>
          <w:instrText xml:space="preserve"> PAGEREF _Toc97823945 \h </w:instrText>
        </w:r>
        <w:r w:rsidR="00564CE1">
          <w:rPr>
            <w:noProof/>
            <w:webHidden/>
          </w:rPr>
        </w:r>
        <w:r w:rsidR="00564CE1">
          <w:rPr>
            <w:noProof/>
            <w:webHidden/>
          </w:rPr>
          <w:fldChar w:fldCharType="separate"/>
        </w:r>
        <w:r w:rsidR="00EF29C3">
          <w:rPr>
            <w:noProof/>
            <w:webHidden/>
          </w:rPr>
          <w:t>8</w:t>
        </w:r>
        <w:r w:rsidR="00564CE1">
          <w:rPr>
            <w:noProof/>
            <w:webHidden/>
          </w:rPr>
          <w:fldChar w:fldCharType="end"/>
        </w:r>
      </w:hyperlink>
    </w:p>
    <w:p w14:paraId="3CE99DAF" w14:textId="1F1E2E21"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46" w:history="1">
        <w:r w:rsidR="00564CE1" w:rsidRPr="00772291">
          <w:rPr>
            <w:rStyle w:val="Hyperlink"/>
            <w:rFonts w:eastAsiaTheme="majorEastAsia"/>
            <w:noProof/>
            <w:lang w:val="en-AU" w:eastAsia="en-GB"/>
          </w:rPr>
          <w:t>4.</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lang w:val="en-AU" w:eastAsia="en-GB"/>
          </w:rPr>
          <w:t>What is the policy problem?</w:t>
        </w:r>
        <w:r w:rsidR="00564CE1">
          <w:rPr>
            <w:noProof/>
            <w:webHidden/>
          </w:rPr>
          <w:tab/>
        </w:r>
        <w:r w:rsidR="00564CE1">
          <w:rPr>
            <w:noProof/>
            <w:webHidden/>
          </w:rPr>
          <w:fldChar w:fldCharType="begin"/>
        </w:r>
        <w:r w:rsidR="00564CE1">
          <w:rPr>
            <w:noProof/>
            <w:webHidden/>
          </w:rPr>
          <w:instrText xml:space="preserve"> PAGEREF _Toc97823946 \h </w:instrText>
        </w:r>
        <w:r w:rsidR="00564CE1">
          <w:rPr>
            <w:noProof/>
            <w:webHidden/>
          </w:rPr>
        </w:r>
        <w:r w:rsidR="00564CE1">
          <w:rPr>
            <w:noProof/>
            <w:webHidden/>
          </w:rPr>
          <w:fldChar w:fldCharType="separate"/>
        </w:r>
        <w:r w:rsidR="00EF29C3">
          <w:rPr>
            <w:noProof/>
            <w:webHidden/>
          </w:rPr>
          <w:t>8</w:t>
        </w:r>
        <w:r w:rsidR="00564CE1">
          <w:rPr>
            <w:noProof/>
            <w:webHidden/>
          </w:rPr>
          <w:fldChar w:fldCharType="end"/>
        </w:r>
      </w:hyperlink>
    </w:p>
    <w:p w14:paraId="69532494" w14:textId="1A42D829" w:rsidR="00564CE1" w:rsidRDefault="00000000">
      <w:pPr>
        <w:pStyle w:val="TOC2"/>
        <w:rPr>
          <w:rFonts w:eastAsiaTheme="minorEastAsia" w:cstheme="minorBidi"/>
          <w:smallCaps w:val="0"/>
          <w:noProof/>
          <w:sz w:val="22"/>
          <w:szCs w:val="22"/>
          <w:lang w:eastAsia="en-GB" w:bidi="ar-SA"/>
        </w:rPr>
      </w:pPr>
      <w:hyperlink w:anchor="_Toc97823947" w:history="1">
        <w:r w:rsidR="00564CE1" w:rsidRPr="00772291">
          <w:rPr>
            <w:rStyle w:val="Hyperlink"/>
            <w:noProof/>
            <w:lang w:val="en-AU" w:eastAsia="en-GB"/>
          </w:rPr>
          <w:t>4.1</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Overview</w:t>
        </w:r>
        <w:r w:rsidR="00564CE1">
          <w:rPr>
            <w:noProof/>
            <w:webHidden/>
          </w:rPr>
          <w:tab/>
        </w:r>
        <w:r w:rsidR="00564CE1">
          <w:rPr>
            <w:noProof/>
            <w:webHidden/>
          </w:rPr>
          <w:fldChar w:fldCharType="begin"/>
        </w:r>
        <w:r w:rsidR="00564CE1">
          <w:rPr>
            <w:noProof/>
            <w:webHidden/>
          </w:rPr>
          <w:instrText xml:space="preserve"> PAGEREF _Toc97823947 \h </w:instrText>
        </w:r>
        <w:r w:rsidR="00564CE1">
          <w:rPr>
            <w:noProof/>
            <w:webHidden/>
          </w:rPr>
        </w:r>
        <w:r w:rsidR="00564CE1">
          <w:rPr>
            <w:noProof/>
            <w:webHidden/>
          </w:rPr>
          <w:fldChar w:fldCharType="separate"/>
        </w:r>
        <w:r w:rsidR="00EF29C3">
          <w:rPr>
            <w:noProof/>
            <w:webHidden/>
          </w:rPr>
          <w:t>8</w:t>
        </w:r>
        <w:r w:rsidR="00564CE1">
          <w:rPr>
            <w:noProof/>
            <w:webHidden/>
          </w:rPr>
          <w:fldChar w:fldCharType="end"/>
        </w:r>
      </w:hyperlink>
    </w:p>
    <w:p w14:paraId="35AF3216" w14:textId="5E950B8F" w:rsidR="00564CE1" w:rsidRDefault="00000000">
      <w:pPr>
        <w:pStyle w:val="TOC2"/>
        <w:rPr>
          <w:rFonts w:eastAsiaTheme="minorEastAsia" w:cstheme="minorBidi"/>
          <w:smallCaps w:val="0"/>
          <w:noProof/>
          <w:sz w:val="22"/>
          <w:szCs w:val="22"/>
          <w:lang w:eastAsia="en-GB" w:bidi="ar-SA"/>
        </w:rPr>
      </w:pPr>
      <w:hyperlink w:anchor="_Toc97823948" w:history="1">
        <w:r w:rsidR="00564CE1" w:rsidRPr="00772291">
          <w:rPr>
            <w:rStyle w:val="Hyperlink"/>
            <w:noProof/>
            <w:lang w:val="en-AU" w:eastAsia="en-GB"/>
          </w:rPr>
          <w:t>4.2</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Foodborne illness</w:t>
        </w:r>
        <w:r w:rsidR="00564CE1">
          <w:rPr>
            <w:noProof/>
            <w:webHidden/>
          </w:rPr>
          <w:tab/>
        </w:r>
        <w:r w:rsidR="00564CE1">
          <w:rPr>
            <w:noProof/>
            <w:webHidden/>
          </w:rPr>
          <w:fldChar w:fldCharType="begin"/>
        </w:r>
        <w:r w:rsidR="00564CE1">
          <w:rPr>
            <w:noProof/>
            <w:webHidden/>
          </w:rPr>
          <w:instrText xml:space="preserve"> PAGEREF _Toc97823948 \h </w:instrText>
        </w:r>
        <w:r w:rsidR="00564CE1">
          <w:rPr>
            <w:noProof/>
            <w:webHidden/>
          </w:rPr>
        </w:r>
        <w:r w:rsidR="00564CE1">
          <w:rPr>
            <w:noProof/>
            <w:webHidden/>
          </w:rPr>
          <w:fldChar w:fldCharType="separate"/>
        </w:r>
        <w:r w:rsidR="00EF29C3">
          <w:rPr>
            <w:noProof/>
            <w:webHidden/>
          </w:rPr>
          <w:t>9</w:t>
        </w:r>
        <w:r w:rsidR="00564CE1">
          <w:rPr>
            <w:noProof/>
            <w:webHidden/>
          </w:rPr>
          <w:fldChar w:fldCharType="end"/>
        </w:r>
      </w:hyperlink>
    </w:p>
    <w:p w14:paraId="1D21342F" w14:textId="114A22A8" w:rsidR="00564CE1" w:rsidRDefault="00000000">
      <w:pPr>
        <w:pStyle w:val="TOC2"/>
        <w:rPr>
          <w:rFonts w:eastAsiaTheme="minorEastAsia" w:cstheme="minorBidi"/>
          <w:smallCaps w:val="0"/>
          <w:noProof/>
          <w:sz w:val="22"/>
          <w:szCs w:val="22"/>
          <w:lang w:eastAsia="en-GB" w:bidi="ar-SA"/>
        </w:rPr>
      </w:pPr>
      <w:hyperlink w:anchor="_Toc97823949" w:history="1">
        <w:r w:rsidR="00564CE1" w:rsidRPr="00772291">
          <w:rPr>
            <w:rStyle w:val="Hyperlink"/>
            <w:noProof/>
            <w:lang w:val="en-AU" w:eastAsia="en-GB"/>
          </w:rPr>
          <w:t>4.3</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 recalls and national incidents</w:t>
        </w:r>
        <w:r w:rsidR="00564CE1">
          <w:rPr>
            <w:noProof/>
            <w:webHidden/>
          </w:rPr>
          <w:tab/>
        </w:r>
        <w:r w:rsidR="00564CE1">
          <w:rPr>
            <w:noProof/>
            <w:webHidden/>
          </w:rPr>
          <w:fldChar w:fldCharType="begin"/>
        </w:r>
        <w:r w:rsidR="00564CE1">
          <w:rPr>
            <w:noProof/>
            <w:webHidden/>
          </w:rPr>
          <w:instrText xml:space="preserve"> PAGEREF _Toc97823949 \h </w:instrText>
        </w:r>
        <w:r w:rsidR="00564CE1">
          <w:rPr>
            <w:noProof/>
            <w:webHidden/>
          </w:rPr>
        </w:r>
        <w:r w:rsidR="00564CE1">
          <w:rPr>
            <w:noProof/>
            <w:webHidden/>
          </w:rPr>
          <w:fldChar w:fldCharType="separate"/>
        </w:r>
        <w:r w:rsidR="00EF29C3">
          <w:rPr>
            <w:noProof/>
            <w:webHidden/>
          </w:rPr>
          <w:t>9</w:t>
        </w:r>
        <w:r w:rsidR="00564CE1">
          <w:rPr>
            <w:noProof/>
            <w:webHidden/>
          </w:rPr>
          <w:fldChar w:fldCharType="end"/>
        </w:r>
      </w:hyperlink>
    </w:p>
    <w:p w14:paraId="1DDBBFC6" w14:textId="45D2C37B" w:rsidR="00564CE1" w:rsidRDefault="00000000">
      <w:pPr>
        <w:pStyle w:val="TOC2"/>
        <w:rPr>
          <w:rFonts w:eastAsiaTheme="minorEastAsia" w:cstheme="minorBidi"/>
          <w:smallCaps w:val="0"/>
          <w:noProof/>
          <w:sz w:val="22"/>
          <w:szCs w:val="22"/>
          <w:lang w:eastAsia="en-GB" w:bidi="ar-SA"/>
        </w:rPr>
      </w:pPr>
      <w:hyperlink w:anchor="_Toc97823950" w:history="1">
        <w:r w:rsidR="00564CE1" w:rsidRPr="00772291">
          <w:rPr>
            <w:rStyle w:val="Hyperlink"/>
            <w:noProof/>
            <w:lang w:val="en-AU" w:eastAsia="en-GB"/>
          </w:rPr>
          <w:t>4.4</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Costs of illness</w:t>
        </w:r>
        <w:r w:rsidR="00564CE1">
          <w:rPr>
            <w:noProof/>
            <w:webHidden/>
          </w:rPr>
          <w:tab/>
        </w:r>
        <w:r w:rsidR="00564CE1">
          <w:rPr>
            <w:noProof/>
            <w:webHidden/>
          </w:rPr>
          <w:fldChar w:fldCharType="begin"/>
        </w:r>
        <w:r w:rsidR="00564CE1">
          <w:rPr>
            <w:noProof/>
            <w:webHidden/>
          </w:rPr>
          <w:instrText xml:space="preserve"> PAGEREF _Toc97823950 \h </w:instrText>
        </w:r>
        <w:r w:rsidR="00564CE1">
          <w:rPr>
            <w:noProof/>
            <w:webHidden/>
          </w:rPr>
        </w:r>
        <w:r w:rsidR="00564CE1">
          <w:rPr>
            <w:noProof/>
            <w:webHidden/>
          </w:rPr>
          <w:fldChar w:fldCharType="separate"/>
        </w:r>
        <w:r w:rsidR="00EF29C3">
          <w:rPr>
            <w:noProof/>
            <w:webHidden/>
          </w:rPr>
          <w:t>10</w:t>
        </w:r>
        <w:r w:rsidR="00564CE1">
          <w:rPr>
            <w:noProof/>
            <w:webHidden/>
          </w:rPr>
          <w:fldChar w:fldCharType="end"/>
        </w:r>
      </w:hyperlink>
    </w:p>
    <w:p w14:paraId="1258DA76" w14:textId="04DC5B21" w:rsidR="00564CE1" w:rsidRDefault="00000000">
      <w:pPr>
        <w:pStyle w:val="TOC2"/>
        <w:rPr>
          <w:rFonts w:eastAsiaTheme="minorEastAsia" w:cstheme="minorBidi"/>
          <w:smallCaps w:val="0"/>
          <w:noProof/>
          <w:sz w:val="22"/>
          <w:szCs w:val="22"/>
          <w:lang w:eastAsia="en-GB" w:bidi="ar-SA"/>
        </w:rPr>
      </w:pPr>
      <w:hyperlink w:anchor="_Toc97823951" w:history="1">
        <w:r w:rsidR="00564CE1" w:rsidRPr="00772291">
          <w:rPr>
            <w:rStyle w:val="Hyperlink"/>
            <w:noProof/>
            <w:lang w:val="en-AU" w:eastAsia="en-GB"/>
          </w:rPr>
          <w:t>4.5</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Costs to industry</w:t>
        </w:r>
        <w:r w:rsidR="00564CE1">
          <w:rPr>
            <w:noProof/>
            <w:webHidden/>
          </w:rPr>
          <w:tab/>
        </w:r>
        <w:r w:rsidR="00564CE1">
          <w:rPr>
            <w:noProof/>
            <w:webHidden/>
          </w:rPr>
          <w:fldChar w:fldCharType="begin"/>
        </w:r>
        <w:r w:rsidR="00564CE1">
          <w:rPr>
            <w:noProof/>
            <w:webHidden/>
          </w:rPr>
          <w:instrText xml:space="preserve"> PAGEREF _Toc97823951 \h </w:instrText>
        </w:r>
        <w:r w:rsidR="00564CE1">
          <w:rPr>
            <w:noProof/>
            <w:webHidden/>
          </w:rPr>
        </w:r>
        <w:r w:rsidR="00564CE1">
          <w:rPr>
            <w:noProof/>
            <w:webHidden/>
          </w:rPr>
          <w:fldChar w:fldCharType="separate"/>
        </w:r>
        <w:r w:rsidR="00EF29C3">
          <w:rPr>
            <w:noProof/>
            <w:webHidden/>
          </w:rPr>
          <w:t>11</w:t>
        </w:r>
        <w:r w:rsidR="00564CE1">
          <w:rPr>
            <w:noProof/>
            <w:webHidden/>
          </w:rPr>
          <w:fldChar w:fldCharType="end"/>
        </w:r>
      </w:hyperlink>
    </w:p>
    <w:p w14:paraId="75C197F0" w14:textId="7534FF85" w:rsidR="00564CE1" w:rsidRDefault="00000000">
      <w:pPr>
        <w:pStyle w:val="TOC2"/>
        <w:rPr>
          <w:rFonts w:eastAsiaTheme="minorEastAsia" w:cstheme="minorBidi"/>
          <w:smallCaps w:val="0"/>
          <w:noProof/>
          <w:sz w:val="22"/>
          <w:szCs w:val="22"/>
          <w:lang w:eastAsia="en-GB" w:bidi="ar-SA"/>
        </w:rPr>
      </w:pPr>
      <w:hyperlink w:anchor="_Toc97823952" w:history="1">
        <w:r w:rsidR="00564CE1" w:rsidRPr="00772291">
          <w:rPr>
            <w:rStyle w:val="Hyperlink"/>
            <w:noProof/>
            <w:lang w:val="en-AU" w:eastAsia="en-GB"/>
          </w:rPr>
          <w:t>4.6</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Microbiological hazards</w:t>
        </w:r>
        <w:r w:rsidR="00564CE1">
          <w:rPr>
            <w:noProof/>
            <w:webHidden/>
          </w:rPr>
          <w:tab/>
        </w:r>
        <w:r w:rsidR="00564CE1">
          <w:rPr>
            <w:noProof/>
            <w:webHidden/>
          </w:rPr>
          <w:fldChar w:fldCharType="begin"/>
        </w:r>
        <w:r w:rsidR="00564CE1">
          <w:rPr>
            <w:noProof/>
            <w:webHidden/>
          </w:rPr>
          <w:instrText xml:space="preserve"> PAGEREF _Toc97823952 \h </w:instrText>
        </w:r>
        <w:r w:rsidR="00564CE1">
          <w:rPr>
            <w:noProof/>
            <w:webHidden/>
          </w:rPr>
        </w:r>
        <w:r w:rsidR="00564CE1">
          <w:rPr>
            <w:noProof/>
            <w:webHidden/>
          </w:rPr>
          <w:fldChar w:fldCharType="separate"/>
        </w:r>
        <w:r w:rsidR="00EF29C3">
          <w:rPr>
            <w:noProof/>
            <w:webHidden/>
          </w:rPr>
          <w:t>11</w:t>
        </w:r>
        <w:r w:rsidR="00564CE1">
          <w:rPr>
            <w:noProof/>
            <w:webHidden/>
          </w:rPr>
          <w:fldChar w:fldCharType="end"/>
        </w:r>
      </w:hyperlink>
    </w:p>
    <w:p w14:paraId="1EEEBF6F" w14:textId="3E9E4BD8" w:rsidR="00564CE1" w:rsidRDefault="00000000">
      <w:pPr>
        <w:pStyle w:val="TOC2"/>
        <w:rPr>
          <w:rFonts w:eastAsiaTheme="minorEastAsia" w:cstheme="minorBidi"/>
          <w:smallCaps w:val="0"/>
          <w:noProof/>
          <w:sz w:val="22"/>
          <w:szCs w:val="22"/>
          <w:lang w:eastAsia="en-GB" w:bidi="ar-SA"/>
        </w:rPr>
      </w:pPr>
      <w:hyperlink w:anchor="_Toc97823953" w:history="1">
        <w:r w:rsidR="00564CE1" w:rsidRPr="00772291">
          <w:rPr>
            <w:rStyle w:val="Hyperlink"/>
            <w:noProof/>
            <w:lang w:val="en-AU" w:eastAsia="en-GB"/>
          </w:rPr>
          <w:t>4.7</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Production risk factors</w:t>
        </w:r>
        <w:r w:rsidR="00564CE1">
          <w:rPr>
            <w:noProof/>
            <w:webHidden/>
          </w:rPr>
          <w:tab/>
        </w:r>
        <w:r w:rsidR="00564CE1">
          <w:rPr>
            <w:noProof/>
            <w:webHidden/>
          </w:rPr>
          <w:fldChar w:fldCharType="begin"/>
        </w:r>
        <w:r w:rsidR="00564CE1">
          <w:rPr>
            <w:noProof/>
            <w:webHidden/>
          </w:rPr>
          <w:instrText xml:space="preserve"> PAGEREF _Toc97823953 \h </w:instrText>
        </w:r>
        <w:r w:rsidR="00564CE1">
          <w:rPr>
            <w:noProof/>
            <w:webHidden/>
          </w:rPr>
        </w:r>
        <w:r w:rsidR="00564CE1">
          <w:rPr>
            <w:noProof/>
            <w:webHidden/>
          </w:rPr>
          <w:fldChar w:fldCharType="separate"/>
        </w:r>
        <w:r w:rsidR="00EF29C3">
          <w:rPr>
            <w:noProof/>
            <w:webHidden/>
          </w:rPr>
          <w:t>11</w:t>
        </w:r>
        <w:r w:rsidR="00564CE1">
          <w:rPr>
            <w:noProof/>
            <w:webHidden/>
          </w:rPr>
          <w:fldChar w:fldCharType="end"/>
        </w:r>
      </w:hyperlink>
    </w:p>
    <w:p w14:paraId="4832D8DE" w14:textId="2BF9D4D5" w:rsidR="00564CE1" w:rsidRDefault="00000000">
      <w:pPr>
        <w:pStyle w:val="TOC2"/>
        <w:rPr>
          <w:rFonts w:eastAsiaTheme="minorEastAsia" w:cstheme="minorBidi"/>
          <w:smallCaps w:val="0"/>
          <w:noProof/>
          <w:sz w:val="22"/>
          <w:szCs w:val="22"/>
          <w:lang w:eastAsia="en-GB" w:bidi="ar-SA"/>
        </w:rPr>
      </w:pPr>
      <w:hyperlink w:anchor="_Toc97823954" w:history="1">
        <w:r w:rsidR="00564CE1" w:rsidRPr="00772291">
          <w:rPr>
            <w:rStyle w:val="Hyperlink"/>
            <w:noProof/>
            <w:lang w:val="en-AU" w:eastAsia="en-GB"/>
          </w:rPr>
          <w:t>4.8</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National regulatory requirements</w:t>
        </w:r>
        <w:r w:rsidR="00564CE1">
          <w:rPr>
            <w:noProof/>
            <w:webHidden/>
          </w:rPr>
          <w:tab/>
        </w:r>
        <w:r w:rsidR="00564CE1">
          <w:rPr>
            <w:noProof/>
            <w:webHidden/>
          </w:rPr>
          <w:fldChar w:fldCharType="begin"/>
        </w:r>
        <w:r w:rsidR="00564CE1">
          <w:rPr>
            <w:noProof/>
            <w:webHidden/>
          </w:rPr>
          <w:instrText xml:space="preserve"> PAGEREF _Toc97823954 \h </w:instrText>
        </w:r>
        <w:r w:rsidR="00564CE1">
          <w:rPr>
            <w:noProof/>
            <w:webHidden/>
          </w:rPr>
        </w:r>
        <w:r w:rsidR="00564CE1">
          <w:rPr>
            <w:noProof/>
            <w:webHidden/>
          </w:rPr>
          <w:fldChar w:fldCharType="separate"/>
        </w:r>
        <w:r w:rsidR="00EF29C3">
          <w:rPr>
            <w:noProof/>
            <w:webHidden/>
          </w:rPr>
          <w:t>12</w:t>
        </w:r>
        <w:r w:rsidR="00564CE1">
          <w:rPr>
            <w:noProof/>
            <w:webHidden/>
          </w:rPr>
          <w:fldChar w:fldCharType="end"/>
        </w:r>
      </w:hyperlink>
    </w:p>
    <w:p w14:paraId="61B6AACB" w14:textId="4153FCC5" w:rsidR="00564CE1" w:rsidRDefault="00000000">
      <w:pPr>
        <w:pStyle w:val="TOC2"/>
        <w:rPr>
          <w:rFonts w:eastAsiaTheme="minorEastAsia" w:cstheme="minorBidi"/>
          <w:smallCaps w:val="0"/>
          <w:noProof/>
          <w:sz w:val="22"/>
          <w:szCs w:val="22"/>
          <w:lang w:eastAsia="en-GB" w:bidi="ar-SA"/>
        </w:rPr>
      </w:pPr>
      <w:hyperlink w:anchor="_Toc97823955" w:history="1">
        <w:r w:rsidR="00564CE1" w:rsidRPr="00772291">
          <w:rPr>
            <w:rStyle w:val="Hyperlink"/>
            <w:noProof/>
            <w:lang w:val="en-AU" w:eastAsia="en-GB"/>
          </w:rPr>
          <w:t>4.9</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 safety schemes</w:t>
        </w:r>
        <w:r w:rsidR="00564CE1">
          <w:rPr>
            <w:noProof/>
            <w:webHidden/>
          </w:rPr>
          <w:tab/>
        </w:r>
        <w:r w:rsidR="00564CE1">
          <w:rPr>
            <w:noProof/>
            <w:webHidden/>
          </w:rPr>
          <w:fldChar w:fldCharType="begin"/>
        </w:r>
        <w:r w:rsidR="00564CE1">
          <w:rPr>
            <w:noProof/>
            <w:webHidden/>
          </w:rPr>
          <w:instrText xml:space="preserve"> PAGEREF _Toc97823955 \h </w:instrText>
        </w:r>
        <w:r w:rsidR="00564CE1">
          <w:rPr>
            <w:noProof/>
            <w:webHidden/>
          </w:rPr>
        </w:r>
        <w:r w:rsidR="00564CE1">
          <w:rPr>
            <w:noProof/>
            <w:webHidden/>
          </w:rPr>
          <w:fldChar w:fldCharType="separate"/>
        </w:r>
        <w:r w:rsidR="00EF29C3">
          <w:rPr>
            <w:noProof/>
            <w:webHidden/>
          </w:rPr>
          <w:t>13</w:t>
        </w:r>
        <w:r w:rsidR="00564CE1">
          <w:rPr>
            <w:noProof/>
            <w:webHidden/>
          </w:rPr>
          <w:fldChar w:fldCharType="end"/>
        </w:r>
      </w:hyperlink>
    </w:p>
    <w:p w14:paraId="37C30809" w14:textId="13BD24C6" w:rsidR="00564CE1" w:rsidRDefault="00000000">
      <w:pPr>
        <w:pStyle w:val="TOC2"/>
        <w:rPr>
          <w:rFonts w:eastAsiaTheme="minorEastAsia" w:cstheme="minorBidi"/>
          <w:smallCaps w:val="0"/>
          <w:noProof/>
          <w:sz w:val="22"/>
          <w:szCs w:val="22"/>
          <w:lang w:eastAsia="en-GB" w:bidi="ar-SA"/>
        </w:rPr>
      </w:pPr>
      <w:hyperlink w:anchor="_Toc97823956" w:history="1">
        <w:r w:rsidR="00564CE1" w:rsidRPr="00772291">
          <w:rPr>
            <w:rStyle w:val="Hyperlink"/>
            <w:noProof/>
            <w:lang w:val="en-AU" w:eastAsia="en-GB"/>
          </w:rPr>
          <w:t>4.10</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 xml:space="preserve"> Traceability weakness</w:t>
        </w:r>
        <w:r w:rsidR="00564CE1">
          <w:rPr>
            <w:noProof/>
            <w:webHidden/>
          </w:rPr>
          <w:tab/>
        </w:r>
        <w:r w:rsidR="00564CE1">
          <w:rPr>
            <w:noProof/>
            <w:webHidden/>
          </w:rPr>
          <w:fldChar w:fldCharType="begin"/>
        </w:r>
        <w:r w:rsidR="00564CE1">
          <w:rPr>
            <w:noProof/>
            <w:webHidden/>
          </w:rPr>
          <w:instrText xml:space="preserve"> PAGEREF _Toc97823956 \h </w:instrText>
        </w:r>
        <w:r w:rsidR="00564CE1">
          <w:rPr>
            <w:noProof/>
            <w:webHidden/>
          </w:rPr>
        </w:r>
        <w:r w:rsidR="00564CE1">
          <w:rPr>
            <w:noProof/>
            <w:webHidden/>
          </w:rPr>
          <w:fldChar w:fldCharType="separate"/>
        </w:r>
        <w:r w:rsidR="00EF29C3">
          <w:rPr>
            <w:noProof/>
            <w:webHidden/>
          </w:rPr>
          <w:t>13</w:t>
        </w:r>
        <w:r w:rsidR="00564CE1">
          <w:rPr>
            <w:noProof/>
            <w:webHidden/>
          </w:rPr>
          <w:fldChar w:fldCharType="end"/>
        </w:r>
      </w:hyperlink>
    </w:p>
    <w:p w14:paraId="50181663" w14:textId="46172744"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57" w:history="1">
        <w:r w:rsidR="00564CE1" w:rsidRPr="00772291">
          <w:rPr>
            <w:rStyle w:val="Hyperlink"/>
            <w:rFonts w:eastAsiaTheme="majorEastAsia"/>
            <w:noProof/>
            <w:lang w:val="en-AU" w:eastAsia="en-GB"/>
          </w:rPr>
          <w:t>5.</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lang w:val="en-AU" w:eastAsia="en-GB"/>
          </w:rPr>
          <w:t>Why is government action needed?</w:t>
        </w:r>
        <w:r w:rsidR="00564CE1">
          <w:rPr>
            <w:noProof/>
            <w:webHidden/>
          </w:rPr>
          <w:tab/>
        </w:r>
        <w:r w:rsidR="00564CE1">
          <w:rPr>
            <w:noProof/>
            <w:webHidden/>
          </w:rPr>
          <w:fldChar w:fldCharType="begin"/>
        </w:r>
        <w:r w:rsidR="00564CE1">
          <w:rPr>
            <w:noProof/>
            <w:webHidden/>
          </w:rPr>
          <w:instrText xml:space="preserve"> PAGEREF _Toc97823957 \h </w:instrText>
        </w:r>
        <w:r w:rsidR="00564CE1">
          <w:rPr>
            <w:noProof/>
            <w:webHidden/>
          </w:rPr>
        </w:r>
        <w:r w:rsidR="00564CE1">
          <w:rPr>
            <w:noProof/>
            <w:webHidden/>
          </w:rPr>
          <w:fldChar w:fldCharType="separate"/>
        </w:r>
        <w:r w:rsidR="00EF29C3">
          <w:rPr>
            <w:noProof/>
            <w:webHidden/>
          </w:rPr>
          <w:t>14</w:t>
        </w:r>
        <w:r w:rsidR="00564CE1">
          <w:rPr>
            <w:noProof/>
            <w:webHidden/>
          </w:rPr>
          <w:fldChar w:fldCharType="end"/>
        </w:r>
      </w:hyperlink>
    </w:p>
    <w:p w14:paraId="471FBAFE" w14:textId="197BAA13" w:rsidR="00564CE1" w:rsidRDefault="00000000">
      <w:pPr>
        <w:pStyle w:val="TOC2"/>
        <w:rPr>
          <w:rFonts w:eastAsiaTheme="minorEastAsia" w:cstheme="minorBidi"/>
          <w:smallCaps w:val="0"/>
          <w:noProof/>
          <w:sz w:val="22"/>
          <w:szCs w:val="22"/>
          <w:lang w:eastAsia="en-GB" w:bidi="ar-SA"/>
        </w:rPr>
      </w:pPr>
      <w:hyperlink w:anchor="_Toc97823958" w:history="1">
        <w:r w:rsidR="00564CE1" w:rsidRPr="00772291">
          <w:rPr>
            <w:rStyle w:val="Hyperlink"/>
            <w:noProof/>
          </w:rPr>
          <w:t>5.1</w:t>
        </w:r>
        <w:r w:rsidR="00564CE1">
          <w:rPr>
            <w:rFonts w:eastAsiaTheme="minorEastAsia" w:cstheme="minorBidi"/>
            <w:smallCaps w:val="0"/>
            <w:noProof/>
            <w:sz w:val="22"/>
            <w:szCs w:val="22"/>
            <w:lang w:eastAsia="en-GB" w:bidi="ar-SA"/>
          </w:rPr>
          <w:tab/>
        </w:r>
        <w:r w:rsidR="00564CE1" w:rsidRPr="00772291">
          <w:rPr>
            <w:rStyle w:val="Hyperlink"/>
            <w:noProof/>
          </w:rPr>
          <w:t>Overview</w:t>
        </w:r>
        <w:r w:rsidR="00564CE1">
          <w:rPr>
            <w:noProof/>
            <w:webHidden/>
          </w:rPr>
          <w:tab/>
        </w:r>
        <w:r w:rsidR="00564CE1">
          <w:rPr>
            <w:noProof/>
            <w:webHidden/>
          </w:rPr>
          <w:fldChar w:fldCharType="begin"/>
        </w:r>
        <w:r w:rsidR="00564CE1">
          <w:rPr>
            <w:noProof/>
            <w:webHidden/>
          </w:rPr>
          <w:instrText xml:space="preserve"> PAGEREF _Toc97823958 \h </w:instrText>
        </w:r>
        <w:r w:rsidR="00564CE1">
          <w:rPr>
            <w:noProof/>
            <w:webHidden/>
          </w:rPr>
        </w:r>
        <w:r w:rsidR="00564CE1">
          <w:rPr>
            <w:noProof/>
            <w:webHidden/>
          </w:rPr>
          <w:fldChar w:fldCharType="separate"/>
        </w:r>
        <w:r w:rsidR="00EF29C3">
          <w:rPr>
            <w:noProof/>
            <w:webHidden/>
          </w:rPr>
          <w:t>14</w:t>
        </w:r>
        <w:r w:rsidR="00564CE1">
          <w:rPr>
            <w:noProof/>
            <w:webHidden/>
          </w:rPr>
          <w:fldChar w:fldCharType="end"/>
        </w:r>
      </w:hyperlink>
    </w:p>
    <w:p w14:paraId="275572C0" w14:textId="62186870" w:rsidR="00564CE1" w:rsidRDefault="00000000">
      <w:pPr>
        <w:pStyle w:val="TOC2"/>
        <w:rPr>
          <w:rFonts w:eastAsiaTheme="minorEastAsia" w:cstheme="minorBidi"/>
          <w:smallCaps w:val="0"/>
          <w:noProof/>
          <w:sz w:val="22"/>
          <w:szCs w:val="22"/>
          <w:lang w:eastAsia="en-GB" w:bidi="ar-SA"/>
        </w:rPr>
      </w:pPr>
      <w:hyperlink w:anchor="_Toc97823959" w:history="1">
        <w:r w:rsidR="00564CE1" w:rsidRPr="00772291">
          <w:rPr>
            <w:rStyle w:val="Hyperlink"/>
            <w:noProof/>
          </w:rPr>
          <w:t>5.2</w:t>
        </w:r>
        <w:r w:rsidR="00564CE1">
          <w:rPr>
            <w:rFonts w:eastAsiaTheme="minorEastAsia" w:cstheme="minorBidi"/>
            <w:smallCaps w:val="0"/>
            <w:noProof/>
            <w:sz w:val="22"/>
            <w:szCs w:val="22"/>
            <w:lang w:eastAsia="en-GB" w:bidi="ar-SA"/>
          </w:rPr>
          <w:tab/>
        </w:r>
        <w:r w:rsidR="00564CE1" w:rsidRPr="00772291">
          <w:rPr>
            <w:rStyle w:val="Hyperlink"/>
            <w:noProof/>
          </w:rPr>
          <w:t>Consumers</w:t>
        </w:r>
        <w:r w:rsidR="00564CE1">
          <w:rPr>
            <w:noProof/>
            <w:webHidden/>
          </w:rPr>
          <w:tab/>
        </w:r>
        <w:r w:rsidR="00564CE1">
          <w:rPr>
            <w:noProof/>
            <w:webHidden/>
          </w:rPr>
          <w:fldChar w:fldCharType="begin"/>
        </w:r>
        <w:r w:rsidR="00564CE1">
          <w:rPr>
            <w:noProof/>
            <w:webHidden/>
          </w:rPr>
          <w:instrText xml:space="preserve"> PAGEREF _Toc97823959 \h </w:instrText>
        </w:r>
        <w:r w:rsidR="00564CE1">
          <w:rPr>
            <w:noProof/>
            <w:webHidden/>
          </w:rPr>
        </w:r>
        <w:r w:rsidR="00564CE1">
          <w:rPr>
            <w:noProof/>
            <w:webHidden/>
          </w:rPr>
          <w:fldChar w:fldCharType="separate"/>
        </w:r>
        <w:r w:rsidR="00EF29C3">
          <w:rPr>
            <w:noProof/>
            <w:webHidden/>
          </w:rPr>
          <w:t>14</w:t>
        </w:r>
        <w:r w:rsidR="00564CE1">
          <w:rPr>
            <w:noProof/>
            <w:webHidden/>
          </w:rPr>
          <w:fldChar w:fldCharType="end"/>
        </w:r>
      </w:hyperlink>
    </w:p>
    <w:p w14:paraId="141FE660" w14:textId="7EF656C9" w:rsidR="00564CE1" w:rsidRDefault="00000000">
      <w:pPr>
        <w:pStyle w:val="TOC2"/>
        <w:rPr>
          <w:rFonts w:eastAsiaTheme="minorEastAsia" w:cstheme="minorBidi"/>
          <w:smallCaps w:val="0"/>
          <w:noProof/>
          <w:sz w:val="22"/>
          <w:szCs w:val="22"/>
          <w:lang w:eastAsia="en-GB" w:bidi="ar-SA"/>
        </w:rPr>
      </w:pPr>
      <w:hyperlink w:anchor="_Toc97823960" w:history="1">
        <w:r w:rsidR="00564CE1" w:rsidRPr="00772291">
          <w:rPr>
            <w:rStyle w:val="Hyperlink"/>
            <w:noProof/>
            <w:lang w:eastAsia="en-AU"/>
          </w:rPr>
          <w:t>5.3</w:t>
        </w:r>
        <w:r w:rsidR="00564CE1">
          <w:rPr>
            <w:rFonts w:eastAsiaTheme="minorEastAsia" w:cstheme="minorBidi"/>
            <w:smallCaps w:val="0"/>
            <w:noProof/>
            <w:sz w:val="22"/>
            <w:szCs w:val="22"/>
            <w:lang w:eastAsia="en-GB" w:bidi="ar-SA"/>
          </w:rPr>
          <w:tab/>
        </w:r>
        <w:r w:rsidR="00564CE1" w:rsidRPr="00772291">
          <w:rPr>
            <w:rStyle w:val="Hyperlink"/>
            <w:noProof/>
            <w:lang w:eastAsia="en-AU"/>
          </w:rPr>
          <w:t>Businesses</w:t>
        </w:r>
        <w:r w:rsidR="00564CE1">
          <w:rPr>
            <w:noProof/>
            <w:webHidden/>
          </w:rPr>
          <w:tab/>
        </w:r>
        <w:r w:rsidR="00564CE1">
          <w:rPr>
            <w:noProof/>
            <w:webHidden/>
          </w:rPr>
          <w:fldChar w:fldCharType="begin"/>
        </w:r>
        <w:r w:rsidR="00564CE1">
          <w:rPr>
            <w:noProof/>
            <w:webHidden/>
          </w:rPr>
          <w:instrText xml:space="preserve"> PAGEREF _Toc97823960 \h </w:instrText>
        </w:r>
        <w:r w:rsidR="00564CE1">
          <w:rPr>
            <w:noProof/>
            <w:webHidden/>
          </w:rPr>
        </w:r>
        <w:r w:rsidR="00564CE1">
          <w:rPr>
            <w:noProof/>
            <w:webHidden/>
          </w:rPr>
          <w:fldChar w:fldCharType="separate"/>
        </w:r>
        <w:r w:rsidR="00EF29C3">
          <w:rPr>
            <w:noProof/>
            <w:webHidden/>
          </w:rPr>
          <w:t>14</w:t>
        </w:r>
        <w:r w:rsidR="00564CE1">
          <w:rPr>
            <w:noProof/>
            <w:webHidden/>
          </w:rPr>
          <w:fldChar w:fldCharType="end"/>
        </w:r>
      </w:hyperlink>
    </w:p>
    <w:p w14:paraId="26D5B450" w14:textId="17EABDE7" w:rsidR="00564CE1" w:rsidRDefault="00000000">
      <w:pPr>
        <w:pStyle w:val="TOC2"/>
        <w:rPr>
          <w:rFonts w:eastAsiaTheme="minorEastAsia" w:cstheme="minorBidi"/>
          <w:smallCaps w:val="0"/>
          <w:noProof/>
          <w:sz w:val="22"/>
          <w:szCs w:val="22"/>
          <w:lang w:eastAsia="en-GB" w:bidi="ar-SA"/>
        </w:rPr>
      </w:pPr>
      <w:hyperlink w:anchor="_Toc97823961" w:history="1">
        <w:r w:rsidR="00564CE1" w:rsidRPr="00772291">
          <w:rPr>
            <w:rStyle w:val="Hyperlink"/>
            <w:noProof/>
          </w:rPr>
          <w:t>5.4</w:t>
        </w:r>
        <w:r w:rsidR="00564CE1">
          <w:rPr>
            <w:rFonts w:eastAsiaTheme="minorEastAsia" w:cstheme="minorBidi"/>
            <w:smallCaps w:val="0"/>
            <w:noProof/>
            <w:sz w:val="22"/>
            <w:szCs w:val="22"/>
            <w:lang w:eastAsia="en-GB" w:bidi="ar-SA"/>
          </w:rPr>
          <w:tab/>
        </w:r>
        <w:r w:rsidR="00564CE1" w:rsidRPr="00772291">
          <w:rPr>
            <w:rStyle w:val="Hyperlink"/>
            <w:noProof/>
          </w:rPr>
          <w:t>National regulation</w:t>
        </w:r>
        <w:r w:rsidR="00564CE1">
          <w:rPr>
            <w:noProof/>
            <w:webHidden/>
          </w:rPr>
          <w:tab/>
        </w:r>
        <w:r w:rsidR="00564CE1">
          <w:rPr>
            <w:noProof/>
            <w:webHidden/>
          </w:rPr>
          <w:fldChar w:fldCharType="begin"/>
        </w:r>
        <w:r w:rsidR="00564CE1">
          <w:rPr>
            <w:noProof/>
            <w:webHidden/>
          </w:rPr>
          <w:instrText xml:space="preserve"> PAGEREF _Toc97823961 \h </w:instrText>
        </w:r>
        <w:r w:rsidR="00564CE1">
          <w:rPr>
            <w:noProof/>
            <w:webHidden/>
          </w:rPr>
        </w:r>
        <w:r w:rsidR="00564CE1">
          <w:rPr>
            <w:noProof/>
            <w:webHidden/>
          </w:rPr>
          <w:fldChar w:fldCharType="separate"/>
        </w:r>
        <w:r w:rsidR="00EF29C3">
          <w:rPr>
            <w:noProof/>
            <w:webHidden/>
          </w:rPr>
          <w:t>15</w:t>
        </w:r>
        <w:r w:rsidR="00564CE1">
          <w:rPr>
            <w:noProof/>
            <w:webHidden/>
          </w:rPr>
          <w:fldChar w:fldCharType="end"/>
        </w:r>
      </w:hyperlink>
    </w:p>
    <w:p w14:paraId="6F7326D1" w14:textId="193DE576" w:rsidR="00564CE1" w:rsidRDefault="00000000">
      <w:pPr>
        <w:pStyle w:val="TOC2"/>
        <w:rPr>
          <w:rFonts w:eastAsiaTheme="minorEastAsia" w:cstheme="minorBidi"/>
          <w:smallCaps w:val="0"/>
          <w:noProof/>
          <w:sz w:val="22"/>
          <w:szCs w:val="22"/>
          <w:lang w:eastAsia="en-GB" w:bidi="ar-SA"/>
        </w:rPr>
      </w:pPr>
      <w:hyperlink w:anchor="_Toc97823962" w:history="1">
        <w:r w:rsidR="00564CE1" w:rsidRPr="00772291">
          <w:rPr>
            <w:rStyle w:val="Hyperlink"/>
            <w:noProof/>
          </w:rPr>
          <w:t>5.5</w:t>
        </w:r>
        <w:r w:rsidR="00564CE1">
          <w:rPr>
            <w:rFonts w:eastAsiaTheme="minorEastAsia" w:cstheme="minorBidi"/>
            <w:smallCaps w:val="0"/>
            <w:noProof/>
            <w:sz w:val="22"/>
            <w:szCs w:val="22"/>
            <w:lang w:eastAsia="en-GB" w:bidi="ar-SA"/>
          </w:rPr>
          <w:tab/>
        </w:r>
        <w:r w:rsidR="00564CE1" w:rsidRPr="00772291">
          <w:rPr>
            <w:rStyle w:val="Hyperlink"/>
            <w:noProof/>
          </w:rPr>
          <w:t>Exports</w:t>
        </w:r>
        <w:r w:rsidR="00564CE1">
          <w:rPr>
            <w:noProof/>
            <w:webHidden/>
          </w:rPr>
          <w:tab/>
        </w:r>
        <w:r w:rsidR="00564CE1">
          <w:rPr>
            <w:noProof/>
            <w:webHidden/>
          </w:rPr>
          <w:fldChar w:fldCharType="begin"/>
        </w:r>
        <w:r w:rsidR="00564CE1">
          <w:rPr>
            <w:noProof/>
            <w:webHidden/>
          </w:rPr>
          <w:instrText xml:space="preserve"> PAGEREF _Toc97823962 \h </w:instrText>
        </w:r>
        <w:r w:rsidR="00564CE1">
          <w:rPr>
            <w:noProof/>
            <w:webHidden/>
          </w:rPr>
        </w:r>
        <w:r w:rsidR="00564CE1">
          <w:rPr>
            <w:noProof/>
            <w:webHidden/>
          </w:rPr>
          <w:fldChar w:fldCharType="separate"/>
        </w:r>
        <w:r w:rsidR="00EF29C3">
          <w:rPr>
            <w:noProof/>
            <w:webHidden/>
          </w:rPr>
          <w:t>15</w:t>
        </w:r>
        <w:r w:rsidR="00564CE1">
          <w:rPr>
            <w:noProof/>
            <w:webHidden/>
          </w:rPr>
          <w:fldChar w:fldCharType="end"/>
        </w:r>
      </w:hyperlink>
    </w:p>
    <w:p w14:paraId="2FA52440" w14:textId="57B538FE" w:rsidR="00564CE1" w:rsidRDefault="00000000">
      <w:pPr>
        <w:pStyle w:val="TOC2"/>
        <w:rPr>
          <w:rFonts w:eastAsiaTheme="minorEastAsia" w:cstheme="minorBidi"/>
          <w:smallCaps w:val="0"/>
          <w:noProof/>
          <w:sz w:val="22"/>
          <w:szCs w:val="22"/>
          <w:lang w:eastAsia="en-GB" w:bidi="ar-SA"/>
        </w:rPr>
      </w:pPr>
      <w:hyperlink w:anchor="_Toc97823963" w:history="1">
        <w:r w:rsidR="00564CE1" w:rsidRPr="00772291">
          <w:rPr>
            <w:rStyle w:val="Hyperlink"/>
            <w:noProof/>
          </w:rPr>
          <w:t>5.6</w:t>
        </w:r>
        <w:r w:rsidR="00564CE1">
          <w:rPr>
            <w:rFonts w:eastAsiaTheme="minorEastAsia" w:cstheme="minorBidi"/>
            <w:smallCaps w:val="0"/>
            <w:noProof/>
            <w:sz w:val="22"/>
            <w:szCs w:val="22"/>
            <w:lang w:eastAsia="en-GB" w:bidi="ar-SA"/>
          </w:rPr>
          <w:tab/>
        </w:r>
        <w:r w:rsidR="00564CE1" w:rsidRPr="00772291">
          <w:rPr>
            <w:rStyle w:val="Hyperlink"/>
            <w:noProof/>
          </w:rPr>
          <w:t>Traceability</w:t>
        </w:r>
        <w:r w:rsidR="00564CE1">
          <w:rPr>
            <w:noProof/>
            <w:webHidden/>
          </w:rPr>
          <w:tab/>
        </w:r>
        <w:r w:rsidR="00564CE1">
          <w:rPr>
            <w:noProof/>
            <w:webHidden/>
          </w:rPr>
          <w:fldChar w:fldCharType="begin"/>
        </w:r>
        <w:r w:rsidR="00564CE1">
          <w:rPr>
            <w:noProof/>
            <w:webHidden/>
          </w:rPr>
          <w:instrText xml:space="preserve"> PAGEREF _Toc97823963 \h </w:instrText>
        </w:r>
        <w:r w:rsidR="00564CE1">
          <w:rPr>
            <w:noProof/>
            <w:webHidden/>
          </w:rPr>
        </w:r>
        <w:r w:rsidR="00564CE1">
          <w:rPr>
            <w:noProof/>
            <w:webHidden/>
          </w:rPr>
          <w:fldChar w:fldCharType="separate"/>
        </w:r>
        <w:r w:rsidR="00EF29C3">
          <w:rPr>
            <w:noProof/>
            <w:webHidden/>
          </w:rPr>
          <w:t>15</w:t>
        </w:r>
        <w:r w:rsidR="00564CE1">
          <w:rPr>
            <w:noProof/>
            <w:webHidden/>
          </w:rPr>
          <w:fldChar w:fldCharType="end"/>
        </w:r>
      </w:hyperlink>
    </w:p>
    <w:p w14:paraId="6D6C7CB2" w14:textId="7AE1A4B9"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64" w:history="1">
        <w:r w:rsidR="00564CE1" w:rsidRPr="00772291">
          <w:rPr>
            <w:rStyle w:val="Hyperlink"/>
            <w:rFonts w:ascii="Arial Bold" w:eastAsiaTheme="majorEastAsia" w:hAnsi="Arial Bold" w:cstheme="majorBidi"/>
            <w:noProof/>
            <w:lang w:val="en-AU" w:eastAsia="en-GB"/>
          </w:rPr>
          <w:t>6.</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policy options are to be considered?</w:t>
        </w:r>
        <w:r w:rsidR="00564CE1">
          <w:rPr>
            <w:noProof/>
            <w:webHidden/>
          </w:rPr>
          <w:tab/>
        </w:r>
        <w:r w:rsidR="00564CE1">
          <w:rPr>
            <w:noProof/>
            <w:webHidden/>
          </w:rPr>
          <w:fldChar w:fldCharType="begin"/>
        </w:r>
        <w:r w:rsidR="00564CE1">
          <w:rPr>
            <w:noProof/>
            <w:webHidden/>
          </w:rPr>
          <w:instrText xml:space="preserve"> PAGEREF _Toc97823964 \h </w:instrText>
        </w:r>
        <w:r w:rsidR="00564CE1">
          <w:rPr>
            <w:noProof/>
            <w:webHidden/>
          </w:rPr>
        </w:r>
        <w:r w:rsidR="00564CE1">
          <w:rPr>
            <w:noProof/>
            <w:webHidden/>
          </w:rPr>
          <w:fldChar w:fldCharType="separate"/>
        </w:r>
        <w:r w:rsidR="00EF29C3">
          <w:rPr>
            <w:noProof/>
            <w:webHidden/>
          </w:rPr>
          <w:t>16</w:t>
        </w:r>
        <w:r w:rsidR="00564CE1">
          <w:rPr>
            <w:noProof/>
            <w:webHidden/>
          </w:rPr>
          <w:fldChar w:fldCharType="end"/>
        </w:r>
      </w:hyperlink>
    </w:p>
    <w:p w14:paraId="75F8A382" w14:textId="6E42ED6E" w:rsidR="00564CE1" w:rsidRDefault="00000000">
      <w:pPr>
        <w:pStyle w:val="TOC2"/>
        <w:rPr>
          <w:rFonts w:eastAsiaTheme="minorEastAsia" w:cstheme="minorBidi"/>
          <w:smallCaps w:val="0"/>
          <w:noProof/>
          <w:sz w:val="22"/>
          <w:szCs w:val="22"/>
          <w:lang w:eastAsia="en-GB" w:bidi="ar-SA"/>
        </w:rPr>
      </w:pPr>
      <w:hyperlink w:anchor="_Toc97823965" w:history="1">
        <w:r w:rsidR="00564CE1" w:rsidRPr="00772291">
          <w:rPr>
            <w:rStyle w:val="Hyperlink"/>
            <w:noProof/>
          </w:rPr>
          <w:t>6.1</w:t>
        </w:r>
        <w:r w:rsidR="00564CE1">
          <w:rPr>
            <w:rFonts w:eastAsiaTheme="minorEastAsia" w:cstheme="minorBidi"/>
            <w:smallCaps w:val="0"/>
            <w:noProof/>
            <w:sz w:val="22"/>
            <w:szCs w:val="22"/>
            <w:lang w:eastAsia="en-GB" w:bidi="ar-SA"/>
          </w:rPr>
          <w:tab/>
        </w:r>
        <w:r w:rsidR="00564CE1" w:rsidRPr="00772291">
          <w:rPr>
            <w:rStyle w:val="Hyperlink"/>
            <w:noProof/>
          </w:rPr>
          <w:t>Overview</w:t>
        </w:r>
        <w:r w:rsidR="00564CE1">
          <w:rPr>
            <w:noProof/>
            <w:webHidden/>
          </w:rPr>
          <w:tab/>
        </w:r>
        <w:r w:rsidR="00564CE1">
          <w:rPr>
            <w:noProof/>
            <w:webHidden/>
          </w:rPr>
          <w:fldChar w:fldCharType="begin"/>
        </w:r>
        <w:r w:rsidR="00564CE1">
          <w:rPr>
            <w:noProof/>
            <w:webHidden/>
          </w:rPr>
          <w:instrText xml:space="preserve"> PAGEREF _Toc97823965 \h </w:instrText>
        </w:r>
        <w:r w:rsidR="00564CE1">
          <w:rPr>
            <w:noProof/>
            <w:webHidden/>
          </w:rPr>
        </w:r>
        <w:r w:rsidR="00564CE1">
          <w:rPr>
            <w:noProof/>
            <w:webHidden/>
          </w:rPr>
          <w:fldChar w:fldCharType="separate"/>
        </w:r>
        <w:r w:rsidR="00EF29C3">
          <w:rPr>
            <w:noProof/>
            <w:webHidden/>
          </w:rPr>
          <w:t>16</w:t>
        </w:r>
        <w:r w:rsidR="00564CE1">
          <w:rPr>
            <w:noProof/>
            <w:webHidden/>
          </w:rPr>
          <w:fldChar w:fldCharType="end"/>
        </w:r>
      </w:hyperlink>
    </w:p>
    <w:p w14:paraId="5EA5B354" w14:textId="1F01D41F" w:rsidR="00564CE1" w:rsidRDefault="00000000">
      <w:pPr>
        <w:pStyle w:val="TOC2"/>
        <w:rPr>
          <w:rFonts w:eastAsiaTheme="minorEastAsia" w:cstheme="minorBidi"/>
          <w:smallCaps w:val="0"/>
          <w:noProof/>
          <w:sz w:val="22"/>
          <w:szCs w:val="22"/>
          <w:lang w:eastAsia="en-GB" w:bidi="ar-SA"/>
        </w:rPr>
      </w:pPr>
      <w:hyperlink w:anchor="_Toc97823966" w:history="1">
        <w:r w:rsidR="00564CE1" w:rsidRPr="00772291">
          <w:rPr>
            <w:rStyle w:val="Hyperlink"/>
            <w:noProof/>
          </w:rPr>
          <w:t>6.2</w:t>
        </w:r>
        <w:r w:rsidR="00564CE1">
          <w:rPr>
            <w:rFonts w:eastAsiaTheme="minorEastAsia" w:cstheme="minorBidi"/>
            <w:smallCaps w:val="0"/>
            <w:noProof/>
            <w:sz w:val="22"/>
            <w:szCs w:val="22"/>
            <w:lang w:eastAsia="en-GB" w:bidi="ar-SA"/>
          </w:rPr>
          <w:tab/>
        </w:r>
        <w:r w:rsidR="00564CE1" w:rsidRPr="00772291">
          <w:rPr>
            <w:rStyle w:val="Hyperlink"/>
            <w:noProof/>
          </w:rPr>
          <w:t>Option 1: Retain the status quo</w:t>
        </w:r>
        <w:r w:rsidR="00564CE1">
          <w:rPr>
            <w:noProof/>
            <w:webHidden/>
          </w:rPr>
          <w:tab/>
        </w:r>
        <w:r w:rsidR="00564CE1">
          <w:rPr>
            <w:noProof/>
            <w:webHidden/>
          </w:rPr>
          <w:fldChar w:fldCharType="begin"/>
        </w:r>
        <w:r w:rsidR="00564CE1">
          <w:rPr>
            <w:noProof/>
            <w:webHidden/>
          </w:rPr>
          <w:instrText xml:space="preserve"> PAGEREF _Toc97823966 \h </w:instrText>
        </w:r>
        <w:r w:rsidR="00564CE1">
          <w:rPr>
            <w:noProof/>
            <w:webHidden/>
          </w:rPr>
        </w:r>
        <w:r w:rsidR="00564CE1">
          <w:rPr>
            <w:noProof/>
            <w:webHidden/>
          </w:rPr>
          <w:fldChar w:fldCharType="separate"/>
        </w:r>
        <w:r w:rsidR="00EF29C3">
          <w:rPr>
            <w:noProof/>
            <w:webHidden/>
          </w:rPr>
          <w:t>16</w:t>
        </w:r>
        <w:r w:rsidR="00564CE1">
          <w:rPr>
            <w:noProof/>
            <w:webHidden/>
          </w:rPr>
          <w:fldChar w:fldCharType="end"/>
        </w:r>
      </w:hyperlink>
    </w:p>
    <w:p w14:paraId="15DD7629" w14:textId="6176B076"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67" w:history="1">
        <w:r w:rsidR="00564CE1" w:rsidRPr="00772291">
          <w:rPr>
            <w:rStyle w:val="Hyperlink"/>
            <w:noProof/>
          </w:rPr>
          <w:t>Current non-regulatory measures</w:t>
        </w:r>
        <w:r w:rsidR="00564CE1">
          <w:rPr>
            <w:noProof/>
            <w:webHidden/>
          </w:rPr>
          <w:tab/>
        </w:r>
        <w:r w:rsidR="00564CE1">
          <w:rPr>
            <w:noProof/>
            <w:webHidden/>
          </w:rPr>
          <w:fldChar w:fldCharType="begin"/>
        </w:r>
        <w:r w:rsidR="00564CE1">
          <w:rPr>
            <w:noProof/>
            <w:webHidden/>
          </w:rPr>
          <w:instrText xml:space="preserve"> PAGEREF _Toc97823967 \h </w:instrText>
        </w:r>
        <w:r w:rsidR="00564CE1">
          <w:rPr>
            <w:noProof/>
            <w:webHidden/>
          </w:rPr>
        </w:r>
        <w:r w:rsidR="00564CE1">
          <w:rPr>
            <w:noProof/>
            <w:webHidden/>
          </w:rPr>
          <w:fldChar w:fldCharType="separate"/>
        </w:r>
        <w:r w:rsidR="00EF29C3">
          <w:rPr>
            <w:noProof/>
            <w:webHidden/>
          </w:rPr>
          <w:t>16</w:t>
        </w:r>
        <w:r w:rsidR="00564CE1">
          <w:rPr>
            <w:noProof/>
            <w:webHidden/>
          </w:rPr>
          <w:fldChar w:fldCharType="end"/>
        </w:r>
      </w:hyperlink>
    </w:p>
    <w:p w14:paraId="6C0AB1CC" w14:textId="741C6316"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68" w:history="1">
        <w:r w:rsidR="00564CE1" w:rsidRPr="00772291">
          <w:rPr>
            <w:rStyle w:val="Hyperlink"/>
            <w:noProof/>
          </w:rPr>
          <w:t>Current regulatory measures</w:t>
        </w:r>
        <w:r w:rsidR="00564CE1">
          <w:rPr>
            <w:noProof/>
            <w:webHidden/>
          </w:rPr>
          <w:tab/>
        </w:r>
        <w:r w:rsidR="00564CE1">
          <w:rPr>
            <w:noProof/>
            <w:webHidden/>
          </w:rPr>
          <w:fldChar w:fldCharType="begin"/>
        </w:r>
        <w:r w:rsidR="00564CE1">
          <w:rPr>
            <w:noProof/>
            <w:webHidden/>
          </w:rPr>
          <w:instrText xml:space="preserve"> PAGEREF _Toc97823968 \h </w:instrText>
        </w:r>
        <w:r w:rsidR="00564CE1">
          <w:rPr>
            <w:noProof/>
            <w:webHidden/>
          </w:rPr>
        </w:r>
        <w:r w:rsidR="00564CE1">
          <w:rPr>
            <w:noProof/>
            <w:webHidden/>
          </w:rPr>
          <w:fldChar w:fldCharType="separate"/>
        </w:r>
        <w:r w:rsidR="00EF29C3">
          <w:rPr>
            <w:noProof/>
            <w:webHidden/>
          </w:rPr>
          <w:t>17</w:t>
        </w:r>
        <w:r w:rsidR="00564CE1">
          <w:rPr>
            <w:noProof/>
            <w:webHidden/>
          </w:rPr>
          <w:fldChar w:fldCharType="end"/>
        </w:r>
      </w:hyperlink>
    </w:p>
    <w:p w14:paraId="7153D412" w14:textId="56135938"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69" w:history="1">
        <w:r w:rsidR="00564CE1" w:rsidRPr="00772291">
          <w:rPr>
            <w:rStyle w:val="Hyperlink"/>
            <w:noProof/>
          </w:rPr>
          <w:t>Summary</w:t>
        </w:r>
        <w:r w:rsidR="00564CE1">
          <w:rPr>
            <w:noProof/>
            <w:webHidden/>
          </w:rPr>
          <w:tab/>
        </w:r>
        <w:r w:rsidR="00564CE1">
          <w:rPr>
            <w:noProof/>
            <w:webHidden/>
          </w:rPr>
          <w:fldChar w:fldCharType="begin"/>
        </w:r>
        <w:r w:rsidR="00564CE1">
          <w:rPr>
            <w:noProof/>
            <w:webHidden/>
          </w:rPr>
          <w:instrText xml:space="preserve"> PAGEREF _Toc97823969 \h </w:instrText>
        </w:r>
        <w:r w:rsidR="00564CE1">
          <w:rPr>
            <w:noProof/>
            <w:webHidden/>
          </w:rPr>
        </w:r>
        <w:r w:rsidR="00564CE1">
          <w:rPr>
            <w:noProof/>
            <w:webHidden/>
          </w:rPr>
          <w:fldChar w:fldCharType="separate"/>
        </w:r>
        <w:r w:rsidR="00EF29C3">
          <w:rPr>
            <w:noProof/>
            <w:webHidden/>
          </w:rPr>
          <w:t>17</w:t>
        </w:r>
        <w:r w:rsidR="00564CE1">
          <w:rPr>
            <w:noProof/>
            <w:webHidden/>
          </w:rPr>
          <w:fldChar w:fldCharType="end"/>
        </w:r>
      </w:hyperlink>
    </w:p>
    <w:p w14:paraId="37FBA535" w14:textId="60C25067" w:rsidR="00564CE1" w:rsidRDefault="00000000">
      <w:pPr>
        <w:pStyle w:val="TOC2"/>
        <w:rPr>
          <w:rFonts w:eastAsiaTheme="minorEastAsia" w:cstheme="minorBidi"/>
          <w:smallCaps w:val="0"/>
          <w:noProof/>
          <w:sz w:val="22"/>
          <w:szCs w:val="22"/>
          <w:lang w:eastAsia="en-GB" w:bidi="ar-SA"/>
        </w:rPr>
      </w:pPr>
      <w:hyperlink w:anchor="_Toc97823970" w:history="1">
        <w:r w:rsidR="00564CE1" w:rsidRPr="00772291">
          <w:rPr>
            <w:rStyle w:val="Hyperlink"/>
            <w:noProof/>
          </w:rPr>
          <w:t>6.3</w:t>
        </w:r>
        <w:r w:rsidR="00564CE1">
          <w:rPr>
            <w:rFonts w:eastAsiaTheme="minorEastAsia" w:cstheme="minorBidi"/>
            <w:smallCaps w:val="0"/>
            <w:noProof/>
            <w:sz w:val="22"/>
            <w:szCs w:val="22"/>
            <w:lang w:eastAsia="en-GB" w:bidi="ar-SA"/>
          </w:rPr>
          <w:tab/>
        </w:r>
        <w:r w:rsidR="00564CE1" w:rsidRPr="00772291">
          <w:rPr>
            <w:rStyle w:val="Hyperlink"/>
            <w:noProof/>
          </w:rPr>
          <w:t>Option 2: Regulatory measures – standards for berries, leafy vegetables and melons</w:t>
        </w:r>
        <w:r w:rsidR="00564CE1">
          <w:rPr>
            <w:noProof/>
            <w:webHidden/>
          </w:rPr>
          <w:tab/>
        </w:r>
        <w:r w:rsidR="00564CE1">
          <w:rPr>
            <w:noProof/>
            <w:webHidden/>
          </w:rPr>
          <w:fldChar w:fldCharType="begin"/>
        </w:r>
        <w:r w:rsidR="00564CE1">
          <w:rPr>
            <w:noProof/>
            <w:webHidden/>
          </w:rPr>
          <w:instrText xml:space="preserve"> PAGEREF _Toc97823970 \h </w:instrText>
        </w:r>
        <w:r w:rsidR="00564CE1">
          <w:rPr>
            <w:noProof/>
            <w:webHidden/>
          </w:rPr>
        </w:r>
        <w:r w:rsidR="00564CE1">
          <w:rPr>
            <w:noProof/>
            <w:webHidden/>
          </w:rPr>
          <w:fldChar w:fldCharType="separate"/>
        </w:r>
        <w:r w:rsidR="00EF29C3">
          <w:rPr>
            <w:noProof/>
            <w:webHidden/>
          </w:rPr>
          <w:t>18</w:t>
        </w:r>
        <w:r w:rsidR="00564CE1">
          <w:rPr>
            <w:noProof/>
            <w:webHidden/>
          </w:rPr>
          <w:fldChar w:fldCharType="end"/>
        </w:r>
      </w:hyperlink>
    </w:p>
    <w:p w14:paraId="4BFDC708" w14:textId="4896FF53"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1" w:history="1">
        <w:r w:rsidR="00564CE1" w:rsidRPr="00772291">
          <w:rPr>
            <w:rStyle w:val="Hyperlink"/>
            <w:noProof/>
          </w:rPr>
          <w:t>Berries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_Toc97823971 \h </w:instrText>
        </w:r>
        <w:r w:rsidR="00564CE1">
          <w:rPr>
            <w:noProof/>
            <w:webHidden/>
          </w:rPr>
        </w:r>
        <w:r w:rsidR="00564CE1">
          <w:rPr>
            <w:noProof/>
            <w:webHidden/>
          </w:rPr>
          <w:fldChar w:fldCharType="separate"/>
        </w:r>
        <w:r w:rsidR="00EF29C3">
          <w:rPr>
            <w:noProof/>
            <w:webHidden/>
          </w:rPr>
          <w:t>19</w:t>
        </w:r>
        <w:r w:rsidR="00564CE1">
          <w:rPr>
            <w:noProof/>
            <w:webHidden/>
          </w:rPr>
          <w:fldChar w:fldCharType="end"/>
        </w:r>
      </w:hyperlink>
    </w:p>
    <w:p w14:paraId="61C96382" w14:textId="6E0C7DD0"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2" w:history="1">
        <w:r w:rsidR="00564CE1" w:rsidRPr="00772291">
          <w:rPr>
            <w:rStyle w:val="Hyperlink"/>
            <w:noProof/>
          </w:rPr>
          <w:t>Leafy vegetables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_Toc97823972 \h </w:instrText>
        </w:r>
        <w:r w:rsidR="00564CE1">
          <w:rPr>
            <w:noProof/>
            <w:webHidden/>
          </w:rPr>
        </w:r>
        <w:r w:rsidR="00564CE1">
          <w:rPr>
            <w:noProof/>
            <w:webHidden/>
          </w:rPr>
          <w:fldChar w:fldCharType="separate"/>
        </w:r>
        <w:r w:rsidR="00EF29C3">
          <w:rPr>
            <w:noProof/>
            <w:webHidden/>
          </w:rPr>
          <w:t>20</w:t>
        </w:r>
        <w:r w:rsidR="00564CE1">
          <w:rPr>
            <w:noProof/>
            <w:webHidden/>
          </w:rPr>
          <w:fldChar w:fldCharType="end"/>
        </w:r>
      </w:hyperlink>
    </w:p>
    <w:p w14:paraId="05FB57C2" w14:textId="6AFF9CE9"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3" w:history="1">
        <w:r w:rsidR="00564CE1" w:rsidRPr="00772291">
          <w:rPr>
            <w:rStyle w:val="Hyperlink"/>
            <w:noProof/>
          </w:rPr>
          <w:t>Melons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_Toc97823973 \h </w:instrText>
        </w:r>
        <w:r w:rsidR="00564CE1">
          <w:rPr>
            <w:noProof/>
            <w:webHidden/>
          </w:rPr>
        </w:r>
        <w:r w:rsidR="00564CE1">
          <w:rPr>
            <w:noProof/>
            <w:webHidden/>
          </w:rPr>
          <w:fldChar w:fldCharType="separate"/>
        </w:r>
        <w:r w:rsidR="00EF29C3">
          <w:rPr>
            <w:noProof/>
            <w:webHidden/>
          </w:rPr>
          <w:t>22</w:t>
        </w:r>
        <w:r w:rsidR="00564CE1">
          <w:rPr>
            <w:noProof/>
            <w:webHidden/>
          </w:rPr>
          <w:fldChar w:fldCharType="end"/>
        </w:r>
      </w:hyperlink>
    </w:p>
    <w:p w14:paraId="166265AD" w14:textId="34A4DACA"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4" w:history="1">
        <w:r w:rsidR="00564CE1" w:rsidRPr="00772291">
          <w:rPr>
            <w:rStyle w:val="Hyperlink"/>
            <w:noProof/>
          </w:rPr>
          <w:t>Draft standards</w:t>
        </w:r>
        <w:r w:rsidR="00564CE1">
          <w:rPr>
            <w:noProof/>
            <w:webHidden/>
          </w:rPr>
          <w:tab/>
        </w:r>
        <w:r w:rsidR="00564CE1">
          <w:rPr>
            <w:noProof/>
            <w:webHidden/>
          </w:rPr>
          <w:fldChar w:fldCharType="begin"/>
        </w:r>
        <w:r w:rsidR="00564CE1">
          <w:rPr>
            <w:noProof/>
            <w:webHidden/>
          </w:rPr>
          <w:instrText xml:space="preserve"> PAGEREF _Toc97823974 \h </w:instrText>
        </w:r>
        <w:r w:rsidR="00564CE1">
          <w:rPr>
            <w:noProof/>
            <w:webHidden/>
          </w:rPr>
        </w:r>
        <w:r w:rsidR="00564CE1">
          <w:rPr>
            <w:noProof/>
            <w:webHidden/>
          </w:rPr>
          <w:fldChar w:fldCharType="separate"/>
        </w:r>
        <w:r w:rsidR="00EF29C3">
          <w:rPr>
            <w:noProof/>
            <w:webHidden/>
          </w:rPr>
          <w:t>23</w:t>
        </w:r>
        <w:r w:rsidR="00564CE1">
          <w:rPr>
            <w:noProof/>
            <w:webHidden/>
          </w:rPr>
          <w:fldChar w:fldCharType="end"/>
        </w:r>
      </w:hyperlink>
    </w:p>
    <w:p w14:paraId="57E35A2A" w14:textId="0CDDF5DF"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5" w:history="1">
        <w:r w:rsidR="00564CE1" w:rsidRPr="00772291">
          <w:rPr>
            <w:rStyle w:val="Hyperlink"/>
            <w:noProof/>
          </w:rPr>
          <w:t>Compliance plans</w:t>
        </w:r>
        <w:r w:rsidR="00564CE1">
          <w:rPr>
            <w:noProof/>
            <w:webHidden/>
          </w:rPr>
          <w:tab/>
        </w:r>
        <w:r w:rsidR="00564CE1">
          <w:rPr>
            <w:noProof/>
            <w:webHidden/>
          </w:rPr>
          <w:fldChar w:fldCharType="begin"/>
        </w:r>
        <w:r w:rsidR="00564CE1">
          <w:rPr>
            <w:noProof/>
            <w:webHidden/>
          </w:rPr>
          <w:instrText xml:space="preserve"> PAGEREF _Toc97823975 \h </w:instrText>
        </w:r>
        <w:r w:rsidR="00564CE1">
          <w:rPr>
            <w:noProof/>
            <w:webHidden/>
          </w:rPr>
        </w:r>
        <w:r w:rsidR="00564CE1">
          <w:rPr>
            <w:noProof/>
            <w:webHidden/>
          </w:rPr>
          <w:fldChar w:fldCharType="separate"/>
        </w:r>
        <w:r w:rsidR="00EF29C3">
          <w:rPr>
            <w:noProof/>
            <w:webHidden/>
          </w:rPr>
          <w:t>26</w:t>
        </w:r>
        <w:r w:rsidR="00564CE1">
          <w:rPr>
            <w:noProof/>
            <w:webHidden/>
          </w:rPr>
          <w:fldChar w:fldCharType="end"/>
        </w:r>
      </w:hyperlink>
    </w:p>
    <w:p w14:paraId="4806DF90" w14:textId="162493F7"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76" w:history="1">
        <w:r w:rsidR="00564CE1" w:rsidRPr="00772291">
          <w:rPr>
            <w:rStyle w:val="Hyperlink"/>
            <w:noProof/>
          </w:rPr>
          <w:t>Summary</w:t>
        </w:r>
        <w:r w:rsidR="00564CE1">
          <w:rPr>
            <w:noProof/>
            <w:webHidden/>
          </w:rPr>
          <w:tab/>
        </w:r>
        <w:r w:rsidR="00564CE1">
          <w:rPr>
            <w:noProof/>
            <w:webHidden/>
          </w:rPr>
          <w:fldChar w:fldCharType="begin"/>
        </w:r>
        <w:r w:rsidR="00564CE1">
          <w:rPr>
            <w:noProof/>
            <w:webHidden/>
          </w:rPr>
          <w:instrText xml:space="preserve"> PAGEREF _Toc97823976 \h </w:instrText>
        </w:r>
        <w:r w:rsidR="00564CE1">
          <w:rPr>
            <w:noProof/>
            <w:webHidden/>
          </w:rPr>
        </w:r>
        <w:r w:rsidR="00564CE1">
          <w:rPr>
            <w:noProof/>
            <w:webHidden/>
          </w:rPr>
          <w:fldChar w:fldCharType="separate"/>
        </w:r>
        <w:r w:rsidR="00EF29C3">
          <w:rPr>
            <w:noProof/>
            <w:webHidden/>
          </w:rPr>
          <w:t>26</w:t>
        </w:r>
        <w:r w:rsidR="00564CE1">
          <w:rPr>
            <w:noProof/>
            <w:webHidden/>
          </w:rPr>
          <w:fldChar w:fldCharType="end"/>
        </w:r>
      </w:hyperlink>
    </w:p>
    <w:p w14:paraId="4ABB7D24" w14:textId="6EC31AF5" w:rsidR="00564CE1" w:rsidRDefault="00000000">
      <w:pPr>
        <w:pStyle w:val="TOC2"/>
        <w:rPr>
          <w:rFonts w:eastAsiaTheme="minorEastAsia" w:cstheme="minorBidi"/>
          <w:smallCaps w:val="0"/>
          <w:noProof/>
          <w:sz w:val="22"/>
          <w:szCs w:val="22"/>
          <w:lang w:eastAsia="en-GB" w:bidi="ar-SA"/>
        </w:rPr>
      </w:pPr>
      <w:hyperlink w:anchor="_Toc97823977" w:history="1">
        <w:r w:rsidR="00564CE1" w:rsidRPr="00772291">
          <w:rPr>
            <w:rStyle w:val="Hyperlink"/>
            <w:noProof/>
          </w:rPr>
          <w:t>6.4</w:t>
        </w:r>
        <w:r w:rsidR="00564CE1">
          <w:rPr>
            <w:rFonts w:eastAsiaTheme="minorEastAsia" w:cstheme="minorBidi"/>
            <w:smallCaps w:val="0"/>
            <w:noProof/>
            <w:sz w:val="22"/>
            <w:szCs w:val="22"/>
            <w:lang w:eastAsia="en-GB" w:bidi="ar-SA"/>
          </w:rPr>
          <w:tab/>
        </w:r>
        <w:r w:rsidR="00564CE1" w:rsidRPr="00772291">
          <w:rPr>
            <w:rStyle w:val="Hyperlink"/>
            <w:noProof/>
          </w:rPr>
          <w:t>Option 3: Regulatory plus non-regulatory measures</w:t>
        </w:r>
        <w:r w:rsidR="00564CE1">
          <w:rPr>
            <w:noProof/>
            <w:webHidden/>
          </w:rPr>
          <w:tab/>
        </w:r>
        <w:r w:rsidR="00564CE1">
          <w:rPr>
            <w:noProof/>
            <w:webHidden/>
          </w:rPr>
          <w:fldChar w:fldCharType="begin"/>
        </w:r>
        <w:r w:rsidR="00564CE1">
          <w:rPr>
            <w:noProof/>
            <w:webHidden/>
          </w:rPr>
          <w:instrText xml:space="preserve"> PAGEREF _Toc97823977 \h </w:instrText>
        </w:r>
        <w:r w:rsidR="00564CE1">
          <w:rPr>
            <w:noProof/>
            <w:webHidden/>
          </w:rPr>
        </w:r>
        <w:r w:rsidR="00564CE1">
          <w:rPr>
            <w:noProof/>
            <w:webHidden/>
          </w:rPr>
          <w:fldChar w:fldCharType="separate"/>
        </w:r>
        <w:r w:rsidR="00EF29C3">
          <w:rPr>
            <w:noProof/>
            <w:webHidden/>
          </w:rPr>
          <w:t>27</w:t>
        </w:r>
        <w:r w:rsidR="00564CE1">
          <w:rPr>
            <w:noProof/>
            <w:webHidden/>
          </w:rPr>
          <w:fldChar w:fldCharType="end"/>
        </w:r>
      </w:hyperlink>
    </w:p>
    <w:p w14:paraId="15BCA227" w14:textId="4129109C" w:rsidR="00564CE1" w:rsidRDefault="00000000">
      <w:pPr>
        <w:pStyle w:val="TOC2"/>
        <w:rPr>
          <w:rFonts w:eastAsiaTheme="minorEastAsia" w:cstheme="minorBidi"/>
          <w:smallCaps w:val="0"/>
          <w:noProof/>
          <w:sz w:val="22"/>
          <w:szCs w:val="22"/>
          <w:lang w:eastAsia="en-GB" w:bidi="ar-SA"/>
        </w:rPr>
      </w:pPr>
      <w:hyperlink w:anchor="_Toc97823978" w:history="1">
        <w:r w:rsidR="00564CE1" w:rsidRPr="00772291">
          <w:rPr>
            <w:rStyle w:val="Hyperlink"/>
            <w:noProof/>
          </w:rPr>
          <w:t>6.5</w:t>
        </w:r>
        <w:r w:rsidR="00564CE1">
          <w:rPr>
            <w:rFonts w:eastAsiaTheme="minorEastAsia" w:cstheme="minorBidi"/>
            <w:smallCaps w:val="0"/>
            <w:noProof/>
            <w:sz w:val="22"/>
            <w:szCs w:val="22"/>
            <w:lang w:eastAsia="en-GB" w:bidi="ar-SA"/>
          </w:rPr>
          <w:tab/>
        </w:r>
        <w:r w:rsidR="00564CE1" w:rsidRPr="00772291">
          <w:rPr>
            <w:rStyle w:val="Hyperlink"/>
            <w:noProof/>
          </w:rPr>
          <w:t>Option 4: Non-regulatory measures</w:t>
        </w:r>
        <w:r w:rsidR="00564CE1">
          <w:rPr>
            <w:noProof/>
            <w:webHidden/>
          </w:rPr>
          <w:tab/>
        </w:r>
        <w:r w:rsidR="00564CE1">
          <w:rPr>
            <w:noProof/>
            <w:webHidden/>
          </w:rPr>
          <w:fldChar w:fldCharType="begin"/>
        </w:r>
        <w:r w:rsidR="00564CE1">
          <w:rPr>
            <w:noProof/>
            <w:webHidden/>
          </w:rPr>
          <w:instrText xml:space="preserve"> PAGEREF _Toc97823978 \h </w:instrText>
        </w:r>
        <w:r w:rsidR="00564CE1">
          <w:rPr>
            <w:noProof/>
            <w:webHidden/>
          </w:rPr>
        </w:r>
        <w:r w:rsidR="00564CE1">
          <w:rPr>
            <w:noProof/>
            <w:webHidden/>
          </w:rPr>
          <w:fldChar w:fldCharType="separate"/>
        </w:r>
        <w:r w:rsidR="00EF29C3">
          <w:rPr>
            <w:noProof/>
            <w:webHidden/>
          </w:rPr>
          <w:t>27</w:t>
        </w:r>
        <w:r w:rsidR="00564CE1">
          <w:rPr>
            <w:noProof/>
            <w:webHidden/>
          </w:rPr>
          <w:fldChar w:fldCharType="end"/>
        </w:r>
      </w:hyperlink>
    </w:p>
    <w:p w14:paraId="00A55E01" w14:textId="41607BDC"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79" w:history="1">
        <w:r w:rsidR="00564CE1" w:rsidRPr="00772291">
          <w:rPr>
            <w:rStyle w:val="Hyperlink"/>
            <w:rFonts w:ascii="Arial Bold" w:eastAsiaTheme="majorEastAsia" w:hAnsi="Arial Bold" w:cstheme="majorBidi"/>
            <w:noProof/>
            <w:lang w:val="en-AU" w:eastAsia="en-GB"/>
          </w:rPr>
          <w:t>7.</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is the likely net benefit of each option?</w:t>
        </w:r>
        <w:r w:rsidR="00564CE1">
          <w:rPr>
            <w:noProof/>
            <w:webHidden/>
          </w:rPr>
          <w:tab/>
        </w:r>
        <w:r w:rsidR="00564CE1">
          <w:rPr>
            <w:noProof/>
            <w:webHidden/>
          </w:rPr>
          <w:fldChar w:fldCharType="begin"/>
        </w:r>
        <w:r w:rsidR="00564CE1">
          <w:rPr>
            <w:noProof/>
            <w:webHidden/>
          </w:rPr>
          <w:instrText xml:space="preserve"> PAGEREF _Toc97823979 \h </w:instrText>
        </w:r>
        <w:r w:rsidR="00564CE1">
          <w:rPr>
            <w:noProof/>
            <w:webHidden/>
          </w:rPr>
        </w:r>
        <w:r w:rsidR="00564CE1">
          <w:rPr>
            <w:noProof/>
            <w:webHidden/>
          </w:rPr>
          <w:fldChar w:fldCharType="separate"/>
        </w:r>
        <w:r w:rsidR="00EF29C3">
          <w:rPr>
            <w:noProof/>
            <w:webHidden/>
          </w:rPr>
          <w:t>27</w:t>
        </w:r>
        <w:r w:rsidR="00564CE1">
          <w:rPr>
            <w:noProof/>
            <w:webHidden/>
          </w:rPr>
          <w:fldChar w:fldCharType="end"/>
        </w:r>
      </w:hyperlink>
    </w:p>
    <w:p w14:paraId="631409CD" w14:textId="1953CDD2" w:rsidR="00564CE1" w:rsidRDefault="00000000">
      <w:pPr>
        <w:pStyle w:val="TOC2"/>
        <w:rPr>
          <w:rFonts w:eastAsiaTheme="minorEastAsia" w:cstheme="minorBidi"/>
          <w:smallCaps w:val="0"/>
          <w:noProof/>
          <w:sz w:val="22"/>
          <w:szCs w:val="22"/>
          <w:lang w:eastAsia="en-GB" w:bidi="ar-SA"/>
        </w:rPr>
      </w:pPr>
      <w:hyperlink w:anchor="_Toc97823980" w:history="1">
        <w:r w:rsidR="00564CE1" w:rsidRPr="00772291">
          <w:rPr>
            <w:rStyle w:val="Hyperlink"/>
            <w:noProof/>
            <w:lang w:val="en-AU"/>
          </w:rPr>
          <w:t>7.1</w:t>
        </w:r>
        <w:r w:rsidR="00564CE1">
          <w:rPr>
            <w:rFonts w:eastAsiaTheme="minorEastAsia" w:cstheme="minorBidi"/>
            <w:smallCaps w:val="0"/>
            <w:noProof/>
            <w:sz w:val="22"/>
            <w:szCs w:val="22"/>
            <w:lang w:eastAsia="en-GB" w:bidi="ar-SA"/>
          </w:rPr>
          <w:tab/>
        </w:r>
        <w:r w:rsidR="00564CE1" w:rsidRPr="00772291">
          <w:rPr>
            <w:rStyle w:val="Hyperlink"/>
            <w:noProof/>
            <w:lang w:val="en-AU"/>
          </w:rPr>
          <w:t>Overview</w:t>
        </w:r>
        <w:r w:rsidR="00564CE1">
          <w:rPr>
            <w:noProof/>
            <w:webHidden/>
          </w:rPr>
          <w:tab/>
        </w:r>
        <w:r w:rsidR="00564CE1">
          <w:rPr>
            <w:noProof/>
            <w:webHidden/>
          </w:rPr>
          <w:fldChar w:fldCharType="begin"/>
        </w:r>
        <w:r w:rsidR="00564CE1">
          <w:rPr>
            <w:noProof/>
            <w:webHidden/>
          </w:rPr>
          <w:instrText xml:space="preserve"> PAGEREF _Toc97823980 \h </w:instrText>
        </w:r>
        <w:r w:rsidR="00564CE1">
          <w:rPr>
            <w:noProof/>
            <w:webHidden/>
          </w:rPr>
        </w:r>
        <w:r w:rsidR="00564CE1">
          <w:rPr>
            <w:noProof/>
            <w:webHidden/>
          </w:rPr>
          <w:fldChar w:fldCharType="separate"/>
        </w:r>
        <w:r w:rsidR="00EF29C3">
          <w:rPr>
            <w:noProof/>
            <w:webHidden/>
          </w:rPr>
          <w:t>27</w:t>
        </w:r>
        <w:r w:rsidR="00564CE1">
          <w:rPr>
            <w:noProof/>
            <w:webHidden/>
          </w:rPr>
          <w:fldChar w:fldCharType="end"/>
        </w:r>
      </w:hyperlink>
    </w:p>
    <w:p w14:paraId="12C8FB95" w14:textId="3E8B900E" w:rsidR="00564CE1" w:rsidRDefault="00000000">
      <w:pPr>
        <w:pStyle w:val="TOC2"/>
        <w:rPr>
          <w:rFonts w:eastAsiaTheme="minorEastAsia" w:cstheme="minorBidi"/>
          <w:smallCaps w:val="0"/>
          <w:noProof/>
          <w:sz w:val="22"/>
          <w:szCs w:val="22"/>
          <w:lang w:eastAsia="en-GB" w:bidi="ar-SA"/>
        </w:rPr>
      </w:pPr>
      <w:hyperlink w:anchor="_Toc97823981" w:history="1">
        <w:r w:rsidR="00564CE1" w:rsidRPr="00772291">
          <w:rPr>
            <w:rStyle w:val="Hyperlink"/>
            <w:noProof/>
          </w:rPr>
          <w:t>7.2</w:t>
        </w:r>
        <w:r w:rsidR="00564CE1">
          <w:rPr>
            <w:rFonts w:eastAsiaTheme="minorEastAsia" w:cstheme="minorBidi"/>
            <w:smallCaps w:val="0"/>
            <w:noProof/>
            <w:sz w:val="22"/>
            <w:szCs w:val="22"/>
            <w:lang w:eastAsia="en-GB" w:bidi="ar-SA"/>
          </w:rPr>
          <w:tab/>
        </w:r>
        <w:r w:rsidR="00564CE1" w:rsidRPr="00772291">
          <w:rPr>
            <w:rStyle w:val="Hyperlink"/>
            <w:noProof/>
          </w:rPr>
          <w:t>The cost–benefit analysis</w:t>
        </w:r>
        <w:r w:rsidR="00564CE1">
          <w:rPr>
            <w:noProof/>
            <w:webHidden/>
          </w:rPr>
          <w:tab/>
        </w:r>
        <w:r w:rsidR="00564CE1">
          <w:rPr>
            <w:noProof/>
            <w:webHidden/>
          </w:rPr>
          <w:fldChar w:fldCharType="begin"/>
        </w:r>
        <w:r w:rsidR="00564CE1">
          <w:rPr>
            <w:noProof/>
            <w:webHidden/>
          </w:rPr>
          <w:instrText xml:space="preserve"> PAGEREF _Toc97823981 \h </w:instrText>
        </w:r>
        <w:r w:rsidR="00564CE1">
          <w:rPr>
            <w:noProof/>
            <w:webHidden/>
          </w:rPr>
        </w:r>
        <w:r w:rsidR="00564CE1">
          <w:rPr>
            <w:noProof/>
            <w:webHidden/>
          </w:rPr>
          <w:fldChar w:fldCharType="separate"/>
        </w:r>
        <w:r w:rsidR="00EF29C3">
          <w:rPr>
            <w:noProof/>
            <w:webHidden/>
          </w:rPr>
          <w:t>28</w:t>
        </w:r>
        <w:r w:rsidR="00564CE1">
          <w:rPr>
            <w:noProof/>
            <w:webHidden/>
          </w:rPr>
          <w:fldChar w:fldCharType="end"/>
        </w:r>
      </w:hyperlink>
    </w:p>
    <w:p w14:paraId="4368369B" w14:textId="3AAB0413"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82" w:history="1">
        <w:r w:rsidR="00564CE1" w:rsidRPr="00772291">
          <w:rPr>
            <w:rStyle w:val="Hyperlink"/>
            <w:noProof/>
          </w:rPr>
          <w:t>International trade</w:t>
        </w:r>
        <w:r w:rsidR="00564CE1">
          <w:rPr>
            <w:noProof/>
            <w:webHidden/>
          </w:rPr>
          <w:tab/>
        </w:r>
        <w:r w:rsidR="00564CE1">
          <w:rPr>
            <w:noProof/>
            <w:webHidden/>
          </w:rPr>
          <w:fldChar w:fldCharType="begin"/>
        </w:r>
        <w:r w:rsidR="00564CE1">
          <w:rPr>
            <w:noProof/>
            <w:webHidden/>
          </w:rPr>
          <w:instrText xml:space="preserve"> PAGEREF _Toc97823982 \h </w:instrText>
        </w:r>
        <w:r w:rsidR="00564CE1">
          <w:rPr>
            <w:noProof/>
            <w:webHidden/>
          </w:rPr>
        </w:r>
        <w:r w:rsidR="00564CE1">
          <w:rPr>
            <w:noProof/>
            <w:webHidden/>
          </w:rPr>
          <w:fldChar w:fldCharType="separate"/>
        </w:r>
        <w:r w:rsidR="00EF29C3">
          <w:rPr>
            <w:noProof/>
            <w:webHidden/>
          </w:rPr>
          <w:t>28</w:t>
        </w:r>
        <w:r w:rsidR="00564CE1">
          <w:rPr>
            <w:noProof/>
            <w:webHidden/>
          </w:rPr>
          <w:fldChar w:fldCharType="end"/>
        </w:r>
      </w:hyperlink>
    </w:p>
    <w:p w14:paraId="1003A9FC" w14:textId="11AB8266"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83" w:history="1">
        <w:r w:rsidR="00564CE1" w:rsidRPr="00772291">
          <w:rPr>
            <w:rStyle w:val="Hyperlink"/>
            <w:noProof/>
          </w:rPr>
          <w:t>Consumer response</w:t>
        </w:r>
        <w:r w:rsidR="00564CE1">
          <w:rPr>
            <w:noProof/>
            <w:webHidden/>
          </w:rPr>
          <w:tab/>
        </w:r>
        <w:r w:rsidR="00564CE1">
          <w:rPr>
            <w:noProof/>
            <w:webHidden/>
          </w:rPr>
          <w:fldChar w:fldCharType="begin"/>
        </w:r>
        <w:r w:rsidR="00564CE1">
          <w:rPr>
            <w:noProof/>
            <w:webHidden/>
          </w:rPr>
          <w:instrText xml:space="preserve"> PAGEREF _Toc97823983 \h </w:instrText>
        </w:r>
        <w:r w:rsidR="00564CE1">
          <w:rPr>
            <w:noProof/>
            <w:webHidden/>
          </w:rPr>
        </w:r>
        <w:r w:rsidR="00564CE1">
          <w:rPr>
            <w:noProof/>
            <w:webHidden/>
          </w:rPr>
          <w:fldChar w:fldCharType="separate"/>
        </w:r>
        <w:r w:rsidR="00EF29C3">
          <w:rPr>
            <w:noProof/>
            <w:webHidden/>
          </w:rPr>
          <w:t>29</w:t>
        </w:r>
        <w:r w:rsidR="00564CE1">
          <w:rPr>
            <w:noProof/>
            <w:webHidden/>
          </w:rPr>
          <w:fldChar w:fldCharType="end"/>
        </w:r>
      </w:hyperlink>
    </w:p>
    <w:p w14:paraId="779CDB92" w14:textId="1898EE1B"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84" w:history="1">
        <w:r w:rsidR="00564CE1" w:rsidRPr="00772291">
          <w:rPr>
            <w:rStyle w:val="Hyperlink"/>
            <w:noProof/>
          </w:rPr>
          <w:t>CBA data gaps and assumptions</w:t>
        </w:r>
        <w:r w:rsidR="00564CE1">
          <w:rPr>
            <w:noProof/>
            <w:webHidden/>
          </w:rPr>
          <w:tab/>
        </w:r>
        <w:r w:rsidR="00564CE1">
          <w:rPr>
            <w:noProof/>
            <w:webHidden/>
          </w:rPr>
          <w:fldChar w:fldCharType="begin"/>
        </w:r>
        <w:r w:rsidR="00564CE1">
          <w:rPr>
            <w:noProof/>
            <w:webHidden/>
          </w:rPr>
          <w:instrText xml:space="preserve"> PAGEREF _Toc97823984 \h </w:instrText>
        </w:r>
        <w:r w:rsidR="00564CE1">
          <w:rPr>
            <w:noProof/>
            <w:webHidden/>
          </w:rPr>
        </w:r>
        <w:r w:rsidR="00564CE1">
          <w:rPr>
            <w:noProof/>
            <w:webHidden/>
          </w:rPr>
          <w:fldChar w:fldCharType="separate"/>
        </w:r>
        <w:r w:rsidR="00EF29C3">
          <w:rPr>
            <w:noProof/>
            <w:webHidden/>
          </w:rPr>
          <w:t>29</w:t>
        </w:r>
        <w:r w:rsidR="00564CE1">
          <w:rPr>
            <w:noProof/>
            <w:webHidden/>
          </w:rPr>
          <w:fldChar w:fldCharType="end"/>
        </w:r>
      </w:hyperlink>
    </w:p>
    <w:p w14:paraId="57A064A0" w14:textId="394CA0CB" w:rsidR="00564CE1" w:rsidRDefault="00000000">
      <w:pPr>
        <w:pStyle w:val="TOC2"/>
        <w:rPr>
          <w:rFonts w:eastAsiaTheme="minorEastAsia" w:cstheme="minorBidi"/>
          <w:smallCaps w:val="0"/>
          <w:noProof/>
          <w:sz w:val="22"/>
          <w:szCs w:val="22"/>
          <w:lang w:eastAsia="en-GB" w:bidi="ar-SA"/>
        </w:rPr>
      </w:pPr>
      <w:hyperlink w:anchor="_Toc97823985" w:history="1">
        <w:r w:rsidR="00564CE1" w:rsidRPr="00772291">
          <w:rPr>
            <w:rStyle w:val="Hyperlink"/>
            <w:noProof/>
          </w:rPr>
          <w:t>7.3</w:t>
        </w:r>
        <w:r w:rsidR="00564CE1">
          <w:rPr>
            <w:rFonts w:eastAsiaTheme="minorEastAsia" w:cstheme="minorBidi"/>
            <w:smallCaps w:val="0"/>
            <w:noProof/>
            <w:sz w:val="22"/>
            <w:szCs w:val="22"/>
            <w:lang w:eastAsia="en-GB" w:bidi="ar-SA"/>
          </w:rPr>
          <w:tab/>
        </w:r>
        <w:r w:rsidR="00564CE1" w:rsidRPr="00772291">
          <w:rPr>
            <w:rStyle w:val="Hyperlink"/>
            <w:noProof/>
          </w:rPr>
          <w:t>Net benefit of option 1 – Retain the status quo</w:t>
        </w:r>
        <w:r w:rsidR="00564CE1">
          <w:rPr>
            <w:noProof/>
            <w:webHidden/>
          </w:rPr>
          <w:tab/>
        </w:r>
        <w:r w:rsidR="00564CE1">
          <w:rPr>
            <w:noProof/>
            <w:webHidden/>
          </w:rPr>
          <w:fldChar w:fldCharType="begin"/>
        </w:r>
        <w:r w:rsidR="00564CE1">
          <w:rPr>
            <w:noProof/>
            <w:webHidden/>
          </w:rPr>
          <w:instrText xml:space="preserve"> PAGEREF _Toc97823985 \h </w:instrText>
        </w:r>
        <w:r w:rsidR="00564CE1">
          <w:rPr>
            <w:noProof/>
            <w:webHidden/>
          </w:rPr>
        </w:r>
        <w:r w:rsidR="00564CE1">
          <w:rPr>
            <w:noProof/>
            <w:webHidden/>
          </w:rPr>
          <w:fldChar w:fldCharType="separate"/>
        </w:r>
        <w:r w:rsidR="00EF29C3">
          <w:rPr>
            <w:noProof/>
            <w:webHidden/>
          </w:rPr>
          <w:t>30</w:t>
        </w:r>
        <w:r w:rsidR="00564CE1">
          <w:rPr>
            <w:noProof/>
            <w:webHidden/>
          </w:rPr>
          <w:fldChar w:fldCharType="end"/>
        </w:r>
      </w:hyperlink>
    </w:p>
    <w:p w14:paraId="3F41403E" w14:textId="5204A3F6"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86" w:history="1">
        <w:r w:rsidR="00564CE1" w:rsidRPr="00772291">
          <w:rPr>
            <w:rStyle w:val="Hyperlink"/>
            <w:noProof/>
          </w:rPr>
          <w:t>Current cost of illness</w:t>
        </w:r>
        <w:r w:rsidR="00564CE1">
          <w:rPr>
            <w:noProof/>
            <w:webHidden/>
          </w:rPr>
          <w:tab/>
        </w:r>
        <w:r w:rsidR="00564CE1">
          <w:rPr>
            <w:noProof/>
            <w:webHidden/>
          </w:rPr>
          <w:fldChar w:fldCharType="begin"/>
        </w:r>
        <w:r w:rsidR="00564CE1">
          <w:rPr>
            <w:noProof/>
            <w:webHidden/>
          </w:rPr>
          <w:instrText xml:space="preserve"> PAGEREF _Toc97823986 \h </w:instrText>
        </w:r>
        <w:r w:rsidR="00564CE1">
          <w:rPr>
            <w:noProof/>
            <w:webHidden/>
          </w:rPr>
        </w:r>
        <w:r w:rsidR="00564CE1">
          <w:rPr>
            <w:noProof/>
            <w:webHidden/>
          </w:rPr>
          <w:fldChar w:fldCharType="separate"/>
        </w:r>
        <w:r w:rsidR="00EF29C3">
          <w:rPr>
            <w:noProof/>
            <w:webHidden/>
          </w:rPr>
          <w:t>30</w:t>
        </w:r>
        <w:r w:rsidR="00564CE1">
          <w:rPr>
            <w:noProof/>
            <w:webHidden/>
          </w:rPr>
          <w:fldChar w:fldCharType="end"/>
        </w:r>
      </w:hyperlink>
    </w:p>
    <w:p w14:paraId="454A5680" w14:textId="4D856AB3"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87" w:history="1">
        <w:r w:rsidR="00564CE1" w:rsidRPr="00772291">
          <w:rPr>
            <w:rStyle w:val="Hyperlink"/>
            <w:noProof/>
          </w:rPr>
          <w:t>Summary of the costs and benefits of the status quo</w:t>
        </w:r>
        <w:r w:rsidR="00564CE1">
          <w:rPr>
            <w:noProof/>
            <w:webHidden/>
          </w:rPr>
          <w:tab/>
        </w:r>
        <w:r w:rsidR="00564CE1">
          <w:rPr>
            <w:noProof/>
            <w:webHidden/>
          </w:rPr>
          <w:fldChar w:fldCharType="begin"/>
        </w:r>
        <w:r w:rsidR="00564CE1">
          <w:rPr>
            <w:noProof/>
            <w:webHidden/>
          </w:rPr>
          <w:instrText xml:space="preserve"> PAGEREF _Toc97823987 \h </w:instrText>
        </w:r>
        <w:r w:rsidR="00564CE1">
          <w:rPr>
            <w:noProof/>
            <w:webHidden/>
          </w:rPr>
        </w:r>
        <w:r w:rsidR="00564CE1">
          <w:rPr>
            <w:noProof/>
            <w:webHidden/>
          </w:rPr>
          <w:fldChar w:fldCharType="separate"/>
        </w:r>
        <w:r w:rsidR="00EF29C3">
          <w:rPr>
            <w:noProof/>
            <w:webHidden/>
          </w:rPr>
          <w:t>31</w:t>
        </w:r>
        <w:r w:rsidR="00564CE1">
          <w:rPr>
            <w:noProof/>
            <w:webHidden/>
          </w:rPr>
          <w:fldChar w:fldCharType="end"/>
        </w:r>
      </w:hyperlink>
    </w:p>
    <w:p w14:paraId="4FE54D62" w14:textId="501EC0F0" w:rsidR="00564CE1" w:rsidRDefault="00000000">
      <w:pPr>
        <w:pStyle w:val="TOC2"/>
        <w:rPr>
          <w:rFonts w:eastAsiaTheme="minorEastAsia" w:cstheme="minorBidi"/>
          <w:smallCaps w:val="0"/>
          <w:noProof/>
          <w:sz w:val="22"/>
          <w:szCs w:val="22"/>
          <w:lang w:eastAsia="en-GB" w:bidi="ar-SA"/>
        </w:rPr>
      </w:pPr>
      <w:hyperlink w:anchor="_Toc97823988" w:history="1">
        <w:r w:rsidR="00564CE1" w:rsidRPr="00772291">
          <w:rPr>
            <w:rStyle w:val="Hyperlink"/>
            <w:noProof/>
          </w:rPr>
          <w:t>7.4</w:t>
        </w:r>
        <w:r w:rsidR="00564CE1">
          <w:rPr>
            <w:rFonts w:eastAsiaTheme="minorEastAsia" w:cstheme="minorBidi"/>
            <w:smallCaps w:val="0"/>
            <w:noProof/>
            <w:sz w:val="22"/>
            <w:szCs w:val="22"/>
            <w:lang w:eastAsia="en-GB" w:bidi="ar-SA"/>
          </w:rPr>
          <w:tab/>
        </w:r>
        <w:r w:rsidR="00564CE1" w:rsidRPr="00772291">
          <w:rPr>
            <w:rStyle w:val="Hyperlink"/>
            <w:noProof/>
          </w:rPr>
          <w:t>Net benefit of option 2 – Regulatory measures</w:t>
        </w:r>
        <w:r w:rsidR="00564CE1">
          <w:rPr>
            <w:noProof/>
            <w:webHidden/>
          </w:rPr>
          <w:tab/>
        </w:r>
        <w:r w:rsidR="00564CE1">
          <w:rPr>
            <w:noProof/>
            <w:webHidden/>
          </w:rPr>
          <w:fldChar w:fldCharType="begin"/>
        </w:r>
        <w:r w:rsidR="00564CE1">
          <w:rPr>
            <w:noProof/>
            <w:webHidden/>
          </w:rPr>
          <w:instrText xml:space="preserve"> PAGEREF _Toc97823988 \h </w:instrText>
        </w:r>
        <w:r w:rsidR="00564CE1">
          <w:rPr>
            <w:noProof/>
            <w:webHidden/>
          </w:rPr>
        </w:r>
        <w:r w:rsidR="00564CE1">
          <w:rPr>
            <w:noProof/>
            <w:webHidden/>
          </w:rPr>
          <w:fldChar w:fldCharType="separate"/>
        </w:r>
        <w:r w:rsidR="00EF29C3">
          <w:rPr>
            <w:noProof/>
            <w:webHidden/>
          </w:rPr>
          <w:t>31</w:t>
        </w:r>
        <w:r w:rsidR="00564CE1">
          <w:rPr>
            <w:noProof/>
            <w:webHidden/>
          </w:rPr>
          <w:fldChar w:fldCharType="end"/>
        </w:r>
      </w:hyperlink>
    </w:p>
    <w:p w14:paraId="2AD67D1F" w14:textId="19C827C8" w:rsidR="00564CE1" w:rsidRDefault="00000000">
      <w:pPr>
        <w:pStyle w:val="TOC2"/>
        <w:rPr>
          <w:rFonts w:eastAsiaTheme="minorEastAsia" w:cstheme="minorBidi"/>
          <w:smallCaps w:val="0"/>
          <w:noProof/>
          <w:sz w:val="22"/>
          <w:szCs w:val="22"/>
          <w:lang w:eastAsia="en-GB" w:bidi="ar-SA"/>
        </w:rPr>
      </w:pPr>
      <w:hyperlink w:anchor="_Toc97823989" w:history="1">
        <w:r w:rsidR="00564CE1" w:rsidRPr="00772291">
          <w:rPr>
            <w:rStyle w:val="Hyperlink"/>
            <w:noProof/>
          </w:rPr>
          <w:t>7.5</w:t>
        </w:r>
        <w:r w:rsidR="00564CE1">
          <w:rPr>
            <w:rFonts w:eastAsiaTheme="minorEastAsia" w:cstheme="minorBidi"/>
            <w:smallCaps w:val="0"/>
            <w:noProof/>
            <w:sz w:val="22"/>
            <w:szCs w:val="22"/>
            <w:lang w:eastAsia="en-GB" w:bidi="ar-SA"/>
          </w:rPr>
          <w:tab/>
        </w:r>
        <w:r w:rsidR="00564CE1" w:rsidRPr="00772291">
          <w:rPr>
            <w:rStyle w:val="Hyperlink"/>
            <w:noProof/>
          </w:rPr>
          <w:t>Net benefit option 3 – Regulatory and non-regulatory measures – Preferred option</w:t>
        </w:r>
        <w:r w:rsidR="00564CE1">
          <w:rPr>
            <w:noProof/>
            <w:webHidden/>
          </w:rPr>
          <w:tab/>
        </w:r>
        <w:r w:rsidR="00564CE1">
          <w:rPr>
            <w:noProof/>
            <w:webHidden/>
          </w:rPr>
          <w:fldChar w:fldCharType="begin"/>
        </w:r>
        <w:r w:rsidR="00564CE1">
          <w:rPr>
            <w:noProof/>
            <w:webHidden/>
          </w:rPr>
          <w:instrText xml:space="preserve"> PAGEREF _Toc97823989 \h </w:instrText>
        </w:r>
        <w:r w:rsidR="00564CE1">
          <w:rPr>
            <w:noProof/>
            <w:webHidden/>
          </w:rPr>
        </w:r>
        <w:r w:rsidR="00564CE1">
          <w:rPr>
            <w:noProof/>
            <w:webHidden/>
          </w:rPr>
          <w:fldChar w:fldCharType="separate"/>
        </w:r>
        <w:r w:rsidR="00EF29C3">
          <w:rPr>
            <w:noProof/>
            <w:webHidden/>
          </w:rPr>
          <w:t>32</w:t>
        </w:r>
        <w:r w:rsidR="00564CE1">
          <w:rPr>
            <w:noProof/>
            <w:webHidden/>
          </w:rPr>
          <w:fldChar w:fldCharType="end"/>
        </w:r>
      </w:hyperlink>
    </w:p>
    <w:p w14:paraId="018AE3E9" w14:textId="6E3C604B"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0" w:history="1">
        <w:r w:rsidR="00564CE1" w:rsidRPr="00772291">
          <w:rPr>
            <w:rStyle w:val="Hyperlink"/>
            <w:noProof/>
          </w:rPr>
          <w:t>Costs to industry</w:t>
        </w:r>
        <w:r w:rsidR="00564CE1">
          <w:rPr>
            <w:noProof/>
            <w:webHidden/>
          </w:rPr>
          <w:tab/>
        </w:r>
        <w:r w:rsidR="00564CE1">
          <w:rPr>
            <w:noProof/>
            <w:webHidden/>
          </w:rPr>
          <w:fldChar w:fldCharType="begin"/>
        </w:r>
        <w:r w:rsidR="00564CE1">
          <w:rPr>
            <w:noProof/>
            <w:webHidden/>
          </w:rPr>
          <w:instrText xml:space="preserve"> PAGEREF _Toc97823990 \h </w:instrText>
        </w:r>
        <w:r w:rsidR="00564CE1">
          <w:rPr>
            <w:noProof/>
            <w:webHidden/>
          </w:rPr>
        </w:r>
        <w:r w:rsidR="00564CE1">
          <w:rPr>
            <w:noProof/>
            <w:webHidden/>
          </w:rPr>
          <w:fldChar w:fldCharType="separate"/>
        </w:r>
        <w:r w:rsidR="00EF29C3">
          <w:rPr>
            <w:noProof/>
            <w:webHidden/>
          </w:rPr>
          <w:t>32</w:t>
        </w:r>
        <w:r w:rsidR="00564CE1">
          <w:rPr>
            <w:noProof/>
            <w:webHidden/>
          </w:rPr>
          <w:fldChar w:fldCharType="end"/>
        </w:r>
      </w:hyperlink>
    </w:p>
    <w:p w14:paraId="4856065C" w14:textId="4944F8ED"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1" w:history="1">
        <w:r w:rsidR="00564CE1" w:rsidRPr="00772291">
          <w:rPr>
            <w:rStyle w:val="Hyperlink"/>
            <w:noProof/>
          </w:rPr>
          <w:t>Cost-benefit ratios</w:t>
        </w:r>
        <w:r w:rsidR="00564CE1">
          <w:rPr>
            <w:noProof/>
            <w:webHidden/>
          </w:rPr>
          <w:tab/>
        </w:r>
        <w:r w:rsidR="00564CE1">
          <w:rPr>
            <w:noProof/>
            <w:webHidden/>
          </w:rPr>
          <w:fldChar w:fldCharType="begin"/>
        </w:r>
        <w:r w:rsidR="00564CE1">
          <w:rPr>
            <w:noProof/>
            <w:webHidden/>
          </w:rPr>
          <w:instrText xml:space="preserve"> PAGEREF _Toc97823991 \h </w:instrText>
        </w:r>
        <w:r w:rsidR="00564CE1">
          <w:rPr>
            <w:noProof/>
            <w:webHidden/>
          </w:rPr>
        </w:r>
        <w:r w:rsidR="00564CE1">
          <w:rPr>
            <w:noProof/>
            <w:webHidden/>
          </w:rPr>
          <w:fldChar w:fldCharType="separate"/>
        </w:r>
        <w:r w:rsidR="00EF29C3">
          <w:rPr>
            <w:noProof/>
            <w:webHidden/>
          </w:rPr>
          <w:t>35</w:t>
        </w:r>
        <w:r w:rsidR="00564CE1">
          <w:rPr>
            <w:noProof/>
            <w:webHidden/>
          </w:rPr>
          <w:fldChar w:fldCharType="end"/>
        </w:r>
      </w:hyperlink>
    </w:p>
    <w:p w14:paraId="273ED16A" w14:textId="2256BACE"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2" w:history="1">
        <w:r w:rsidR="00564CE1" w:rsidRPr="00772291">
          <w:rPr>
            <w:rStyle w:val="Hyperlink"/>
            <w:noProof/>
          </w:rPr>
          <w:t>Net benefit estimates over 10 years</w:t>
        </w:r>
        <w:r w:rsidR="00564CE1">
          <w:rPr>
            <w:noProof/>
            <w:webHidden/>
          </w:rPr>
          <w:tab/>
        </w:r>
        <w:r w:rsidR="00564CE1">
          <w:rPr>
            <w:noProof/>
            <w:webHidden/>
          </w:rPr>
          <w:fldChar w:fldCharType="begin"/>
        </w:r>
        <w:r w:rsidR="00564CE1">
          <w:rPr>
            <w:noProof/>
            <w:webHidden/>
          </w:rPr>
          <w:instrText xml:space="preserve"> PAGEREF _Toc97823992 \h </w:instrText>
        </w:r>
        <w:r w:rsidR="00564CE1">
          <w:rPr>
            <w:noProof/>
            <w:webHidden/>
          </w:rPr>
        </w:r>
        <w:r w:rsidR="00564CE1">
          <w:rPr>
            <w:noProof/>
            <w:webHidden/>
          </w:rPr>
          <w:fldChar w:fldCharType="separate"/>
        </w:r>
        <w:r w:rsidR="00EF29C3">
          <w:rPr>
            <w:noProof/>
            <w:webHidden/>
          </w:rPr>
          <w:t>37</w:t>
        </w:r>
        <w:r w:rsidR="00564CE1">
          <w:rPr>
            <w:noProof/>
            <w:webHidden/>
          </w:rPr>
          <w:fldChar w:fldCharType="end"/>
        </w:r>
      </w:hyperlink>
    </w:p>
    <w:p w14:paraId="2FF49438" w14:textId="355EDE99"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3" w:history="1">
        <w:r w:rsidR="00564CE1" w:rsidRPr="00772291">
          <w:rPr>
            <w:rStyle w:val="Hyperlink"/>
            <w:noProof/>
          </w:rPr>
          <w:t>Ability for jurisdictions to work more proactively with growers</w:t>
        </w:r>
        <w:r w:rsidR="00564CE1">
          <w:rPr>
            <w:noProof/>
            <w:webHidden/>
          </w:rPr>
          <w:tab/>
        </w:r>
        <w:r w:rsidR="00564CE1">
          <w:rPr>
            <w:noProof/>
            <w:webHidden/>
          </w:rPr>
          <w:fldChar w:fldCharType="begin"/>
        </w:r>
        <w:r w:rsidR="00564CE1">
          <w:rPr>
            <w:noProof/>
            <w:webHidden/>
          </w:rPr>
          <w:instrText xml:space="preserve"> PAGEREF _Toc97823993 \h </w:instrText>
        </w:r>
        <w:r w:rsidR="00564CE1">
          <w:rPr>
            <w:noProof/>
            <w:webHidden/>
          </w:rPr>
        </w:r>
        <w:r w:rsidR="00564CE1">
          <w:rPr>
            <w:noProof/>
            <w:webHidden/>
          </w:rPr>
          <w:fldChar w:fldCharType="separate"/>
        </w:r>
        <w:r w:rsidR="00EF29C3">
          <w:rPr>
            <w:noProof/>
            <w:webHidden/>
          </w:rPr>
          <w:t>37</w:t>
        </w:r>
        <w:r w:rsidR="00564CE1">
          <w:rPr>
            <w:noProof/>
            <w:webHidden/>
          </w:rPr>
          <w:fldChar w:fldCharType="end"/>
        </w:r>
      </w:hyperlink>
    </w:p>
    <w:p w14:paraId="54E6F179" w14:textId="57793764"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4" w:history="1">
        <w:r w:rsidR="00564CE1" w:rsidRPr="00772291">
          <w:rPr>
            <w:rStyle w:val="Hyperlink"/>
            <w:noProof/>
          </w:rPr>
          <w:t>Increased exports</w:t>
        </w:r>
        <w:r w:rsidR="00564CE1">
          <w:rPr>
            <w:noProof/>
            <w:webHidden/>
          </w:rPr>
          <w:tab/>
        </w:r>
        <w:r w:rsidR="00564CE1">
          <w:rPr>
            <w:noProof/>
            <w:webHidden/>
          </w:rPr>
          <w:fldChar w:fldCharType="begin"/>
        </w:r>
        <w:r w:rsidR="00564CE1">
          <w:rPr>
            <w:noProof/>
            <w:webHidden/>
          </w:rPr>
          <w:instrText xml:space="preserve"> PAGEREF _Toc97823994 \h </w:instrText>
        </w:r>
        <w:r w:rsidR="00564CE1">
          <w:rPr>
            <w:noProof/>
            <w:webHidden/>
          </w:rPr>
        </w:r>
        <w:r w:rsidR="00564CE1">
          <w:rPr>
            <w:noProof/>
            <w:webHidden/>
          </w:rPr>
          <w:fldChar w:fldCharType="separate"/>
        </w:r>
        <w:r w:rsidR="00EF29C3">
          <w:rPr>
            <w:noProof/>
            <w:webHidden/>
          </w:rPr>
          <w:t>37</w:t>
        </w:r>
        <w:r w:rsidR="00564CE1">
          <w:rPr>
            <w:noProof/>
            <w:webHidden/>
          </w:rPr>
          <w:fldChar w:fldCharType="end"/>
        </w:r>
      </w:hyperlink>
    </w:p>
    <w:p w14:paraId="3ACA9396" w14:textId="4D7E507A"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5" w:history="1">
        <w:r w:rsidR="00564CE1" w:rsidRPr="00772291">
          <w:rPr>
            <w:rStyle w:val="Hyperlink"/>
            <w:noProof/>
          </w:rPr>
          <w:t>Consumer response</w:t>
        </w:r>
        <w:r w:rsidR="00564CE1">
          <w:rPr>
            <w:noProof/>
            <w:webHidden/>
          </w:rPr>
          <w:tab/>
        </w:r>
        <w:r w:rsidR="00564CE1">
          <w:rPr>
            <w:noProof/>
            <w:webHidden/>
          </w:rPr>
          <w:fldChar w:fldCharType="begin"/>
        </w:r>
        <w:r w:rsidR="00564CE1">
          <w:rPr>
            <w:noProof/>
            <w:webHidden/>
          </w:rPr>
          <w:instrText xml:space="preserve"> PAGEREF _Toc97823995 \h </w:instrText>
        </w:r>
        <w:r w:rsidR="00564CE1">
          <w:rPr>
            <w:noProof/>
            <w:webHidden/>
          </w:rPr>
        </w:r>
        <w:r w:rsidR="00564CE1">
          <w:rPr>
            <w:noProof/>
            <w:webHidden/>
          </w:rPr>
          <w:fldChar w:fldCharType="separate"/>
        </w:r>
        <w:r w:rsidR="00EF29C3">
          <w:rPr>
            <w:noProof/>
            <w:webHidden/>
          </w:rPr>
          <w:t>38</w:t>
        </w:r>
        <w:r w:rsidR="00564CE1">
          <w:rPr>
            <w:noProof/>
            <w:webHidden/>
          </w:rPr>
          <w:fldChar w:fldCharType="end"/>
        </w:r>
      </w:hyperlink>
    </w:p>
    <w:p w14:paraId="088CB929" w14:textId="60E6FB52"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6" w:history="1">
        <w:r w:rsidR="00564CE1" w:rsidRPr="00772291">
          <w:rPr>
            <w:rStyle w:val="Hyperlink"/>
            <w:noProof/>
          </w:rPr>
          <w:t>Non-regulatory measures</w:t>
        </w:r>
        <w:r w:rsidR="00564CE1">
          <w:rPr>
            <w:noProof/>
            <w:webHidden/>
          </w:rPr>
          <w:tab/>
        </w:r>
        <w:r w:rsidR="00564CE1">
          <w:rPr>
            <w:noProof/>
            <w:webHidden/>
          </w:rPr>
          <w:fldChar w:fldCharType="begin"/>
        </w:r>
        <w:r w:rsidR="00564CE1">
          <w:rPr>
            <w:noProof/>
            <w:webHidden/>
          </w:rPr>
          <w:instrText xml:space="preserve"> PAGEREF _Toc97823996 \h </w:instrText>
        </w:r>
        <w:r w:rsidR="00564CE1">
          <w:rPr>
            <w:noProof/>
            <w:webHidden/>
          </w:rPr>
        </w:r>
        <w:r w:rsidR="00564CE1">
          <w:rPr>
            <w:noProof/>
            <w:webHidden/>
          </w:rPr>
          <w:fldChar w:fldCharType="separate"/>
        </w:r>
        <w:r w:rsidR="00EF29C3">
          <w:rPr>
            <w:noProof/>
            <w:webHidden/>
          </w:rPr>
          <w:t>38</w:t>
        </w:r>
        <w:r w:rsidR="00564CE1">
          <w:rPr>
            <w:noProof/>
            <w:webHidden/>
          </w:rPr>
          <w:fldChar w:fldCharType="end"/>
        </w:r>
      </w:hyperlink>
    </w:p>
    <w:p w14:paraId="19A8214E" w14:textId="106D8FCE"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7" w:history="1">
        <w:r w:rsidR="00564CE1" w:rsidRPr="00772291">
          <w:rPr>
            <w:rStyle w:val="Hyperlink"/>
            <w:noProof/>
          </w:rPr>
          <w:t>Other impacts</w:t>
        </w:r>
        <w:r w:rsidR="00564CE1">
          <w:rPr>
            <w:noProof/>
            <w:webHidden/>
          </w:rPr>
          <w:tab/>
        </w:r>
        <w:r w:rsidR="00564CE1">
          <w:rPr>
            <w:noProof/>
            <w:webHidden/>
          </w:rPr>
          <w:fldChar w:fldCharType="begin"/>
        </w:r>
        <w:r w:rsidR="00564CE1">
          <w:rPr>
            <w:noProof/>
            <w:webHidden/>
          </w:rPr>
          <w:instrText xml:space="preserve"> PAGEREF _Toc97823997 \h </w:instrText>
        </w:r>
        <w:r w:rsidR="00564CE1">
          <w:rPr>
            <w:noProof/>
            <w:webHidden/>
          </w:rPr>
        </w:r>
        <w:r w:rsidR="00564CE1">
          <w:rPr>
            <w:noProof/>
            <w:webHidden/>
          </w:rPr>
          <w:fldChar w:fldCharType="separate"/>
        </w:r>
        <w:r w:rsidR="00EF29C3">
          <w:rPr>
            <w:noProof/>
            <w:webHidden/>
          </w:rPr>
          <w:t>39</w:t>
        </w:r>
        <w:r w:rsidR="00564CE1">
          <w:rPr>
            <w:noProof/>
            <w:webHidden/>
          </w:rPr>
          <w:fldChar w:fldCharType="end"/>
        </w:r>
      </w:hyperlink>
    </w:p>
    <w:p w14:paraId="621264C8" w14:textId="6AF4C273"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3998" w:history="1">
        <w:r w:rsidR="00564CE1" w:rsidRPr="00772291">
          <w:rPr>
            <w:rStyle w:val="Hyperlink"/>
            <w:noProof/>
          </w:rPr>
          <w:t>Summary of the costs and benefits of option 3</w:t>
        </w:r>
        <w:r w:rsidR="00564CE1">
          <w:rPr>
            <w:noProof/>
            <w:webHidden/>
          </w:rPr>
          <w:tab/>
        </w:r>
        <w:r w:rsidR="00564CE1">
          <w:rPr>
            <w:noProof/>
            <w:webHidden/>
          </w:rPr>
          <w:fldChar w:fldCharType="begin"/>
        </w:r>
        <w:r w:rsidR="00564CE1">
          <w:rPr>
            <w:noProof/>
            <w:webHidden/>
          </w:rPr>
          <w:instrText xml:space="preserve"> PAGEREF _Toc97823998 \h </w:instrText>
        </w:r>
        <w:r w:rsidR="00564CE1">
          <w:rPr>
            <w:noProof/>
            <w:webHidden/>
          </w:rPr>
        </w:r>
        <w:r w:rsidR="00564CE1">
          <w:rPr>
            <w:noProof/>
            <w:webHidden/>
          </w:rPr>
          <w:fldChar w:fldCharType="separate"/>
        </w:r>
        <w:r w:rsidR="00EF29C3">
          <w:rPr>
            <w:noProof/>
            <w:webHidden/>
          </w:rPr>
          <w:t>40</w:t>
        </w:r>
        <w:r w:rsidR="00564CE1">
          <w:rPr>
            <w:noProof/>
            <w:webHidden/>
          </w:rPr>
          <w:fldChar w:fldCharType="end"/>
        </w:r>
      </w:hyperlink>
    </w:p>
    <w:p w14:paraId="76B13661" w14:textId="58FDC1E7" w:rsidR="00564CE1" w:rsidRDefault="00000000">
      <w:pPr>
        <w:pStyle w:val="TOC2"/>
        <w:rPr>
          <w:rFonts w:eastAsiaTheme="minorEastAsia" w:cstheme="minorBidi"/>
          <w:smallCaps w:val="0"/>
          <w:noProof/>
          <w:sz w:val="22"/>
          <w:szCs w:val="22"/>
          <w:lang w:eastAsia="en-GB" w:bidi="ar-SA"/>
        </w:rPr>
      </w:pPr>
      <w:hyperlink w:anchor="_Toc97823999" w:history="1">
        <w:r w:rsidR="00564CE1" w:rsidRPr="00772291">
          <w:rPr>
            <w:rStyle w:val="Hyperlink"/>
            <w:noProof/>
          </w:rPr>
          <w:t>7.6</w:t>
        </w:r>
        <w:r w:rsidR="00564CE1">
          <w:rPr>
            <w:rFonts w:eastAsiaTheme="minorEastAsia" w:cstheme="minorBidi"/>
            <w:smallCaps w:val="0"/>
            <w:noProof/>
            <w:sz w:val="22"/>
            <w:szCs w:val="22"/>
            <w:lang w:eastAsia="en-GB" w:bidi="ar-SA"/>
          </w:rPr>
          <w:tab/>
        </w:r>
        <w:r w:rsidR="00564CE1" w:rsidRPr="00772291">
          <w:rPr>
            <w:rStyle w:val="Hyperlink"/>
            <w:noProof/>
          </w:rPr>
          <w:t>Net benefit of option 4 – Non-regulatory measures</w:t>
        </w:r>
        <w:r w:rsidR="00564CE1">
          <w:rPr>
            <w:noProof/>
            <w:webHidden/>
          </w:rPr>
          <w:tab/>
        </w:r>
        <w:r w:rsidR="00564CE1">
          <w:rPr>
            <w:noProof/>
            <w:webHidden/>
          </w:rPr>
          <w:fldChar w:fldCharType="begin"/>
        </w:r>
        <w:r w:rsidR="00564CE1">
          <w:rPr>
            <w:noProof/>
            <w:webHidden/>
          </w:rPr>
          <w:instrText xml:space="preserve"> PAGEREF _Toc97823999 \h </w:instrText>
        </w:r>
        <w:r w:rsidR="00564CE1">
          <w:rPr>
            <w:noProof/>
            <w:webHidden/>
          </w:rPr>
        </w:r>
        <w:r w:rsidR="00564CE1">
          <w:rPr>
            <w:noProof/>
            <w:webHidden/>
          </w:rPr>
          <w:fldChar w:fldCharType="separate"/>
        </w:r>
        <w:r w:rsidR="00EF29C3">
          <w:rPr>
            <w:noProof/>
            <w:webHidden/>
          </w:rPr>
          <w:t>40</w:t>
        </w:r>
        <w:r w:rsidR="00564CE1">
          <w:rPr>
            <w:noProof/>
            <w:webHidden/>
          </w:rPr>
          <w:fldChar w:fldCharType="end"/>
        </w:r>
      </w:hyperlink>
    </w:p>
    <w:p w14:paraId="07800C65" w14:textId="4004A308"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4000" w:history="1">
        <w:r w:rsidR="00564CE1" w:rsidRPr="00772291">
          <w:rPr>
            <w:rStyle w:val="Hyperlink"/>
            <w:noProof/>
          </w:rPr>
          <w:t>Summary of the costs and benefits of option 4</w:t>
        </w:r>
        <w:r w:rsidR="00564CE1">
          <w:rPr>
            <w:noProof/>
            <w:webHidden/>
          </w:rPr>
          <w:tab/>
        </w:r>
        <w:r w:rsidR="00564CE1">
          <w:rPr>
            <w:noProof/>
            <w:webHidden/>
          </w:rPr>
          <w:fldChar w:fldCharType="begin"/>
        </w:r>
        <w:r w:rsidR="00564CE1">
          <w:rPr>
            <w:noProof/>
            <w:webHidden/>
          </w:rPr>
          <w:instrText xml:space="preserve"> PAGEREF _Toc97824000 \h </w:instrText>
        </w:r>
        <w:r w:rsidR="00564CE1">
          <w:rPr>
            <w:noProof/>
            <w:webHidden/>
          </w:rPr>
        </w:r>
        <w:r w:rsidR="00564CE1">
          <w:rPr>
            <w:noProof/>
            <w:webHidden/>
          </w:rPr>
          <w:fldChar w:fldCharType="separate"/>
        </w:r>
        <w:r w:rsidR="00EF29C3">
          <w:rPr>
            <w:noProof/>
            <w:webHidden/>
          </w:rPr>
          <w:t>41</w:t>
        </w:r>
        <w:r w:rsidR="00564CE1">
          <w:rPr>
            <w:noProof/>
            <w:webHidden/>
          </w:rPr>
          <w:fldChar w:fldCharType="end"/>
        </w:r>
      </w:hyperlink>
    </w:p>
    <w:p w14:paraId="56683A8F" w14:textId="52EF9D95" w:rsidR="00564CE1" w:rsidRDefault="00000000">
      <w:pPr>
        <w:pStyle w:val="TOC2"/>
        <w:rPr>
          <w:rFonts w:eastAsiaTheme="minorEastAsia" w:cstheme="minorBidi"/>
          <w:smallCaps w:val="0"/>
          <w:noProof/>
          <w:sz w:val="22"/>
          <w:szCs w:val="22"/>
          <w:lang w:eastAsia="en-GB" w:bidi="ar-SA"/>
        </w:rPr>
      </w:pPr>
      <w:hyperlink w:anchor="_Toc97824001" w:history="1">
        <w:r w:rsidR="00564CE1" w:rsidRPr="00772291">
          <w:rPr>
            <w:rStyle w:val="Hyperlink"/>
            <w:noProof/>
          </w:rPr>
          <w:t>7.7</w:t>
        </w:r>
        <w:r w:rsidR="00564CE1">
          <w:rPr>
            <w:rFonts w:eastAsiaTheme="minorEastAsia" w:cstheme="minorBidi"/>
            <w:smallCaps w:val="0"/>
            <w:noProof/>
            <w:sz w:val="22"/>
            <w:szCs w:val="22"/>
            <w:lang w:eastAsia="en-GB" w:bidi="ar-SA"/>
          </w:rPr>
          <w:tab/>
        </w:r>
        <w:r w:rsidR="00564CE1" w:rsidRPr="00772291">
          <w:rPr>
            <w:rStyle w:val="Hyperlink"/>
            <w:noProof/>
          </w:rPr>
          <w:t>Comparing the costs and benefits of the risk management options</w:t>
        </w:r>
        <w:r w:rsidR="00564CE1">
          <w:rPr>
            <w:noProof/>
            <w:webHidden/>
          </w:rPr>
          <w:tab/>
        </w:r>
        <w:r w:rsidR="00564CE1">
          <w:rPr>
            <w:noProof/>
            <w:webHidden/>
          </w:rPr>
          <w:fldChar w:fldCharType="begin"/>
        </w:r>
        <w:r w:rsidR="00564CE1">
          <w:rPr>
            <w:noProof/>
            <w:webHidden/>
          </w:rPr>
          <w:instrText xml:space="preserve"> PAGEREF _Toc97824001 \h </w:instrText>
        </w:r>
        <w:r w:rsidR="00564CE1">
          <w:rPr>
            <w:noProof/>
            <w:webHidden/>
          </w:rPr>
        </w:r>
        <w:r w:rsidR="00564CE1">
          <w:rPr>
            <w:noProof/>
            <w:webHidden/>
          </w:rPr>
          <w:fldChar w:fldCharType="separate"/>
        </w:r>
        <w:r w:rsidR="00EF29C3">
          <w:rPr>
            <w:noProof/>
            <w:webHidden/>
          </w:rPr>
          <w:t>41</w:t>
        </w:r>
        <w:r w:rsidR="00564CE1">
          <w:rPr>
            <w:noProof/>
            <w:webHidden/>
          </w:rPr>
          <w:fldChar w:fldCharType="end"/>
        </w:r>
      </w:hyperlink>
    </w:p>
    <w:p w14:paraId="779B5ECE" w14:textId="595926C1" w:rsidR="00564CE1" w:rsidRDefault="00000000">
      <w:pPr>
        <w:pStyle w:val="TOC3"/>
        <w:tabs>
          <w:tab w:val="right" w:leader="dot" w:pos="9060"/>
        </w:tabs>
        <w:rPr>
          <w:rFonts w:eastAsiaTheme="minorEastAsia" w:cstheme="minorBidi"/>
          <w:i w:val="0"/>
          <w:iCs w:val="0"/>
          <w:noProof/>
          <w:sz w:val="22"/>
          <w:szCs w:val="22"/>
          <w:lang w:eastAsia="en-GB" w:bidi="ar-SA"/>
        </w:rPr>
      </w:pPr>
      <w:hyperlink w:anchor="_Toc97824002" w:history="1">
        <w:r w:rsidR="00564CE1" w:rsidRPr="00772291">
          <w:rPr>
            <w:rStyle w:val="Hyperlink"/>
            <w:noProof/>
          </w:rPr>
          <w:t>Quantitative analysis</w:t>
        </w:r>
        <w:r w:rsidR="00564CE1">
          <w:rPr>
            <w:noProof/>
            <w:webHidden/>
          </w:rPr>
          <w:tab/>
        </w:r>
        <w:r w:rsidR="00564CE1">
          <w:rPr>
            <w:noProof/>
            <w:webHidden/>
          </w:rPr>
          <w:fldChar w:fldCharType="begin"/>
        </w:r>
        <w:r w:rsidR="00564CE1">
          <w:rPr>
            <w:noProof/>
            <w:webHidden/>
          </w:rPr>
          <w:instrText xml:space="preserve"> PAGEREF _Toc97824002 \h </w:instrText>
        </w:r>
        <w:r w:rsidR="00564CE1">
          <w:rPr>
            <w:noProof/>
            <w:webHidden/>
          </w:rPr>
        </w:r>
        <w:r w:rsidR="00564CE1">
          <w:rPr>
            <w:noProof/>
            <w:webHidden/>
          </w:rPr>
          <w:fldChar w:fldCharType="separate"/>
        </w:r>
        <w:r w:rsidR="00EF29C3">
          <w:rPr>
            <w:noProof/>
            <w:webHidden/>
          </w:rPr>
          <w:t>41</w:t>
        </w:r>
        <w:r w:rsidR="00564CE1">
          <w:rPr>
            <w:noProof/>
            <w:webHidden/>
          </w:rPr>
          <w:fldChar w:fldCharType="end"/>
        </w:r>
      </w:hyperlink>
    </w:p>
    <w:p w14:paraId="1E910364" w14:textId="7FCB1C3F" w:rsidR="00564CE1" w:rsidRDefault="0000000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4003" w:history="1">
        <w:r w:rsidR="00564CE1" w:rsidRPr="00772291">
          <w:rPr>
            <w:rStyle w:val="Hyperlink"/>
            <w:rFonts w:ascii="Arial Bold" w:eastAsiaTheme="majorEastAsia" w:hAnsi="Arial Bold" w:cstheme="majorBidi"/>
            <w:noProof/>
            <w:lang w:val="en-AU" w:eastAsia="en-GB"/>
          </w:rPr>
          <w:t>8.</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is the best option from those considered?</w:t>
        </w:r>
        <w:r w:rsidR="00564CE1">
          <w:rPr>
            <w:noProof/>
            <w:webHidden/>
          </w:rPr>
          <w:tab/>
        </w:r>
        <w:r w:rsidR="00564CE1">
          <w:rPr>
            <w:noProof/>
            <w:webHidden/>
          </w:rPr>
          <w:fldChar w:fldCharType="begin"/>
        </w:r>
        <w:r w:rsidR="00564CE1">
          <w:rPr>
            <w:noProof/>
            <w:webHidden/>
          </w:rPr>
          <w:instrText xml:space="preserve"> PAGEREF _Toc97824003 \h </w:instrText>
        </w:r>
        <w:r w:rsidR="00564CE1">
          <w:rPr>
            <w:noProof/>
            <w:webHidden/>
          </w:rPr>
        </w:r>
        <w:r w:rsidR="00564CE1">
          <w:rPr>
            <w:noProof/>
            <w:webHidden/>
          </w:rPr>
          <w:fldChar w:fldCharType="separate"/>
        </w:r>
        <w:r w:rsidR="00EF29C3">
          <w:rPr>
            <w:noProof/>
            <w:webHidden/>
          </w:rPr>
          <w:t>41</w:t>
        </w:r>
        <w:r w:rsidR="00564CE1">
          <w:rPr>
            <w:noProof/>
            <w:webHidden/>
          </w:rPr>
          <w:fldChar w:fldCharType="end"/>
        </w:r>
      </w:hyperlink>
    </w:p>
    <w:p w14:paraId="3C3BE53A" w14:textId="75EE63FE" w:rsidR="00564CE1" w:rsidRDefault="00000000">
      <w:pPr>
        <w:pStyle w:val="TOC2"/>
        <w:rPr>
          <w:rFonts w:eastAsiaTheme="minorEastAsia" w:cstheme="minorBidi"/>
          <w:smallCaps w:val="0"/>
          <w:noProof/>
          <w:sz w:val="22"/>
          <w:szCs w:val="22"/>
          <w:lang w:eastAsia="en-GB" w:bidi="ar-SA"/>
        </w:rPr>
      </w:pPr>
      <w:hyperlink w:anchor="_Toc97824004" w:history="1">
        <w:r w:rsidR="00564CE1" w:rsidRPr="00772291">
          <w:rPr>
            <w:rStyle w:val="Hyperlink"/>
            <w:rFonts w:eastAsiaTheme="majorEastAsia"/>
            <w:noProof/>
            <w:lang w:val="en-AU" w:eastAsia="en-GB"/>
          </w:rPr>
          <w:t>8.1</w:t>
        </w:r>
        <w:r w:rsidR="00564CE1">
          <w:rPr>
            <w:rFonts w:eastAsiaTheme="minorEastAsia" w:cstheme="minorBidi"/>
            <w:smallCaps w:val="0"/>
            <w:noProof/>
            <w:sz w:val="22"/>
            <w:szCs w:val="22"/>
            <w:lang w:eastAsia="en-GB" w:bidi="ar-SA"/>
          </w:rPr>
          <w:tab/>
        </w:r>
        <w:r w:rsidR="00564CE1" w:rsidRPr="00772291">
          <w:rPr>
            <w:rStyle w:val="Hyperlink"/>
            <w:rFonts w:eastAsiaTheme="majorEastAsia"/>
            <w:noProof/>
            <w:lang w:val="en-AU" w:eastAsia="en-GB"/>
          </w:rPr>
          <w:t>Overview</w:t>
        </w:r>
        <w:r w:rsidR="00564CE1">
          <w:rPr>
            <w:noProof/>
            <w:webHidden/>
          </w:rPr>
          <w:tab/>
        </w:r>
        <w:r w:rsidR="00564CE1">
          <w:rPr>
            <w:noProof/>
            <w:webHidden/>
          </w:rPr>
          <w:fldChar w:fldCharType="begin"/>
        </w:r>
        <w:r w:rsidR="00564CE1">
          <w:rPr>
            <w:noProof/>
            <w:webHidden/>
          </w:rPr>
          <w:instrText xml:space="preserve"> PAGEREF _Toc97824004 \h </w:instrText>
        </w:r>
        <w:r w:rsidR="00564CE1">
          <w:rPr>
            <w:noProof/>
            <w:webHidden/>
          </w:rPr>
        </w:r>
        <w:r w:rsidR="00564CE1">
          <w:rPr>
            <w:noProof/>
            <w:webHidden/>
          </w:rPr>
          <w:fldChar w:fldCharType="separate"/>
        </w:r>
        <w:r w:rsidR="00EF29C3">
          <w:rPr>
            <w:noProof/>
            <w:webHidden/>
          </w:rPr>
          <w:t>41</w:t>
        </w:r>
        <w:r w:rsidR="00564CE1">
          <w:rPr>
            <w:noProof/>
            <w:webHidden/>
          </w:rPr>
          <w:fldChar w:fldCharType="end"/>
        </w:r>
      </w:hyperlink>
    </w:p>
    <w:p w14:paraId="60D5AA00" w14:textId="03B95762" w:rsidR="00564CE1" w:rsidRDefault="00000000">
      <w:pPr>
        <w:pStyle w:val="TOC2"/>
        <w:rPr>
          <w:rFonts w:eastAsiaTheme="minorEastAsia" w:cstheme="minorBidi"/>
          <w:smallCaps w:val="0"/>
          <w:noProof/>
          <w:sz w:val="22"/>
          <w:szCs w:val="22"/>
          <w:lang w:eastAsia="en-GB" w:bidi="ar-SA"/>
        </w:rPr>
      </w:pPr>
      <w:hyperlink w:anchor="_Toc97824005" w:history="1">
        <w:r w:rsidR="00564CE1" w:rsidRPr="00772291">
          <w:rPr>
            <w:rStyle w:val="Hyperlink"/>
            <w:noProof/>
          </w:rPr>
          <w:t>8.2</w:t>
        </w:r>
        <w:r w:rsidR="00564CE1">
          <w:rPr>
            <w:rFonts w:eastAsiaTheme="minorEastAsia" w:cstheme="minorBidi"/>
            <w:smallCaps w:val="0"/>
            <w:noProof/>
            <w:sz w:val="22"/>
            <w:szCs w:val="22"/>
            <w:lang w:eastAsia="en-GB" w:bidi="ar-SA"/>
          </w:rPr>
          <w:tab/>
        </w:r>
        <w:r w:rsidR="00564CE1" w:rsidRPr="00772291">
          <w:rPr>
            <w:rStyle w:val="Hyperlink"/>
            <w:noProof/>
          </w:rPr>
          <w:t>FSANZ’s objectives</w:t>
        </w:r>
        <w:r w:rsidR="00564CE1">
          <w:rPr>
            <w:noProof/>
            <w:webHidden/>
          </w:rPr>
          <w:tab/>
        </w:r>
        <w:r w:rsidR="00564CE1">
          <w:rPr>
            <w:noProof/>
            <w:webHidden/>
          </w:rPr>
          <w:fldChar w:fldCharType="begin"/>
        </w:r>
        <w:r w:rsidR="00564CE1">
          <w:rPr>
            <w:noProof/>
            <w:webHidden/>
          </w:rPr>
          <w:instrText xml:space="preserve"> PAGEREF _Toc97824005 \h </w:instrText>
        </w:r>
        <w:r w:rsidR="00564CE1">
          <w:rPr>
            <w:noProof/>
            <w:webHidden/>
          </w:rPr>
        </w:r>
        <w:r w:rsidR="00564CE1">
          <w:rPr>
            <w:noProof/>
            <w:webHidden/>
          </w:rPr>
          <w:fldChar w:fldCharType="separate"/>
        </w:r>
        <w:r w:rsidR="00EF29C3">
          <w:rPr>
            <w:noProof/>
            <w:webHidden/>
          </w:rPr>
          <w:t>42</w:t>
        </w:r>
        <w:r w:rsidR="00564CE1">
          <w:rPr>
            <w:noProof/>
            <w:webHidden/>
          </w:rPr>
          <w:fldChar w:fldCharType="end"/>
        </w:r>
      </w:hyperlink>
    </w:p>
    <w:p w14:paraId="7FE7AA39" w14:textId="2C92582D" w:rsidR="00564CE1" w:rsidRDefault="00000000">
      <w:pPr>
        <w:pStyle w:val="TOC2"/>
        <w:rPr>
          <w:rFonts w:eastAsiaTheme="minorEastAsia" w:cstheme="minorBidi"/>
          <w:smallCaps w:val="0"/>
          <w:noProof/>
          <w:sz w:val="22"/>
          <w:szCs w:val="22"/>
          <w:lang w:eastAsia="en-GB" w:bidi="ar-SA"/>
        </w:rPr>
      </w:pPr>
      <w:hyperlink w:anchor="_Toc97824006" w:history="1">
        <w:r w:rsidR="00564CE1" w:rsidRPr="00772291">
          <w:rPr>
            <w:rStyle w:val="Hyperlink"/>
            <w:noProof/>
            <w:lang w:val="en-AU"/>
          </w:rPr>
          <w:t>8.3</w:t>
        </w:r>
        <w:r w:rsidR="00564CE1">
          <w:rPr>
            <w:rFonts w:eastAsiaTheme="minorEastAsia" w:cstheme="minorBidi"/>
            <w:smallCaps w:val="0"/>
            <w:noProof/>
            <w:sz w:val="22"/>
            <w:szCs w:val="22"/>
            <w:lang w:eastAsia="en-GB" w:bidi="ar-SA"/>
          </w:rPr>
          <w:tab/>
        </w:r>
        <w:r w:rsidR="00564CE1" w:rsidRPr="00772291">
          <w:rPr>
            <w:rStyle w:val="Hyperlink"/>
            <w:noProof/>
            <w:lang w:val="en-AU"/>
          </w:rPr>
          <w:t>Option 1 – Status quo</w:t>
        </w:r>
        <w:r w:rsidR="00564CE1">
          <w:rPr>
            <w:noProof/>
            <w:webHidden/>
          </w:rPr>
          <w:tab/>
        </w:r>
        <w:r w:rsidR="00564CE1">
          <w:rPr>
            <w:noProof/>
            <w:webHidden/>
          </w:rPr>
          <w:fldChar w:fldCharType="begin"/>
        </w:r>
        <w:r w:rsidR="00564CE1">
          <w:rPr>
            <w:noProof/>
            <w:webHidden/>
          </w:rPr>
          <w:instrText xml:space="preserve"> PAGEREF _Toc97824006 \h </w:instrText>
        </w:r>
        <w:r w:rsidR="00564CE1">
          <w:rPr>
            <w:noProof/>
            <w:webHidden/>
          </w:rPr>
        </w:r>
        <w:r w:rsidR="00564CE1">
          <w:rPr>
            <w:noProof/>
            <w:webHidden/>
          </w:rPr>
          <w:fldChar w:fldCharType="separate"/>
        </w:r>
        <w:r w:rsidR="00EF29C3">
          <w:rPr>
            <w:noProof/>
            <w:webHidden/>
          </w:rPr>
          <w:t>43</w:t>
        </w:r>
        <w:r w:rsidR="00564CE1">
          <w:rPr>
            <w:noProof/>
            <w:webHidden/>
          </w:rPr>
          <w:fldChar w:fldCharType="end"/>
        </w:r>
      </w:hyperlink>
    </w:p>
    <w:p w14:paraId="757A3FF2" w14:textId="09512DC1" w:rsidR="00564CE1" w:rsidRDefault="00000000">
      <w:pPr>
        <w:pStyle w:val="TOC2"/>
        <w:rPr>
          <w:rFonts w:eastAsiaTheme="minorEastAsia" w:cstheme="minorBidi"/>
          <w:smallCaps w:val="0"/>
          <w:noProof/>
          <w:sz w:val="22"/>
          <w:szCs w:val="22"/>
          <w:lang w:eastAsia="en-GB" w:bidi="ar-SA"/>
        </w:rPr>
      </w:pPr>
      <w:hyperlink w:anchor="_Toc97824007" w:history="1">
        <w:r w:rsidR="00564CE1" w:rsidRPr="00772291">
          <w:rPr>
            <w:rStyle w:val="Hyperlink"/>
            <w:noProof/>
            <w:lang w:val="en-AU"/>
          </w:rPr>
          <w:t>8.4</w:t>
        </w:r>
        <w:r w:rsidR="00564CE1">
          <w:rPr>
            <w:rFonts w:eastAsiaTheme="minorEastAsia" w:cstheme="minorBidi"/>
            <w:smallCaps w:val="0"/>
            <w:noProof/>
            <w:sz w:val="22"/>
            <w:szCs w:val="22"/>
            <w:lang w:eastAsia="en-GB" w:bidi="ar-SA"/>
          </w:rPr>
          <w:tab/>
        </w:r>
        <w:r w:rsidR="00564CE1" w:rsidRPr="00772291">
          <w:rPr>
            <w:rStyle w:val="Hyperlink"/>
            <w:noProof/>
            <w:lang w:val="en-AU"/>
          </w:rPr>
          <w:t>Option 2 – Regulatory measures (standalone)</w:t>
        </w:r>
        <w:r w:rsidR="00564CE1">
          <w:rPr>
            <w:noProof/>
            <w:webHidden/>
          </w:rPr>
          <w:tab/>
        </w:r>
        <w:r w:rsidR="00564CE1">
          <w:rPr>
            <w:noProof/>
            <w:webHidden/>
          </w:rPr>
          <w:fldChar w:fldCharType="begin"/>
        </w:r>
        <w:r w:rsidR="00564CE1">
          <w:rPr>
            <w:noProof/>
            <w:webHidden/>
          </w:rPr>
          <w:instrText xml:space="preserve"> PAGEREF _Toc97824007 \h </w:instrText>
        </w:r>
        <w:r w:rsidR="00564CE1">
          <w:rPr>
            <w:noProof/>
            <w:webHidden/>
          </w:rPr>
        </w:r>
        <w:r w:rsidR="00564CE1">
          <w:rPr>
            <w:noProof/>
            <w:webHidden/>
          </w:rPr>
          <w:fldChar w:fldCharType="separate"/>
        </w:r>
        <w:r w:rsidR="00EF29C3">
          <w:rPr>
            <w:noProof/>
            <w:webHidden/>
          </w:rPr>
          <w:t>43</w:t>
        </w:r>
        <w:r w:rsidR="00564CE1">
          <w:rPr>
            <w:noProof/>
            <w:webHidden/>
          </w:rPr>
          <w:fldChar w:fldCharType="end"/>
        </w:r>
      </w:hyperlink>
    </w:p>
    <w:p w14:paraId="6DF40ED6" w14:textId="797E02C4" w:rsidR="00564CE1" w:rsidRDefault="00000000">
      <w:pPr>
        <w:pStyle w:val="TOC2"/>
        <w:rPr>
          <w:rFonts w:eastAsiaTheme="minorEastAsia" w:cstheme="minorBidi"/>
          <w:smallCaps w:val="0"/>
          <w:noProof/>
          <w:sz w:val="22"/>
          <w:szCs w:val="22"/>
          <w:lang w:eastAsia="en-GB" w:bidi="ar-SA"/>
        </w:rPr>
      </w:pPr>
      <w:hyperlink w:anchor="_Toc97824008" w:history="1">
        <w:r w:rsidR="00564CE1" w:rsidRPr="00772291">
          <w:rPr>
            <w:rStyle w:val="Hyperlink"/>
            <w:noProof/>
            <w:lang w:val="en-AU"/>
          </w:rPr>
          <w:t>8.5</w:t>
        </w:r>
        <w:r w:rsidR="00564CE1">
          <w:rPr>
            <w:rFonts w:eastAsiaTheme="minorEastAsia" w:cstheme="minorBidi"/>
            <w:smallCaps w:val="0"/>
            <w:noProof/>
            <w:sz w:val="22"/>
            <w:szCs w:val="22"/>
            <w:lang w:eastAsia="en-GB" w:bidi="ar-SA"/>
          </w:rPr>
          <w:tab/>
        </w:r>
        <w:r w:rsidR="00564CE1" w:rsidRPr="00772291">
          <w:rPr>
            <w:rStyle w:val="Hyperlink"/>
            <w:noProof/>
            <w:lang w:val="en-AU"/>
          </w:rPr>
          <w:t>Option 3 – Regulatory and non-regulatory measures</w:t>
        </w:r>
        <w:r w:rsidR="00564CE1">
          <w:rPr>
            <w:noProof/>
            <w:webHidden/>
          </w:rPr>
          <w:tab/>
        </w:r>
        <w:r w:rsidR="00564CE1">
          <w:rPr>
            <w:noProof/>
            <w:webHidden/>
          </w:rPr>
          <w:fldChar w:fldCharType="begin"/>
        </w:r>
        <w:r w:rsidR="00564CE1">
          <w:rPr>
            <w:noProof/>
            <w:webHidden/>
          </w:rPr>
          <w:instrText xml:space="preserve"> PAGEREF _Toc97824008 \h </w:instrText>
        </w:r>
        <w:r w:rsidR="00564CE1">
          <w:rPr>
            <w:noProof/>
            <w:webHidden/>
          </w:rPr>
        </w:r>
        <w:r w:rsidR="00564CE1">
          <w:rPr>
            <w:noProof/>
            <w:webHidden/>
          </w:rPr>
          <w:fldChar w:fldCharType="separate"/>
        </w:r>
        <w:r w:rsidR="00EF29C3">
          <w:rPr>
            <w:noProof/>
            <w:webHidden/>
          </w:rPr>
          <w:t>43</w:t>
        </w:r>
        <w:r w:rsidR="00564CE1">
          <w:rPr>
            <w:noProof/>
            <w:webHidden/>
          </w:rPr>
          <w:fldChar w:fldCharType="end"/>
        </w:r>
      </w:hyperlink>
    </w:p>
    <w:p w14:paraId="46EA258C" w14:textId="2A63DACB" w:rsidR="00564CE1" w:rsidRDefault="00000000">
      <w:pPr>
        <w:pStyle w:val="TOC2"/>
        <w:rPr>
          <w:rFonts w:eastAsiaTheme="minorEastAsia" w:cstheme="minorBidi"/>
          <w:smallCaps w:val="0"/>
          <w:noProof/>
          <w:sz w:val="22"/>
          <w:szCs w:val="22"/>
          <w:lang w:eastAsia="en-GB" w:bidi="ar-SA"/>
        </w:rPr>
      </w:pPr>
      <w:hyperlink w:anchor="_Toc97824009" w:history="1">
        <w:r w:rsidR="00564CE1" w:rsidRPr="00772291">
          <w:rPr>
            <w:rStyle w:val="Hyperlink"/>
            <w:noProof/>
            <w:lang w:val="en-AU"/>
          </w:rPr>
          <w:t>8.6</w:t>
        </w:r>
        <w:r w:rsidR="00564CE1">
          <w:rPr>
            <w:rFonts w:eastAsiaTheme="minorEastAsia" w:cstheme="minorBidi"/>
            <w:smallCaps w:val="0"/>
            <w:noProof/>
            <w:sz w:val="22"/>
            <w:szCs w:val="22"/>
            <w:lang w:eastAsia="en-GB" w:bidi="ar-SA"/>
          </w:rPr>
          <w:tab/>
        </w:r>
        <w:r w:rsidR="00564CE1" w:rsidRPr="00772291">
          <w:rPr>
            <w:rStyle w:val="Hyperlink"/>
            <w:noProof/>
            <w:lang w:val="en-AU"/>
          </w:rPr>
          <w:t>Option 4 - Non-regulatory measures (standalone)</w:t>
        </w:r>
        <w:r w:rsidR="00564CE1">
          <w:rPr>
            <w:noProof/>
            <w:webHidden/>
          </w:rPr>
          <w:tab/>
        </w:r>
        <w:r w:rsidR="00564CE1">
          <w:rPr>
            <w:noProof/>
            <w:webHidden/>
          </w:rPr>
          <w:fldChar w:fldCharType="begin"/>
        </w:r>
        <w:r w:rsidR="00564CE1">
          <w:rPr>
            <w:noProof/>
            <w:webHidden/>
          </w:rPr>
          <w:instrText xml:space="preserve"> PAGEREF _Toc97824009 \h </w:instrText>
        </w:r>
        <w:r w:rsidR="00564CE1">
          <w:rPr>
            <w:noProof/>
            <w:webHidden/>
          </w:rPr>
        </w:r>
        <w:r w:rsidR="00564CE1">
          <w:rPr>
            <w:noProof/>
            <w:webHidden/>
          </w:rPr>
          <w:fldChar w:fldCharType="separate"/>
        </w:r>
        <w:r w:rsidR="00EF29C3">
          <w:rPr>
            <w:noProof/>
            <w:webHidden/>
          </w:rPr>
          <w:t>46</w:t>
        </w:r>
        <w:r w:rsidR="00564CE1">
          <w:rPr>
            <w:noProof/>
            <w:webHidden/>
          </w:rPr>
          <w:fldChar w:fldCharType="end"/>
        </w:r>
      </w:hyperlink>
    </w:p>
    <w:p w14:paraId="1FAF44CD" w14:textId="0877F4F3" w:rsidR="00564CE1" w:rsidRDefault="00000000">
      <w:pPr>
        <w:pStyle w:val="TOC1"/>
        <w:tabs>
          <w:tab w:val="right" w:leader="dot" w:pos="9060"/>
        </w:tabs>
        <w:rPr>
          <w:rFonts w:eastAsiaTheme="minorEastAsia" w:cstheme="minorBidi"/>
          <w:b w:val="0"/>
          <w:bCs w:val="0"/>
          <w:caps w:val="0"/>
          <w:noProof/>
          <w:sz w:val="22"/>
          <w:szCs w:val="22"/>
          <w:lang w:eastAsia="en-GB" w:bidi="ar-SA"/>
        </w:rPr>
      </w:pPr>
      <w:hyperlink w:anchor="_Toc97824010" w:history="1">
        <w:r w:rsidR="00564CE1" w:rsidRPr="00772291">
          <w:rPr>
            <w:rStyle w:val="Hyperlink"/>
            <w:rFonts w:ascii="Arial Bold" w:eastAsiaTheme="majorEastAsia" w:hAnsi="Arial Bold" w:cstheme="majorBidi"/>
            <w:noProof/>
            <w:lang w:val="en-AU" w:eastAsia="en-GB"/>
          </w:rPr>
          <w:t>9. Case studies</w:t>
        </w:r>
        <w:r w:rsidR="00564CE1">
          <w:rPr>
            <w:noProof/>
            <w:webHidden/>
          </w:rPr>
          <w:tab/>
        </w:r>
        <w:r w:rsidR="00564CE1">
          <w:rPr>
            <w:noProof/>
            <w:webHidden/>
          </w:rPr>
          <w:fldChar w:fldCharType="begin"/>
        </w:r>
        <w:r w:rsidR="00564CE1">
          <w:rPr>
            <w:noProof/>
            <w:webHidden/>
          </w:rPr>
          <w:instrText xml:space="preserve"> PAGEREF _Toc97824010 \h </w:instrText>
        </w:r>
        <w:r w:rsidR="00564CE1">
          <w:rPr>
            <w:noProof/>
            <w:webHidden/>
          </w:rPr>
        </w:r>
        <w:r w:rsidR="00564CE1">
          <w:rPr>
            <w:noProof/>
            <w:webHidden/>
          </w:rPr>
          <w:fldChar w:fldCharType="separate"/>
        </w:r>
        <w:r w:rsidR="00EF29C3">
          <w:rPr>
            <w:noProof/>
            <w:webHidden/>
          </w:rPr>
          <w:t>48</w:t>
        </w:r>
        <w:r w:rsidR="00564CE1">
          <w:rPr>
            <w:noProof/>
            <w:webHidden/>
          </w:rPr>
          <w:fldChar w:fldCharType="end"/>
        </w:r>
      </w:hyperlink>
    </w:p>
    <w:p w14:paraId="21EF3741" w14:textId="07B8D9C1" w:rsidR="00564CE1" w:rsidRDefault="00000000">
      <w:pPr>
        <w:pStyle w:val="TOC1"/>
        <w:tabs>
          <w:tab w:val="left" w:pos="660"/>
          <w:tab w:val="right" w:leader="dot" w:pos="9060"/>
        </w:tabs>
        <w:rPr>
          <w:rFonts w:eastAsiaTheme="minorEastAsia" w:cstheme="minorBidi"/>
          <w:b w:val="0"/>
          <w:bCs w:val="0"/>
          <w:caps w:val="0"/>
          <w:noProof/>
          <w:sz w:val="22"/>
          <w:szCs w:val="22"/>
          <w:lang w:eastAsia="en-GB" w:bidi="ar-SA"/>
        </w:rPr>
      </w:pPr>
      <w:hyperlink w:anchor="_Toc97824011" w:history="1">
        <w:r w:rsidR="00564CE1" w:rsidRPr="00772291">
          <w:rPr>
            <w:rStyle w:val="Hyperlink"/>
            <w:rFonts w:ascii="Arial Bold" w:eastAsiaTheme="majorEastAsia" w:hAnsi="Arial Bold" w:cstheme="majorBidi"/>
            <w:noProof/>
            <w:lang w:val="en-AU" w:eastAsia="en-GB"/>
          </w:rPr>
          <w:t>10.</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Who was consulted and how was their feedback incorporated?</w:t>
        </w:r>
        <w:r w:rsidR="00564CE1">
          <w:rPr>
            <w:noProof/>
            <w:webHidden/>
          </w:rPr>
          <w:tab/>
        </w:r>
        <w:r w:rsidR="00564CE1">
          <w:rPr>
            <w:noProof/>
            <w:webHidden/>
          </w:rPr>
          <w:fldChar w:fldCharType="begin"/>
        </w:r>
        <w:r w:rsidR="00564CE1">
          <w:rPr>
            <w:noProof/>
            <w:webHidden/>
          </w:rPr>
          <w:instrText xml:space="preserve"> PAGEREF _Toc97824011 \h </w:instrText>
        </w:r>
        <w:r w:rsidR="00564CE1">
          <w:rPr>
            <w:noProof/>
            <w:webHidden/>
          </w:rPr>
        </w:r>
        <w:r w:rsidR="00564CE1">
          <w:rPr>
            <w:noProof/>
            <w:webHidden/>
          </w:rPr>
          <w:fldChar w:fldCharType="separate"/>
        </w:r>
        <w:r w:rsidR="00EF29C3">
          <w:rPr>
            <w:noProof/>
            <w:webHidden/>
          </w:rPr>
          <w:t>51</w:t>
        </w:r>
        <w:r w:rsidR="00564CE1">
          <w:rPr>
            <w:noProof/>
            <w:webHidden/>
          </w:rPr>
          <w:fldChar w:fldCharType="end"/>
        </w:r>
      </w:hyperlink>
    </w:p>
    <w:p w14:paraId="712776BA" w14:textId="16F70DBC" w:rsidR="00564CE1" w:rsidRDefault="00000000">
      <w:pPr>
        <w:pStyle w:val="TOC2"/>
        <w:rPr>
          <w:rFonts w:eastAsiaTheme="minorEastAsia" w:cstheme="minorBidi"/>
          <w:smallCaps w:val="0"/>
          <w:noProof/>
          <w:sz w:val="22"/>
          <w:szCs w:val="22"/>
          <w:lang w:eastAsia="en-GB" w:bidi="ar-SA"/>
        </w:rPr>
      </w:pPr>
      <w:hyperlink w:anchor="_Toc97824012" w:history="1">
        <w:r w:rsidR="00564CE1" w:rsidRPr="00772291">
          <w:rPr>
            <w:rStyle w:val="Hyperlink"/>
            <w:noProof/>
          </w:rPr>
          <w:t>10.1</w:t>
        </w:r>
        <w:r w:rsidR="00564CE1">
          <w:rPr>
            <w:rFonts w:eastAsiaTheme="minorEastAsia" w:cstheme="minorBidi"/>
            <w:smallCaps w:val="0"/>
            <w:noProof/>
            <w:sz w:val="22"/>
            <w:szCs w:val="22"/>
            <w:lang w:eastAsia="en-GB" w:bidi="ar-SA"/>
          </w:rPr>
          <w:tab/>
        </w:r>
        <w:r w:rsidR="00564CE1" w:rsidRPr="00772291">
          <w:rPr>
            <w:rStyle w:val="Hyperlink"/>
            <w:noProof/>
          </w:rPr>
          <w:t xml:space="preserve">  Overview</w:t>
        </w:r>
        <w:r w:rsidR="00564CE1">
          <w:rPr>
            <w:noProof/>
            <w:webHidden/>
          </w:rPr>
          <w:tab/>
        </w:r>
        <w:r w:rsidR="00564CE1">
          <w:rPr>
            <w:noProof/>
            <w:webHidden/>
          </w:rPr>
          <w:fldChar w:fldCharType="begin"/>
        </w:r>
        <w:r w:rsidR="00564CE1">
          <w:rPr>
            <w:noProof/>
            <w:webHidden/>
          </w:rPr>
          <w:instrText xml:space="preserve"> PAGEREF _Toc97824012 \h </w:instrText>
        </w:r>
        <w:r w:rsidR="00564CE1">
          <w:rPr>
            <w:noProof/>
            <w:webHidden/>
          </w:rPr>
        </w:r>
        <w:r w:rsidR="00564CE1">
          <w:rPr>
            <w:noProof/>
            <w:webHidden/>
          </w:rPr>
          <w:fldChar w:fldCharType="separate"/>
        </w:r>
        <w:r w:rsidR="00EF29C3">
          <w:rPr>
            <w:noProof/>
            <w:webHidden/>
          </w:rPr>
          <w:t>51</w:t>
        </w:r>
        <w:r w:rsidR="00564CE1">
          <w:rPr>
            <w:noProof/>
            <w:webHidden/>
          </w:rPr>
          <w:fldChar w:fldCharType="end"/>
        </w:r>
      </w:hyperlink>
    </w:p>
    <w:p w14:paraId="1202ADAB" w14:textId="2D9DC857" w:rsidR="00564CE1" w:rsidRDefault="00000000">
      <w:pPr>
        <w:pStyle w:val="TOC2"/>
        <w:rPr>
          <w:rFonts w:eastAsiaTheme="minorEastAsia" w:cstheme="minorBidi"/>
          <w:smallCaps w:val="0"/>
          <w:noProof/>
          <w:sz w:val="22"/>
          <w:szCs w:val="22"/>
          <w:lang w:eastAsia="en-GB" w:bidi="ar-SA"/>
        </w:rPr>
      </w:pPr>
      <w:hyperlink w:anchor="_Toc97824013" w:history="1">
        <w:r w:rsidR="00564CE1" w:rsidRPr="00772291">
          <w:rPr>
            <w:rStyle w:val="Hyperlink"/>
            <w:noProof/>
          </w:rPr>
          <w:t>10.2</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and food safety workshop</w:t>
        </w:r>
        <w:r w:rsidR="00564CE1">
          <w:rPr>
            <w:noProof/>
            <w:webHidden/>
          </w:rPr>
          <w:tab/>
        </w:r>
        <w:r w:rsidR="00564CE1">
          <w:rPr>
            <w:noProof/>
            <w:webHidden/>
          </w:rPr>
          <w:fldChar w:fldCharType="begin"/>
        </w:r>
        <w:r w:rsidR="00564CE1">
          <w:rPr>
            <w:noProof/>
            <w:webHidden/>
          </w:rPr>
          <w:instrText xml:space="preserve"> PAGEREF _Toc97824013 \h </w:instrText>
        </w:r>
        <w:r w:rsidR="00564CE1">
          <w:rPr>
            <w:noProof/>
            <w:webHidden/>
          </w:rPr>
        </w:r>
        <w:r w:rsidR="00564CE1">
          <w:rPr>
            <w:noProof/>
            <w:webHidden/>
          </w:rPr>
          <w:fldChar w:fldCharType="separate"/>
        </w:r>
        <w:r w:rsidR="00EF29C3">
          <w:rPr>
            <w:noProof/>
            <w:webHidden/>
          </w:rPr>
          <w:t>51</w:t>
        </w:r>
        <w:r w:rsidR="00564CE1">
          <w:rPr>
            <w:noProof/>
            <w:webHidden/>
          </w:rPr>
          <w:fldChar w:fldCharType="end"/>
        </w:r>
      </w:hyperlink>
    </w:p>
    <w:p w14:paraId="0BCD2269" w14:textId="4D408E6F" w:rsidR="00564CE1" w:rsidRDefault="00000000">
      <w:pPr>
        <w:pStyle w:val="TOC2"/>
        <w:rPr>
          <w:rFonts w:eastAsiaTheme="minorEastAsia" w:cstheme="minorBidi"/>
          <w:smallCaps w:val="0"/>
          <w:noProof/>
          <w:sz w:val="22"/>
          <w:szCs w:val="22"/>
          <w:lang w:eastAsia="en-GB" w:bidi="ar-SA"/>
        </w:rPr>
      </w:pPr>
      <w:hyperlink w:anchor="_Toc97824014" w:history="1">
        <w:r w:rsidR="00564CE1" w:rsidRPr="00772291">
          <w:rPr>
            <w:rStyle w:val="Hyperlink"/>
            <w:noProof/>
          </w:rPr>
          <w:t>10.3</w:t>
        </w:r>
        <w:r w:rsidR="00564CE1">
          <w:rPr>
            <w:rFonts w:eastAsiaTheme="minorEastAsia" w:cstheme="minorBidi"/>
            <w:smallCaps w:val="0"/>
            <w:noProof/>
            <w:sz w:val="22"/>
            <w:szCs w:val="22"/>
            <w:lang w:eastAsia="en-GB" w:bidi="ar-SA"/>
          </w:rPr>
          <w:tab/>
        </w:r>
        <w:r w:rsidR="00564CE1" w:rsidRPr="00772291">
          <w:rPr>
            <w:rStyle w:val="Hyperlink"/>
            <w:noProof/>
          </w:rPr>
          <w:t xml:space="preserve">  Industry visits</w:t>
        </w:r>
        <w:r w:rsidR="00564CE1">
          <w:rPr>
            <w:noProof/>
            <w:webHidden/>
          </w:rPr>
          <w:tab/>
        </w:r>
        <w:r w:rsidR="00564CE1">
          <w:rPr>
            <w:noProof/>
            <w:webHidden/>
          </w:rPr>
          <w:fldChar w:fldCharType="begin"/>
        </w:r>
        <w:r w:rsidR="00564CE1">
          <w:rPr>
            <w:noProof/>
            <w:webHidden/>
          </w:rPr>
          <w:instrText xml:space="preserve"> PAGEREF _Toc97824014 \h </w:instrText>
        </w:r>
        <w:r w:rsidR="00564CE1">
          <w:rPr>
            <w:noProof/>
            <w:webHidden/>
          </w:rPr>
        </w:r>
        <w:r w:rsidR="00564CE1">
          <w:rPr>
            <w:noProof/>
            <w:webHidden/>
          </w:rPr>
          <w:fldChar w:fldCharType="separate"/>
        </w:r>
        <w:r w:rsidR="00EF29C3">
          <w:rPr>
            <w:noProof/>
            <w:webHidden/>
          </w:rPr>
          <w:t>51</w:t>
        </w:r>
        <w:r w:rsidR="00564CE1">
          <w:rPr>
            <w:noProof/>
            <w:webHidden/>
          </w:rPr>
          <w:fldChar w:fldCharType="end"/>
        </w:r>
      </w:hyperlink>
    </w:p>
    <w:p w14:paraId="57ADCCD7" w14:textId="1A9C4591" w:rsidR="00564CE1" w:rsidRDefault="00000000">
      <w:pPr>
        <w:pStyle w:val="TOC2"/>
        <w:rPr>
          <w:rFonts w:eastAsiaTheme="minorEastAsia" w:cstheme="minorBidi"/>
          <w:smallCaps w:val="0"/>
          <w:noProof/>
          <w:sz w:val="22"/>
          <w:szCs w:val="22"/>
          <w:lang w:eastAsia="en-GB" w:bidi="ar-SA"/>
        </w:rPr>
      </w:pPr>
      <w:hyperlink w:anchor="_Toc97824015" w:history="1">
        <w:r w:rsidR="00564CE1" w:rsidRPr="00772291">
          <w:rPr>
            <w:rStyle w:val="Hyperlink"/>
            <w:noProof/>
          </w:rPr>
          <w:t>10.4</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Implementation Working Group</w:t>
        </w:r>
        <w:r w:rsidR="00564CE1">
          <w:rPr>
            <w:noProof/>
            <w:webHidden/>
          </w:rPr>
          <w:tab/>
        </w:r>
        <w:r w:rsidR="00564CE1">
          <w:rPr>
            <w:noProof/>
            <w:webHidden/>
          </w:rPr>
          <w:fldChar w:fldCharType="begin"/>
        </w:r>
        <w:r w:rsidR="00564CE1">
          <w:rPr>
            <w:noProof/>
            <w:webHidden/>
          </w:rPr>
          <w:instrText xml:space="preserve"> PAGEREF _Toc97824015 \h </w:instrText>
        </w:r>
        <w:r w:rsidR="00564CE1">
          <w:rPr>
            <w:noProof/>
            <w:webHidden/>
          </w:rPr>
        </w:r>
        <w:r w:rsidR="00564CE1">
          <w:rPr>
            <w:noProof/>
            <w:webHidden/>
          </w:rPr>
          <w:fldChar w:fldCharType="separate"/>
        </w:r>
        <w:r w:rsidR="00EF29C3">
          <w:rPr>
            <w:noProof/>
            <w:webHidden/>
          </w:rPr>
          <w:t>52</w:t>
        </w:r>
        <w:r w:rsidR="00564CE1">
          <w:rPr>
            <w:noProof/>
            <w:webHidden/>
          </w:rPr>
          <w:fldChar w:fldCharType="end"/>
        </w:r>
      </w:hyperlink>
    </w:p>
    <w:p w14:paraId="419844DF" w14:textId="531E3ABC" w:rsidR="00564CE1" w:rsidRDefault="00000000">
      <w:pPr>
        <w:pStyle w:val="TOC2"/>
        <w:rPr>
          <w:rFonts w:eastAsiaTheme="minorEastAsia" w:cstheme="minorBidi"/>
          <w:smallCaps w:val="0"/>
          <w:noProof/>
          <w:sz w:val="22"/>
          <w:szCs w:val="22"/>
          <w:lang w:eastAsia="en-GB" w:bidi="ar-SA"/>
        </w:rPr>
      </w:pPr>
      <w:hyperlink w:anchor="_Toc97824016" w:history="1">
        <w:r w:rsidR="00564CE1" w:rsidRPr="00772291">
          <w:rPr>
            <w:rStyle w:val="Hyperlink"/>
            <w:noProof/>
          </w:rPr>
          <w:t>10.5</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Standards Development Advisory Group</w:t>
        </w:r>
        <w:r w:rsidR="00564CE1">
          <w:rPr>
            <w:noProof/>
            <w:webHidden/>
          </w:rPr>
          <w:tab/>
        </w:r>
        <w:r w:rsidR="00564CE1">
          <w:rPr>
            <w:noProof/>
            <w:webHidden/>
          </w:rPr>
          <w:fldChar w:fldCharType="begin"/>
        </w:r>
        <w:r w:rsidR="00564CE1">
          <w:rPr>
            <w:noProof/>
            <w:webHidden/>
          </w:rPr>
          <w:instrText xml:space="preserve"> PAGEREF _Toc97824016 \h </w:instrText>
        </w:r>
        <w:r w:rsidR="00564CE1">
          <w:rPr>
            <w:noProof/>
            <w:webHidden/>
          </w:rPr>
        </w:r>
        <w:r w:rsidR="00564CE1">
          <w:rPr>
            <w:noProof/>
            <w:webHidden/>
          </w:rPr>
          <w:fldChar w:fldCharType="separate"/>
        </w:r>
        <w:r w:rsidR="00EF29C3">
          <w:rPr>
            <w:noProof/>
            <w:webHidden/>
          </w:rPr>
          <w:t>52</w:t>
        </w:r>
        <w:r w:rsidR="00564CE1">
          <w:rPr>
            <w:noProof/>
            <w:webHidden/>
          </w:rPr>
          <w:fldChar w:fldCharType="end"/>
        </w:r>
      </w:hyperlink>
    </w:p>
    <w:p w14:paraId="09970704" w14:textId="6925CB7D" w:rsidR="00564CE1" w:rsidRDefault="00000000">
      <w:pPr>
        <w:pStyle w:val="TOC2"/>
        <w:rPr>
          <w:rFonts w:eastAsiaTheme="minorEastAsia" w:cstheme="minorBidi"/>
          <w:smallCaps w:val="0"/>
          <w:noProof/>
          <w:sz w:val="22"/>
          <w:szCs w:val="22"/>
          <w:lang w:eastAsia="en-GB" w:bidi="ar-SA"/>
        </w:rPr>
      </w:pPr>
      <w:hyperlink w:anchor="_Toc97824017" w:history="1">
        <w:r w:rsidR="00564CE1" w:rsidRPr="00772291">
          <w:rPr>
            <w:rStyle w:val="Hyperlink"/>
            <w:noProof/>
          </w:rPr>
          <w:t>10.6</w:t>
        </w:r>
        <w:r w:rsidR="00564CE1">
          <w:rPr>
            <w:rFonts w:eastAsiaTheme="minorEastAsia" w:cstheme="minorBidi"/>
            <w:smallCaps w:val="0"/>
            <w:noProof/>
            <w:sz w:val="22"/>
            <w:szCs w:val="22"/>
            <w:lang w:eastAsia="en-GB" w:bidi="ar-SA"/>
          </w:rPr>
          <w:tab/>
        </w:r>
        <w:r w:rsidR="00564CE1" w:rsidRPr="00772291">
          <w:rPr>
            <w:rStyle w:val="Hyperlink"/>
            <w:noProof/>
          </w:rPr>
          <w:t xml:space="preserve">  Targeted consultation survey</w:t>
        </w:r>
        <w:r w:rsidR="00564CE1">
          <w:rPr>
            <w:noProof/>
            <w:webHidden/>
          </w:rPr>
          <w:tab/>
        </w:r>
        <w:r w:rsidR="00564CE1">
          <w:rPr>
            <w:noProof/>
            <w:webHidden/>
          </w:rPr>
          <w:fldChar w:fldCharType="begin"/>
        </w:r>
        <w:r w:rsidR="00564CE1">
          <w:rPr>
            <w:noProof/>
            <w:webHidden/>
          </w:rPr>
          <w:instrText xml:space="preserve"> PAGEREF _Toc97824017 \h </w:instrText>
        </w:r>
        <w:r w:rsidR="00564CE1">
          <w:rPr>
            <w:noProof/>
            <w:webHidden/>
          </w:rPr>
        </w:r>
        <w:r w:rsidR="00564CE1">
          <w:rPr>
            <w:noProof/>
            <w:webHidden/>
          </w:rPr>
          <w:fldChar w:fldCharType="separate"/>
        </w:r>
        <w:r w:rsidR="00EF29C3">
          <w:rPr>
            <w:noProof/>
            <w:webHidden/>
          </w:rPr>
          <w:t>52</w:t>
        </w:r>
        <w:r w:rsidR="00564CE1">
          <w:rPr>
            <w:noProof/>
            <w:webHidden/>
          </w:rPr>
          <w:fldChar w:fldCharType="end"/>
        </w:r>
      </w:hyperlink>
    </w:p>
    <w:p w14:paraId="01F4DC6E" w14:textId="137A876C" w:rsidR="00564CE1" w:rsidRDefault="00000000">
      <w:pPr>
        <w:pStyle w:val="TOC2"/>
        <w:rPr>
          <w:rFonts w:eastAsiaTheme="minorEastAsia" w:cstheme="minorBidi"/>
          <w:smallCaps w:val="0"/>
          <w:noProof/>
          <w:sz w:val="22"/>
          <w:szCs w:val="22"/>
          <w:lang w:eastAsia="en-GB" w:bidi="ar-SA"/>
        </w:rPr>
      </w:pPr>
      <w:hyperlink w:anchor="_Toc97824018" w:history="1">
        <w:r w:rsidR="00564CE1" w:rsidRPr="00772291">
          <w:rPr>
            <w:rStyle w:val="Hyperlink"/>
            <w:noProof/>
          </w:rPr>
          <w:t>10.7</w:t>
        </w:r>
        <w:r w:rsidR="00564CE1">
          <w:rPr>
            <w:rFonts w:eastAsiaTheme="minorEastAsia" w:cstheme="minorBidi"/>
            <w:smallCaps w:val="0"/>
            <w:noProof/>
            <w:sz w:val="22"/>
            <w:szCs w:val="22"/>
            <w:lang w:eastAsia="en-GB" w:bidi="ar-SA"/>
          </w:rPr>
          <w:tab/>
        </w:r>
        <w:r w:rsidR="00564CE1" w:rsidRPr="00772291">
          <w:rPr>
            <w:rStyle w:val="Hyperlink"/>
            <w:noProof/>
          </w:rPr>
          <w:t xml:space="preserve"> Public consultation</w:t>
        </w:r>
        <w:r w:rsidR="00564CE1">
          <w:rPr>
            <w:noProof/>
            <w:webHidden/>
          </w:rPr>
          <w:tab/>
        </w:r>
        <w:r w:rsidR="00564CE1">
          <w:rPr>
            <w:noProof/>
            <w:webHidden/>
          </w:rPr>
          <w:fldChar w:fldCharType="begin"/>
        </w:r>
        <w:r w:rsidR="00564CE1">
          <w:rPr>
            <w:noProof/>
            <w:webHidden/>
          </w:rPr>
          <w:instrText xml:space="preserve"> PAGEREF _Toc97824018 \h </w:instrText>
        </w:r>
        <w:r w:rsidR="00564CE1">
          <w:rPr>
            <w:noProof/>
            <w:webHidden/>
          </w:rPr>
        </w:r>
        <w:r w:rsidR="00564CE1">
          <w:rPr>
            <w:noProof/>
            <w:webHidden/>
          </w:rPr>
          <w:fldChar w:fldCharType="separate"/>
        </w:r>
        <w:r w:rsidR="00EF29C3">
          <w:rPr>
            <w:noProof/>
            <w:webHidden/>
          </w:rPr>
          <w:t>53</w:t>
        </w:r>
        <w:r w:rsidR="00564CE1">
          <w:rPr>
            <w:noProof/>
            <w:webHidden/>
          </w:rPr>
          <w:fldChar w:fldCharType="end"/>
        </w:r>
      </w:hyperlink>
    </w:p>
    <w:p w14:paraId="29B90F60" w14:textId="371FBBA7" w:rsidR="00564CE1" w:rsidRDefault="00000000">
      <w:pPr>
        <w:pStyle w:val="TOC2"/>
        <w:rPr>
          <w:rFonts w:eastAsiaTheme="minorEastAsia" w:cstheme="minorBidi"/>
          <w:smallCaps w:val="0"/>
          <w:noProof/>
          <w:sz w:val="22"/>
          <w:szCs w:val="22"/>
          <w:lang w:eastAsia="en-GB" w:bidi="ar-SA"/>
        </w:rPr>
      </w:pPr>
      <w:hyperlink w:anchor="_Toc97824019" w:history="1">
        <w:r w:rsidR="00564CE1" w:rsidRPr="00772291">
          <w:rPr>
            <w:rStyle w:val="Hyperlink"/>
            <w:noProof/>
          </w:rPr>
          <w:t>10.8</w:t>
        </w:r>
        <w:r w:rsidR="00564CE1">
          <w:rPr>
            <w:rFonts w:eastAsiaTheme="minorEastAsia" w:cstheme="minorBidi"/>
            <w:smallCaps w:val="0"/>
            <w:noProof/>
            <w:sz w:val="22"/>
            <w:szCs w:val="22"/>
            <w:lang w:eastAsia="en-GB" w:bidi="ar-SA"/>
          </w:rPr>
          <w:tab/>
        </w:r>
        <w:r w:rsidR="00564CE1" w:rsidRPr="00772291">
          <w:rPr>
            <w:rStyle w:val="Hyperlink"/>
            <w:noProof/>
          </w:rPr>
          <w:t xml:space="preserve"> Main changes following public consultation and stakeholder feedback</w:t>
        </w:r>
        <w:r w:rsidR="00564CE1">
          <w:rPr>
            <w:noProof/>
            <w:webHidden/>
          </w:rPr>
          <w:tab/>
        </w:r>
        <w:r w:rsidR="00564CE1">
          <w:rPr>
            <w:noProof/>
            <w:webHidden/>
          </w:rPr>
          <w:fldChar w:fldCharType="begin"/>
        </w:r>
        <w:r w:rsidR="00564CE1">
          <w:rPr>
            <w:noProof/>
            <w:webHidden/>
          </w:rPr>
          <w:instrText xml:space="preserve"> PAGEREF _Toc97824019 \h </w:instrText>
        </w:r>
        <w:r w:rsidR="00564CE1">
          <w:rPr>
            <w:noProof/>
            <w:webHidden/>
          </w:rPr>
        </w:r>
        <w:r w:rsidR="00564CE1">
          <w:rPr>
            <w:noProof/>
            <w:webHidden/>
          </w:rPr>
          <w:fldChar w:fldCharType="separate"/>
        </w:r>
        <w:r w:rsidR="00EF29C3">
          <w:rPr>
            <w:noProof/>
            <w:webHidden/>
          </w:rPr>
          <w:t>53</w:t>
        </w:r>
        <w:r w:rsidR="00564CE1">
          <w:rPr>
            <w:noProof/>
            <w:webHidden/>
          </w:rPr>
          <w:fldChar w:fldCharType="end"/>
        </w:r>
      </w:hyperlink>
    </w:p>
    <w:p w14:paraId="3B8F9E2F" w14:textId="512CBF1F" w:rsidR="00564CE1" w:rsidRDefault="00000000">
      <w:pPr>
        <w:pStyle w:val="TOC1"/>
        <w:tabs>
          <w:tab w:val="right" w:leader="dot" w:pos="9060"/>
        </w:tabs>
        <w:rPr>
          <w:rFonts w:eastAsiaTheme="minorEastAsia" w:cstheme="minorBidi"/>
          <w:b w:val="0"/>
          <w:bCs w:val="0"/>
          <w:caps w:val="0"/>
          <w:noProof/>
          <w:sz w:val="22"/>
          <w:szCs w:val="22"/>
          <w:lang w:eastAsia="en-GB" w:bidi="ar-SA"/>
        </w:rPr>
      </w:pPr>
      <w:hyperlink w:anchor="_Toc97824020" w:history="1">
        <w:r w:rsidR="00564CE1" w:rsidRPr="00772291">
          <w:rPr>
            <w:rStyle w:val="Hyperlink"/>
            <w:rFonts w:ascii="Arial Bold" w:eastAsiaTheme="majorEastAsia" w:hAnsi="Arial Bold" w:cstheme="majorBidi"/>
            <w:noProof/>
            <w:lang w:val="en-AU" w:eastAsia="en-GB"/>
          </w:rPr>
          <w:t>11. How will the chosen option be implemented and evaluated?</w:t>
        </w:r>
        <w:r w:rsidR="00564CE1">
          <w:rPr>
            <w:noProof/>
            <w:webHidden/>
          </w:rPr>
          <w:tab/>
        </w:r>
        <w:r w:rsidR="00564CE1">
          <w:rPr>
            <w:noProof/>
            <w:webHidden/>
          </w:rPr>
          <w:fldChar w:fldCharType="begin"/>
        </w:r>
        <w:r w:rsidR="00564CE1">
          <w:rPr>
            <w:noProof/>
            <w:webHidden/>
          </w:rPr>
          <w:instrText xml:space="preserve"> PAGEREF _Toc97824020 \h </w:instrText>
        </w:r>
        <w:r w:rsidR="00564CE1">
          <w:rPr>
            <w:noProof/>
            <w:webHidden/>
          </w:rPr>
        </w:r>
        <w:r w:rsidR="00564CE1">
          <w:rPr>
            <w:noProof/>
            <w:webHidden/>
          </w:rPr>
          <w:fldChar w:fldCharType="separate"/>
        </w:r>
        <w:r w:rsidR="00EF29C3">
          <w:rPr>
            <w:noProof/>
            <w:webHidden/>
          </w:rPr>
          <w:t>54</w:t>
        </w:r>
        <w:r w:rsidR="00564CE1">
          <w:rPr>
            <w:noProof/>
            <w:webHidden/>
          </w:rPr>
          <w:fldChar w:fldCharType="end"/>
        </w:r>
      </w:hyperlink>
    </w:p>
    <w:p w14:paraId="0FB4466C" w14:textId="5164BA5B" w:rsidR="00564CE1" w:rsidRDefault="00000000">
      <w:pPr>
        <w:pStyle w:val="TOC2"/>
        <w:rPr>
          <w:rFonts w:eastAsiaTheme="minorEastAsia" w:cstheme="minorBidi"/>
          <w:smallCaps w:val="0"/>
          <w:noProof/>
          <w:sz w:val="22"/>
          <w:szCs w:val="22"/>
          <w:lang w:eastAsia="en-GB" w:bidi="ar-SA"/>
        </w:rPr>
      </w:pPr>
      <w:hyperlink w:anchor="_Toc97824021" w:history="1">
        <w:r w:rsidR="00564CE1" w:rsidRPr="00772291">
          <w:rPr>
            <w:rStyle w:val="Hyperlink"/>
            <w:noProof/>
          </w:rPr>
          <w:t>11.1</w:t>
        </w:r>
        <w:r w:rsidR="00564CE1">
          <w:rPr>
            <w:rFonts w:eastAsiaTheme="minorEastAsia" w:cstheme="minorBidi"/>
            <w:smallCaps w:val="0"/>
            <w:noProof/>
            <w:sz w:val="22"/>
            <w:szCs w:val="22"/>
            <w:lang w:eastAsia="en-GB" w:bidi="ar-SA"/>
          </w:rPr>
          <w:tab/>
        </w:r>
        <w:r w:rsidR="00564CE1" w:rsidRPr="00772291">
          <w:rPr>
            <w:rStyle w:val="Hyperlink"/>
            <w:noProof/>
          </w:rPr>
          <w:t xml:space="preserve">  Overview</w:t>
        </w:r>
        <w:r w:rsidR="00564CE1">
          <w:rPr>
            <w:noProof/>
            <w:webHidden/>
          </w:rPr>
          <w:tab/>
        </w:r>
        <w:r w:rsidR="00564CE1">
          <w:rPr>
            <w:noProof/>
            <w:webHidden/>
          </w:rPr>
          <w:fldChar w:fldCharType="begin"/>
        </w:r>
        <w:r w:rsidR="00564CE1">
          <w:rPr>
            <w:noProof/>
            <w:webHidden/>
          </w:rPr>
          <w:instrText xml:space="preserve"> PAGEREF _Toc97824021 \h </w:instrText>
        </w:r>
        <w:r w:rsidR="00564CE1">
          <w:rPr>
            <w:noProof/>
            <w:webHidden/>
          </w:rPr>
        </w:r>
        <w:r w:rsidR="00564CE1">
          <w:rPr>
            <w:noProof/>
            <w:webHidden/>
          </w:rPr>
          <w:fldChar w:fldCharType="separate"/>
        </w:r>
        <w:r w:rsidR="00EF29C3">
          <w:rPr>
            <w:noProof/>
            <w:webHidden/>
          </w:rPr>
          <w:t>54</w:t>
        </w:r>
        <w:r w:rsidR="00564CE1">
          <w:rPr>
            <w:noProof/>
            <w:webHidden/>
          </w:rPr>
          <w:fldChar w:fldCharType="end"/>
        </w:r>
      </w:hyperlink>
    </w:p>
    <w:p w14:paraId="11FE4C71" w14:textId="6E1719CB" w:rsidR="00564CE1" w:rsidRDefault="00000000">
      <w:pPr>
        <w:pStyle w:val="TOC2"/>
        <w:rPr>
          <w:rFonts w:eastAsiaTheme="minorEastAsia" w:cstheme="minorBidi"/>
          <w:smallCaps w:val="0"/>
          <w:noProof/>
          <w:sz w:val="22"/>
          <w:szCs w:val="22"/>
          <w:lang w:eastAsia="en-GB" w:bidi="ar-SA"/>
        </w:rPr>
      </w:pPr>
      <w:hyperlink w:anchor="_Toc97824022" w:history="1">
        <w:r w:rsidR="00564CE1" w:rsidRPr="00772291">
          <w:rPr>
            <w:rStyle w:val="Hyperlink"/>
            <w:noProof/>
          </w:rPr>
          <w:t>11.2</w:t>
        </w:r>
        <w:r w:rsidR="00564CE1">
          <w:rPr>
            <w:rFonts w:eastAsiaTheme="minorEastAsia" w:cstheme="minorBidi"/>
            <w:smallCaps w:val="0"/>
            <w:noProof/>
            <w:sz w:val="22"/>
            <w:szCs w:val="22"/>
            <w:lang w:eastAsia="en-GB" w:bidi="ar-SA"/>
          </w:rPr>
          <w:tab/>
        </w:r>
        <w:r w:rsidR="00564CE1" w:rsidRPr="00772291">
          <w:rPr>
            <w:rStyle w:val="Hyperlink"/>
            <w:noProof/>
          </w:rPr>
          <w:t xml:space="preserve"> Compliance framework</w:t>
        </w:r>
        <w:r w:rsidR="00564CE1">
          <w:rPr>
            <w:noProof/>
            <w:webHidden/>
          </w:rPr>
          <w:tab/>
        </w:r>
        <w:r w:rsidR="00564CE1">
          <w:rPr>
            <w:noProof/>
            <w:webHidden/>
          </w:rPr>
          <w:fldChar w:fldCharType="begin"/>
        </w:r>
        <w:r w:rsidR="00564CE1">
          <w:rPr>
            <w:noProof/>
            <w:webHidden/>
          </w:rPr>
          <w:instrText xml:space="preserve"> PAGEREF _Toc97824022 \h </w:instrText>
        </w:r>
        <w:r w:rsidR="00564CE1">
          <w:rPr>
            <w:noProof/>
            <w:webHidden/>
          </w:rPr>
        </w:r>
        <w:r w:rsidR="00564CE1">
          <w:rPr>
            <w:noProof/>
            <w:webHidden/>
          </w:rPr>
          <w:fldChar w:fldCharType="separate"/>
        </w:r>
        <w:r w:rsidR="00EF29C3">
          <w:rPr>
            <w:noProof/>
            <w:webHidden/>
          </w:rPr>
          <w:t>54</w:t>
        </w:r>
        <w:r w:rsidR="00564CE1">
          <w:rPr>
            <w:noProof/>
            <w:webHidden/>
          </w:rPr>
          <w:fldChar w:fldCharType="end"/>
        </w:r>
      </w:hyperlink>
    </w:p>
    <w:p w14:paraId="63C74F29" w14:textId="0D6E5EB0" w:rsidR="00564CE1" w:rsidRDefault="00000000">
      <w:pPr>
        <w:pStyle w:val="TOC2"/>
        <w:rPr>
          <w:rFonts w:eastAsiaTheme="minorEastAsia" w:cstheme="minorBidi"/>
          <w:smallCaps w:val="0"/>
          <w:noProof/>
          <w:sz w:val="22"/>
          <w:szCs w:val="22"/>
          <w:lang w:eastAsia="en-GB" w:bidi="ar-SA"/>
        </w:rPr>
      </w:pPr>
      <w:hyperlink w:anchor="_Toc97824023" w:history="1">
        <w:r w:rsidR="00564CE1" w:rsidRPr="00772291">
          <w:rPr>
            <w:rStyle w:val="Hyperlink"/>
            <w:noProof/>
          </w:rPr>
          <w:t>11.3</w:t>
        </w:r>
        <w:r w:rsidR="00564CE1">
          <w:rPr>
            <w:rFonts w:eastAsiaTheme="minorEastAsia" w:cstheme="minorBidi"/>
            <w:smallCaps w:val="0"/>
            <w:noProof/>
            <w:sz w:val="22"/>
            <w:szCs w:val="22"/>
            <w:lang w:eastAsia="en-GB" w:bidi="ar-SA"/>
          </w:rPr>
          <w:tab/>
        </w:r>
        <w:r w:rsidR="00564CE1" w:rsidRPr="00772291">
          <w:rPr>
            <w:rStyle w:val="Hyperlink"/>
            <w:noProof/>
          </w:rPr>
          <w:t xml:space="preserve">  Transition period and review</w:t>
        </w:r>
        <w:r w:rsidR="00564CE1">
          <w:rPr>
            <w:noProof/>
            <w:webHidden/>
          </w:rPr>
          <w:tab/>
        </w:r>
        <w:r w:rsidR="00564CE1">
          <w:rPr>
            <w:noProof/>
            <w:webHidden/>
          </w:rPr>
          <w:fldChar w:fldCharType="begin"/>
        </w:r>
        <w:r w:rsidR="00564CE1">
          <w:rPr>
            <w:noProof/>
            <w:webHidden/>
          </w:rPr>
          <w:instrText xml:space="preserve"> PAGEREF _Toc97824023 \h </w:instrText>
        </w:r>
        <w:r w:rsidR="00564CE1">
          <w:rPr>
            <w:noProof/>
            <w:webHidden/>
          </w:rPr>
        </w:r>
        <w:r w:rsidR="00564CE1">
          <w:rPr>
            <w:noProof/>
            <w:webHidden/>
          </w:rPr>
          <w:fldChar w:fldCharType="separate"/>
        </w:r>
        <w:r w:rsidR="00EF29C3">
          <w:rPr>
            <w:noProof/>
            <w:webHidden/>
          </w:rPr>
          <w:t>55</w:t>
        </w:r>
        <w:r w:rsidR="00564CE1">
          <w:rPr>
            <w:noProof/>
            <w:webHidden/>
          </w:rPr>
          <w:fldChar w:fldCharType="end"/>
        </w:r>
      </w:hyperlink>
    </w:p>
    <w:p w14:paraId="71B06BAB" w14:textId="4E9A8190" w:rsidR="00562917" w:rsidRDefault="00326D85" w:rsidP="00051ED9">
      <w:r>
        <w:fldChar w:fldCharType="end"/>
      </w:r>
    </w:p>
    <w:p w14:paraId="181F81F3" w14:textId="77777777" w:rsidR="00E066BA" w:rsidRDefault="00E066BA" w:rsidP="00051ED9"/>
    <w:p w14:paraId="0BC90073" w14:textId="77777777" w:rsidR="00051ED9" w:rsidRDefault="00562917" w:rsidP="00772BDC">
      <w:r w:rsidRPr="00E203C2">
        <w:br w:type="page"/>
      </w:r>
    </w:p>
    <w:p w14:paraId="0FA85B1A" w14:textId="411AEDFF" w:rsidR="00DD5CAB" w:rsidRPr="00E871EA" w:rsidRDefault="00AD5356" w:rsidP="00AD5356">
      <w:pPr>
        <w:pStyle w:val="Heading1"/>
        <w:spacing w:before="0"/>
        <w:rPr>
          <w:rFonts w:ascii="Arial Bold" w:eastAsiaTheme="majorEastAsia" w:hAnsi="Arial Bold" w:cstheme="majorBidi"/>
          <w:b w:val="0"/>
          <w:lang w:val="en-AU" w:eastAsia="en-GB"/>
        </w:rPr>
      </w:pPr>
      <w:bookmarkStart w:id="9" w:name="_Toc69222828"/>
      <w:bookmarkStart w:id="10" w:name="_Toc74145837"/>
      <w:bookmarkStart w:id="11" w:name="_Toc76382329"/>
      <w:bookmarkStart w:id="12" w:name="_Toc76570458"/>
      <w:bookmarkStart w:id="13" w:name="_Toc77687479"/>
      <w:bookmarkStart w:id="14" w:name="_Toc78896398"/>
      <w:bookmarkStart w:id="15" w:name="_Toc85635258"/>
      <w:bookmarkStart w:id="16" w:name="_Toc97643816"/>
      <w:bookmarkStart w:id="17" w:name="_Toc97653201"/>
      <w:bookmarkStart w:id="18" w:name="_Toc97739353"/>
      <w:bookmarkStart w:id="19" w:name="_Toc97823770"/>
      <w:bookmarkStart w:id="20" w:name="_Toc97823936"/>
      <w:r>
        <w:lastRenderedPageBreak/>
        <w:t>1.</w:t>
      </w:r>
      <w:r>
        <w:tab/>
      </w:r>
      <w:r w:rsidR="00DD5CAB" w:rsidRPr="00AD5356">
        <w:t>Introduction</w:t>
      </w:r>
      <w:bookmarkEnd w:id="9"/>
      <w:bookmarkEnd w:id="10"/>
      <w:bookmarkEnd w:id="11"/>
      <w:bookmarkEnd w:id="12"/>
      <w:bookmarkEnd w:id="13"/>
      <w:bookmarkEnd w:id="14"/>
      <w:bookmarkEnd w:id="15"/>
      <w:bookmarkEnd w:id="16"/>
      <w:bookmarkEnd w:id="17"/>
      <w:bookmarkEnd w:id="18"/>
      <w:bookmarkEnd w:id="19"/>
      <w:bookmarkEnd w:id="20"/>
    </w:p>
    <w:p w14:paraId="18FD14C9" w14:textId="5321197F" w:rsidR="0036489D" w:rsidRDefault="001662D5" w:rsidP="001662D5">
      <w:r>
        <w:t xml:space="preserve">In 2011, at the request of food ministers (then the </w:t>
      </w:r>
      <w:r w:rsidRPr="00407881">
        <w:t>Australia and New Zealand</w:t>
      </w:r>
      <w:r>
        <w:t xml:space="preserve"> Food Regulation</w:t>
      </w:r>
      <w:r w:rsidRPr="00407881">
        <w:t xml:space="preserve"> Ministerial </w:t>
      </w:r>
      <w:r>
        <w:t xml:space="preserve">Council), </w:t>
      </w:r>
      <w:r w:rsidRPr="001B6761">
        <w:t>Food Standards Australia New Zealand (</w:t>
      </w:r>
      <w:r>
        <w:t>FSANZ</w:t>
      </w:r>
      <w:r w:rsidRPr="001B6761">
        <w:t>)</w:t>
      </w:r>
      <w:r>
        <w:t xml:space="preserve"> </w:t>
      </w:r>
      <w:r w:rsidR="00A13E38">
        <w:t>started a</w:t>
      </w:r>
      <w:r>
        <w:t xml:space="preserve"> review of the primary production and processing (PPP) of </w:t>
      </w:r>
      <w:r w:rsidR="00995DDD" w:rsidRPr="00F15E9D">
        <w:t xml:space="preserve">all </w:t>
      </w:r>
      <w:r>
        <w:t>horticulture under p</w:t>
      </w:r>
      <w:r w:rsidRPr="00783139">
        <w:rPr>
          <w:lang w:bidi="ar-SA"/>
        </w:rPr>
        <w:t xml:space="preserve">roposal </w:t>
      </w:r>
      <w:hyperlink r:id="rId14" w:history="1">
        <w:r w:rsidRPr="008A2284">
          <w:rPr>
            <w:rStyle w:val="Hyperlink"/>
            <w:lang w:bidi="ar-SA"/>
          </w:rPr>
          <w:t>P1015</w:t>
        </w:r>
        <w:r w:rsidRPr="008A2284">
          <w:rPr>
            <w:rStyle w:val="Hyperlink"/>
            <w:vertAlign w:val="superscript"/>
            <w:lang w:bidi="ar-SA"/>
          </w:rPr>
          <w:t xml:space="preserve"> </w:t>
        </w:r>
        <w:r w:rsidRPr="008A2284">
          <w:rPr>
            <w:rStyle w:val="Hyperlink"/>
            <w:i/>
            <w:lang w:eastAsia="en-AU" w:bidi="ar-SA"/>
          </w:rPr>
          <w:t>Primary Production &amp; Processing Standard for Horticulture</w:t>
        </w:r>
        <w:r w:rsidRPr="00995DDD">
          <w:t>.</w:t>
        </w:r>
      </w:hyperlink>
      <w:r>
        <w:rPr>
          <w:lang w:eastAsia="en-AU" w:bidi="ar-SA"/>
        </w:rPr>
        <w:t xml:space="preserve"> </w:t>
      </w:r>
      <w:r>
        <w:t>In 2014, FSANZ decided that regulation of the entire horticulture sector was not warranted</w:t>
      </w:r>
      <w:r w:rsidR="0036489D">
        <w:t>, including because:</w:t>
      </w:r>
    </w:p>
    <w:p w14:paraId="32B08870" w14:textId="73306C35" w:rsidR="001662D5" w:rsidRPr="003D2E7B" w:rsidRDefault="003D2E7B" w:rsidP="003D2E7B">
      <w:pPr>
        <w:pStyle w:val="FSBullet1"/>
      </w:pPr>
      <w:r w:rsidRPr="003D2E7B">
        <w:t>an estimated 70–</w:t>
      </w:r>
      <w:r w:rsidR="001662D5" w:rsidRPr="003D2E7B">
        <w:t>80% of horticulture produce was grown under a food safety scheme (FSS)</w:t>
      </w:r>
      <w:r w:rsidR="0036489D">
        <w:t>, and</w:t>
      </w:r>
    </w:p>
    <w:p w14:paraId="6070785B" w14:textId="0ACDC148" w:rsidR="001662D5" w:rsidRDefault="001662D5" w:rsidP="0036489D">
      <w:pPr>
        <w:pStyle w:val="FSBullet1"/>
      </w:pPr>
      <w:r w:rsidRPr="003D2E7B">
        <w:t>a ‘one size fits all’ regulatory model for the whole horticulture sector was problematic</w:t>
      </w:r>
      <w:r>
        <w:rPr>
          <w:lang w:eastAsia="en-AU"/>
        </w:rPr>
        <w:t>.</w:t>
      </w:r>
    </w:p>
    <w:p w14:paraId="55C629E0" w14:textId="77777777" w:rsidR="001662D5" w:rsidRDefault="001662D5" w:rsidP="001662D5">
      <w:pPr>
        <w:pStyle w:val="ListParagraph"/>
        <w:rPr>
          <w:lang w:eastAsia="en-AU"/>
        </w:rPr>
      </w:pPr>
    </w:p>
    <w:p w14:paraId="2E416904" w14:textId="52A48E9B" w:rsidR="001662D5" w:rsidRDefault="00100361" w:rsidP="001662D5">
      <w:pPr>
        <w:rPr>
          <w:lang w:eastAsia="en-AU" w:bidi="ar-SA"/>
        </w:rPr>
      </w:pPr>
      <w:r>
        <w:rPr>
          <w:lang w:eastAsia="en-AU" w:bidi="ar-SA"/>
        </w:rPr>
        <w:t>The current proposal</w:t>
      </w:r>
      <w:r w:rsidR="00AF09EE">
        <w:rPr>
          <w:lang w:eastAsia="en-AU" w:bidi="ar-SA"/>
        </w:rPr>
        <w:t>,</w:t>
      </w:r>
      <w:r>
        <w:rPr>
          <w:lang w:eastAsia="en-AU" w:bidi="ar-SA"/>
        </w:rPr>
        <w:t xml:space="preserve"> </w:t>
      </w:r>
      <w:hyperlink r:id="rId15" w:history="1">
        <w:r w:rsidR="00EB4B85">
          <w:rPr>
            <w:rStyle w:val="Hyperlink"/>
          </w:rPr>
          <w:t xml:space="preserve">P1052 </w:t>
        </w:r>
        <w:r w:rsidR="007770F3" w:rsidRPr="00EB4B85">
          <w:rPr>
            <w:rStyle w:val="Hyperlink"/>
            <w:i/>
          </w:rPr>
          <w:t xml:space="preserve">Primary Production and Processing Requirements for Horticulture (Berries, Leafy </w:t>
        </w:r>
        <w:r w:rsidR="00B458BD">
          <w:rPr>
            <w:rStyle w:val="Hyperlink"/>
            <w:i/>
          </w:rPr>
          <w:t>V</w:t>
        </w:r>
        <w:r w:rsidR="00B458BD" w:rsidRPr="00EB4B85">
          <w:rPr>
            <w:rStyle w:val="Hyperlink"/>
            <w:i/>
          </w:rPr>
          <w:t xml:space="preserve">egetables </w:t>
        </w:r>
        <w:r w:rsidR="007770F3" w:rsidRPr="00EB4B85">
          <w:rPr>
            <w:rStyle w:val="Hyperlink"/>
            <w:i/>
          </w:rPr>
          <w:t>and Melons)</w:t>
        </w:r>
      </w:hyperlink>
      <w:r w:rsidR="00AF09EE">
        <w:rPr>
          <w:lang w:eastAsia="en-AU" w:bidi="ar-SA"/>
        </w:rPr>
        <w:t xml:space="preserve">, has been raised in response to food ministers requesting FSANZ to </w:t>
      </w:r>
      <w:r w:rsidR="00AF09EE" w:rsidRPr="00AF09EE">
        <w:rPr>
          <w:lang w:eastAsia="en-AU" w:bidi="ar-SA"/>
        </w:rPr>
        <w:t>reassess</w:t>
      </w:r>
      <w:r w:rsidR="00AF09EE">
        <w:rPr>
          <w:lang w:eastAsia="en-AU" w:bidi="ar-SA"/>
        </w:rPr>
        <w:t xml:space="preserve"> food safety in specific horticulture sectors. U</w:t>
      </w:r>
      <w:r w:rsidR="001662D5">
        <w:rPr>
          <w:lang w:eastAsia="en-AU" w:bidi="ar-SA"/>
        </w:rPr>
        <w:t xml:space="preserve">nlike P1015, </w:t>
      </w:r>
      <w:r w:rsidR="00AF09EE">
        <w:rPr>
          <w:lang w:eastAsia="en-AU" w:bidi="ar-SA"/>
        </w:rPr>
        <w:t xml:space="preserve">this proposal </w:t>
      </w:r>
      <w:r w:rsidR="001662D5">
        <w:rPr>
          <w:lang w:eastAsia="en-AU" w:bidi="ar-SA"/>
        </w:rPr>
        <w:t xml:space="preserve">considers </w:t>
      </w:r>
      <w:r w:rsidR="00ED2EF4">
        <w:rPr>
          <w:lang w:eastAsia="en-AU" w:bidi="ar-SA"/>
        </w:rPr>
        <w:t xml:space="preserve">only </w:t>
      </w:r>
      <w:r w:rsidR="001662D5">
        <w:rPr>
          <w:lang w:eastAsia="en-AU" w:bidi="ar-SA"/>
        </w:rPr>
        <w:t xml:space="preserve">berries, leafy vegetables and melons. </w:t>
      </w:r>
    </w:p>
    <w:p w14:paraId="1E6694D9" w14:textId="77777777" w:rsidR="001662D5" w:rsidRDefault="001662D5" w:rsidP="001662D5">
      <w:pPr>
        <w:rPr>
          <w:lang w:eastAsia="en-AU" w:bidi="ar-SA"/>
        </w:rPr>
      </w:pPr>
    </w:p>
    <w:p w14:paraId="391F77CA" w14:textId="11E096FF" w:rsidR="001662D5" w:rsidRPr="00407881" w:rsidRDefault="001662D5" w:rsidP="001662D5">
      <w:pPr>
        <w:rPr>
          <w:lang w:eastAsia="en-AU" w:bidi="ar-SA"/>
        </w:rPr>
      </w:pPr>
      <w:r w:rsidRPr="00AF09EE">
        <w:rPr>
          <w:lang w:eastAsia="en-AU" w:bidi="ar-SA"/>
        </w:rPr>
        <w:t xml:space="preserve">The ministers’ request </w:t>
      </w:r>
      <w:r>
        <w:rPr>
          <w:lang w:eastAsia="en-AU" w:bidi="ar-SA"/>
        </w:rPr>
        <w:t xml:space="preserve">was based on </w:t>
      </w:r>
      <w:r w:rsidR="00960F5D">
        <w:rPr>
          <w:lang w:eastAsia="en-AU" w:bidi="ar-SA"/>
        </w:rPr>
        <w:t>several</w:t>
      </w:r>
      <w:r w:rsidR="0036489D">
        <w:rPr>
          <w:lang w:eastAsia="en-AU" w:bidi="ar-SA"/>
        </w:rPr>
        <w:t xml:space="preserve"> reasons, includin</w:t>
      </w:r>
      <w:r w:rsidR="00FC7899">
        <w:rPr>
          <w:lang w:eastAsia="en-AU" w:bidi="ar-SA"/>
        </w:rPr>
        <w:t>g the priority of reducing food</w:t>
      </w:r>
      <w:r w:rsidR="0036489D">
        <w:rPr>
          <w:lang w:eastAsia="en-AU" w:bidi="ar-SA"/>
        </w:rPr>
        <w:t>borne illnesses</w:t>
      </w:r>
      <w:r w:rsidR="0036489D">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AD0C37">
        <w:rPr>
          <w:rFonts w:cs="Arial"/>
        </w:rPr>
        <w:t xml:space="preserve"> </w:t>
      </w:r>
      <w:r>
        <w:rPr>
          <w:rFonts w:cs="Arial"/>
        </w:rPr>
        <w:t>was developed to address that priority</w:t>
      </w:r>
      <w:r w:rsidRPr="009C7103">
        <w:rPr>
          <w:rFonts w:cs="Arial"/>
        </w:rPr>
        <w:t>.</w:t>
      </w:r>
      <w:r>
        <w:rPr>
          <w:rFonts w:cs="Arial"/>
        </w:rPr>
        <w:t xml:space="preserve"> </w:t>
      </w:r>
      <w:r>
        <w:t>In</w:t>
      </w:r>
      <w:r w:rsidRPr="008A2284">
        <w:t xml:space="preserve"> 2018</w:t>
      </w:r>
      <w:r>
        <w:t>,</w:t>
      </w:r>
      <w:r w:rsidRPr="008A2284">
        <w:t xml:space="preserve"> increase</w:t>
      </w:r>
      <w:r>
        <w:t>s</w:t>
      </w:r>
      <w:r w:rsidRPr="008A2284">
        <w:t xml:space="preserve"> of foodborne illness outbre</w:t>
      </w:r>
      <w:r>
        <w:t>aks in Australia were noted</w:t>
      </w:r>
      <w:r w:rsidR="00C35D17">
        <w:t>. M</w:t>
      </w:r>
      <w:r>
        <w:t xml:space="preserve">inisters agreed </w:t>
      </w:r>
      <w:r w:rsidR="00C35D17">
        <w:t>that</w:t>
      </w:r>
      <w:r w:rsidR="00C35D17" w:rsidRPr="008A2284">
        <w:t xml:space="preserve"> </w:t>
      </w:r>
      <w:r w:rsidRPr="008A2284">
        <w:t>food safety risk managemen</w:t>
      </w:r>
      <w:r>
        <w:t>t of five horticulture sectors</w:t>
      </w:r>
      <w:r w:rsidR="00C35D17">
        <w:t xml:space="preserve"> needed to be reassessed, in</w:t>
      </w:r>
      <w:r>
        <w:t>:</w:t>
      </w:r>
    </w:p>
    <w:p w14:paraId="074363BE" w14:textId="2D7D8763" w:rsidR="001662D5" w:rsidRPr="00407881" w:rsidRDefault="001662D5" w:rsidP="003D2E7B">
      <w:pPr>
        <w:pStyle w:val="FSBullet1"/>
      </w:pPr>
      <w:r>
        <w:t>l</w:t>
      </w:r>
      <w:r w:rsidRPr="00407881">
        <w:t>eafy vegetables</w:t>
      </w:r>
    </w:p>
    <w:p w14:paraId="3F561DF4" w14:textId="77777777" w:rsidR="001662D5" w:rsidRPr="00407881" w:rsidRDefault="001662D5" w:rsidP="003D2E7B">
      <w:pPr>
        <w:pStyle w:val="FSBullet1"/>
      </w:pPr>
      <w:r>
        <w:t>b</w:t>
      </w:r>
      <w:r w:rsidRPr="00407881">
        <w:t>erries</w:t>
      </w:r>
    </w:p>
    <w:p w14:paraId="65C800BD" w14:textId="77777777" w:rsidR="001662D5" w:rsidRPr="00407881" w:rsidRDefault="001662D5" w:rsidP="003D2E7B">
      <w:pPr>
        <w:pStyle w:val="FSBullet1"/>
      </w:pPr>
      <w:r>
        <w:t>m</w:t>
      </w:r>
      <w:r w:rsidRPr="00407881">
        <w:t>elons</w:t>
      </w:r>
    </w:p>
    <w:p w14:paraId="44D15077" w14:textId="77777777" w:rsidR="001662D5" w:rsidRPr="00407881" w:rsidRDefault="001662D5" w:rsidP="003D2E7B">
      <w:pPr>
        <w:pStyle w:val="FSBullet1"/>
      </w:pPr>
      <w:r>
        <w:t>r</w:t>
      </w:r>
      <w:r w:rsidRPr="00407881">
        <w:t>eady</w:t>
      </w:r>
      <w:r>
        <w:t>-</w:t>
      </w:r>
      <w:r w:rsidRPr="00407881">
        <w:t>to</w:t>
      </w:r>
      <w:r>
        <w:t>-eat</w:t>
      </w:r>
      <w:r w:rsidRPr="00407881">
        <w:t xml:space="preserve"> minimally processed fruits and vegetables</w:t>
      </w:r>
    </w:p>
    <w:p w14:paraId="2D08BE19" w14:textId="77777777" w:rsidR="001662D5" w:rsidRDefault="001662D5" w:rsidP="003D2E7B">
      <w:pPr>
        <w:pStyle w:val="FSBullet1"/>
      </w:pPr>
      <w:r>
        <w:t>s</w:t>
      </w:r>
      <w:r w:rsidRPr="00407881">
        <w:t>prouts</w:t>
      </w:r>
      <w:r>
        <w:t>.</w:t>
      </w:r>
    </w:p>
    <w:p w14:paraId="437188E4" w14:textId="77777777" w:rsidR="001662D5" w:rsidRDefault="001662D5" w:rsidP="001662D5">
      <w:pPr>
        <w:rPr>
          <w:lang w:bidi="ar-SA"/>
        </w:rPr>
      </w:pPr>
    </w:p>
    <w:p w14:paraId="759D7B6D" w14:textId="22D567EF" w:rsidR="001662D5" w:rsidRDefault="001662D5" w:rsidP="001662D5">
      <w:r>
        <w:rPr>
          <w:lang w:bidi="ar-SA"/>
        </w:rPr>
        <w:t>Food ministers were also guided by the fact that t</w:t>
      </w:r>
      <w:r w:rsidRPr="00407881">
        <w:rPr>
          <w:lang w:bidi="ar-SA"/>
        </w:rPr>
        <w:t>he</w:t>
      </w:r>
      <w:r>
        <w:rPr>
          <w:lang w:bidi="ar-SA"/>
        </w:rPr>
        <w:t>se</w:t>
      </w:r>
      <w:r w:rsidRPr="00407881">
        <w:rPr>
          <w:lang w:bidi="ar-SA"/>
        </w:rPr>
        <w:t xml:space="preserve"> </w:t>
      </w:r>
      <w:r>
        <w:rPr>
          <w:lang w:bidi="ar-SA"/>
        </w:rPr>
        <w:t xml:space="preserve">five </w:t>
      </w:r>
      <w:r w:rsidRPr="00407881">
        <w:rPr>
          <w:lang w:bidi="ar-SA"/>
        </w:rPr>
        <w:t xml:space="preserve">commodities </w:t>
      </w:r>
      <w:r>
        <w:rPr>
          <w:lang w:bidi="ar-SA"/>
        </w:rPr>
        <w:t xml:space="preserve">are the sole subjects of </w:t>
      </w:r>
      <w:r w:rsidRPr="00407881">
        <w:rPr>
          <w:lang w:bidi="ar-SA"/>
        </w:rPr>
        <w:t xml:space="preserve">commodity-specific annexes in the </w:t>
      </w:r>
      <w:hyperlink r:id="rId16" w:history="1">
        <w:r w:rsidRPr="00D8448E">
          <w:rPr>
            <w:rStyle w:val="Hyperlink"/>
            <w:lang w:bidi="ar-SA"/>
          </w:rPr>
          <w:t xml:space="preserve">Codex Alimentarius Commission (Codex) </w:t>
        </w:r>
        <w:r>
          <w:rPr>
            <w:rStyle w:val="Hyperlink"/>
            <w:lang w:bidi="ar-SA"/>
          </w:rPr>
          <w:t>Code of Hygienic Practice for Fresh Fruits and Vegetables</w:t>
        </w:r>
        <w:r w:rsidRPr="00D8448E">
          <w:rPr>
            <w:rStyle w:val="Hyperlink"/>
            <w:lang w:bidi="ar-SA"/>
          </w:rPr>
          <w:t xml:space="preserve"> (</w:t>
        </w:r>
        <w:proofErr w:type="spellStart"/>
        <w:r>
          <w:rPr>
            <w:rStyle w:val="Hyperlink"/>
            <w:lang w:bidi="ar-SA"/>
          </w:rPr>
          <w:t>CoHP</w:t>
        </w:r>
        <w:proofErr w:type="spellEnd"/>
        <w:r>
          <w:rPr>
            <w:rStyle w:val="Hyperlink"/>
            <w:lang w:bidi="ar-SA"/>
          </w:rPr>
          <w:t>)(</w:t>
        </w:r>
        <w:r w:rsidRPr="00D8448E">
          <w:rPr>
            <w:rStyle w:val="Hyperlink"/>
            <w:lang w:bidi="ar-SA"/>
          </w:rPr>
          <w:t>Codex 2017</w:t>
        </w:r>
      </w:hyperlink>
      <w:r>
        <w:rPr>
          <w:lang w:bidi="ar-SA"/>
        </w:rPr>
        <w:t>)</w:t>
      </w:r>
      <w:r w:rsidRPr="00407881">
        <w:rPr>
          <w:lang w:bidi="ar-SA"/>
        </w:rPr>
        <w:t xml:space="preserve">. </w:t>
      </w:r>
      <w:r>
        <w:rPr>
          <w:lang w:bidi="ar-SA"/>
        </w:rPr>
        <w:t xml:space="preserve">These annexes were developed in collaboration with the </w:t>
      </w:r>
      <w:r w:rsidRPr="00407881">
        <w:rPr>
          <w:lang w:bidi="ar-SA"/>
        </w:rPr>
        <w:t>Food and Agriculture Organization of the United Nations (FAO) and the World Health Organization (WHO)</w:t>
      </w:r>
      <w:r w:rsidR="00C35D17">
        <w:rPr>
          <w:lang w:bidi="ar-SA"/>
        </w:rPr>
        <w:t>. They</w:t>
      </w:r>
      <w:r>
        <w:rPr>
          <w:lang w:bidi="ar-SA"/>
        </w:rPr>
        <w:t xml:space="preserve"> include recommendations </w:t>
      </w:r>
      <w:r w:rsidR="007770F3">
        <w:rPr>
          <w:lang w:bidi="ar-SA"/>
        </w:rPr>
        <w:t xml:space="preserve">to </w:t>
      </w:r>
      <w:r w:rsidR="00A25794">
        <w:rPr>
          <w:lang w:bidi="ar-SA"/>
        </w:rPr>
        <w:t xml:space="preserve">better </w:t>
      </w:r>
      <w:r w:rsidR="007770F3">
        <w:rPr>
          <w:lang w:bidi="ar-SA"/>
        </w:rPr>
        <w:t>manage</w:t>
      </w:r>
      <w:r>
        <w:rPr>
          <w:lang w:bidi="ar-SA"/>
        </w:rPr>
        <w:t xml:space="preserve"> </w:t>
      </w:r>
      <w:r w:rsidR="00A25794">
        <w:rPr>
          <w:lang w:bidi="ar-SA"/>
        </w:rPr>
        <w:t>food safety concerns</w:t>
      </w:r>
      <w:r w:rsidR="007770F3">
        <w:rPr>
          <w:lang w:bidi="ar-SA"/>
        </w:rPr>
        <w:t xml:space="preserve"> in </w:t>
      </w:r>
      <w:r>
        <w:rPr>
          <w:lang w:bidi="ar-SA"/>
        </w:rPr>
        <w:t>each of these commodities.</w:t>
      </w:r>
    </w:p>
    <w:p w14:paraId="3594F451" w14:textId="77777777" w:rsidR="001662D5" w:rsidRDefault="001662D5" w:rsidP="001662D5"/>
    <w:p w14:paraId="6F151FBE" w14:textId="6DBFD2F9" w:rsidR="00627C2A" w:rsidRDefault="001662D5" w:rsidP="001662D5">
      <w:r>
        <w:t xml:space="preserve">As measures </w:t>
      </w:r>
      <w:r w:rsidR="005E5B9F">
        <w:t xml:space="preserve">to some degree </w:t>
      </w:r>
      <w:r w:rsidR="00742144">
        <w:t>are</w:t>
      </w:r>
      <w:r>
        <w:t xml:space="preserve"> already in place in the Australia New Zealand Food Standards Code (the Code) for seed sprouts (</w:t>
      </w:r>
      <w:hyperlink r:id="rId17" w:history="1">
        <w:r w:rsidRPr="00416A05">
          <w:rPr>
            <w:rStyle w:val="Hyperlink"/>
          </w:rPr>
          <w:t>Standard 4.2.6</w:t>
        </w:r>
      </w:hyperlink>
      <w:r>
        <w:t>) and ready</w:t>
      </w:r>
      <w:r>
        <w:noBreakHyphen/>
        <w:t>to</w:t>
      </w:r>
      <w:r>
        <w:noBreakHyphen/>
        <w:t>eat minimally processed fruits and vegetables (</w:t>
      </w:r>
      <w:hyperlink r:id="rId18" w:history="1">
        <w:r>
          <w:rPr>
            <w:rStyle w:val="Hyperlink"/>
          </w:rPr>
          <w:t>Chapter 3—Food S</w:t>
        </w:r>
        <w:r w:rsidRPr="00416A05">
          <w:rPr>
            <w:rStyle w:val="Hyperlink"/>
          </w:rPr>
          <w:t>afety Standards</w:t>
        </w:r>
      </w:hyperlink>
      <w:r>
        <w:t xml:space="preserve">), the scope </w:t>
      </w:r>
      <w:r w:rsidR="00086CA6">
        <w:t xml:space="preserve">of P1052 </w:t>
      </w:r>
      <w:r>
        <w:t xml:space="preserve">was limited to berries, </w:t>
      </w:r>
      <w:r w:rsidR="00764E8A">
        <w:t>leafy vegetables and melons.</w:t>
      </w:r>
    </w:p>
    <w:p w14:paraId="3D5ADCC8" w14:textId="255AAE5B" w:rsidR="00980477" w:rsidRDefault="00980477" w:rsidP="001662D5"/>
    <w:p w14:paraId="22DFA856" w14:textId="3C532F67" w:rsidR="00DB02E2" w:rsidRDefault="00DB02E2" w:rsidP="001662D5">
      <w:r>
        <w:t xml:space="preserve">There have been two </w:t>
      </w:r>
      <w:r w:rsidR="00EB1E26">
        <w:t>rounds of consultation on this p</w:t>
      </w:r>
      <w:r>
        <w:t>roposal, including the recent November 2021 to February 2022 consultation that included a CRIS with questions to stakeholders on the costs and benefits of proposed options.</w:t>
      </w:r>
      <w:r w:rsidR="00134948">
        <w:t xml:space="preserve"> Stakeholders provided useful feedback</w:t>
      </w:r>
      <w:r w:rsidR="000D4BC9">
        <w:t xml:space="preserve"> that has helped shape this DRIS</w:t>
      </w:r>
      <w:r w:rsidR="00134948">
        <w:t>.</w:t>
      </w:r>
      <w:r w:rsidR="000D4BC9">
        <w:t xml:space="preserve"> Such feedback included</w:t>
      </w:r>
      <w:r w:rsidR="00B16D9A">
        <w:t xml:space="preserve"> </w:t>
      </w:r>
      <w:r w:rsidR="00B16D9A">
        <w:rPr>
          <w:lang w:val="en-AU"/>
        </w:rPr>
        <w:t>business numbers, numbers of businesses on market-led schemes, number of harvest days a year</w:t>
      </w:r>
      <w:r w:rsidR="00BE4FF3">
        <w:rPr>
          <w:lang w:val="en-AU"/>
        </w:rPr>
        <w:t xml:space="preserve"> and</w:t>
      </w:r>
      <w:r w:rsidR="00B16D9A">
        <w:rPr>
          <w:lang w:val="en-AU"/>
        </w:rPr>
        <w:t xml:space="preserve"> costs of food recalls and other information.</w:t>
      </w:r>
    </w:p>
    <w:p w14:paraId="6A30A0A6" w14:textId="59325990" w:rsidR="005804D7" w:rsidRPr="00AD5356" w:rsidRDefault="00AD5356" w:rsidP="00AD5356">
      <w:pPr>
        <w:pStyle w:val="Heading1"/>
        <w:rPr>
          <w:rFonts w:eastAsiaTheme="majorEastAsia"/>
        </w:rPr>
      </w:pPr>
      <w:bookmarkStart w:id="21" w:name="_Toc85635259"/>
      <w:bookmarkStart w:id="22" w:name="_Toc97643817"/>
      <w:bookmarkStart w:id="23" w:name="_Toc97653202"/>
      <w:bookmarkStart w:id="24" w:name="_Toc97739354"/>
      <w:bookmarkStart w:id="25" w:name="_Toc97823771"/>
      <w:bookmarkStart w:id="26" w:name="_Toc97823937"/>
      <w:bookmarkStart w:id="27" w:name="_Toc69222831"/>
      <w:bookmarkStart w:id="28" w:name="_Toc74145838"/>
      <w:bookmarkStart w:id="29" w:name="_Toc76382330"/>
      <w:bookmarkStart w:id="30" w:name="_Toc76570459"/>
      <w:bookmarkStart w:id="31" w:name="_Toc77687480"/>
      <w:r>
        <w:rPr>
          <w:rFonts w:eastAsiaTheme="majorEastAsia"/>
        </w:rPr>
        <w:t>2.</w:t>
      </w:r>
      <w:r>
        <w:rPr>
          <w:rFonts w:eastAsiaTheme="majorEastAsia"/>
        </w:rPr>
        <w:tab/>
      </w:r>
      <w:r w:rsidR="005804D7" w:rsidRPr="00AD5356">
        <w:rPr>
          <w:rFonts w:eastAsiaTheme="majorEastAsia"/>
        </w:rPr>
        <w:t>Scope of the proposal</w:t>
      </w:r>
      <w:bookmarkEnd w:id="21"/>
      <w:bookmarkEnd w:id="22"/>
      <w:bookmarkEnd w:id="23"/>
      <w:bookmarkEnd w:id="24"/>
      <w:bookmarkEnd w:id="25"/>
      <w:bookmarkEnd w:id="26"/>
      <w:r w:rsidR="005804D7" w:rsidRPr="00AD5356">
        <w:rPr>
          <w:rFonts w:eastAsiaTheme="majorEastAsia"/>
        </w:rPr>
        <w:t xml:space="preserve"> </w:t>
      </w:r>
      <w:bookmarkEnd w:id="27"/>
      <w:bookmarkEnd w:id="28"/>
      <w:bookmarkEnd w:id="29"/>
      <w:bookmarkEnd w:id="30"/>
      <w:bookmarkEnd w:id="31"/>
    </w:p>
    <w:p w14:paraId="07AE7A8D" w14:textId="77777777" w:rsidR="009005B5" w:rsidRDefault="00310B14" w:rsidP="007546D2">
      <w:pPr>
        <w:rPr>
          <w:lang w:val="en-AU" w:eastAsia="en-GB" w:bidi="ar-SA"/>
        </w:rPr>
      </w:pPr>
      <w:bookmarkStart w:id="32" w:name="_Toc74145839"/>
      <w:bookmarkStart w:id="33" w:name="_Toc76382331"/>
      <w:bookmarkStart w:id="34" w:name="_Toc76570460"/>
      <w:bookmarkStart w:id="35" w:name="_Toc77687481"/>
      <w:r>
        <w:rPr>
          <w:lang w:val="en-AU" w:eastAsia="en-GB" w:bidi="ar-SA"/>
        </w:rPr>
        <w:t>This proposal covers the commodities below that are produced in Australia</w:t>
      </w:r>
      <w:r w:rsidR="001661C7">
        <w:rPr>
          <w:lang w:val="en-AU" w:eastAsia="en-GB" w:bidi="ar-SA"/>
        </w:rPr>
        <w:t>. That excludes production in New Zealand or</w:t>
      </w:r>
      <w:r>
        <w:rPr>
          <w:lang w:val="en-AU" w:eastAsia="en-GB" w:bidi="ar-SA"/>
        </w:rPr>
        <w:t xml:space="preserve"> other countries.</w:t>
      </w:r>
      <w:r w:rsidR="00274448">
        <w:rPr>
          <w:lang w:val="en-AU" w:eastAsia="en-GB" w:bidi="ar-SA"/>
        </w:rPr>
        <w:t xml:space="preserve"> </w:t>
      </w:r>
    </w:p>
    <w:p w14:paraId="67E0BB51" w14:textId="77777777" w:rsidR="009005B5" w:rsidRDefault="009005B5" w:rsidP="007546D2">
      <w:pPr>
        <w:rPr>
          <w:lang w:val="en-AU" w:eastAsia="en-GB" w:bidi="ar-SA"/>
        </w:rPr>
      </w:pPr>
    </w:p>
    <w:p w14:paraId="3DC527B2" w14:textId="5FB7B10D" w:rsidR="00285342" w:rsidRPr="00E01D35" w:rsidRDefault="009005B5" w:rsidP="007546D2">
      <w:pPr>
        <w:rPr>
          <w:lang w:val="en-AU" w:eastAsia="en-GB" w:bidi="ar-SA"/>
        </w:rPr>
      </w:pPr>
      <w:r>
        <w:rPr>
          <w:lang w:val="en-AU" w:eastAsia="en-GB" w:bidi="ar-SA"/>
        </w:rPr>
        <w:t xml:space="preserve">The scope </w:t>
      </w:r>
      <w:r w:rsidR="00274448">
        <w:rPr>
          <w:lang w:val="en-AU" w:eastAsia="en-GB" w:bidi="ar-SA"/>
        </w:rPr>
        <w:t xml:space="preserve">also excludes exports or stages of the supply chain after growing, harvesting and </w:t>
      </w:r>
      <w:r w:rsidR="00274448">
        <w:rPr>
          <w:lang w:val="en-AU" w:eastAsia="en-GB" w:bidi="ar-SA"/>
        </w:rPr>
        <w:lastRenderedPageBreak/>
        <w:t xml:space="preserve">primary processing. For instance, the scope excludes substantive processing of </w:t>
      </w:r>
      <w:r w:rsidR="00616034">
        <w:rPr>
          <w:lang w:val="en-AU"/>
        </w:rPr>
        <w:t>commodities</w:t>
      </w:r>
      <w:r w:rsidR="00540BDC">
        <w:rPr>
          <w:lang w:val="en-AU"/>
        </w:rPr>
        <w:t>,</w:t>
      </w:r>
      <w:r w:rsidR="00274448">
        <w:rPr>
          <w:lang w:val="en-AU" w:eastAsia="en-GB" w:bidi="ar-SA"/>
        </w:rPr>
        <w:t xml:space="preserve"> such as</w:t>
      </w:r>
      <w:r w:rsidR="00616034">
        <w:rPr>
          <w:lang w:val="en-AU" w:eastAsia="en-GB" w:bidi="ar-SA"/>
        </w:rPr>
        <w:t xml:space="preserve"> </w:t>
      </w:r>
      <w:r w:rsidR="00540BDC">
        <w:rPr>
          <w:lang w:val="en-AU" w:eastAsia="en-GB" w:bidi="ar-SA"/>
        </w:rPr>
        <w:t xml:space="preserve">cutting </w:t>
      </w:r>
      <w:r w:rsidR="00616034">
        <w:rPr>
          <w:lang w:val="en-AU" w:eastAsia="en-GB" w:bidi="ar-SA"/>
        </w:rPr>
        <w:t>whole fruit</w:t>
      </w:r>
      <w:r w:rsidR="00274448">
        <w:rPr>
          <w:lang w:val="en-AU" w:eastAsia="en-GB" w:bidi="ar-SA"/>
        </w:rPr>
        <w:t xml:space="preserve"> or juic</w:t>
      </w:r>
      <w:r w:rsidR="00540BDC">
        <w:rPr>
          <w:lang w:val="en-AU" w:eastAsia="en-GB" w:bidi="ar-SA"/>
        </w:rPr>
        <w:t>ing. The scope also ex</w:t>
      </w:r>
      <w:r w:rsidR="00274448">
        <w:rPr>
          <w:lang w:val="en-AU" w:eastAsia="en-GB" w:bidi="ar-SA"/>
        </w:rPr>
        <w:t xml:space="preserve">cludes wholesaling and retailing parts of the supply chain. Wholesale and retail </w:t>
      </w:r>
      <w:r>
        <w:rPr>
          <w:lang w:val="en-AU" w:eastAsia="en-GB" w:bidi="ar-SA"/>
        </w:rPr>
        <w:t xml:space="preserve">food safety requirements </w:t>
      </w:r>
      <w:r w:rsidR="00274448">
        <w:rPr>
          <w:lang w:val="en-AU" w:eastAsia="en-GB" w:bidi="ar-SA"/>
        </w:rPr>
        <w:t>are already covere</w:t>
      </w:r>
      <w:r w:rsidR="00BE4FF3">
        <w:rPr>
          <w:lang w:val="en-AU" w:eastAsia="en-GB" w:bidi="ar-SA"/>
        </w:rPr>
        <w:t xml:space="preserve">d by Chapter 3 of the </w:t>
      </w:r>
      <w:r w:rsidR="00274448">
        <w:rPr>
          <w:lang w:val="en-AU" w:eastAsia="en-GB" w:bidi="ar-SA"/>
        </w:rPr>
        <w:t>Code.</w:t>
      </w:r>
    </w:p>
    <w:p w14:paraId="1069227A" w14:textId="136BB3FE" w:rsidR="005804D7" w:rsidRPr="00676EBB" w:rsidRDefault="00FB6EF1" w:rsidP="00F611C6">
      <w:pPr>
        <w:pStyle w:val="Heading2"/>
        <w:rPr>
          <w:lang w:val="en-AU" w:eastAsia="en-GB"/>
        </w:rPr>
      </w:pPr>
      <w:bookmarkStart w:id="36" w:name="_Toc85635260"/>
      <w:bookmarkStart w:id="37" w:name="_Toc97643818"/>
      <w:bookmarkStart w:id="38" w:name="_Toc97653203"/>
      <w:bookmarkStart w:id="39" w:name="_Toc97739355"/>
      <w:bookmarkStart w:id="40" w:name="_Toc97823772"/>
      <w:bookmarkStart w:id="41" w:name="_Toc97823938"/>
      <w:bookmarkEnd w:id="32"/>
      <w:bookmarkEnd w:id="33"/>
      <w:bookmarkEnd w:id="34"/>
      <w:bookmarkEnd w:id="35"/>
      <w:r>
        <w:rPr>
          <w:lang w:val="en-AU" w:eastAsia="en-GB"/>
        </w:rPr>
        <w:t>2.1</w:t>
      </w:r>
      <w:r>
        <w:rPr>
          <w:lang w:val="en-AU" w:eastAsia="en-GB"/>
        </w:rPr>
        <w:tab/>
      </w:r>
      <w:r w:rsidR="002F3520">
        <w:rPr>
          <w:lang w:val="en-AU" w:eastAsia="en-GB"/>
        </w:rPr>
        <w:t>Commodities</w:t>
      </w:r>
      <w:bookmarkEnd w:id="36"/>
      <w:bookmarkEnd w:id="37"/>
      <w:bookmarkEnd w:id="38"/>
      <w:bookmarkEnd w:id="39"/>
      <w:bookmarkEnd w:id="40"/>
      <w:bookmarkEnd w:id="41"/>
    </w:p>
    <w:p w14:paraId="708D3FA9" w14:textId="016C9231" w:rsidR="005804D7" w:rsidRPr="001C240A" w:rsidRDefault="005804D7" w:rsidP="005804D7">
      <w:r w:rsidRPr="001C240A">
        <w:t xml:space="preserve">The </w:t>
      </w:r>
      <w:r>
        <w:t xml:space="preserve">three horticulture </w:t>
      </w:r>
      <w:r w:rsidR="00C96BDA">
        <w:t>commodi</w:t>
      </w:r>
      <w:r w:rsidR="009C117B">
        <w:t>ty groups</w:t>
      </w:r>
      <w:r>
        <w:t xml:space="preserve"> in scope for this proposal are:</w:t>
      </w:r>
    </w:p>
    <w:p w14:paraId="75D03CAA" w14:textId="509B847E" w:rsidR="005804D7" w:rsidRDefault="002F3520" w:rsidP="003D2E7B">
      <w:pPr>
        <w:pStyle w:val="FSBullet1"/>
      </w:pPr>
      <w:r>
        <w:t>fresh berries</w:t>
      </w:r>
    </w:p>
    <w:p w14:paraId="50B432C7" w14:textId="2FDD112F" w:rsidR="005804D7" w:rsidRPr="001C240A" w:rsidRDefault="005804D7" w:rsidP="003D2E7B">
      <w:pPr>
        <w:pStyle w:val="FSBullet1"/>
      </w:pPr>
      <w:r>
        <w:t>fresh l</w:t>
      </w:r>
      <w:r w:rsidRPr="001C240A">
        <w:t>eafy vegetables</w:t>
      </w:r>
    </w:p>
    <w:p w14:paraId="2C0CE139" w14:textId="22AACDA9" w:rsidR="005804D7" w:rsidRDefault="005804D7" w:rsidP="003D2E7B">
      <w:pPr>
        <w:pStyle w:val="FSBullet1"/>
      </w:pPr>
      <w:r>
        <w:t>fresh m</w:t>
      </w:r>
      <w:r w:rsidRPr="001C240A">
        <w:t>elons</w:t>
      </w:r>
      <w:r w:rsidR="002F3520">
        <w:t>.</w:t>
      </w:r>
    </w:p>
    <w:p w14:paraId="0DA0A0FE" w14:textId="14E1CC7A" w:rsidR="002F3520" w:rsidRDefault="002F3520" w:rsidP="002F3520">
      <w:pPr>
        <w:widowControl/>
      </w:pPr>
    </w:p>
    <w:p w14:paraId="3AFBF419" w14:textId="6AB1CF90" w:rsidR="00EE0D24" w:rsidRDefault="002F3520" w:rsidP="00E01D35">
      <w:r>
        <w:t xml:space="preserve">The examples of </w:t>
      </w:r>
      <w:r w:rsidR="00C96BDA">
        <w:t xml:space="preserve">each commodity </w:t>
      </w:r>
      <w:r w:rsidR="00BD6B9B">
        <w:t>group</w:t>
      </w:r>
      <w:r>
        <w:t xml:space="preserve"> provided below are not exhaustive. The range of </w:t>
      </w:r>
      <w:r w:rsidR="00C96BDA">
        <w:rPr>
          <w:lang w:val="en-AU"/>
        </w:rPr>
        <w:t>commodities</w:t>
      </w:r>
      <w:r>
        <w:t xml:space="preserve"> covered </w:t>
      </w:r>
      <w:r w:rsidR="002D301F">
        <w:t>is guided by FSANZ</w:t>
      </w:r>
      <w:r w:rsidR="00ED2EF4">
        <w:t>’</w:t>
      </w:r>
      <w:r w:rsidR="002D301F">
        <w:t>s</w:t>
      </w:r>
      <w:r>
        <w:t xml:space="preserve"> </w:t>
      </w:r>
      <w:hyperlink r:id="rId19" w:history="1">
        <w:r w:rsidR="00FD298C" w:rsidRPr="00FD298C">
          <w:rPr>
            <w:rStyle w:val="Hyperlink"/>
          </w:rPr>
          <w:t>microbiological a</w:t>
        </w:r>
        <w:r w:rsidR="002D301F" w:rsidRPr="00FD298C">
          <w:rPr>
            <w:rStyle w:val="Hyperlink"/>
          </w:rPr>
          <w:t>ssessment</w:t>
        </w:r>
      </w:hyperlink>
      <w:r w:rsidRPr="006D6816">
        <w:t xml:space="preserve"> of </w:t>
      </w:r>
      <w:r w:rsidR="00BD6B9B">
        <w:t>berries, leafy vegetables</w:t>
      </w:r>
      <w:r w:rsidRPr="006D6816">
        <w:t xml:space="preserve"> and </w:t>
      </w:r>
      <w:r w:rsidR="00BD6B9B">
        <w:t>m</w:t>
      </w:r>
      <w:r w:rsidRPr="006D6816">
        <w:t>elons</w:t>
      </w:r>
      <w:r w:rsidR="00BE4FF3">
        <w:t xml:space="preserve">, </w:t>
      </w:r>
      <w:r w:rsidRPr="006D6816">
        <w:t xml:space="preserve">provided as </w:t>
      </w:r>
      <w:r w:rsidR="00FD298C">
        <w:t>a</w:t>
      </w:r>
      <w:r w:rsidR="00B43B22">
        <w:t xml:space="preserve"> </w:t>
      </w:r>
      <w:r w:rsidR="00D14072" w:rsidRPr="00B43B22">
        <w:t>supporting do</w:t>
      </w:r>
      <w:r w:rsidR="00B43B22" w:rsidRPr="00B43B22">
        <w:t>cument</w:t>
      </w:r>
      <w:r w:rsidR="00FD298C">
        <w:t xml:space="preserve"> with the 2</w:t>
      </w:r>
      <w:r w:rsidR="00FD298C" w:rsidRPr="00FD298C">
        <w:rPr>
          <w:vertAlign w:val="superscript"/>
        </w:rPr>
        <w:t>nd</w:t>
      </w:r>
      <w:r w:rsidR="00FD298C">
        <w:t xml:space="preserve"> call for submissions (CFS)</w:t>
      </w:r>
      <w:r w:rsidR="00B43B22">
        <w:t>.</w:t>
      </w:r>
    </w:p>
    <w:p w14:paraId="044F8161" w14:textId="77777777" w:rsidR="002F3520" w:rsidRPr="002F3520" w:rsidRDefault="002F3520" w:rsidP="00E01D35">
      <w:pPr>
        <w:pStyle w:val="Heading3"/>
      </w:pPr>
      <w:bookmarkStart w:id="42" w:name="_Toc85540119"/>
      <w:bookmarkStart w:id="43" w:name="_Toc85626128"/>
      <w:bookmarkStart w:id="44" w:name="_Toc85635261"/>
      <w:bookmarkStart w:id="45" w:name="_Toc97643819"/>
      <w:bookmarkStart w:id="46" w:name="_Toc97653204"/>
      <w:bookmarkStart w:id="47" w:name="_Toc97739356"/>
      <w:bookmarkStart w:id="48" w:name="_Toc97823773"/>
      <w:bookmarkStart w:id="49" w:name="_Toc97823939"/>
      <w:r w:rsidRPr="002F3520">
        <w:t>Berries</w:t>
      </w:r>
      <w:bookmarkEnd w:id="42"/>
      <w:bookmarkEnd w:id="43"/>
      <w:bookmarkEnd w:id="44"/>
      <w:bookmarkEnd w:id="45"/>
      <w:bookmarkEnd w:id="46"/>
      <w:bookmarkEnd w:id="47"/>
      <w:bookmarkEnd w:id="48"/>
      <w:bookmarkEnd w:id="49"/>
    </w:p>
    <w:p w14:paraId="772E1F8F" w14:textId="77777777" w:rsidR="00D35FDD" w:rsidRDefault="00EE0D24" w:rsidP="00EE0D24">
      <w:pPr>
        <w:rPr>
          <w:rFonts w:cs="Arial"/>
          <w:lang w:bidi="ar-SA"/>
        </w:rPr>
      </w:pPr>
      <w:r>
        <w:rPr>
          <w:rFonts w:cs="Arial"/>
          <w:lang w:bidi="ar-SA"/>
        </w:rPr>
        <w:t>The four major berries grown in Australia are</w:t>
      </w:r>
      <w:r w:rsidR="00D35FDD">
        <w:rPr>
          <w:rFonts w:cs="Arial"/>
          <w:lang w:bidi="ar-SA"/>
        </w:rPr>
        <w:t>:</w:t>
      </w:r>
    </w:p>
    <w:p w14:paraId="74356669" w14:textId="4E11D50D" w:rsidR="00D35FDD" w:rsidRPr="00D35FDD" w:rsidRDefault="002F3520" w:rsidP="00D35FDD">
      <w:pPr>
        <w:pStyle w:val="FSBullet1"/>
        <w:rPr>
          <w:b/>
        </w:rPr>
      </w:pPr>
      <w:r>
        <w:t xml:space="preserve">strawberries, </w:t>
      </w:r>
    </w:p>
    <w:p w14:paraId="2D9825B1" w14:textId="3DA61E69" w:rsidR="00442F72" w:rsidRPr="00442F72" w:rsidRDefault="00442F72" w:rsidP="00D35FDD">
      <w:pPr>
        <w:pStyle w:val="FSBullet1"/>
      </w:pPr>
      <w:r w:rsidRPr="00442F72">
        <w:t>b</w:t>
      </w:r>
      <w:r>
        <w:t>luebe</w:t>
      </w:r>
      <w:r w:rsidRPr="00442F72">
        <w:t>rries,</w:t>
      </w:r>
      <w:r>
        <w:t xml:space="preserve"> and</w:t>
      </w:r>
    </w:p>
    <w:p w14:paraId="72DE242B" w14:textId="221FA4AD" w:rsidR="00D35FDD" w:rsidRPr="00D35FDD" w:rsidRDefault="005E5B9F" w:rsidP="00D35FDD">
      <w:pPr>
        <w:pStyle w:val="FSBullet1"/>
        <w:rPr>
          <w:b/>
        </w:rPr>
      </w:pPr>
      <w:r w:rsidRPr="00402E77">
        <w:rPr>
          <w:i/>
        </w:rPr>
        <w:t>R</w:t>
      </w:r>
      <w:r w:rsidR="00442F72" w:rsidRPr="00402E77">
        <w:rPr>
          <w:i/>
        </w:rPr>
        <w:t>ubus</w:t>
      </w:r>
      <w:r w:rsidR="00442F72">
        <w:t xml:space="preserve"> berries (mainly raspberries and blackberries).</w:t>
      </w:r>
      <w:r w:rsidR="002F3520">
        <w:t xml:space="preserve"> </w:t>
      </w:r>
    </w:p>
    <w:p w14:paraId="1BED9C18" w14:textId="32FD3646" w:rsidR="00EE0D24" w:rsidRPr="00D35FDD" w:rsidRDefault="00D35FDD" w:rsidP="00D35FDD">
      <w:pPr>
        <w:pStyle w:val="FSBullet1"/>
        <w:numPr>
          <w:ilvl w:val="0"/>
          <w:numId w:val="0"/>
        </w:numPr>
        <w:rPr>
          <w:rFonts w:cs="Times New Roman"/>
          <w:lang w:bidi="en-US"/>
        </w:rPr>
      </w:pPr>
      <w:r w:rsidRPr="00D35FDD">
        <w:rPr>
          <w:rFonts w:cs="Times New Roman"/>
          <w:lang w:bidi="en-US"/>
        </w:rPr>
        <w:t xml:space="preserve">There are also small quantities grown of the </w:t>
      </w:r>
      <w:r w:rsidR="005E5B9F" w:rsidRPr="00402E77">
        <w:rPr>
          <w:rFonts w:cs="Times New Roman"/>
          <w:i/>
          <w:lang w:bidi="en-US"/>
        </w:rPr>
        <w:t>R</w:t>
      </w:r>
      <w:r w:rsidRPr="00402E77">
        <w:rPr>
          <w:rFonts w:cs="Times New Roman"/>
          <w:i/>
          <w:lang w:bidi="en-US"/>
        </w:rPr>
        <w:t>ubus</w:t>
      </w:r>
      <w:r w:rsidRPr="00D35FDD">
        <w:rPr>
          <w:rFonts w:cs="Times New Roman"/>
          <w:lang w:bidi="en-US"/>
        </w:rPr>
        <w:t xml:space="preserve"> hybrid cultivars of</w:t>
      </w:r>
      <w:r w:rsidR="00EE0D24" w:rsidRPr="00D35FDD">
        <w:rPr>
          <w:rFonts w:cs="Times New Roman"/>
          <w:lang w:bidi="en-US"/>
        </w:rPr>
        <w:t xml:space="preserve"> boysenberry, loganberry, </w:t>
      </w:r>
      <w:proofErr w:type="spellStart"/>
      <w:r w:rsidR="00EE0D24" w:rsidRPr="00D35FDD">
        <w:rPr>
          <w:rFonts w:cs="Times New Roman"/>
          <w:lang w:bidi="en-US"/>
        </w:rPr>
        <w:t>silvanberry</w:t>
      </w:r>
      <w:proofErr w:type="spellEnd"/>
      <w:r w:rsidR="00EE0D24" w:rsidRPr="00D35FDD">
        <w:rPr>
          <w:rFonts w:cs="Times New Roman"/>
          <w:lang w:bidi="en-US"/>
        </w:rPr>
        <w:t xml:space="preserve"> and youngberry.</w:t>
      </w:r>
    </w:p>
    <w:p w14:paraId="29F3B979" w14:textId="77777777" w:rsidR="002F3520" w:rsidRPr="002F3520" w:rsidRDefault="002F3520" w:rsidP="00E01D35">
      <w:pPr>
        <w:pStyle w:val="Heading3"/>
      </w:pPr>
      <w:bookmarkStart w:id="50" w:name="_Toc85540120"/>
      <w:bookmarkStart w:id="51" w:name="_Toc85626129"/>
      <w:bookmarkStart w:id="52" w:name="_Toc85635262"/>
      <w:bookmarkStart w:id="53" w:name="_Toc97643820"/>
      <w:bookmarkStart w:id="54" w:name="_Toc97653205"/>
      <w:bookmarkStart w:id="55" w:name="_Toc97739357"/>
      <w:bookmarkStart w:id="56" w:name="_Toc97823774"/>
      <w:bookmarkStart w:id="57" w:name="_Toc97823940"/>
      <w:r w:rsidRPr="002F3520">
        <w:t>Leafy vegetables</w:t>
      </w:r>
      <w:bookmarkEnd w:id="50"/>
      <w:bookmarkEnd w:id="51"/>
      <w:bookmarkEnd w:id="52"/>
      <w:bookmarkEnd w:id="53"/>
      <w:bookmarkEnd w:id="54"/>
      <w:bookmarkEnd w:id="55"/>
      <w:bookmarkEnd w:id="56"/>
      <w:bookmarkEnd w:id="57"/>
    </w:p>
    <w:p w14:paraId="4CCB5033" w14:textId="45B25B00" w:rsidR="00EE0D24" w:rsidRDefault="00EE0D24" w:rsidP="00EE0D24">
      <w:r w:rsidRPr="00FC48E7">
        <w:t xml:space="preserve">Fresh leafy vegetables and herbs include all vegetables and herbs of a </w:t>
      </w:r>
      <w:r w:rsidR="002F3520">
        <w:t xml:space="preserve">leafy nature in which the leaf </w:t>
      </w:r>
      <w:r w:rsidRPr="00FC48E7">
        <w:t xml:space="preserve">is intended to be consumed </w:t>
      </w:r>
      <w:r w:rsidR="003F2138">
        <w:t>fresh</w:t>
      </w:r>
      <w:r w:rsidR="00723FC3">
        <w:t xml:space="preserve"> and raw</w:t>
      </w:r>
      <w:r w:rsidRPr="00FC48E7">
        <w:t xml:space="preserve">. Examples are </w:t>
      </w:r>
      <w:r w:rsidR="00B14BBE">
        <w:t xml:space="preserve">microgreens, </w:t>
      </w:r>
      <w:r w:rsidR="002F3520">
        <w:t xml:space="preserve">baby leaves, </w:t>
      </w:r>
      <w:r w:rsidRPr="00FC48E7">
        <w:t xml:space="preserve">lettuce, spinach, </w:t>
      </w:r>
      <w:r w:rsidRPr="00DC6632">
        <w:t>cabbages, chicory, leafy herbs (</w:t>
      </w:r>
      <w:r w:rsidR="00EB4B85">
        <w:t>e.g. coriander, basil, parsley</w:t>
      </w:r>
      <w:r w:rsidRPr="00DC6632">
        <w:t>) and watercress.</w:t>
      </w:r>
    </w:p>
    <w:p w14:paraId="2ED08E98" w14:textId="41B6AD9D" w:rsidR="00EE0D24" w:rsidRPr="00DC6632" w:rsidRDefault="00EE0D24" w:rsidP="00EE0D24"/>
    <w:p w14:paraId="11FB1D6F" w14:textId="591E1255" w:rsidR="00EE0D24" w:rsidRPr="00DC6632" w:rsidRDefault="00EE0D24" w:rsidP="00EE0D24">
      <w:pPr>
        <w:shd w:val="clear" w:color="auto" w:fill="FFFFFF"/>
      </w:pPr>
      <w:r w:rsidRPr="00DC6632">
        <w:t xml:space="preserve">The main </w:t>
      </w:r>
      <w:r w:rsidR="00EB4B85">
        <w:t xml:space="preserve">leafy vegetable </w:t>
      </w:r>
      <w:r w:rsidR="00C96BDA">
        <w:rPr>
          <w:lang w:val="en-AU"/>
        </w:rPr>
        <w:t>commodities</w:t>
      </w:r>
      <w:r w:rsidRPr="00DC6632">
        <w:t xml:space="preserve"> grown in Australia include:</w:t>
      </w:r>
    </w:p>
    <w:p w14:paraId="7DAF4967" w14:textId="0894CE47" w:rsidR="00ED2BEB" w:rsidRDefault="00ED2BEB" w:rsidP="003D2E7B">
      <w:pPr>
        <w:pStyle w:val="FSBullet1"/>
      </w:pPr>
      <w:r>
        <w:t>lettuce</w:t>
      </w:r>
    </w:p>
    <w:p w14:paraId="4FBA362F" w14:textId="0D7F4F7C" w:rsidR="00ED2BEB" w:rsidRDefault="00ED2BEB" w:rsidP="00ED2BEB">
      <w:pPr>
        <w:pStyle w:val="FSBullet1"/>
      </w:pPr>
      <w:r w:rsidRPr="00DC6632">
        <w:t>leafy salad vegetables</w:t>
      </w:r>
    </w:p>
    <w:p w14:paraId="6819076F" w14:textId="778201DD" w:rsidR="00ED2BEB" w:rsidRPr="00ED2BEB" w:rsidRDefault="00ED2BEB" w:rsidP="00ED2BEB">
      <w:pPr>
        <w:pStyle w:val="FSBullet1"/>
      </w:pPr>
      <w:r>
        <w:t>fresh herbs</w:t>
      </w:r>
    </w:p>
    <w:p w14:paraId="69A4F859" w14:textId="7D3BE439" w:rsidR="00EE0D24" w:rsidRPr="00DC6632" w:rsidRDefault="00EE0D24" w:rsidP="003D2E7B">
      <w:pPr>
        <w:pStyle w:val="FSBullet1"/>
      </w:pPr>
      <w:r w:rsidRPr="00DC6632">
        <w:t>cabbage</w:t>
      </w:r>
    </w:p>
    <w:p w14:paraId="78D8640B" w14:textId="77777777" w:rsidR="00EE0D24" w:rsidRPr="00DC6632" w:rsidRDefault="00EE0D24" w:rsidP="003D2E7B">
      <w:pPr>
        <w:pStyle w:val="FSBullet1"/>
      </w:pPr>
      <w:r w:rsidRPr="00DC6632">
        <w:t>English spinach</w:t>
      </w:r>
    </w:p>
    <w:p w14:paraId="2082E18D" w14:textId="77777777" w:rsidR="00EE0D24" w:rsidRPr="00DC6632" w:rsidRDefault="00EE0D24" w:rsidP="003D2E7B">
      <w:pPr>
        <w:pStyle w:val="FSBullet1"/>
      </w:pPr>
      <w:proofErr w:type="spellStart"/>
      <w:r w:rsidRPr="00DC6632">
        <w:t>silverbeet</w:t>
      </w:r>
      <w:proofErr w:type="spellEnd"/>
    </w:p>
    <w:p w14:paraId="581392E5" w14:textId="77777777" w:rsidR="00EE0D24" w:rsidRPr="00DC6632" w:rsidRDefault="00EE0D24" w:rsidP="003D2E7B">
      <w:pPr>
        <w:pStyle w:val="FSBullet1"/>
      </w:pPr>
      <w:r w:rsidRPr="00DC6632">
        <w:t>kale</w:t>
      </w:r>
    </w:p>
    <w:p w14:paraId="4AF99689" w14:textId="588617FB" w:rsidR="00EE0D24" w:rsidRPr="00DC6632" w:rsidRDefault="00EE0D24" w:rsidP="00BE4FF3">
      <w:pPr>
        <w:pStyle w:val="FSBullet1"/>
      </w:pPr>
      <w:r w:rsidRPr="00DC6632">
        <w:t>leafy Asian vegetables.</w:t>
      </w:r>
    </w:p>
    <w:p w14:paraId="5A9984BA" w14:textId="07873020" w:rsidR="002F3520" w:rsidRPr="00961420" w:rsidRDefault="002F3520" w:rsidP="00961420">
      <w:pPr>
        <w:pStyle w:val="Heading3"/>
      </w:pPr>
      <w:bookmarkStart w:id="58" w:name="_Toc85540121"/>
      <w:bookmarkStart w:id="59" w:name="_Toc85626130"/>
      <w:bookmarkStart w:id="60" w:name="_Toc85635263"/>
      <w:bookmarkStart w:id="61" w:name="_Toc97643821"/>
      <w:bookmarkStart w:id="62" w:name="_Toc97653206"/>
      <w:bookmarkStart w:id="63" w:name="_Toc97739358"/>
      <w:bookmarkStart w:id="64" w:name="_Toc97823775"/>
      <w:bookmarkStart w:id="65" w:name="_Toc97823941"/>
      <w:r w:rsidRPr="002F3520">
        <w:t>Melons</w:t>
      </w:r>
      <w:bookmarkEnd w:id="58"/>
      <w:bookmarkEnd w:id="59"/>
      <w:bookmarkEnd w:id="60"/>
      <w:bookmarkEnd w:id="61"/>
      <w:bookmarkEnd w:id="62"/>
      <w:bookmarkEnd w:id="63"/>
      <w:bookmarkEnd w:id="64"/>
      <w:bookmarkEnd w:id="65"/>
    </w:p>
    <w:p w14:paraId="4E85AFE2" w14:textId="0966E5E2" w:rsidR="002F3520" w:rsidRPr="007B5AE3" w:rsidRDefault="002F3520" w:rsidP="002F3520">
      <w:pPr>
        <w:shd w:val="clear" w:color="auto" w:fill="FFFFFF"/>
        <w:rPr>
          <w:color w:val="000000" w:themeColor="text1"/>
        </w:rPr>
      </w:pPr>
      <w:r w:rsidRPr="007B5AE3">
        <w:rPr>
          <w:color w:val="000000" w:themeColor="text1"/>
        </w:rPr>
        <w:t>The main</w:t>
      </w:r>
      <w:r w:rsidR="002E5B11">
        <w:rPr>
          <w:color w:val="000000" w:themeColor="text1"/>
        </w:rPr>
        <w:t xml:space="preserve"> melon</w:t>
      </w:r>
      <w:r w:rsidRPr="007B5AE3">
        <w:rPr>
          <w:color w:val="000000" w:themeColor="text1"/>
        </w:rPr>
        <w:t xml:space="preserve"> </w:t>
      </w:r>
      <w:r w:rsidR="00C96BDA">
        <w:rPr>
          <w:lang w:val="en-AU"/>
        </w:rPr>
        <w:t>commodities</w:t>
      </w:r>
      <w:r>
        <w:rPr>
          <w:color w:val="000000" w:themeColor="text1"/>
        </w:rPr>
        <w:t xml:space="preserve"> grown in Australia include</w:t>
      </w:r>
      <w:r w:rsidRPr="007B5AE3">
        <w:rPr>
          <w:color w:val="000000" w:themeColor="text1"/>
        </w:rPr>
        <w:t>:</w:t>
      </w:r>
    </w:p>
    <w:p w14:paraId="79B9428C" w14:textId="77777777" w:rsidR="002F3520" w:rsidRPr="007B5AE3" w:rsidRDefault="002F3520" w:rsidP="00DF44D1">
      <w:pPr>
        <w:pStyle w:val="FSBullet1"/>
      </w:pPr>
      <w:r>
        <w:t>w</w:t>
      </w:r>
      <w:r w:rsidRPr="007B5AE3">
        <w:t>atermelon</w:t>
      </w:r>
    </w:p>
    <w:p w14:paraId="533ADFB5" w14:textId="77777777" w:rsidR="002F3520" w:rsidRPr="007B5AE3" w:rsidRDefault="002F3520" w:rsidP="00DF44D1">
      <w:pPr>
        <w:pStyle w:val="FSBullet1"/>
      </w:pPr>
      <w:proofErr w:type="spellStart"/>
      <w:r>
        <w:t>r</w:t>
      </w:r>
      <w:r w:rsidRPr="007B5AE3">
        <w:t>ockmelon</w:t>
      </w:r>
      <w:proofErr w:type="spellEnd"/>
    </w:p>
    <w:p w14:paraId="14A4FD7F" w14:textId="77777777" w:rsidR="002F3520" w:rsidRPr="007B5AE3" w:rsidRDefault="002F3520" w:rsidP="00DF44D1">
      <w:pPr>
        <w:pStyle w:val="FSBullet1"/>
      </w:pPr>
      <w:r>
        <w:t>h</w:t>
      </w:r>
      <w:r w:rsidRPr="007B5AE3">
        <w:t>oneydew</w:t>
      </w:r>
      <w:r>
        <w:t>.</w:t>
      </w:r>
    </w:p>
    <w:p w14:paraId="189DA357" w14:textId="5F8D8054" w:rsidR="002F3520" w:rsidRDefault="002F3520" w:rsidP="002F3520">
      <w:pPr>
        <w:rPr>
          <w:color w:val="000000" w:themeColor="text1"/>
        </w:rPr>
      </w:pPr>
    </w:p>
    <w:p w14:paraId="5280FAD8" w14:textId="32E762E2" w:rsidR="00961420" w:rsidRPr="007B5AE3" w:rsidRDefault="00961420" w:rsidP="002F3520">
      <w:pPr>
        <w:rPr>
          <w:color w:val="000000" w:themeColor="text1"/>
        </w:rPr>
      </w:pPr>
      <w:r>
        <w:rPr>
          <w:color w:val="000000" w:themeColor="text1"/>
        </w:rPr>
        <w:t xml:space="preserve">Other melons grown in much smaller quantities include </w:t>
      </w:r>
      <w:proofErr w:type="spellStart"/>
      <w:r w:rsidRPr="007B5AE3">
        <w:rPr>
          <w:rFonts w:cs="Arial"/>
          <w:color w:val="000000" w:themeColor="text1"/>
          <w:lang w:bidi="ar-SA"/>
        </w:rPr>
        <w:t>galia</w:t>
      </w:r>
      <w:proofErr w:type="spellEnd"/>
      <w:r w:rsidRPr="007B5AE3">
        <w:rPr>
          <w:rFonts w:cs="Arial"/>
          <w:color w:val="000000" w:themeColor="text1"/>
          <w:lang w:bidi="ar-SA"/>
        </w:rPr>
        <w:t xml:space="preserve"> melon, </w:t>
      </w:r>
      <w:proofErr w:type="spellStart"/>
      <w:r w:rsidRPr="007B5AE3">
        <w:rPr>
          <w:rFonts w:cs="Arial"/>
          <w:color w:val="000000" w:themeColor="text1"/>
          <w:lang w:bidi="ar-SA"/>
        </w:rPr>
        <w:t>charentais</w:t>
      </w:r>
      <w:proofErr w:type="spellEnd"/>
      <w:r w:rsidRPr="007B5AE3">
        <w:rPr>
          <w:rFonts w:cs="Arial"/>
          <w:color w:val="000000" w:themeColor="text1"/>
          <w:lang w:bidi="ar-SA"/>
        </w:rPr>
        <w:t xml:space="preserve"> melon, Korean melon, </w:t>
      </w:r>
      <w:proofErr w:type="spellStart"/>
      <w:r w:rsidRPr="007B5AE3">
        <w:rPr>
          <w:rFonts w:cs="Arial"/>
          <w:color w:val="000000" w:themeColor="text1"/>
          <w:lang w:bidi="ar-SA"/>
        </w:rPr>
        <w:t>hami</w:t>
      </w:r>
      <w:proofErr w:type="spellEnd"/>
      <w:r w:rsidRPr="007B5AE3">
        <w:rPr>
          <w:rFonts w:cs="Arial"/>
          <w:color w:val="000000" w:themeColor="text1"/>
          <w:lang w:bidi="ar-SA"/>
        </w:rPr>
        <w:t xml:space="preserve"> melon and </w:t>
      </w:r>
      <w:proofErr w:type="spellStart"/>
      <w:r w:rsidRPr="007B5AE3">
        <w:rPr>
          <w:rFonts w:cs="Arial"/>
          <w:color w:val="000000" w:themeColor="text1"/>
          <w:lang w:bidi="ar-SA"/>
        </w:rPr>
        <w:t>piel</w:t>
      </w:r>
      <w:proofErr w:type="spellEnd"/>
      <w:r w:rsidRPr="007B5AE3">
        <w:rPr>
          <w:rFonts w:cs="Arial"/>
          <w:color w:val="000000" w:themeColor="text1"/>
          <w:lang w:bidi="ar-SA"/>
        </w:rPr>
        <w:t xml:space="preserve"> de </w:t>
      </w:r>
      <w:proofErr w:type="spellStart"/>
      <w:r w:rsidRPr="007B5AE3">
        <w:rPr>
          <w:rFonts w:cs="Arial"/>
          <w:color w:val="000000" w:themeColor="text1"/>
          <w:lang w:bidi="ar-SA"/>
        </w:rPr>
        <w:t>sapo</w:t>
      </w:r>
      <w:proofErr w:type="spellEnd"/>
      <w:r w:rsidRPr="007B5AE3">
        <w:rPr>
          <w:rFonts w:cs="Arial"/>
          <w:color w:val="000000" w:themeColor="text1"/>
          <w:lang w:bidi="ar-SA"/>
        </w:rPr>
        <w:t>.</w:t>
      </w:r>
    </w:p>
    <w:p w14:paraId="526EDEF7" w14:textId="414F1004" w:rsidR="00676EBB" w:rsidRDefault="00FB6EF1" w:rsidP="00F611C6">
      <w:pPr>
        <w:pStyle w:val="Heading2"/>
        <w:rPr>
          <w:lang w:val="en-AU" w:eastAsia="en-GB"/>
        </w:rPr>
      </w:pPr>
      <w:bookmarkStart w:id="66" w:name="_Toc74145840"/>
      <w:bookmarkStart w:id="67" w:name="_Toc76382332"/>
      <w:bookmarkStart w:id="68" w:name="_Toc76570461"/>
      <w:bookmarkStart w:id="69" w:name="_Toc77687482"/>
      <w:bookmarkStart w:id="70" w:name="_Toc85635264"/>
      <w:bookmarkStart w:id="71" w:name="_Toc97643822"/>
      <w:bookmarkStart w:id="72" w:name="_Toc97653207"/>
      <w:bookmarkStart w:id="73" w:name="_Toc97739359"/>
      <w:bookmarkStart w:id="74" w:name="_Toc97823776"/>
      <w:bookmarkStart w:id="75" w:name="_Toc97823942"/>
      <w:r>
        <w:rPr>
          <w:lang w:val="en-AU" w:eastAsia="en-GB"/>
        </w:rPr>
        <w:lastRenderedPageBreak/>
        <w:t>2.2</w:t>
      </w:r>
      <w:r>
        <w:rPr>
          <w:lang w:val="en-AU" w:eastAsia="en-GB"/>
        </w:rPr>
        <w:tab/>
      </w:r>
      <w:r w:rsidR="007546D2" w:rsidRPr="00676EBB">
        <w:rPr>
          <w:lang w:val="en-AU" w:eastAsia="en-GB"/>
        </w:rPr>
        <w:t>A</w:t>
      </w:r>
      <w:r w:rsidR="005804D7" w:rsidRPr="00676EBB">
        <w:rPr>
          <w:lang w:val="en-AU" w:eastAsia="en-GB"/>
        </w:rPr>
        <w:t>ctivities</w:t>
      </w:r>
      <w:bookmarkEnd w:id="66"/>
      <w:bookmarkEnd w:id="67"/>
      <w:bookmarkEnd w:id="68"/>
      <w:bookmarkEnd w:id="69"/>
      <w:bookmarkEnd w:id="70"/>
      <w:bookmarkEnd w:id="71"/>
      <w:bookmarkEnd w:id="72"/>
      <w:bookmarkEnd w:id="73"/>
      <w:bookmarkEnd w:id="74"/>
      <w:bookmarkEnd w:id="75"/>
    </w:p>
    <w:p w14:paraId="3908D9B1" w14:textId="73BAACB5" w:rsidR="005804D7" w:rsidRDefault="002B2442" w:rsidP="005804D7">
      <w:pPr>
        <w:rPr>
          <w:lang w:val="en-AU" w:eastAsia="en-GB"/>
        </w:rPr>
      </w:pPr>
      <w:r>
        <w:rPr>
          <w:lang w:val="en-AU" w:eastAsia="en-GB"/>
        </w:rPr>
        <w:t xml:space="preserve">This proposal and the scope of activities sit within </w:t>
      </w:r>
      <w:hyperlink r:id="rId20" w:history="1">
        <w:r w:rsidR="002E5B11">
          <w:rPr>
            <w:rStyle w:val="Hyperlink"/>
            <w:lang w:val="en-AU" w:eastAsia="en-GB"/>
          </w:rPr>
          <w:t xml:space="preserve">Chapter 4 – </w:t>
        </w:r>
        <w:r w:rsidRPr="00C067C0">
          <w:rPr>
            <w:rStyle w:val="Hyperlink"/>
            <w:lang w:val="en-AU" w:eastAsia="en-GB"/>
          </w:rPr>
          <w:t>Primary Production and Processing Standards</w:t>
        </w:r>
      </w:hyperlink>
      <w:r w:rsidR="00086CA6">
        <w:rPr>
          <w:lang w:val="en-AU" w:eastAsia="en-GB"/>
        </w:rPr>
        <w:t xml:space="preserve"> </w:t>
      </w:r>
      <w:r>
        <w:rPr>
          <w:lang w:val="en-AU" w:eastAsia="en-GB"/>
        </w:rPr>
        <w:t xml:space="preserve">of the </w:t>
      </w:r>
      <w:r w:rsidR="00E31CA0">
        <w:rPr>
          <w:lang w:val="en-AU" w:eastAsia="en-GB"/>
        </w:rPr>
        <w:t>Code</w:t>
      </w:r>
      <w:r>
        <w:rPr>
          <w:lang w:val="en-AU" w:eastAsia="en-GB"/>
        </w:rPr>
        <w:t xml:space="preserve">. </w:t>
      </w:r>
      <w:r w:rsidR="005804D7">
        <w:rPr>
          <w:lang w:val="en-AU" w:eastAsia="en-GB" w:bidi="ar-SA"/>
        </w:rPr>
        <w:t>The activities in scope for this proposal can be summarised as</w:t>
      </w:r>
      <w:r>
        <w:rPr>
          <w:lang w:val="en-AU" w:eastAsia="en-GB" w:bidi="ar-SA"/>
        </w:rPr>
        <w:t xml:space="preserve"> </w:t>
      </w:r>
      <w:r w:rsidR="005804D7">
        <w:rPr>
          <w:lang w:val="en-AU" w:eastAsia="en-GB"/>
        </w:rPr>
        <w:t>primary production</w:t>
      </w:r>
      <w:r>
        <w:rPr>
          <w:lang w:val="en-AU" w:eastAsia="en-GB"/>
        </w:rPr>
        <w:t xml:space="preserve"> and </w:t>
      </w:r>
      <w:r w:rsidR="005804D7">
        <w:rPr>
          <w:lang w:val="en-AU" w:eastAsia="en-GB"/>
        </w:rPr>
        <w:t>primary processing</w:t>
      </w:r>
      <w:r>
        <w:rPr>
          <w:lang w:val="en-AU" w:eastAsia="en-GB"/>
        </w:rPr>
        <w:t>, as detailed below.</w:t>
      </w:r>
    </w:p>
    <w:p w14:paraId="23942F39" w14:textId="77777777" w:rsidR="005804D7" w:rsidRPr="008E0FCC" w:rsidRDefault="005804D7" w:rsidP="00E01D35">
      <w:pPr>
        <w:pStyle w:val="Heading3"/>
      </w:pPr>
      <w:bookmarkStart w:id="76" w:name="_Toc85540123"/>
      <w:bookmarkStart w:id="77" w:name="_Toc85626132"/>
      <w:bookmarkStart w:id="78" w:name="_Toc85635265"/>
      <w:bookmarkStart w:id="79" w:name="_Toc97643823"/>
      <w:bookmarkStart w:id="80" w:name="_Toc97653208"/>
      <w:bookmarkStart w:id="81" w:name="_Toc97739360"/>
      <w:bookmarkStart w:id="82" w:name="_Toc97823777"/>
      <w:bookmarkStart w:id="83" w:name="_Toc97823943"/>
      <w:r w:rsidRPr="008E0FCC">
        <w:t>Primary production</w:t>
      </w:r>
      <w:bookmarkEnd w:id="76"/>
      <w:bookmarkEnd w:id="77"/>
      <w:bookmarkEnd w:id="78"/>
      <w:bookmarkEnd w:id="79"/>
      <w:bookmarkEnd w:id="80"/>
      <w:bookmarkEnd w:id="81"/>
      <w:bookmarkEnd w:id="82"/>
      <w:bookmarkEnd w:id="83"/>
    </w:p>
    <w:p w14:paraId="06E461F8" w14:textId="77777777" w:rsidR="005804D7" w:rsidRDefault="005804D7" w:rsidP="005804D7">
      <w:r>
        <w:rPr>
          <w:lang w:val="en-AU" w:eastAsia="en-GB" w:bidi="ar-SA"/>
        </w:rPr>
        <w:t xml:space="preserve">For the purposes of P1052, primary production </w:t>
      </w:r>
      <w:r>
        <w:t>means a business, enterprise or activity that is involved in one or more of the following activities in relation to a specified commodity:</w:t>
      </w:r>
    </w:p>
    <w:p w14:paraId="028F2CC8" w14:textId="77777777" w:rsidR="005804D7" w:rsidRDefault="005804D7" w:rsidP="00DF44D1">
      <w:pPr>
        <w:pStyle w:val="FSBullet1"/>
      </w:pPr>
      <w:r>
        <w:t xml:space="preserve">growing and </w:t>
      </w:r>
      <w:r w:rsidRPr="00FE0F23">
        <w:t>cultivating</w:t>
      </w:r>
    </w:p>
    <w:p w14:paraId="49B5A549" w14:textId="77777777" w:rsidR="005804D7" w:rsidRPr="00FE0F23" w:rsidRDefault="005804D7" w:rsidP="00DF44D1">
      <w:pPr>
        <w:pStyle w:val="FSBullet1"/>
      </w:pPr>
      <w:r w:rsidRPr="00FE0F23">
        <w:t>picking, collecting and harvesting</w:t>
      </w:r>
    </w:p>
    <w:p w14:paraId="5892B6F0" w14:textId="3717E276" w:rsidR="005804D7" w:rsidRDefault="005804D7" w:rsidP="00DF44D1">
      <w:pPr>
        <w:pStyle w:val="FSBullet1"/>
      </w:pPr>
      <w:r>
        <w:t>treating (e.g. washing, sanitising), trimming, sorting, co</w:t>
      </w:r>
      <w:r w:rsidR="002E5B11">
        <w:t xml:space="preserve">mbining the same produce type </w:t>
      </w:r>
      <w:r>
        <w:t>on the primary production premises</w:t>
      </w:r>
    </w:p>
    <w:p w14:paraId="0F8108BB" w14:textId="5D77BB16" w:rsidR="005804D7" w:rsidRDefault="005804D7" w:rsidP="00DF44D1">
      <w:pPr>
        <w:pStyle w:val="FSBullet1"/>
      </w:pPr>
      <w:r>
        <w:t xml:space="preserve">storing </w:t>
      </w:r>
      <w:r w:rsidR="005E5B9F">
        <w:t xml:space="preserve">including cold/modified atmosphere storage </w:t>
      </w:r>
      <w:r>
        <w:t>on the primary production premises</w:t>
      </w:r>
    </w:p>
    <w:p w14:paraId="6438A4DB" w14:textId="77777777" w:rsidR="005804D7" w:rsidRDefault="005804D7" w:rsidP="00DF44D1">
      <w:pPr>
        <w:pStyle w:val="FSBullet1"/>
      </w:pPr>
      <w:r>
        <w:t>packing or packaging (excluding final packaging for retail sale) on the primary production premises</w:t>
      </w:r>
    </w:p>
    <w:p w14:paraId="2073D44A" w14:textId="0222A8EF" w:rsidR="005804D7" w:rsidRPr="00E01D35" w:rsidRDefault="005804D7" w:rsidP="005804D7">
      <w:pPr>
        <w:pStyle w:val="FSBullet1"/>
      </w:pPr>
      <w:r>
        <w:t>transportation to, on, between or from primary production premises.</w:t>
      </w:r>
    </w:p>
    <w:p w14:paraId="16A3D40E" w14:textId="77777777" w:rsidR="005804D7" w:rsidRPr="008E0FCC" w:rsidRDefault="005804D7" w:rsidP="00E01D35">
      <w:pPr>
        <w:pStyle w:val="Heading3"/>
      </w:pPr>
      <w:bookmarkStart w:id="84" w:name="_Toc85540124"/>
      <w:bookmarkStart w:id="85" w:name="_Toc85626133"/>
      <w:bookmarkStart w:id="86" w:name="_Toc85635266"/>
      <w:bookmarkStart w:id="87" w:name="_Toc97643824"/>
      <w:bookmarkStart w:id="88" w:name="_Toc97653209"/>
      <w:bookmarkStart w:id="89" w:name="_Toc97739361"/>
      <w:bookmarkStart w:id="90" w:name="_Toc97823778"/>
      <w:bookmarkStart w:id="91" w:name="_Toc97823944"/>
      <w:r w:rsidRPr="008E0FCC">
        <w:t>Primary processing</w:t>
      </w:r>
      <w:bookmarkEnd w:id="84"/>
      <w:bookmarkEnd w:id="85"/>
      <w:bookmarkEnd w:id="86"/>
      <w:bookmarkEnd w:id="87"/>
      <w:bookmarkEnd w:id="88"/>
      <w:bookmarkEnd w:id="89"/>
      <w:bookmarkEnd w:id="90"/>
      <w:bookmarkEnd w:id="91"/>
    </w:p>
    <w:p w14:paraId="260AE744" w14:textId="77777777" w:rsidR="005804D7" w:rsidRDefault="005804D7" w:rsidP="005804D7">
      <w:pPr>
        <w:rPr>
          <w:lang w:val="en-AU" w:eastAsia="en-GB" w:bidi="ar-SA"/>
        </w:rPr>
      </w:pPr>
      <w:r>
        <w:rPr>
          <w:lang w:val="en-AU" w:eastAsia="en-GB" w:bidi="ar-SA"/>
        </w:rPr>
        <w:t xml:space="preserve">For the purposes of P1052, primary processing means </w:t>
      </w:r>
      <w:r>
        <w:t>a business, enterprise or activity that is involved in one or more of the following activities in relation to a specified commodity:</w:t>
      </w:r>
    </w:p>
    <w:p w14:paraId="0B56EECD" w14:textId="2A57AA33" w:rsidR="005804D7" w:rsidRDefault="005804D7" w:rsidP="00DF44D1">
      <w:pPr>
        <w:pStyle w:val="FSBullet1"/>
      </w:pPr>
      <w:r>
        <w:rPr>
          <w:lang w:val="en-AU" w:eastAsia="en-GB"/>
        </w:rPr>
        <w:t>treating (</w:t>
      </w:r>
      <w:r>
        <w:t>e.g. washing, sanitising), trimming, sorting, combining the same produce type on the primary processing premises</w:t>
      </w:r>
    </w:p>
    <w:p w14:paraId="2113F2CF" w14:textId="0E498E9C" w:rsidR="005804D7" w:rsidRPr="007859A8" w:rsidRDefault="005804D7" w:rsidP="00DF44D1">
      <w:pPr>
        <w:pStyle w:val="FSBullet1"/>
      </w:pPr>
      <w:r>
        <w:t xml:space="preserve">storing </w:t>
      </w:r>
      <w:r w:rsidR="005E5B9F">
        <w:t xml:space="preserve">including cold/modified atmosphere storage </w:t>
      </w:r>
      <w:r>
        <w:t xml:space="preserve">on the </w:t>
      </w:r>
      <w:r>
        <w:rPr>
          <w:lang w:val="en-AU" w:eastAsia="en-GB"/>
        </w:rPr>
        <w:t>primary processing premises</w:t>
      </w:r>
    </w:p>
    <w:p w14:paraId="1556BBDB" w14:textId="77777777" w:rsidR="005804D7" w:rsidRPr="007859A8" w:rsidRDefault="005804D7" w:rsidP="00DF44D1">
      <w:pPr>
        <w:pStyle w:val="FSBullet1"/>
      </w:pPr>
      <w:r>
        <w:rPr>
          <w:lang w:val="en-AU" w:eastAsia="en-GB"/>
        </w:rPr>
        <w:t>packing or packaging (excluding final packaging for retail sale) on the primary processing premises</w:t>
      </w:r>
    </w:p>
    <w:p w14:paraId="0971FAF9" w14:textId="64DBA5D9" w:rsidR="005804D7" w:rsidRPr="00263445" w:rsidRDefault="005804D7" w:rsidP="00263445">
      <w:pPr>
        <w:pStyle w:val="FSBullet1"/>
        <w:rPr>
          <w:lang w:val="en-AU" w:eastAsia="en-GB"/>
        </w:rPr>
      </w:pPr>
      <w:r>
        <w:rPr>
          <w:lang w:val="en-AU" w:eastAsia="en-GB"/>
        </w:rPr>
        <w:t>transportation to and between primary processing premises.</w:t>
      </w:r>
    </w:p>
    <w:p w14:paraId="549B2885" w14:textId="660C014F" w:rsidR="005804D7" w:rsidRDefault="005804D7" w:rsidP="005804D7">
      <w:pPr>
        <w:widowControl/>
        <w:shd w:val="clear" w:color="auto" w:fill="FFFFFF"/>
        <w:spacing w:before="100" w:beforeAutospacing="1" w:after="100" w:afterAutospacing="1"/>
        <w:rPr>
          <w:szCs w:val="22"/>
        </w:rPr>
      </w:pPr>
      <w:r w:rsidRPr="00716986">
        <w:rPr>
          <w:lang w:val="en-AU" w:eastAsia="en-GB" w:bidi="ar-SA"/>
        </w:rPr>
        <w:t>A schematic representation of the activities in scope of proposal P1052</w:t>
      </w:r>
      <w:r w:rsidRPr="00716986">
        <w:rPr>
          <w:szCs w:val="22"/>
        </w:rPr>
        <w:t xml:space="preserve"> is provided below.</w:t>
      </w:r>
    </w:p>
    <w:p w14:paraId="5F6E6163" w14:textId="77777777" w:rsidR="005804D7" w:rsidRPr="007B674E" w:rsidRDefault="005804D7" w:rsidP="005804D7">
      <w:pPr>
        <w:widowControl/>
        <w:shd w:val="clear" w:color="auto" w:fill="FFFFFF"/>
        <w:spacing w:before="100" w:beforeAutospacing="1" w:after="100" w:afterAutospacing="1"/>
        <w:rPr>
          <w:szCs w:val="22"/>
        </w:rPr>
      </w:pPr>
      <w:r>
        <w:rPr>
          <w:noProof/>
          <w:lang w:eastAsia="en-GB" w:bidi="ar-SA"/>
        </w:rPr>
        <w:drawing>
          <wp:inline distT="0" distB="0" distL="0" distR="0" wp14:anchorId="5D32109C" wp14:editId="64B41599">
            <wp:extent cx="486727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67275" cy="3076575"/>
                    </a:xfrm>
                    <a:prstGeom prst="rect">
                      <a:avLst/>
                    </a:prstGeom>
                  </pic:spPr>
                </pic:pic>
              </a:graphicData>
            </a:graphic>
          </wp:inline>
        </w:drawing>
      </w:r>
    </w:p>
    <w:p w14:paraId="3F834810" w14:textId="61CA7860" w:rsidR="002B2442" w:rsidRDefault="00E01D35" w:rsidP="00E01D35">
      <w:pPr>
        <w:pStyle w:val="Heading1"/>
        <w:rPr>
          <w:rFonts w:eastAsiaTheme="majorEastAsia"/>
          <w:lang w:val="en-AU" w:eastAsia="en-GB"/>
        </w:rPr>
      </w:pPr>
      <w:bookmarkStart w:id="92" w:name="_Toc85635268"/>
      <w:bookmarkStart w:id="93" w:name="_Toc97643825"/>
      <w:bookmarkStart w:id="94" w:name="_Toc97653210"/>
      <w:bookmarkStart w:id="95" w:name="_Toc97739362"/>
      <w:bookmarkStart w:id="96" w:name="_Toc97823779"/>
      <w:bookmarkStart w:id="97" w:name="_Toc97823945"/>
      <w:r>
        <w:rPr>
          <w:rFonts w:eastAsiaTheme="majorEastAsia"/>
        </w:rPr>
        <w:lastRenderedPageBreak/>
        <w:t>3.</w:t>
      </w:r>
      <w:r>
        <w:rPr>
          <w:rFonts w:eastAsiaTheme="majorEastAsia"/>
        </w:rPr>
        <w:tab/>
      </w:r>
      <w:r w:rsidR="002B2442" w:rsidRPr="00E01D35">
        <w:rPr>
          <w:rFonts w:eastAsiaTheme="majorEastAsia"/>
        </w:rPr>
        <w:t>Purpose</w:t>
      </w:r>
      <w:r w:rsidR="002B2442" w:rsidRPr="002C5FAA">
        <w:rPr>
          <w:rFonts w:eastAsiaTheme="majorEastAsia"/>
          <w:lang w:val="en-AU" w:eastAsia="en-GB"/>
        </w:rPr>
        <w:t xml:space="preserve"> of this document</w:t>
      </w:r>
      <w:bookmarkEnd w:id="92"/>
      <w:bookmarkEnd w:id="93"/>
      <w:bookmarkEnd w:id="94"/>
      <w:bookmarkEnd w:id="95"/>
      <w:bookmarkEnd w:id="96"/>
      <w:bookmarkEnd w:id="97"/>
    </w:p>
    <w:p w14:paraId="2A7052F9" w14:textId="4209DA6C" w:rsidR="002B2442" w:rsidRDefault="002B2442" w:rsidP="002B2442">
      <w:r>
        <w:t>This document outlines FSANZ’s process in determining the most appropriate options for reducing food safety risk in the berries, leafy vegetables and melons sectors in Australia.</w:t>
      </w:r>
      <w:r w:rsidR="00E70275">
        <w:t xml:space="preserve"> The protection of public health and safety was the top priority that drove </w:t>
      </w:r>
      <w:r w:rsidR="00E55103">
        <w:t>this process</w:t>
      </w:r>
      <w:r w:rsidR="00E70275">
        <w:t>.</w:t>
      </w:r>
    </w:p>
    <w:p w14:paraId="322BE709" w14:textId="77777777" w:rsidR="002B2442" w:rsidRDefault="002B2442" w:rsidP="002B2442"/>
    <w:p w14:paraId="7E5F4B9F" w14:textId="77777777" w:rsidR="006D3F17" w:rsidRDefault="002B2442" w:rsidP="002B2442">
      <w:pPr>
        <w:rPr>
          <w:lang w:val="en-AU"/>
        </w:rPr>
      </w:pPr>
      <w:r w:rsidRPr="00610B70">
        <w:t xml:space="preserve">This </w:t>
      </w:r>
      <w:r w:rsidR="00F83D5E">
        <w:t>DRIS</w:t>
      </w:r>
      <w:r w:rsidRPr="00610B70">
        <w:t xml:space="preserve"> has been prepared </w:t>
      </w:r>
      <w:r w:rsidR="009770EC">
        <w:t>i</w:t>
      </w:r>
      <w:r w:rsidR="00D65855">
        <w:t>n line</w:t>
      </w:r>
      <w:r w:rsidRPr="00610B70">
        <w:t xml:space="preserve"> with the Office of Best Practice Regulation (OBPR) guideline </w:t>
      </w:r>
      <w:hyperlink r:id="rId22" w:history="1">
        <w:r w:rsidRPr="002E5B11">
          <w:rPr>
            <w:rStyle w:val="Hyperlink"/>
            <w:i/>
          </w:rPr>
          <w:t>Regulation Impact Analysis Guide for Ministers’ Meetings and National Standards Setting Bodies</w:t>
        </w:r>
      </w:hyperlink>
      <w:r w:rsidR="006D3F17">
        <w:rPr>
          <w:rStyle w:val="Hyperlink"/>
          <w:i/>
        </w:rPr>
        <w:t xml:space="preserve"> and assessed by OBPR as adequate </w:t>
      </w:r>
      <w:r w:rsidR="006D3F17" w:rsidRPr="00A20F60">
        <w:rPr>
          <w:lang w:val="en-AU"/>
        </w:rPr>
        <w:t>to inform a final decision</w:t>
      </w:r>
      <w:r w:rsidR="006D3F17">
        <w:rPr>
          <w:lang w:val="en-AU"/>
        </w:rPr>
        <w:t xml:space="preserve">. </w:t>
      </w:r>
      <w:r w:rsidR="006D3F17" w:rsidRPr="00A20F60">
        <w:rPr>
          <w:lang w:val="en-AU"/>
        </w:rPr>
        <w:t>OBPR Letter</w:t>
      </w:r>
      <w:r w:rsidR="006D3F17">
        <w:rPr>
          <w:lang w:val="en-AU"/>
        </w:rPr>
        <w:t xml:space="preserve"> dated</w:t>
      </w:r>
      <w:r w:rsidR="006D3F17" w:rsidRPr="00A20F60">
        <w:rPr>
          <w:lang w:val="en-AU"/>
        </w:rPr>
        <w:t xml:space="preserve"> 18 March 2022 and Reference: OBPR22-01822</w:t>
      </w:r>
      <w:r w:rsidR="006D3F17">
        <w:rPr>
          <w:lang w:val="en-AU"/>
        </w:rPr>
        <w:t xml:space="preserve">. </w:t>
      </w:r>
    </w:p>
    <w:p w14:paraId="54EDEA4E" w14:textId="77777777" w:rsidR="006D3F17" w:rsidRDefault="006D3F17" w:rsidP="002B2442">
      <w:pPr>
        <w:rPr>
          <w:lang w:val="en-AU"/>
        </w:rPr>
      </w:pPr>
    </w:p>
    <w:p w14:paraId="594B102C" w14:textId="46981F19" w:rsidR="002B2442" w:rsidRPr="00610B70" w:rsidRDefault="00D65855" w:rsidP="002B2442">
      <w:r>
        <w:t>There are</w:t>
      </w:r>
      <w:r w:rsidR="002B2442" w:rsidRPr="00610B70">
        <w:t xml:space="preserve"> seven key questions to be considered by policy makers when considering regulation. These are:</w:t>
      </w:r>
    </w:p>
    <w:p w14:paraId="2FB841E6" w14:textId="77777777" w:rsidR="002B2442" w:rsidRPr="00610B70" w:rsidRDefault="002B2442" w:rsidP="00DF44D1">
      <w:pPr>
        <w:pStyle w:val="FSBullet1"/>
      </w:pPr>
      <w:r w:rsidRPr="00610B70">
        <w:t>What is the policy problem?</w:t>
      </w:r>
    </w:p>
    <w:p w14:paraId="4AC4ED32" w14:textId="77777777" w:rsidR="002B2442" w:rsidRPr="00610B70" w:rsidRDefault="002B2442" w:rsidP="00DF44D1">
      <w:pPr>
        <w:pStyle w:val="FSBullet1"/>
      </w:pPr>
      <w:r w:rsidRPr="00610B70">
        <w:t>Why is government action needed?</w:t>
      </w:r>
    </w:p>
    <w:p w14:paraId="7FCC6C6E" w14:textId="77777777" w:rsidR="002B2442" w:rsidRPr="00610B70" w:rsidRDefault="002B2442" w:rsidP="00DF44D1">
      <w:pPr>
        <w:pStyle w:val="FSBullet1"/>
      </w:pPr>
      <w:r w:rsidRPr="00610B70">
        <w:t>What policy options are to be considered?</w:t>
      </w:r>
    </w:p>
    <w:p w14:paraId="6068ACEC" w14:textId="77777777" w:rsidR="002B2442" w:rsidRPr="00610B70" w:rsidRDefault="002B2442" w:rsidP="00DF44D1">
      <w:pPr>
        <w:pStyle w:val="FSBullet1"/>
      </w:pPr>
      <w:r w:rsidRPr="00610B70">
        <w:t>What is the likely net benefit of each option?</w:t>
      </w:r>
    </w:p>
    <w:p w14:paraId="2ABEC868" w14:textId="77777777" w:rsidR="002B2442" w:rsidRPr="00610B70" w:rsidRDefault="002B2442" w:rsidP="00DF44D1">
      <w:pPr>
        <w:pStyle w:val="FSBullet1"/>
      </w:pPr>
      <w:r w:rsidRPr="00610B70">
        <w:t>Who was consulted and how was their feedback incorporated?</w:t>
      </w:r>
    </w:p>
    <w:p w14:paraId="741AFC1E" w14:textId="77777777" w:rsidR="002B2442" w:rsidRPr="00610B70" w:rsidRDefault="002B2442" w:rsidP="00DF44D1">
      <w:pPr>
        <w:pStyle w:val="FSBullet1"/>
      </w:pPr>
      <w:r w:rsidRPr="00610B70">
        <w:t>What is the best option from those considered?</w:t>
      </w:r>
    </w:p>
    <w:p w14:paraId="4A470FE5" w14:textId="77777777" w:rsidR="002B2442" w:rsidRPr="00610B70" w:rsidRDefault="002B2442" w:rsidP="00DF44D1">
      <w:pPr>
        <w:pStyle w:val="FSBullet1"/>
      </w:pPr>
      <w:r w:rsidRPr="00610B70">
        <w:t>How will the chosen option be implemented and evaluated?</w:t>
      </w:r>
    </w:p>
    <w:p w14:paraId="2339ADEB" w14:textId="77777777" w:rsidR="002B2442" w:rsidRPr="00610B70" w:rsidRDefault="002B2442" w:rsidP="002B2442"/>
    <w:p w14:paraId="658DFCD1" w14:textId="5A4FC623" w:rsidR="002B2442" w:rsidRPr="00421C3B" w:rsidRDefault="00F83D5E" w:rsidP="002B2442">
      <w:pPr>
        <w:rPr>
          <w:color w:val="000000" w:themeColor="text1"/>
        </w:rPr>
      </w:pPr>
      <w:r>
        <w:rPr>
          <w:color w:val="000000" w:themeColor="text1"/>
        </w:rPr>
        <w:t>This D</w:t>
      </w:r>
      <w:r w:rsidR="002B2442" w:rsidRPr="00421C3B">
        <w:rPr>
          <w:color w:val="000000" w:themeColor="text1"/>
        </w:rPr>
        <w:t xml:space="preserve">RIS summarises </w:t>
      </w:r>
      <w:r w:rsidR="002E20CB">
        <w:rPr>
          <w:color w:val="000000" w:themeColor="text1"/>
        </w:rPr>
        <w:t>FSANZ’s</w:t>
      </w:r>
      <w:r w:rsidR="00D65855" w:rsidRPr="00421C3B">
        <w:rPr>
          <w:color w:val="000000" w:themeColor="text1"/>
        </w:rPr>
        <w:t xml:space="preserve"> </w:t>
      </w:r>
      <w:r w:rsidR="002B2442" w:rsidRPr="00421C3B">
        <w:rPr>
          <w:color w:val="000000" w:themeColor="text1"/>
        </w:rPr>
        <w:t xml:space="preserve">consideration and </w:t>
      </w:r>
      <w:r w:rsidR="00D65855">
        <w:rPr>
          <w:color w:val="000000" w:themeColor="text1"/>
        </w:rPr>
        <w:t>responses to these questions</w:t>
      </w:r>
      <w:r w:rsidR="002E20CB">
        <w:rPr>
          <w:color w:val="000000" w:themeColor="text1"/>
        </w:rPr>
        <w:t xml:space="preserve">, </w:t>
      </w:r>
      <w:r w:rsidR="002B2442" w:rsidRPr="00421C3B">
        <w:rPr>
          <w:color w:val="000000" w:themeColor="text1"/>
        </w:rPr>
        <w:t xml:space="preserve">the FSANZ process, and the technical </w:t>
      </w:r>
      <w:r w:rsidR="00D65855">
        <w:rPr>
          <w:color w:val="000000" w:themeColor="text1"/>
        </w:rPr>
        <w:t>work</w:t>
      </w:r>
      <w:r w:rsidR="002B2442" w:rsidRPr="00421C3B">
        <w:rPr>
          <w:color w:val="000000" w:themeColor="text1"/>
        </w:rPr>
        <w:t>.</w:t>
      </w:r>
      <w:r w:rsidR="00421C3B">
        <w:rPr>
          <w:color w:val="000000" w:themeColor="text1"/>
        </w:rPr>
        <w:t xml:space="preserve"> </w:t>
      </w:r>
    </w:p>
    <w:p w14:paraId="1F1ED020" w14:textId="65B2D480" w:rsidR="00DD5CAB" w:rsidRPr="00DD5CAB" w:rsidRDefault="00E01D35" w:rsidP="00E01D35">
      <w:pPr>
        <w:pStyle w:val="Heading1"/>
        <w:rPr>
          <w:rFonts w:eastAsiaTheme="majorEastAsia"/>
          <w:lang w:val="en-AU" w:eastAsia="en-GB"/>
        </w:rPr>
      </w:pPr>
      <w:bookmarkStart w:id="98" w:name="_Toc78896399"/>
      <w:bookmarkStart w:id="99" w:name="_Toc85635269"/>
      <w:bookmarkStart w:id="100" w:name="_Toc97643826"/>
      <w:bookmarkStart w:id="101" w:name="_Toc97653211"/>
      <w:bookmarkStart w:id="102" w:name="_Toc97739363"/>
      <w:bookmarkStart w:id="103" w:name="_Toc97823780"/>
      <w:bookmarkStart w:id="104" w:name="_Toc97823946"/>
      <w:r>
        <w:rPr>
          <w:rFonts w:eastAsiaTheme="majorEastAsia"/>
          <w:lang w:val="en-AU" w:eastAsia="en-GB"/>
        </w:rPr>
        <w:t>4.</w:t>
      </w:r>
      <w:r>
        <w:rPr>
          <w:rFonts w:eastAsiaTheme="majorEastAsia"/>
          <w:lang w:val="en-AU" w:eastAsia="en-GB"/>
        </w:rPr>
        <w:tab/>
      </w:r>
      <w:r w:rsidR="00DD5CAB" w:rsidRPr="00DD5CAB">
        <w:rPr>
          <w:rFonts w:eastAsiaTheme="majorEastAsia"/>
          <w:lang w:val="en-AU" w:eastAsia="en-GB"/>
        </w:rPr>
        <w:t xml:space="preserve">What is the </w:t>
      </w:r>
      <w:r w:rsidR="00E55103">
        <w:rPr>
          <w:rFonts w:eastAsiaTheme="majorEastAsia"/>
          <w:lang w:val="en-AU" w:eastAsia="en-GB"/>
        </w:rPr>
        <w:t>policy</w:t>
      </w:r>
      <w:r w:rsidR="00E55103" w:rsidRPr="00DD5CAB">
        <w:rPr>
          <w:rFonts w:eastAsiaTheme="majorEastAsia"/>
          <w:lang w:val="en-AU" w:eastAsia="en-GB"/>
        </w:rPr>
        <w:t xml:space="preserve"> </w:t>
      </w:r>
      <w:r w:rsidR="00DD5CAB" w:rsidRPr="00DD5CAB">
        <w:rPr>
          <w:rFonts w:eastAsiaTheme="majorEastAsia"/>
          <w:lang w:val="en-AU" w:eastAsia="en-GB"/>
        </w:rPr>
        <w:t>problem?</w:t>
      </w:r>
      <w:bookmarkEnd w:id="98"/>
      <w:bookmarkEnd w:id="99"/>
      <w:bookmarkEnd w:id="100"/>
      <w:bookmarkEnd w:id="101"/>
      <w:bookmarkEnd w:id="102"/>
      <w:bookmarkEnd w:id="103"/>
      <w:bookmarkEnd w:id="104"/>
    </w:p>
    <w:p w14:paraId="284D5097" w14:textId="028CE9AE" w:rsidR="00591878" w:rsidRPr="00716986" w:rsidRDefault="00FB6EF1" w:rsidP="00F611C6">
      <w:pPr>
        <w:pStyle w:val="Heading2"/>
        <w:rPr>
          <w:lang w:val="en-AU" w:eastAsia="en-GB"/>
        </w:rPr>
      </w:pPr>
      <w:bookmarkStart w:id="105" w:name="_Toc85635270"/>
      <w:bookmarkStart w:id="106" w:name="_Toc97643827"/>
      <w:bookmarkStart w:id="107" w:name="_Toc97653212"/>
      <w:bookmarkStart w:id="108" w:name="_Toc97739364"/>
      <w:bookmarkStart w:id="109" w:name="_Toc97823781"/>
      <w:bookmarkStart w:id="110" w:name="_Toc97823947"/>
      <w:r>
        <w:rPr>
          <w:lang w:val="en-AU" w:eastAsia="en-GB"/>
        </w:rPr>
        <w:t>4.1</w:t>
      </w:r>
      <w:r>
        <w:rPr>
          <w:lang w:val="en-AU" w:eastAsia="en-GB"/>
        </w:rPr>
        <w:tab/>
      </w:r>
      <w:r w:rsidR="0014530F" w:rsidRPr="00716986">
        <w:rPr>
          <w:lang w:val="en-AU" w:eastAsia="en-GB"/>
        </w:rPr>
        <w:t>Overview</w:t>
      </w:r>
      <w:bookmarkEnd w:id="105"/>
      <w:bookmarkEnd w:id="106"/>
      <w:bookmarkEnd w:id="107"/>
      <w:bookmarkEnd w:id="108"/>
      <w:bookmarkEnd w:id="109"/>
      <w:bookmarkEnd w:id="110"/>
    </w:p>
    <w:p w14:paraId="2BC5E055" w14:textId="4418D949" w:rsidR="007C026D" w:rsidRDefault="005804D7" w:rsidP="00880E78">
      <w:r w:rsidRPr="00716986">
        <w:t xml:space="preserve">Fresh fruit and vegetables are </w:t>
      </w:r>
      <w:r w:rsidR="00F505B2">
        <w:t>an important</w:t>
      </w:r>
      <w:r w:rsidRPr="00716986">
        <w:t xml:space="preserve"> </w:t>
      </w:r>
      <w:r w:rsidR="00F505B2">
        <w:t>part of</w:t>
      </w:r>
      <w:r w:rsidRPr="00716986">
        <w:t xml:space="preserve"> a healthy diet, and horticultural produce in Australia is generally considered safe. However, in Australia and internationally, foodborne illness</w:t>
      </w:r>
      <w:r w:rsidR="00880E78" w:rsidRPr="00716986">
        <w:t>, deaths, product recalls and other food safety incidents</w:t>
      </w:r>
      <w:r w:rsidRPr="00716986">
        <w:t xml:space="preserve"> continue to be associated with fresh horticultural produce.</w:t>
      </w:r>
      <w:r w:rsidR="007546D2" w:rsidRPr="00716986">
        <w:t xml:space="preserve"> </w:t>
      </w:r>
      <w:r w:rsidR="00FC7899">
        <w:t>Food</w:t>
      </w:r>
      <w:r w:rsidR="007C026D">
        <w:t>borne illnesses can be reduced</w:t>
      </w:r>
      <w:r w:rsidR="007C026D" w:rsidRPr="00716986">
        <w:t xml:space="preserve"> through appropriate food safety measures. </w:t>
      </w:r>
    </w:p>
    <w:p w14:paraId="33088BDC" w14:textId="77777777" w:rsidR="007C026D" w:rsidRDefault="007C026D" w:rsidP="00880E78"/>
    <w:p w14:paraId="667A0A22" w14:textId="176D7BC6" w:rsidR="00880E78" w:rsidRPr="00716986" w:rsidRDefault="00880E78" w:rsidP="00880E78">
      <w:r w:rsidRPr="00716986">
        <w:t>The</w:t>
      </w:r>
      <w:r w:rsidR="00127CF7" w:rsidRPr="00716986">
        <w:t xml:space="preserve"> impacts of </w:t>
      </w:r>
      <w:r w:rsidR="00FC7899">
        <w:t>foodb</w:t>
      </w:r>
      <w:r w:rsidR="002477A0">
        <w:t>orne illnesses</w:t>
      </w:r>
      <w:r w:rsidR="00127CF7" w:rsidRPr="00716986">
        <w:t xml:space="preserve"> </w:t>
      </w:r>
      <w:r w:rsidRPr="00716986">
        <w:t>are felt by:</w:t>
      </w:r>
    </w:p>
    <w:p w14:paraId="72E3B41B" w14:textId="6E540AD5" w:rsidR="00880E78" w:rsidRPr="00716986" w:rsidRDefault="00880E78" w:rsidP="00DF44D1">
      <w:pPr>
        <w:pStyle w:val="FSBullet1"/>
      </w:pPr>
      <w:r w:rsidRPr="00716986">
        <w:t>consumers (illness and potential death, particularly in the elderly)</w:t>
      </w:r>
    </w:p>
    <w:p w14:paraId="24817662" w14:textId="77777777" w:rsidR="00880E78" w:rsidRPr="00716986" w:rsidRDefault="00880E78" w:rsidP="00DF44D1">
      <w:pPr>
        <w:pStyle w:val="FSBullet1"/>
      </w:pPr>
      <w:r w:rsidRPr="00716986">
        <w:t>businesses (both affected and implicated businesses)</w:t>
      </w:r>
    </w:p>
    <w:p w14:paraId="15A749C6" w14:textId="77777777" w:rsidR="00880E78" w:rsidRPr="00716986" w:rsidRDefault="00880E78" w:rsidP="00DF44D1">
      <w:pPr>
        <w:pStyle w:val="FSBullet1"/>
      </w:pPr>
      <w:r w:rsidRPr="00716986">
        <w:t>horticultural sectors (an entire sector may feel the effects of a localised outbreak)</w:t>
      </w:r>
    </w:p>
    <w:p w14:paraId="4DC5DEEF" w14:textId="77777777" w:rsidR="00880E78" w:rsidRPr="00716986" w:rsidRDefault="00880E78" w:rsidP="00DF44D1">
      <w:pPr>
        <w:pStyle w:val="FSBullet1"/>
      </w:pPr>
      <w:r w:rsidRPr="00716986">
        <w:t>governments (costs of responding and investigating causes)</w:t>
      </w:r>
    </w:p>
    <w:p w14:paraId="3B0664E5" w14:textId="77777777" w:rsidR="00880E78" w:rsidRPr="00716986" w:rsidRDefault="00880E78" w:rsidP="00DF44D1">
      <w:pPr>
        <w:pStyle w:val="FSBullet1"/>
      </w:pPr>
      <w:r w:rsidRPr="00716986">
        <w:t>domestic markets</w:t>
      </w:r>
    </w:p>
    <w:p w14:paraId="7F597882" w14:textId="77777777" w:rsidR="00880E78" w:rsidRPr="00716986" w:rsidRDefault="00880E78" w:rsidP="00DF44D1">
      <w:pPr>
        <w:pStyle w:val="FSBullet1"/>
      </w:pPr>
      <w:r w:rsidRPr="00716986">
        <w:t>export markets.</w:t>
      </w:r>
    </w:p>
    <w:p w14:paraId="0DBA526A" w14:textId="77777777" w:rsidR="00665368" w:rsidRPr="00716986" w:rsidRDefault="00665368" w:rsidP="005804D7"/>
    <w:p w14:paraId="69B93696" w14:textId="77D3EA30" w:rsidR="005804D7" w:rsidRPr="00716986" w:rsidRDefault="00AB6E1B" w:rsidP="005804D7">
      <w:r w:rsidRPr="00716986">
        <w:t>Such events</w:t>
      </w:r>
      <w:r w:rsidR="00FD77D9" w:rsidDel="00FD4ED0">
        <w:t xml:space="preserve"> </w:t>
      </w:r>
      <w:r w:rsidR="00FD77D9">
        <w:t xml:space="preserve">are estimated to </w:t>
      </w:r>
      <w:r w:rsidR="00665368" w:rsidRPr="00716986">
        <w:t>cost the Australian economy</w:t>
      </w:r>
      <w:r w:rsidR="00FD77D9">
        <w:t xml:space="preserve"> </w:t>
      </w:r>
      <w:r w:rsidR="007F6C82">
        <w:rPr>
          <w:lang w:val="en-AU"/>
        </w:rPr>
        <w:t>$20.8</w:t>
      </w:r>
      <w:r w:rsidR="00FD77D9">
        <w:rPr>
          <w:lang w:val="en-AU"/>
        </w:rPr>
        <w:t xml:space="preserve"> million </w:t>
      </w:r>
      <w:r w:rsidR="00A56605">
        <w:rPr>
          <w:lang w:val="en-AU"/>
        </w:rPr>
        <w:t xml:space="preserve">a year </w:t>
      </w:r>
      <w:r w:rsidR="00FD77D9">
        <w:rPr>
          <w:lang w:val="en-AU"/>
        </w:rPr>
        <w:t>in consumer illness and healthcare costs plus substantial recall costs and associated losses in market values.</w:t>
      </w:r>
      <w:r w:rsidR="008C4765">
        <w:t xml:space="preserve"> </w:t>
      </w:r>
      <w:r w:rsidR="00FE6DE9">
        <w:rPr>
          <w:lang w:val="en-AU"/>
        </w:rPr>
        <w:t xml:space="preserve">Melons Australia reported that the melons sector experienced a </w:t>
      </w:r>
      <w:r w:rsidR="008C4765">
        <w:rPr>
          <w:lang w:val="en-AU"/>
        </w:rPr>
        <w:t xml:space="preserve">$100 million plus </w:t>
      </w:r>
      <w:r w:rsidR="00A56605">
        <w:rPr>
          <w:lang w:val="en-AU"/>
        </w:rPr>
        <w:t xml:space="preserve">loss of market sales value in </w:t>
      </w:r>
      <w:r w:rsidR="008C4765">
        <w:rPr>
          <w:lang w:val="en-AU"/>
        </w:rPr>
        <w:t>year</w:t>
      </w:r>
      <w:r w:rsidR="00FE6DE9">
        <w:rPr>
          <w:lang w:val="en-AU"/>
        </w:rPr>
        <w:t>s</w:t>
      </w:r>
      <w:r w:rsidR="008C4765">
        <w:rPr>
          <w:lang w:val="en-AU"/>
        </w:rPr>
        <w:t xml:space="preserve"> following a widespread </w:t>
      </w:r>
      <w:r w:rsidR="009774A5">
        <w:rPr>
          <w:lang w:val="en-AU"/>
        </w:rPr>
        <w:t xml:space="preserve">listeria </w:t>
      </w:r>
      <w:r w:rsidR="008C4765">
        <w:rPr>
          <w:lang w:val="en-AU"/>
        </w:rPr>
        <w:t>illness outbreak for the melons sector</w:t>
      </w:r>
      <w:r w:rsidR="009774A5">
        <w:rPr>
          <w:lang w:val="en-AU"/>
        </w:rPr>
        <w:t xml:space="preserve"> in 2018</w:t>
      </w:r>
      <w:r w:rsidR="008C4765">
        <w:rPr>
          <w:lang w:val="en-AU"/>
        </w:rPr>
        <w:t>.</w:t>
      </w:r>
      <w:r w:rsidR="00FD4ED0">
        <w:rPr>
          <w:lang w:val="en-AU"/>
        </w:rPr>
        <w:t xml:space="preserve"> </w:t>
      </w:r>
      <w:r w:rsidR="003B4679">
        <w:t>Such</w:t>
      </w:r>
      <w:r w:rsidR="00FD4ED0">
        <w:t xml:space="preserve"> events</w:t>
      </w:r>
      <w:r w:rsidR="00FD4ED0" w:rsidRPr="00716986">
        <w:t xml:space="preserve"> are largely preventable through appropriate food safety measures.</w:t>
      </w:r>
    </w:p>
    <w:p w14:paraId="3DB74771" w14:textId="5FD745DB" w:rsidR="00665368" w:rsidRPr="00716986" w:rsidRDefault="00665368" w:rsidP="005804D7"/>
    <w:p w14:paraId="198BFA65" w14:textId="59F98A79" w:rsidR="0010311B" w:rsidRDefault="00AB6E1B" w:rsidP="005804D7">
      <w:r w:rsidRPr="00716986">
        <w:t xml:space="preserve">To determine the </w:t>
      </w:r>
      <w:r w:rsidR="00665368" w:rsidRPr="00716986">
        <w:t>extent of the problem</w:t>
      </w:r>
      <w:r w:rsidRPr="00716986">
        <w:t>, this section details</w:t>
      </w:r>
      <w:r w:rsidR="00665368" w:rsidRPr="00716986">
        <w:t xml:space="preserve"> findings from </w:t>
      </w:r>
      <w:r w:rsidRPr="00716986">
        <w:t>a</w:t>
      </w:r>
      <w:r w:rsidR="00665368" w:rsidRPr="00716986">
        <w:t xml:space="preserve"> review of scientific literature, outbreak reports</w:t>
      </w:r>
      <w:r w:rsidR="00887295" w:rsidRPr="00716986">
        <w:t>,</w:t>
      </w:r>
      <w:r w:rsidR="00665368" w:rsidRPr="00716986">
        <w:t xml:space="preserve"> recall data</w:t>
      </w:r>
      <w:r w:rsidR="0010311B" w:rsidRPr="00716986">
        <w:t>,</w:t>
      </w:r>
      <w:r w:rsidR="00665368" w:rsidRPr="00716986">
        <w:t xml:space="preserve"> </w:t>
      </w:r>
      <w:r w:rsidR="00887295" w:rsidRPr="00716986">
        <w:t>Australian population consumption patterns</w:t>
      </w:r>
      <w:r w:rsidR="0010311B" w:rsidRPr="00716986">
        <w:t>,</w:t>
      </w:r>
      <w:r w:rsidR="00887295" w:rsidRPr="00716986">
        <w:t xml:space="preserve"> </w:t>
      </w:r>
      <w:r w:rsidR="00665368" w:rsidRPr="00716986">
        <w:t xml:space="preserve">expert elicitation and a </w:t>
      </w:r>
      <w:r w:rsidR="001802A0">
        <w:t>cost-benefit analysi</w:t>
      </w:r>
      <w:r w:rsidR="00665368" w:rsidRPr="00716986">
        <w:t>s</w:t>
      </w:r>
      <w:r w:rsidR="008974D4">
        <w:t xml:space="preserve"> (CBA)</w:t>
      </w:r>
      <w:r w:rsidR="00665368" w:rsidRPr="00716986">
        <w:t xml:space="preserve">. </w:t>
      </w:r>
    </w:p>
    <w:p w14:paraId="39301003" w14:textId="6C69F16F" w:rsidR="000B6EE3" w:rsidRPr="0010311B" w:rsidRDefault="00FB6EF1" w:rsidP="00F611C6">
      <w:pPr>
        <w:pStyle w:val="Heading2"/>
        <w:rPr>
          <w:lang w:val="en-AU" w:eastAsia="en-GB"/>
        </w:rPr>
      </w:pPr>
      <w:bookmarkStart w:id="111" w:name="_Toc85635271"/>
      <w:bookmarkStart w:id="112" w:name="_Toc97643828"/>
      <w:bookmarkStart w:id="113" w:name="_Toc97653213"/>
      <w:bookmarkStart w:id="114" w:name="_Toc97739365"/>
      <w:bookmarkStart w:id="115" w:name="_Toc97823782"/>
      <w:bookmarkStart w:id="116" w:name="_Toc97823948"/>
      <w:r>
        <w:rPr>
          <w:lang w:val="en-AU" w:eastAsia="en-GB"/>
        </w:rPr>
        <w:lastRenderedPageBreak/>
        <w:t>4.2</w:t>
      </w:r>
      <w:r>
        <w:rPr>
          <w:lang w:val="en-AU" w:eastAsia="en-GB"/>
        </w:rPr>
        <w:tab/>
      </w:r>
      <w:r w:rsidR="000B6EE3" w:rsidRPr="0010311B">
        <w:rPr>
          <w:lang w:val="en-AU" w:eastAsia="en-GB"/>
        </w:rPr>
        <w:t>Foodborne illness</w:t>
      </w:r>
      <w:bookmarkEnd w:id="111"/>
      <w:bookmarkEnd w:id="112"/>
      <w:bookmarkEnd w:id="113"/>
      <w:bookmarkEnd w:id="114"/>
      <w:bookmarkEnd w:id="115"/>
      <w:bookmarkEnd w:id="116"/>
      <w:r w:rsidR="000B6EE3" w:rsidRPr="0010311B">
        <w:rPr>
          <w:lang w:val="en-AU" w:eastAsia="en-GB"/>
        </w:rPr>
        <w:t xml:space="preserve"> </w:t>
      </w:r>
    </w:p>
    <w:p w14:paraId="431D0599" w14:textId="1A69CD34" w:rsidR="005804D7" w:rsidRDefault="00880E78" w:rsidP="005804D7">
      <w:pPr>
        <w:tabs>
          <w:tab w:val="left" w:pos="1134"/>
        </w:tabs>
      </w:pPr>
      <w:r>
        <w:rPr>
          <w:lang w:val="en-AU"/>
        </w:rPr>
        <w:t>T</w:t>
      </w:r>
      <w:r w:rsidR="00FF5B16">
        <w:rPr>
          <w:lang w:val="en-AU"/>
        </w:rPr>
        <w:t xml:space="preserve">here </w:t>
      </w:r>
      <w:r w:rsidR="00D67091">
        <w:rPr>
          <w:lang w:val="en-AU"/>
        </w:rPr>
        <w:t>is</w:t>
      </w:r>
      <w:r w:rsidR="00FF5B16">
        <w:rPr>
          <w:lang w:val="en-AU"/>
        </w:rPr>
        <w:t xml:space="preserve"> an</w:t>
      </w:r>
      <w:r w:rsidR="005804D7">
        <w:rPr>
          <w:lang w:val="en-AU"/>
        </w:rPr>
        <w:t xml:space="preserve"> estimated </w:t>
      </w:r>
      <w:r w:rsidR="00FF5B16">
        <w:rPr>
          <w:lang w:val="en-AU"/>
        </w:rPr>
        <w:t>4.1</w:t>
      </w:r>
      <w:r w:rsidR="005804D7">
        <w:rPr>
          <w:lang w:val="en-AU"/>
        </w:rPr>
        <w:t xml:space="preserve"> million cases</w:t>
      </w:r>
      <w:r w:rsidR="00B710C8">
        <w:rPr>
          <w:lang w:val="en-AU"/>
        </w:rPr>
        <w:t xml:space="preserve"> </w:t>
      </w:r>
      <w:r w:rsidR="00FF5B16">
        <w:rPr>
          <w:lang w:val="en-AU"/>
        </w:rPr>
        <w:t>of</w:t>
      </w:r>
      <w:r w:rsidR="000B6EE3">
        <w:rPr>
          <w:lang w:val="en-AU"/>
        </w:rPr>
        <w:t xml:space="preserve"> </w:t>
      </w:r>
      <w:r w:rsidR="005804D7">
        <w:rPr>
          <w:lang w:val="en-AU"/>
        </w:rPr>
        <w:t xml:space="preserve">foodborne </w:t>
      </w:r>
      <w:r w:rsidR="00FF5B16">
        <w:rPr>
          <w:lang w:val="en-AU"/>
        </w:rPr>
        <w:t>gastroenteritis</w:t>
      </w:r>
      <w:r w:rsidR="005804D7">
        <w:rPr>
          <w:lang w:val="en-AU"/>
        </w:rPr>
        <w:t xml:space="preserve"> in Australia</w:t>
      </w:r>
      <w:r w:rsidR="00FF5B16">
        <w:rPr>
          <w:lang w:val="en-AU"/>
        </w:rPr>
        <w:t xml:space="preserve"> </w:t>
      </w:r>
      <w:r w:rsidR="00D67091">
        <w:rPr>
          <w:lang w:val="en-AU"/>
        </w:rPr>
        <w:t>each year</w:t>
      </w:r>
      <w:r w:rsidR="00FF5B16">
        <w:rPr>
          <w:lang w:val="en-AU"/>
        </w:rPr>
        <w:t>, plus</w:t>
      </w:r>
      <w:r w:rsidR="004C5E13">
        <w:rPr>
          <w:lang w:val="en-AU"/>
        </w:rPr>
        <w:t xml:space="preserve"> </w:t>
      </w:r>
      <w:r w:rsidR="004C5E13">
        <w:t>5</w:t>
      </w:r>
      <w:r w:rsidR="00742144">
        <w:t>,</w:t>
      </w:r>
      <w:r w:rsidR="005804D7">
        <w:t xml:space="preserve">140 cases of non-gastrointestinal illness, 35,840 cases of sequelae (conditions </w:t>
      </w:r>
      <w:r w:rsidR="00041939">
        <w:t>that</w:t>
      </w:r>
      <w:r w:rsidR="005804D7">
        <w:t xml:space="preserve"> arise following illness</w:t>
      </w:r>
      <w:r>
        <w:t>, such as</w:t>
      </w:r>
      <w:r w:rsidR="005804D7">
        <w:t xml:space="preserve"> reactive arthritis), 31,920 hospitalisations and 86 deaths</w:t>
      </w:r>
      <w:r w:rsidR="00FF5B16">
        <w:t xml:space="preserve"> (</w:t>
      </w:r>
      <w:hyperlink r:id="rId23" w:history="1">
        <w:r w:rsidR="00FF5B16" w:rsidRPr="001D3389">
          <w:rPr>
            <w:rStyle w:val="Hyperlink"/>
          </w:rPr>
          <w:t>Department of Health 2014</w:t>
        </w:r>
      </w:hyperlink>
      <w:r w:rsidR="00FF5B16">
        <w:rPr>
          <w:rStyle w:val="Hyperlink"/>
        </w:rPr>
        <w:t>)</w:t>
      </w:r>
      <w:r w:rsidR="005804D7">
        <w:t xml:space="preserve">. </w:t>
      </w:r>
      <w:r w:rsidR="005804D7" w:rsidRPr="00114E9D">
        <w:t>Costs associated</w:t>
      </w:r>
      <w:r w:rsidR="005804D7">
        <w:t xml:space="preserve"> with foodborne illness in Australia are estimated at </w:t>
      </w:r>
      <w:r w:rsidR="005804D7" w:rsidRPr="00DA39CD">
        <w:t>$2</w:t>
      </w:r>
      <w:r w:rsidR="005B1E23" w:rsidRPr="00DA39CD">
        <w:t>.</w:t>
      </w:r>
      <w:r w:rsidR="00DA39CD" w:rsidRPr="00DA39CD">
        <w:t>14</w:t>
      </w:r>
      <w:r w:rsidR="005804D7">
        <w:t> billion each year</w:t>
      </w:r>
      <w:r w:rsidR="00DA39CD">
        <w:t xml:space="preserve"> (re</w:t>
      </w:r>
      <w:r w:rsidR="00FC7899">
        <w:t xml:space="preserve">ference: </w:t>
      </w:r>
      <w:r w:rsidR="00DA7ECA">
        <w:t>Australian National University (</w:t>
      </w:r>
      <w:r w:rsidR="00FC7899">
        <w:t>ANU</w:t>
      </w:r>
      <w:r w:rsidR="00DA7ECA">
        <w:t>)</w:t>
      </w:r>
      <w:r w:rsidR="00FC7899">
        <w:t xml:space="preserve"> Cost of Food</w:t>
      </w:r>
      <w:r w:rsidR="00DA39CD">
        <w:t>borne Illness Report 2022</w:t>
      </w:r>
      <w:r w:rsidR="006D186D">
        <w:rPr>
          <w:rStyle w:val="FootnoteReference"/>
        </w:rPr>
        <w:footnoteReference w:id="3"/>
      </w:r>
      <w:r w:rsidR="00DA39CD">
        <w:t>).</w:t>
      </w:r>
      <w:r w:rsidR="005804D7" w:rsidRPr="00264D44">
        <w:t xml:space="preserve"> Of the </w:t>
      </w:r>
      <w:r w:rsidR="005804D7" w:rsidRPr="00114E9D">
        <w:t xml:space="preserve">known </w:t>
      </w:r>
      <w:r>
        <w:t>microbiological</w:t>
      </w:r>
      <w:r w:rsidR="005804D7">
        <w:t xml:space="preserve"> </w:t>
      </w:r>
      <w:r w:rsidR="005804D7" w:rsidRPr="00114E9D">
        <w:t>causes</w:t>
      </w:r>
      <w:r w:rsidR="005804D7" w:rsidRPr="00264D44">
        <w:t>, norovirus (</w:t>
      </w:r>
      <w:proofErr w:type="spellStart"/>
      <w:r w:rsidR="005804D7" w:rsidRPr="00264D44">
        <w:t>NoV</w:t>
      </w:r>
      <w:proofErr w:type="spellEnd"/>
      <w:r w:rsidR="005804D7" w:rsidRPr="00264D44">
        <w:t xml:space="preserve">), </w:t>
      </w:r>
      <w:r w:rsidR="00532585">
        <w:t xml:space="preserve">other pathogenic </w:t>
      </w:r>
      <w:r w:rsidR="005804D7" w:rsidRPr="00264D44">
        <w:rPr>
          <w:i/>
        </w:rPr>
        <w:t>Esc</w:t>
      </w:r>
      <w:r w:rsidR="005804D7">
        <w:rPr>
          <w:i/>
        </w:rPr>
        <w:t>herichia coli</w:t>
      </w:r>
      <w:r w:rsidR="005804D7">
        <w:t xml:space="preserve">, </w:t>
      </w:r>
      <w:r w:rsidR="005804D7">
        <w:rPr>
          <w:i/>
        </w:rPr>
        <w:t>Campylobacter</w:t>
      </w:r>
      <w:r w:rsidR="005804D7">
        <w:t xml:space="preserve"> and </w:t>
      </w:r>
      <w:r w:rsidR="005804D7">
        <w:rPr>
          <w:i/>
        </w:rPr>
        <w:t>Salmonella</w:t>
      </w:r>
      <w:r w:rsidR="005804D7">
        <w:t xml:space="preserve"> </w:t>
      </w:r>
      <w:r w:rsidR="00532585">
        <w:t>have the highest annual costs</w:t>
      </w:r>
      <w:r w:rsidR="005804D7">
        <w:t xml:space="preserve">. However, the cause </w:t>
      </w:r>
      <w:r>
        <w:t xml:space="preserve">of illness </w:t>
      </w:r>
      <w:r w:rsidR="005804D7">
        <w:t>is not determined in around 80% of cases.</w:t>
      </w:r>
      <w:r w:rsidR="009E67A5">
        <w:t xml:space="preserve"> Section 4.4 contains more details.</w:t>
      </w:r>
    </w:p>
    <w:p w14:paraId="001D0058" w14:textId="3639DEC4" w:rsidR="00E01D35" w:rsidRDefault="00E01D35" w:rsidP="00532585">
      <w:pPr>
        <w:tabs>
          <w:tab w:val="left" w:pos="1134"/>
        </w:tabs>
      </w:pPr>
    </w:p>
    <w:p w14:paraId="4D5B6E80" w14:textId="7042D295" w:rsidR="002E5B11" w:rsidRPr="0025172E" w:rsidRDefault="00665368" w:rsidP="00DB73ED">
      <w:r>
        <w:t>Multiple o</w:t>
      </w:r>
      <w:r w:rsidR="000B6EE3">
        <w:t xml:space="preserve">utbreaks </w:t>
      </w:r>
      <w:r w:rsidR="00534049">
        <w:t xml:space="preserve">in Australia </w:t>
      </w:r>
      <w:r w:rsidR="00880E78">
        <w:t xml:space="preserve">have been </w:t>
      </w:r>
      <w:r w:rsidR="000B6EE3">
        <w:t xml:space="preserve">associated with </w:t>
      </w:r>
      <w:r>
        <w:t xml:space="preserve">fresh </w:t>
      </w:r>
      <w:r w:rsidR="000B6EE3">
        <w:t>horticultural produce</w:t>
      </w:r>
      <w:r w:rsidR="00880E78">
        <w:t xml:space="preserve">. </w:t>
      </w:r>
      <w:r w:rsidR="000B6EE3" w:rsidRPr="00114E9D">
        <w:rPr>
          <w:lang w:eastAsia="en-AU" w:bidi="ar-SA"/>
        </w:rPr>
        <w:t>P</w:t>
      </w:r>
      <w:r w:rsidR="005804D7" w:rsidRPr="00114E9D">
        <w:rPr>
          <w:lang w:eastAsia="en-AU" w:bidi="ar-SA"/>
        </w:rPr>
        <w:t xml:space="preserve">revious </w:t>
      </w:r>
      <w:r w:rsidR="000B6EE3" w:rsidRPr="00114E9D">
        <w:rPr>
          <w:lang w:eastAsia="en-AU" w:bidi="ar-SA"/>
        </w:rPr>
        <w:t xml:space="preserve">FSANZ work </w:t>
      </w:r>
      <w:r w:rsidR="00887295">
        <w:rPr>
          <w:lang w:eastAsia="en-AU" w:bidi="ar-SA"/>
        </w:rPr>
        <w:t>(</w:t>
      </w:r>
      <w:r w:rsidR="005804D7" w:rsidRPr="00114E9D">
        <w:rPr>
          <w:lang w:bidi="ar-SA"/>
        </w:rPr>
        <w:t>proposal</w:t>
      </w:r>
      <w:r w:rsidR="005804D7" w:rsidRPr="0035412F">
        <w:rPr>
          <w:lang w:bidi="ar-SA"/>
        </w:rPr>
        <w:t xml:space="preserve"> </w:t>
      </w:r>
      <w:hyperlink r:id="rId24" w:history="1">
        <w:r w:rsidR="005804D7" w:rsidRPr="00B602DC">
          <w:rPr>
            <w:rStyle w:val="Hyperlink"/>
            <w:lang w:bidi="ar-SA"/>
          </w:rPr>
          <w:t>P1015</w:t>
        </w:r>
      </w:hyperlink>
      <w:r w:rsidR="000B6EE3" w:rsidRPr="00114E9D">
        <w:rPr>
          <w:rStyle w:val="Hyperlink"/>
          <w:lang w:bidi="ar-SA"/>
        </w:rPr>
        <w:t>)</w:t>
      </w:r>
      <w:r w:rsidR="005804D7" w:rsidRPr="00114E9D">
        <w:rPr>
          <w:lang w:eastAsia="en-AU" w:bidi="ar-SA"/>
        </w:rPr>
        <w:t xml:space="preserve"> </w:t>
      </w:r>
      <w:r w:rsidR="000B6EE3" w:rsidRPr="00114E9D">
        <w:rPr>
          <w:lang w:eastAsia="en-AU" w:bidi="ar-SA"/>
        </w:rPr>
        <w:t xml:space="preserve">found five </w:t>
      </w:r>
      <w:r w:rsidR="002031CC" w:rsidRPr="00114E9D">
        <w:rPr>
          <w:lang w:eastAsia="en-AU" w:bidi="ar-SA"/>
        </w:rPr>
        <w:t xml:space="preserve">outbreaks </w:t>
      </w:r>
      <w:r w:rsidR="005804D7" w:rsidRPr="00E02EE9">
        <w:t xml:space="preserve">associated with fresh </w:t>
      </w:r>
      <w:r w:rsidR="005804D7" w:rsidRPr="00114E9D">
        <w:t>horticultural</w:t>
      </w:r>
      <w:r w:rsidR="005804D7">
        <w:t xml:space="preserve"> produce </w:t>
      </w:r>
      <w:r w:rsidR="002031CC" w:rsidRPr="00114E9D">
        <w:t xml:space="preserve">occurred </w:t>
      </w:r>
      <w:r w:rsidR="00041939">
        <w:t>1990–</w:t>
      </w:r>
      <w:r w:rsidR="005804D7" w:rsidRPr="00114E9D">
        <w:t>2011</w:t>
      </w:r>
      <w:r w:rsidR="005804D7" w:rsidRPr="00E02EE9">
        <w:t xml:space="preserve">. </w:t>
      </w:r>
      <w:r w:rsidR="005804D7">
        <w:t>Three of the</w:t>
      </w:r>
      <w:r w:rsidR="005804D7" w:rsidRPr="00E02EE9">
        <w:t xml:space="preserve"> outbreaks were associated with domestically produced </w:t>
      </w:r>
      <w:proofErr w:type="spellStart"/>
      <w:r w:rsidR="005804D7" w:rsidRPr="00114E9D">
        <w:t>rockmelon</w:t>
      </w:r>
      <w:proofErr w:type="spellEnd"/>
      <w:r w:rsidR="005804D7" w:rsidRPr="00114E9D">
        <w:t>, honeydew melon and papaya</w:t>
      </w:r>
      <w:r w:rsidR="002031CC" w:rsidRPr="00114E9D">
        <w:t xml:space="preserve">. </w:t>
      </w:r>
    </w:p>
    <w:p w14:paraId="0B58559F" w14:textId="77777777" w:rsidR="00041939" w:rsidRDefault="00041939" w:rsidP="005804D7"/>
    <w:p w14:paraId="17682DD7" w14:textId="596860E7" w:rsidR="005B1C5A" w:rsidRDefault="00830DAE" w:rsidP="005804D7">
      <w:r>
        <w:t>D</w:t>
      </w:r>
      <w:r w:rsidR="00127CF7">
        <w:t xml:space="preserve">uring </w:t>
      </w:r>
      <w:r w:rsidR="005804D7" w:rsidRPr="00E02EE9">
        <w:t>2011</w:t>
      </w:r>
      <w:r w:rsidR="00DF44D1">
        <w:t>–</w:t>
      </w:r>
      <w:r w:rsidR="00127CF7">
        <w:t>2019</w:t>
      </w:r>
      <w:r w:rsidR="005804D7" w:rsidRPr="00E02EE9">
        <w:t xml:space="preserve"> there </w:t>
      </w:r>
      <w:r w:rsidR="00742144">
        <w:t>were</w:t>
      </w:r>
      <w:r w:rsidR="005804D7" w:rsidRPr="00E02EE9">
        <w:t xml:space="preserve"> </w:t>
      </w:r>
      <w:r w:rsidR="005804D7" w:rsidRPr="00114E9D">
        <w:t>ten outbreaks</w:t>
      </w:r>
      <w:r w:rsidR="005804D7" w:rsidRPr="006C0AF9">
        <w:t xml:space="preserve"> </w:t>
      </w:r>
      <w:r w:rsidR="005804D7" w:rsidRPr="00E02EE9">
        <w:t xml:space="preserve">of foodborne illness associated with </w:t>
      </w:r>
      <w:r w:rsidR="005804D7">
        <w:t xml:space="preserve">the </w:t>
      </w:r>
      <w:r w:rsidR="005804D7" w:rsidRPr="00E02EE9">
        <w:t xml:space="preserve">consumption of horticultural produce in Australia. </w:t>
      </w:r>
      <w:r w:rsidR="005804D7" w:rsidRPr="00114E9D">
        <w:t>Berries, leafy vegetables and melons</w:t>
      </w:r>
      <w:r w:rsidR="005804D7">
        <w:t xml:space="preserve"> were associated with</w:t>
      </w:r>
      <w:r w:rsidR="005804D7" w:rsidRPr="00E02EE9">
        <w:t xml:space="preserve"> </w:t>
      </w:r>
      <w:r w:rsidR="00127CF7">
        <w:t>seven</w:t>
      </w:r>
      <w:r w:rsidR="002031CC">
        <w:t xml:space="preserve"> </w:t>
      </w:r>
      <w:r w:rsidR="00127CF7">
        <w:t xml:space="preserve">of </w:t>
      </w:r>
      <w:r w:rsidR="00963763">
        <w:t>the ten</w:t>
      </w:r>
      <w:r w:rsidR="005B1C5A">
        <w:t>:</w:t>
      </w:r>
      <w:r w:rsidR="005804D7" w:rsidRPr="00E02EE9">
        <w:t xml:space="preserve"> </w:t>
      </w:r>
    </w:p>
    <w:p w14:paraId="6C286333" w14:textId="1650AC0C" w:rsidR="005B1C5A" w:rsidRDefault="005804D7" w:rsidP="00DF44D1">
      <w:pPr>
        <w:pStyle w:val="FSBullet1"/>
      </w:pPr>
      <w:r>
        <w:t>two outb</w:t>
      </w:r>
      <w:r w:rsidR="00127CF7">
        <w:t xml:space="preserve">reaks </w:t>
      </w:r>
      <w:r w:rsidR="0010311B">
        <w:t xml:space="preserve">were </w:t>
      </w:r>
      <w:r w:rsidR="00127CF7">
        <w:t>linked</w:t>
      </w:r>
      <w:r w:rsidR="00E1550E">
        <w:t xml:space="preserve"> to H</w:t>
      </w:r>
      <w:r>
        <w:t>epatitis A virus</w:t>
      </w:r>
      <w:r w:rsidR="00E05F48">
        <w:t xml:space="preserve"> </w:t>
      </w:r>
      <w:r w:rsidR="00127CF7">
        <w:t>in imported berries</w:t>
      </w:r>
      <w:r w:rsidR="00041939">
        <w:t>—n</w:t>
      </w:r>
      <w:r w:rsidR="001656EC">
        <w:t xml:space="preserve">o outbreaks were </w:t>
      </w:r>
      <w:r w:rsidR="00F2237A">
        <w:t xml:space="preserve">linked to </w:t>
      </w:r>
      <w:r w:rsidR="005B1C5A">
        <w:t xml:space="preserve">domestic product </w:t>
      </w:r>
      <w:r w:rsidR="002031CC">
        <w:t xml:space="preserve"> </w:t>
      </w:r>
    </w:p>
    <w:p w14:paraId="05138AEE" w14:textId="18710808" w:rsidR="005B1C5A" w:rsidRDefault="005804D7" w:rsidP="00DF44D1">
      <w:pPr>
        <w:pStyle w:val="FSBullet1"/>
      </w:pPr>
      <w:r>
        <w:t xml:space="preserve">three </w:t>
      </w:r>
      <w:r w:rsidR="00665368">
        <w:t xml:space="preserve">outbreaks </w:t>
      </w:r>
      <w:r w:rsidR="0010311B">
        <w:t xml:space="preserve">were </w:t>
      </w:r>
      <w:r w:rsidR="00127CF7">
        <w:t xml:space="preserve">linked to </w:t>
      </w:r>
      <w:r w:rsidR="00127CF7" w:rsidRPr="007A6F30">
        <w:rPr>
          <w:i/>
        </w:rPr>
        <w:t xml:space="preserve">Salmonella </w:t>
      </w:r>
      <w:proofErr w:type="spellStart"/>
      <w:r w:rsidR="00127CF7" w:rsidRPr="00510BCD">
        <w:t>Anatum</w:t>
      </w:r>
      <w:proofErr w:type="spellEnd"/>
      <w:r w:rsidR="00127CF7">
        <w:rPr>
          <w:sz w:val="20"/>
          <w:szCs w:val="20"/>
        </w:rPr>
        <w:t xml:space="preserve"> </w:t>
      </w:r>
      <w:r w:rsidR="00127CF7">
        <w:t xml:space="preserve">and </w:t>
      </w:r>
      <w:proofErr w:type="spellStart"/>
      <w:r w:rsidR="00127CF7">
        <w:t>NoV</w:t>
      </w:r>
      <w:proofErr w:type="spellEnd"/>
      <w:r w:rsidR="00127CF7">
        <w:t xml:space="preserve"> in domestic leafy vegetables </w:t>
      </w:r>
    </w:p>
    <w:p w14:paraId="47AB0468" w14:textId="083A9EA6" w:rsidR="005804D7" w:rsidRDefault="005804D7" w:rsidP="00DF44D1">
      <w:pPr>
        <w:pStyle w:val="FSBullet1"/>
      </w:pPr>
      <w:r>
        <w:t xml:space="preserve">two </w:t>
      </w:r>
      <w:r w:rsidR="002031CC">
        <w:t>outbreaks</w:t>
      </w:r>
      <w:r w:rsidR="003E1FF2">
        <w:t xml:space="preserve">, </w:t>
      </w:r>
      <w:r w:rsidR="00127CF7">
        <w:t>result</w:t>
      </w:r>
      <w:r w:rsidR="005F1323">
        <w:t>ing</w:t>
      </w:r>
      <w:r w:rsidR="00127CF7">
        <w:t xml:space="preserve"> </w:t>
      </w:r>
      <w:r w:rsidR="00114E9D">
        <w:t>in 275 reported cases and 10 deaths</w:t>
      </w:r>
      <w:r w:rsidR="00127CF7">
        <w:t xml:space="preserve">, </w:t>
      </w:r>
      <w:r w:rsidR="0010311B">
        <w:t xml:space="preserve">were </w:t>
      </w:r>
      <w:r w:rsidR="00127CF7">
        <w:t xml:space="preserve">linked to </w:t>
      </w:r>
      <w:r w:rsidRPr="007A6F30">
        <w:rPr>
          <w:i/>
        </w:rPr>
        <w:t xml:space="preserve">Salmonella </w:t>
      </w:r>
      <w:proofErr w:type="spellStart"/>
      <w:r w:rsidRPr="00510BCD">
        <w:t>Hvittingfoss</w:t>
      </w:r>
      <w:proofErr w:type="spellEnd"/>
      <w:r>
        <w:rPr>
          <w:i/>
        </w:rPr>
        <w:t xml:space="preserve"> and Listeria</w:t>
      </w:r>
      <w:r w:rsidRPr="007A6F30">
        <w:rPr>
          <w:i/>
        </w:rPr>
        <w:t xml:space="preserve"> monocytogenes</w:t>
      </w:r>
      <w:r w:rsidR="00127CF7">
        <w:rPr>
          <w:i/>
        </w:rPr>
        <w:t xml:space="preserve"> </w:t>
      </w:r>
      <w:r w:rsidR="00127CF7" w:rsidRPr="00127CF7">
        <w:t>in</w:t>
      </w:r>
      <w:r w:rsidRPr="00127CF7">
        <w:t xml:space="preserve"> </w:t>
      </w:r>
      <w:r w:rsidR="00127CF7">
        <w:t>domestic melons.</w:t>
      </w:r>
      <w:r w:rsidR="0065747C">
        <w:t xml:space="preserve"> </w:t>
      </w:r>
    </w:p>
    <w:p w14:paraId="06D4F6CE" w14:textId="77777777" w:rsidR="005804D7" w:rsidRDefault="005804D7" w:rsidP="005804D7"/>
    <w:p w14:paraId="13D2ACE4" w14:textId="6864F610" w:rsidR="0061335C" w:rsidRDefault="0061335C" w:rsidP="0061335C">
      <w:pPr>
        <w:rPr>
          <w:lang w:bidi="ar-SA"/>
        </w:rPr>
      </w:pPr>
      <w:r>
        <w:rPr>
          <w:rFonts w:cs="Arial"/>
        </w:rPr>
        <w:t xml:space="preserve">Internationally, </w:t>
      </w:r>
      <w:r>
        <w:rPr>
          <w:lang w:bidi="ar-SA"/>
        </w:rPr>
        <w:t xml:space="preserve">berries, leafy vegetables and melons are in the top four fresh horticultural produce sectors most commonly associated with outbreaks. </w:t>
      </w:r>
      <w:r w:rsidRPr="00A15E3D">
        <w:rPr>
          <w:lang w:bidi="ar-SA"/>
        </w:rPr>
        <w:t xml:space="preserve">In </w:t>
      </w:r>
      <w:r w:rsidR="00041939">
        <w:rPr>
          <w:lang w:bidi="ar-SA"/>
        </w:rPr>
        <w:t>2011</w:t>
      </w:r>
      <w:r w:rsidR="00041939">
        <w:t>–</w:t>
      </w:r>
      <w:r w:rsidRPr="005F1323">
        <w:rPr>
          <w:lang w:bidi="ar-SA"/>
        </w:rPr>
        <w:t>2019</w:t>
      </w:r>
      <w:r w:rsidRPr="00A15E3D">
        <w:rPr>
          <w:lang w:bidi="ar-SA"/>
        </w:rPr>
        <w:t>,</w:t>
      </w:r>
      <w:r>
        <w:rPr>
          <w:lang w:bidi="ar-SA"/>
        </w:rPr>
        <w:t xml:space="preserve"> nine international outbreaks were linked to berries</w:t>
      </w:r>
      <w:r w:rsidR="00A15E3D">
        <w:rPr>
          <w:lang w:bidi="ar-SA"/>
        </w:rPr>
        <w:t>, 16 outbreaks were linked to leafy vegetables and three outbreaks were linked to melons.</w:t>
      </w:r>
      <w:r w:rsidR="004C1A6E" w:rsidRPr="004C1A6E">
        <w:rPr>
          <w:rFonts w:cs="Arial"/>
        </w:rPr>
        <w:t xml:space="preserve"> </w:t>
      </w:r>
    </w:p>
    <w:p w14:paraId="5FF322AE" w14:textId="77777777" w:rsidR="0061335C" w:rsidRDefault="0061335C" w:rsidP="005804D7">
      <w:pPr>
        <w:rPr>
          <w:rFonts w:cs="Arial"/>
        </w:rPr>
      </w:pPr>
    </w:p>
    <w:p w14:paraId="3ED229B8" w14:textId="11E2ED9F" w:rsidR="00CB3688" w:rsidRDefault="007F0B74" w:rsidP="005804D7">
      <w:pPr>
        <w:rPr>
          <w:rFonts w:cs="Arial"/>
        </w:rPr>
      </w:pPr>
      <w:r>
        <w:t xml:space="preserve">In addition to the outbreaks listed above, </w:t>
      </w:r>
      <w:r w:rsidRPr="00094BB3">
        <w:t>sporadic cases</w:t>
      </w:r>
      <w:r w:rsidRPr="00F51F41">
        <w:t xml:space="preserve"> of</w:t>
      </w:r>
      <w:r>
        <w:t xml:space="preserve"> foodborne illness (i.e. those not connected with an outbreak) also </w:t>
      </w:r>
      <w:r w:rsidR="00DB73ED">
        <w:t>add to the total burden of illness</w:t>
      </w:r>
      <w:r>
        <w:t xml:space="preserve">. </w:t>
      </w:r>
      <w:r w:rsidR="00C22A8A">
        <w:t xml:space="preserve">Refer to </w:t>
      </w:r>
      <w:hyperlink r:id="rId25" w:history="1">
        <w:r w:rsidR="00C22A8A" w:rsidRPr="00A70E0C">
          <w:rPr>
            <w:rStyle w:val="Hyperlink"/>
          </w:rPr>
          <w:t>microbiological assessment</w:t>
        </w:r>
      </w:hyperlink>
      <w:r w:rsidR="00C22A8A">
        <w:t xml:space="preserve"> supporting document </w:t>
      </w:r>
      <w:r w:rsidR="003D566C">
        <w:t xml:space="preserve">2 </w:t>
      </w:r>
      <w:r w:rsidR="00C22A8A">
        <w:t>(page 14).</w:t>
      </w:r>
      <w:r w:rsidR="000F4DC0">
        <w:t xml:space="preserve"> </w:t>
      </w:r>
      <w:r w:rsidR="00C22A8A">
        <w:rPr>
          <w:rFonts w:cs="Arial"/>
        </w:rPr>
        <w:t xml:space="preserve">Outbreak data has limitations as causes are difficult to determine; </w:t>
      </w:r>
      <w:r w:rsidR="00CE78F8">
        <w:rPr>
          <w:rFonts w:cs="Arial"/>
        </w:rPr>
        <w:t>a specific source is not identified in half of foodborne outbreaks</w:t>
      </w:r>
      <w:r w:rsidR="00C22A8A">
        <w:rPr>
          <w:rFonts w:cs="Arial"/>
        </w:rPr>
        <w:t>.</w:t>
      </w:r>
      <w:r w:rsidR="00C22A8A">
        <w:rPr>
          <w:rStyle w:val="FootnoteReference"/>
          <w:rFonts w:cs="Arial"/>
        </w:rPr>
        <w:footnoteReference w:id="4"/>
      </w:r>
      <w:r w:rsidR="00221F12">
        <w:rPr>
          <w:rFonts w:cs="Arial"/>
        </w:rPr>
        <w:t xml:space="preserve">  </w:t>
      </w:r>
      <w:r w:rsidR="00CB3688">
        <w:t xml:space="preserve">Therefore, it is important to recognise that outbreak data are likely to only represent a small proportion of actual cases of foodborne illness, due to the reasons </w:t>
      </w:r>
      <w:r w:rsidR="00221F12">
        <w:t>outline</w:t>
      </w:r>
      <w:r w:rsidR="00CE78F8">
        <w:t>d</w:t>
      </w:r>
      <w:r w:rsidR="00221F12">
        <w:t xml:space="preserve"> in the supporting document</w:t>
      </w:r>
      <w:r w:rsidR="00CB3688">
        <w:t xml:space="preserve">. </w:t>
      </w:r>
    </w:p>
    <w:p w14:paraId="045621D1" w14:textId="57616A58" w:rsidR="005B1C5A" w:rsidRPr="0010311B" w:rsidRDefault="00FB6EF1" w:rsidP="00F611C6">
      <w:pPr>
        <w:pStyle w:val="Heading2"/>
        <w:rPr>
          <w:lang w:val="en-AU" w:eastAsia="en-GB"/>
        </w:rPr>
      </w:pPr>
      <w:bookmarkStart w:id="117" w:name="_Toc85635272"/>
      <w:bookmarkStart w:id="118" w:name="_Toc97643829"/>
      <w:bookmarkStart w:id="119" w:name="_Toc97653214"/>
      <w:bookmarkStart w:id="120" w:name="_Toc97739366"/>
      <w:bookmarkStart w:id="121" w:name="_Toc97823783"/>
      <w:bookmarkStart w:id="122" w:name="_Toc97823949"/>
      <w:r>
        <w:rPr>
          <w:lang w:val="en-AU" w:eastAsia="en-GB"/>
        </w:rPr>
        <w:t>4.3</w:t>
      </w:r>
      <w:r>
        <w:rPr>
          <w:lang w:val="en-AU" w:eastAsia="en-GB"/>
        </w:rPr>
        <w:tab/>
      </w:r>
      <w:r w:rsidR="007F0B74" w:rsidRPr="0010311B">
        <w:rPr>
          <w:lang w:val="en-AU" w:eastAsia="en-GB"/>
        </w:rPr>
        <w:t>F</w:t>
      </w:r>
      <w:r w:rsidR="005B1C5A" w:rsidRPr="0010311B">
        <w:rPr>
          <w:lang w:val="en-AU" w:eastAsia="en-GB"/>
        </w:rPr>
        <w:t>ood recalls and national incidents</w:t>
      </w:r>
      <w:bookmarkEnd w:id="117"/>
      <w:bookmarkEnd w:id="118"/>
      <w:bookmarkEnd w:id="119"/>
      <w:bookmarkEnd w:id="120"/>
      <w:bookmarkEnd w:id="121"/>
      <w:bookmarkEnd w:id="122"/>
    </w:p>
    <w:p w14:paraId="7C581C84" w14:textId="2F880C0C" w:rsidR="00F51F41" w:rsidRDefault="00C0057F" w:rsidP="00F51F41">
      <w:r>
        <w:t>As food produced in one state can be sold in other states and territories, food recalls and incidents are often a national issue.</w:t>
      </w:r>
    </w:p>
    <w:p w14:paraId="362CCF43" w14:textId="77777777" w:rsidR="00C0057F" w:rsidRDefault="00C0057F" w:rsidP="00F51F41"/>
    <w:p w14:paraId="5BF7D5E1" w14:textId="44E6597E" w:rsidR="007F0B74" w:rsidRDefault="00534049" w:rsidP="007F0B74">
      <w:pPr>
        <w:rPr>
          <w:lang w:bidi="ar-SA"/>
        </w:rPr>
      </w:pPr>
      <w:r>
        <w:t xml:space="preserve">Horticultural produce accounts for 9% of </w:t>
      </w:r>
      <w:r w:rsidR="00E05F48">
        <w:t xml:space="preserve">food recalls </w:t>
      </w:r>
      <w:r>
        <w:t xml:space="preserve">in Australia (FSANZ data </w:t>
      </w:r>
      <w:r w:rsidR="00041939">
        <w:t>1989–</w:t>
      </w:r>
      <w:r>
        <w:t xml:space="preserve">2019). </w:t>
      </w:r>
      <w:r w:rsidR="007F0B74">
        <w:rPr>
          <w:lang w:bidi="ar-SA"/>
        </w:rPr>
        <w:t xml:space="preserve">Between </w:t>
      </w:r>
      <w:r w:rsidR="007F0B74" w:rsidRPr="00C67DBB">
        <w:rPr>
          <w:lang w:bidi="ar-SA"/>
        </w:rPr>
        <w:t xml:space="preserve">2011 and 2020 </w:t>
      </w:r>
      <w:r w:rsidR="007F0B74">
        <w:rPr>
          <w:lang w:bidi="ar-SA"/>
        </w:rPr>
        <w:t xml:space="preserve">there were: </w:t>
      </w:r>
    </w:p>
    <w:p w14:paraId="4DD4F13A" w14:textId="3219D9F8" w:rsidR="007F0B74" w:rsidRPr="00C67DBB" w:rsidRDefault="007F0B74" w:rsidP="00DF44D1">
      <w:pPr>
        <w:pStyle w:val="FSBullet1"/>
      </w:pPr>
      <w:r w:rsidRPr="00C67DBB">
        <w:t xml:space="preserve">three </w:t>
      </w:r>
      <w:r>
        <w:t xml:space="preserve">recalls </w:t>
      </w:r>
      <w:r w:rsidRPr="00C67DBB">
        <w:t xml:space="preserve">for domestically produced </w:t>
      </w:r>
      <w:r w:rsidRPr="003E1FF2">
        <w:t>leafy vegetables</w:t>
      </w:r>
      <w:r>
        <w:tab/>
      </w:r>
    </w:p>
    <w:p w14:paraId="7D372BC3" w14:textId="01B565CB" w:rsidR="007F0B74" w:rsidRPr="00041939" w:rsidRDefault="00DB73ED" w:rsidP="006354B0">
      <w:pPr>
        <w:pStyle w:val="FSBullet2"/>
        <w:numPr>
          <w:ilvl w:val="0"/>
          <w:numId w:val="30"/>
        </w:numPr>
      </w:pPr>
      <w:r w:rsidRPr="00041939">
        <w:t xml:space="preserve">two recalls in </w:t>
      </w:r>
      <w:r w:rsidR="007F0B74" w:rsidRPr="00041939">
        <w:t>2016</w:t>
      </w:r>
      <w:r w:rsidRPr="00041939">
        <w:t xml:space="preserve"> (</w:t>
      </w:r>
      <w:r w:rsidR="007F0B74" w:rsidRPr="00402E77">
        <w:rPr>
          <w:i/>
        </w:rPr>
        <w:t>Salmonella</w:t>
      </w:r>
      <w:r w:rsidR="007F0B74" w:rsidRPr="00041939">
        <w:t xml:space="preserve"> </w:t>
      </w:r>
      <w:proofErr w:type="spellStart"/>
      <w:r w:rsidR="007F0B74" w:rsidRPr="00041939">
        <w:t>Anatum</w:t>
      </w:r>
      <w:proofErr w:type="spellEnd"/>
      <w:r w:rsidRPr="00041939">
        <w:t>), both</w:t>
      </w:r>
      <w:r w:rsidR="007F0B74" w:rsidRPr="00041939">
        <w:t xml:space="preserve"> associated with an outbreak</w:t>
      </w:r>
    </w:p>
    <w:p w14:paraId="5D77F4EA" w14:textId="6AD4D962" w:rsidR="007F0B74" w:rsidRPr="00C67DBB" w:rsidRDefault="00DB73ED" w:rsidP="006354B0">
      <w:pPr>
        <w:pStyle w:val="FSBullet2"/>
        <w:numPr>
          <w:ilvl w:val="0"/>
          <w:numId w:val="30"/>
        </w:numPr>
      </w:pPr>
      <w:r w:rsidRPr="00041939">
        <w:lastRenderedPageBreak/>
        <w:t>on</w:t>
      </w:r>
      <w:r>
        <w:t xml:space="preserve">e recall in </w:t>
      </w:r>
      <w:r w:rsidR="007F0B74" w:rsidRPr="00C67DBB">
        <w:t xml:space="preserve">2020 </w:t>
      </w:r>
      <w:r>
        <w:t>(</w:t>
      </w:r>
      <w:r w:rsidR="007F0B74" w:rsidRPr="00C67DBB">
        <w:rPr>
          <w:i/>
        </w:rPr>
        <w:t xml:space="preserve">Salmonella </w:t>
      </w:r>
      <w:r w:rsidR="007F0B74" w:rsidRPr="00C67DBB">
        <w:t>spp.</w:t>
      </w:r>
      <w:r>
        <w:t>)</w:t>
      </w:r>
    </w:p>
    <w:p w14:paraId="5DFBA0C1" w14:textId="4525A0AB" w:rsidR="007F0B74" w:rsidRPr="00893EEB" w:rsidRDefault="007F0B74" w:rsidP="00DF44D1">
      <w:pPr>
        <w:pStyle w:val="FSBullet1"/>
      </w:pPr>
      <w:r w:rsidRPr="00893EEB">
        <w:t xml:space="preserve">two </w:t>
      </w:r>
      <w:r w:rsidRPr="00DF44D1">
        <w:t>recalls</w:t>
      </w:r>
      <w:r>
        <w:t xml:space="preserve"> </w:t>
      </w:r>
      <w:r w:rsidRPr="00893EEB">
        <w:t>for domestically produced melons</w:t>
      </w:r>
    </w:p>
    <w:p w14:paraId="1952ED99" w14:textId="7AAC96F8" w:rsidR="007F0B74" w:rsidRPr="00DF44D1" w:rsidRDefault="00DB73ED" w:rsidP="006354B0">
      <w:pPr>
        <w:pStyle w:val="FSBullet2"/>
        <w:numPr>
          <w:ilvl w:val="0"/>
          <w:numId w:val="30"/>
        </w:numPr>
      </w:pPr>
      <w:r w:rsidRPr="00DF44D1">
        <w:t xml:space="preserve">one in </w:t>
      </w:r>
      <w:r w:rsidR="007F0B74" w:rsidRPr="00DF44D1">
        <w:t xml:space="preserve">2016 </w:t>
      </w:r>
      <w:r w:rsidRPr="00DF44D1">
        <w:t>(</w:t>
      </w:r>
      <w:r w:rsidR="007F0B74" w:rsidRPr="00402E77">
        <w:rPr>
          <w:i/>
        </w:rPr>
        <w:t>Salmonella</w:t>
      </w:r>
      <w:r w:rsidR="007F0B74" w:rsidRPr="00DF44D1">
        <w:t xml:space="preserve"> spp</w:t>
      </w:r>
      <w:r w:rsidRPr="00DF44D1">
        <w:t xml:space="preserve">.), </w:t>
      </w:r>
      <w:r w:rsidR="007F0B74" w:rsidRPr="00DF44D1">
        <w:t>associated with an outbreak</w:t>
      </w:r>
    </w:p>
    <w:p w14:paraId="1D71C620" w14:textId="41128E45" w:rsidR="007F0B74" w:rsidRDefault="00DB73ED" w:rsidP="006354B0">
      <w:pPr>
        <w:pStyle w:val="FSBullet2"/>
        <w:numPr>
          <w:ilvl w:val="0"/>
          <w:numId w:val="30"/>
        </w:numPr>
        <w:rPr>
          <w:rFonts w:cs="Arial"/>
        </w:rPr>
      </w:pPr>
      <w:r w:rsidRPr="00DF44D1">
        <w:t>on</w:t>
      </w:r>
      <w:r>
        <w:t xml:space="preserve">e in </w:t>
      </w:r>
      <w:r w:rsidR="007F0B74" w:rsidRPr="00893EEB">
        <w:t xml:space="preserve">2018 </w:t>
      </w:r>
      <w:r>
        <w:t>(</w:t>
      </w:r>
      <w:r w:rsidR="007F0B74" w:rsidRPr="00893EEB">
        <w:rPr>
          <w:i/>
        </w:rPr>
        <w:t>L</w:t>
      </w:r>
      <w:r w:rsidR="000F1826">
        <w:rPr>
          <w:i/>
        </w:rPr>
        <w:t xml:space="preserve">. </w:t>
      </w:r>
      <w:r w:rsidR="007F0B74" w:rsidRPr="00893EEB">
        <w:rPr>
          <w:i/>
        </w:rPr>
        <w:t>monocytogenes</w:t>
      </w:r>
      <w:r>
        <w:t>), also</w:t>
      </w:r>
      <w:r w:rsidR="007F0B74">
        <w:t xml:space="preserve"> a</w:t>
      </w:r>
      <w:r w:rsidR="007F0B74" w:rsidRPr="00893EEB">
        <w:t>ssociated with an outbreak</w:t>
      </w:r>
      <w:r w:rsidR="007F0B74">
        <w:t>.</w:t>
      </w:r>
    </w:p>
    <w:p w14:paraId="1CAAADE1" w14:textId="77777777" w:rsidR="007F0B74" w:rsidRDefault="007F0B74" w:rsidP="00F51F41">
      <w:pPr>
        <w:tabs>
          <w:tab w:val="left" w:pos="1134"/>
        </w:tabs>
      </w:pPr>
    </w:p>
    <w:p w14:paraId="6BF7F93F" w14:textId="3304B333" w:rsidR="006004D6" w:rsidRDefault="00534049" w:rsidP="005F1323">
      <w:pPr>
        <w:tabs>
          <w:tab w:val="left" w:pos="1134"/>
        </w:tabs>
        <w:rPr>
          <w:lang w:val="en-AU"/>
        </w:rPr>
      </w:pPr>
      <w:r>
        <w:rPr>
          <w:lang w:val="en-AU"/>
        </w:rPr>
        <w:t>During 2016</w:t>
      </w:r>
      <w:r w:rsidR="00A22381">
        <w:t>–</w:t>
      </w:r>
      <w:r>
        <w:rPr>
          <w:lang w:val="en-AU"/>
        </w:rPr>
        <w:t xml:space="preserve">2018, </w:t>
      </w:r>
      <w:r w:rsidR="007F0B74">
        <w:rPr>
          <w:lang w:val="en-AU"/>
        </w:rPr>
        <w:t>there were five national food incidents involving multi-jurisdictional outbreaks of foodborne illness. H</w:t>
      </w:r>
      <w:r>
        <w:rPr>
          <w:lang w:val="en-AU"/>
        </w:rPr>
        <w:t xml:space="preserve">orticultural products were the only products implicated in </w:t>
      </w:r>
      <w:r w:rsidR="007F0B74">
        <w:rPr>
          <w:lang w:val="en-AU"/>
        </w:rPr>
        <w:t>these</w:t>
      </w:r>
      <w:r w:rsidR="0028541E">
        <w:rPr>
          <w:lang w:val="en-AU"/>
        </w:rPr>
        <w:t xml:space="preserve"> incidents.</w:t>
      </w:r>
    </w:p>
    <w:p w14:paraId="143F5510" w14:textId="2EA5C9E2" w:rsidR="002031CC" w:rsidRPr="006004D6" w:rsidRDefault="00FB6EF1" w:rsidP="00F611C6">
      <w:pPr>
        <w:pStyle w:val="Heading2"/>
        <w:rPr>
          <w:lang w:val="en-AU" w:eastAsia="en-GB"/>
        </w:rPr>
      </w:pPr>
      <w:bookmarkStart w:id="123" w:name="_Toc85635273"/>
      <w:bookmarkStart w:id="124" w:name="_Toc97643830"/>
      <w:bookmarkStart w:id="125" w:name="_Toc97653215"/>
      <w:bookmarkStart w:id="126" w:name="_Toc97739367"/>
      <w:bookmarkStart w:id="127" w:name="_Toc97823784"/>
      <w:bookmarkStart w:id="128" w:name="_Toc97823950"/>
      <w:r>
        <w:rPr>
          <w:lang w:val="en-AU" w:eastAsia="en-GB"/>
        </w:rPr>
        <w:t>4.4</w:t>
      </w:r>
      <w:r>
        <w:rPr>
          <w:lang w:val="en-AU" w:eastAsia="en-GB"/>
        </w:rPr>
        <w:tab/>
      </w:r>
      <w:r w:rsidR="000C691C" w:rsidRPr="006004D6">
        <w:rPr>
          <w:lang w:val="en-AU" w:eastAsia="en-GB"/>
        </w:rPr>
        <w:t>Costs</w:t>
      </w:r>
      <w:r w:rsidR="002031CC" w:rsidRPr="006004D6">
        <w:rPr>
          <w:lang w:val="en-AU" w:eastAsia="en-GB"/>
        </w:rPr>
        <w:t xml:space="preserve"> of </w:t>
      </w:r>
      <w:r w:rsidR="00DB73ED" w:rsidRPr="006004D6">
        <w:rPr>
          <w:lang w:val="en-AU" w:eastAsia="en-GB"/>
        </w:rPr>
        <w:t>illness</w:t>
      </w:r>
      <w:bookmarkEnd w:id="123"/>
      <w:bookmarkEnd w:id="124"/>
      <w:bookmarkEnd w:id="125"/>
      <w:bookmarkEnd w:id="126"/>
      <w:bookmarkEnd w:id="127"/>
      <w:bookmarkEnd w:id="128"/>
    </w:p>
    <w:p w14:paraId="764F2CC0" w14:textId="2C378428" w:rsidR="00A22381" w:rsidRDefault="005804D7" w:rsidP="00694AC7">
      <w:r w:rsidRPr="000C691C">
        <w:t xml:space="preserve">The impact of </w:t>
      </w:r>
      <w:r w:rsidR="00DB73ED">
        <w:t>illness</w:t>
      </w:r>
      <w:r>
        <w:t xml:space="preserve"> </w:t>
      </w:r>
      <w:r w:rsidR="00DB73ED">
        <w:t>associated with horticultural produce is</w:t>
      </w:r>
      <w:r>
        <w:t xml:space="preserve"> significant in terms of </w:t>
      </w:r>
      <w:r w:rsidR="00DB73ED">
        <w:t xml:space="preserve">people’s </w:t>
      </w:r>
      <w:r w:rsidRPr="000C691C">
        <w:t>health</w:t>
      </w:r>
      <w:r>
        <w:t xml:space="preserve"> (illness and/or death)</w:t>
      </w:r>
      <w:r w:rsidRPr="00610B70">
        <w:t xml:space="preserve">. </w:t>
      </w:r>
      <w:r w:rsidR="0036410A" w:rsidRPr="0001618C">
        <w:t>FSANZ</w:t>
      </w:r>
      <w:r w:rsidR="00E53720">
        <w:t xml:space="preserve"> has</w:t>
      </w:r>
      <w:r w:rsidR="0036410A" w:rsidRPr="0001618C">
        <w:t xml:space="preserve"> estimated the </w:t>
      </w:r>
      <w:r w:rsidR="0036410A" w:rsidRPr="005F1323">
        <w:t xml:space="preserve">annual cost of illness </w:t>
      </w:r>
      <w:r w:rsidR="0036410A" w:rsidRPr="0036410A">
        <w:t xml:space="preserve">in Australia </w:t>
      </w:r>
      <w:r w:rsidR="0036410A" w:rsidRPr="005F1323">
        <w:t xml:space="preserve">attributable to </w:t>
      </w:r>
      <w:r w:rsidR="0036410A">
        <w:t xml:space="preserve">the </w:t>
      </w:r>
      <w:r w:rsidR="0036410A" w:rsidRPr="0036410A">
        <w:t>berries, leafy vegetables and melon</w:t>
      </w:r>
      <w:r w:rsidR="0036410A">
        <w:t xml:space="preserve"> sector</w:t>
      </w:r>
      <w:r w:rsidR="0036410A" w:rsidRPr="0036410A">
        <w:t>s</w:t>
      </w:r>
      <w:r w:rsidR="0036410A" w:rsidRPr="005665BA">
        <w:t>.</w:t>
      </w:r>
      <w:r w:rsidR="004C1A6E">
        <w:t xml:space="preserve"> </w:t>
      </w:r>
    </w:p>
    <w:p w14:paraId="589C12FF" w14:textId="77777777" w:rsidR="00A22381" w:rsidRDefault="00A22381" w:rsidP="00694AC7"/>
    <w:p w14:paraId="73F8F97F" w14:textId="2360EE20" w:rsidR="0028541E" w:rsidRDefault="005665BA" w:rsidP="00694AC7">
      <w:r w:rsidRPr="0036410A">
        <w:t>T</w:t>
      </w:r>
      <w:r w:rsidR="00694AC7" w:rsidRPr="0036410A">
        <w:t>h</w:t>
      </w:r>
      <w:r w:rsidR="0036410A">
        <w:t xml:space="preserve">is cost </w:t>
      </w:r>
      <w:r w:rsidRPr="0036410A">
        <w:t>was determined by</w:t>
      </w:r>
      <w:r w:rsidR="0028541E">
        <w:t>:</w:t>
      </w:r>
    </w:p>
    <w:p w14:paraId="279CCE6F" w14:textId="13DFC532" w:rsidR="0028541E" w:rsidRDefault="005665BA" w:rsidP="00DF44D1">
      <w:pPr>
        <w:pStyle w:val="FSBullet1"/>
      </w:pPr>
      <w:r w:rsidRPr="0036410A">
        <w:t>deducing</w:t>
      </w:r>
      <w:r w:rsidR="00694AC7" w:rsidRPr="0036410A">
        <w:t xml:space="preserve"> the total illness burden</w:t>
      </w:r>
      <w:r w:rsidR="0065747C">
        <w:t xml:space="preserve"> on consumers and healthcare systems</w:t>
      </w:r>
    </w:p>
    <w:p w14:paraId="4FCBBEDF" w14:textId="7E186258" w:rsidR="0028541E" w:rsidRPr="0028541E" w:rsidRDefault="005665BA" w:rsidP="00DF44D1">
      <w:pPr>
        <w:pStyle w:val="FSBullet1"/>
      </w:pPr>
      <w:r w:rsidRPr="0036410A">
        <w:t>asking an</w:t>
      </w:r>
      <w:r w:rsidR="00694AC7" w:rsidRPr="0036410A">
        <w:t xml:space="preserve"> expert </w:t>
      </w:r>
      <w:r w:rsidRPr="0036410A">
        <w:t>panel</w:t>
      </w:r>
      <w:r w:rsidR="00694AC7" w:rsidRPr="0036410A">
        <w:t xml:space="preserve"> </w:t>
      </w:r>
      <w:r w:rsidRPr="0036410A">
        <w:t xml:space="preserve">to </w:t>
      </w:r>
      <w:r w:rsidR="00694AC7" w:rsidRPr="0036410A">
        <w:t>determine the percentage burden attributed to each commodity</w:t>
      </w:r>
      <w:r w:rsidR="00F87EAC">
        <w:t xml:space="preserve"> (based on their expert knowledge</w:t>
      </w:r>
      <w:r w:rsidR="0034736C">
        <w:t>)</w:t>
      </w:r>
      <w:r w:rsidR="0034736C" w:rsidDel="0034736C">
        <w:t xml:space="preserve"> </w:t>
      </w:r>
    </w:p>
    <w:p w14:paraId="5BB10854" w14:textId="77777777" w:rsidR="0028541E" w:rsidRDefault="005665BA" w:rsidP="00DF44D1">
      <w:pPr>
        <w:pStyle w:val="FSBullet1"/>
      </w:pPr>
      <w:r w:rsidRPr="0036410A">
        <w:t xml:space="preserve">using these percentages to estimate the annual cost of illness attributed to each </w:t>
      </w:r>
      <w:r w:rsidR="00561B9D">
        <w:t>commodity</w:t>
      </w:r>
      <w:r w:rsidRPr="0036410A">
        <w:t xml:space="preserve"> sector. </w:t>
      </w:r>
    </w:p>
    <w:p w14:paraId="68607DB5" w14:textId="77777777" w:rsidR="00FD4943" w:rsidRDefault="00FD4943" w:rsidP="00041939"/>
    <w:p w14:paraId="052ED4E1" w14:textId="7D556E23" w:rsidR="00AF15F0" w:rsidRDefault="00353F78" w:rsidP="00AF15F0">
      <w:r>
        <w:t>Current</w:t>
      </w:r>
      <w:r w:rsidRPr="0001618C">
        <w:t xml:space="preserve"> cos</w:t>
      </w:r>
      <w:r>
        <w:t>t estimates</w:t>
      </w:r>
      <w:r w:rsidRPr="0001618C">
        <w:t xml:space="preserve"> </w:t>
      </w:r>
      <w:r>
        <w:t xml:space="preserve">of illness </w:t>
      </w:r>
      <w:r w:rsidRPr="0001618C">
        <w:t xml:space="preserve">are </w:t>
      </w:r>
      <w:r>
        <w:t>provided</w:t>
      </w:r>
      <w:r w:rsidRPr="0001618C">
        <w:t xml:space="preserve"> </w:t>
      </w:r>
      <w:r w:rsidRPr="00716986">
        <w:t>in Table 1.</w:t>
      </w:r>
      <w:r>
        <w:t xml:space="preserve"> </w:t>
      </w:r>
    </w:p>
    <w:p w14:paraId="181F60A8" w14:textId="77777777" w:rsidR="00AF15F0" w:rsidRDefault="00AF15F0" w:rsidP="00AF15F0"/>
    <w:p w14:paraId="2D3FD32A" w14:textId="0B4CB098" w:rsidR="00694AC7" w:rsidRPr="0001618C" w:rsidRDefault="00694AC7" w:rsidP="00AF15F0">
      <w:pPr>
        <w:rPr>
          <w:b/>
        </w:rPr>
      </w:pPr>
      <w:r w:rsidRPr="00716986">
        <w:rPr>
          <w:b/>
        </w:rPr>
        <w:t xml:space="preserve">Table </w:t>
      </w:r>
      <w:r w:rsidR="006004D6" w:rsidRPr="00716986">
        <w:rPr>
          <w:b/>
        </w:rPr>
        <w:t>1</w:t>
      </w:r>
      <w:r w:rsidR="00DF44D1">
        <w:rPr>
          <w:b/>
        </w:rPr>
        <w:t>.</w:t>
      </w:r>
      <w:r w:rsidR="00B03E08">
        <w:rPr>
          <w:b/>
        </w:rPr>
        <w:t xml:space="preserve"> </w:t>
      </w:r>
      <w:r w:rsidR="00353F78">
        <w:rPr>
          <w:b/>
        </w:rPr>
        <w:t>Current</w:t>
      </w:r>
      <w:r w:rsidRPr="0001618C">
        <w:rPr>
          <w:b/>
        </w:rPr>
        <w:t xml:space="preserve"> estimates of </w:t>
      </w:r>
      <w:r w:rsidRPr="00496718">
        <w:rPr>
          <w:b/>
        </w:rPr>
        <w:t>annual cost of illness</w:t>
      </w:r>
      <w:r w:rsidRPr="0001618C">
        <w:rPr>
          <w:b/>
        </w:rPr>
        <w:t xml:space="preserve"> </w:t>
      </w:r>
    </w:p>
    <w:tbl>
      <w:tblPr>
        <w:tblStyle w:val="ListTable4-Accent4"/>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4"/>
      </w:tblGrid>
      <w:tr w:rsidR="005F1323" w:rsidRPr="005F1323" w14:paraId="5A34D7AA"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8DB3E2" w:themeFill="text2" w:themeFillTint="66"/>
            <w:hideMark/>
          </w:tcPr>
          <w:p w14:paraId="0494BB8B" w14:textId="77777777" w:rsidR="00694AC7" w:rsidRPr="005F1323" w:rsidRDefault="00694AC7" w:rsidP="00A120BD">
            <w:pPr>
              <w:rPr>
                <w:color w:val="auto"/>
              </w:rPr>
            </w:pPr>
            <w:r w:rsidRPr="005F1323">
              <w:rPr>
                <w:color w:val="auto"/>
              </w:rPr>
              <w:t>Commodity</w:t>
            </w:r>
          </w:p>
        </w:tc>
        <w:tc>
          <w:tcPr>
            <w:tcW w:w="4394" w:type="dxa"/>
            <w:shd w:val="clear" w:color="auto" w:fill="8DB3E2" w:themeFill="text2" w:themeFillTint="66"/>
            <w:hideMark/>
          </w:tcPr>
          <w:p w14:paraId="58EB6955" w14:textId="6CF2124A" w:rsidR="00694AC7" w:rsidRPr="005F1323" w:rsidRDefault="00694AC7" w:rsidP="00903F54">
            <w:pPr>
              <w:jc w:val="right"/>
              <w:cnfStyle w:val="100000000000" w:firstRow="1" w:lastRow="0" w:firstColumn="0" w:lastColumn="0" w:oddVBand="0" w:evenVBand="0" w:oddHBand="0" w:evenHBand="0" w:firstRowFirstColumn="0" w:firstRowLastColumn="0" w:lastRowFirstColumn="0" w:lastRowLastColumn="0"/>
              <w:rPr>
                <w:color w:val="auto"/>
              </w:rPr>
            </w:pPr>
            <w:r w:rsidRPr="005F1323">
              <w:rPr>
                <w:color w:val="auto"/>
              </w:rPr>
              <w:t xml:space="preserve">Total </w:t>
            </w:r>
            <w:r w:rsidR="00496718" w:rsidRPr="005F1323">
              <w:rPr>
                <w:color w:val="auto"/>
              </w:rPr>
              <w:t xml:space="preserve">annual </w:t>
            </w:r>
            <w:r w:rsidR="004C1A6E">
              <w:rPr>
                <w:color w:val="auto"/>
              </w:rPr>
              <w:t>illness cost $</w:t>
            </w:r>
          </w:p>
        </w:tc>
      </w:tr>
      <w:tr w:rsidR="00694AC7" w14:paraId="72B581D3"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8347" w14:textId="77777777" w:rsidR="00694AC7" w:rsidRDefault="00694AC7" w:rsidP="00A120BD">
            <w:r>
              <w:rPr>
                <w:b w:val="0"/>
              </w:rPr>
              <w:t>Berries</w:t>
            </w:r>
          </w:p>
        </w:tc>
        <w:tc>
          <w:tcPr>
            <w:tcW w:w="4394" w:type="dxa"/>
            <w:shd w:val="clear" w:color="auto" w:fill="auto"/>
            <w:hideMark/>
          </w:tcPr>
          <w:p w14:paraId="6AB3118F" w14:textId="1B97D681" w:rsidR="00694AC7" w:rsidRDefault="009A4DE2" w:rsidP="00BF00BA">
            <w:pPr>
              <w:jc w:val="right"/>
              <w:cnfStyle w:val="000000100000" w:firstRow="0" w:lastRow="0" w:firstColumn="0" w:lastColumn="0" w:oddVBand="0" w:evenVBand="0" w:oddHBand="1" w:evenHBand="0" w:firstRowFirstColumn="0" w:firstRowLastColumn="0" w:lastRowFirstColumn="0" w:lastRowLastColumn="0"/>
            </w:pPr>
            <w:r>
              <w:t>4.4</w:t>
            </w:r>
            <w:r w:rsidR="00694AC7">
              <w:t xml:space="preserve"> million</w:t>
            </w:r>
          </w:p>
        </w:tc>
      </w:tr>
      <w:tr w:rsidR="00694AC7" w14:paraId="4F52D6D4" w14:textId="77777777" w:rsidTr="00BF00BA">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648E" w14:textId="77777777" w:rsidR="00694AC7" w:rsidRPr="0001618C" w:rsidRDefault="00694AC7" w:rsidP="00A120BD">
            <w:pPr>
              <w:rPr>
                <w:b w:val="0"/>
              </w:rPr>
            </w:pPr>
            <w:r>
              <w:rPr>
                <w:b w:val="0"/>
              </w:rPr>
              <w:t>Leafy vegetables</w:t>
            </w:r>
          </w:p>
        </w:tc>
        <w:tc>
          <w:tcPr>
            <w:tcW w:w="4394" w:type="dxa"/>
            <w:shd w:val="clear" w:color="auto" w:fill="auto"/>
            <w:hideMark/>
          </w:tcPr>
          <w:p w14:paraId="66185A73" w14:textId="4A12E234" w:rsidR="00694AC7" w:rsidRDefault="00CA31C0" w:rsidP="00BF00BA">
            <w:pPr>
              <w:jc w:val="right"/>
              <w:cnfStyle w:val="000000000000" w:firstRow="0" w:lastRow="0" w:firstColumn="0" w:lastColumn="0" w:oddVBand="0" w:evenVBand="0" w:oddHBand="0" w:evenHBand="0" w:firstRowFirstColumn="0" w:firstRowLastColumn="0" w:lastRowFirstColumn="0" w:lastRowLastColumn="0"/>
            </w:pPr>
            <w:r>
              <w:t>9.3</w:t>
            </w:r>
            <w:r w:rsidR="00694AC7">
              <w:t xml:space="preserve"> million</w:t>
            </w:r>
          </w:p>
        </w:tc>
      </w:tr>
      <w:tr w:rsidR="00694AC7" w14:paraId="1B7C2ADA"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084FD1" w14:textId="77777777" w:rsidR="00694AC7" w:rsidRDefault="00694AC7" w:rsidP="00A120BD">
            <w:r>
              <w:rPr>
                <w:b w:val="0"/>
              </w:rPr>
              <w:t>Melons</w:t>
            </w:r>
          </w:p>
        </w:tc>
        <w:tc>
          <w:tcPr>
            <w:tcW w:w="4394" w:type="dxa"/>
            <w:shd w:val="clear" w:color="auto" w:fill="auto"/>
            <w:hideMark/>
          </w:tcPr>
          <w:p w14:paraId="31EAE5BC" w14:textId="09DA233D" w:rsidR="00694AC7" w:rsidRDefault="007D159B" w:rsidP="00BF00BA">
            <w:pPr>
              <w:jc w:val="right"/>
              <w:cnfStyle w:val="000000100000" w:firstRow="0" w:lastRow="0" w:firstColumn="0" w:lastColumn="0" w:oddVBand="0" w:evenVBand="0" w:oddHBand="1" w:evenHBand="0" w:firstRowFirstColumn="0" w:firstRowLastColumn="0" w:lastRowFirstColumn="0" w:lastRowLastColumn="0"/>
            </w:pPr>
            <w:r>
              <w:t>7</w:t>
            </w:r>
            <w:r w:rsidR="009A4DE2">
              <w:t>.1</w:t>
            </w:r>
            <w:r w:rsidR="00694AC7">
              <w:t xml:space="preserve"> million</w:t>
            </w:r>
          </w:p>
        </w:tc>
      </w:tr>
    </w:tbl>
    <w:p w14:paraId="18172AD3" w14:textId="3C90FFA4" w:rsidR="0065747C" w:rsidRDefault="0065747C" w:rsidP="005804D7"/>
    <w:p w14:paraId="523B6742" w14:textId="3BE7A9E5" w:rsidR="004A15DD" w:rsidRDefault="004A15DD" w:rsidP="005804D7">
      <w:pPr>
        <w:rPr>
          <w:lang w:val="en-AU"/>
        </w:rPr>
      </w:pPr>
      <w:r>
        <w:rPr>
          <w:lang w:val="en-AU"/>
        </w:rPr>
        <w:t>FSANZ’s Cost of Illness model has been substantially revised since the CRIS stage as part of a separate research project conducted by the ANU</w:t>
      </w:r>
      <w:r w:rsidR="0075590E">
        <w:rPr>
          <w:lang w:val="en-AU"/>
        </w:rPr>
        <w:t xml:space="preserve"> to review the model for estimating cost of illness</w:t>
      </w:r>
      <w:r>
        <w:rPr>
          <w:lang w:val="en-AU"/>
        </w:rPr>
        <w:t xml:space="preserve">. A decision </w:t>
      </w:r>
      <w:r w:rsidR="009860C3">
        <w:rPr>
          <w:lang w:val="en-AU"/>
        </w:rPr>
        <w:t>was</w:t>
      </w:r>
      <w:r>
        <w:rPr>
          <w:lang w:val="en-AU"/>
        </w:rPr>
        <w:t xml:space="preserve"> made to use the new model to estimate the likely illness cost savings due to the substantially increased sophistication of the methodology. </w:t>
      </w:r>
      <w:r w:rsidR="00FC451E">
        <w:rPr>
          <w:lang w:val="en-AU"/>
        </w:rPr>
        <w:t>Therefore, the best and most up-to-</w:t>
      </w:r>
      <w:r>
        <w:rPr>
          <w:lang w:val="en-AU"/>
        </w:rPr>
        <w:t xml:space="preserve">date information has been used to calculate the costs and benefits of options for this DRIS. </w:t>
      </w:r>
    </w:p>
    <w:p w14:paraId="6D2692B7" w14:textId="23AB0BFC" w:rsidR="00E91775" w:rsidRDefault="00E91775" w:rsidP="005804D7">
      <w:pPr>
        <w:rPr>
          <w:lang w:val="en-AU"/>
        </w:rPr>
      </w:pPr>
    </w:p>
    <w:p w14:paraId="73F78D8C" w14:textId="21162346" w:rsidR="00E91775" w:rsidRDefault="00E91775" w:rsidP="005804D7">
      <w:pPr>
        <w:rPr>
          <w:lang w:val="en-AU"/>
        </w:rPr>
      </w:pPr>
      <w:r>
        <w:rPr>
          <w:lang w:val="en-AU"/>
        </w:rPr>
        <w:t xml:space="preserve">The main reason </w:t>
      </w:r>
      <w:r w:rsidR="00E9742A">
        <w:rPr>
          <w:lang w:val="en-AU"/>
        </w:rPr>
        <w:t xml:space="preserve">new cost of illness estimates in this DRIS </w:t>
      </w:r>
      <w:r w:rsidR="009860C3">
        <w:rPr>
          <w:lang w:val="en-AU"/>
        </w:rPr>
        <w:t>are</w:t>
      </w:r>
      <w:r w:rsidR="00E9742A">
        <w:rPr>
          <w:lang w:val="en-AU"/>
        </w:rPr>
        <w:t xml:space="preserve"> substantially lower </w:t>
      </w:r>
      <w:r w:rsidR="00E954F4">
        <w:rPr>
          <w:lang w:val="en-AU"/>
        </w:rPr>
        <w:t xml:space="preserve">is </w:t>
      </w:r>
      <w:r w:rsidR="00E9742A">
        <w:rPr>
          <w:lang w:val="en-AU"/>
        </w:rPr>
        <w:t>tha</w:t>
      </w:r>
      <w:r w:rsidR="00E954F4">
        <w:rPr>
          <w:lang w:val="en-AU"/>
        </w:rPr>
        <w:t>t a more conservative approach to estimating the</w:t>
      </w:r>
      <w:r w:rsidR="00E9742A">
        <w:rPr>
          <w:lang w:val="en-AU"/>
        </w:rPr>
        <w:t xml:space="preserve"> longer-term health impacts of salmonella </w:t>
      </w:r>
      <w:r w:rsidR="0034736C">
        <w:rPr>
          <w:lang w:val="en-AU"/>
        </w:rPr>
        <w:t xml:space="preserve">illness </w:t>
      </w:r>
      <w:r w:rsidR="00E954F4">
        <w:rPr>
          <w:lang w:val="en-AU"/>
        </w:rPr>
        <w:t>has been taken</w:t>
      </w:r>
      <w:r w:rsidR="00E9742A">
        <w:rPr>
          <w:lang w:val="en-AU"/>
        </w:rPr>
        <w:t xml:space="preserve">. </w:t>
      </w:r>
      <w:r>
        <w:rPr>
          <w:lang w:val="en-AU"/>
        </w:rPr>
        <w:t xml:space="preserve"> </w:t>
      </w:r>
    </w:p>
    <w:p w14:paraId="07A97C2E" w14:textId="77777777" w:rsidR="004A15DD" w:rsidRDefault="004A15DD" w:rsidP="005804D7">
      <w:pPr>
        <w:rPr>
          <w:lang w:val="en-AU"/>
        </w:rPr>
      </w:pPr>
    </w:p>
    <w:p w14:paraId="56817F62" w14:textId="5CD94A7E" w:rsidR="0065747C" w:rsidRDefault="00766869" w:rsidP="005804D7">
      <w:pPr>
        <w:rPr>
          <w:lang w:val="en-AU"/>
        </w:rPr>
      </w:pPr>
      <w:r>
        <w:rPr>
          <w:lang w:val="en-AU"/>
        </w:rPr>
        <w:t>The</w:t>
      </w:r>
      <w:r w:rsidR="00856594">
        <w:rPr>
          <w:lang w:val="en-AU"/>
        </w:rPr>
        <w:t>refore, the</w:t>
      </w:r>
      <w:r>
        <w:rPr>
          <w:lang w:val="en-AU"/>
        </w:rPr>
        <w:t xml:space="preserve"> use of the new draft model has resulted in downwards revisions of the likely cost saving associated with the proposed interventions</w:t>
      </w:r>
      <w:r w:rsidR="004A15DD">
        <w:rPr>
          <w:lang w:val="en-AU"/>
        </w:rPr>
        <w:t xml:space="preserve"> since the CRIS stage</w:t>
      </w:r>
      <w:r>
        <w:rPr>
          <w:lang w:val="en-AU"/>
        </w:rPr>
        <w:t xml:space="preserve">. </w:t>
      </w:r>
      <w:r w:rsidR="00E9742A">
        <w:rPr>
          <w:lang w:val="en-AU"/>
        </w:rPr>
        <w:t>In particular, cost savings estimates have reduced for longer-term salmonella</w:t>
      </w:r>
      <w:r w:rsidR="009E67A5">
        <w:rPr>
          <w:lang w:val="en-AU"/>
        </w:rPr>
        <w:t xml:space="preserve"> illness</w:t>
      </w:r>
      <w:r w:rsidR="00206509">
        <w:rPr>
          <w:lang w:val="en-AU"/>
        </w:rPr>
        <w:t xml:space="preserve"> from outbreaks</w:t>
      </w:r>
      <w:r w:rsidR="00E9742A">
        <w:rPr>
          <w:lang w:val="en-AU"/>
        </w:rPr>
        <w:t xml:space="preserve">  </w:t>
      </w:r>
      <w:r w:rsidR="00206509">
        <w:rPr>
          <w:lang w:val="en-AU"/>
        </w:rPr>
        <w:t xml:space="preserve">caused by </w:t>
      </w:r>
      <w:r w:rsidR="00E9742A">
        <w:rPr>
          <w:lang w:val="en-AU"/>
        </w:rPr>
        <w:t>leafy vegetables and melons</w:t>
      </w:r>
      <w:r>
        <w:rPr>
          <w:lang w:val="en-AU"/>
        </w:rPr>
        <w:t xml:space="preserve">.  </w:t>
      </w:r>
    </w:p>
    <w:p w14:paraId="4FA4DEC6" w14:textId="6E9EB590" w:rsidR="00060075" w:rsidRDefault="00060075" w:rsidP="005804D7">
      <w:pPr>
        <w:rPr>
          <w:lang w:val="en-AU"/>
        </w:rPr>
      </w:pPr>
    </w:p>
    <w:p w14:paraId="59A848A0" w14:textId="513A01FD" w:rsidR="00060075" w:rsidRPr="004A15DD" w:rsidRDefault="00060075" w:rsidP="005804D7">
      <w:pPr>
        <w:rPr>
          <w:lang w:val="en-AU"/>
        </w:rPr>
      </w:pPr>
      <w:r>
        <w:rPr>
          <w:lang w:val="en-AU"/>
        </w:rPr>
        <w:t>The above annual cost estimates do not include recall costs or market value losses to industry due to loss of reputation</w:t>
      </w:r>
      <w:r w:rsidR="0075590E">
        <w:rPr>
          <w:lang w:val="en-AU"/>
        </w:rPr>
        <w:t xml:space="preserve"> or altered consumer purchasing decisions</w:t>
      </w:r>
      <w:r>
        <w:rPr>
          <w:lang w:val="en-AU"/>
        </w:rPr>
        <w:t>.</w:t>
      </w:r>
      <w:r w:rsidR="007B1247">
        <w:rPr>
          <w:lang w:val="en-AU"/>
        </w:rPr>
        <w:t xml:space="preserve"> Those costs are hard to predict and can be significant.</w:t>
      </w:r>
    </w:p>
    <w:p w14:paraId="3B89D357" w14:textId="77777777" w:rsidR="0065747C" w:rsidRDefault="0065747C" w:rsidP="005804D7"/>
    <w:p w14:paraId="6FC23630" w14:textId="34387335" w:rsidR="000C691C" w:rsidRDefault="00E748AB" w:rsidP="005804D7">
      <w:r w:rsidRPr="00716986">
        <w:t xml:space="preserve">Further details are in </w:t>
      </w:r>
      <w:r w:rsidRPr="0065747C">
        <w:t xml:space="preserve">our </w:t>
      </w:r>
      <w:r w:rsidR="00E7000F">
        <w:t>updated</w:t>
      </w:r>
      <w:r w:rsidRPr="0065747C">
        <w:t xml:space="preserve"> CBA</w:t>
      </w:r>
      <w:r w:rsidR="00060075">
        <w:t xml:space="preserve"> including the CBA’s main body and its Appendix 2</w:t>
      </w:r>
      <w:r w:rsidRPr="0065747C">
        <w:t>.</w:t>
      </w:r>
    </w:p>
    <w:p w14:paraId="6975421F" w14:textId="1DA7ABD9" w:rsidR="00694AC7" w:rsidRPr="006004D6" w:rsidRDefault="00FB6EF1" w:rsidP="00F611C6">
      <w:pPr>
        <w:pStyle w:val="Heading2"/>
        <w:rPr>
          <w:lang w:val="en-AU" w:eastAsia="en-GB"/>
        </w:rPr>
      </w:pPr>
      <w:bookmarkStart w:id="129" w:name="_Toc85635274"/>
      <w:bookmarkStart w:id="130" w:name="_Toc97643831"/>
      <w:bookmarkStart w:id="131" w:name="_Toc97653216"/>
      <w:bookmarkStart w:id="132" w:name="_Toc97739368"/>
      <w:bookmarkStart w:id="133" w:name="_Toc97823785"/>
      <w:bookmarkStart w:id="134" w:name="_Toc97823951"/>
      <w:r>
        <w:rPr>
          <w:lang w:val="en-AU" w:eastAsia="en-GB"/>
        </w:rPr>
        <w:lastRenderedPageBreak/>
        <w:t>4.5</w:t>
      </w:r>
      <w:r>
        <w:rPr>
          <w:lang w:val="en-AU" w:eastAsia="en-GB"/>
        </w:rPr>
        <w:tab/>
      </w:r>
      <w:r w:rsidR="00694AC7" w:rsidRPr="006004D6">
        <w:rPr>
          <w:lang w:val="en-AU" w:eastAsia="en-GB"/>
        </w:rPr>
        <w:t>Costs to i</w:t>
      </w:r>
      <w:r w:rsidR="000C691C" w:rsidRPr="006004D6">
        <w:rPr>
          <w:lang w:val="en-AU" w:eastAsia="en-GB"/>
        </w:rPr>
        <w:t>ndustry</w:t>
      </w:r>
      <w:bookmarkEnd w:id="129"/>
      <w:bookmarkEnd w:id="130"/>
      <w:bookmarkEnd w:id="131"/>
      <w:bookmarkEnd w:id="132"/>
      <w:bookmarkEnd w:id="133"/>
      <w:bookmarkEnd w:id="134"/>
      <w:r w:rsidR="000C691C" w:rsidRPr="006004D6">
        <w:rPr>
          <w:lang w:val="en-AU" w:eastAsia="en-GB"/>
        </w:rPr>
        <w:t xml:space="preserve"> </w:t>
      </w:r>
    </w:p>
    <w:p w14:paraId="0DB3A9FC" w14:textId="4D33070B" w:rsidR="007E4EED" w:rsidRDefault="00496718" w:rsidP="007E4EED">
      <w:pPr>
        <w:rPr>
          <w:rFonts w:eastAsiaTheme="minorHAnsi"/>
          <w:lang w:val="en-AU"/>
        </w:rPr>
      </w:pPr>
      <w:r>
        <w:t>Product r</w:t>
      </w:r>
      <w:r w:rsidR="007E4EED">
        <w:t>ecalls and food safety outbreaks</w:t>
      </w:r>
      <w:r>
        <w:t xml:space="preserve"> cost industry</w:t>
      </w:r>
      <w:r w:rsidR="00E748AB">
        <w:t xml:space="preserve"> in terms of </w:t>
      </w:r>
      <w:r w:rsidR="006857D8">
        <w:t xml:space="preserve">both </w:t>
      </w:r>
      <w:r w:rsidR="00E748AB">
        <w:t>dollars and loss of reputation</w:t>
      </w:r>
      <w:r>
        <w:t xml:space="preserve">. </w:t>
      </w:r>
      <w:r w:rsidR="007E4EED">
        <w:rPr>
          <w:lang w:val="en-AU"/>
        </w:rPr>
        <w:t>Estimating the business costs associated with a food safety incident or outbreak is difficult. The magnitude of the cost to the business directly involved and to the wider industry is driven by a wide range of factors including:</w:t>
      </w:r>
    </w:p>
    <w:p w14:paraId="408CEB29" w14:textId="1F15393C" w:rsidR="007E4EED" w:rsidRDefault="007E4EED" w:rsidP="00DF44D1">
      <w:pPr>
        <w:pStyle w:val="FSBullet1"/>
        <w:rPr>
          <w:lang w:val="en-AU"/>
        </w:rPr>
      </w:pPr>
      <w:r>
        <w:rPr>
          <w:lang w:val="en-AU"/>
        </w:rPr>
        <w:t>whether the food is a luxury or a staple</w:t>
      </w:r>
      <w:r w:rsidR="00A22381">
        <w:rPr>
          <w:lang w:val="en-AU"/>
        </w:rPr>
        <w:t xml:space="preserve"> food</w:t>
      </w:r>
    </w:p>
    <w:p w14:paraId="792649B9" w14:textId="77777777" w:rsidR="007E4EED" w:rsidRDefault="007E4EED" w:rsidP="00DF44D1">
      <w:pPr>
        <w:pStyle w:val="FSBullet1"/>
        <w:rPr>
          <w:lang w:val="en-AU"/>
        </w:rPr>
      </w:pPr>
      <w:r>
        <w:rPr>
          <w:lang w:val="en-AU"/>
        </w:rPr>
        <w:t>how identifiable the product is within the market</w:t>
      </w:r>
    </w:p>
    <w:p w14:paraId="4CE74980" w14:textId="77777777" w:rsidR="007E4EED" w:rsidRDefault="007E4EED" w:rsidP="00DF44D1">
      <w:pPr>
        <w:pStyle w:val="FSBullet1"/>
        <w:rPr>
          <w:lang w:val="en-AU"/>
        </w:rPr>
      </w:pPr>
      <w:r>
        <w:rPr>
          <w:lang w:val="en-AU"/>
        </w:rPr>
        <w:t xml:space="preserve">whether any deaths occur </w:t>
      </w:r>
    </w:p>
    <w:p w14:paraId="5FFB80C0" w14:textId="77777777" w:rsidR="007E4EED" w:rsidRDefault="007E4EED" w:rsidP="00DF44D1">
      <w:pPr>
        <w:pStyle w:val="FSBullet1"/>
      </w:pPr>
      <w:r>
        <w:rPr>
          <w:lang w:val="en-AU"/>
        </w:rPr>
        <w:t>the</w:t>
      </w:r>
      <w:r>
        <w:t xml:space="preserve"> level of media attention that is received.</w:t>
      </w:r>
    </w:p>
    <w:p w14:paraId="5C963058" w14:textId="53DA2A69" w:rsidR="007E4EED" w:rsidRDefault="007E4EED" w:rsidP="0036410A"/>
    <w:p w14:paraId="02F597A0" w14:textId="3D202A0D" w:rsidR="002B0462" w:rsidRDefault="00E748AB" w:rsidP="0036410A">
      <w:r>
        <w:t>As part of o</w:t>
      </w:r>
      <w:r w:rsidR="002031CC" w:rsidRPr="000C691C">
        <w:t xml:space="preserve">ur </w:t>
      </w:r>
      <w:r w:rsidR="005804D7" w:rsidRPr="000C691C">
        <w:t>CBA</w:t>
      </w:r>
      <w:r w:rsidR="006857D8" w:rsidRPr="006857D8">
        <w:t xml:space="preserve"> </w:t>
      </w:r>
      <w:r w:rsidR="006857D8">
        <w:t>of cost to industry</w:t>
      </w:r>
      <w:r>
        <w:t>, we</w:t>
      </w:r>
      <w:r w:rsidR="005804D7" w:rsidRPr="00610B70">
        <w:t xml:space="preserve"> </w:t>
      </w:r>
      <w:r w:rsidR="002031CC" w:rsidRPr="00610B70">
        <w:t>examine</w:t>
      </w:r>
      <w:r w:rsidR="002031CC">
        <w:t>d</w:t>
      </w:r>
      <w:r w:rsidR="002031CC" w:rsidRPr="00610B70">
        <w:t xml:space="preserve"> </w:t>
      </w:r>
      <w:r w:rsidR="005804D7" w:rsidRPr="00610B70">
        <w:t xml:space="preserve">the 2018 outbreak </w:t>
      </w:r>
      <w:r w:rsidRPr="00610B70">
        <w:t xml:space="preserve">associated with </w:t>
      </w:r>
      <w:r w:rsidRPr="00610B70">
        <w:rPr>
          <w:i/>
        </w:rPr>
        <w:t>L</w:t>
      </w:r>
      <w:r w:rsidR="000F1826">
        <w:rPr>
          <w:i/>
        </w:rPr>
        <w:t>. </w:t>
      </w:r>
      <w:r w:rsidRPr="00610B70">
        <w:rPr>
          <w:i/>
        </w:rPr>
        <w:t>monocytogenes</w:t>
      </w:r>
      <w:r w:rsidRPr="00610B70">
        <w:t xml:space="preserve"> </w:t>
      </w:r>
      <w:r>
        <w:t xml:space="preserve">in </w:t>
      </w:r>
      <w:proofErr w:type="spellStart"/>
      <w:r w:rsidRPr="00610B70">
        <w:t>rockmelons</w:t>
      </w:r>
      <w:proofErr w:type="spellEnd"/>
      <w:r w:rsidR="00694AC7">
        <w:t xml:space="preserve">, as </w:t>
      </w:r>
      <w:r w:rsidR="005F1323">
        <w:t xml:space="preserve">a </w:t>
      </w:r>
      <w:r w:rsidR="00694AC7">
        <w:t>case study</w:t>
      </w:r>
      <w:r w:rsidR="005804D7" w:rsidRPr="00610B70">
        <w:t xml:space="preserve">. </w:t>
      </w:r>
      <w:r w:rsidR="002031CC" w:rsidRPr="00610B70">
        <w:t>Th</w:t>
      </w:r>
      <w:r w:rsidR="002031CC">
        <w:t>is</w:t>
      </w:r>
      <w:r w:rsidR="005804D7" w:rsidRPr="00610B70">
        <w:t xml:space="preserve"> </w:t>
      </w:r>
      <w:r w:rsidR="005804D7">
        <w:t xml:space="preserve">outbreak resulted in 22 cases of illness and eight deaths, temporarily closed an export market and impacted the </w:t>
      </w:r>
      <w:r w:rsidR="006857D8">
        <w:t xml:space="preserve">broader </w:t>
      </w:r>
      <w:r w:rsidR="005804D7">
        <w:t xml:space="preserve">domestic market. </w:t>
      </w:r>
    </w:p>
    <w:p w14:paraId="38957058" w14:textId="77777777" w:rsidR="002B0462" w:rsidRDefault="002B0462" w:rsidP="0036410A"/>
    <w:p w14:paraId="03DFCDFA" w14:textId="7E7AF24F" w:rsidR="0036410A" w:rsidRDefault="005804D7" w:rsidP="0036410A">
      <w:r>
        <w:t xml:space="preserve">Losses to growers </w:t>
      </w:r>
      <w:r w:rsidR="00E748AB">
        <w:t xml:space="preserve">(not just the single implicated grower) </w:t>
      </w:r>
      <w:r>
        <w:t xml:space="preserve">were </w:t>
      </w:r>
      <w:r w:rsidR="007613F1">
        <w:t xml:space="preserve">previously estimated by FSANZ at around $15 million, but Melons Australia in its </w:t>
      </w:r>
      <w:r w:rsidR="002B0462">
        <w:t>February 2022</w:t>
      </w:r>
      <w:r w:rsidR="007613F1">
        <w:t xml:space="preserve"> submission put the </w:t>
      </w:r>
      <w:r w:rsidR="000E4C80">
        <w:t xml:space="preserve">total </w:t>
      </w:r>
      <w:r w:rsidR="007613F1">
        <w:t>estimate</w:t>
      </w:r>
      <w:r w:rsidR="00FE2CE6">
        <w:t>d loss</w:t>
      </w:r>
      <w:r w:rsidR="007613F1">
        <w:t xml:space="preserve"> at $100 million.</w:t>
      </w:r>
      <w:r>
        <w:t xml:space="preserve"> </w:t>
      </w:r>
      <w:r>
        <w:rPr>
          <w:bCs/>
        </w:rPr>
        <w:t xml:space="preserve">For </w:t>
      </w:r>
      <w:r w:rsidR="002B0462">
        <w:rPr>
          <w:bCs/>
        </w:rPr>
        <w:t>2018, the</w:t>
      </w:r>
      <w:r w:rsidRPr="00F01472">
        <w:rPr>
          <w:bCs/>
        </w:rPr>
        <w:t xml:space="preserve"> </w:t>
      </w:r>
      <w:r w:rsidR="002B0462">
        <w:rPr>
          <w:bCs/>
        </w:rPr>
        <w:t xml:space="preserve">outbreak </w:t>
      </w:r>
      <w:r w:rsidRPr="00F01472">
        <w:rPr>
          <w:bCs/>
        </w:rPr>
        <w:t>year</w:t>
      </w:r>
      <w:r w:rsidR="002B0462">
        <w:rPr>
          <w:bCs/>
        </w:rPr>
        <w:t>,</w:t>
      </w:r>
      <w:r w:rsidRPr="00F01472">
        <w:rPr>
          <w:bCs/>
        </w:rPr>
        <w:t xml:space="preserve"> </w:t>
      </w:r>
      <w:r>
        <w:rPr>
          <w:bCs/>
        </w:rPr>
        <w:t>there was a 9.8% price decline, 68.9%</w:t>
      </w:r>
      <w:r w:rsidR="00F3609F">
        <w:rPr>
          <w:bCs/>
        </w:rPr>
        <w:t xml:space="preserve"> decline in production</w:t>
      </w:r>
      <w:r>
        <w:rPr>
          <w:bCs/>
        </w:rPr>
        <w:t xml:space="preserve"> volume </w:t>
      </w:r>
      <w:r w:rsidR="00F3609F">
        <w:rPr>
          <w:bCs/>
        </w:rPr>
        <w:t xml:space="preserve">(tonnes) </w:t>
      </w:r>
      <w:r>
        <w:rPr>
          <w:bCs/>
        </w:rPr>
        <w:t xml:space="preserve">and </w:t>
      </w:r>
      <w:r w:rsidR="00F3609F">
        <w:rPr>
          <w:bCs/>
        </w:rPr>
        <w:t xml:space="preserve">a </w:t>
      </w:r>
      <w:r>
        <w:rPr>
          <w:bCs/>
        </w:rPr>
        <w:t>71.9% decline</w:t>
      </w:r>
      <w:r w:rsidR="00F3609F">
        <w:rPr>
          <w:bCs/>
        </w:rPr>
        <w:t xml:space="preserve"> in value</w:t>
      </w:r>
      <w:r w:rsidRPr="00A9630E">
        <w:rPr>
          <w:bCs/>
        </w:rPr>
        <w:t xml:space="preserve"> </w:t>
      </w:r>
      <w:r w:rsidRPr="00F01472">
        <w:rPr>
          <w:bCs/>
        </w:rPr>
        <w:t>compared to 2017</w:t>
      </w:r>
      <w:r>
        <w:rPr>
          <w:bCs/>
        </w:rPr>
        <w:t>.</w:t>
      </w:r>
      <w:r w:rsidRPr="00F01472">
        <w:t xml:space="preserve"> </w:t>
      </w:r>
      <w:r w:rsidR="00694AC7">
        <w:t>The market recovered over time</w:t>
      </w:r>
      <w:r w:rsidR="00A22381">
        <w:t>,</w:t>
      </w:r>
      <w:r w:rsidR="00694AC7">
        <w:t xml:space="preserve"> after further costs were incurred</w:t>
      </w:r>
      <w:r w:rsidR="006004D6">
        <w:t>.</w:t>
      </w:r>
      <w:r w:rsidR="0025172E">
        <w:t xml:space="preserve"> That also led to the melons industry implementing significant </w:t>
      </w:r>
      <w:r w:rsidR="009A4DE2">
        <w:t>extra safety measures since 2018</w:t>
      </w:r>
      <w:r w:rsidR="009860C3">
        <w:t>, including best practice guidance and a food safety toolbox</w:t>
      </w:r>
      <w:r w:rsidR="0025172E">
        <w:t>.</w:t>
      </w:r>
      <w:r w:rsidR="006004D6">
        <w:t xml:space="preserve"> </w:t>
      </w:r>
      <w:r w:rsidR="006004D6" w:rsidRPr="009A4DE2">
        <w:t xml:space="preserve">Further </w:t>
      </w:r>
      <w:r w:rsidR="002E5B11" w:rsidRPr="009A4DE2">
        <w:t>details are</w:t>
      </w:r>
      <w:r w:rsidR="006004D6" w:rsidRPr="009A4DE2">
        <w:t xml:space="preserve"> provided</w:t>
      </w:r>
      <w:r w:rsidRPr="009A4DE2">
        <w:t xml:space="preserve"> </w:t>
      </w:r>
      <w:r w:rsidR="00716986" w:rsidRPr="009A4DE2">
        <w:t xml:space="preserve">in </w:t>
      </w:r>
      <w:r w:rsidRPr="009A4DE2">
        <w:t xml:space="preserve">Appendix </w:t>
      </w:r>
      <w:r w:rsidR="00490390" w:rsidRPr="009A4DE2">
        <w:t>5</w:t>
      </w:r>
      <w:r w:rsidRPr="009A4DE2">
        <w:t xml:space="preserve"> of the CBA.</w:t>
      </w:r>
    </w:p>
    <w:p w14:paraId="526C8D0B" w14:textId="1C383A3D" w:rsidR="00534049" w:rsidRDefault="00FB6EF1" w:rsidP="00F611C6">
      <w:pPr>
        <w:pStyle w:val="Heading2"/>
        <w:rPr>
          <w:lang w:val="en-AU" w:eastAsia="en-GB"/>
        </w:rPr>
      </w:pPr>
      <w:bookmarkStart w:id="135" w:name="_Toc85635275"/>
      <w:bookmarkStart w:id="136" w:name="_Toc97643832"/>
      <w:bookmarkStart w:id="137" w:name="_Toc97653217"/>
      <w:bookmarkStart w:id="138" w:name="_Toc97739369"/>
      <w:bookmarkStart w:id="139" w:name="_Toc97823786"/>
      <w:bookmarkStart w:id="140" w:name="_Toc97823952"/>
      <w:r>
        <w:rPr>
          <w:lang w:val="en-AU" w:eastAsia="en-GB"/>
        </w:rPr>
        <w:t>4.6</w:t>
      </w:r>
      <w:r>
        <w:rPr>
          <w:lang w:val="en-AU" w:eastAsia="en-GB"/>
        </w:rPr>
        <w:tab/>
      </w:r>
      <w:r w:rsidR="00534049" w:rsidRPr="0045780D">
        <w:rPr>
          <w:lang w:val="en-AU" w:eastAsia="en-GB"/>
        </w:rPr>
        <w:t>Microbiological hazards</w:t>
      </w:r>
      <w:bookmarkEnd w:id="135"/>
      <w:bookmarkEnd w:id="136"/>
      <w:bookmarkEnd w:id="137"/>
      <w:bookmarkEnd w:id="138"/>
      <w:bookmarkEnd w:id="139"/>
      <w:bookmarkEnd w:id="140"/>
      <w:r w:rsidR="00534049" w:rsidRPr="0045780D">
        <w:rPr>
          <w:lang w:val="en-AU" w:eastAsia="en-GB"/>
        </w:rPr>
        <w:t xml:space="preserve"> </w:t>
      </w:r>
    </w:p>
    <w:p w14:paraId="2F4E6FAD" w14:textId="0BAC22CA" w:rsidR="00534049" w:rsidRPr="00865632" w:rsidRDefault="0045780D" w:rsidP="0036410A">
      <w:pPr>
        <w:rPr>
          <w:lang w:eastAsia="en-AU" w:bidi="ar-SA"/>
        </w:rPr>
      </w:pPr>
      <w:r>
        <w:rPr>
          <w:lang w:eastAsia="en-AU" w:bidi="ar-SA"/>
        </w:rPr>
        <w:t xml:space="preserve">FSANZ has </w:t>
      </w:r>
      <w:r w:rsidR="006857D8">
        <w:rPr>
          <w:lang w:eastAsia="en-AU" w:bidi="ar-SA"/>
        </w:rPr>
        <w:t>investigated</w:t>
      </w:r>
      <w:r>
        <w:rPr>
          <w:lang w:eastAsia="en-AU" w:bidi="ar-SA"/>
        </w:rPr>
        <w:t xml:space="preserve"> the </w:t>
      </w:r>
      <w:r w:rsidR="00865632">
        <w:rPr>
          <w:lang w:eastAsia="en-AU" w:bidi="ar-SA"/>
        </w:rPr>
        <w:t xml:space="preserve">microbiological </w:t>
      </w:r>
      <w:r>
        <w:rPr>
          <w:lang w:eastAsia="en-AU" w:bidi="ar-SA"/>
        </w:rPr>
        <w:t xml:space="preserve">hazards </w:t>
      </w:r>
      <w:r w:rsidR="006857D8">
        <w:rPr>
          <w:lang w:eastAsia="en-AU" w:bidi="ar-SA"/>
        </w:rPr>
        <w:t>that may occur during</w:t>
      </w:r>
      <w:r>
        <w:rPr>
          <w:lang w:eastAsia="en-AU" w:bidi="ar-SA"/>
        </w:rPr>
        <w:t xml:space="preserve"> primary production and processing for berries, leafy vegetables and melons</w:t>
      </w:r>
      <w:r w:rsidRPr="00716986">
        <w:rPr>
          <w:lang w:eastAsia="en-AU" w:bidi="ar-SA"/>
        </w:rPr>
        <w:t>.</w:t>
      </w:r>
      <w:r w:rsidR="00865632" w:rsidRPr="00716986">
        <w:rPr>
          <w:lang w:eastAsia="en-AU" w:bidi="ar-SA"/>
        </w:rPr>
        <w:t xml:space="preserve"> </w:t>
      </w:r>
      <w:r w:rsidR="00534049" w:rsidRPr="00716986">
        <w:rPr>
          <w:rFonts w:cs="Arial"/>
        </w:rPr>
        <w:t>Table</w:t>
      </w:r>
      <w:r w:rsidR="00534049" w:rsidRPr="00716986">
        <w:rPr>
          <w:rFonts w:cs="Arial"/>
          <w:color w:val="000000" w:themeColor="text1"/>
        </w:rPr>
        <w:t xml:space="preserve"> </w:t>
      </w:r>
      <w:r w:rsidRPr="00716986">
        <w:rPr>
          <w:rFonts w:cs="Arial"/>
          <w:color w:val="000000" w:themeColor="text1"/>
        </w:rPr>
        <w:t>2</w:t>
      </w:r>
      <w:r w:rsidR="00534049" w:rsidRPr="00716986">
        <w:rPr>
          <w:rFonts w:cs="Arial"/>
          <w:color w:val="000000" w:themeColor="text1"/>
        </w:rPr>
        <w:t xml:space="preserve"> lists</w:t>
      </w:r>
      <w:r w:rsidR="00534049" w:rsidRPr="0045780D">
        <w:rPr>
          <w:rFonts w:cs="Arial"/>
          <w:color w:val="000000" w:themeColor="text1"/>
        </w:rPr>
        <w:t xml:space="preserve"> </w:t>
      </w:r>
      <w:r w:rsidR="00534049">
        <w:rPr>
          <w:rFonts w:cs="Arial"/>
        </w:rPr>
        <w:t xml:space="preserve">the main microbiological hazards identified as contributing to </w:t>
      </w:r>
      <w:r w:rsidR="00F33D53">
        <w:rPr>
          <w:rFonts w:cs="Arial"/>
        </w:rPr>
        <w:t>illness in Australia</w:t>
      </w:r>
      <w:r w:rsidR="00534049">
        <w:rPr>
          <w:rFonts w:cs="Arial"/>
        </w:rPr>
        <w:t>.</w:t>
      </w:r>
      <w:r w:rsidR="00C1692A">
        <w:rPr>
          <w:rFonts w:cs="Arial"/>
        </w:rPr>
        <w:t xml:space="preserve"> </w:t>
      </w:r>
      <w:r w:rsidR="00800731">
        <w:rPr>
          <w:rFonts w:cs="Arial"/>
        </w:rPr>
        <w:t xml:space="preserve">We considered what microorganisms are in the Australian environment, their prevalence, and their ability to survive and grow in each type of produce. We also considered Australian consumption </w:t>
      </w:r>
      <w:r w:rsidR="00E748AB">
        <w:rPr>
          <w:rFonts w:cs="Arial"/>
        </w:rPr>
        <w:t xml:space="preserve">patterns </w:t>
      </w:r>
      <w:r w:rsidR="00800731">
        <w:rPr>
          <w:rFonts w:cs="Arial"/>
        </w:rPr>
        <w:t xml:space="preserve">and the likelihood of the </w:t>
      </w:r>
      <w:r w:rsidR="00E748AB">
        <w:rPr>
          <w:rFonts w:cs="Arial"/>
        </w:rPr>
        <w:t xml:space="preserve">identified </w:t>
      </w:r>
      <w:r w:rsidR="00800731">
        <w:rPr>
          <w:rFonts w:cs="Arial"/>
        </w:rPr>
        <w:t>microorganisms causing foodborne illness</w:t>
      </w:r>
      <w:r w:rsidR="00800731" w:rsidRPr="00E024DD">
        <w:rPr>
          <w:rFonts w:cs="Arial"/>
        </w:rPr>
        <w:t xml:space="preserve">. </w:t>
      </w:r>
      <w:r w:rsidR="00431775" w:rsidRPr="00E024DD">
        <w:rPr>
          <w:rFonts w:cs="Arial"/>
        </w:rPr>
        <w:t>F</w:t>
      </w:r>
      <w:r w:rsidR="00A22381" w:rsidRPr="00E024DD">
        <w:rPr>
          <w:rFonts w:cs="Arial"/>
        </w:rPr>
        <w:t>or f</w:t>
      </w:r>
      <w:r w:rsidR="00C1692A" w:rsidRPr="00E024DD">
        <w:rPr>
          <w:rFonts w:cs="Arial"/>
        </w:rPr>
        <w:t xml:space="preserve">urther details </w:t>
      </w:r>
      <w:r w:rsidR="00A22381" w:rsidRPr="00E024DD">
        <w:rPr>
          <w:rFonts w:cs="Arial"/>
        </w:rPr>
        <w:t>on</w:t>
      </w:r>
      <w:r w:rsidR="00C1692A" w:rsidRPr="00E024DD">
        <w:rPr>
          <w:rFonts w:cs="Arial"/>
        </w:rPr>
        <w:t xml:space="preserve"> methodology </w:t>
      </w:r>
      <w:r w:rsidR="00431775" w:rsidRPr="00E024DD">
        <w:rPr>
          <w:rFonts w:cs="Arial"/>
        </w:rPr>
        <w:t>and conclusions</w:t>
      </w:r>
      <w:r w:rsidR="00A22381" w:rsidRPr="00E024DD">
        <w:rPr>
          <w:rFonts w:cs="Arial"/>
        </w:rPr>
        <w:t>,</w:t>
      </w:r>
      <w:r w:rsidR="00431775" w:rsidRPr="00E024DD">
        <w:rPr>
          <w:rFonts w:cs="Arial"/>
        </w:rPr>
        <w:t xml:space="preserve"> </w:t>
      </w:r>
      <w:r w:rsidR="00A22381" w:rsidRPr="00E024DD">
        <w:rPr>
          <w:rFonts w:cs="Arial"/>
        </w:rPr>
        <w:t>see</w:t>
      </w:r>
      <w:r w:rsidR="00C1692A" w:rsidRPr="00E024DD">
        <w:rPr>
          <w:rFonts w:cs="Arial"/>
        </w:rPr>
        <w:t xml:space="preserve"> our </w:t>
      </w:r>
      <w:hyperlink r:id="rId26" w:history="1">
        <w:r w:rsidR="00C1692A" w:rsidRPr="00A70E0C">
          <w:rPr>
            <w:rStyle w:val="Hyperlink"/>
          </w:rPr>
          <w:t>microbiological assessment</w:t>
        </w:r>
      </w:hyperlink>
      <w:r w:rsidR="00E024DD" w:rsidRPr="00E024DD">
        <w:t>.</w:t>
      </w:r>
    </w:p>
    <w:p w14:paraId="6F1F1557" w14:textId="77777777" w:rsidR="00534049" w:rsidRDefault="00534049" w:rsidP="00534049">
      <w:pPr>
        <w:rPr>
          <w:rFonts w:cs="Arial"/>
        </w:rPr>
      </w:pPr>
    </w:p>
    <w:p w14:paraId="16828E1D" w14:textId="53A84B66" w:rsidR="00534049" w:rsidRPr="0001618C" w:rsidRDefault="00534049" w:rsidP="00534049">
      <w:pPr>
        <w:rPr>
          <w:b/>
        </w:rPr>
      </w:pPr>
      <w:r w:rsidRPr="00DF44D1">
        <w:rPr>
          <w:b/>
        </w:rPr>
        <w:t xml:space="preserve">Table </w:t>
      </w:r>
      <w:r w:rsidR="0045780D" w:rsidRPr="00DF44D1">
        <w:rPr>
          <w:b/>
          <w:color w:val="000000" w:themeColor="text1"/>
        </w:rPr>
        <w:t>2</w:t>
      </w:r>
      <w:r w:rsidR="00DF44D1" w:rsidRPr="00DF44D1">
        <w:rPr>
          <w:b/>
          <w:color w:val="000000" w:themeColor="text1"/>
        </w:rPr>
        <w:t>.</w:t>
      </w:r>
      <w:r w:rsidRPr="00DF44D1">
        <w:rPr>
          <w:b/>
        </w:rPr>
        <w:t xml:space="preserve"> </w:t>
      </w:r>
      <w:r w:rsidR="00496718" w:rsidRPr="00DF44D1">
        <w:rPr>
          <w:b/>
        </w:rPr>
        <w:t>Microbiological h</w:t>
      </w:r>
      <w:r w:rsidRPr="00DF44D1">
        <w:rPr>
          <w:b/>
        </w:rPr>
        <w:t>azards identified in the Australian context</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34049" w14:paraId="699D4BFB" w14:textId="77777777" w:rsidTr="00903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8DB3E2" w:themeFill="text2" w:themeFillTint="66"/>
            <w:hideMark/>
          </w:tcPr>
          <w:p w14:paraId="2992AA68" w14:textId="77777777" w:rsidR="00534049" w:rsidRPr="00575421" w:rsidRDefault="00534049" w:rsidP="00A120BD">
            <w:pPr>
              <w:rPr>
                <w:color w:val="auto"/>
              </w:rPr>
            </w:pPr>
            <w:r w:rsidRPr="00575421">
              <w:rPr>
                <w:color w:val="auto"/>
              </w:rPr>
              <w:t>Commodity</w:t>
            </w:r>
          </w:p>
        </w:tc>
        <w:tc>
          <w:tcPr>
            <w:tcW w:w="5954" w:type="dxa"/>
            <w:shd w:val="clear" w:color="auto" w:fill="8DB3E2" w:themeFill="text2" w:themeFillTint="66"/>
            <w:hideMark/>
          </w:tcPr>
          <w:p w14:paraId="7AA01046" w14:textId="77777777" w:rsidR="00534049" w:rsidRPr="00575421" w:rsidRDefault="00534049" w:rsidP="00A120BD">
            <w:pPr>
              <w:cnfStyle w:val="100000000000" w:firstRow="1" w:lastRow="0" w:firstColumn="0" w:lastColumn="0" w:oddVBand="0" w:evenVBand="0" w:oddHBand="0" w:evenHBand="0" w:firstRowFirstColumn="0" w:firstRowLastColumn="0" w:lastRowFirstColumn="0" w:lastRowLastColumn="0"/>
              <w:rPr>
                <w:color w:val="auto"/>
              </w:rPr>
            </w:pPr>
            <w:r w:rsidRPr="00575421">
              <w:rPr>
                <w:color w:val="auto"/>
              </w:rPr>
              <w:t>Hazard</w:t>
            </w:r>
          </w:p>
        </w:tc>
      </w:tr>
      <w:tr w:rsidR="00534049" w14:paraId="5CF2EEE7"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5278D471" w14:textId="77777777" w:rsidR="00534049" w:rsidRDefault="00534049" w:rsidP="00A120BD">
            <w:r>
              <w:rPr>
                <w:b w:val="0"/>
              </w:rPr>
              <w:t>Berries</w:t>
            </w:r>
          </w:p>
        </w:tc>
        <w:tc>
          <w:tcPr>
            <w:tcW w:w="5954" w:type="dxa"/>
            <w:shd w:val="clear" w:color="auto" w:fill="auto"/>
            <w:hideMark/>
          </w:tcPr>
          <w:p w14:paraId="008C657E" w14:textId="4EBCFD47" w:rsidR="00F26ABC" w:rsidRPr="00F26ABC" w:rsidRDefault="00F26ABC" w:rsidP="00F26ABC">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norovirus (</w:t>
            </w:r>
            <w:proofErr w:type="spellStart"/>
            <w:r>
              <w:t>NoV</w:t>
            </w:r>
            <w:proofErr w:type="spellEnd"/>
            <w:r>
              <w:t>)</w:t>
            </w:r>
          </w:p>
          <w:p w14:paraId="007AE159" w14:textId="01ADB885" w:rsidR="00534049" w:rsidRDefault="00E748AB"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proofErr w:type="spellStart"/>
            <w:r>
              <w:t>s</w:t>
            </w:r>
            <w:r w:rsidR="00534049">
              <w:t>higa</w:t>
            </w:r>
            <w:proofErr w:type="spellEnd"/>
            <w:r w:rsidR="00534049">
              <w:t xml:space="preserve"> toxin-producing </w:t>
            </w:r>
            <w:r w:rsidR="00534049">
              <w:rPr>
                <w:i/>
              </w:rPr>
              <w:t xml:space="preserve">Escherichia coli </w:t>
            </w:r>
            <w:r w:rsidR="00534049">
              <w:t>(STEC)</w:t>
            </w:r>
          </w:p>
          <w:p w14:paraId="4AB6AC0B" w14:textId="5CAD365A" w:rsidR="00534049" w:rsidRDefault="00E1550E" w:rsidP="00402B23">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H</w:t>
            </w:r>
            <w:r w:rsidR="00534049">
              <w:t xml:space="preserve">epatitis A virus </w:t>
            </w:r>
            <w:r w:rsidR="00586D47">
              <w:t xml:space="preserve"> – imported berries only</w:t>
            </w:r>
          </w:p>
        </w:tc>
      </w:tr>
      <w:tr w:rsidR="00534049" w14:paraId="1FA155A5" w14:textId="77777777" w:rsidTr="00716986">
        <w:tc>
          <w:tcPr>
            <w:cnfStyle w:val="001000000000" w:firstRow="0" w:lastRow="0" w:firstColumn="1" w:lastColumn="0" w:oddVBand="0" w:evenVBand="0" w:oddHBand="0" w:evenHBand="0" w:firstRowFirstColumn="0" w:firstRowLastColumn="0" w:lastRowFirstColumn="0" w:lastRowLastColumn="0"/>
            <w:tcW w:w="2972" w:type="dxa"/>
            <w:hideMark/>
          </w:tcPr>
          <w:p w14:paraId="6EC40AC0" w14:textId="77777777" w:rsidR="00534049" w:rsidRDefault="00534049" w:rsidP="00A120BD">
            <w:r>
              <w:rPr>
                <w:b w:val="0"/>
              </w:rPr>
              <w:t>Leafy vegetables</w:t>
            </w:r>
          </w:p>
        </w:tc>
        <w:tc>
          <w:tcPr>
            <w:tcW w:w="5954" w:type="dxa"/>
            <w:hideMark/>
          </w:tcPr>
          <w:p w14:paraId="71DD6B19"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 xml:space="preserve">non-typhoidal </w:t>
            </w:r>
            <w:r w:rsidRPr="00EE7724">
              <w:rPr>
                <w:i/>
              </w:rPr>
              <w:t>Salmonella</w:t>
            </w:r>
            <w:r w:rsidRPr="00EE7724">
              <w:t xml:space="preserve"> spp. (</w:t>
            </w:r>
            <w:r w:rsidRPr="00EE7724">
              <w:rPr>
                <w:i/>
              </w:rPr>
              <w:t>Salmonella</w:t>
            </w:r>
            <w:r w:rsidRPr="00EE7724">
              <w:t>)</w:t>
            </w:r>
          </w:p>
          <w:p w14:paraId="6F88CFA2" w14:textId="77777777" w:rsidR="00534049" w:rsidRPr="00F26ABC"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rPr>
                <w:i/>
              </w:rPr>
              <w:t>L</w:t>
            </w:r>
            <w:r w:rsidR="00C778AD">
              <w:rPr>
                <w:i/>
              </w:rPr>
              <w:t>isteria</w:t>
            </w:r>
            <w:r w:rsidRPr="00EE7724">
              <w:rPr>
                <w:i/>
              </w:rPr>
              <w:t> monocytogenes</w:t>
            </w:r>
          </w:p>
          <w:p w14:paraId="1D068ECF" w14:textId="320314AC" w:rsidR="00F26ABC" w:rsidRPr="00F26ABC" w:rsidRDefault="00F26ABC" w:rsidP="00F26ABC">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STEC</w:t>
            </w:r>
          </w:p>
        </w:tc>
      </w:tr>
      <w:tr w:rsidR="00534049" w14:paraId="263B6241" w14:textId="77777777" w:rsidTr="00C7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hideMark/>
          </w:tcPr>
          <w:p w14:paraId="0B5F687F" w14:textId="77777777" w:rsidR="00534049" w:rsidRDefault="00534049" w:rsidP="00A120BD">
            <w:r>
              <w:rPr>
                <w:b w:val="0"/>
              </w:rPr>
              <w:t>Melons</w:t>
            </w:r>
          </w:p>
        </w:tc>
        <w:tc>
          <w:tcPr>
            <w:tcW w:w="5954" w:type="dxa"/>
            <w:tcBorders>
              <w:bottom w:val="single" w:sz="4" w:space="0" w:color="auto"/>
            </w:tcBorders>
            <w:shd w:val="clear" w:color="auto" w:fill="auto"/>
            <w:hideMark/>
          </w:tcPr>
          <w:p w14:paraId="01FAA7D7" w14:textId="54E53D77" w:rsidR="00534049" w:rsidRPr="00F26ABC"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rPr>
                <w:i/>
              </w:rPr>
              <w:t>L</w:t>
            </w:r>
            <w:r w:rsidR="000F1826">
              <w:rPr>
                <w:i/>
              </w:rPr>
              <w:t>.</w:t>
            </w:r>
            <w:r w:rsidRPr="00EE7724">
              <w:rPr>
                <w:i/>
              </w:rPr>
              <w:t xml:space="preserve"> monocytogenes</w:t>
            </w:r>
          </w:p>
          <w:p w14:paraId="211B0FD7" w14:textId="4A30132E" w:rsidR="00F26ABC" w:rsidRPr="00F26ABC" w:rsidRDefault="00F26ABC" w:rsidP="00F26ABC">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t xml:space="preserve">non-typhoidal </w:t>
            </w:r>
            <w:r w:rsidRPr="00EE7724">
              <w:rPr>
                <w:i/>
              </w:rPr>
              <w:t>Salmonella</w:t>
            </w:r>
            <w:r w:rsidRPr="00EE7724">
              <w:t xml:space="preserve"> spp.</w:t>
            </w:r>
          </w:p>
        </w:tc>
      </w:tr>
    </w:tbl>
    <w:p w14:paraId="4F352577" w14:textId="4011DD3F" w:rsidR="00534049" w:rsidRPr="00865632" w:rsidRDefault="00FB6EF1" w:rsidP="00F611C6">
      <w:pPr>
        <w:pStyle w:val="Heading2"/>
        <w:rPr>
          <w:lang w:val="en-AU" w:eastAsia="en-GB"/>
        </w:rPr>
      </w:pPr>
      <w:bookmarkStart w:id="141" w:name="_Toc85635276"/>
      <w:bookmarkStart w:id="142" w:name="_Toc97643833"/>
      <w:bookmarkStart w:id="143" w:name="_Toc97653218"/>
      <w:bookmarkStart w:id="144" w:name="_Toc97739370"/>
      <w:bookmarkStart w:id="145" w:name="_Toc97823787"/>
      <w:bookmarkStart w:id="146" w:name="_Toc97823953"/>
      <w:r>
        <w:rPr>
          <w:lang w:val="en-AU" w:eastAsia="en-GB"/>
        </w:rPr>
        <w:t>4.7</w:t>
      </w:r>
      <w:r>
        <w:rPr>
          <w:lang w:val="en-AU" w:eastAsia="en-GB"/>
        </w:rPr>
        <w:tab/>
      </w:r>
      <w:r w:rsidR="00887295" w:rsidRPr="00865632">
        <w:rPr>
          <w:lang w:val="en-AU" w:eastAsia="en-GB"/>
        </w:rPr>
        <w:t>Production risk factors</w:t>
      </w:r>
      <w:bookmarkEnd w:id="141"/>
      <w:bookmarkEnd w:id="142"/>
      <w:bookmarkEnd w:id="143"/>
      <w:bookmarkEnd w:id="144"/>
      <w:bookmarkEnd w:id="145"/>
      <w:bookmarkEnd w:id="146"/>
    </w:p>
    <w:p w14:paraId="615C3EBF" w14:textId="3140C7D4" w:rsidR="001B710D" w:rsidRPr="00F77D3D" w:rsidRDefault="001B710D" w:rsidP="001B710D">
      <w:r w:rsidRPr="00F77D3D">
        <w:t>To understand how products can become contaminated</w:t>
      </w:r>
      <w:r w:rsidR="00431775">
        <w:t xml:space="preserve"> by the identified microorganisms</w:t>
      </w:r>
      <w:r w:rsidRPr="00F77D3D">
        <w:t>, we looked at key steps in growing, harvesting and on-farm processing</w:t>
      </w:r>
      <w:r w:rsidR="00800731">
        <w:t xml:space="preserve"> of berries, leafy vegetables and melons</w:t>
      </w:r>
      <w:r w:rsidRPr="00F77D3D">
        <w:t xml:space="preserve">. </w:t>
      </w:r>
      <w:r w:rsidR="00800731">
        <w:t xml:space="preserve">This included consideration of what the products </w:t>
      </w:r>
      <w:r w:rsidR="0019045D">
        <w:t>may be</w:t>
      </w:r>
      <w:r w:rsidR="00800731">
        <w:t xml:space="preserve"> exposed to in growing and pack</w:t>
      </w:r>
      <w:r w:rsidR="0019045D">
        <w:t xml:space="preserve"> </w:t>
      </w:r>
      <w:r w:rsidR="00800731">
        <w:t xml:space="preserve">house environments, and during handling. </w:t>
      </w:r>
      <w:r w:rsidR="00E748AB">
        <w:t>We concluded that c</w:t>
      </w:r>
      <w:r w:rsidRPr="00F77D3D">
        <w:t>ontamination is most likely caused by:</w:t>
      </w:r>
      <w:r w:rsidR="00800731">
        <w:t xml:space="preserve"> </w:t>
      </w:r>
    </w:p>
    <w:p w14:paraId="2AE007EB" w14:textId="77777777" w:rsidR="001B710D" w:rsidRPr="00F77D3D" w:rsidRDefault="001B710D" w:rsidP="00DF44D1">
      <w:pPr>
        <w:pStyle w:val="FSBullet1"/>
      </w:pPr>
      <w:r w:rsidRPr="00F77D3D">
        <w:lastRenderedPageBreak/>
        <w:t>wildlife or domestic animals in or near fields where the crops are growing</w:t>
      </w:r>
    </w:p>
    <w:p w14:paraId="6F9C96BD" w14:textId="596BE1F5" w:rsidR="001B710D" w:rsidRPr="00F77D3D" w:rsidRDefault="001B710D" w:rsidP="00DF44D1">
      <w:pPr>
        <w:pStyle w:val="FSBullet1"/>
      </w:pPr>
      <w:r w:rsidRPr="00F77D3D">
        <w:t>location of growing areas near or on land used for livestock production or as a wildlife habitat</w:t>
      </w:r>
      <w:r w:rsidR="00A22381">
        <w:t>,</w:t>
      </w:r>
      <w:r w:rsidRPr="00F77D3D">
        <w:t xml:space="preserve"> or </w:t>
      </w:r>
      <w:r w:rsidR="00A22381">
        <w:t xml:space="preserve">areas </w:t>
      </w:r>
      <w:r w:rsidRPr="00F77D3D">
        <w:t>exposed to urban or industrial waste</w:t>
      </w:r>
    </w:p>
    <w:p w14:paraId="654FBEBA" w14:textId="79284145" w:rsidR="001B710D" w:rsidRDefault="001B710D" w:rsidP="00DF44D1">
      <w:pPr>
        <w:pStyle w:val="FSBullet1"/>
      </w:pPr>
      <w:r w:rsidRPr="00F77D3D">
        <w:t>flooding or other extreme weather events</w:t>
      </w:r>
    </w:p>
    <w:p w14:paraId="3F54DF54" w14:textId="6A8A9D1E" w:rsidR="001B710D" w:rsidRPr="00F77D3D" w:rsidRDefault="001B710D" w:rsidP="00DF44D1">
      <w:pPr>
        <w:pStyle w:val="FSBullet1"/>
      </w:pPr>
      <w:r w:rsidRPr="00F77D3D">
        <w:t>application of untreated or insufficiently treated manure or composts</w:t>
      </w:r>
    </w:p>
    <w:p w14:paraId="360879B9" w14:textId="2D3AFA46" w:rsidR="001B710D" w:rsidRPr="00F77D3D" w:rsidRDefault="001B710D" w:rsidP="00DF44D1">
      <w:pPr>
        <w:pStyle w:val="FSBullet1"/>
      </w:pPr>
      <w:r w:rsidRPr="00F77D3D">
        <w:t>use of contaminated water for irrigation, application of agricultural chemicals and/or postharvest washing and sanitising of products</w:t>
      </w:r>
    </w:p>
    <w:p w14:paraId="7E3290BC" w14:textId="77777777" w:rsidR="001B710D" w:rsidRPr="00F77D3D" w:rsidRDefault="001B710D" w:rsidP="00DF44D1">
      <w:pPr>
        <w:pStyle w:val="FSBullet1"/>
      </w:pPr>
      <w:r w:rsidRPr="00F77D3D">
        <w:t>poor postharvest washing and sanitisation practices (for leafy vegetables and melons)</w:t>
      </w:r>
    </w:p>
    <w:p w14:paraId="2CCDD821" w14:textId="77777777" w:rsidR="00004512" w:rsidRDefault="001B710D" w:rsidP="00DF44D1">
      <w:pPr>
        <w:pStyle w:val="FSBullet1"/>
      </w:pPr>
      <w:r w:rsidRPr="00F77D3D">
        <w:t>poor worker and</w:t>
      </w:r>
      <w:r>
        <w:t xml:space="preserve"> equipment hygiene, both at harvest and postharvest.</w:t>
      </w:r>
    </w:p>
    <w:p w14:paraId="34F0BE44" w14:textId="77777777" w:rsidR="00F33D53" w:rsidRDefault="00F33D53" w:rsidP="00004512">
      <w:pPr>
        <w:widowControl/>
        <w:ind w:left="284"/>
        <w:rPr>
          <w:rFonts w:cs="Arial"/>
        </w:rPr>
      </w:pPr>
    </w:p>
    <w:p w14:paraId="573B113B" w14:textId="4D7680F4" w:rsidR="00534049" w:rsidRDefault="00F33D53" w:rsidP="00E01D35">
      <w:pPr>
        <w:widowControl/>
      </w:pPr>
      <w:r>
        <w:rPr>
          <w:rFonts w:cs="Arial"/>
        </w:rPr>
        <w:t xml:space="preserve">Production risk factors, and the level of risk they pose, </w:t>
      </w:r>
      <w:r w:rsidRPr="007D18C6">
        <w:rPr>
          <w:rFonts w:cs="Arial"/>
        </w:rPr>
        <w:t xml:space="preserve">varied between commodities (berries, leafy vegetables and </w:t>
      </w:r>
      <w:r w:rsidR="00A22381">
        <w:rPr>
          <w:rFonts w:cs="Arial"/>
        </w:rPr>
        <w:t xml:space="preserve">melons), which </w:t>
      </w:r>
      <w:r w:rsidRPr="002447A1">
        <w:rPr>
          <w:rFonts w:cs="Arial"/>
        </w:rPr>
        <w:t>we discuss later</w:t>
      </w:r>
      <w:r w:rsidRPr="00E024DD">
        <w:rPr>
          <w:rFonts w:cs="Arial"/>
        </w:rPr>
        <w:t xml:space="preserve">. </w:t>
      </w:r>
      <w:r w:rsidR="00431775" w:rsidRPr="00E024DD">
        <w:rPr>
          <w:rFonts w:cs="Arial"/>
        </w:rPr>
        <w:t xml:space="preserve">Further details of our </w:t>
      </w:r>
      <w:r w:rsidR="00431775" w:rsidRPr="00E024DD">
        <w:t xml:space="preserve">microbiological assessment </w:t>
      </w:r>
      <w:r w:rsidR="0019045D" w:rsidRPr="00E024DD">
        <w:t xml:space="preserve">are </w:t>
      </w:r>
      <w:r w:rsidR="00431775" w:rsidRPr="00E024DD">
        <w:t xml:space="preserve">in </w:t>
      </w:r>
      <w:r w:rsidR="00E024DD" w:rsidRPr="00E024DD">
        <w:t xml:space="preserve">another </w:t>
      </w:r>
      <w:r w:rsidR="00D14072" w:rsidRPr="00E024DD">
        <w:t>supporting d</w:t>
      </w:r>
      <w:r w:rsidR="00E024DD" w:rsidRPr="00E024DD">
        <w:t>ocument.</w:t>
      </w:r>
    </w:p>
    <w:p w14:paraId="05EAD8A6" w14:textId="06039B31" w:rsidR="005804D7" w:rsidRPr="001A5C72" w:rsidRDefault="00FB6EF1" w:rsidP="00F611C6">
      <w:pPr>
        <w:pStyle w:val="Heading2"/>
        <w:rPr>
          <w:lang w:val="en-AU" w:eastAsia="en-GB"/>
        </w:rPr>
      </w:pPr>
      <w:bookmarkStart w:id="147" w:name="_Toc85635277"/>
      <w:bookmarkStart w:id="148" w:name="_Toc97653219"/>
      <w:bookmarkStart w:id="149" w:name="_Toc97739371"/>
      <w:bookmarkStart w:id="150" w:name="_Toc97823788"/>
      <w:bookmarkStart w:id="151" w:name="_Toc97823954"/>
      <w:bookmarkStart w:id="152" w:name="_Toc97643834"/>
      <w:r>
        <w:rPr>
          <w:lang w:val="en-AU" w:eastAsia="en-GB"/>
        </w:rPr>
        <w:t>4.8</w:t>
      </w:r>
      <w:r w:rsidR="00654596">
        <w:rPr>
          <w:lang w:val="en-AU" w:eastAsia="en-GB"/>
        </w:rPr>
        <w:tab/>
      </w:r>
      <w:r w:rsidR="008E4912">
        <w:rPr>
          <w:lang w:val="en-AU" w:eastAsia="en-GB"/>
        </w:rPr>
        <w:t>N</w:t>
      </w:r>
      <w:r w:rsidR="00694AC7" w:rsidRPr="001A5C72">
        <w:rPr>
          <w:lang w:val="en-AU" w:eastAsia="en-GB"/>
        </w:rPr>
        <w:t xml:space="preserve">ational </w:t>
      </w:r>
      <w:r w:rsidR="00534049" w:rsidRPr="001A5C72">
        <w:rPr>
          <w:lang w:val="en-AU" w:eastAsia="en-GB"/>
        </w:rPr>
        <w:t xml:space="preserve">regulatory </w:t>
      </w:r>
      <w:r w:rsidR="00694AC7" w:rsidRPr="001A5C72">
        <w:rPr>
          <w:lang w:val="en-AU" w:eastAsia="en-GB"/>
        </w:rPr>
        <w:t>requirements</w:t>
      </w:r>
      <w:bookmarkEnd w:id="147"/>
      <w:bookmarkEnd w:id="148"/>
      <w:bookmarkEnd w:id="149"/>
      <w:bookmarkEnd w:id="150"/>
      <w:bookmarkEnd w:id="151"/>
    </w:p>
    <w:bookmarkEnd w:id="152"/>
    <w:p w14:paraId="19DB592E" w14:textId="6C452869" w:rsidR="001638B0" w:rsidRDefault="00531203" w:rsidP="00AE259D">
      <w:pPr>
        <w:pStyle w:val="FSBullet1"/>
        <w:numPr>
          <w:ilvl w:val="0"/>
          <w:numId w:val="0"/>
        </w:numPr>
      </w:pPr>
      <w:r>
        <w:t>T</w:t>
      </w:r>
      <w:r w:rsidRPr="00EE2B8B">
        <w:t>here are currentl</w:t>
      </w:r>
      <w:r w:rsidRPr="001638B0">
        <w:t>y no national</w:t>
      </w:r>
      <w:r w:rsidR="0088377D">
        <w:t xml:space="preserve"> or</w:t>
      </w:r>
      <w:r w:rsidR="00B20D04">
        <w:t xml:space="preserve"> consistent</w:t>
      </w:r>
      <w:r w:rsidRPr="001638B0">
        <w:t xml:space="preserve"> food safety </w:t>
      </w:r>
      <w:r w:rsidR="00B20D04" w:rsidRPr="001638B0">
        <w:t xml:space="preserve">regulatory </w:t>
      </w:r>
      <w:r w:rsidRPr="001638B0">
        <w:t>requirements applying to the primary production and processing of horticultural products, except for seed sprouts.</w:t>
      </w:r>
      <w:r>
        <w:t xml:space="preserve"> </w:t>
      </w:r>
      <w:r w:rsidR="001638B0">
        <w:t>Food</w:t>
      </w:r>
      <w:r w:rsidR="001638B0" w:rsidRPr="00D52B49">
        <w:t xml:space="preserve"> safety of horticultural produce in Australia</w:t>
      </w:r>
      <w:r w:rsidR="001638B0">
        <w:t xml:space="preserve"> is managed through </w:t>
      </w:r>
      <w:r w:rsidR="001638B0" w:rsidRPr="00D52B49">
        <w:t xml:space="preserve">a </w:t>
      </w:r>
      <w:r w:rsidR="001638B0" w:rsidRPr="0001618C">
        <w:t xml:space="preserve">combination of </w:t>
      </w:r>
      <w:r w:rsidR="001638B0" w:rsidRPr="001638B0">
        <w:t>some state and territory level regulatory measures and industry-driven, non-regulatory measures.</w:t>
      </w:r>
      <w:r w:rsidR="001638B0">
        <w:t xml:space="preserve"> </w:t>
      </w:r>
      <w:r w:rsidR="00AE259D" w:rsidRPr="009371A8">
        <w:t xml:space="preserve">The current regulatory arrangements are further detailed in </w:t>
      </w:r>
      <w:hyperlink r:id="rId27" w:history="1">
        <w:r w:rsidR="00A70E0C" w:rsidRPr="00A70E0C">
          <w:rPr>
            <w:rStyle w:val="Hyperlink"/>
          </w:rPr>
          <w:t xml:space="preserve">supporting document </w:t>
        </w:r>
        <w:r w:rsidR="00A70E0C">
          <w:rPr>
            <w:rStyle w:val="Hyperlink"/>
          </w:rPr>
          <w:t>(SD)</w:t>
        </w:r>
        <w:r w:rsidR="00A70E0C" w:rsidRPr="00A70E0C">
          <w:rPr>
            <w:rStyle w:val="Hyperlink"/>
          </w:rPr>
          <w:t>1</w:t>
        </w:r>
      </w:hyperlink>
      <w:r w:rsidR="00A70E0C" w:rsidRPr="00A70E0C">
        <w:t xml:space="preserve"> </w:t>
      </w:r>
      <w:r w:rsidR="00A70E0C">
        <w:t>of our 2</w:t>
      </w:r>
      <w:r w:rsidR="00A70E0C" w:rsidRPr="005C690B">
        <w:rPr>
          <w:vertAlign w:val="superscript"/>
        </w:rPr>
        <w:t>nd</w:t>
      </w:r>
      <w:r w:rsidR="00A70E0C">
        <w:t xml:space="preserve"> CFS.</w:t>
      </w:r>
    </w:p>
    <w:p w14:paraId="03434AB1" w14:textId="77777777" w:rsidR="001638B0" w:rsidRDefault="001638B0" w:rsidP="001638B0"/>
    <w:p w14:paraId="51257453" w14:textId="019175EB" w:rsidR="00591878" w:rsidRDefault="00591878" w:rsidP="00415704">
      <w:r>
        <w:t>Primary production and processing of horticultural products is currently regulated to varying degrees by the states and territories</w:t>
      </w:r>
      <w:r w:rsidR="00EA4219">
        <w:t xml:space="preserve"> (jurisdictions)</w:t>
      </w:r>
      <w:r w:rsidR="00902028">
        <w:t xml:space="preserve"> </w:t>
      </w:r>
      <w:r w:rsidR="00FA6FD7">
        <w:t xml:space="preserve">and </w:t>
      </w:r>
      <w:r w:rsidR="00902028">
        <w:t>not all jurisdictions have measures in place</w:t>
      </w:r>
      <w:r>
        <w:t>.</w:t>
      </w:r>
      <w:r w:rsidR="00E6081B" w:rsidRPr="00E6081B">
        <w:t xml:space="preserve"> </w:t>
      </w:r>
      <w:r w:rsidR="00902028">
        <w:t xml:space="preserve">Some jurisdictions such as </w:t>
      </w:r>
      <w:r w:rsidR="00E6081B">
        <w:t>New South Wales</w:t>
      </w:r>
      <w:r>
        <w:t>, Q</w:t>
      </w:r>
      <w:r w:rsidR="009150A6">
        <w:t>ueens</w:t>
      </w:r>
      <w:r>
        <w:t>l</w:t>
      </w:r>
      <w:r w:rsidR="009150A6">
        <w:t>an</w:t>
      </w:r>
      <w:r>
        <w:t>d and S</w:t>
      </w:r>
      <w:r w:rsidR="009860C3">
        <w:t xml:space="preserve">outh </w:t>
      </w:r>
      <w:r>
        <w:t>A</w:t>
      </w:r>
      <w:r w:rsidR="009860C3">
        <w:t>ustralia</w:t>
      </w:r>
      <w:r w:rsidR="00902028">
        <w:t xml:space="preserve"> have amended their food acts</w:t>
      </w:r>
      <w:r w:rsidR="005C690B">
        <w:t xml:space="preserve"> or relevant regulations</w:t>
      </w:r>
      <w:r w:rsidR="00902028">
        <w:t xml:space="preserve"> to apply food safety requirements to </w:t>
      </w:r>
      <w:r w:rsidR="00ED7653">
        <w:t xml:space="preserve">some </w:t>
      </w:r>
      <w:r w:rsidR="00902028">
        <w:t>horticulture primary production</w:t>
      </w:r>
      <w:r w:rsidR="0003529B">
        <w:t>/</w:t>
      </w:r>
      <w:r w:rsidR="00902028">
        <w:t xml:space="preserve"> processing</w:t>
      </w:r>
      <w:r w:rsidR="00ED7653">
        <w:t xml:space="preserve"> </w:t>
      </w:r>
      <w:r w:rsidR="005C690B">
        <w:t>businesses</w:t>
      </w:r>
      <w:r w:rsidR="00FA6FD7">
        <w:t>;</w:t>
      </w:r>
      <w:r w:rsidR="00902028">
        <w:t xml:space="preserve"> however </w:t>
      </w:r>
      <w:r w:rsidR="00FA6FD7">
        <w:t>requirements</w:t>
      </w:r>
      <w:r w:rsidR="00902028">
        <w:t xml:space="preserve"> are not consistent </w:t>
      </w:r>
      <w:r w:rsidR="005C690B">
        <w:t>across the jurisdictions.</w:t>
      </w:r>
      <w:r w:rsidR="00902028">
        <w:t xml:space="preserve"> </w:t>
      </w:r>
    </w:p>
    <w:p w14:paraId="24EC62C1" w14:textId="77777777" w:rsidR="00591878" w:rsidRDefault="00591878" w:rsidP="00415704"/>
    <w:p w14:paraId="1B954E59" w14:textId="3590C998" w:rsidR="00A369BE" w:rsidRDefault="00935E34" w:rsidP="00415704">
      <w:r w:rsidRPr="00935E34">
        <w:rPr>
          <w:rFonts w:cs="Arial"/>
          <w:color w:val="000000"/>
          <w:sz w:val="21"/>
          <w:szCs w:val="21"/>
          <w:shd w:val="clear" w:color="auto" w:fill="FFFFFF"/>
        </w:rPr>
        <w:t>In some jurisdictions</w:t>
      </w:r>
      <w:r w:rsidR="00DB35F1">
        <w:rPr>
          <w:rFonts w:cs="Arial"/>
          <w:color w:val="000000"/>
          <w:sz w:val="21"/>
          <w:szCs w:val="21"/>
          <w:shd w:val="clear" w:color="auto" w:fill="FFFFFF"/>
        </w:rPr>
        <w:t>,</w:t>
      </w:r>
      <w:r w:rsidRPr="00935E34">
        <w:rPr>
          <w:rFonts w:cs="Arial"/>
          <w:color w:val="000000"/>
          <w:sz w:val="21"/>
          <w:szCs w:val="21"/>
          <w:shd w:val="clear" w:color="auto" w:fill="FFFFFF"/>
        </w:rPr>
        <w:t xml:space="preserve"> powers of entry have been limited to emergency orders issued under </w:t>
      </w:r>
      <w:r w:rsidR="00400488">
        <w:rPr>
          <w:rFonts w:cs="Arial"/>
          <w:color w:val="000000"/>
          <w:sz w:val="21"/>
          <w:szCs w:val="21"/>
          <w:shd w:val="clear" w:color="auto" w:fill="FFFFFF"/>
        </w:rPr>
        <w:t>their</w:t>
      </w:r>
      <w:r w:rsidRPr="00935E34">
        <w:rPr>
          <w:rFonts w:cs="Arial"/>
          <w:color w:val="000000"/>
          <w:sz w:val="21"/>
          <w:szCs w:val="21"/>
          <w:shd w:val="clear" w:color="auto" w:fill="FFFFFF"/>
        </w:rPr>
        <w:t xml:space="preserve"> </w:t>
      </w:r>
      <w:r w:rsidR="00FE0C34" w:rsidRPr="00935E34">
        <w:rPr>
          <w:rFonts w:cs="Arial"/>
          <w:color w:val="000000"/>
          <w:sz w:val="21"/>
          <w:szCs w:val="21"/>
          <w:shd w:val="clear" w:color="auto" w:fill="FFFFFF"/>
        </w:rPr>
        <w:t>food a</w:t>
      </w:r>
      <w:r w:rsidRPr="00935E34">
        <w:rPr>
          <w:rFonts w:cs="Arial"/>
          <w:color w:val="000000"/>
          <w:sz w:val="21"/>
          <w:szCs w:val="21"/>
          <w:shd w:val="clear" w:color="auto" w:fill="FFFFFF"/>
        </w:rPr>
        <w:t>cts, where substantial evidence of a food safety incident has already occurred.</w:t>
      </w:r>
      <w:r w:rsidR="00FE0C34">
        <w:rPr>
          <w:rFonts w:cs="Arial"/>
          <w:color w:val="000000"/>
          <w:sz w:val="21"/>
          <w:szCs w:val="21"/>
          <w:shd w:val="clear" w:color="auto" w:fill="FFFFFF"/>
        </w:rPr>
        <w:t xml:space="preserve"> </w:t>
      </w:r>
      <w:r w:rsidR="00DF36CF">
        <w:rPr>
          <w:rFonts w:cs="Arial"/>
          <w:lang w:val="en-AU"/>
        </w:rPr>
        <w:t xml:space="preserve"> </w:t>
      </w:r>
      <w:r w:rsidR="00A92555">
        <w:rPr>
          <w:rFonts w:cs="Arial"/>
          <w:color w:val="000000"/>
          <w:sz w:val="21"/>
          <w:szCs w:val="21"/>
          <w:shd w:val="clear" w:color="auto" w:fill="FFFFFF"/>
        </w:rPr>
        <w:t xml:space="preserve">Also, under </w:t>
      </w:r>
      <w:r w:rsidR="00DF36CF">
        <w:rPr>
          <w:rFonts w:cs="Arial"/>
          <w:lang w:val="en-AU"/>
        </w:rPr>
        <w:t xml:space="preserve">current </w:t>
      </w:r>
      <w:r w:rsidR="00DF36CF">
        <w:t xml:space="preserve">jurisdictional </w:t>
      </w:r>
      <w:r w:rsidR="005C690B">
        <w:t>food ac</w:t>
      </w:r>
      <w:r w:rsidR="00DF36CF">
        <w:t xml:space="preserve">ts primary producers are exempt from needing to register or notify their regulator about the existence of their food business. </w:t>
      </w:r>
      <w:r w:rsidR="008974D4">
        <w:t>As a result</w:t>
      </w:r>
      <w:r w:rsidR="00A369BE">
        <w:t xml:space="preserve">, jurisdictions are constrained in their ability to proactively work with growers and primary processers to enhance food safety. </w:t>
      </w:r>
    </w:p>
    <w:p w14:paraId="6F6F99F1" w14:textId="77777777" w:rsidR="00A369BE" w:rsidRDefault="00A369BE" w:rsidP="00415704"/>
    <w:p w14:paraId="26C4D41A" w14:textId="3EFEB6BE" w:rsidR="00415704" w:rsidRDefault="005B1C5A" w:rsidP="00415704">
      <w:r w:rsidRPr="00EE2B8B">
        <w:t xml:space="preserve">Chapter 3 of the </w:t>
      </w:r>
      <w:r>
        <w:t xml:space="preserve">Code </w:t>
      </w:r>
      <w:r w:rsidR="00431775">
        <w:t>sets out general food safety requirements for</w:t>
      </w:r>
      <w:r>
        <w:t xml:space="preserve"> ‘</w:t>
      </w:r>
      <w:r w:rsidRPr="00EE2B8B">
        <w:t>food businesses</w:t>
      </w:r>
      <w:r>
        <w:t>’, which excludes primary producers</w:t>
      </w:r>
      <w:r w:rsidR="007C034C">
        <w:t xml:space="preserve"> (such as growers, harvesters and packers)</w:t>
      </w:r>
      <w:r w:rsidR="002F44A5">
        <w:t xml:space="preserve"> </w:t>
      </w:r>
      <w:r>
        <w:t xml:space="preserve">unless they sell food directly to the consumer. This presents a </w:t>
      </w:r>
      <w:r w:rsidR="006829D0">
        <w:t xml:space="preserve">national </w:t>
      </w:r>
      <w:r w:rsidRPr="009024BA">
        <w:t>regulatory gap</w:t>
      </w:r>
      <w:r w:rsidR="00415704">
        <w:t xml:space="preserve">. </w:t>
      </w:r>
    </w:p>
    <w:p w14:paraId="31DD8F40" w14:textId="3441C28D" w:rsidR="00415963" w:rsidRDefault="00415963" w:rsidP="00415704"/>
    <w:p w14:paraId="67C00594" w14:textId="2B9A34A0" w:rsidR="00C741BC" w:rsidRPr="00716986" w:rsidRDefault="00415963" w:rsidP="00415704">
      <w:r w:rsidRPr="00716986">
        <w:t xml:space="preserve">During </w:t>
      </w:r>
      <w:r w:rsidR="00EA4219">
        <w:t xml:space="preserve">both </w:t>
      </w:r>
      <w:r w:rsidRPr="00716986">
        <w:t>call</w:t>
      </w:r>
      <w:r w:rsidR="004042B2">
        <w:t>s</w:t>
      </w:r>
      <w:r w:rsidRPr="00716986">
        <w:t xml:space="preserve"> for submissions</w:t>
      </w:r>
      <w:r w:rsidR="008974D4">
        <w:t xml:space="preserve"> </w:t>
      </w:r>
      <w:r w:rsidR="00E71EDF">
        <w:t>for P1052</w:t>
      </w:r>
      <w:r w:rsidR="00C741BC" w:rsidRPr="00716986">
        <w:t>,</w:t>
      </w:r>
      <w:r w:rsidR="007C034C">
        <w:t xml:space="preserve"> </w:t>
      </w:r>
      <w:r w:rsidR="00EA4219">
        <w:t xml:space="preserve">all </w:t>
      </w:r>
      <w:r w:rsidR="007C034C">
        <w:t xml:space="preserve">industry </w:t>
      </w:r>
      <w:r w:rsidR="00C741BC" w:rsidRPr="009150A6">
        <w:t xml:space="preserve">stakeholders </w:t>
      </w:r>
      <w:r w:rsidR="00EA4219">
        <w:t>and some other</w:t>
      </w:r>
      <w:r w:rsidR="008974D4">
        <w:t>s</w:t>
      </w:r>
      <w:r w:rsidR="00C741BC" w:rsidRPr="00716986">
        <w:t xml:space="preserve"> </w:t>
      </w:r>
      <w:r w:rsidR="00A22381">
        <w:t>noted</w:t>
      </w:r>
      <w:r w:rsidR="00C741BC" w:rsidRPr="00716986">
        <w:t xml:space="preserve"> </w:t>
      </w:r>
      <w:r w:rsidR="00A22381">
        <w:t>a</w:t>
      </w:r>
      <w:r w:rsidR="00C741BC" w:rsidRPr="00716986">
        <w:t xml:space="preserve"> need for national consistency should regulation be introduced.</w:t>
      </w:r>
    </w:p>
    <w:p w14:paraId="61B444C7" w14:textId="77777777" w:rsidR="00C741BC" w:rsidRPr="00716986" w:rsidRDefault="00C741BC" w:rsidP="00415704"/>
    <w:p w14:paraId="59B4BF16" w14:textId="3F891024" w:rsidR="00C741BC" w:rsidRPr="00716986" w:rsidRDefault="00C741BC" w:rsidP="00C741BC">
      <w:r w:rsidRPr="00716986">
        <w:t>We are aware that national consistency is a particular issue for larger businesses</w:t>
      </w:r>
      <w:r w:rsidR="00A22381">
        <w:t>,</w:t>
      </w:r>
      <w:r w:rsidRPr="00716986">
        <w:t xml:space="preserve"> </w:t>
      </w:r>
      <w:r w:rsidR="00175AF8" w:rsidRPr="00716986">
        <w:t xml:space="preserve">as they are more likely to be </w:t>
      </w:r>
      <w:r w:rsidRPr="00716986">
        <w:t>operating across multiple jurisdictions.</w:t>
      </w:r>
      <w:r w:rsidR="00175AF8" w:rsidRPr="00716986">
        <w:t xml:space="preserve"> </w:t>
      </w:r>
      <w:r w:rsidR="004042B2">
        <w:t>The number of large businesses employing 200 or more people</w:t>
      </w:r>
      <w:r w:rsidR="00175AF8" w:rsidRPr="00716986">
        <w:t xml:space="preserve"> </w:t>
      </w:r>
      <w:r w:rsidR="00A22381">
        <w:t>is</w:t>
      </w:r>
      <w:r w:rsidR="00175AF8" w:rsidRPr="00716986">
        <w:t xml:space="preserve"> estimated to be 53 berry businesses, </w:t>
      </w:r>
      <w:r w:rsidR="00DB4122">
        <w:t>32</w:t>
      </w:r>
      <w:r w:rsidR="00175AF8" w:rsidRPr="00716986">
        <w:t xml:space="preserve"> leafy vegetable businesses and 6 melon businesses. </w:t>
      </w:r>
      <w:r w:rsidRPr="00716986">
        <w:t>National or semi-national operations</w:t>
      </w:r>
      <w:r w:rsidR="00B062E9">
        <w:t xml:space="preserve"> may</w:t>
      </w:r>
      <w:r w:rsidRPr="00716986">
        <w:t xml:space="preserve"> increase </w:t>
      </w:r>
      <w:r w:rsidR="00B062E9">
        <w:t>due to general trends towards</w:t>
      </w:r>
      <w:r w:rsidRPr="00716986">
        <w:t xml:space="preserve"> business consolidat</w:t>
      </w:r>
      <w:r w:rsidR="00B062E9">
        <w:t>ion in the agricultural sector to achieve</w:t>
      </w:r>
      <w:r w:rsidR="0004659E">
        <w:t xml:space="preserve"> larger</w:t>
      </w:r>
      <w:r w:rsidR="00B062E9">
        <w:t xml:space="preserve"> economies of </w:t>
      </w:r>
      <w:r w:rsidR="0004659E">
        <w:t>size</w:t>
      </w:r>
      <w:r w:rsidRPr="00716986">
        <w:t>, demand for</w:t>
      </w:r>
      <w:r w:rsidR="0095706C">
        <w:t xml:space="preserve"> these</w:t>
      </w:r>
      <w:r w:rsidR="00B062E9">
        <w:t xml:space="preserve"> types of</w:t>
      </w:r>
      <w:r w:rsidRPr="00716986">
        <w:t xml:space="preserve"> food increas</w:t>
      </w:r>
      <w:r w:rsidR="00B062E9">
        <w:t>ing</w:t>
      </w:r>
      <w:r w:rsidRPr="00716986">
        <w:t xml:space="preserve"> and ongoing </w:t>
      </w:r>
      <w:r w:rsidR="00EB1E26">
        <w:t>all-year-</w:t>
      </w:r>
      <w:r w:rsidR="00B062E9">
        <w:t xml:space="preserve">round demand </w:t>
      </w:r>
      <w:r w:rsidR="00AC3A35">
        <w:t>requiring</w:t>
      </w:r>
      <w:r w:rsidR="00B062E9">
        <w:t xml:space="preserve"> production in</w:t>
      </w:r>
      <w:r w:rsidRPr="00716986">
        <w:t xml:space="preserve"> different climate zones.</w:t>
      </w:r>
      <w:r w:rsidR="00175AF8" w:rsidRPr="00716986">
        <w:t xml:space="preserve"> Farming across multiple states and territories</w:t>
      </w:r>
      <w:r w:rsidR="00205393" w:rsidRPr="00716986">
        <w:t xml:space="preserve"> </w:t>
      </w:r>
      <w:r w:rsidR="00175AF8" w:rsidRPr="00716986">
        <w:t>to ensure continuous supply</w:t>
      </w:r>
      <w:r w:rsidR="00205393" w:rsidRPr="00716986">
        <w:t xml:space="preserve"> and the need for nationally consistent requirements </w:t>
      </w:r>
      <w:r w:rsidR="00175AF8" w:rsidRPr="00716986">
        <w:t xml:space="preserve">was </w:t>
      </w:r>
      <w:r w:rsidR="00205393" w:rsidRPr="00716986">
        <w:t xml:space="preserve">also </w:t>
      </w:r>
      <w:r w:rsidR="00175AF8" w:rsidRPr="00716986">
        <w:t>raised</w:t>
      </w:r>
      <w:r w:rsidR="00205393" w:rsidRPr="00716986">
        <w:t xml:space="preserve"> by farm managers</w:t>
      </w:r>
      <w:r w:rsidR="00175AF8" w:rsidRPr="00716986">
        <w:t xml:space="preserve"> during FSANZ on-site visits. </w:t>
      </w:r>
    </w:p>
    <w:p w14:paraId="380D10F2" w14:textId="3202D563" w:rsidR="00C741BC" w:rsidRDefault="00C741BC" w:rsidP="00C741BC">
      <w:pPr>
        <w:rPr>
          <w:color w:val="FF0000"/>
        </w:rPr>
      </w:pPr>
    </w:p>
    <w:p w14:paraId="59D16540" w14:textId="71514558" w:rsidR="00415963" w:rsidRPr="00415963" w:rsidRDefault="007B436A" w:rsidP="007B436A">
      <w:pPr>
        <w:pStyle w:val="FSBullet1"/>
        <w:numPr>
          <w:ilvl w:val="0"/>
          <w:numId w:val="0"/>
        </w:numPr>
      </w:pPr>
      <w:r>
        <w:lastRenderedPageBreak/>
        <w:t>Lack of consistency between jurisdictions creates an uneven playing field between businesses operating in different regions</w:t>
      </w:r>
      <w:r w:rsidR="00A22381">
        <w:t>,</w:t>
      </w:r>
      <w:r>
        <w:t xml:space="preserve"> and ha</w:t>
      </w:r>
      <w:r w:rsidR="00A22381">
        <w:t xml:space="preserve">s led to industry frustration. </w:t>
      </w:r>
      <w:r>
        <w:t>Inconsistency creates additional administration, particularly for businesses with multi-jurisdiction presence, wh</w:t>
      </w:r>
      <w:r w:rsidR="00A22381">
        <w:t>o</w:t>
      </w:r>
      <w:r>
        <w:t xml:space="preserve"> must de</w:t>
      </w:r>
      <w:r w:rsidR="00A22381">
        <w:t>velop and maintain jurisdiction-</w:t>
      </w:r>
      <w:r>
        <w:t>specific approaches to food safety.</w:t>
      </w:r>
      <w:r w:rsidR="00415963" w:rsidRPr="00C741BC">
        <w:t xml:space="preserve"> </w:t>
      </w:r>
    </w:p>
    <w:p w14:paraId="62175266" w14:textId="210D10BF" w:rsidR="00415704" w:rsidRDefault="00415704" w:rsidP="00415704"/>
    <w:p w14:paraId="383D1FCB" w14:textId="25A1B9BB" w:rsidR="00431775" w:rsidRDefault="002F44A5" w:rsidP="00AE259D">
      <w:r w:rsidRPr="002F44A5">
        <w:t xml:space="preserve">Facilitating national consistency is a priority of </w:t>
      </w:r>
      <w:hyperlink r:id="rId28" w:history="1">
        <w:r w:rsidR="006354B0">
          <w:rPr>
            <w:rStyle w:val="Hyperlink"/>
          </w:rPr>
          <w:t>food r</w:t>
        </w:r>
        <w:r w:rsidRPr="002F44A5">
          <w:rPr>
            <w:rStyle w:val="Hyperlink"/>
          </w:rPr>
          <w:t>egulation</w:t>
        </w:r>
      </w:hyperlink>
      <w:r w:rsidR="006354B0" w:rsidRPr="006354B0">
        <w:rPr>
          <w:rStyle w:val="Hyperlink"/>
          <w:color w:val="auto"/>
          <w:u w:val="none"/>
        </w:rPr>
        <w:t>. It</w:t>
      </w:r>
      <w:r w:rsidRPr="006354B0">
        <w:t xml:space="preserve"> </w:t>
      </w:r>
      <w:r w:rsidRPr="002F44A5">
        <w:t xml:space="preserve">is key </w:t>
      </w:r>
      <w:r w:rsidR="006354B0">
        <w:t>to</w:t>
      </w:r>
      <w:r w:rsidRPr="002F44A5">
        <w:t xml:space="preserve"> maintaining a strong, robust and agile food regulation system. </w:t>
      </w:r>
      <w:r w:rsidR="008F1894">
        <w:t xml:space="preserve">The </w:t>
      </w:r>
      <w:hyperlink r:id="rId29" w:history="1">
        <w:r w:rsidR="008F1894" w:rsidRPr="003A31F6">
          <w:rPr>
            <w:rStyle w:val="Hyperlink"/>
            <w:rFonts w:cs="Arial"/>
            <w:lang w:eastAsia="en-GB"/>
          </w:rPr>
          <w:t>Integrated Model for Standards Development and Consistent Implementation of Primary Production and Processing Standards</w:t>
        </w:r>
      </w:hyperlink>
      <w:r w:rsidR="008F1894">
        <w:rPr>
          <w:rStyle w:val="FootnoteReference"/>
          <w:rFonts w:cs="Arial"/>
          <w:color w:val="3333FF"/>
          <w:u w:val="single"/>
          <w:lang w:eastAsia="en-GB"/>
        </w:rPr>
        <w:footnoteReference w:id="5"/>
      </w:r>
      <w:r w:rsidR="008F1894">
        <w:rPr>
          <w:rStyle w:val="Hyperlink"/>
          <w:rFonts w:cs="Arial"/>
          <w:lang w:eastAsia="en-GB"/>
        </w:rPr>
        <w:t xml:space="preserve"> </w:t>
      </w:r>
      <w:r w:rsidR="008F1894">
        <w:t>aims to support national consistency with minimal-cost effective regulation</w:t>
      </w:r>
      <w:r w:rsidR="00A43A53">
        <w:t xml:space="preserve"> (see section 8.2)</w:t>
      </w:r>
      <w:r w:rsidR="008F1894">
        <w:t xml:space="preserve">. </w:t>
      </w:r>
    </w:p>
    <w:p w14:paraId="4850BCA3" w14:textId="21AF6F5E" w:rsidR="00AA6981" w:rsidRPr="00B70C8D" w:rsidRDefault="00FB6EF1" w:rsidP="00F611C6">
      <w:pPr>
        <w:pStyle w:val="Heading2"/>
        <w:rPr>
          <w:lang w:val="en-AU" w:eastAsia="en-GB"/>
        </w:rPr>
      </w:pPr>
      <w:bookmarkStart w:id="153" w:name="_Toc85635278"/>
      <w:bookmarkStart w:id="154" w:name="_Toc97643835"/>
      <w:bookmarkStart w:id="155" w:name="_Toc97653220"/>
      <w:bookmarkStart w:id="156" w:name="_Toc97739372"/>
      <w:bookmarkStart w:id="157" w:name="_Toc97823789"/>
      <w:bookmarkStart w:id="158" w:name="_Toc97823955"/>
      <w:r>
        <w:rPr>
          <w:lang w:val="en-AU" w:eastAsia="en-GB"/>
        </w:rPr>
        <w:t>4.9</w:t>
      </w:r>
      <w:r>
        <w:rPr>
          <w:lang w:val="en-AU" w:eastAsia="en-GB"/>
        </w:rPr>
        <w:tab/>
      </w:r>
      <w:r w:rsidR="004241E9">
        <w:rPr>
          <w:lang w:val="en-AU" w:eastAsia="en-GB"/>
        </w:rPr>
        <w:t>F</w:t>
      </w:r>
      <w:r w:rsidR="00AA6981" w:rsidRPr="00B70C8D">
        <w:rPr>
          <w:lang w:val="en-AU" w:eastAsia="en-GB"/>
        </w:rPr>
        <w:t>ood safety schemes</w:t>
      </w:r>
      <w:bookmarkEnd w:id="153"/>
      <w:bookmarkEnd w:id="154"/>
      <w:bookmarkEnd w:id="155"/>
      <w:bookmarkEnd w:id="156"/>
      <w:bookmarkEnd w:id="157"/>
      <w:bookmarkEnd w:id="158"/>
    </w:p>
    <w:p w14:paraId="18C129A9" w14:textId="1E0CE9C0" w:rsidR="009A4DE2" w:rsidRDefault="00682AAF" w:rsidP="00B21DED">
      <w:pPr>
        <w:pStyle w:val="FSBullet1"/>
        <w:numPr>
          <w:ilvl w:val="0"/>
          <w:numId w:val="0"/>
        </w:numPr>
      </w:pPr>
      <w:r>
        <w:t xml:space="preserve">The berry, leafy vegetable and melon sectors </w:t>
      </w:r>
      <w:r w:rsidR="00B21DED">
        <w:t>operate to varying degrees under</w:t>
      </w:r>
      <w:r w:rsidR="00B21DED" w:rsidRPr="00CD02B6">
        <w:t xml:space="preserve"> </w:t>
      </w:r>
      <w:r w:rsidR="00B21DED">
        <w:t xml:space="preserve">industry </w:t>
      </w:r>
      <w:r w:rsidR="009A4DE2">
        <w:t xml:space="preserve">and market-led </w:t>
      </w:r>
      <w:r w:rsidR="00A57ED1" w:rsidRPr="00AA6981">
        <w:t>f</w:t>
      </w:r>
      <w:r w:rsidR="00A57ED1">
        <w:t xml:space="preserve">ood </w:t>
      </w:r>
      <w:r w:rsidR="00A57ED1" w:rsidRPr="00AA6981">
        <w:t>s</w:t>
      </w:r>
      <w:r w:rsidR="00A57ED1">
        <w:t xml:space="preserve">afety </w:t>
      </w:r>
      <w:r w:rsidR="00A57ED1" w:rsidRPr="00AA6981">
        <w:t>s</w:t>
      </w:r>
      <w:r w:rsidR="00A57ED1">
        <w:t xml:space="preserve">chemes </w:t>
      </w:r>
      <w:r>
        <w:t>(FSS)</w:t>
      </w:r>
      <w:r w:rsidR="0003558D">
        <w:t>,</w:t>
      </w:r>
      <w:r w:rsidR="00902028">
        <w:t xml:space="preserve"> which are non-regulatory and are</w:t>
      </w:r>
      <w:r w:rsidR="0003558D">
        <w:t xml:space="preserve"> largely to meet requirements of retailers</w:t>
      </w:r>
      <w:r w:rsidR="004241E9">
        <w:t>.</w:t>
      </w:r>
      <w:r w:rsidR="009A4DE2">
        <w:t xml:space="preserve"> Businesses can also voluntarily join FS</w:t>
      </w:r>
      <w:r w:rsidR="00A57ED1">
        <w:t>S</w:t>
      </w:r>
      <w:r w:rsidR="003A4A13">
        <w:t>. For simplicity,</w:t>
      </w:r>
      <w:r w:rsidR="00135342">
        <w:t xml:space="preserve"> FSS</w:t>
      </w:r>
      <w:r w:rsidR="009A4DE2">
        <w:t xml:space="preserve"> have </w:t>
      </w:r>
      <w:r w:rsidR="00DC3C8F">
        <w:t xml:space="preserve">sometimes </w:t>
      </w:r>
      <w:r w:rsidR="009A4DE2">
        <w:t xml:space="preserve">been stated as </w:t>
      </w:r>
      <w:r w:rsidR="003A4A13">
        <w:t>‘</w:t>
      </w:r>
      <w:r w:rsidR="009A4DE2">
        <w:t>voluntary</w:t>
      </w:r>
      <w:r w:rsidR="00DC3C8F">
        <w:t xml:space="preserve"> schemes</w:t>
      </w:r>
      <w:r w:rsidR="003A4A13">
        <w:t>’</w:t>
      </w:r>
      <w:r w:rsidR="009A4DE2">
        <w:t xml:space="preserve"> in this DRIS</w:t>
      </w:r>
      <w:r w:rsidR="003A4A13">
        <w:t xml:space="preserve"> and accompanying CBA</w:t>
      </w:r>
      <w:r w:rsidR="009A4DE2">
        <w:t>.</w:t>
      </w:r>
    </w:p>
    <w:p w14:paraId="7E2FEDBB" w14:textId="77777777" w:rsidR="009A4DE2" w:rsidRDefault="009A4DE2" w:rsidP="00B21DED">
      <w:pPr>
        <w:pStyle w:val="FSBullet1"/>
        <w:numPr>
          <w:ilvl w:val="0"/>
          <w:numId w:val="0"/>
        </w:numPr>
      </w:pPr>
    </w:p>
    <w:p w14:paraId="5E8ECD4F" w14:textId="78740400" w:rsidR="00B21DED" w:rsidRDefault="00902028" w:rsidP="00B21DED">
      <w:pPr>
        <w:pStyle w:val="FSBullet1"/>
        <w:numPr>
          <w:ilvl w:val="0"/>
          <w:numId w:val="0"/>
        </w:numPr>
      </w:pPr>
      <w:r>
        <w:t xml:space="preserve">FSS provide guidance on how produce should be grown, packed, prepared and distributed and </w:t>
      </w:r>
      <w:r w:rsidR="005C690B">
        <w:t>food safety aspects include</w:t>
      </w:r>
      <w:r>
        <w:t xml:space="preserve"> managing inputs</w:t>
      </w:r>
      <w:r w:rsidR="00D67091">
        <w:t>;</w:t>
      </w:r>
      <w:r>
        <w:t xml:space="preserve"> premises, equipment</w:t>
      </w:r>
      <w:r w:rsidR="00D67091" w:rsidRPr="00D67091">
        <w:t xml:space="preserve"> </w:t>
      </w:r>
      <w:r w:rsidR="00D67091">
        <w:t>and personnel</w:t>
      </w:r>
      <w:r>
        <w:t xml:space="preserve"> hygiene</w:t>
      </w:r>
      <w:r w:rsidR="00D67091">
        <w:t>;</w:t>
      </w:r>
      <w:r>
        <w:t xml:space="preserve"> and animals and pests.  </w:t>
      </w:r>
      <w:r w:rsidR="00B21DED">
        <w:t>While FSS</w:t>
      </w:r>
      <w:r w:rsidR="00B21DED" w:rsidRPr="00D52B49">
        <w:t xml:space="preserve"> are not mandatory, most large retailers require them</w:t>
      </w:r>
      <w:r w:rsidR="006354B0">
        <w:t>. This</w:t>
      </w:r>
      <w:r w:rsidR="00C01ED9">
        <w:t xml:space="preserve"> has </w:t>
      </w:r>
      <w:r w:rsidR="00591878">
        <w:t>led to</w:t>
      </w:r>
      <w:r w:rsidR="00B21DED">
        <w:t xml:space="preserve"> ‘non-voluntary’ </w:t>
      </w:r>
      <w:r w:rsidR="00C01ED9">
        <w:t xml:space="preserve">FSS </w:t>
      </w:r>
      <w:r w:rsidR="00B21DED">
        <w:t xml:space="preserve">participation by </w:t>
      </w:r>
      <w:r w:rsidR="00C01ED9">
        <w:t xml:space="preserve">many </w:t>
      </w:r>
      <w:r w:rsidR="00B21DED">
        <w:t xml:space="preserve">primary production and processing businesses. Businesses not supplying major retailers are unlikely to participate in a FSS, due in part to the additional costs </w:t>
      </w:r>
      <w:r w:rsidR="004241E9">
        <w:t xml:space="preserve">and administration </w:t>
      </w:r>
      <w:r w:rsidR="00B21DED">
        <w:t xml:space="preserve">involved. </w:t>
      </w:r>
    </w:p>
    <w:p w14:paraId="52F2279C" w14:textId="1FED27DD" w:rsidR="00B21DED" w:rsidRDefault="00B21DED" w:rsidP="00B21DED">
      <w:pPr>
        <w:rPr>
          <w:lang w:bidi="ar-SA"/>
        </w:rPr>
      </w:pPr>
    </w:p>
    <w:p w14:paraId="33AD5D49" w14:textId="560C2C1C" w:rsidR="00682AAF" w:rsidRDefault="00B21DED" w:rsidP="00B21DED">
      <w:pPr>
        <w:rPr>
          <w:lang w:bidi="ar-SA"/>
        </w:rPr>
      </w:pPr>
      <w:r>
        <w:rPr>
          <w:lang w:bidi="ar-SA"/>
        </w:rPr>
        <w:t>FSANZ considers this situation problematic because:</w:t>
      </w:r>
    </w:p>
    <w:p w14:paraId="64FEDBF4" w14:textId="10FC96ED" w:rsidR="004241E9" w:rsidRDefault="004241E9" w:rsidP="00B21DED">
      <w:pPr>
        <w:pStyle w:val="FSBullet1"/>
      </w:pPr>
      <w:r>
        <w:t>not all businesses operate under a FSS</w:t>
      </w:r>
      <w:r w:rsidR="009A579C">
        <w:t>, meaning incomplete and inconsistent coverage across the sectors</w:t>
      </w:r>
    </w:p>
    <w:p w14:paraId="0C9E4E5B" w14:textId="2AA0B647" w:rsidR="00AA6981" w:rsidRDefault="00B21DED" w:rsidP="00B21DED">
      <w:pPr>
        <w:pStyle w:val="FSBullet1"/>
      </w:pPr>
      <w:r>
        <w:t>it</w:t>
      </w:r>
      <w:r w:rsidR="00AA6981" w:rsidRPr="00AA6981">
        <w:t xml:space="preserve"> creates an </w:t>
      </w:r>
      <w:r w:rsidR="00AA6981" w:rsidRPr="00CD02B6">
        <w:t>uneven playing field</w:t>
      </w:r>
      <w:r w:rsidR="00AA6981" w:rsidRPr="00AA6981">
        <w:t xml:space="preserve"> </w:t>
      </w:r>
      <w:r>
        <w:t xml:space="preserve">(with some businesses using </w:t>
      </w:r>
      <w:r w:rsidR="00B710C8">
        <w:t xml:space="preserve">a </w:t>
      </w:r>
      <w:r>
        <w:t xml:space="preserve">FSS and others not) </w:t>
      </w:r>
      <w:r w:rsidR="00AA6981" w:rsidRPr="00AA6981">
        <w:t>both</w:t>
      </w:r>
      <w:r w:rsidR="00AA6981">
        <w:t xml:space="preserve"> in terms of costs and food safety outcomes</w:t>
      </w:r>
    </w:p>
    <w:p w14:paraId="1D76D085" w14:textId="0A6F4933" w:rsidR="00B21DED" w:rsidRPr="00B21DED" w:rsidRDefault="00B21DED" w:rsidP="00B21DED">
      <w:pPr>
        <w:pStyle w:val="FSBullet1"/>
      </w:pPr>
      <w:r>
        <w:t xml:space="preserve">it is </w:t>
      </w:r>
      <w:r w:rsidRPr="00B21DED">
        <w:t>difficult for food regulators to support Australia’s primary producers and processors, and to proactively manage food safety in these sectors on behalf of consumers</w:t>
      </w:r>
    </w:p>
    <w:p w14:paraId="6A6E2F6E" w14:textId="0D25ACD3" w:rsidR="00AA6981" w:rsidRPr="00B21DED" w:rsidRDefault="00B21DED" w:rsidP="00B21DED">
      <w:pPr>
        <w:pStyle w:val="FSBullet1"/>
      </w:pPr>
      <w:r w:rsidRPr="00B21DED">
        <w:t>c</w:t>
      </w:r>
      <w:r w:rsidR="00AA6981" w:rsidRPr="00B21DED">
        <w:t xml:space="preserve">onsumers </w:t>
      </w:r>
      <w:r w:rsidR="000106DF" w:rsidRPr="00B21DED">
        <w:t>may be</w:t>
      </w:r>
      <w:r w:rsidR="00AA6981" w:rsidRPr="00B21DED">
        <w:t xml:space="preserve"> unaware that some primary producers and processors participate in</w:t>
      </w:r>
      <w:r w:rsidR="00DC3C8F">
        <w:t xml:space="preserve"> a</w:t>
      </w:r>
      <w:r w:rsidR="00AA6981" w:rsidRPr="00B21DED">
        <w:t xml:space="preserve"> FS</w:t>
      </w:r>
      <w:r w:rsidR="004241E9">
        <w:t>S, while others do not</w:t>
      </w:r>
      <w:r w:rsidR="00F611C6">
        <w:t>,</w:t>
      </w:r>
      <w:r w:rsidR="004241E9">
        <w:t xml:space="preserve"> and are therefore </w:t>
      </w:r>
      <w:r w:rsidR="00AA6981" w:rsidRPr="00B21DED">
        <w:t>unable to take this into consideration when making safe food choices</w:t>
      </w:r>
    </w:p>
    <w:p w14:paraId="7DE71547" w14:textId="4D36DDF9" w:rsidR="00B21DED" w:rsidRDefault="00B21DED" w:rsidP="00B21DED">
      <w:pPr>
        <w:pStyle w:val="FSBullet1"/>
      </w:pPr>
      <w:r w:rsidRPr="00B21DED">
        <w:t xml:space="preserve">investigations into recent outbreaks have revealed that, even where businesses have </w:t>
      </w:r>
      <w:r w:rsidR="009A579C">
        <w:t xml:space="preserve">a </w:t>
      </w:r>
      <w:r w:rsidRPr="00B21DED">
        <w:t>FSS in place, ou</w:t>
      </w:r>
      <w:r w:rsidR="00DC3C8F">
        <w:t>tbreaks have continued to occur</w:t>
      </w:r>
      <w:r w:rsidR="00550E0C">
        <w:t>. T</w:t>
      </w:r>
      <w:r w:rsidRPr="00B21DED">
        <w:t>his</w:t>
      </w:r>
      <w:r w:rsidRPr="00000888">
        <w:t xml:space="preserve"> suggests the level of assurance provided by </w:t>
      </w:r>
      <w:r w:rsidR="009A579C">
        <w:t xml:space="preserve">a </w:t>
      </w:r>
      <w:r w:rsidR="00F611C6">
        <w:t>FSS</w:t>
      </w:r>
      <w:r w:rsidRPr="00000888">
        <w:t xml:space="preserve"> </w:t>
      </w:r>
      <w:r>
        <w:t>alone may be insufficient to address food safety risks to protect public health and safety</w:t>
      </w:r>
      <w:r w:rsidR="00F611C6">
        <w:t>,</w:t>
      </w:r>
      <w:r w:rsidR="00972C64">
        <w:t xml:space="preserve"> and some regulatory oversight may improve their effectiveness</w:t>
      </w:r>
      <w:r>
        <w:t>.</w:t>
      </w:r>
    </w:p>
    <w:p w14:paraId="3345D880" w14:textId="288245B0" w:rsidR="00E01D35" w:rsidRDefault="00E01D35" w:rsidP="000C12BF">
      <w:pPr>
        <w:rPr>
          <w:lang w:bidi="ar-SA"/>
        </w:rPr>
      </w:pPr>
    </w:p>
    <w:p w14:paraId="459BFF86" w14:textId="6F239D12" w:rsidR="000C12BF" w:rsidRDefault="000C12BF" w:rsidP="000C12BF">
      <w:r>
        <w:t>Illness</w:t>
      </w:r>
      <w:r w:rsidR="00F611C6">
        <w:t>es</w:t>
      </w:r>
      <w:r>
        <w:t>, recalls and outbreaks continue to occur in the current environment</w:t>
      </w:r>
      <w:r w:rsidR="00F611C6">
        <w:t>,</w:t>
      </w:r>
      <w:r>
        <w:t xml:space="preserve"> which relies mainly on self</w:t>
      </w:r>
      <w:r>
        <w:noBreakHyphen/>
        <w:t xml:space="preserve">regulation through FSS. Illness has also been linked to businesses with </w:t>
      </w:r>
      <w:r w:rsidR="00304AEA">
        <w:t>a FSS</w:t>
      </w:r>
      <w:r>
        <w:t xml:space="preserve"> in place. </w:t>
      </w:r>
      <w:r w:rsidR="00591878">
        <w:t xml:space="preserve">This indicates there may remain inconsistencies in </w:t>
      </w:r>
      <w:r w:rsidR="00F611C6">
        <w:t xml:space="preserve">the </w:t>
      </w:r>
      <w:r w:rsidR="00591878">
        <w:t>implementation of some F</w:t>
      </w:r>
      <w:r w:rsidR="00F611C6">
        <w:t>SS requirements and their third-</w:t>
      </w:r>
      <w:r w:rsidR="00591878">
        <w:t>party audit.</w:t>
      </w:r>
    </w:p>
    <w:p w14:paraId="2D96C295" w14:textId="43EC0825" w:rsidR="00C1692A" w:rsidRDefault="00C1692A" w:rsidP="00C1692A">
      <w:pPr>
        <w:rPr>
          <w:lang w:bidi="ar-SA"/>
        </w:rPr>
      </w:pPr>
    </w:p>
    <w:p w14:paraId="21AD1D3F" w14:textId="0CFA57F2" w:rsidR="002B2442" w:rsidRPr="00B70C8D" w:rsidRDefault="00FB6EF1" w:rsidP="00F611C6">
      <w:pPr>
        <w:pStyle w:val="Heading2"/>
        <w:rPr>
          <w:lang w:val="en-AU" w:eastAsia="en-GB"/>
        </w:rPr>
      </w:pPr>
      <w:bookmarkStart w:id="159" w:name="_Toc85635279"/>
      <w:bookmarkStart w:id="160" w:name="_Toc97643836"/>
      <w:bookmarkStart w:id="161" w:name="_Toc97653221"/>
      <w:bookmarkStart w:id="162" w:name="_Toc97739373"/>
      <w:bookmarkStart w:id="163" w:name="_Toc97823790"/>
      <w:bookmarkStart w:id="164" w:name="_Toc97823956"/>
      <w:r>
        <w:rPr>
          <w:lang w:val="en-AU" w:eastAsia="en-GB"/>
        </w:rPr>
        <w:t>4.10</w:t>
      </w:r>
      <w:r>
        <w:rPr>
          <w:lang w:val="en-AU" w:eastAsia="en-GB"/>
        </w:rPr>
        <w:tab/>
      </w:r>
      <w:r w:rsidR="00764E8A">
        <w:rPr>
          <w:lang w:val="en-AU" w:eastAsia="en-GB"/>
        </w:rPr>
        <w:t xml:space="preserve"> </w:t>
      </w:r>
      <w:r w:rsidR="002B2442" w:rsidRPr="00B70C8D">
        <w:rPr>
          <w:lang w:val="en-AU" w:eastAsia="en-GB"/>
        </w:rPr>
        <w:t>Traceability weakness</w:t>
      </w:r>
      <w:bookmarkEnd w:id="159"/>
      <w:bookmarkEnd w:id="160"/>
      <w:bookmarkEnd w:id="161"/>
      <w:bookmarkEnd w:id="162"/>
      <w:bookmarkEnd w:id="163"/>
      <w:bookmarkEnd w:id="164"/>
      <w:r w:rsidR="002B2442" w:rsidRPr="00B70C8D">
        <w:rPr>
          <w:lang w:val="en-AU" w:eastAsia="en-GB"/>
        </w:rPr>
        <w:t xml:space="preserve"> </w:t>
      </w:r>
    </w:p>
    <w:p w14:paraId="03850185" w14:textId="0F4E3A5A" w:rsidR="009B0220" w:rsidRDefault="002B2442" w:rsidP="009B0220">
      <w:pPr>
        <w:rPr>
          <w:highlight w:val="cyan"/>
        </w:rPr>
      </w:pPr>
      <w:r w:rsidRPr="00865B41">
        <w:t xml:space="preserve">The ability to track products quickly </w:t>
      </w:r>
      <w:r>
        <w:t>if a</w:t>
      </w:r>
      <w:r w:rsidRPr="00865B41">
        <w:t xml:space="preserve"> food safety </w:t>
      </w:r>
      <w:r>
        <w:t>issue occurs</w:t>
      </w:r>
      <w:r w:rsidRPr="00865B41">
        <w:t xml:space="preserve"> can be critical to preventing illness</w:t>
      </w:r>
      <w:r w:rsidR="000C2F15">
        <w:t xml:space="preserve">, including the need to identify </w:t>
      </w:r>
      <w:r w:rsidR="00856B58">
        <w:t>the source of produce causing illness</w:t>
      </w:r>
      <w:r w:rsidRPr="00865B41">
        <w:t xml:space="preserve">. There are prescriptive requirements for traceability in </w:t>
      </w:r>
      <w:r w:rsidR="009A579C">
        <w:t>FSS</w:t>
      </w:r>
      <w:r w:rsidRPr="00865B41">
        <w:t xml:space="preserve">, but these only apply to businesses </w:t>
      </w:r>
      <w:r w:rsidRPr="00865B41">
        <w:lastRenderedPageBreak/>
        <w:t>operating under th</w:t>
      </w:r>
      <w:r>
        <w:t>o</w:t>
      </w:r>
      <w:r w:rsidRPr="00865B41">
        <w:t>se schemes. Chapter 3 of the Code contains traceability requirements under receipt and recall clauses</w:t>
      </w:r>
      <w:r w:rsidR="00972C64">
        <w:t>, but these</w:t>
      </w:r>
      <w:r w:rsidRPr="00865B41">
        <w:t xml:space="preserve"> </w:t>
      </w:r>
      <w:r w:rsidR="00F611C6">
        <w:t xml:space="preserve">clauses </w:t>
      </w:r>
      <w:r w:rsidRPr="00865B41">
        <w:t>do not apply to primary produc</w:t>
      </w:r>
      <w:r w:rsidR="00972C64">
        <w:t>ers/processors (unless selling direct to consumers)</w:t>
      </w:r>
      <w:r w:rsidRPr="00865B41">
        <w:t xml:space="preserve">. </w:t>
      </w:r>
      <w:r>
        <w:rPr>
          <w:highlight w:val="cyan"/>
        </w:rPr>
        <w:t xml:space="preserve"> </w:t>
      </w:r>
      <w:r w:rsidRPr="0056574E">
        <w:rPr>
          <w:highlight w:val="cyan"/>
        </w:rPr>
        <w:t xml:space="preserve"> </w:t>
      </w:r>
    </w:p>
    <w:p w14:paraId="63BCACCB" w14:textId="2D0D699C" w:rsidR="00050AF2" w:rsidRDefault="00E01D35" w:rsidP="00E01D35">
      <w:pPr>
        <w:pStyle w:val="Heading1"/>
        <w:rPr>
          <w:rFonts w:eastAsiaTheme="majorEastAsia"/>
          <w:lang w:val="en-AU" w:eastAsia="en-GB"/>
        </w:rPr>
      </w:pPr>
      <w:bookmarkStart w:id="165" w:name="_Toc78896400"/>
      <w:bookmarkStart w:id="166" w:name="_Toc85635280"/>
      <w:bookmarkStart w:id="167" w:name="_Toc97643837"/>
      <w:bookmarkStart w:id="168" w:name="_Toc97653222"/>
      <w:bookmarkStart w:id="169" w:name="_Toc97739374"/>
      <w:bookmarkStart w:id="170" w:name="_Toc97823791"/>
      <w:bookmarkStart w:id="171" w:name="_Toc97823957"/>
      <w:r>
        <w:rPr>
          <w:rFonts w:eastAsiaTheme="majorEastAsia"/>
          <w:lang w:val="en-AU" w:eastAsia="en-GB"/>
        </w:rPr>
        <w:t>5.</w:t>
      </w:r>
      <w:r>
        <w:rPr>
          <w:rFonts w:eastAsiaTheme="majorEastAsia"/>
          <w:lang w:val="en-AU" w:eastAsia="en-GB"/>
        </w:rPr>
        <w:tab/>
      </w:r>
      <w:r w:rsidR="00DD5CAB" w:rsidRPr="00DD5CAB">
        <w:rPr>
          <w:rFonts w:eastAsiaTheme="majorEastAsia"/>
          <w:lang w:val="en-AU" w:eastAsia="en-GB"/>
        </w:rPr>
        <w:t>Why is government action needed?</w:t>
      </w:r>
      <w:bookmarkEnd w:id="165"/>
      <w:bookmarkEnd w:id="166"/>
      <w:bookmarkEnd w:id="167"/>
      <w:bookmarkEnd w:id="168"/>
      <w:bookmarkEnd w:id="169"/>
      <w:bookmarkEnd w:id="170"/>
      <w:bookmarkEnd w:id="171"/>
    </w:p>
    <w:p w14:paraId="58C60000" w14:textId="5EE00142" w:rsidR="00591878" w:rsidRPr="00716986" w:rsidRDefault="00FB6EF1" w:rsidP="00F611C6">
      <w:pPr>
        <w:pStyle w:val="Heading2"/>
      </w:pPr>
      <w:bookmarkStart w:id="172" w:name="_Toc85635281"/>
      <w:bookmarkStart w:id="173" w:name="_Toc97643838"/>
      <w:bookmarkStart w:id="174" w:name="_Toc97653223"/>
      <w:bookmarkStart w:id="175" w:name="_Toc97739375"/>
      <w:bookmarkStart w:id="176" w:name="_Toc97823792"/>
      <w:bookmarkStart w:id="177" w:name="_Toc97823958"/>
      <w:r>
        <w:t>5.1</w:t>
      </w:r>
      <w:r>
        <w:tab/>
      </w:r>
      <w:r w:rsidR="0014530F" w:rsidRPr="00716986">
        <w:t>Overview</w:t>
      </w:r>
      <w:bookmarkEnd w:id="172"/>
      <w:bookmarkEnd w:id="173"/>
      <w:bookmarkEnd w:id="174"/>
      <w:bookmarkEnd w:id="175"/>
      <w:bookmarkEnd w:id="176"/>
      <w:bookmarkEnd w:id="177"/>
    </w:p>
    <w:p w14:paraId="23B8908B" w14:textId="1763EC67" w:rsidR="005A39B1" w:rsidRPr="00716986" w:rsidRDefault="006F63ED" w:rsidP="006F63ED">
      <w:r w:rsidRPr="00716986">
        <w:t>FSANZ considers that government action is required to further reduce instances of foodborne illness</w:t>
      </w:r>
      <w:r w:rsidR="00147994" w:rsidRPr="00716986">
        <w:t>,</w:t>
      </w:r>
      <w:r w:rsidR="00F611C6">
        <w:t xml:space="preserve"> and to protect</w:t>
      </w:r>
      <w:r w:rsidRPr="00716986">
        <w:t xml:space="preserve"> </w:t>
      </w:r>
      <w:r w:rsidR="00B24135" w:rsidRPr="00716986">
        <w:t xml:space="preserve">consumers, </w:t>
      </w:r>
      <w:r w:rsidRPr="00716986">
        <w:t xml:space="preserve">industry, the health care system and our export markets. </w:t>
      </w:r>
      <w:r w:rsidR="003879FA">
        <w:t>Protection of public health and safety is the top priority.</w:t>
      </w:r>
      <w:r w:rsidRPr="00716986">
        <w:t xml:space="preserve"> </w:t>
      </w:r>
    </w:p>
    <w:p w14:paraId="34CE2426" w14:textId="69B73D21" w:rsidR="00B24135" w:rsidRPr="00716986" w:rsidRDefault="00B24135" w:rsidP="006F63ED"/>
    <w:p w14:paraId="78DF83AB" w14:textId="731D2209" w:rsidR="003C24CB" w:rsidRDefault="00B24135" w:rsidP="005A39B1">
      <w:r w:rsidRPr="00716986">
        <w:t>With the current</w:t>
      </w:r>
      <w:r w:rsidR="009A33DC" w:rsidRPr="00716986">
        <w:t xml:space="preserve"> </w:t>
      </w:r>
      <w:r w:rsidRPr="00716986">
        <w:t xml:space="preserve">measures, </w:t>
      </w:r>
      <w:r w:rsidR="00BE2052">
        <w:t>there remain risk</w:t>
      </w:r>
      <w:r w:rsidR="00D940C7">
        <w:t>s</w:t>
      </w:r>
      <w:r w:rsidR="00BE2052">
        <w:t xml:space="preserve"> of illness associated with fresh berries</w:t>
      </w:r>
      <w:r w:rsidRPr="00716986">
        <w:t>, leafy vegetable</w:t>
      </w:r>
      <w:r w:rsidR="00BE2052">
        <w:t>s and melon</w:t>
      </w:r>
      <w:r w:rsidRPr="00716986">
        <w:t>s in Australia</w:t>
      </w:r>
      <w:r w:rsidR="00BE2052">
        <w:t>,</w:t>
      </w:r>
      <w:r w:rsidR="007C034C">
        <w:t xml:space="preserve"> as outlined in the problem section. </w:t>
      </w:r>
      <w:r w:rsidR="009A33DC" w:rsidRPr="00716986">
        <w:t xml:space="preserve">Current measures rely heavily on </w:t>
      </w:r>
      <w:r w:rsidR="005C690B">
        <w:t xml:space="preserve">industry </w:t>
      </w:r>
      <w:r w:rsidR="00F611C6">
        <w:t>FSS</w:t>
      </w:r>
      <w:r w:rsidR="009A33DC" w:rsidRPr="00716986">
        <w:t xml:space="preserve"> </w:t>
      </w:r>
      <w:r w:rsidR="00F611C6">
        <w:t>that</w:t>
      </w:r>
      <w:r w:rsidR="009A33DC" w:rsidRPr="00716986">
        <w:t xml:space="preserve"> </w:t>
      </w:r>
      <w:r w:rsidR="005F5A48">
        <w:t>have incomplete and inconsistent uptake</w:t>
      </w:r>
      <w:r w:rsidR="009A33DC" w:rsidRPr="00716986">
        <w:t xml:space="preserve"> across the sector, creating food safety gaps.</w:t>
      </w:r>
    </w:p>
    <w:p w14:paraId="660FF0C4" w14:textId="77777777" w:rsidR="003C24CB" w:rsidRDefault="003C24CB" w:rsidP="005A39B1"/>
    <w:p w14:paraId="1DB7F11D" w14:textId="08C50D7E" w:rsidR="001370D3" w:rsidRDefault="000854A2" w:rsidP="005A39B1">
      <w:r>
        <w:t>Currently</w:t>
      </w:r>
      <w:r w:rsidR="00D67091">
        <w:t>,</w:t>
      </w:r>
      <w:r>
        <w:t xml:space="preserve"> government</w:t>
      </w:r>
      <w:r w:rsidR="00D67091">
        <w:t xml:space="preserve"> </w:t>
      </w:r>
      <w:r w:rsidR="00351656">
        <w:t xml:space="preserve">food </w:t>
      </w:r>
      <w:r w:rsidR="00D67091">
        <w:t>regulator</w:t>
      </w:r>
      <w:r>
        <w:t xml:space="preserve">s are </w:t>
      </w:r>
      <w:r w:rsidR="00D940C7">
        <w:t xml:space="preserve">limited in their ability to </w:t>
      </w:r>
      <w:r>
        <w:t xml:space="preserve">proactively manage horticulture production and primary processing, as </w:t>
      </w:r>
      <w:r w:rsidR="00D67091">
        <w:t>they have</w:t>
      </w:r>
      <w:r>
        <w:t xml:space="preserve"> </w:t>
      </w:r>
      <w:r w:rsidR="00D67091">
        <w:t>limited knowledge and</w:t>
      </w:r>
      <w:r>
        <w:t xml:space="preserve"> oversight of </w:t>
      </w:r>
      <w:r w:rsidR="00D67091">
        <w:t>businesses</w:t>
      </w:r>
      <w:r>
        <w:t xml:space="preserve"> and </w:t>
      </w:r>
      <w:r w:rsidR="00D67091">
        <w:t xml:space="preserve">limited </w:t>
      </w:r>
      <w:r>
        <w:t>access</w:t>
      </w:r>
      <w:r w:rsidR="00D67091">
        <w:t xml:space="preserve"> to</w:t>
      </w:r>
      <w:r>
        <w:t xml:space="preserve"> properties. </w:t>
      </w:r>
      <w:r w:rsidR="00B24135" w:rsidRPr="00716986">
        <w:t xml:space="preserve">This </w:t>
      </w:r>
      <w:r w:rsidR="005C690B">
        <w:t xml:space="preserve">situation </w:t>
      </w:r>
      <w:r w:rsidR="00B24135" w:rsidRPr="00716986">
        <w:t xml:space="preserve">impacts consumers who are unable to identify produce from </w:t>
      </w:r>
      <w:r w:rsidR="005F5A48">
        <w:t xml:space="preserve">primary </w:t>
      </w:r>
      <w:r w:rsidR="00B24135" w:rsidRPr="00716986">
        <w:t>producers</w:t>
      </w:r>
      <w:r w:rsidR="005F5A48">
        <w:t>/</w:t>
      </w:r>
      <w:r w:rsidR="005C690B">
        <w:t xml:space="preserve"> </w:t>
      </w:r>
      <w:r w:rsidR="005F5A48">
        <w:t>processors</w:t>
      </w:r>
      <w:r w:rsidR="00B24135" w:rsidRPr="00716986">
        <w:t xml:space="preserve"> with adequate</w:t>
      </w:r>
      <w:r w:rsidR="00F611C6">
        <w:t>ly</w:t>
      </w:r>
      <w:r w:rsidR="00B24135" w:rsidRPr="00716986">
        <w:t xml:space="preserve"> safe production practices. Industry </w:t>
      </w:r>
      <w:r w:rsidR="00F611C6">
        <w:t>is</w:t>
      </w:r>
      <w:r w:rsidR="00B24135" w:rsidRPr="00716986">
        <w:t xml:space="preserve"> impacted by different jurisdictional requirements and/or costs to tho</w:t>
      </w:r>
      <w:r w:rsidR="00F611C6">
        <w:t xml:space="preserve">se implementing a FSS. </w:t>
      </w:r>
      <w:r w:rsidR="007B2532" w:rsidRPr="00716986">
        <w:t>N</w:t>
      </w:r>
      <w:r w:rsidR="00B24135" w:rsidRPr="00716986">
        <w:t xml:space="preserve">ational requirements </w:t>
      </w:r>
      <w:r w:rsidR="007B2532" w:rsidRPr="00716986">
        <w:t>can</w:t>
      </w:r>
      <w:r w:rsidR="00B24135" w:rsidRPr="00716986">
        <w:t xml:space="preserve"> support consistency in implementation and effectiveness</w:t>
      </w:r>
      <w:r w:rsidR="007C034C">
        <w:t xml:space="preserve"> and better ensure regulatory certainty for businesses</w:t>
      </w:r>
      <w:r w:rsidR="00B24135" w:rsidRPr="00716986">
        <w:t>.</w:t>
      </w:r>
    </w:p>
    <w:p w14:paraId="32914FDE" w14:textId="32B1A60D" w:rsidR="005A39B1" w:rsidRDefault="00FB6EF1" w:rsidP="00F611C6">
      <w:pPr>
        <w:pStyle w:val="Heading2"/>
      </w:pPr>
      <w:bookmarkStart w:id="178" w:name="_Toc85635282"/>
      <w:bookmarkStart w:id="179" w:name="_Toc97643839"/>
      <w:bookmarkStart w:id="180" w:name="_Toc97653224"/>
      <w:bookmarkStart w:id="181" w:name="_Toc97739376"/>
      <w:bookmarkStart w:id="182" w:name="_Toc97823793"/>
      <w:bookmarkStart w:id="183" w:name="_Toc97823959"/>
      <w:r>
        <w:t>5.2</w:t>
      </w:r>
      <w:r>
        <w:tab/>
      </w:r>
      <w:r w:rsidR="005A39B1">
        <w:t>Consumers</w:t>
      </w:r>
      <w:bookmarkEnd w:id="178"/>
      <w:bookmarkEnd w:id="179"/>
      <w:bookmarkEnd w:id="180"/>
      <w:bookmarkEnd w:id="181"/>
      <w:bookmarkEnd w:id="182"/>
      <w:bookmarkEnd w:id="183"/>
    </w:p>
    <w:p w14:paraId="2774F3FD" w14:textId="25DB5C53" w:rsidR="00244118" w:rsidRDefault="005A39B1" w:rsidP="005A39B1">
      <w:r>
        <w:t>Consumers lack any visibility</w:t>
      </w:r>
      <w:r w:rsidR="0067046E">
        <w:t xml:space="preserve"> of the primary production and</w:t>
      </w:r>
      <w:r>
        <w:t xml:space="preserve"> processing of horticulture produce. </w:t>
      </w:r>
    </w:p>
    <w:p w14:paraId="0A44AD8C" w14:textId="77777777" w:rsidR="00244118" w:rsidRDefault="00244118" w:rsidP="005A39B1"/>
    <w:p w14:paraId="0F8E8513" w14:textId="6569E10C" w:rsidR="00244118" w:rsidRDefault="005A39B1" w:rsidP="005A39B1">
      <w:r>
        <w:rPr>
          <w:lang w:eastAsia="en-AU"/>
        </w:rPr>
        <w:t xml:space="preserve">This lack of visibility reduces the effectiveness of market forces. Consumers can react to outbreaks, limiting or ceasing </w:t>
      </w:r>
      <w:r w:rsidR="00F611C6">
        <w:rPr>
          <w:lang w:eastAsia="en-AU"/>
        </w:rPr>
        <w:t xml:space="preserve">their </w:t>
      </w:r>
      <w:r>
        <w:rPr>
          <w:lang w:eastAsia="en-AU"/>
        </w:rPr>
        <w:t>purchase of produce associated with an outbreak. However</w:t>
      </w:r>
      <w:r w:rsidR="009B0220">
        <w:rPr>
          <w:lang w:eastAsia="en-AU"/>
        </w:rPr>
        <w:t>,</w:t>
      </w:r>
      <w:r>
        <w:rPr>
          <w:lang w:eastAsia="en-AU"/>
        </w:rPr>
        <w:t xml:space="preserve"> in many case</w:t>
      </w:r>
      <w:r w:rsidR="00972C64">
        <w:rPr>
          <w:lang w:eastAsia="en-AU"/>
        </w:rPr>
        <w:t>s</w:t>
      </w:r>
      <w:r w:rsidR="00F611C6">
        <w:rPr>
          <w:lang w:eastAsia="en-AU"/>
        </w:rPr>
        <w:t>,</w:t>
      </w:r>
      <w:r>
        <w:rPr>
          <w:lang w:eastAsia="en-AU"/>
        </w:rPr>
        <w:t xml:space="preserve"> illness is</w:t>
      </w:r>
      <w:r w:rsidR="009A33DC">
        <w:rPr>
          <w:lang w:eastAsia="en-AU"/>
        </w:rPr>
        <w:t xml:space="preserve"> not associated with a known cause</w:t>
      </w:r>
      <w:r>
        <w:rPr>
          <w:lang w:eastAsia="en-AU"/>
        </w:rPr>
        <w:t xml:space="preserve">, </w:t>
      </w:r>
      <w:r w:rsidR="009B0220">
        <w:rPr>
          <w:lang w:eastAsia="en-AU"/>
        </w:rPr>
        <w:t>so</w:t>
      </w:r>
      <w:r>
        <w:rPr>
          <w:lang w:eastAsia="en-AU"/>
        </w:rPr>
        <w:t xml:space="preserve"> minimal information is avail</w:t>
      </w:r>
      <w:r w:rsidR="009B0220">
        <w:rPr>
          <w:lang w:eastAsia="en-AU"/>
        </w:rPr>
        <w:t xml:space="preserve">able to guide their decisions. </w:t>
      </w:r>
      <w:r>
        <w:rPr>
          <w:lang w:eastAsia="en-AU"/>
        </w:rPr>
        <w:t xml:space="preserve">Even in outbreak situations, the cause of the foodborne illness may not be identified. There is also a delay in </w:t>
      </w:r>
      <w:r w:rsidR="009B0220">
        <w:rPr>
          <w:lang w:eastAsia="en-AU"/>
        </w:rPr>
        <w:t>identifying</w:t>
      </w:r>
      <w:r>
        <w:rPr>
          <w:lang w:eastAsia="en-AU"/>
        </w:rPr>
        <w:t xml:space="preserve"> a source of illness. Given the relatively quick time from harvest to point of sale</w:t>
      </w:r>
      <w:r w:rsidR="009B0220">
        <w:rPr>
          <w:lang w:eastAsia="en-AU"/>
        </w:rPr>
        <w:t>,</w:t>
      </w:r>
      <w:r>
        <w:rPr>
          <w:lang w:eastAsia="en-AU"/>
        </w:rPr>
        <w:t xml:space="preserve"> and the short interval between purchase and consumption of fresh berries, leafy vegetable and melons, there are often difficulties informing consumers of risks prior to consumption. </w:t>
      </w:r>
      <w:r>
        <w:t xml:space="preserve"> </w:t>
      </w:r>
    </w:p>
    <w:p w14:paraId="340C6942" w14:textId="77777777" w:rsidR="00B42361" w:rsidRDefault="00B42361" w:rsidP="005A39B1">
      <w:pPr>
        <w:rPr>
          <w:lang w:eastAsia="en-AU"/>
        </w:rPr>
      </w:pPr>
    </w:p>
    <w:p w14:paraId="0BB1BA1D" w14:textId="064A14DD" w:rsidR="005A39B1" w:rsidRDefault="005A39B1" w:rsidP="005A39B1">
      <w:pPr>
        <w:rPr>
          <w:lang w:eastAsia="en-AU"/>
        </w:rPr>
      </w:pPr>
      <w:r>
        <w:t>Consumers expect all produce to be safe.</w:t>
      </w:r>
      <w:r>
        <w:rPr>
          <w:lang w:eastAsia="en-AU"/>
        </w:rPr>
        <w:t xml:space="preserve"> The protection of consumers and public health </w:t>
      </w:r>
      <w:r w:rsidR="00B63062">
        <w:rPr>
          <w:lang w:eastAsia="en-AU"/>
        </w:rPr>
        <w:t>is a rationale for government action</w:t>
      </w:r>
      <w:r>
        <w:rPr>
          <w:lang w:eastAsia="en-AU"/>
        </w:rPr>
        <w:t>.</w:t>
      </w:r>
      <w:r w:rsidR="00B066FA">
        <w:rPr>
          <w:lang w:eastAsia="en-AU"/>
        </w:rPr>
        <w:t xml:space="preserve"> Costs to consumers and health-care alone from food illnesses from berries, leafy vegetables and melons are around $</w:t>
      </w:r>
      <w:r w:rsidR="00A942BA">
        <w:rPr>
          <w:lang w:eastAsia="en-AU"/>
        </w:rPr>
        <w:t>20.8</w:t>
      </w:r>
      <w:r w:rsidR="00B066FA">
        <w:rPr>
          <w:lang w:eastAsia="en-AU"/>
        </w:rPr>
        <w:t xml:space="preserve"> million a year.</w:t>
      </w:r>
      <w:r>
        <w:rPr>
          <w:lang w:eastAsia="en-AU"/>
        </w:rPr>
        <w:t xml:space="preserve"> </w:t>
      </w:r>
    </w:p>
    <w:p w14:paraId="238D4322" w14:textId="5B4CB0EF" w:rsidR="005A39B1" w:rsidRDefault="00FB6EF1" w:rsidP="00F611C6">
      <w:pPr>
        <w:pStyle w:val="Heading2"/>
        <w:rPr>
          <w:lang w:eastAsia="en-AU"/>
        </w:rPr>
      </w:pPr>
      <w:bookmarkStart w:id="184" w:name="_Toc85635283"/>
      <w:bookmarkStart w:id="185" w:name="_Toc97643840"/>
      <w:bookmarkStart w:id="186" w:name="_Toc97653225"/>
      <w:bookmarkStart w:id="187" w:name="_Toc97739377"/>
      <w:bookmarkStart w:id="188" w:name="_Toc97823794"/>
      <w:bookmarkStart w:id="189" w:name="_Toc97823960"/>
      <w:r>
        <w:rPr>
          <w:lang w:eastAsia="en-AU"/>
        </w:rPr>
        <w:t>5.3</w:t>
      </w:r>
      <w:r>
        <w:rPr>
          <w:lang w:eastAsia="en-AU"/>
        </w:rPr>
        <w:tab/>
      </w:r>
      <w:r w:rsidR="005A39B1">
        <w:rPr>
          <w:lang w:eastAsia="en-AU"/>
        </w:rPr>
        <w:t>Businesses</w:t>
      </w:r>
      <w:bookmarkEnd w:id="184"/>
      <w:bookmarkEnd w:id="185"/>
      <w:bookmarkEnd w:id="186"/>
      <w:bookmarkEnd w:id="187"/>
      <w:bookmarkEnd w:id="188"/>
      <w:bookmarkEnd w:id="189"/>
    </w:p>
    <w:p w14:paraId="167082AD" w14:textId="38B6D214" w:rsidR="000C12BF" w:rsidRDefault="005A39B1" w:rsidP="005A39B1">
      <w:pPr>
        <w:rPr>
          <w:lang w:eastAsia="en-AU"/>
        </w:rPr>
      </w:pPr>
      <w:r>
        <w:t>It is in the in</w:t>
      </w:r>
      <w:r w:rsidR="00B63062">
        <w:t>terest of primary producers and</w:t>
      </w:r>
      <w:r w:rsidR="009D791C">
        <w:t xml:space="preserve"> </w:t>
      </w:r>
      <w:r>
        <w:t>processors to provide safe produce t</w:t>
      </w:r>
      <w:r w:rsidR="009D791C">
        <w:t>o customers. Providing safe produce</w:t>
      </w:r>
      <w:r>
        <w:t xml:space="preserve"> avoids illness, avoids</w:t>
      </w:r>
      <w:r w:rsidR="009D791C">
        <w:t xml:space="preserve"> loss of sales and </w:t>
      </w:r>
      <w:r w:rsidR="00F611C6">
        <w:t>long-</w:t>
      </w:r>
      <w:r>
        <w:t>term reputational damage</w:t>
      </w:r>
      <w:r w:rsidR="00F611C6">
        <w:t>,</w:t>
      </w:r>
      <w:r>
        <w:t xml:space="preserve"> </w:t>
      </w:r>
      <w:r w:rsidR="009D791C">
        <w:t>both for affected</w:t>
      </w:r>
      <w:r>
        <w:t xml:space="preserve"> business</w:t>
      </w:r>
      <w:r w:rsidR="009D791C">
        <w:t>es</w:t>
      </w:r>
      <w:r>
        <w:t xml:space="preserve"> and the entire industry. However</w:t>
      </w:r>
      <w:r w:rsidR="00F611C6">
        <w:t>,</w:t>
      </w:r>
      <w:r>
        <w:t xml:space="preserve"> there is a wide range of understanding and commitment to fo</w:t>
      </w:r>
      <w:r w:rsidR="005F7C1E">
        <w:t xml:space="preserve">od safety across the industry. </w:t>
      </w:r>
      <w:r>
        <w:t>This can be due to an absence of knowledge</w:t>
      </w:r>
      <w:r w:rsidR="00B63062">
        <w:t xml:space="preserve"> about food safety</w:t>
      </w:r>
      <w:r>
        <w:t xml:space="preserve">, </w:t>
      </w:r>
      <w:r w:rsidR="00B63062">
        <w:t xml:space="preserve">an </w:t>
      </w:r>
      <w:r>
        <w:t>unwillingness to invest in food safety</w:t>
      </w:r>
      <w:r w:rsidR="00B63062">
        <w:t>, competing priorities for the business</w:t>
      </w:r>
      <w:r w:rsidR="003A3566">
        <w:t>,</w:t>
      </w:r>
      <w:r w:rsidR="00B63062">
        <w:t xml:space="preserve"> and the fact that </w:t>
      </w:r>
      <w:r>
        <w:t xml:space="preserve">consumers cannot easily distinguish </w:t>
      </w:r>
      <w:r w:rsidR="003A3566">
        <w:t xml:space="preserve">between </w:t>
      </w:r>
      <w:r>
        <w:t>those businesses that do and do not have a</w:t>
      </w:r>
      <w:r w:rsidR="001A50DE">
        <w:t xml:space="preserve"> strong food safety culture. </w:t>
      </w:r>
      <w:r w:rsidR="001A50DE">
        <w:rPr>
          <w:lang w:eastAsia="en-AU"/>
        </w:rPr>
        <w:t xml:space="preserve">Robust food safety management across the entire sector is key in protecting public health. Achieving this </w:t>
      </w:r>
      <w:r w:rsidR="003A3566">
        <w:rPr>
          <w:lang w:eastAsia="en-AU"/>
        </w:rPr>
        <w:t xml:space="preserve">level of management </w:t>
      </w:r>
      <w:r w:rsidR="001A50DE">
        <w:rPr>
          <w:lang w:eastAsia="en-AU"/>
        </w:rPr>
        <w:t>is a rationale for government action.</w:t>
      </w:r>
    </w:p>
    <w:p w14:paraId="39462BD6" w14:textId="77777777" w:rsidR="009E6E22" w:rsidRDefault="009E6E22" w:rsidP="005A39B1"/>
    <w:p w14:paraId="798783A4" w14:textId="1557CC0F" w:rsidR="00B42361" w:rsidRDefault="003A3566" w:rsidP="005A39B1">
      <w:pPr>
        <w:rPr>
          <w:lang w:eastAsia="en-AU"/>
        </w:rPr>
      </w:pPr>
      <w:r>
        <w:rPr>
          <w:lang w:eastAsia="en-AU"/>
        </w:rPr>
        <w:t xml:space="preserve">Since there is </w:t>
      </w:r>
      <w:r w:rsidR="0049040F">
        <w:rPr>
          <w:lang w:eastAsia="en-AU"/>
        </w:rPr>
        <w:t>no mandatory requirement for</w:t>
      </w:r>
      <w:r w:rsidR="005A39B1">
        <w:rPr>
          <w:lang w:eastAsia="en-AU"/>
        </w:rPr>
        <w:t xml:space="preserve"> participation in </w:t>
      </w:r>
      <w:r w:rsidR="0049040F">
        <w:rPr>
          <w:lang w:eastAsia="en-AU"/>
        </w:rPr>
        <w:t xml:space="preserve">a </w:t>
      </w:r>
      <w:r w:rsidR="005A39B1">
        <w:rPr>
          <w:lang w:eastAsia="en-AU"/>
        </w:rPr>
        <w:t>FSS</w:t>
      </w:r>
      <w:r>
        <w:rPr>
          <w:lang w:eastAsia="en-AU"/>
        </w:rPr>
        <w:t>, this</w:t>
      </w:r>
      <w:r w:rsidR="005A39B1">
        <w:rPr>
          <w:lang w:eastAsia="en-AU"/>
        </w:rPr>
        <w:t xml:space="preserve"> creates an une</w:t>
      </w:r>
      <w:r w:rsidR="00B42361">
        <w:rPr>
          <w:lang w:eastAsia="en-AU"/>
        </w:rPr>
        <w:t>ven</w:t>
      </w:r>
      <w:r w:rsidR="005A39B1">
        <w:rPr>
          <w:lang w:eastAsia="en-AU"/>
        </w:rPr>
        <w:t xml:space="preserve"> playing field for businesses within </w:t>
      </w:r>
      <w:r w:rsidR="0049040F">
        <w:rPr>
          <w:lang w:eastAsia="en-AU"/>
        </w:rPr>
        <w:t xml:space="preserve">the </w:t>
      </w:r>
      <w:r w:rsidR="0049553D">
        <w:rPr>
          <w:lang w:eastAsia="en-AU"/>
        </w:rPr>
        <w:t>sector. This c</w:t>
      </w:r>
      <w:r w:rsidR="005A39B1">
        <w:rPr>
          <w:lang w:eastAsia="en-AU"/>
        </w:rPr>
        <w:t>ould be mitigated by government regulation</w:t>
      </w:r>
      <w:r>
        <w:rPr>
          <w:lang w:eastAsia="en-AU"/>
        </w:rPr>
        <w:t>,</w:t>
      </w:r>
      <w:r w:rsidR="005A39B1">
        <w:rPr>
          <w:lang w:eastAsia="en-AU"/>
        </w:rPr>
        <w:t xml:space="preserve"> which would apply </w:t>
      </w:r>
      <w:r w:rsidR="005F7C1E">
        <w:rPr>
          <w:lang w:eastAsia="en-AU"/>
        </w:rPr>
        <w:t xml:space="preserve">to </w:t>
      </w:r>
      <w:r w:rsidR="005A39B1">
        <w:rPr>
          <w:lang w:eastAsia="en-AU"/>
        </w:rPr>
        <w:t>all busin</w:t>
      </w:r>
      <w:r w:rsidR="0049553D">
        <w:rPr>
          <w:lang w:eastAsia="en-AU"/>
        </w:rPr>
        <w:t>esses. Government intervention c</w:t>
      </w:r>
      <w:r w:rsidR="005A39B1">
        <w:rPr>
          <w:lang w:eastAsia="en-AU"/>
        </w:rPr>
        <w:t xml:space="preserve">ould also protect </w:t>
      </w:r>
      <w:r>
        <w:rPr>
          <w:lang w:eastAsia="en-AU"/>
        </w:rPr>
        <w:t>safe-</w:t>
      </w:r>
      <w:r w:rsidR="005F7C1E">
        <w:rPr>
          <w:lang w:eastAsia="en-AU"/>
        </w:rPr>
        <w:t xml:space="preserve">food </w:t>
      </w:r>
      <w:r w:rsidR="005A39B1">
        <w:rPr>
          <w:lang w:eastAsia="en-AU"/>
        </w:rPr>
        <w:t>businesses from reputational and financial damage resulting from outbreaks caused by businesses</w:t>
      </w:r>
      <w:r w:rsidR="001A50DE">
        <w:rPr>
          <w:lang w:eastAsia="en-AU"/>
        </w:rPr>
        <w:t xml:space="preserve"> </w:t>
      </w:r>
      <w:r>
        <w:rPr>
          <w:lang w:eastAsia="en-AU"/>
        </w:rPr>
        <w:t>that</w:t>
      </w:r>
      <w:r w:rsidR="001A50DE">
        <w:rPr>
          <w:lang w:eastAsia="en-AU"/>
        </w:rPr>
        <w:t xml:space="preserve"> do not prioritise food safety</w:t>
      </w:r>
      <w:r w:rsidR="0049553D">
        <w:rPr>
          <w:lang w:eastAsia="en-AU"/>
        </w:rPr>
        <w:t>.</w:t>
      </w:r>
    </w:p>
    <w:p w14:paraId="1B2A3B52" w14:textId="30178445" w:rsidR="005A39B1" w:rsidRDefault="00FB6EF1" w:rsidP="00F611C6">
      <w:pPr>
        <w:pStyle w:val="Heading2"/>
      </w:pPr>
      <w:bookmarkStart w:id="190" w:name="_Toc97643841"/>
      <w:bookmarkStart w:id="191" w:name="_Toc97653226"/>
      <w:bookmarkStart w:id="192" w:name="_Toc97739378"/>
      <w:bookmarkStart w:id="193" w:name="_Toc97823795"/>
      <w:bookmarkStart w:id="194" w:name="_Toc97823961"/>
      <w:r>
        <w:t>5.4</w:t>
      </w:r>
      <w:r>
        <w:tab/>
      </w:r>
      <w:bookmarkStart w:id="195" w:name="_Toc85635286"/>
      <w:r w:rsidR="005A39B1">
        <w:t>National regulation</w:t>
      </w:r>
      <w:bookmarkEnd w:id="190"/>
      <w:bookmarkEnd w:id="191"/>
      <w:bookmarkEnd w:id="192"/>
      <w:bookmarkEnd w:id="193"/>
      <w:bookmarkEnd w:id="194"/>
      <w:bookmarkEnd w:id="195"/>
    </w:p>
    <w:p w14:paraId="77B9A088" w14:textId="3CC828BD" w:rsidR="006D18EC" w:rsidRDefault="00D125ED" w:rsidP="005A39B1">
      <w:r>
        <w:t>T</w:t>
      </w:r>
      <w:r w:rsidR="005A39B1">
        <w:t>here is currently a lack of national regulation for the primary production and primary processing of berries, leafy vegetables and melons. This makes it difficult for government food regulators to work pro-actively with industry</w:t>
      </w:r>
      <w:r w:rsidR="003A3566">
        <w:t>,</w:t>
      </w:r>
      <w:r w:rsidR="005A39B1">
        <w:t xml:space="preserve"> to create a </w:t>
      </w:r>
      <w:r w:rsidR="00A43A53">
        <w:t xml:space="preserve">strong </w:t>
      </w:r>
      <w:r w:rsidR="005A39B1">
        <w:t>food safety culture and deliver safe produce. The current lack of national legislation also results in national inconsistency</w:t>
      </w:r>
      <w:r w:rsidR="009E71A6">
        <w:t>, regulatory uncertainty and an uneven playing field between businesses</w:t>
      </w:r>
      <w:r w:rsidR="005A39B1">
        <w:t>. This can create unnecessary difficulties</w:t>
      </w:r>
      <w:r w:rsidR="003A3566">
        <w:t>, for example, for</w:t>
      </w:r>
      <w:r w:rsidR="005A39B1">
        <w:t xml:space="preserve"> large businesses farming and distributing produce across state and territory borders. </w:t>
      </w:r>
    </w:p>
    <w:p w14:paraId="4FB606DB" w14:textId="77777777" w:rsidR="006D18EC" w:rsidRDefault="006D18EC" w:rsidP="005A39B1"/>
    <w:p w14:paraId="70F82CFF" w14:textId="19CEB4D7" w:rsidR="009E71A6" w:rsidRDefault="005A39B1" w:rsidP="005A39B1">
      <w:r>
        <w:t xml:space="preserve">Government regulation in the form of a national standard would enhance the ability of regulators to </w:t>
      </w:r>
      <w:r w:rsidR="000C12BF">
        <w:t>work with primary produce</w:t>
      </w:r>
      <w:r w:rsidR="007D18C6">
        <w:t>r</w:t>
      </w:r>
      <w:r w:rsidR="000C12BF">
        <w:t>s and</w:t>
      </w:r>
      <w:r>
        <w:t xml:space="preserve"> processors and create a national</w:t>
      </w:r>
      <w:r w:rsidR="009E71A6">
        <w:t>ly consistent</w:t>
      </w:r>
      <w:r w:rsidR="005F5A48">
        <w:t xml:space="preserve">, </w:t>
      </w:r>
      <w:r w:rsidR="008C30A6">
        <w:t>best-</w:t>
      </w:r>
      <w:r w:rsidR="005F5A48">
        <w:t>practice</w:t>
      </w:r>
      <w:r w:rsidR="009E71A6">
        <w:t xml:space="preserve"> </w:t>
      </w:r>
      <w:r w:rsidR="005F5A48">
        <w:t>approach to food safety. It would also</w:t>
      </w:r>
      <w:r w:rsidR="009E71A6">
        <w:t xml:space="preserve"> increase regulatory certainty and even-up requirements between businesses.</w:t>
      </w:r>
    </w:p>
    <w:p w14:paraId="3BAB2B1E" w14:textId="0B5DFE10" w:rsidR="005A39B1" w:rsidRDefault="009E71A6" w:rsidP="00F611C6">
      <w:pPr>
        <w:pStyle w:val="Heading2"/>
      </w:pPr>
      <w:bookmarkStart w:id="196" w:name="_Toc85635287"/>
      <w:bookmarkStart w:id="197" w:name="_Toc97643842"/>
      <w:bookmarkStart w:id="198" w:name="_Toc97653227"/>
      <w:bookmarkStart w:id="199" w:name="_Toc97739379"/>
      <w:bookmarkStart w:id="200" w:name="_Toc97823796"/>
      <w:bookmarkStart w:id="201" w:name="_Toc97823962"/>
      <w:r>
        <w:t>5.</w:t>
      </w:r>
      <w:r w:rsidR="00D4617F">
        <w:t>5</w:t>
      </w:r>
      <w:r w:rsidR="00FB6EF1">
        <w:tab/>
      </w:r>
      <w:r w:rsidR="005A39B1">
        <w:t>Export</w:t>
      </w:r>
      <w:r w:rsidR="00221C97">
        <w:t>s</w:t>
      </w:r>
      <w:bookmarkEnd w:id="196"/>
      <w:bookmarkEnd w:id="197"/>
      <w:bookmarkEnd w:id="198"/>
      <w:bookmarkEnd w:id="199"/>
      <w:bookmarkEnd w:id="200"/>
      <w:bookmarkEnd w:id="201"/>
    </w:p>
    <w:p w14:paraId="769BEC7C" w14:textId="08178646" w:rsidR="0036628F" w:rsidRDefault="0036628F" w:rsidP="0036628F">
      <w:r>
        <w:t>Australia exports limited quantities of fresh berries, leafy vegetables and melons.</w:t>
      </w:r>
      <w:r w:rsidR="00DF7840">
        <w:t xml:space="preserve"> </w:t>
      </w:r>
      <w:r>
        <w:t xml:space="preserve">Export data is provided in </w:t>
      </w:r>
      <w:r w:rsidRPr="00037514">
        <w:t xml:space="preserve">Appendix 6 of </w:t>
      </w:r>
      <w:r w:rsidR="00DF2142">
        <w:t>the</w:t>
      </w:r>
      <w:r w:rsidR="00DF2142" w:rsidRPr="00037514">
        <w:t xml:space="preserve"> </w:t>
      </w:r>
      <w:r w:rsidRPr="00037514">
        <w:t>CBA.</w:t>
      </w:r>
      <w:r>
        <w:t xml:space="preserve"> Exports of horticultural produce are facilitated by the Department of Agriculture, Water and Environment (DAWE) </w:t>
      </w:r>
      <w:r w:rsidR="0003558D">
        <w:t xml:space="preserve">which </w:t>
      </w:r>
      <w:r>
        <w:t>issue</w:t>
      </w:r>
      <w:r w:rsidR="0003558D">
        <w:t>s</w:t>
      </w:r>
      <w:r>
        <w:t xml:space="preserve"> </w:t>
      </w:r>
      <w:r w:rsidR="0003558D">
        <w:t>p</w:t>
      </w:r>
      <w:r>
        <w:t xml:space="preserve">hytosanitary </w:t>
      </w:r>
      <w:r w:rsidR="0003558D">
        <w:t>c</w:t>
      </w:r>
      <w:r>
        <w:t>ertificates under export legislation. Food safety certification may be issued where it is an importing country requirement, but additional measures must be put in place. In the event of a food safety incident linked to exported horticultural produce, DAWE participate</w:t>
      </w:r>
      <w:r w:rsidR="005F5A48">
        <w:t>s</w:t>
      </w:r>
      <w:r>
        <w:t xml:space="preserve"> in the national incident response, including tracing implicated export consignments. </w:t>
      </w:r>
    </w:p>
    <w:p w14:paraId="1B99042F" w14:textId="77777777" w:rsidR="0036628F" w:rsidRDefault="0036628F" w:rsidP="0036628F"/>
    <w:p w14:paraId="56CC3B5E" w14:textId="4120B62B" w:rsidR="0036628F" w:rsidRDefault="0036628F" w:rsidP="0036628F">
      <w:r>
        <w:t xml:space="preserve">Australia’s reputation for safe, high-quality produce has value for the </w:t>
      </w:r>
      <w:r w:rsidR="00DF7840">
        <w:t xml:space="preserve">whole </w:t>
      </w:r>
      <w:r>
        <w:t xml:space="preserve">agricultural sector. Protection of this reputation is important for trade, and the maintenance of price premiums for </w:t>
      </w:r>
      <w:r w:rsidR="00DF7840">
        <w:t xml:space="preserve">some </w:t>
      </w:r>
      <w:r>
        <w:t xml:space="preserve">Australian goods. An issue with one type of fresh produce can affect consumers’ confidence in the entire horticulture sector, and potentially unrelated sectors by reducing the overall confidence in Australian goods. </w:t>
      </w:r>
    </w:p>
    <w:p w14:paraId="735C4166" w14:textId="77777777" w:rsidR="0036628F" w:rsidRDefault="0036628F" w:rsidP="0036628F"/>
    <w:p w14:paraId="1482956C" w14:textId="77777777" w:rsidR="0036628F" w:rsidRDefault="0036628F" w:rsidP="0036628F">
      <w:r>
        <w:t>Strengthening national food safety regulation supports the protection of Australia’s trading reputation and is a rationale for government action.</w:t>
      </w:r>
      <w:r w:rsidDel="0036628F">
        <w:t xml:space="preserve"> </w:t>
      </w:r>
    </w:p>
    <w:p w14:paraId="6E806466" w14:textId="34EFCE66" w:rsidR="001C3A8E" w:rsidRDefault="008C0C43" w:rsidP="00F611C6">
      <w:pPr>
        <w:pStyle w:val="Heading2"/>
      </w:pPr>
      <w:bookmarkStart w:id="202" w:name="_Toc85635288"/>
      <w:bookmarkStart w:id="203" w:name="_Toc97643843"/>
      <w:bookmarkStart w:id="204" w:name="_Toc97653228"/>
      <w:bookmarkStart w:id="205" w:name="_Toc97739380"/>
      <w:bookmarkStart w:id="206" w:name="_Toc97823797"/>
      <w:bookmarkStart w:id="207" w:name="_Toc97823963"/>
      <w:r>
        <w:t>5.</w:t>
      </w:r>
      <w:r w:rsidR="00D4617F">
        <w:t>6</w:t>
      </w:r>
      <w:r w:rsidR="00FB6EF1">
        <w:tab/>
      </w:r>
      <w:r w:rsidR="001C3A8E">
        <w:t>Traceability</w:t>
      </w:r>
      <w:bookmarkEnd w:id="202"/>
      <w:bookmarkEnd w:id="203"/>
      <w:bookmarkEnd w:id="204"/>
      <w:bookmarkEnd w:id="205"/>
      <w:bookmarkEnd w:id="206"/>
      <w:bookmarkEnd w:id="207"/>
    </w:p>
    <w:p w14:paraId="7AE94FAD" w14:textId="65C1EE92" w:rsidR="00840F0A" w:rsidRDefault="002F1BFF" w:rsidP="00BA4932">
      <w:r>
        <w:t>As with all foods, t</w:t>
      </w:r>
      <w:r w:rsidR="001C3A8E">
        <w:t xml:space="preserve">raceability of fresh produce is essential </w:t>
      </w:r>
      <w:r>
        <w:t xml:space="preserve">to effectively </w:t>
      </w:r>
      <w:r w:rsidR="001C3A8E">
        <w:t>manag</w:t>
      </w:r>
      <w:r>
        <w:t>e</w:t>
      </w:r>
      <w:r w:rsidR="001C3A8E">
        <w:t xml:space="preserve"> a food safety concern</w:t>
      </w:r>
      <w:r>
        <w:t>,</w:t>
      </w:r>
      <w:r w:rsidR="003A3566">
        <w:t xml:space="preserve"> such as an illness </w:t>
      </w:r>
      <w:r w:rsidR="001C3A8E">
        <w:t xml:space="preserve">outbreak. Traceability is required to identify produce that may be affected, and to identify and release </w:t>
      </w:r>
      <w:r w:rsidR="00F8049C">
        <w:t xml:space="preserve">unaffected </w:t>
      </w:r>
      <w:r w:rsidR="001C3A8E">
        <w:t xml:space="preserve">produce. Lack of robust, timely traceability is </w:t>
      </w:r>
      <w:r w:rsidR="00F8049C">
        <w:t>a</w:t>
      </w:r>
      <w:r w:rsidR="001C3A8E">
        <w:t xml:space="preserve"> key issue facing government food regulators when investigating occurrences of foodborne illness. This is particularly true for co-mingled produce sourced from multiple farms </w:t>
      </w:r>
      <w:r w:rsidR="00652169">
        <w:t>distributed through</w:t>
      </w:r>
      <w:r w:rsidR="001C3A8E">
        <w:t xml:space="preserve"> complex supply chains. </w:t>
      </w:r>
      <w:r w:rsidR="00F8049C">
        <w:t>Currently</w:t>
      </w:r>
      <w:r w:rsidR="003A3566">
        <w:t>,</w:t>
      </w:r>
      <w:r w:rsidR="00F8049C">
        <w:t xml:space="preserve"> there is no </w:t>
      </w:r>
      <w:r w:rsidR="00840F0A">
        <w:t xml:space="preserve">regulated </w:t>
      </w:r>
      <w:r w:rsidR="00F8049C">
        <w:t>requirement for traceability for fresh produce from the farm</w:t>
      </w:r>
      <w:r w:rsidR="00BA4932">
        <w:t xml:space="preserve">. </w:t>
      </w:r>
      <w:r w:rsidR="00BA4932" w:rsidRPr="00865B41">
        <w:t>Chapter 3 of the Code contains traceability requirements under receipt and recall clauses</w:t>
      </w:r>
      <w:r w:rsidR="00BA4932">
        <w:t>, but these</w:t>
      </w:r>
      <w:r w:rsidR="00BA4932" w:rsidRPr="00865B41">
        <w:t xml:space="preserve"> </w:t>
      </w:r>
      <w:r w:rsidR="00BA4932">
        <w:t xml:space="preserve">clauses </w:t>
      </w:r>
      <w:r w:rsidR="00BA4932" w:rsidRPr="00865B41">
        <w:t>do not apply to primary produc</w:t>
      </w:r>
      <w:r w:rsidR="00BA4932">
        <w:t>ers/processors (unless selling direct to consumers)</w:t>
      </w:r>
      <w:r w:rsidR="00BA4932" w:rsidRPr="00865B41">
        <w:t xml:space="preserve">. </w:t>
      </w:r>
      <w:r w:rsidR="00BA4932">
        <w:rPr>
          <w:highlight w:val="cyan"/>
        </w:rPr>
        <w:t xml:space="preserve"> </w:t>
      </w:r>
      <w:r w:rsidR="00BA4932" w:rsidRPr="0056574E">
        <w:rPr>
          <w:highlight w:val="cyan"/>
        </w:rPr>
        <w:t xml:space="preserve"> </w:t>
      </w:r>
    </w:p>
    <w:p w14:paraId="638D1267" w14:textId="77777777" w:rsidR="00840F0A" w:rsidRDefault="00840F0A" w:rsidP="001C3A8E"/>
    <w:p w14:paraId="0CF07575" w14:textId="739432AC" w:rsidR="00DD5CAB" w:rsidRDefault="001C3A8E" w:rsidP="00BF00BA">
      <w:pPr>
        <w:widowControl/>
      </w:pPr>
      <w:r>
        <w:lastRenderedPageBreak/>
        <w:t>Government regulation</w:t>
      </w:r>
      <w:r w:rsidR="003A3566">
        <w:t>,</w:t>
      </w:r>
      <w:r>
        <w:t xml:space="preserve"> such as </w:t>
      </w:r>
      <w:r w:rsidR="003A3566">
        <w:t>including</w:t>
      </w:r>
      <w:r>
        <w:t xml:space="preserve"> a traceability clause in the proposed </w:t>
      </w:r>
      <w:r w:rsidR="003A3566">
        <w:t xml:space="preserve">PPP </w:t>
      </w:r>
      <w:r>
        <w:t>standards</w:t>
      </w:r>
      <w:r w:rsidR="003A3566">
        <w:t>,</w:t>
      </w:r>
      <w:r>
        <w:t xml:space="preserve"> would create an enforceable traceability requirement across the </w:t>
      </w:r>
      <w:r w:rsidR="00634A02">
        <w:t>three</w:t>
      </w:r>
      <w:r>
        <w:t xml:space="preserve"> </w:t>
      </w:r>
      <w:r w:rsidR="00634A02">
        <w:t xml:space="preserve">commodity </w:t>
      </w:r>
      <w:r>
        <w:t>sector</w:t>
      </w:r>
      <w:r w:rsidR="00634A02">
        <w:t>s</w:t>
      </w:r>
      <w:r>
        <w:t xml:space="preserve">. This would aid in </w:t>
      </w:r>
      <w:r w:rsidR="003A3566">
        <w:t>identifying</w:t>
      </w:r>
      <w:r>
        <w:t xml:space="preserve"> the source of the illness, identify</w:t>
      </w:r>
      <w:r w:rsidR="003A3566">
        <w:t>ing affected produce, reducing</w:t>
      </w:r>
      <w:r>
        <w:t xml:space="preserve"> resources required of regulators</w:t>
      </w:r>
      <w:r w:rsidR="00B63F62">
        <w:t>,</w:t>
      </w:r>
      <w:r>
        <w:t xml:space="preserve"> </w:t>
      </w:r>
      <w:r w:rsidR="00634A02">
        <w:t xml:space="preserve">enabling corrective actions to be targeted, </w:t>
      </w:r>
      <w:r>
        <w:t xml:space="preserve">and better protect industry and consumers. </w:t>
      </w:r>
      <w:r>
        <w:rPr>
          <w:lang w:eastAsia="en-AU"/>
        </w:rPr>
        <w:t>The protection of businesses and consumers is a rationale for government action.</w:t>
      </w:r>
    </w:p>
    <w:p w14:paraId="14AA0C00" w14:textId="77777777" w:rsidR="00127CF7" w:rsidRDefault="00127CF7" w:rsidP="00690206"/>
    <w:p w14:paraId="5D2DAB10" w14:textId="5C75EE95" w:rsidR="00D76948" w:rsidRPr="00E01D35" w:rsidRDefault="00E01D35" w:rsidP="00E01D35">
      <w:pPr>
        <w:pStyle w:val="Heading1"/>
        <w:widowControl/>
        <w:spacing w:before="0" w:after="0"/>
        <w:rPr>
          <w:rFonts w:ascii="Arial Bold" w:eastAsiaTheme="majorEastAsia" w:hAnsi="Arial Bold" w:cstheme="majorBidi"/>
          <w:b w:val="0"/>
          <w:lang w:val="en-AU" w:eastAsia="en-GB"/>
        </w:rPr>
      </w:pPr>
      <w:bookmarkStart w:id="208" w:name="_Toc78896401"/>
      <w:bookmarkStart w:id="209" w:name="_Toc85635289"/>
      <w:bookmarkStart w:id="210" w:name="_Toc97643844"/>
      <w:bookmarkStart w:id="211" w:name="_Toc97653229"/>
      <w:bookmarkStart w:id="212" w:name="_Toc97739381"/>
      <w:bookmarkStart w:id="213" w:name="_Toc97823798"/>
      <w:bookmarkStart w:id="214" w:name="_Toc97823964"/>
      <w:r>
        <w:rPr>
          <w:rFonts w:ascii="Arial Bold" w:eastAsiaTheme="majorEastAsia" w:hAnsi="Arial Bold" w:cstheme="majorBidi"/>
          <w:b w:val="0"/>
          <w:lang w:val="en-AU" w:eastAsia="en-GB"/>
        </w:rPr>
        <w:t>6.</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policy options are to be considered?</w:t>
      </w:r>
      <w:bookmarkEnd w:id="208"/>
      <w:bookmarkEnd w:id="209"/>
      <w:bookmarkEnd w:id="210"/>
      <w:bookmarkEnd w:id="211"/>
      <w:bookmarkEnd w:id="212"/>
      <w:bookmarkEnd w:id="213"/>
      <w:bookmarkEnd w:id="214"/>
    </w:p>
    <w:p w14:paraId="1D7C3009" w14:textId="68819555" w:rsidR="00B24135" w:rsidRPr="00793054" w:rsidRDefault="00FB6EF1" w:rsidP="00F611C6">
      <w:pPr>
        <w:pStyle w:val="Heading2"/>
      </w:pPr>
      <w:bookmarkStart w:id="215" w:name="_Toc85635290"/>
      <w:bookmarkStart w:id="216" w:name="_Toc97643845"/>
      <w:bookmarkStart w:id="217" w:name="_Toc97653230"/>
      <w:bookmarkStart w:id="218" w:name="_Toc97739382"/>
      <w:bookmarkStart w:id="219" w:name="_Toc97823799"/>
      <w:bookmarkStart w:id="220" w:name="_Toc97823965"/>
      <w:r>
        <w:t>6.1</w:t>
      </w:r>
      <w:r>
        <w:tab/>
      </w:r>
      <w:r w:rsidR="0014530F" w:rsidRPr="00793054">
        <w:t>Overview</w:t>
      </w:r>
      <w:bookmarkEnd w:id="215"/>
      <w:bookmarkEnd w:id="216"/>
      <w:bookmarkEnd w:id="217"/>
      <w:bookmarkEnd w:id="218"/>
      <w:bookmarkEnd w:id="219"/>
      <w:bookmarkEnd w:id="220"/>
    </w:p>
    <w:p w14:paraId="19BD4489" w14:textId="1031DF28" w:rsidR="00D76948" w:rsidRPr="00716986" w:rsidRDefault="00D76948" w:rsidP="00D76948">
      <w:r w:rsidRPr="00716986">
        <w:t xml:space="preserve">The options identified to address foodborne illness linked to berries, leafy vegetables and melons are: </w:t>
      </w:r>
    </w:p>
    <w:p w14:paraId="0CFB0953" w14:textId="77777777" w:rsidR="00D76948" w:rsidRPr="00716986" w:rsidRDefault="00D76948" w:rsidP="006354B0">
      <w:pPr>
        <w:pStyle w:val="ListParagraph"/>
        <w:numPr>
          <w:ilvl w:val="0"/>
          <w:numId w:val="22"/>
        </w:numPr>
      </w:pPr>
      <w:r w:rsidRPr="00716986">
        <w:t xml:space="preserve">maintaining the status quo </w:t>
      </w:r>
    </w:p>
    <w:p w14:paraId="15A1688E" w14:textId="3B595291" w:rsidR="00D76948" w:rsidRPr="00716986" w:rsidRDefault="00D76948" w:rsidP="006354B0">
      <w:pPr>
        <w:pStyle w:val="ListParagraph"/>
        <w:numPr>
          <w:ilvl w:val="0"/>
          <w:numId w:val="22"/>
        </w:numPr>
      </w:pPr>
      <w:r w:rsidRPr="00716986">
        <w:t>introducing regulatory measures: separate standards for berries, leafy vegetables and melons</w:t>
      </w:r>
    </w:p>
    <w:p w14:paraId="6C34DA49" w14:textId="77777777" w:rsidR="00D76948" w:rsidRPr="00716986" w:rsidRDefault="00D76948" w:rsidP="006354B0">
      <w:pPr>
        <w:pStyle w:val="ListParagraph"/>
        <w:numPr>
          <w:ilvl w:val="0"/>
          <w:numId w:val="22"/>
        </w:numPr>
      </w:pPr>
      <w:r w:rsidRPr="00716986">
        <w:t xml:space="preserve">introducing a combination of regulatory and non-regulatory measures </w:t>
      </w:r>
    </w:p>
    <w:p w14:paraId="3C2D09A7" w14:textId="6A4A75C2" w:rsidR="00D76948" w:rsidRPr="00716986" w:rsidRDefault="00D76948" w:rsidP="006354B0">
      <w:pPr>
        <w:pStyle w:val="ListParagraph"/>
        <w:numPr>
          <w:ilvl w:val="0"/>
          <w:numId w:val="22"/>
        </w:numPr>
      </w:pPr>
      <w:r w:rsidRPr="00716986">
        <w:t>introducing non-regulatory measures only.</w:t>
      </w:r>
    </w:p>
    <w:p w14:paraId="4594831F" w14:textId="7EB8C919" w:rsidR="007D18C6" w:rsidRPr="00716986" w:rsidRDefault="007D18C6" w:rsidP="007D18C6"/>
    <w:p w14:paraId="1207C556" w14:textId="03199013" w:rsidR="007D18C6" w:rsidRPr="00D76948" w:rsidRDefault="007D18C6" w:rsidP="007D18C6">
      <w:r w:rsidRPr="00716986">
        <w:t>The</w:t>
      </w:r>
      <w:r w:rsidR="00FF3230" w:rsidRPr="00716986">
        <w:t xml:space="preserve"> above </w:t>
      </w:r>
      <w:r w:rsidR="00312D8C" w:rsidRPr="00716986">
        <w:t xml:space="preserve">are all of the </w:t>
      </w:r>
      <w:r w:rsidRPr="00716986">
        <w:t xml:space="preserve">options available to manage food safety in Australia and </w:t>
      </w:r>
      <w:r w:rsidR="00FF3230" w:rsidRPr="00716986">
        <w:t>include</w:t>
      </w:r>
      <w:r w:rsidRPr="00716986">
        <w:t xml:space="preserve"> measures </w:t>
      </w:r>
      <w:r w:rsidR="00FF3230" w:rsidRPr="00716986">
        <w:t>currently in place</w:t>
      </w:r>
      <w:r w:rsidRPr="00716986">
        <w:t xml:space="preserve">. </w:t>
      </w:r>
      <w:r w:rsidR="00312D8C" w:rsidRPr="00716986">
        <w:t xml:space="preserve">Given </w:t>
      </w:r>
      <w:r w:rsidR="00CA2BCF" w:rsidRPr="00716986">
        <w:t xml:space="preserve">the </w:t>
      </w:r>
      <w:r w:rsidR="00312D8C" w:rsidRPr="00716986">
        <w:t>different risk profiles</w:t>
      </w:r>
      <w:r w:rsidR="0014530F" w:rsidRPr="00716986">
        <w:t xml:space="preserve">, industry structures, cost and benefits, and </w:t>
      </w:r>
      <w:r w:rsidR="00312D8C" w:rsidRPr="00716986">
        <w:t>other factors relevant to each commodity</w:t>
      </w:r>
      <w:r w:rsidR="006B3BE4" w:rsidRPr="00716986">
        <w:t xml:space="preserve">, </w:t>
      </w:r>
      <w:r w:rsidR="00CA2BCF" w:rsidRPr="00716986">
        <w:t>food safety measures</w:t>
      </w:r>
      <w:r w:rsidR="00312D8C" w:rsidRPr="00716986">
        <w:t xml:space="preserve"> can be </w:t>
      </w:r>
      <w:r w:rsidRPr="00716986">
        <w:t>tailor</w:t>
      </w:r>
      <w:r w:rsidR="00312D8C" w:rsidRPr="00716986">
        <w:t>ed</w:t>
      </w:r>
      <w:r w:rsidRPr="00716986">
        <w:t xml:space="preserve"> to </w:t>
      </w:r>
      <w:r w:rsidR="00B63F62">
        <w:t>a</w:t>
      </w:r>
      <w:r w:rsidR="0014530F" w:rsidRPr="00716986">
        <w:t xml:space="preserve"> commodity to </w:t>
      </w:r>
      <w:r w:rsidRPr="00716986">
        <w:t xml:space="preserve">best mitigate </w:t>
      </w:r>
      <w:r w:rsidR="00312D8C" w:rsidRPr="00716986">
        <w:t>risks</w:t>
      </w:r>
      <w:r w:rsidRPr="00716986">
        <w:t xml:space="preserve"> and meet policy objectives. </w:t>
      </w:r>
      <w:r w:rsidR="00B63F62" w:rsidRPr="00716986">
        <w:t>Each of the available options is outlined below.</w:t>
      </w:r>
      <w:r w:rsidR="00B63F62">
        <w:t xml:space="preserve"> </w:t>
      </w:r>
      <w:r w:rsidR="0014530F" w:rsidRPr="00716986">
        <w:t xml:space="preserve">Where regulatory measures are </w:t>
      </w:r>
      <w:r w:rsidR="00FF3230" w:rsidRPr="00716986">
        <w:t>considered (options 2 and 3), d</w:t>
      </w:r>
      <w:r w:rsidR="0014530F" w:rsidRPr="00716986">
        <w:t>raft standards and associated compliance plans are outlined</w:t>
      </w:r>
      <w:r w:rsidR="00B63F62">
        <w:t>,</w:t>
      </w:r>
      <w:r w:rsidR="0014530F" w:rsidRPr="00716986">
        <w:t xml:space="preserve"> to identify </w:t>
      </w:r>
      <w:r w:rsidR="00FF3230" w:rsidRPr="00716986">
        <w:t xml:space="preserve">the </w:t>
      </w:r>
      <w:r w:rsidR="0014530F" w:rsidRPr="00716986">
        <w:t xml:space="preserve">nature of changes that </w:t>
      </w:r>
      <w:r w:rsidR="00FF3230" w:rsidRPr="00716986">
        <w:t xml:space="preserve">primary producers and processors </w:t>
      </w:r>
      <w:r w:rsidR="0014530F" w:rsidRPr="00716986">
        <w:t xml:space="preserve">would be required </w:t>
      </w:r>
      <w:r w:rsidR="00FF3230" w:rsidRPr="00716986">
        <w:t>to implement.</w:t>
      </w:r>
      <w:r w:rsidR="0014530F" w:rsidRPr="00716986">
        <w:t xml:space="preserve"> </w:t>
      </w:r>
    </w:p>
    <w:p w14:paraId="3EC8DA50" w14:textId="2BC864EE" w:rsidR="00D27C68" w:rsidRDefault="00FB6EF1" w:rsidP="00F611C6">
      <w:pPr>
        <w:pStyle w:val="Heading2"/>
      </w:pPr>
      <w:bookmarkStart w:id="221" w:name="_Toc85635291"/>
      <w:bookmarkStart w:id="222" w:name="_Toc97643846"/>
      <w:bookmarkStart w:id="223" w:name="_Toc97653231"/>
      <w:bookmarkStart w:id="224" w:name="_Toc97739383"/>
      <w:bookmarkStart w:id="225" w:name="_Toc97823800"/>
      <w:bookmarkStart w:id="226" w:name="_Toc97823966"/>
      <w:r>
        <w:t>6.2</w:t>
      </w:r>
      <w:r>
        <w:tab/>
      </w:r>
      <w:r w:rsidR="00900391">
        <w:t xml:space="preserve">Option </w:t>
      </w:r>
      <w:r w:rsidR="0098595B">
        <w:t>1</w:t>
      </w:r>
      <w:r w:rsidR="00900391">
        <w:t xml:space="preserve">: </w:t>
      </w:r>
      <w:r w:rsidR="0098595B">
        <w:t>Retain the status quo</w:t>
      </w:r>
      <w:bookmarkEnd w:id="221"/>
      <w:bookmarkEnd w:id="222"/>
      <w:bookmarkEnd w:id="223"/>
      <w:bookmarkEnd w:id="224"/>
      <w:bookmarkEnd w:id="225"/>
      <w:bookmarkEnd w:id="226"/>
    </w:p>
    <w:p w14:paraId="1E133DC8" w14:textId="5C9B78CB" w:rsidR="00D174C3" w:rsidRDefault="00D174C3" w:rsidP="00D174C3">
      <w:pPr>
        <w:pStyle w:val="Header"/>
        <w:rPr>
          <w:rFonts w:cs="Arial"/>
        </w:rPr>
      </w:pPr>
      <w:r>
        <w:rPr>
          <w:rFonts w:cs="Arial"/>
        </w:rPr>
        <w:t xml:space="preserve">When considering any intervention (particularly regulation), FSANZ must </w:t>
      </w:r>
      <w:r w:rsidR="006B3BE4">
        <w:rPr>
          <w:rFonts w:cs="Arial"/>
        </w:rPr>
        <w:t xml:space="preserve">first </w:t>
      </w:r>
      <w:r>
        <w:rPr>
          <w:rFonts w:cs="Arial"/>
        </w:rPr>
        <w:t>consider whether the status quo represents the best option for Australia. If so, the status quo would be recommended and retained, and P1052 would be abandoned.</w:t>
      </w:r>
    </w:p>
    <w:p w14:paraId="7980F364" w14:textId="37272A90" w:rsidR="00D174C3" w:rsidRDefault="00D174C3" w:rsidP="00D174C3"/>
    <w:p w14:paraId="24E2B1BB" w14:textId="24F149DE" w:rsidR="0005685C" w:rsidRDefault="00D174C3" w:rsidP="004B5FE6">
      <w:r>
        <w:t>T</w:t>
      </w:r>
      <w:r w:rsidRPr="006439BF">
        <w:t>he current food safety management environment</w:t>
      </w:r>
      <w:r>
        <w:t xml:space="preserve"> for primary production and processing of horticultural products in </w:t>
      </w:r>
      <w:r w:rsidRPr="005016BF">
        <w:t xml:space="preserve">Australia is outlined in </w:t>
      </w:r>
      <w:r w:rsidRPr="009371A8">
        <w:t xml:space="preserve">detail in </w:t>
      </w:r>
      <w:hyperlink r:id="rId30" w:history="1">
        <w:r w:rsidR="00D76948" w:rsidRPr="00A70E0C">
          <w:rPr>
            <w:rStyle w:val="Hyperlink"/>
          </w:rPr>
          <w:t>SD</w:t>
        </w:r>
        <w:r w:rsidR="00A70E0C" w:rsidRPr="00A70E0C">
          <w:rPr>
            <w:rStyle w:val="Hyperlink"/>
          </w:rPr>
          <w:t>1</w:t>
        </w:r>
      </w:hyperlink>
      <w:r w:rsidR="00A70E0C">
        <w:t xml:space="preserve"> of the 2</w:t>
      </w:r>
      <w:r w:rsidR="00A70E0C" w:rsidRPr="00A70E0C">
        <w:rPr>
          <w:vertAlign w:val="superscript"/>
        </w:rPr>
        <w:t>nd</w:t>
      </w:r>
      <w:r w:rsidR="00A70E0C">
        <w:t xml:space="preserve"> CFS</w:t>
      </w:r>
      <w:r w:rsidRPr="009371A8">
        <w:t>.</w:t>
      </w:r>
      <w:r w:rsidRPr="005016BF">
        <w:t xml:space="preserve"> It</w:t>
      </w:r>
      <w:r>
        <w:t xml:space="preserve"> includes both non-regulatory and regulatory measures applicable to primary production and processing. A summary is provided below</w:t>
      </w:r>
      <w:r w:rsidR="0056574E">
        <w:t>.</w:t>
      </w:r>
    </w:p>
    <w:p w14:paraId="23FB705A" w14:textId="10492A5B" w:rsidR="008F538B" w:rsidRPr="0005685C" w:rsidRDefault="008F538B" w:rsidP="00E01D35">
      <w:pPr>
        <w:pStyle w:val="Heading3"/>
      </w:pPr>
      <w:bookmarkStart w:id="227" w:name="_Toc85540150"/>
      <w:bookmarkStart w:id="228" w:name="_Toc85626159"/>
      <w:bookmarkStart w:id="229" w:name="_Toc85635292"/>
      <w:bookmarkStart w:id="230" w:name="_Toc97643847"/>
      <w:bookmarkStart w:id="231" w:name="_Toc97653232"/>
      <w:bookmarkStart w:id="232" w:name="_Toc97739384"/>
      <w:bookmarkStart w:id="233" w:name="_Toc97823801"/>
      <w:bookmarkStart w:id="234" w:name="_Toc97823967"/>
      <w:r w:rsidRPr="0005685C">
        <w:t>Current non-regulatory measures</w:t>
      </w:r>
      <w:bookmarkEnd w:id="227"/>
      <w:bookmarkEnd w:id="228"/>
      <w:bookmarkEnd w:id="229"/>
      <w:bookmarkEnd w:id="230"/>
      <w:bookmarkEnd w:id="231"/>
      <w:bookmarkEnd w:id="232"/>
      <w:bookmarkEnd w:id="233"/>
      <w:bookmarkEnd w:id="234"/>
      <w:r w:rsidRPr="0005685C">
        <w:t xml:space="preserve"> </w:t>
      </w:r>
    </w:p>
    <w:p w14:paraId="0966751F" w14:textId="3C2BD2DE" w:rsidR="005A7030" w:rsidRDefault="008F538B" w:rsidP="008F538B">
      <w:r>
        <w:t>Non-regulatory measures include FSS and guidelines</w:t>
      </w:r>
      <w:r w:rsidR="00EE73B0">
        <w:t>,</w:t>
      </w:r>
      <w:r>
        <w:t xml:space="preserve"> which aim to ensure the food safety of horticultur</w:t>
      </w:r>
      <w:r w:rsidR="00634A02">
        <w:t>al products. Comprehensive but voluntary</w:t>
      </w:r>
      <w:r>
        <w:t xml:space="preserve"> on-farm FSS provide guidance on how produce should be grown, packed, prepared and distributed. Compliance with the requirements of these sche</w:t>
      </w:r>
      <w:r w:rsidR="00EE73B0">
        <w:t>mes is assessed through a third-</w:t>
      </w:r>
      <w:r>
        <w:t>party audit. While these schemes are not mandatory, most large retailers require them. Many of these schemes ar</w:t>
      </w:r>
      <w:r w:rsidR="00D76948">
        <w:t xml:space="preserve">e benchmarked to international </w:t>
      </w:r>
      <w:r>
        <w:t xml:space="preserve">Global Food Safety </w:t>
      </w:r>
      <w:r w:rsidR="005A7030">
        <w:t>Initiative (GFSI) requirements.</w:t>
      </w:r>
    </w:p>
    <w:p w14:paraId="647D949C" w14:textId="29628FD5" w:rsidR="005A7030" w:rsidRDefault="005A7030" w:rsidP="008F538B"/>
    <w:p w14:paraId="4534A722" w14:textId="20352226" w:rsidR="005A7030" w:rsidRDefault="005A7030" w:rsidP="008F538B">
      <w:r>
        <w:t>FSANZ</w:t>
      </w:r>
      <w:r w:rsidR="00FF57AF">
        <w:t>’s</w:t>
      </w:r>
      <w:r>
        <w:t xml:space="preserve"> analysis</w:t>
      </w:r>
      <w:r w:rsidR="00EE73B0">
        <w:t xml:space="preserve"> </w:t>
      </w:r>
      <w:r w:rsidR="00EE73B0" w:rsidRPr="009371A8">
        <w:t>(see</w:t>
      </w:r>
      <w:r w:rsidRPr="009371A8">
        <w:t xml:space="preserve"> </w:t>
      </w:r>
      <w:hyperlink r:id="rId31" w:history="1">
        <w:r w:rsidR="00A64234" w:rsidRPr="00A70E0C">
          <w:rPr>
            <w:rStyle w:val="Hyperlink"/>
          </w:rPr>
          <w:t>SD</w:t>
        </w:r>
        <w:r w:rsidR="00A70E0C" w:rsidRPr="00A70E0C">
          <w:rPr>
            <w:rStyle w:val="Hyperlink"/>
          </w:rPr>
          <w:t>1</w:t>
        </w:r>
      </w:hyperlink>
      <w:r w:rsidR="00A70E0C">
        <w:t xml:space="preserve"> of the 2</w:t>
      </w:r>
      <w:r w:rsidR="00A70E0C" w:rsidRPr="00A70E0C">
        <w:rPr>
          <w:vertAlign w:val="superscript"/>
        </w:rPr>
        <w:t>nd</w:t>
      </w:r>
      <w:r w:rsidR="00A70E0C">
        <w:t xml:space="preserve"> CFS</w:t>
      </w:r>
      <w:r w:rsidR="00EE73B0" w:rsidRPr="009371A8">
        <w:t>)</w:t>
      </w:r>
      <w:r w:rsidRPr="009371A8">
        <w:t>,</w:t>
      </w:r>
      <w:r w:rsidRPr="005016BF">
        <w:t xml:space="preserve"> indicates</w:t>
      </w:r>
      <w:r w:rsidRPr="007B0289">
        <w:t xml:space="preserve"> that </w:t>
      </w:r>
      <w:r w:rsidRPr="00A55F6A">
        <w:t>prescribed GFSI control measures align well with our identified risk factors,</w:t>
      </w:r>
      <w:r>
        <w:t xml:space="preserve"> including </w:t>
      </w:r>
      <w:r w:rsidRPr="00286C64">
        <w:t>traceability</w:t>
      </w:r>
      <w:r w:rsidR="00FF57AF">
        <w:t xml:space="preserve">, with no significant gaps in </w:t>
      </w:r>
      <w:r w:rsidR="00FF57AF" w:rsidRPr="007B0289">
        <w:t>GFSI requirements</w:t>
      </w:r>
      <w:r w:rsidR="0005685C">
        <w:t>. Note</w:t>
      </w:r>
      <w:r w:rsidRPr="00286C64">
        <w:t xml:space="preserve">, </w:t>
      </w:r>
      <w:r w:rsidR="00EE73B0">
        <w:t xml:space="preserve">we did not assess the </w:t>
      </w:r>
      <w:r w:rsidRPr="00286C64">
        <w:t xml:space="preserve">effectiveness of </w:t>
      </w:r>
      <w:r>
        <w:t>GFSI</w:t>
      </w:r>
      <w:r w:rsidRPr="00286C64">
        <w:t xml:space="preserve"> requirements</w:t>
      </w:r>
      <w:r>
        <w:t>.</w:t>
      </w:r>
      <w:r w:rsidR="00301793">
        <w:t xml:space="preserve"> Jurisdictions are currently examining the </w:t>
      </w:r>
      <w:r w:rsidR="00301793" w:rsidRPr="00286C64">
        <w:t xml:space="preserve">effectiveness of </w:t>
      </w:r>
      <w:r w:rsidR="00301793">
        <w:t>GFSI</w:t>
      </w:r>
      <w:r w:rsidR="00301793" w:rsidRPr="00286C64">
        <w:t xml:space="preserve"> requirements</w:t>
      </w:r>
      <w:r w:rsidR="00301793">
        <w:t xml:space="preserve"> in more detail.</w:t>
      </w:r>
    </w:p>
    <w:p w14:paraId="0D97D981" w14:textId="77777777" w:rsidR="005A7030" w:rsidRDefault="005A7030" w:rsidP="008F538B"/>
    <w:p w14:paraId="0012057D" w14:textId="0F25B3FB" w:rsidR="008F538B" w:rsidRDefault="005A7030" w:rsidP="008F538B">
      <w:pPr>
        <w:rPr>
          <w:rFonts w:asciiTheme="minorHAnsi" w:hAnsiTheme="minorHAnsi"/>
          <w:szCs w:val="22"/>
          <w:lang w:bidi="ar-SA"/>
        </w:rPr>
      </w:pPr>
      <w:r>
        <w:t>FSS</w:t>
      </w:r>
      <w:r w:rsidR="008F538B">
        <w:t xml:space="preserve"> </w:t>
      </w:r>
      <w:r w:rsidR="00EE73B0">
        <w:t>up</w:t>
      </w:r>
      <w:r w:rsidR="00F8049C">
        <w:t xml:space="preserve">take by sectors </w:t>
      </w:r>
      <w:r w:rsidR="00FF57AF">
        <w:t>is varied</w:t>
      </w:r>
      <w:r w:rsidR="008F538B">
        <w:t>. FSANZ estimates that approximately 75% of berry businesses, 5</w:t>
      </w:r>
      <w:r w:rsidR="007C1806">
        <w:t>0</w:t>
      </w:r>
      <w:r w:rsidR="008F538B">
        <w:t xml:space="preserve">% of leafy vegetable businesses and 95% of melon businesses are on a </w:t>
      </w:r>
      <w:r w:rsidR="00D76948">
        <w:t>FSS</w:t>
      </w:r>
      <w:r w:rsidR="00EE73B0">
        <w:t xml:space="preserve"> </w:t>
      </w:r>
      <w:r w:rsidR="00EE73B0" w:rsidRPr="00037514">
        <w:lastRenderedPageBreak/>
        <w:t>(</w:t>
      </w:r>
      <w:r w:rsidR="008F538B" w:rsidRPr="00037514">
        <w:t>details are provided in the CBA</w:t>
      </w:r>
      <w:r w:rsidR="00EE73B0" w:rsidRPr="00037514">
        <w:t>)</w:t>
      </w:r>
      <w:r w:rsidR="008F538B" w:rsidRPr="00037514">
        <w:t>.</w:t>
      </w:r>
      <w:r w:rsidR="008F538B">
        <w:rPr>
          <w:rFonts w:asciiTheme="minorHAnsi" w:hAnsiTheme="minorHAnsi"/>
          <w:szCs w:val="22"/>
          <w:lang w:bidi="ar-SA"/>
        </w:rPr>
        <w:t xml:space="preserve"> </w:t>
      </w:r>
      <w:r w:rsidR="008F538B" w:rsidRPr="0001618C">
        <w:t>FSANZ</w:t>
      </w:r>
      <w:r w:rsidR="00EE73B0">
        <w:t xml:space="preserve"> believes that medium and large</w:t>
      </w:r>
      <w:r w:rsidR="008F538B" w:rsidRPr="0001618C">
        <w:t xml:space="preserve"> businesses are more likely to </w:t>
      </w:r>
      <w:r w:rsidR="00EE73B0">
        <w:t>be on</w:t>
      </w:r>
      <w:r w:rsidR="008F538B" w:rsidRPr="0001618C">
        <w:t xml:space="preserve"> a FSS than smaller businesses.</w:t>
      </w:r>
      <w:r>
        <w:t xml:space="preserve"> </w:t>
      </w:r>
      <w:r w:rsidR="00575C45">
        <w:t xml:space="preserve">Since the CRIS, </w:t>
      </w:r>
      <w:r w:rsidR="00F931BC">
        <w:t>FSANZ has made upward revisions to the percentage of leafy vegetable businesses estimated be on a FSS after considering stakeholder feedback</w:t>
      </w:r>
      <w:r w:rsidR="00575C45">
        <w:t>,</w:t>
      </w:r>
      <w:r w:rsidR="00F931BC">
        <w:t xml:space="preserve"> </w:t>
      </w:r>
      <w:proofErr w:type="spellStart"/>
      <w:r w:rsidR="00F931BC">
        <w:t>Freshcare</w:t>
      </w:r>
      <w:proofErr w:type="spellEnd"/>
      <w:r w:rsidR="00F931BC">
        <w:t xml:space="preserve"> certifications and Australian Bureau of Statistics data.</w:t>
      </w:r>
    </w:p>
    <w:p w14:paraId="4E694940" w14:textId="77777777" w:rsidR="008F538B" w:rsidRDefault="008F538B" w:rsidP="008F538B">
      <w:pPr>
        <w:rPr>
          <w:rFonts w:asciiTheme="minorHAnsi" w:hAnsiTheme="minorHAnsi"/>
          <w:szCs w:val="22"/>
          <w:lang w:bidi="ar-SA"/>
        </w:rPr>
      </w:pPr>
    </w:p>
    <w:p w14:paraId="0C610F14" w14:textId="3DBA97B1" w:rsidR="008F538B" w:rsidRDefault="008F538B" w:rsidP="008F538B">
      <w:r>
        <w:t xml:space="preserve">In addition to FSS, other non-regulatory measures have been developed by jurisdictions, industry and academics to assist primary producers. These include guidelines, codes of practice and other documented advice. Some of these </w:t>
      </w:r>
      <w:r w:rsidR="00634A02">
        <w:t>resources</w:t>
      </w:r>
      <w:r>
        <w:t xml:space="preserve"> place more emphasis on food safety practices than others. Some</w:t>
      </w:r>
      <w:r w:rsidR="00634A02">
        <w:t xml:space="preserve"> additional</w:t>
      </w:r>
      <w:r>
        <w:t xml:space="preserve"> initiatives targeting food safety and traceability are being trialled, particularly for melons. Food safety culture initiatives are also expanding, with the growing recognition of the importance of behaviour and commitment to ensuring safe food.</w:t>
      </w:r>
    </w:p>
    <w:p w14:paraId="37D3790B" w14:textId="77777777" w:rsidR="007B08D5" w:rsidRPr="000A1E7B" w:rsidRDefault="007B08D5" w:rsidP="008F538B">
      <w:pPr>
        <w:rPr>
          <w:rFonts w:asciiTheme="minorHAnsi" w:hAnsiTheme="minorHAnsi"/>
          <w:szCs w:val="22"/>
          <w:lang w:bidi="ar-SA"/>
        </w:rPr>
      </w:pPr>
    </w:p>
    <w:p w14:paraId="3F192EC7" w14:textId="77777777" w:rsidR="007B08D5" w:rsidRPr="00CE0633" w:rsidRDefault="007B08D5" w:rsidP="007B08D5">
      <w:pPr>
        <w:pStyle w:val="Header"/>
        <w:rPr>
          <w:b/>
          <w:i/>
        </w:rPr>
      </w:pPr>
      <w:bookmarkStart w:id="235" w:name="_Toc85540151"/>
      <w:bookmarkStart w:id="236" w:name="_Toc85626160"/>
      <w:bookmarkStart w:id="237" w:name="_Toc85635293"/>
      <w:r w:rsidRPr="00CE0633">
        <w:rPr>
          <w:b/>
          <w:i/>
        </w:rPr>
        <w:t>ACCC</w:t>
      </w:r>
    </w:p>
    <w:p w14:paraId="44246EF2" w14:textId="7CF55C9D" w:rsidR="007B08D5" w:rsidRPr="00EE73B0" w:rsidRDefault="00307458" w:rsidP="007B08D5">
      <w:pPr>
        <w:pStyle w:val="Header"/>
        <w:rPr>
          <w:rFonts w:cs="Arial"/>
        </w:rPr>
      </w:pPr>
      <w:r>
        <w:t>T</w:t>
      </w:r>
      <w:r w:rsidR="007B08D5">
        <w:t>he</w:t>
      </w:r>
      <w:r w:rsidR="007B08D5">
        <w:rPr>
          <w:rFonts w:cs="Arial"/>
        </w:rPr>
        <w:t xml:space="preserve"> Australian Competition and Consumer Commission’s (ACCC) non-mandator</w:t>
      </w:r>
      <w:r>
        <w:rPr>
          <w:rFonts w:cs="Arial"/>
        </w:rPr>
        <w:t>y Horticulture Code of Practice s</w:t>
      </w:r>
      <w:r w:rsidR="00151F15">
        <w:rPr>
          <w:rFonts w:cs="Arial"/>
        </w:rPr>
        <w:t>tipulates</w:t>
      </w:r>
      <w:r>
        <w:rPr>
          <w:rFonts w:cs="Arial"/>
        </w:rPr>
        <w:t xml:space="preserve"> that</w:t>
      </w:r>
      <w:r w:rsidR="007B08D5">
        <w:rPr>
          <w:rFonts w:cs="Arial"/>
        </w:rPr>
        <w:t xml:space="preserve"> horticulture g</w:t>
      </w:r>
      <w:r w:rsidR="007B08D5" w:rsidRPr="00932BDA">
        <w:rPr>
          <w:rFonts w:cs="Arial"/>
        </w:rPr>
        <w:t xml:space="preserve">rowers and </w:t>
      </w:r>
      <w:r w:rsidR="007B08D5">
        <w:rPr>
          <w:rFonts w:cs="Arial"/>
        </w:rPr>
        <w:t>t</w:t>
      </w:r>
      <w:r w:rsidR="007B08D5" w:rsidRPr="00932BDA">
        <w:rPr>
          <w:rFonts w:cs="Arial"/>
        </w:rPr>
        <w:t>raders</w:t>
      </w:r>
      <w:r w:rsidR="007B08D5">
        <w:rPr>
          <w:rFonts w:cs="Arial"/>
        </w:rPr>
        <w:t xml:space="preserve"> have a Produce Agreement</w:t>
      </w:r>
      <w:r>
        <w:rPr>
          <w:rFonts w:cs="Arial"/>
        </w:rPr>
        <w:t>,</w:t>
      </w:r>
      <w:r w:rsidR="007B08D5">
        <w:rPr>
          <w:rFonts w:cs="Arial"/>
        </w:rPr>
        <w:t xml:space="preserve"> which includes that p</w:t>
      </w:r>
      <w:r w:rsidR="007B08D5" w:rsidRPr="00932BDA">
        <w:rPr>
          <w:rFonts w:cs="Arial"/>
        </w:rPr>
        <w:t>roduce be</w:t>
      </w:r>
      <w:r w:rsidR="007B08D5">
        <w:rPr>
          <w:rFonts w:cs="Arial"/>
        </w:rPr>
        <w:t xml:space="preserve"> grown and packed under a </w:t>
      </w:r>
      <w:r w:rsidR="007B08D5" w:rsidRPr="00932BDA">
        <w:rPr>
          <w:rFonts w:cs="Arial"/>
        </w:rPr>
        <w:t xml:space="preserve">food safety program </w:t>
      </w:r>
      <w:r w:rsidR="007B08D5">
        <w:rPr>
          <w:rFonts w:cs="Arial"/>
        </w:rPr>
        <w:t xml:space="preserve">and </w:t>
      </w:r>
      <w:r w:rsidR="007B08D5" w:rsidRPr="00932BDA">
        <w:rPr>
          <w:rFonts w:cs="Arial"/>
        </w:rPr>
        <w:t>subject to an annual third-party audit.</w:t>
      </w:r>
      <w:r w:rsidR="007B08D5">
        <w:rPr>
          <w:rFonts w:cs="Arial"/>
        </w:rPr>
        <w:t xml:space="preserve"> </w:t>
      </w:r>
      <w:r w:rsidR="007B08D5" w:rsidRPr="00473A98">
        <w:rPr>
          <w:rFonts w:cs="Arial"/>
        </w:rPr>
        <w:t xml:space="preserve">This arrangement is not </w:t>
      </w:r>
      <w:r w:rsidR="007B08D5">
        <w:rPr>
          <w:rFonts w:cs="Arial"/>
        </w:rPr>
        <w:t>enforced by the ACCC</w:t>
      </w:r>
      <w:r w:rsidR="007B08D5" w:rsidRPr="00473A98">
        <w:rPr>
          <w:rFonts w:cs="Arial"/>
        </w:rPr>
        <w:t>.</w:t>
      </w:r>
    </w:p>
    <w:p w14:paraId="028C24D9" w14:textId="77777777" w:rsidR="008F538B" w:rsidRPr="008F538B" w:rsidRDefault="008F538B" w:rsidP="00E01D35">
      <w:pPr>
        <w:pStyle w:val="Heading3"/>
      </w:pPr>
      <w:bookmarkStart w:id="238" w:name="_Toc97643848"/>
      <w:bookmarkStart w:id="239" w:name="_Toc97653233"/>
      <w:bookmarkStart w:id="240" w:name="_Toc97739385"/>
      <w:bookmarkStart w:id="241" w:name="_Toc97823802"/>
      <w:bookmarkStart w:id="242" w:name="_Toc97823968"/>
      <w:r w:rsidRPr="00E01D35">
        <w:t>Current</w:t>
      </w:r>
      <w:r>
        <w:t xml:space="preserve"> r</w:t>
      </w:r>
      <w:r w:rsidRPr="008F538B">
        <w:t>egulatory measures</w:t>
      </w:r>
      <w:bookmarkEnd w:id="235"/>
      <w:bookmarkEnd w:id="236"/>
      <w:bookmarkEnd w:id="237"/>
      <w:bookmarkEnd w:id="238"/>
      <w:bookmarkEnd w:id="239"/>
      <w:bookmarkEnd w:id="240"/>
      <w:bookmarkEnd w:id="241"/>
      <w:bookmarkEnd w:id="242"/>
      <w:r w:rsidRPr="008F538B">
        <w:t xml:space="preserve"> </w:t>
      </w:r>
    </w:p>
    <w:p w14:paraId="01307E5F" w14:textId="3149A947" w:rsidR="008F538B" w:rsidRDefault="008F538B" w:rsidP="00E01D35">
      <w:pPr>
        <w:pStyle w:val="Heading4"/>
      </w:pPr>
      <w:r w:rsidRPr="0005685C">
        <w:t xml:space="preserve">National </w:t>
      </w:r>
      <w:r>
        <w:t xml:space="preserve"> </w:t>
      </w:r>
    </w:p>
    <w:p w14:paraId="7E0766B2" w14:textId="56A0A2F4" w:rsidR="00CE0633" w:rsidRDefault="008F538B" w:rsidP="008F538B">
      <w:pPr>
        <w:pStyle w:val="Header"/>
      </w:pPr>
      <w:r>
        <w:t>I</w:t>
      </w:r>
      <w:r w:rsidRPr="00EE2B8B">
        <w:t>n Australia</w:t>
      </w:r>
      <w:r>
        <w:t>,</w:t>
      </w:r>
      <w:r w:rsidRPr="00EE2B8B">
        <w:t xml:space="preserve"> there are currently no national regulatory food safety requirements applying to the primary production and processing of horticultural products, except for </w:t>
      </w:r>
      <w:r>
        <w:t xml:space="preserve">seed </w:t>
      </w:r>
      <w:r w:rsidRPr="00EE2B8B">
        <w:t>sprouts.</w:t>
      </w:r>
      <w:r>
        <w:t xml:space="preserve"> </w:t>
      </w:r>
      <w:r w:rsidRPr="00EE2B8B">
        <w:t xml:space="preserve">Chapter 3 </w:t>
      </w:r>
      <w:r>
        <w:t>of the Code applies</w:t>
      </w:r>
      <w:r w:rsidRPr="00EE2B8B">
        <w:t xml:space="preserve"> to</w:t>
      </w:r>
      <w:r>
        <w:t xml:space="preserve"> ‘</w:t>
      </w:r>
      <w:r w:rsidRPr="00EE2B8B">
        <w:t>food businesses</w:t>
      </w:r>
      <w:r>
        <w:t>’, which excludes primary produc</w:t>
      </w:r>
      <w:r w:rsidR="00A43A53">
        <w:t>tion</w:t>
      </w:r>
      <w:r>
        <w:t xml:space="preserve"> unless </w:t>
      </w:r>
      <w:r w:rsidR="00A43A53">
        <w:t xml:space="preserve">food is sold </w:t>
      </w:r>
      <w:r>
        <w:t xml:space="preserve">directly to the </w:t>
      </w:r>
      <w:r w:rsidR="00A43A53">
        <w:t>public</w:t>
      </w:r>
      <w:r>
        <w:t>.</w:t>
      </w:r>
    </w:p>
    <w:p w14:paraId="639C52EC" w14:textId="6942C94F" w:rsidR="008F538B" w:rsidRPr="0005685C" w:rsidRDefault="008F538B" w:rsidP="00E01D35">
      <w:pPr>
        <w:pStyle w:val="Heading4"/>
      </w:pPr>
      <w:r w:rsidRPr="0005685C">
        <w:t xml:space="preserve">Jurisdictional  </w:t>
      </w:r>
    </w:p>
    <w:p w14:paraId="7631F980" w14:textId="694581FF" w:rsidR="0005685C" w:rsidRPr="00E01D35" w:rsidRDefault="00196387" w:rsidP="008F538B">
      <w:pPr>
        <w:pStyle w:val="Header"/>
        <w:rPr>
          <w:rFonts w:cs="Arial"/>
        </w:rPr>
      </w:pPr>
      <w:r w:rsidRPr="0005685C">
        <w:rPr>
          <w:rFonts w:cs="Arial"/>
        </w:rPr>
        <w:t>The primary production and processing of horticultural products is regulated to varying degrees by each state and territory. Some jurisdictions have amended the definitions of ‘food business’ and ‘primary food production’ in their Food Acts to apply food safety requirements to horticulture primary production and processing.</w:t>
      </w:r>
      <w:r w:rsidR="00A64234" w:rsidRPr="0005685C">
        <w:rPr>
          <w:rFonts w:cs="Arial"/>
        </w:rPr>
        <w:t xml:space="preserve"> </w:t>
      </w:r>
      <w:r w:rsidR="0005685C" w:rsidRPr="0005685C">
        <w:rPr>
          <w:rFonts w:cs="Arial"/>
        </w:rPr>
        <w:t>For example,</w:t>
      </w:r>
      <w:r w:rsidR="0005685C">
        <w:rPr>
          <w:rFonts w:cs="Arial"/>
        </w:rPr>
        <w:t xml:space="preserve"> </w:t>
      </w:r>
      <w:r w:rsidR="0005685C">
        <w:t>N</w:t>
      </w:r>
      <w:r w:rsidR="00C33D39">
        <w:t xml:space="preserve">ew </w:t>
      </w:r>
      <w:r w:rsidR="0005685C">
        <w:t>S</w:t>
      </w:r>
      <w:r w:rsidR="00C33D39">
        <w:t xml:space="preserve">outh </w:t>
      </w:r>
      <w:r w:rsidR="0005685C">
        <w:t>W</w:t>
      </w:r>
      <w:r w:rsidR="00C33D39">
        <w:t>ales</w:t>
      </w:r>
      <w:r w:rsidR="0005685C">
        <w:t>, Q</w:t>
      </w:r>
      <w:r w:rsidR="005016BF">
        <w:t>ueensland</w:t>
      </w:r>
      <w:r w:rsidR="0005685C">
        <w:t xml:space="preserve"> and S</w:t>
      </w:r>
      <w:r w:rsidR="00C33D39">
        <w:t xml:space="preserve">outh </w:t>
      </w:r>
      <w:r w:rsidR="0005685C">
        <w:t>A</w:t>
      </w:r>
      <w:r w:rsidR="00C33D39">
        <w:t>ustralia</w:t>
      </w:r>
      <w:r w:rsidR="0005685C">
        <w:t xml:space="preserve"> all have food safety requirements for some aspects of horticulture in regulations under their Food Acts</w:t>
      </w:r>
      <w:r w:rsidR="004B5FE6">
        <w:t>. H</w:t>
      </w:r>
      <w:r w:rsidR="0005685C">
        <w:t>owever</w:t>
      </w:r>
      <w:r w:rsidR="004B5FE6">
        <w:t>,</w:t>
      </w:r>
      <w:r w:rsidR="0005685C">
        <w:t xml:space="preserve"> these </w:t>
      </w:r>
      <w:r w:rsidR="004B5FE6">
        <w:t xml:space="preserve">requirements </w:t>
      </w:r>
      <w:r w:rsidR="0005685C">
        <w:t>are not specific for berries, leafy vegetables or melons.</w:t>
      </w:r>
      <w:r w:rsidR="0005685C">
        <w:rPr>
          <w:rFonts w:cs="Arial"/>
        </w:rPr>
        <w:t xml:space="preserve"> </w:t>
      </w:r>
      <w:r w:rsidR="00A64234" w:rsidRPr="009371A8">
        <w:rPr>
          <w:rFonts w:cs="Arial"/>
        </w:rPr>
        <w:t xml:space="preserve">Further information is provided in </w:t>
      </w:r>
      <w:hyperlink r:id="rId32" w:history="1">
        <w:r w:rsidR="009371A8" w:rsidRPr="00A70E0C">
          <w:rPr>
            <w:rStyle w:val="Hyperlink"/>
            <w:rFonts w:cs="Arial"/>
          </w:rPr>
          <w:t>SD</w:t>
        </w:r>
        <w:r w:rsidR="00A70E0C" w:rsidRPr="00A70E0C">
          <w:rPr>
            <w:rStyle w:val="Hyperlink"/>
            <w:rFonts w:cs="Arial"/>
          </w:rPr>
          <w:t>1</w:t>
        </w:r>
      </w:hyperlink>
      <w:r w:rsidR="00A70E0C">
        <w:rPr>
          <w:rFonts w:cs="Arial"/>
        </w:rPr>
        <w:t xml:space="preserve"> of the 2</w:t>
      </w:r>
      <w:r w:rsidR="00A70E0C" w:rsidRPr="00A70E0C">
        <w:rPr>
          <w:rFonts w:cs="Arial"/>
          <w:vertAlign w:val="superscript"/>
        </w:rPr>
        <w:t>nd</w:t>
      </w:r>
      <w:r w:rsidR="00A70E0C">
        <w:rPr>
          <w:rFonts w:cs="Arial"/>
        </w:rPr>
        <w:t xml:space="preserve"> CFS</w:t>
      </w:r>
      <w:r w:rsidR="00A64234" w:rsidRPr="009371A8">
        <w:rPr>
          <w:rFonts w:cs="Arial"/>
        </w:rPr>
        <w:t>.</w:t>
      </w:r>
    </w:p>
    <w:p w14:paraId="0FF836A5" w14:textId="78400C84" w:rsidR="008F538B" w:rsidRPr="0005685C" w:rsidRDefault="008F538B" w:rsidP="00E01D35">
      <w:pPr>
        <w:pStyle w:val="Heading4"/>
      </w:pPr>
      <w:r w:rsidRPr="0005685C">
        <w:t xml:space="preserve">Import and export  </w:t>
      </w:r>
    </w:p>
    <w:p w14:paraId="38C5F229" w14:textId="49ED0884" w:rsidR="0005685C" w:rsidRDefault="008F538B" w:rsidP="008F538B">
      <w:pPr>
        <w:pStyle w:val="Header"/>
      </w:pPr>
      <w:r>
        <w:t xml:space="preserve">DAWE administers legislation to regulate the import and export of </w:t>
      </w:r>
      <w:r w:rsidR="004D0907">
        <w:t>agricultural products</w:t>
      </w:r>
      <w:r w:rsidR="004D51DA">
        <w:t>,</w:t>
      </w:r>
      <w:r w:rsidR="004D0907">
        <w:t xml:space="preserve"> including</w:t>
      </w:r>
      <w:r w:rsidR="00071D82">
        <w:t xml:space="preserve"> </w:t>
      </w:r>
      <w:r>
        <w:t>food</w:t>
      </w:r>
      <w:r w:rsidR="00071D82">
        <w:t xml:space="preserve"> and</w:t>
      </w:r>
      <w:r>
        <w:t xml:space="preserve"> plant products. The main focus of </w:t>
      </w:r>
      <w:r w:rsidR="00922D1D">
        <w:t xml:space="preserve">the </w:t>
      </w:r>
      <w:r w:rsidR="00922D1D" w:rsidRPr="00307458">
        <w:rPr>
          <w:i/>
        </w:rPr>
        <w:t>Biosecurity Act</w:t>
      </w:r>
      <w:r w:rsidRPr="00307458" w:rsidDel="00922D1D">
        <w:rPr>
          <w:i/>
        </w:rPr>
        <w:t xml:space="preserve"> </w:t>
      </w:r>
      <w:r w:rsidR="00922D1D" w:rsidRPr="00307458">
        <w:rPr>
          <w:i/>
        </w:rPr>
        <w:t>2015</w:t>
      </w:r>
      <w:r w:rsidR="00922D1D">
        <w:t xml:space="preserve"> </w:t>
      </w:r>
      <w:r>
        <w:t xml:space="preserve">is </w:t>
      </w:r>
      <w:r w:rsidR="004D51DA">
        <w:t>to</w:t>
      </w:r>
      <w:r>
        <w:t xml:space="preserve"> prevent the introduction and spread of pests and diseases. Imported food that meets biosecurity requirements is then monitored for compliance with the Code and the requirements of public health and safety under the </w:t>
      </w:r>
      <w:r w:rsidRPr="000B5CD1">
        <w:rPr>
          <w:i/>
        </w:rPr>
        <w:t>Imported Food Control Act 1992</w:t>
      </w:r>
      <w:r w:rsidR="00D174C3">
        <w:t>.</w:t>
      </w:r>
      <w:r w:rsidR="00071D82">
        <w:t xml:space="preserve"> For many exported foods, under the </w:t>
      </w:r>
      <w:r w:rsidR="00071D82" w:rsidRPr="00473A19">
        <w:rPr>
          <w:i/>
        </w:rPr>
        <w:t>Export Control Act 2020</w:t>
      </w:r>
      <w:r w:rsidR="00071D82">
        <w:t xml:space="preserve"> they must be fit for human consumption and meet importing country requirements, including </w:t>
      </w:r>
      <w:r w:rsidR="004D51DA">
        <w:t>for</w:t>
      </w:r>
      <w:r w:rsidR="00071D82">
        <w:t xml:space="preserve"> food safety.</w:t>
      </w:r>
      <w:r w:rsidR="004D0907">
        <w:t xml:space="preserve"> Requirements for exported plant products mainly relate to biosecurity.</w:t>
      </w:r>
    </w:p>
    <w:p w14:paraId="32D23109" w14:textId="77777777" w:rsidR="0005685C" w:rsidRPr="00FB0972" w:rsidRDefault="0005685C" w:rsidP="00E01D35">
      <w:pPr>
        <w:pStyle w:val="Heading3"/>
      </w:pPr>
      <w:bookmarkStart w:id="243" w:name="_Toc85540152"/>
      <w:bookmarkStart w:id="244" w:name="_Toc85626161"/>
      <w:bookmarkStart w:id="245" w:name="_Toc85635294"/>
      <w:bookmarkStart w:id="246" w:name="_Toc97643849"/>
      <w:bookmarkStart w:id="247" w:name="_Toc97653234"/>
      <w:bookmarkStart w:id="248" w:name="_Toc97739386"/>
      <w:bookmarkStart w:id="249" w:name="_Toc97823803"/>
      <w:bookmarkStart w:id="250" w:name="_Toc97823969"/>
      <w:r w:rsidRPr="00FB0972">
        <w:t>Summary</w:t>
      </w:r>
      <w:bookmarkEnd w:id="243"/>
      <w:bookmarkEnd w:id="244"/>
      <w:bookmarkEnd w:id="245"/>
      <w:bookmarkEnd w:id="246"/>
      <w:bookmarkEnd w:id="247"/>
      <w:bookmarkEnd w:id="248"/>
      <w:bookmarkEnd w:id="249"/>
      <w:bookmarkEnd w:id="250"/>
    </w:p>
    <w:p w14:paraId="448A36F8" w14:textId="45AD0E12" w:rsidR="008F538B" w:rsidRDefault="0005685C" w:rsidP="00B85F78">
      <w:pPr>
        <w:pStyle w:val="Header"/>
      </w:pPr>
      <w:r>
        <w:t>Under the status quo option</w:t>
      </w:r>
      <w:r w:rsidR="00C33D39">
        <w:t>,</w:t>
      </w:r>
      <w:r>
        <w:t xml:space="preserve"> no changes would be made </w:t>
      </w:r>
      <w:r w:rsidR="00E6081B">
        <w:t xml:space="preserve">to </w:t>
      </w:r>
      <w:r>
        <w:t>the regulatory and non-regulatory measures described above</w:t>
      </w:r>
      <w:r w:rsidR="001C3A8E">
        <w:t xml:space="preserve">. </w:t>
      </w:r>
    </w:p>
    <w:p w14:paraId="1B01AAEC" w14:textId="2BD5A10F" w:rsidR="00042F20" w:rsidRDefault="00042F20" w:rsidP="00B85F78">
      <w:pPr>
        <w:pStyle w:val="Header"/>
      </w:pPr>
    </w:p>
    <w:p w14:paraId="3D909278" w14:textId="65D1FE44" w:rsidR="00042F20" w:rsidRDefault="00042F20" w:rsidP="00B85F78">
      <w:pPr>
        <w:pStyle w:val="Header"/>
      </w:pPr>
    </w:p>
    <w:p w14:paraId="4414545D" w14:textId="77777777" w:rsidR="00042F20" w:rsidRDefault="00042F20" w:rsidP="00B85F78">
      <w:pPr>
        <w:pStyle w:val="Header"/>
      </w:pPr>
    </w:p>
    <w:p w14:paraId="25E14A33" w14:textId="76D3C520" w:rsidR="0098595B" w:rsidRDefault="00FB6EF1" w:rsidP="00F611C6">
      <w:pPr>
        <w:pStyle w:val="Heading2"/>
      </w:pPr>
      <w:bookmarkStart w:id="251" w:name="_Toc85635295"/>
      <w:bookmarkStart w:id="252" w:name="_Toc97643850"/>
      <w:bookmarkStart w:id="253" w:name="_Toc97653235"/>
      <w:bookmarkStart w:id="254" w:name="_Toc97739387"/>
      <w:bookmarkStart w:id="255" w:name="_Toc97823804"/>
      <w:bookmarkStart w:id="256" w:name="_Toc97823970"/>
      <w:r>
        <w:t>6.3</w:t>
      </w:r>
      <w:r>
        <w:tab/>
      </w:r>
      <w:r w:rsidR="00900391">
        <w:t xml:space="preserve">Option </w:t>
      </w:r>
      <w:r w:rsidR="0098595B">
        <w:t>2</w:t>
      </w:r>
      <w:r w:rsidR="00900391">
        <w:t xml:space="preserve">: </w:t>
      </w:r>
      <w:r w:rsidR="0098595B">
        <w:t>Regulatory measures</w:t>
      </w:r>
      <w:r w:rsidR="0005685C">
        <w:t xml:space="preserve"> </w:t>
      </w:r>
      <w:r w:rsidR="00E01D35">
        <w:t>–</w:t>
      </w:r>
      <w:r w:rsidR="006439BF">
        <w:t xml:space="preserve"> standards for berries, leafy vegetables and melons</w:t>
      </w:r>
      <w:bookmarkEnd w:id="251"/>
      <w:bookmarkEnd w:id="252"/>
      <w:bookmarkEnd w:id="253"/>
      <w:bookmarkEnd w:id="254"/>
      <w:bookmarkEnd w:id="255"/>
      <w:bookmarkEnd w:id="256"/>
    </w:p>
    <w:p w14:paraId="37C3B4BC" w14:textId="59A7DF5C" w:rsidR="006439BF" w:rsidRDefault="006439BF" w:rsidP="006439BF">
      <w:r>
        <w:t>In thi</w:t>
      </w:r>
      <w:r w:rsidR="00F87E3D">
        <w:t>s option, the proposed regulatory measures</w:t>
      </w:r>
      <w:r>
        <w:t xml:space="preserve"> would take the form of three </w:t>
      </w:r>
      <w:r w:rsidR="001C3A8E">
        <w:t>PPP</w:t>
      </w:r>
      <w:r>
        <w:t xml:space="preserve"> standards in the Code</w:t>
      </w:r>
      <w:r w:rsidR="00F87E3D">
        <w:t xml:space="preserve"> (one </w:t>
      </w:r>
      <w:r w:rsidR="006E70E2">
        <w:t xml:space="preserve">standard </w:t>
      </w:r>
      <w:r w:rsidR="00F87E3D">
        <w:t>each for berries, leafy vegetables and melons)</w:t>
      </w:r>
      <w:r>
        <w:t xml:space="preserve">. </w:t>
      </w:r>
      <w:r w:rsidRPr="00A912A1">
        <w:t xml:space="preserve">Each proposed </w:t>
      </w:r>
      <w:r w:rsidR="00A912A1" w:rsidRPr="00A912A1">
        <w:t>draft</w:t>
      </w:r>
      <w:r w:rsidRPr="00A912A1">
        <w:t xml:space="preserve"> standard </w:t>
      </w:r>
      <w:r w:rsidR="00E6081B" w:rsidRPr="00A912A1">
        <w:t>was</w:t>
      </w:r>
      <w:r w:rsidRPr="00A912A1">
        <w:t xml:space="preserve"> provided </w:t>
      </w:r>
      <w:r w:rsidR="00B85F78" w:rsidRPr="00A912A1">
        <w:t>in full</w:t>
      </w:r>
      <w:r w:rsidRPr="00A912A1">
        <w:t xml:space="preserve"> in the main body of </w:t>
      </w:r>
      <w:r w:rsidR="00D81593" w:rsidRPr="00A912A1">
        <w:t>our</w:t>
      </w:r>
      <w:r w:rsidRPr="00A912A1">
        <w:t xml:space="preserve"> 2</w:t>
      </w:r>
      <w:r w:rsidRPr="00A912A1">
        <w:rPr>
          <w:vertAlign w:val="superscript"/>
        </w:rPr>
        <w:t>nd</w:t>
      </w:r>
      <w:r w:rsidRPr="00A912A1">
        <w:t xml:space="preserve"> </w:t>
      </w:r>
      <w:r w:rsidR="004B5FE6" w:rsidRPr="00A912A1">
        <w:t>C</w:t>
      </w:r>
      <w:r w:rsidRPr="00A912A1">
        <w:t>a</w:t>
      </w:r>
      <w:r w:rsidR="004B5FE6" w:rsidRPr="00A912A1">
        <w:t>ll for S</w:t>
      </w:r>
      <w:r w:rsidRPr="00A912A1">
        <w:t>ubmissions report</w:t>
      </w:r>
      <w:r w:rsidR="00F67CFE">
        <w:t xml:space="preserve"> and costed in the CBA</w:t>
      </w:r>
      <w:r w:rsidRPr="00487F66">
        <w:t>.</w:t>
      </w:r>
      <w:r w:rsidR="00F87E3D">
        <w:t xml:space="preserve"> A comparati</w:t>
      </w:r>
      <w:r w:rsidR="00F87E3D" w:rsidRPr="009D2DA6">
        <w:t xml:space="preserve">ve summary of the requirements of each standard is </w:t>
      </w:r>
      <w:r w:rsidR="009D2DA6" w:rsidRPr="009D2DA6">
        <w:t>provided in T</w:t>
      </w:r>
      <w:r w:rsidR="00665611" w:rsidRPr="009D2DA6">
        <w:t xml:space="preserve">able </w:t>
      </w:r>
      <w:r w:rsidR="009D2DA6" w:rsidRPr="009D2DA6">
        <w:t>3</w:t>
      </w:r>
      <w:r w:rsidR="00F87E3D" w:rsidRPr="009D2DA6">
        <w:t>.</w:t>
      </w:r>
    </w:p>
    <w:p w14:paraId="69F9656A" w14:textId="77777777" w:rsidR="006439BF" w:rsidRDefault="006439BF" w:rsidP="006439BF"/>
    <w:p w14:paraId="1FB47A89" w14:textId="0FA9C3FF" w:rsidR="006439BF" w:rsidRPr="000934CD" w:rsidRDefault="00A120BD" w:rsidP="006439BF">
      <w:pPr>
        <w:rPr>
          <w:rFonts w:cs="Arial"/>
          <w:color w:val="000000" w:themeColor="text1"/>
        </w:rPr>
      </w:pPr>
      <w:r>
        <w:rPr>
          <w:rFonts w:cs="Arial"/>
          <w:color w:val="000000" w:themeColor="text1"/>
        </w:rPr>
        <w:t>E</w:t>
      </w:r>
      <w:r w:rsidR="006439BF">
        <w:rPr>
          <w:rFonts w:cs="Arial"/>
          <w:color w:val="000000" w:themeColor="text1"/>
        </w:rPr>
        <w:t>ach proposed</w:t>
      </w:r>
      <w:r w:rsidR="006439BF" w:rsidRPr="000934CD">
        <w:rPr>
          <w:rFonts w:cs="Arial"/>
          <w:color w:val="000000" w:themeColor="text1"/>
        </w:rPr>
        <w:t xml:space="preserve"> </w:t>
      </w:r>
      <w:r w:rsidR="006439BF">
        <w:rPr>
          <w:rFonts w:cs="Arial"/>
          <w:color w:val="000000" w:themeColor="text1"/>
        </w:rPr>
        <w:t>standard</w:t>
      </w:r>
      <w:r>
        <w:rPr>
          <w:rFonts w:cs="Arial"/>
          <w:color w:val="000000" w:themeColor="text1"/>
        </w:rPr>
        <w:t xml:space="preserve"> </w:t>
      </w:r>
      <w:r w:rsidR="006439BF" w:rsidRPr="000934CD">
        <w:rPr>
          <w:rFonts w:cs="Arial"/>
          <w:color w:val="000000" w:themeColor="text1"/>
        </w:rPr>
        <w:t>was designed:</w:t>
      </w:r>
    </w:p>
    <w:p w14:paraId="69CDAA3E" w14:textId="4070884D" w:rsidR="006439BF" w:rsidRPr="000934CD" w:rsidRDefault="006439BF" w:rsidP="00DF44D1">
      <w:pPr>
        <w:pStyle w:val="FSBullet1"/>
      </w:pPr>
      <w:r w:rsidRPr="000934CD">
        <w:t>ba</w:t>
      </w:r>
      <w:r>
        <w:t xml:space="preserve">sed on the findings of </w:t>
      </w:r>
      <w:r w:rsidR="00D81593">
        <w:t>our</w:t>
      </w:r>
      <w:r>
        <w:t xml:space="preserve"> microbiological a</w:t>
      </w:r>
      <w:r w:rsidRPr="000934CD">
        <w:t>ssessment for that commodity</w:t>
      </w:r>
    </w:p>
    <w:p w14:paraId="1208E983" w14:textId="62468594" w:rsidR="006439BF" w:rsidRPr="000934CD" w:rsidRDefault="006439BF" w:rsidP="00DF44D1">
      <w:pPr>
        <w:pStyle w:val="FSBullet1"/>
      </w:pPr>
      <w:r w:rsidRPr="000934CD">
        <w:t>to optimise costs and benefit</w:t>
      </w:r>
      <w:r w:rsidR="00D81593">
        <w:t>,</w:t>
      </w:r>
      <w:r w:rsidRPr="000934CD">
        <w:t xml:space="preserve"> as guided by </w:t>
      </w:r>
      <w:r w:rsidR="00D81593">
        <w:t>our</w:t>
      </w:r>
      <w:r w:rsidRPr="00115224">
        <w:t xml:space="preserve"> CBA</w:t>
      </w:r>
    </w:p>
    <w:p w14:paraId="7AF30A06" w14:textId="28FAAC4F" w:rsidR="006439BF" w:rsidRPr="00940EE2" w:rsidRDefault="006439BF" w:rsidP="00DF44D1">
      <w:pPr>
        <w:pStyle w:val="FSBullet1"/>
      </w:pPr>
      <w:r w:rsidRPr="000934CD">
        <w:t>to contribute to food safety management</w:t>
      </w:r>
    </w:p>
    <w:p w14:paraId="58D4744D" w14:textId="4031BB70" w:rsidR="006439BF" w:rsidRPr="00940EE2" w:rsidRDefault="006439BF" w:rsidP="00DF44D1">
      <w:pPr>
        <w:pStyle w:val="FSBullet1"/>
      </w:pPr>
      <w:r>
        <w:t>to be outcomes based</w:t>
      </w:r>
      <w:r w:rsidR="00D81593">
        <w:t>,</w:t>
      </w:r>
      <w:r>
        <w:t xml:space="preserve"> rather than prescriptive</w:t>
      </w:r>
    </w:p>
    <w:p w14:paraId="697E8C01" w14:textId="1589AC3C" w:rsidR="006439BF" w:rsidRDefault="006439BF" w:rsidP="00DF44D1">
      <w:pPr>
        <w:pStyle w:val="FSBullet1"/>
      </w:pPr>
      <w:r w:rsidRPr="000934CD">
        <w:t xml:space="preserve">to </w:t>
      </w:r>
      <w:r>
        <w:t>align with</w:t>
      </w:r>
      <w:r w:rsidRPr="000934CD">
        <w:t xml:space="preserve"> </w:t>
      </w:r>
      <w:r>
        <w:t xml:space="preserve">requirements in existing FSANZ standards and </w:t>
      </w:r>
      <w:r w:rsidR="00D81593">
        <w:t xml:space="preserve">industry </w:t>
      </w:r>
      <w:r>
        <w:t>FSS</w:t>
      </w:r>
    </w:p>
    <w:p w14:paraId="5A3809AE" w14:textId="0D3D1FAB" w:rsidR="00F5056C" w:rsidRDefault="006439BF" w:rsidP="00DF44D1">
      <w:pPr>
        <w:pStyle w:val="FSBullet1"/>
      </w:pPr>
      <w:r>
        <w:t xml:space="preserve">so that they represent </w:t>
      </w:r>
      <w:r w:rsidRPr="000934CD">
        <w:t>the minimum req</w:t>
      </w:r>
      <w:r w:rsidR="003E531F">
        <w:t xml:space="preserve">uirements to </w:t>
      </w:r>
      <w:r w:rsidR="00244FBD">
        <w:t>address key food safety risks</w:t>
      </w:r>
      <w:r w:rsidR="003E531F">
        <w:t xml:space="preserve"> </w:t>
      </w:r>
      <w:r w:rsidR="00D81593">
        <w:t>(</w:t>
      </w:r>
      <w:r w:rsidR="003E531F">
        <w:t>i.e. represent the lightest touch</w:t>
      </w:r>
      <w:r w:rsidR="00D81593">
        <w:t>)</w:t>
      </w:r>
    </w:p>
    <w:p w14:paraId="644F206A" w14:textId="724A35A9" w:rsidR="00F5056C" w:rsidRDefault="00F5056C" w:rsidP="00DF44D1">
      <w:pPr>
        <w:pStyle w:val="FSBullet1"/>
      </w:pPr>
      <w:r>
        <w:t>with regard to international measures including Codex.</w:t>
      </w:r>
    </w:p>
    <w:p w14:paraId="1808E911" w14:textId="7E6D7A46" w:rsidR="006439BF" w:rsidRDefault="006439BF" w:rsidP="00F5056C">
      <w:pPr>
        <w:pStyle w:val="FSBullet1"/>
        <w:numPr>
          <w:ilvl w:val="0"/>
          <w:numId w:val="0"/>
        </w:numPr>
        <w:ind w:left="502"/>
      </w:pPr>
    </w:p>
    <w:p w14:paraId="28E1EE05" w14:textId="77777777" w:rsidR="006439BF" w:rsidRDefault="006439BF" w:rsidP="006439BF">
      <w:r>
        <w:t>The proposed standards are different for each commodity, due to differences in the:</w:t>
      </w:r>
    </w:p>
    <w:p w14:paraId="7E74FC2C" w14:textId="77777777" w:rsidR="006439BF" w:rsidRPr="00940EE2" w:rsidRDefault="006439BF" w:rsidP="00DF44D1">
      <w:pPr>
        <w:pStyle w:val="FSBullet1"/>
      </w:pPr>
      <w:r w:rsidRPr="00940EE2">
        <w:t>inherent characteristics of each commodity</w:t>
      </w:r>
    </w:p>
    <w:p w14:paraId="68FB1353" w14:textId="77777777" w:rsidR="006439BF" w:rsidRPr="00940EE2" w:rsidRDefault="006439BF" w:rsidP="00DF44D1">
      <w:pPr>
        <w:pStyle w:val="FSBullet1"/>
      </w:pPr>
      <w:r w:rsidRPr="00940EE2">
        <w:t>primary production and processing of each commodity</w:t>
      </w:r>
    </w:p>
    <w:p w14:paraId="0321545D" w14:textId="77777777" w:rsidR="006439BF" w:rsidRPr="00115224" w:rsidRDefault="006439BF" w:rsidP="00DF44D1">
      <w:pPr>
        <w:pStyle w:val="FSBullet1"/>
      </w:pPr>
      <w:r w:rsidRPr="00940EE2">
        <w:t xml:space="preserve">hazards identified by the </w:t>
      </w:r>
      <w:r w:rsidRPr="00115224">
        <w:t>microbiological assessment</w:t>
      </w:r>
    </w:p>
    <w:p w14:paraId="30AE14E8" w14:textId="6165A0AF" w:rsidR="006439BF" w:rsidRPr="00940EE2" w:rsidRDefault="003E531F" w:rsidP="00DF44D1">
      <w:pPr>
        <w:pStyle w:val="FSBullet1"/>
      </w:pPr>
      <w:r>
        <w:t>attributed illness for each commodity</w:t>
      </w:r>
      <w:r w:rsidR="00D81593">
        <w:t>,</w:t>
      </w:r>
      <w:r w:rsidR="006439BF">
        <w:t xml:space="preserve"> discussed in the CBA</w:t>
      </w:r>
    </w:p>
    <w:p w14:paraId="2164C6B3" w14:textId="02D7F037" w:rsidR="006439BF" w:rsidRDefault="006439BF" w:rsidP="00DF44D1">
      <w:pPr>
        <w:pStyle w:val="FSBullet1"/>
      </w:pPr>
      <w:r w:rsidRPr="00940EE2">
        <w:t>cost and benefit ratios for each sector</w:t>
      </w:r>
      <w:r w:rsidR="00D81593">
        <w:t>,</w:t>
      </w:r>
      <w:r>
        <w:t xml:space="preserve"> discussed in the CBA.</w:t>
      </w:r>
    </w:p>
    <w:p w14:paraId="543AC1E4" w14:textId="456E0D17" w:rsidR="0098595B" w:rsidRDefault="0098595B" w:rsidP="00690206">
      <w:pPr>
        <w:rPr>
          <w:lang w:bidi="ar-SA"/>
        </w:rPr>
      </w:pPr>
    </w:p>
    <w:p w14:paraId="49AEDAA7" w14:textId="759DC7EC" w:rsidR="00962D44" w:rsidRDefault="00304AEA" w:rsidP="00A120BD">
      <w:pPr>
        <w:rPr>
          <w:color w:val="000000" w:themeColor="text1"/>
        </w:rPr>
      </w:pPr>
      <w:r>
        <w:rPr>
          <w:color w:val="000000" w:themeColor="text1"/>
        </w:rPr>
        <w:t xml:space="preserve">Implementation of the standards is the responsibility of jurisdictions. </w:t>
      </w:r>
      <w:r w:rsidR="00695508">
        <w:rPr>
          <w:color w:val="000000" w:themeColor="text1"/>
        </w:rPr>
        <w:t xml:space="preserve">The regulatory measures </w:t>
      </w:r>
      <w:r w:rsidR="0073328E">
        <w:rPr>
          <w:color w:val="000000" w:themeColor="text1"/>
        </w:rPr>
        <w:t>may</w:t>
      </w:r>
      <w:r w:rsidR="00962D44">
        <w:rPr>
          <w:color w:val="000000" w:themeColor="text1"/>
        </w:rPr>
        <w:t xml:space="preserve"> </w:t>
      </w:r>
      <w:r w:rsidR="00695508">
        <w:rPr>
          <w:color w:val="000000" w:themeColor="text1"/>
        </w:rPr>
        <w:t>require primar</w:t>
      </w:r>
      <w:r w:rsidR="00962D44">
        <w:rPr>
          <w:color w:val="000000" w:themeColor="text1"/>
        </w:rPr>
        <w:t xml:space="preserve">y producers and processors of </w:t>
      </w:r>
      <w:r w:rsidR="00F5056C">
        <w:rPr>
          <w:color w:val="000000" w:themeColor="text1"/>
        </w:rPr>
        <w:t>leafy vegetables and melons</w:t>
      </w:r>
      <w:r w:rsidR="00F60AD7">
        <w:rPr>
          <w:color w:val="000000" w:themeColor="text1"/>
        </w:rPr>
        <w:t xml:space="preserve"> to</w:t>
      </w:r>
      <w:r w:rsidR="00F5056C">
        <w:rPr>
          <w:color w:val="000000" w:themeColor="text1"/>
        </w:rPr>
        <w:t xml:space="preserve"> b</w:t>
      </w:r>
      <w:r w:rsidR="00695508">
        <w:rPr>
          <w:color w:val="000000" w:themeColor="text1"/>
        </w:rPr>
        <w:t>e registered or licenced</w:t>
      </w:r>
      <w:r w:rsidR="00962D44">
        <w:rPr>
          <w:color w:val="000000" w:themeColor="text1"/>
        </w:rPr>
        <w:t xml:space="preserve"> with jurisdictions</w:t>
      </w:r>
      <w:r w:rsidR="00A853B9">
        <w:rPr>
          <w:color w:val="000000" w:themeColor="text1"/>
        </w:rPr>
        <w:t xml:space="preserve">, regardless of whether or not they are on a FSS. </w:t>
      </w:r>
      <w:r w:rsidR="00E813CA">
        <w:rPr>
          <w:color w:val="000000" w:themeColor="text1"/>
        </w:rPr>
        <w:t>J</w:t>
      </w:r>
      <w:r w:rsidR="00A33D89" w:rsidRPr="00E63CB4">
        <w:rPr>
          <w:color w:val="000000" w:themeColor="text1"/>
        </w:rPr>
        <w:t>urisdiction</w:t>
      </w:r>
      <w:r w:rsidR="00E813CA">
        <w:rPr>
          <w:color w:val="000000" w:themeColor="text1"/>
        </w:rPr>
        <w:t>s</w:t>
      </w:r>
      <w:r w:rsidR="00A33D89" w:rsidRPr="00E63CB4">
        <w:rPr>
          <w:color w:val="000000" w:themeColor="text1"/>
        </w:rPr>
        <w:t xml:space="preserve"> will decide how </w:t>
      </w:r>
      <w:r w:rsidR="00F60AD7">
        <w:rPr>
          <w:color w:val="000000" w:themeColor="text1"/>
        </w:rPr>
        <w:t xml:space="preserve">any </w:t>
      </w:r>
      <w:r w:rsidR="00A33D89" w:rsidRPr="00E63CB4">
        <w:rPr>
          <w:color w:val="000000" w:themeColor="text1"/>
        </w:rPr>
        <w:t>registration, licensi</w:t>
      </w:r>
      <w:r w:rsidR="002F7E62" w:rsidRPr="00E63CB4">
        <w:rPr>
          <w:color w:val="000000" w:themeColor="text1"/>
        </w:rPr>
        <w:t>ng and audits</w:t>
      </w:r>
      <w:r w:rsidR="001F53B8">
        <w:rPr>
          <w:color w:val="000000" w:themeColor="text1"/>
        </w:rPr>
        <w:t>/</w:t>
      </w:r>
      <w:r w:rsidR="002C487B">
        <w:rPr>
          <w:color w:val="000000" w:themeColor="text1"/>
        </w:rPr>
        <w:t>monitoring</w:t>
      </w:r>
      <w:r w:rsidR="002F7E62" w:rsidRPr="00E63CB4">
        <w:rPr>
          <w:color w:val="000000" w:themeColor="text1"/>
        </w:rPr>
        <w:t xml:space="preserve"> are implemented. Officials in j</w:t>
      </w:r>
      <w:r w:rsidR="00A33D89" w:rsidRPr="00E63CB4">
        <w:rPr>
          <w:color w:val="000000" w:themeColor="text1"/>
        </w:rPr>
        <w:t xml:space="preserve">urisdictions are currently working </w:t>
      </w:r>
      <w:r>
        <w:rPr>
          <w:color w:val="000000" w:themeColor="text1"/>
        </w:rPr>
        <w:t>together</w:t>
      </w:r>
      <w:r w:rsidR="006F67CB">
        <w:rPr>
          <w:color w:val="000000" w:themeColor="text1"/>
        </w:rPr>
        <w:t>,</w:t>
      </w:r>
      <w:r>
        <w:rPr>
          <w:color w:val="000000" w:themeColor="text1"/>
        </w:rPr>
        <w:t xml:space="preserve"> </w:t>
      </w:r>
      <w:r w:rsidR="00A33D89" w:rsidRPr="00E63CB4">
        <w:rPr>
          <w:color w:val="000000" w:themeColor="text1"/>
        </w:rPr>
        <w:t xml:space="preserve">with industry and </w:t>
      </w:r>
      <w:r w:rsidR="00725E67" w:rsidRPr="00E63CB4">
        <w:rPr>
          <w:color w:val="000000" w:themeColor="text1"/>
        </w:rPr>
        <w:t>FSS scheme providers</w:t>
      </w:r>
      <w:r w:rsidR="00A33D89" w:rsidRPr="00E63CB4">
        <w:rPr>
          <w:color w:val="000000" w:themeColor="text1"/>
        </w:rPr>
        <w:t xml:space="preserve"> </w:t>
      </w:r>
      <w:r>
        <w:rPr>
          <w:color w:val="000000" w:themeColor="text1"/>
        </w:rPr>
        <w:t>on an implementation framework</w:t>
      </w:r>
      <w:r w:rsidR="00A33D89" w:rsidRPr="00E63CB4">
        <w:rPr>
          <w:color w:val="000000" w:themeColor="text1"/>
        </w:rPr>
        <w:t xml:space="preserve">, including </w:t>
      </w:r>
      <w:r w:rsidR="002A59BD">
        <w:rPr>
          <w:color w:val="000000" w:themeColor="text1"/>
        </w:rPr>
        <w:t xml:space="preserve">exploring </w:t>
      </w:r>
      <w:r w:rsidR="002C487B">
        <w:rPr>
          <w:color w:val="000000" w:themeColor="text1"/>
        </w:rPr>
        <w:t xml:space="preserve">a recognition model </w:t>
      </w:r>
      <w:r w:rsidR="00A33D89" w:rsidRPr="00E63CB4">
        <w:rPr>
          <w:color w:val="000000" w:themeColor="text1"/>
        </w:rPr>
        <w:t>for businesses already under a GFSI-</w:t>
      </w:r>
      <w:r w:rsidR="002A59BD">
        <w:rPr>
          <w:color w:val="000000" w:themeColor="text1"/>
        </w:rPr>
        <w:t>benchmarked</w:t>
      </w:r>
      <w:r w:rsidR="002A59BD" w:rsidRPr="00E63CB4">
        <w:rPr>
          <w:color w:val="000000" w:themeColor="text1"/>
        </w:rPr>
        <w:t xml:space="preserve"> </w:t>
      </w:r>
      <w:r w:rsidR="00A33D89" w:rsidRPr="00E63CB4">
        <w:rPr>
          <w:color w:val="000000" w:themeColor="text1"/>
        </w:rPr>
        <w:t xml:space="preserve">FSS scheme. </w:t>
      </w:r>
    </w:p>
    <w:p w14:paraId="755C01B2" w14:textId="77777777" w:rsidR="00695508" w:rsidRDefault="00695508" w:rsidP="00A120BD">
      <w:pPr>
        <w:rPr>
          <w:color w:val="000000" w:themeColor="text1"/>
        </w:rPr>
      </w:pPr>
    </w:p>
    <w:p w14:paraId="28E2F3D6" w14:textId="2B044771" w:rsidR="00A120BD" w:rsidRPr="00665611" w:rsidRDefault="00614550" w:rsidP="00A120BD">
      <w:pPr>
        <w:rPr>
          <w:color w:val="000000" w:themeColor="text1"/>
        </w:rPr>
      </w:pPr>
      <w:r>
        <w:rPr>
          <w:color w:val="000000" w:themeColor="text1"/>
        </w:rPr>
        <w:t xml:space="preserve">Impacts of regulation are likely to be lower for </w:t>
      </w:r>
      <w:r w:rsidR="00A120BD" w:rsidRPr="00665611">
        <w:rPr>
          <w:color w:val="000000" w:themeColor="text1"/>
        </w:rPr>
        <w:t xml:space="preserve">primary producers and processors who currently operate </w:t>
      </w:r>
      <w:r>
        <w:rPr>
          <w:color w:val="000000" w:themeColor="text1"/>
        </w:rPr>
        <w:t>under</w:t>
      </w:r>
      <w:r w:rsidR="00A120BD" w:rsidRPr="00665611">
        <w:rPr>
          <w:color w:val="000000" w:themeColor="text1"/>
        </w:rPr>
        <w:t xml:space="preserve"> an accredited FSS</w:t>
      </w:r>
      <w:r>
        <w:rPr>
          <w:color w:val="000000" w:themeColor="text1"/>
        </w:rPr>
        <w:t xml:space="preserve"> compared to those not on </w:t>
      </w:r>
      <w:r w:rsidR="00304AEA">
        <w:rPr>
          <w:color w:val="000000" w:themeColor="text1"/>
        </w:rPr>
        <w:t>a FSS</w:t>
      </w:r>
      <w:r>
        <w:rPr>
          <w:color w:val="000000" w:themeColor="text1"/>
        </w:rPr>
        <w:t xml:space="preserve">. That is because FSS schemes already </w:t>
      </w:r>
      <w:r w:rsidR="00304AEA">
        <w:rPr>
          <w:color w:val="000000" w:themeColor="text1"/>
        </w:rPr>
        <w:t xml:space="preserve">include requirements similar to </w:t>
      </w:r>
      <w:r>
        <w:rPr>
          <w:color w:val="000000" w:themeColor="text1"/>
        </w:rPr>
        <w:t xml:space="preserve">FSANZ’s proposed </w:t>
      </w:r>
      <w:r w:rsidR="00304AEA">
        <w:rPr>
          <w:color w:val="000000" w:themeColor="text1"/>
        </w:rPr>
        <w:t xml:space="preserve">food </w:t>
      </w:r>
      <w:r>
        <w:rPr>
          <w:color w:val="000000" w:themeColor="text1"/>
        </w:rPr>
        <w:t xml:space="preserve">safety </w:t>
      </w:r>
      <w:r w:rsidR="00304AEA">
        <w:rPr>
          <w:color w:val="000000" w:themeColor="text1"/>
        </w:rPr>
        <w:t xml:space="preserve">requirements. </w:t>
      </w:r>
      <w:r w:rsidR="00D70A86">
        <w:rPr>
          <w:color w:val="000000" w:themeColor="text1"/>
        </w:rPr>
        <w:t xml:space="preserve">Further, if jurisdictions develop a recognition system for businesses on FSS, compliance costs </w:t>
      </w:r>
      <w:r w:rsidR="002C487B">
        <w:rPr>
          <w:color w:val="000000" w:themeColor="text1"/>
        </w:rPr>
        <w:t>could</w:t>
      </w:r>
      <w:r w:rsidR="00D70A86">
        <w:rPr>
          <w:color w:val="000000" w:themeColor="text1"/>
        </w:rPr>
        <w:t xml:space="preserve"> be less</w:t>
      </w:r>
      <w:r>
        <w:rPr>
          <w:color w:val="000000" w:themeColor="text1"/>
        </w:rPr>
        <w:t xml:space="preserve">. </w:t>
      </w:r>
      <w:r w:rsidR="003E531F" w:rsidRPr="00665611">
        <w:rPr>
          <w:color w:val="000000" w:themeColor="text1"/>
        </w:rPr>
        <w:t xml:space="preserve">FSANZ </w:t>
      </w:r>
      <w:r w:rsidR="00301869">
        <w:rPr>
          <w:color w:val="000000" w:themeColor="text1"/>
        </w:rPr>
        <w:t>understands from industry and jurisdiction feedback</w:t>
      </w:r>
      <w:r w:rsidR="00301869" w:rsidRPr="00665611">
        <w:rPr>
          <w:color w:val="000000" w:themeColor="text1"/>
        </w:rPr>
        <w:t xml:space="preserve"> </w:t>
      </w:r>
      <w:r w:rsidR="003E531F" w:rsidRPr="00665611">
        <w:rPr>
          <w:color w:val="000000" w:themeColor="text1"/>
        </w:rPr>
        <w:t xml:space="preserve">that medium and large businesses are more likely to </w:t>
      </w:r>
      <w:r w:rsidR="00D81593">
        <w:rPr>
          <w:color w:val="000000" w:themeColor="text1"/>
        </w:rPr>
        <w:t>be on a</w:t>
      </w:r>
      <w:r w:rsidR="003E531F" w:rsidRPr="00665611">
        <w:rPr>
          <w:color w:val="000000" w:themeColor="text1"/>
        </w:rPr>
        <w:t xml:space="preserve"> FSS than smaller businesses.</w:t>
      </w:r>
    </w:p>
    <w:p w14:paraId="25B119A2" w14:textId="77777777" w:rsidR="00A120BD" w:rsidRPr="00665611" w:rsidRDefault="00A120BD" w:rsidP="00A120BD">
      <w:pPr>
        <w:rPr>
          <w:color w:val="000000" w:themeColor="text1"/>
        </w:rPr>
      </w:pPr>
    </w:p>
    <w:p w14:paraId="574EBFA1" w14:textId="770BB947" w:rsidR="00151F15" w:rsidRDefault="00473721" w:rsidP="008A7603">
      <w:pPr>
        <w:rPr>
          <w:color w:val="000000" w:themeColor="text1"/>
        </w:rPr>
      </w:pPr>
      <w:r>
        <w:t xml:space="preserve">FSANZ </w:t>
      </w:r>
      <w:r w:rsidR="006F67CB">
        <w:t xml:space="preserve">also </w:t>
      </w:r>
      <w:r>
        <w:t xml:space="preserve">considered international standards when designing regulatory measures. </w:t>
      </w:r>
    </w:p>
    <w:p w14:paraId="7341C84D" w14:textId="77777777" w:rsidR="00151F15" w:rsidRDefault="00151F15" w:rsidP="008A7603">
      <w:pPr>
        <w:rPr>
          <w:color w:val="000000" w:themeColor="text1"/>
        </w:rPr>
      </w:pPr>
    </w:p>
    <w:p w14:paraId="23FB2BAF" w14:textId="3700BFDD" w:rsidR="008A7603" w:rsidRPr="00151F15" w:rsidRDefault="008A7603" w:rsidP="008A7603">
      <w:pPr>
        <w:rPr>
          <w:color w:val="000000" w:themeColor="text1"/>
        </w:rPr>
      </w:pPr>
      <w:r>
        <w:rPr>
          <w:lang w:bidi="ar-SA"/>
        </w:rPr>
        <w:t xml:space="preserve">FSANZ identified primary production and processing activities strongly linked to food safety risk in each of the berries, leafy vegetables and melons sectors. </w:t>
      </w:r>
      <w:r w:rsidR="00304AEA">
        <w:t>A</w:t>
      </w:r>
      <w:r>
        <w:t>fter considering the findings of the CBA and the current regulatory and non</w:t>
      </w:r>
      <w:r>
        <w:noBreakHyphen/>
        <w:t xml:space="preserve">regulatory position, FSANZ identified </w:t>
      </w:r>
      <w:r w:rsidR="00304AEA">
        <w:t>th</w:t>
      </w:r>
      <w:r>
        <w:t xml:space="preserve">e key risk factors where </w:t>
      </w:r>
      <w:r w:rsidR="00D14072">
        <w:t xml:space="preserve">regulatory </w:t>
      </w:r>
      <w:r>
        <w:t xml:space="preserve">mitigation measures would </w:t>
      </w:r>
      <w:r w:rsidR="00115728">
        <w:t xml:space="preserve">likely reduce </w:t>
      </w:r>
      <w:r w:rsidR="00304AEA">
        <w:t>foodborne illness attributed to these commodities</w:t>
      </w:r>
      <w:r>
        <w:t xml:space="preserve">. </w:t>
      </w:r>
    </w:p>
    <w:p w14:paraId="7B5994C6" w14:textId="443433E3" w:rsidR="00E319C2" w:rsidRPr="00665611" w:rsidRDefault="00E319C2" w:rsidP="00E319C2">
      <w:pPr>
        <w:rPr>
          <w:color w:val="000000" w:themeColor="text1"/>
        </w:rPr>
      </w:pPr>
    </w:p>
    <w:p w14:paraId="158E4CCA" w14:textId="616A094D" w:rsidR="00E319C2" w:rsidRPr="00665611" w:rsidRDefault="00E319C2" w:rsidP="00E319C2">
      <w:pPr>
        <w:rPr>
          <w:color w:val="000000" w:themeColor="text1"/>
        </w:rPr>
      </w:pPr>
      <w:r w:rsidRPr="00665611">
        <w:rPr>
          <w:color w:val="000000" w:themeColor="text1"/>
        </w:rPr>
        <w:t>FSANZ has</w:t>
      </w:r>
      <w:r w:rsidR="00552A8E">
        <w:rPr>
          <w:color w:val="000000" w:themeColor="text1"/>
        </w:rPr>
        <w:t xml:space="preserve"> </w:t>
      </w:r>
      <w:r w:rsidRPr="00665611">
        <w:rPr>
          <w:color w:val="000000" w:themeColor="text1"/>
        </w:rPr>
        <w:t>included minimal t</w:t>
      </w:r>
      <w:r w:rsidR="00D81593">
        <w:rPr>
          <w:color w:val="000000" w:themeColor="text1"/>
        </w:rPr>
        <w:t xml:space="preserve">raceability (one step forward and </w:t>
      </w:r>
      <w:r w:rsidRPr="00665611">
        <w:rPr>
          <w:color w:val="000000" w:themeColor="text1"/>
        </w:rPr>
        <w:t>one step back</w:t>
      </w:r>
      <w:r w:rsidR="002C487B">
        <w:rPr>
          <w:color w:val="000000" w:themeColor="text1"/>
        </w:rPr>
        <w:t xml:space="preserve">, and for </w:t>
      </w:r>
      <w:r w:rsidR="002C487B">
        <w:rPr>
          <w:color w:val="000000" w:themeColor="text1"/>
        </w:rPr>
        <w:lastRenderedPageBreak/>
        <w:t>berries, to the growing site</w:t>
      </w:r>
      <w:r w:rsidRPr="00665611">
        <w:rPr>
          <w:color w:val="000000" w:themeColor="text1"/>
        </w:rPr>
        <w:t>)</w:t>
      </w:r>
      <w:r w:rsidR="00552A8E">
        <w:rPr>
          <w:color w:val="000000" w:themeColor="text1"/>
        </w:rPr>
        <w:t xml:space="preserve"> for all three </w:t>
      </w:r>
      <w:r w:rsidR="00F80D1A">
        <w:rPr>
          <w:lang w:val="en-AU"/>
        </w:rPr>
        <w:t>commodity</w:t>
      </w:r>
      <w:r w:rsidR="00552A8E">
        <w:rPr>
          <w:color w:val="000000" w:themeColor="text1"/>
        </w:rPr>
        <w:t xml:space="preserve"> groups</w:t>
      </w:r>
      <w:r w:rsidRPr="00665611">
        <w:rPr>
          <w:color w:val="000000" w:themeColor="text1"/>
        </w:rPr>
        <w:t xml:space="preserve"> as part of the proposed regulation. Traceability is an essential management tool in the event of an outbreak or </w:t>
      </w:r>
      <w:r w:rsidR="00D81593" w:rsidRPr="00665611">
        <w:rPr>
          <w:color w:val="000000" w:themeColor="text1"/>
        </w:rPr>
        <w:t xml:space="preserve">product </w:t>
      </w:r>
      <w:r w:rsidR="00D81593">
        <w:rPr>
          <w:color w:val="000000" w:themeColor="text1"/>
        </w:rPr>
        <w:t>recall</w:t>
      </w:r>
      <w:r w:rsidRPr="00665611">
        <w:rPr>
          <w:color w:val="000000" w:themeColor="text1"/>
        </w:rPr>
        <w:t>.</w:t>
      </w:r>
    </w:p>
    <w:p w14:paraId="0F24B010" w14:textId="77777777" w:rsidR="00E319C2" w:rsidRPr="00665611" w:rsidRDefault="00E319C2" w:rsidP="00E319C2">
      <w:pPr>
        <w:rPr>
          <w:color w:val="000000" w:themeColor="text1"/>
        </w:rPr>
      </w:pPr>
    </w:p>
    <w:p w14:paraId="235A8235" w14:textId="68D841A3" w:rsidR="00473721" w:rsidRDefault="00E319C2" w:rsidP="00690206">
      <w:pPr>
        <w:rPr>
          <w:color w:val="000000" w:themeColor="text1"/>
        </w:rPr>
      </w:pPr>
      <w:r w:rsidRPr="00665611">
        <w:rPr>
          <w:color w:val="000000" w:themeColor="text1"/>
        </w:rPr>
        <w:t>A safe sale and supply clause has also been included</w:t>
      </w:r>
      <w:r w:rsidR="00D81593">
        <w:rPr>
          <w:color w:val="000000" w:themeColor="text1"/>
        </w:rPr>
        <w:t>. This general clause is</w:t>
      </w:r>
      <w:r w:rsidRPr="00665611">
        <w:rPr>
          <w:color w:val="000000" w:themeColor="text1"/>
        </w:rPr>
        <w:t xml:space="preserve"> similar to </w:t>
      </w:r>
      <w:r w:rsidR="00D81593">
        <w:rPr>
          <w:color w:val="000000" w:themeColor="text1"/>
        </w:rPr>
        <w:t xml:space="preserve">that already in </w:t>
      </w:r>
      <w:r w:rsidRPr="00665611">
        <w:rPr>
          <w:color w:val="000000" w:themeColor="text1"/>
        </w:rPr>
        <w:t xml:space="preserve">Standard 4.2.6 for seed sprouts. </w:t>
      </w:r>
      <w:r w:rsidR="00D81593">
        <w:rPr>
          <w:color w:val="000000" w:themeColor="text1"/>
        </w:rPr>
        <w:t>It</w:t>
      </w:r>
      <w:r w:rsidRPr="00665611">
        <w:rPr>
          <w:color w:val="000000" w:themeColor="text1"/>
        </w:rPr>
        <w:t xml:space="preserve"> sets out an obligation to not sell or supply </w:t>
      </w:r>
      <w:r w:rsidR="009A1160">
        <w:rPr>
          <w:color w:val="000000" w:themeColor="text1"/>
        </w:rPr>
        <w:t xml:space="preserve">commodities </w:t>
      </w:r>
      <w:r w:rsidRPr="00665611">
        <w:rPr>
          <w:color w:val="000000" w:themeColor="text1"/>
        </w:rPr>
        <w:t>for human consumption where the seller/supplier ought reasonably know that the product is unacceptable and may constitute a food safety risk.</w:t>
      </w:r>
    </w:p>
    <w:p w14:paraId="321C152D" w14:textId="21771E81" w:rsidR="00943486" w:rsidRDefault="00CC62DD" w:rsidP="00473721">
      <w:pPr>
        <w:pStyle w:val="Heading3"/>
      </w:pPr>
      <w:bookmarkStart w:id="257" w:name="_Toc85540155"/>
      <w:bookmarkStart w:id="258" w:name="_Toc85626164"/>
      <w:bookmarkStart w:id="259" w:name="_Toc85635297"/>
      <w:bookmarkStart w:id="260" w:name="_Toc97643851"/>
      <w:bookmarkStart w:id="261" w:name="_Toc97653236"/>
      <w:bookmarkStart w:id="262" w:name="_Toc97739388"/>
      <w:bookmarkStart w:id="263" w:name="_Toc97823805"/>
      <w:bookmarkStart w:id="264" w:name="_Toc97823971"/>
      <w:r w:rsidRPr="00BC6C3D">
        <w:t>Berries</w:t>
      </w:r>
      <w:r w:rsidR="006B3BE4">
        <w:t xml:space="preserve"> – determining appropriate </w:t>
      </w:r>
      <w:r w:rsidR="00665611">
        <w:t>regulatory measures</w:t>
      </w:r>
      <w:bookmarkEnd w:id="257"/>
      <w:bookmarkEnd w:id="258"/>
      <w:bookmarkEnd w:id="259"/>
      <w:bookmarkEnd w:id="260"/>
      <w:bookmarkEnd w:id="261"/>
      <w:bookmarkEnd w:id="262"/>
      <w:bookmarkEnd w:id="263"/>
      <w:bookmarkEnd w:id="264"/>
    </w:p>
    <w:p w14:paraId="07C06B85" w14:textId="5DF3CFAA" w:rsidR="00473721" w:rsidRPr="00644388" w:rsidRDefault="00B85F78" w:rsidP="00B85F78">
      <w:pPr>
        <w:pStyle w:val="Heading4"/>
      </w:pPr>
      <w:r>
        <w:t>Identified ri</w:t>
      </w:r>
      <w:r w:rsidR="00473721" w:rsidRPr="00644388">
        <w:t>sk facto</w:t>
      </w:r>
      <w:r>
        <w:t xml:space="preserve">rs </w:t>
      </w:r>
    </w:p>
    <w:p w14:paraId="7A653F8D" w14:textId="446DB2F2" w:rsidR="00943486" w:rsidRDefault="00132209" w:rsidP="00943486">
      <w:pPr>
        <w:rPr>
          <w:color w:val="000000" w:themeColor="text1"/>
          <w:lang w:bidi="ar-SA"/>
        </w:rPr>
      </w:pPr>
      <w:r>
        <w:rPr>
          <w:lang w:bidi="ar-SA"/>
        </w:rPr>
        <w:t>Microbi</w:t>
      </w:r>
      <w:r w:rsidR="00D81593">
        <w:rPr>
          <w:lang w:bidi="ar-SA"/>
        </w:rPr>
        <w:t>al h</w:t>
      </w:r>
      <w:r w:rsidR="00943486">
        <w:rPr>
          <w:lang w:bidi="ar-SA"/>
        </w:rPr>
        <w:t xml:space="preserve">azards </w:t>
      </w:r>
      <w:r w:rsidR="009245E6">
        <w:rPr>
          <w:lang w:bidi="ar-SA"/>
        </w:rPr>
        <w:t xml:space="preserve">(pathogens) </w:t>
      </w:r>
      <w:r w:rsidR="00943486">
        <w:rPr>
          <w:lang w:bidi="ar-SA"/>
        </w:rPr>
        <w:t xml:space="preserve">identified </w:t>
      </w:r>
      <w:r w:rsidR="005C26A1">
        <w:rPr>
          <w:lang w:bidi="ar-SA"/>
        </w:rPr>
        <w:t xml:space="preserve">by FSANZ </w:t>
      </w:r>
      <w:r w:rsidR="00943486">
        <w:rPr>
          <w:lang w:bidi="ar-SA"/>
        </w:rPr>
        <w:t xml:space="preserve">for </w:t>
      </w:r>
      <w:r w:rsidR="00FC79EC">
        <w:rPr>
          <w:lang w:bidi="ar-SA"/>
        </w:rPr>
        <w:t xml:space="preserve">the primary production and processing of </w:t>
      </w:r>
      <w:r w:rsidR="00D561FE">
        <w:rPr>
          <w:lang w:bidi="ar-SA"/>
        </w:rPr>
        <w:t xml:space="preserve">berries were </w:t>
      </w:r>
      <w:r w:rsidR="00E1550E">
        <w:rPr>
          <w:lang w:bidi="ar-SA"/>
        </w:rPr>
        <w:t>H</w:t>
      </w:r>
      <w:r w:rsidR="00402B23">
        <w:rPr>
          <w:lang w:bidi="ar-SA"/>
        </w:rPr>
        <w:t xml:space="preserve">epatitis A virus </w:t>
      </w:r>
      <w:r w:rsidR="00151F15">
        <w:rPr>
          <w:lang w:bidi="ar-SA"/>
        </w:rPr>
        <w:t>(imports only)</w:t>
      </w:r>
      <w:r w:rsidR="00D561FE">
        <w:rPr>
          <w:lang w:bidi="ar-SA"/>
        </w:rPr>
        <w:t xml:space="preserve">, </w:t>
      </w:r>
      <w:proofErr w:type="spellStart"/>
      <w:r w:rsidR="00D561FE">
        <w:rPr>
          <w:lang w:bidi="ar-SA"/>
        </w:rPr>
        <w:t>NoV</w:t>
      </w:r>
      <w:proofErr w:type="spellEnd"/>
      <w:r w:rsidR="00402B23">
        <w:rPr>
          <w:lang w:bidi="ar-SA"/>
        </w:rPr>
        <w:t xml:space="preserve"> </w:t>
      </w:r>
      <w:r w:rsidR="00D561FE">
        <w:rPr>
          <w:lang w:bidi="ar-SA"/>
        </w:rPr>
        <w:t>and</w:t>
      </w:r>
      <w:r w:rsidR="00943486">
        <w:rPr>
          <w:lang w:bidi="ar-SA"/>
        </w:rPr>
        <w:t xml:space="preserve"> STEC. </w:t>
      </w:r>
      <w:r w:rsidR="009245E6">
        <w:rPr>
          <w:color w:val="000000" w:themeColor="text1"/>
          <w:lang w:bidi="ar-SA"/>
        </w:rPr>
        <w:t>These</w:t>
      </w:r>
      <w:r w:rsidR="00943486">
        <w:rPr>
          <w:color w:val="000000" w:themeColor="text1"/>
          <w:lang w:bidi="ar-SA"/>
        </w:rPr>
        <w:t xml:space="preserve"> </w:t>
      </w:r>
      <w:r w:rsidR="009245E6">
        <w:rPr>
          <w:color w:val="000000" w:themeColor="text1"/>
          <w:lang w:bidi="ar-SA"/>
        </w:rPr>
        <w:t>were</w:t>
      </w:r>
      <w:r w:rsidR="00943486">
        <w:rPr>
          <w:color w:val="000000" w:themeColor="text1"/>
          <w:lang w:bidi="ar-SA"/>
        </w:rPr>
        <w:t xml:space="preserve"> based on Australian and international outbreak data and international research. </w:t>
      </w:r>
      <w:r w:rsidR="009245E6" w:rsidRPr="00E024DD">
        <w:rPr>
          <w:color w:val="000000" w:themeColor="text1"/>
          <w:lang w:bidi="ar-SA"/>
        </w:rPr>
        <w:t>C</w:t>
      </w:r>
      <w:r w:rsidR="00943486" w:rsidRPr="00E024DD">
        <w:rPr>
          <w:color w:val="000000" w:themeColor="text1"/>
          <w:lang w:bidi="ar-SA"/>
        </w:rPr>
        <w:t>haracteristics of</w:t>
      </w:r>
      <w:r w:rsidR="00223404" w:rsidRPr="00E024DD">
        <w:rPr>
          <w:color w:val="000000" w:themeColor="text1"/>
          <w:lang w:bidi="ar-SA"/>
        </w:rPr>
        <w:t xml:space="preserve"> each hazard </w:t>
      </w:r>
      <w:r w:rsidR="00FC79EC" w:rsidRPr="00E024DD">
        <w:rPr>
          <w:color w:val="000000" w:themeColor="text1"/>
          <w:lang w:bidi="ar-SA"/>
        </w:rPr>
        <w:t xml:space="preserve">and food safety risk </w:t>
      </w:r>
      <w:r w:rsidR="00223404" w:rsidRPr="00E024DD">
        <w:rPr>
          <w:color w:val="000000" w:themeColor="text1"/>
          <w:lang w:bidi="ar-SA"/>
        </w:rPr>
        <w:t xml:space="preserve">are summarised in </w:t>
      </w:r>
      <w:r w:rsidR="00A703E4">
        <w:rPr>
          <w:color w:val="000000" w:themeColor="text1"/>
          <w:lang w:bidi="ar-SA"/>
        </w:rPr>
        <w:t>section 4.7 (Production risk factors) and</w:t>
      </w:r>
      <w:r w:rsidR="00223404" w:rsidRPr="00E024DD">
        <w:rPr>
          <w:color w:val="000000" w:themeColor="text1"/>
          <w:lang w:bidi="ar-SA"/>
        </w:rPr>
        <w:t xml:space="preserve"> in </w:t>
      </w:r>
      <w:r w:rsidR="00943486" w:rsidRPr="00E024DD">
        <w:rPr>
          <w:color w:val="000000" w:themeColor="text1"/>
          <w:lang w:bidi="ar-SA"/>
        </w:rPr>
        <w:t xml:space="preserve">the </w:t>
      </w:r>
      <w:hyperlink r:id="rId33" w:history="1">
        <w:r w:rsidR="00943486" w:rsidRPr="00152851">
          <w:rPr>
            <w:rStyle w:val="Hyperlink"/>
            <w:lang w:bidi="ar-SA"/>
          </w:rPr>
          <w:t>microbiological assessment</w:t>
        </w:r>
      </w:hyperlink>
      <w:r w:rsidR="00307458">
        <w:rPr>
          <w:color w:val="000000" w:themeColor="text1"/>
          <w:lang w:bidi="ar-SA"/>
        </w:rPr>
        <w:t>.</w:t>
      </w:r>
      <w:r w:rsidR="00E024DD" w:rsidRPr="00E024DD">
        <w:rPr>
          <w:color w:val="000000" w:themeColor="text1"/>
          <w:lang w:bidi="ar-SA"/>
        </w:rPr>
        <w:t xml:space="preserve"> </w:t>
      </w:r>
    </w:p>
    <w:p w14:paraId="11929D6D" w14:textId="2673CD32" w:rsidR="009E4D4A" w:rsidRDefault="009E4D4A" w:rsidP="00943486">
      <w:pPr>
        <w:rPr>
          <w:color w:val="000000" w:themeColor="text1"/>
          <w:highlight w:val="yellow"/>
          <w:lang w:bidi="ar-SA"/>
        </w:rPr>
      </w:pPr>
    </w:p>
    <w:p w14:paraId="4393BDF9" w14:textId="5BC15719" w:rsidR="009E4D4A" w:rsidRPr="009E4D4A" w:rsidRDefault="009E4D4A" w:rsidP="00943486">
      <w:r>
        <w:t xml:space="preserve">Most foodborne </w:t>
      </w:r>
      <w:proofErr w:type="spellStart"/>
      <w:r>
        <w:t>NoV</w:t>
      </w:r>
      <w:proofErr w:type="spellEnd"/>
      <w:r>
        <w:t xml:space="preserve"> in a primary production context are likely to originate from infected food handlers contaminating produce during harvesting, packing and on-farm transportation.</w:t>
      </w:r>
      <w:r w:rsidRPr="00143A46">
        <w:t xml:space="preserve">  </w:t>
      </w:r>
    </w:p>
    <w:p w14:paraId="7BE10D4E" w14:textId="60CF9DF5" w:rsidR="008A7603" w:rsidRDefault="008A7603" w:rsidP="00943486">
      <w:pPr>
        <w:rPr>
          <w:color w:val="000000" w:themeColor="text1"/>
          <w:highlight w:val="yellow"/>
          <w:lang w:bidi="ar-SA"/>
        </w:rPr>
      </w:pPr>
    </w:p>
    <w:p w14:paraId="07A24603" w14:textId="3EA6145E" w:rsidR="008A7603" w:rsidRPr="00F5056C" w:rsidRDefault="00F5056C" w:rsidP="008A7603">
      <w:pPr>
        <w:rPr>
          <w:lang w:bidi="ar-SA"/>
        </w:rPr>
      </w:pPr>
      <w:r>
        <w:t xml:space="preserve">Our proposed measures include clauses similar to those in the berries annex of the </w:t>
      </w:r>
      <w:hyperlink r:id="rId34" w:history="1">
        <w:r w:rsidRPr="00E01D35">
          <w:rPr>
            <w:rStyle w:val="Hyperlink"/>
          </w:rPr>
          <w:t xml:space="preserve">Codex </w:t>
        </w:r>
        <w:proofErr w:type="spellStart"/>
        <w:r w:rsidRPr="00E01D35">
          <w:rPr>
            <w:rStyle w:val="Hyperlink"/>
          </w:rPr>
          <w:t>CoHP</w:t>
        </w:r>
        <w:proofErr w:type="spellEnd"/>
      </w:hyperlink>
      <w:r w:rsidRPr="00665611">
        <w:rPr>
          <w:color w:val="000000" w:themeColor="text1"/>
        </w:rPr>
        <w:t>.</w:t>
      </w:r>
      <w:r>
        <w:rPr>
          <w:lang w:bidi="ar-SA"/>
        </w:rPr>
        <w:t xml:space="preserve"> </w:t>
      </w:r>
      <w:r w:rsidR="00552A8E">
        <w:rPr>
          <w:color w:val="000000" w:themeColor="text1"/>
        </w:rPr>
        <w:t>For</w:t>
      </w:r>
      <w:r w:rsidR="008A7603" w:rsidRPr="00665611">
        <w:rPr>
          <w:color w:val="000000" w:themeColor="text1"/>
        </w:rPr>
        <w:t xml:space="preserve"> berries, FSANZ has </w:t>
      </w:r>
      <w:r w:rsidR="00151F15">
        <w:rPr>
          <w:color w:val="000000" w:themeColor="text1"/>
        </w:rPr>
        <w:t xml:space="preserve">reduced scope of </w:t>
      </w:r>
      <w:r w:rsidR="008A7603" w:rsidRPr="00665611">
        <w:rPr>
          <w:color w:val="000000" w:themeColor="text1"/>
        </w:rPr>
        <w:t xml:space="preserve">its proposed regulatory measures, </w:t>
      </w:r>
      <w:r w:rsidR="008A7603">
        <w:rPr>
          <w:color w:val="000000" w:themeColor="text1"/>
        </w:rPr>
        <w:t>compared</w:t>
      </w:r>
      <w:r w:rsidR="008A7603" w:rsidRPr="00665611">
        <w:rPr>
          <w:color w:val="000000" w:themeColor="text1"/>
        </w:rPr>
        <w:t xml:space="preserve"> to the Codex approach, largely in response to the lack of outbreaks </w:t>
      </w:r>
      <w:r w:rsidR="005A4E8E">
        <w:rPr>
          <w:color w:val="000000" w:themeColor="text1"/>
        </w:rPr>
        <w:t xml:space="preserve">directly </w:t>
      </w:r>
      <w:r w:rsidR="008A7603" w:rsidRPr="00665611">
        <w:rPr>
          <w:color w:val="000000" w:themeColor="text1"/>
        </w:rPr>
        <w:t>connected with Australian produce – notin</w:t>
      </w:r>
      <w:r w:rsidR="0058687D">
        <w:rPr>
          <w:color w:val="000000" w:themeColor="text1"/>
        </w:rPr>
        <w:t xml:space="preserve">g that </w:t>
      </w:r>
      <w:r w:rsidR="006F67CB">
        <w:rPr>
          <w:color w:val="000000" w:themeColor="text1"/>
        </w:rPr>
        <w:t xml:space="preserve">lack </w:t>
      </w:r>
      <w:r w:rsidR="0058687D">
        <w:rPr>
          <w:color w:val="000000" w:themeColor="text1"/>
        </w:rPr>
        <w:t xml:space="preserve">of </w:t>
      </w:r>
      <w:r w:rsidR="006F67CB">
        <w:rPr>
          <w:color w:val="000000" w:themeColor="text1"/>
        </w:rPr>
        <w:t xml:space="preserve">known </w:t>
      </w:r>
      <w:r w:rsidR="0058687D">
        <w:rPr>
          <w:color w:val="000000" w:themeColor="text1"/>
        </w:rPr>
        <w:t>outbreaks to-</w:t>
      </w:r>
      <w:r w:rsidR="008A7603" w:rsidRPr="00665611">
        <w:rPr>
          <w:color w:val="000000" w:themeColor="text1"/>
        </w:rPr>
        <w:t>date does not equate to zero risk</w:t>
      </w:r>
      <w:r w:rsidR="006C52F1">
        <w:rPr>
          <w:color w:val="000000" w:themeColor="text1"/>
        </w:rPr>
        <w:t xml:space="preserve"> and the challenges in identifying outbreaks in Section 4.2</w:t>
      </w:r>
      <w:r w:rsidR="008A7603" w:rsidRPr="00665611">
        <w:rPr>
          <w:color w:val="000000" w:themeColor="text1"/>
        </w:rPr>
        <w:t>.</w:t>
      </w:r>
    </w:p>
    <w:p w14:paraId="11DE4482" w14:textId="510339E7" w:rsidR="008A7603" w:rsidRDefault="008A7603" w:rsidP="00943486">
      <w:pPr>
        <w:rPr>
          <w:lang w:bidi="ar-SA"/>
        </w:rPr>
      </w:pPr>
    </w:p>
    <w:p w14:paraId="3C94B3BB" w14:textId="60D6D7F4" w:rsidR="00943486" w:rsidRDefault="008A7603" w:rsidP="00943486">
      <w:pPr>
        <w:rPr>
          <w:lang w:bidi="ar-SA"/>
        </w:rPr>
      </w:pPr>
      <w:r>
        <w:rPr>
          <w:lang w:bidi="ar-SA"/>
        </w:rPr>
        <w:t xml:space="preserve">Some activities deemed more relevant for leafy vegetables and melons were not strongly linked to food safety risk in the berries sector. </w:t>
      </w:r>
      <w:r w:rsidR="00943486">
        <w:rPr>
          <w:lang w:bidi="ar-SA"/>
        </w:rPr>
        <w:t xml:space="preserve">Specific </w:t>
      </w:r>
      <w:r w:rsidR="00BE5920">
        <w:rPr>
          <w:lang w:bidi="ar-SA"/>
        </w:rPr>
        <w:t xml:space="preserve">food safety </w:t>
      </w:r>
      <w:r w:rsidR="00943486">
        <w:rPr>
          <w:lang w:bidi="ar-SA"/>
        </w:rPr>
        <w:t xml:space="preserve">risk factors </w:t>
      </w:r>
      <w:r w:rsidR="00EB4107">
        <w:rPr>
          <w:lang w:bidi="ar-SA"/>
        </w:rPr>
        <w:t>that</w:t>
      </w:r>
      <w:r w:rsidR="00943486">
        <w:rPr>
          <w:lang w:bidi="ar-SA"/>
        </w:rPr>
        <w:t xml:space="preserve"> </w:t>
      </w:r>
      <w:r w:rsidR="00EB4107">
        <w:rPr>
          <w:lang w:bidi="ar-SA"/>
        </w:rPr>
        <w:t>we</w:t>
      </w:r>
      <w:r w:rsidR="00943486">
        <w:rPr>
          <w:lang w:bidi="ar-SA"/>
        </w:rPr>
        <w:t xml:space="preserve"> attributed to berries and selected for further consideration/</w:t>
      </w:r>
      <w:r w:rsidR="00EB4107">
        <w:rPr>
          <w:lang w:bidi="ar-SA"/>
        </w:rPr>
        <w:t xml:space="preserve"> </w:t>
      </w:r>
      <w:r w:rsidR="00943486">
        <w:rPr>
          <w:lang w:bidi="ar-SA"/>
        </w:rPr>
        <w:t>regulation were:</w:t>
      </w:r>
    </w:p>
    <w:p w14:paraId="1A296300" w14:textId="77777777" w:rsidR="00943486" w:rsidRPr="00DE74B5" w:rsidRDefault="00943486" w:rsidP="00DF44D1">
      <w:pPr>
        <w:pStyle w:val="FSBullet1"/>
      </w:pPr>
      <w:r w:rsidRPr="00DE74B5">
        <w:t>the application of untreated or insufficiently treated manure or compost amendments, particularly for berries growing close to the ground</w:t>
      </w:r>
    </w:p>
    <w:p w14:paraId="40C7A648" w14:textId="5BD22F0D" w:rsidR="00943486" w:rsidRPr="00DE74B5" w:rsidRDefault="00943486" w:rsidP="00DF44D1">
      <w:pPr>
        <w:pStyle w:val="FSBullet1"/>
      </w:pPr>
      <w:r w:rsidRPr="00DE74B5">
        <w:t>the use of contaminated water for irrigation and application of agricultural chemicals</w:t>
      </w:r>
    </w:p>
    <w:p w14:paraId="3A06644C" w14:textId="6FEA658D" w:rsidR="00943486" w:rsidRPr="00B85F78" w:rsidRDefault="00943486" w:rsidP="00943486">
      <w:pPr>
        <w:pStyle w:val="FSBullet1"/>
      </w:pPr>
      <w:r w:rsidRPr="00DE74B5">
        <w:t>contamination and cross-contamination due to poor worker and equipment hygiene, both at harvest and postharvest.</w:t>
      </w:r>
      <w:bookmarkStart w:id="265" w:name="_Toc77687504"/>
      <w:bookmarkStart w:id="266" w:name="_Toc76570481"/>
      <w:bookmarkStart w:id="267" w:name="_Toc76382354"/>
      <w:bookmarkStart w:id="268" w:name="_Toc74145855"/>
      <w:bookmarkStart w:id="269" w:name="_Toc69222842"/>
    </w:p>
    <w:p w14:paraId="0F144ECA" w14:textId="2C0272CE" w:rsidR="00943486" w:rsidRPr="00943486" w:rsidRDefault="00DC26DB" w:rsidP="00B85F78">
      <w:pPr>
        <w:pStyle w:val="Heading4"/>
      </w:pPr>
      <w:r>
        <w:t>Cost-</w:t>
      </w:r>
      <w:r w:rsidR="00B85F78">
        <w:t xml:space="preserve">benefit analysis </w:t>
      </w:r>
      <w:bookmarkEnd w:id="265"/>
      <w:bookmarkEnd w:id="266"/>
      <w:bookmarkEnd w:id="267"/>
      <w:bookmarkEnd w:id="268"/>
      <w:bookmarkEnd w:id="269"/>
    </w:p>
    <w:p w14:paraId="0545E40D" w14:textId="72628D91" w:rsidR="00943486" w:rsidRDefault="000C66F6" w:rsidP="00943486">
      <w:r>
        <w:t>FSANZ complete</w:t>
      </w:r>
      <w:r w:rsidR="00A64BF7">
        <w:t>d</w:t>
      </w:r>
      <w:r>
        <w:t xml:space="preserve"> an economic analysis of costs and bene</w:t>
      </w:r>
      <w:r w:rsidR="00FA6D1F">
        <w:t>fits to inform the D</w:t>
      </w:r>
      <w:r w:rsidR="008611DE">
        <w:t xml:space="preserve">RIS. </w:t>
      </w:r>
      <w:r w:rsidR="009A2D07">
        <w:t>A</w:t>
      </w:r>
      <w:r w:rsidR="009A2D07">
        <w:rPr>
          <w:lang w:bidi="ar-SA"/>
        </w:rPr>
        <w:t xml:space="preserve"> large part of estimating benefits of options was estimating reductions in annual illness cases and hence illness costs.</w:t>
      </w:r>
      <w:r w:rsidR="009A2D07">
        <w:rPr>
          <w:color w:val="000000" w:themeColor="text1"/>
          <w:lang w:bidi="ar-SA"/>
        </w:rPr>
        <w:t xml:space="preserve"> </w:t>
      </w:r>
      <w:r w:rsidR="008611DE">
        <w:t xml:space="preserve"> </w:t>
      </w:r>
      <w:r w:rsidR="007D1361">
        <w:rPr>
          <w:rFonts w:cs="Arial"/>
        </w:rPr>
        <w:t xml:space="preserve">Total </w:t>
      </w:r>
      <w:r w:rsidR="0023695D">
        <w:rPr>
          <w:rFonts w:cs="Arial"/>
        </w:rPr>
        <w:t>illness cost</w:t>
      </w:r>
      <w:r w:rsidR="007D1361">
        <w:rPr>
          <w:rFonts w:cs="Arial"/>
        </w:rPr>
        <w:t>s</w:t>
      </w:r>
      <w:r w:rsidR="0023695D">
        <w:rPr>
          <w:rFonts w:cs="Arial"/>
        </w:rPr>
        <w:t xml:space="preserve"> for berries w</w:t>
      </w:r>
      <w:r w:rsidR="007D1361">
        <w:rPr>
          <w:rFonts w:cs="Arial"/>
        </w:rPr>
        <w:t>ere</w:t>
      </w:r>
      <w:r w:rsidR="0023695D">
        <w:rPr>
          <w:rFonts w:cs="Arial"/>
        </w:rPr>
        <w:t xml:space="preserve"> the lowest of the three commodities considered. The majority of the cost</w:t>
      </w:r>
      <w:r w:rsidR="007D1361">
        <w:rPr>
          <w:rFonts w:cs="Arial"/>
        </w:rPr>
        <w:t>s</w:t>
      </w:r>
      <w:r w:rsidR="0023695D">
        <w:rPr>
          <w:rFonts w:cs="Arial"/>
        </w:rPr>
        <w:t xml:space="preserve"> </w:t>
      </w:r>
      <w:r w:rsidR="007D1361">
        <w:rPr>
          <w:rFonts w:cs="Arial"/>
        </w:rPr>
        <w:t xml:space="preserve">were </w:t>
      </w:r>
      <w:r w:rsidR="0023695D">
        <w:rPr>
          <w:rFonts w:cs="Arial"/>
        </w:rPr>
        <w:t xml:space="preserve">associated with </w:t>
      </w:r>
      <w:proofErr w:type="spellStart"/>
      <w:r w:rsidR="0023695D">
        <w:rPr>
          <w:rFonts w:cs="Arial"/>
        </w:rPr>
        <w:t>NoV</w:t>
      </w:r>
      <w:proofErr w:type="spellEnd"/>
      <w:r w:rsidR="0023695D">
        <w:rPr>
          <w:rFonts w:cs="Arial"/>
        </w:rPr>
        <w:t xml:space="preserve"> illnesses. </w:t>
      </w:r>
      <w:r w:rsidR="009E4D4A" w:rsidRPr="009E4D4A">
        <w:t xml:space="preserve"> </w:t>
      </w:r>
      <w:r w:rsidR="009E4D4A" w:rsidRPr="008A404F">
        <w:t xml:space="preserve">Hepatitis A </w:t>
      </w:r>
      <w:r w:rsidR="009E4D4A">
        <w:t>cases were not included in the costing for</w:t>
      </w:r>
      <w:r w:rsidR="009E4D4A" w:rsidRPr="008A404F">
        <w:t xml:space="preserve"> domestic berries</w:t>
      </w:r>
      <w:r w:rsidR="009E4D4A">
        <w:t>.</w:t>
      </w:r>
      <w:r w:rsidR="009E4D4A" w:rsidRPr="009E4D4A">
        <w:t xml:space="preserve"> </w:t>
      </w:r>
      <w:r w:rsidR="009E4D4A">
        <w:t>There are likely some illnesses attributed to domestic berries that are unreported.</w:t>
      </w:r>
    </w:p>
    <w:p w14:paraId="3A7B5EEE" w14:textId="7A52E6B2" w:rsidR="001B1E15" w:rsidRDefault="001B1E15" w:rsidP="00943486">
      <w:pPr>
        <w:rPr>
          <w:lang w:bidi="ar-SA"/>
        </w:rPr>
      </w:pPr>
    </w:p>
    <w:p w14:paraId="59693818" w14:textId="35CC5796" w:rsidR="001B1E15" w:rsidRDefault="007E147E" w:rsidP="00943486">
      <w:r w:rsidRPr="000803FC">
        <w:t>Appendix 2 of the CBA provides more details of the expert elicitation process</w:t>
      </w:r>
      <w:r w:rsidR="00260A94" w:rsidRPr="00604DBB">
        <w:t xml:space="preserve"> for berries and the other two commodities</w:t>
      </w:r>
      <w:r w:rsidRPr="00604DBB">
        <w:t>.</w:t>
      </w:r>
    </w:p>
    <w:p w14:paraId="5BD3EA06" w14:textId="18DE47E5" w:rsidR="00943486" w:rsidRPr="00470730" w:rsidRDefault="00B85F78" w:rsidP="00B85F78">
      <w:pPr>
        <w:pStyle w:val="Heading4"/>
      </w:pPr>
      <w:bookmarkStart w:id="270" w:name="_Toc77687505"/>
      <w:bookmarkStart w:id="271" w:name="_Toc76570482"/>
      <w:bookmarkStart w:id="272" w:name="_Toc76382355"/>
      <w:bookmarkStart w:id="273" w:name="_Toc74145856"/>
      <w:bookmarkStart w:id="274" w:name="_Toc69222843"/>
      <w:r>
        <w:t xml:space="preserve">Other considerations </w:t>
      </w:r>
      <w:bookmarkEnd w:id="270"/>
      <w:bookmarkEnd w:id="271"/>
      <w:bookmarkEnd w:id="272"/>
      <w:bookmarkEnd w:id="273"/>
      <w:bookmarkEnd w:id="274"/>
    </w:p>
    <w:p w14:paraId="0339C3FC" w14:textId="123591E5" w:rsidR="00470730" w:rsidRDefault="00D055A2" w:rsidP="00943486">
      <w:r>
        <w:t xml:space="preserve">Under the proposals, </w:t>
      </w:r>
      <w:r w:rsidR="005C7092">
        <w:t xml:space="preserve">leafy vegetables and melons </w:t>
      </w:r>
      <w:r>
        <w:t>will require a Food Safety Management Statement</w:t>
      </w:r>
      <w:r w:rsidR="006A3576">
        <w:t xml:space="preserve"> (FSMS)</w:t>
      </w:r>
      <w:r>
        <w:t>. Berries have different risk factors. Therefore</w:t>
      </w:r>
      <w:r w:rsidR="006A3576">
        <w:t>,</w:t>
      </w:r>
      <w:r>
        <w:t xml:space="preserve"> the notification requirement for berries is proposed instead of a FSMS. </w:t>
      </w:r>
      <w:r w:rsidR="00943486">
        <w:t xml:space="preserve">FSANZ estimates there are 750 (+/- 250) berry producers nationally, and that up to 75% of these businesses are operating in accordance </w:t>
      </w:r>
      <w:r w:rsidR="00943486">
        <w:lastRenderedPageBreak/>
        <w:t xml:space="preserve">with a FSS. </w:t>
      </w:r>
    </w:p>
    <w:p w14:paraId="48294FF9" w14:textId="5F0806C8" w:rsidR="00943486" w:rsidRDefault="002D5090" w:rsidP="008611DE">
      <w:pPr>
        <w:pStyle w:val="Heading4"/>
      </w:pPr>
      <w:bookmarkStart w:id="275" w:name="_Toc77687506"/>
      <w:bookmarkStart w:id="276" w:name="_Toc76570483"/>
      <w:bookmarkStart w:id="277" w:name="_Toc76382356"/>
      <w:bookmarkStart w:id="278" w:name="_Toc74145858"/>
      <w:bookmarkStart w:id="279" w:name="_Toc69222845"/>
      <w:r>
        <w:t>R</w:t>
      </w:r>
      <w:r w:rsidR="00943486" w:rsidRPr="00470730">
        <w:t>egulat</w:t>
      </w:r>
      <w:r w:rsidR="00607239">
        <w:t>ory risk management measures for</w:t>
      </w:r>
      <w:r w:rsidR="00B85F78">
        <w:t xml:space="preserve"> b</w:t>
      </w:r>
      <w:r w:rsidR="00943486" w:rsidRPr="00470730">
        <w:t>erries</w:t>
      </w:r>
      <w:bookmarkEnd w:id="275"/>
      <w:bookmarkEnd w:id="276"/>
      <w:bookmarkEnd w:id="277"/>
      <w:bookmarkEnd w:id="278"/>
      <w:bookmarkEnd w:id="279"/>
    </w:p>
    <w:p w14:paraId="73EDD37A" w14:textId="624917AF" w:rsidR="00943486" w:rsidRDefault="00943486" w:rsidP="00943486">
      <w:r>
        <w:t>F</w:t>
      </w:r>
      <w:r w:rsidR="00034CF7">
        <w:t>or berries, F</w:t>
      </w:r>
      <w:r>
        <w:t>SANZ proposes management of the following key risks through regulation:</w:t>
      </w:r>
    </w:p>
    <w:p w14:paraId="05D6EF3A" w14:textId="6D6DE1A1" w:rsidR="00943486" w:rsidRDefault="00943486" w:rsidP="00DF44D1">
      <w:pPr>
        <w:pStyle w:val="FSBullet1"/>
      </w:pPr>
      <w:r>
        <w:t>inputs (water</w:t>
      </w:r>
      <w:r w:rsidR="009979D0">
        <w:t>, soil and fertiliser</w:t>
      </w:r>
      <w:r>
        <w:t>)</w:t>
      </w:r>
      <w:r w:rsidR="00726761">
        <w:t xml:space="preserve"> </w:t>
      </w:r>
      <w:r w:rsidR="00E1550E">
        <w:t>–</w:t>
      </w:r>
      <w:r w:rsidR="00C72261">
        <w:t xml:space="preserve"> after requests during the 2</w:t>
      </w:r>
      <w:r w:rsidR="00C72261" w:rsidRPr="00C72261">
        <w:rPr>
          <w:vertAlign w:val="superscript"/>
        </w:rPr>
        <w:t>nd</w:t>
      </w:r>
      <w:r w:rsidR="00C72261">
        <w:t xml:space="preserve"> consultation round to include soil and fertiliser as regulated inputs</w:t>
      </w:r>
    </w:p>
    <w:p w14:paraId="21A439F2" w14:textId="77777777" w:rsidR="00943486" w:rsidRDefault="00943486" w:rsidP="00DF44D1">
      <w:pPr>
        <w:pStyle w:val="FSBullet1"/>
      </w:pPr>
      <w:r>
        <w:t>harvest and field packing (particularly the health and hygiene of workers and the cleanliness of tools and equipment)</w:t>
      </w:r>
    </w:p>
    <w:p w14:paraId="344FC365" w14:textId="60BA002C" w:rsidR="00943486" w:rsidRDefault="00034CF7" w:rsidP="00DF44D1">
      <w:pPr>
        <w:pStyle w:val="FSBullet1"/>
      </w:pPr>
      <w:r>
        <w:t xml:space="preserve">pack </w:t>
      </w:r>
      <w:r w:rsidR="00943486">
        <w:t>house and post-harvest (particularly the health and hygiene of workers and the cleanliness of equipment and premises).</w:t>
      </w:r>
    </w:p>
    <w:p w14:paraId="7307C24B" w14:textId="77777777" w:rsidR="00943486" w:rsidRDefault="00943486" w:rsidP="00943486"/>
    <w:p w14:paraId="0BB5B7D4" w14:textId="6AF79EE3" w:rsidR="00943486" w:rsidRDefault="00943486" w:rsidP="00943486">
      <w:r>
        <w:t xml:space="preserve">FSANZ </w:t>
      </w:r>
      <w:r w:rsidR="0033105B">
        <w:t xml:space="preserve">also </w:t>
      </w:r>
      <w:r>
        <w:t>propose</w:t>
      </w:r>
      <w:r w:rsidR="00034CF7">
        <w:t>s</w:t>
      </w:r>
      <w:r>
        <w:t xml:space="preserve"> regulatory measures to support the management of the three key risks identified above:</w:t>
      </w:r>
    </w:p>
    <w:p w14:paraId="5559E7CD" w14:textId="77777777" w:rsidR="00943486" w:rsidRDefault="00943486" w:rsidP="00DF44D1">
      <w:pPr>
        <w:pStyle w:val="FSBullet1"/>
      </w:pPr>
      <w:r>
        <w:t>notification of the business</w:t>
      </w:r>
    </w:p>
    <w:p w14:paraId="751E8E9E" w14:textId="77777777" w:rsidR="00943486" w:rsidRDefault="00943486" w:rsidP="00DF44D1">
      <w:pPr>
        <w:pStyle w:val="FSBullet1"/>
      </w:pPr>
      <w:r>
        <w:t>minimal traceability</w:t>
      </w:r>
    </w:p>
    <w:p w14:paraId="305239DD" w14:textId="2D1A4D4A" w:rsidR="00943486" w:rsidRDefault="00943486" w:rsidP="00DF44D1">
      <w:pPr>
        <w:pStyle w:val="FSBullet1"/>
      </w:pPr>
      <w:r>
        <w:t>safe sale and supply.</w:t>
      </w:r>
    </w:p>
    <w:p w14:paraId="6B6C24CB" w14:textId="77777777" w:rsidR="009979D0" w:rsidRDefault="009979D0" w:rsidP="00943486"/>
    <w:p w14:paraId="747B6CDF" w14:textId="7A0304B2" w:rsidR="00943486" w:rsidRDefault="00034CF7" w:rsidP="00943486">
      <w:r>
        <w:t>The proposed</w:t>
      </w:r>
      <w:r w:rsidR="00943486">
        <w:t xml:space="preserve"> notification requirement would require </w:t>
      </w:r>
      <w:r w:rsidR="00132209">
        <w:t xml:space="preserve">berry </w:t>
      </w:r>
      <w:r w:rsidR="00943486">
        <w:t>primary producers and processors to provide basic details (name, address</w:t>
      </w:r>
      <w:r>
        <w:t>,</w:t>
      </w:r>
      <w:r w:rsidR="00943486">
        <w:t xml:space="preserve"> etc.) to their relevant state or territory food authority. This </w:t>
      </w:r>
      <w:r>
        <w:t xml:space="preserve">information </w:t>
      </w:r>
      <w:r w:rsidR="00943486">
        <w:t xml:space="preserve">enables </w:t>
      </w:r>
      <w:r w:rsidR="008F7B68">
        <w:t>authorities</w:t>
      </w:r>
      <w:r w:rsidR="00943486">
        <w:t xml:space="preserve"> to identify businesses to which the proposed regulation applies, and to provide non</w:t>
      </w:r>
      <w:r w:rsidR="00943486">
        <w:noBreakHyphen/>
        <w:t xml:space="preserve">regulatory </w:t>
      </w:r>
      <w:r w:rsidR="00943486" w:rsidRPr="00716986">
        <w:t>support (</w:t>
      </w:r>
      <w:r>
        <w:t xml:space="preserve">e.g. </w:t>
      </w:r>
      <w:r w:rsidR="00F6150E" w:rsidRPr="00716986">
        <w:t xml:space="preserve">fact sheets, </w:t>
      </w:r>
      <w:r>
        <w:t>face-to-</w:t>
      </w:r>
      <w:r w:rsidR="00F6150E" w:rsidRPr="00716986">
        <w:t>face meetings</w:t>
      </w:r>
      <w:r w:rsidR="00943486" w:rsidRPr="00716986">
        <w:t xml:space="preserve">) </w:t>
      </w:r>
      <w:r w:rsidR="00943486">
        <w:t xml:space="preserve">to help manage food safety. FSANZ does not propose </w:t>
      </w:r>
      <w:r w:rsidR="008611DE">
        <w:t>to require the berries</w:t>
      </w:r>
      <w:r w:rsidR="00943486" w:rsidRPr="00E60A80">
        <w:t xml:space="preserve"> industry to comply with the General Food Safety Management Requirements (GFSMR) described in Standard 4.1.1 of the Code.</w:t>
      </w:r>
      <w:r w:rsidR="00943486" w:rsidRPr="00E60A80">
        <w:rPr>
          <w:rStyle w:val="FootnoteReference"/>
        </w:rPr>
        <w:footnoteReference w:id="6"/>
      </w:r>
      <w:r w:rsidR="00943486" w:rsidRPr="00E60A80">
        <w:t xml:space="preserve"> </w:t>
      </w:r>
    </w:p>
    <w:p w14:paraId="2EB646D8" w14:textId="2A995803" w:rsidR="008611DE" w:rsidRDefault="008611DE" w:rsidP="009979D0">
      <w:pPr>
        <w:widowControl/>
      </w:pPr>
    </w:p>
    <w:p w14:paraId="06EA9A98" w14:textId="06868129" w:rsidR="008611DE" w:rsidRPr="00E60A80" w:rsidRDefault="008611DE" w:rsidP="00943486">
      <w:r>
        <w:t xml:space="preserve">A significant impact could be expected for the estimated 25% of berries businesses </w:t>
      </w:r>
      <w:r w:rsidR="00456EC3">
        <w:t xml:space="preserve">nationally </w:t>
      </w:r>
      <w:r>
        <w:t>(approximately 188 businesses) that may not be working under a FSS. These businesses may be key contributors to food safety risk and therefore reputational risk across the berries sector.</w:t>
      </w:r>
    </w:p>
    <w:p w14:paraId="317E3A76" w14:textId="54EE5AC1" w:rsidR="009668BE" w:rsidRDefault="00CC62DD" w:rsidP="00A46B41">
      <w:pPr>
        <w:pStyle w:val="Heading3"/>
      </w:pPr>
      <w:bookmarkStart w:id="280" w:name="_Toc85540156"/>
      <w:bookmarkStart w:id="281" w:name="_Toc85626165"/>
      <w:bookmarkStart w:id="282" w:name="_Toc85635298"/>
      <w:bookmarkStart w:id="283" w:name="_Toc97643852"/>
      <w:bookmarkStart w:id="284" w:name="_Toc97653237"/>
      <w:bookmarkStart w:id="285" w:name="_Toc97739389"/>
      <w:bookmarkStart w:id="286" w:name="_Toc97823806"/>
      <w:bookmarkStart w:id="287" w:name="_Toc97823972"/>
      <w:r w:rsidRPr="00644388">
        <w:t>Leafy veg</w:t>
      </w:r>
      <w:r w:rsidR="001F34A0" w:rsidRPr="00644388">
        <w:t>etables</w:t>
      </w:r>
      <w:r w:rsidR="00644388">
        <w:t xml:space="preserve"> – determining appropriate regulatory measures</w:t>
      </w:r>
      <w:bookmarkEnd w:id="280"/>
      <w:bookmarkEnd w:id="281"/>
      <w:bookmarkEnd w:id="282"/>
      <w:bookmarkEnd w:id="283"/>
      <w:bookmarkEnd w:id="284"/>
      <w:bookmarkEnd w:id="285"/>
      <w:bookmarkEnd w:id="286"/>
      <w:bookmarkEnd w:id="287"/>
    </w:p>
    <w:p w14:paraId="1BCE31B1" w14:textId="5DED385F" w:rsidR="00644388" w:rsidRPr="00644388" w:rsidRDefault="00B85F78" w:rsidP="00B85F78">
      <w:pPr>
        <w:pStyle w:val="Heading4"/>
      </w:pPr>
      <w:bookmarkStart w:id="288" w:name="_Toc77687509"/>
      <w:bookmarkStart w:id="289" w:name="_Toc76570487"/>
      <w:bookmarkStart w:id="290" w:name="_Toc76382360"/>
      <w:bookmarkStart w:id="291" w:name="_Toc74145862"/>
      <w:bookmarkStart w:id="292" w:name="_Toc69222849"/>
      <w:r>
        <w:t>I</w:t>
      </w:r>
      <w:r w:rsidRPr="00644388">
        <w:t xml:space="preserve">dentified </w:t>
      </w:r>
      <w:r>
        <w:t>r</w:t>
      </w:r>
      <w:r w:rsidR="00644388" w:rsidRPr="00644388">
        <w:t>isk factors</w:t>
      </w:r>
      <w:bookmarkEnd w:id="288"/>
      <w:bookmarkEnd w:id="289"/>
      <w:bookmarkEnd w:id="290"/>
      <w:bookmarkEnd w:id="291"/>
      <w:bookmarkEnd w:id="292"/>
    </w:p>
    <w:p w14:paraId="65BF985B" w14:textId="5BC41F8D" w:rsidR="00644388" w:rsidRDefault="00644388" w:rsidP="00644388">
      <w:pPr>
        <w:rPr>
          <w:lang w:bidi="ar-SA"/>
        </w:rPr>
      </w:pPr>
      <w:r>
        <w:rPr>
          <w:lang w:bidi="ar-SA"/>
        </w:rPr>
        <w:t>In 2011</w:t>
      </w:r>
      <w:r w:rsidR="00132209">
        <w:t>–</w:t>
      </w:r>
      <w:r>
        <w:rPr>
          <w:lang w:bidi="ar-SA"/>
        </w:rPr>
        <w:t>2019 there were three reported outbreaks linked to the production of leafy vegetables in Australia:</w:t>
      </w:r>
    </w:p>
    <w:p w14:paraId="0244D113" w14:textId="77777777" w:rsidR="00644388" w:rsidRDefault="00644388" w:rsidP="00DF44D1">
      <w:pPr>
        <w:pStyle w:val="FSBullet1"/>
      </w:pPr>
      <w:r>
        <w:t xml:space="preserve">2012 – </w:t>
      </w:r>
      <w:r>
        <w:rPr>
          <w:i/>
        </w:rPr>
        <w:t xml:space="preserve">Salmonella </w:t>
      </w:r>
      <w:proofErr w:type="spellStart"/>
      <w:r>
        <w:t>Anatum</w:t>
      </w:r>
      <w:proofErr w:type="spellEnd"/>
    </w:p>
    <w:p w14:paraId="25157C9A" w14:textId="77777777" w:rsidR="00644388" w:rsidRDefault="00644388" w:rsidP="00DF44D1">
      <w:pPr>
        <w:pStyle w:val="FSBullet1"/>
      </w:pPr>
      <w:r>
        <w:t xml:space="preserve">2014 – </w:t>
      </w:r>
      <w:proofErr w:type="spellStart"/>
      <w:r>
        <w:t>NoV</w:t>
      </w:r>
      <w:proofErr w:type="spellEnd"/>
    </w:p>
    <w:p w14:paraId="4459EA5A" w14:textId="77777777" w:rsidR="00644388" w:rsidRDefault="00644388" w:rsidP="00DF44D1">
      <w:pPr>
        <w:pStyle w:val="FSBullet1"/>
        <w:rPr>
          <w:i/>
        </w:rPr>
      </w:pPr>
      <w:r>
        <w:t xml:space="preserve">2016 – </w:t>
      </w:r>
      <w:r>
        <w:rPr>
          <w:i/>
        </w:rPr>
        <w:t>Salmonella</w:t>
      </w:r>
      <w:r>
        <w:t xml:space="preserve"> </w:t>
      </w:r>
      <w:proofErr w:type="spellStart"/>
      <w:r>
        <w:t>Anatum</w:t>
      </w:r>
      <w:proofErr w:type="spellEnd"/>
      <w:r>
        <w:t>.</w:t>
      </w:r>
    </w:p>
    <w:p w14:paraId="48805756" w14:textId="77777777" w:rsidR="00644388" w:rsidRDefault="00644388" w:rsidP="00644388">
      <w:pPr>
        <w:rPr>
          <w:lang w:bidi="ar-SA"/>
        </w:rPr>
      </w:pPr>
    </w:p>
    <w:p w14:paraId="7EA35382" w14:textId="6B65C944" w:rsidR="00644388" w:rsidRDefault="00132209" w:rsidP="00644388">
      <w:pPr>
        <w:rPr>
          <w:lang w:bidi="ar-SA"/>
        </w:rPr>
      </w:pPr>
      <w:r>
        <w:rPr>
          <w:lang w:bidi="ar-SA"/>
        </w:rPr>
        <w:t>B</w:t>
      </w:r>
      <w:r w:rsidR="00644388">
        <w:rPr>
          <w:lang w:bidi="ar-SA"/>
        </w:rPr>
        <w:t>etween 2011 and 2020</w:t>
      </w:r>
      <w:r w:rsidR="008611DE">
        <w:rPr>
          <w:lang w:bidi="ar-SA"/>
        </w:rPr>
        <w:t>,</w:t>
      </w:r>
      <w:r w:rsidR="00644388">
        <w:rPr>
          <w:lang w:bidi="ar-SA"/>
        </w:rPr>
        <w:t xml:space="preserve"> there were three Australian recalls issued for domestically produced leafy vegetables. These were:</w:t>
      </w:r>
    </w:p>
    <w:p w14:paraId="5AC79730" w14:textId="695F0D13" w:rsidR="00644388" w:rsidRDefault="00485A74" w:rsidP="00DF44D1">
      <w:pPr>
        <w:pStyle w:val="FSBullet1"/>
      </w:pPr>
      <w:r>
        <w:t xml:space="preserve">2012 </w:t>
      </w:r>
      <w:r w:rsidR="00644388">
        <w:t xml:space="preserve">– </w:t>
      </w:r>
      <w:r w:rsidR="00644388">
        <w:rPr>
          <w:i/>
        </w:rPr>
        <w:t xml:space="preserve">Salmonella </w:t>
      </w:r>
      <w:proofErr w:type="spellStart"/>
      <w:r w:rsidR="00644388">
        <w:t>Anatum</w:t>
      </w:r>
      <w:proofErr w:type="spellEnd"/>
      <w:r w:rsidR="00132209">
        <w:t>,</w:t>
      </w:r>
      <w:r w:rsidR="00644388">
        <w:t xml:space="preserve"> associated with an outbreak</w:t>
      </w:r>
    </w:p>
    <w:p w14:paraId="35FFFB1C" w14:textId="533FA840" w:rsidR="00644388" w:rsidRDefault="00644388" w:rsidP="00DF44D1">
      <w:pPr>
        <w:pStyle w:val="FSBullet1"/>
      </w:pPr>
      <w:r>
        <w:t xml:space="preserve">2016 – </w:t>
      </w:r>
      <w:r>
        <w:rPr>
          <w:i/>
        </w:rPr>
        <w:t xml:space="preserve">Salmonella </w:t>
      </w:r>
      <w:proofErr w:type="spellStart"/>
      <w:r>
        <w:t>Anatum</w:t>
      </w:r>
      <w:proofErr w:type="spellEnd"/>
      <w:r w:rsidR="00132209">
        <w:t>,</w:t>
      </w:r>
      <w:r>
        <w:t xml:space="preserve"> associated with an outbreak</w:t>
      </w:r>
    </w:p>
    <w:p w14:paraId="38511F83" w14:textId="77777777" w:rsidR="00644388" w:rsidRDefault="00644388" w:rsidP="00DF44D1">
      <w:pPr>
        <w:pStyle w:val="FSBullet1"/>
      </w:pPr>
      <w:r>
        <w:t xml:space="preserve">2020 – </w:t>
      </w:r>
      <w:r>
        <w:rPr>
          <w:i/>
        </w:rPr>
        <w:t xml:space="preserve">Salmonella </w:t>
      </w:r>
      <w:r>
        <w:t>spp.</w:t>
      </w:r>
    </w:p>
    <w:p w14:paraId="1B32C33A" w14:textId="77777777" w:rsidR="00644388" w:rsidRDefault="00644388" w:rsidP="00644388">
      <w:pPr>
        <w:rPr>
          <w:lang w:bidi="ar-SA"/>
        </w:rPr>
      </w:pPr>
    </w:p>
    <w:p w14:paraId="05784B5C" w14:textId="4DE4B55C" w:rsidR="00644388" w:rsidRDefault="00644388" w:rsidP="00644388">
      <w:pPr>
        <w:rPr>
          <w:lang w:bidi="ar-SA"/>
        </w:rPr>
      </w:pPr>
      <w:r>
        <w:rPr>
          <w:lang w:bidi="ar-SA"/>
        </w:rPr>
        <w:t xml:space="preserve">Over this same period, 16 international outbreaks were linked to leafy vegetables. Hazards identified included (in order of descending frequency) </w:t>
      </w:r>
      <w:r>
        <w:rPr>
          <w:i/>
          <w:lang w:bidi="ar-SA"/>
        </w:rPr>
        <w:t>E.coli</w:t>
      </w:r>
      <w:r>
        <w:rPr>
          <w:lang w:bidi="ar-SA"/>
        </w:rPr>
        <w:t xml:space="preserve">, </w:t>
      </w:r>
      <w:r>
        <w:rPr>
          <w:i/>
          <w:lang w:bidi="ar-SA"/>
        </w:rPr>
        <w:t>Cyclospora</w:t>
      </w:r>
      <w:r>
        <w:rPr>
          <w:lang w:bidi="ar-SA"/>
        </w:rPr>
        <w:t xml:space="preserve">, </w:t>
      </w:r>
      <w:proofErr w:type="spellStart"/>
      <w:r>
        <w:rPr>
          <w:lang w:bidi="ar-SA"/>
        </w:rPr>
        <w:t>NoV</w:t>
      </w:r>
      <w:proofErr w:type="spellEnd"/>
      <w:r>
        <w:rPr>
          <w:lang w:bidi="ar-SA"/>
        </w:rPr>
        <w:t xml:space="preserve">, </w:t>
      </w:r>
      <w:r>
        <w:rPr>
          <w:i/>
          <w:lang w:bidi="ar-SA"/>
        </w:rPr>
        <w:t>Listeria</w:t>
      </w:r>
      <w:r>
        <w:rPr>
          <w:lang w:bidi="ar-SA"/>
        </w:rPr>
        <w:t xml:space="preserve">, </w:t>
      </w:r>
      <w:r>
        <w:rPr>
          <w:i/>
          <w:lang w:bidi="ar-SA"/>
        </w:rPr>
        <w:t>Salmonella</w:t>
      </w:r>
      <w:r>
        <w:rPr>
          <w:lang w:bidi="ar-SA"/>
        </w:rPr>
        <w:t xml:space="preserve">, </w:t>
      </w:r>
      <w:r>
        <w:rPr>
          <w:i/>
          <w:lang w:bidi="ar-SA"/>
        </w:rPr>
        <w:t>Shigella</w:t>
      </w:r>
      <w:r>
        <w:rPr>
          <w:lang w:bidi="ar-SA"/>
        </w:rPr>
        <w:t xml:space="preserve"> and </w:t>
      </w:r>
      <w:r>
        <w:rPr>
          <w:i/>
          <w:lang w:bidi="ar-SA"/>
        </w:rPr>
        <w:t>Yersinia</w:t>
      </w:r>
      <w:r>
        <w:rPr>
          <w:lang w:bidi="ar-SA"/>
        </w:rPr>
        <w:t xml:space="preserve">. The leafy vegetable sector is one of the four fresh minimally processed horticulture sectors most commonly associated with international </w:t>
      </w:r>
      <w:r>
        <w:rPr>
          <w:lang w:bidi="ar-SA"/>
        </w:rPr>
        <w:lastRenderedPageBreak/>
        <w:t xml:space="preserve">outbreaks. </w:t>
      </w:r>
      <w:r w:rsidRPr="00E024DD">
        <w:rPr>
          <w:lang w:bidi="ar-SA"/>
        </w:rPr>
        <w:t xml:space="preserve">Further detail about outbreaks </w:t>
      </w:r>
      <w:r w:rsidR="00223404" w:rsidRPr="00E024DD">
        <w:rPr>
          <w:lang w:bidi="ar-SA"/>
        </w:rPr>
        <w:t>and prevalence is in s</w:t>
      </w:r>
      <w:r w:rsidRPr="00E024DD">
        <w:rPr>
          <w:lang w:bidi="ar-SA"/>
        </w:rPr>
        <w:t xml:space="preserve">ection 4 of </w:t>
      </w:r>
      <w:r w:rsidR="00132209" w:rsidRPr="00E024DD">
        <w:rPr>
          <w:lang w:bidi="ar-SA"/>
        </w:rPr>
        <w:t>our</w:t>
      </w:r>
      <w:r w:rsidRPr="00E024DD">
        <w:rPr>
          <w:lang w:bidi="ar-SA"/>
        </w:rPr>
        <w:t xml:space="preserve"> microbiological assessment</w:t>
      </w:r>
      <w:r w:rsidR="00132209" w:rsidRPr="00E024DD">
        <w:rPr>
          <w:lang w:bidi="ar-SA"/>
        </w:rPr>
        <w:t xml:space="preserve"> </w:t>
      </w:r>
      <w:r w:rsidR="00E024DD" w:rsidRPr="00E024DD">
        <w:t xml:space="preserve">in another </w:t>
      </w:r>
      <w:r w:rsidR="00D14072" w:rsidRPr="00E024DD">
        <w:t>supporting document</w:t>
      </w:r>
      <w:r w:rsidR="00E024DD" w:rsidRPr="00E024DD">
        <w:t>.</w:t>
      </w:r>
    </w:p>
    <w:p w14:paraId="72EFC03E" w14:textId="77777777" w:rsidR="00644388" w:rsidRDefault="00644388" w:rsidP="00644388">
      <w:pPr>
        <w:rPr>
          <w:lang w:bidi="ar-SA"/>
        </w:rPr>
      </w:pPr>
    </w:p>
    <w:p w14:paraId="72AEF0B9" w14:textId="3D64E69F" w:rsidR="00644388" w:rsidRDefault="00132209" w:rsidP="00644388">
      <w:pPr>
        <w:rPr>
          <w:lang w:bidi="ar-SA"/>
        </w:rPr>
      </w:pPr>
      <w:r>
        <w:rPr>
          <w:lang w:bidi="ar-SA"/>
        </w:rPr>
        <w:t>Mi</w:t>
      </w:r>
      <w:r w:rsidR="00644388">
        <w:rPr>
          <w:lang w:bidi="ar-SA"/>
        </w:rPr>
        <w:t xml:space="preserve">crobial hazards of concern </w:t>
      </w:r>
      <w:r>
        <w:rPr>
          <w:lang w:bidi="ar-SA"/>
        </w:rPr>
        <w:t>were</w:t>
      </w:r>
      <w:r w:rsidR="00644388">
        <w:rPr>
          <w:lang w:bidi="ar-SA"/>
        </w:rPr>
        <w:t xml:space="preserve"> based on consideration of Australian and international outbreak data and other international research. </w:t>
      </w:r>
      <w:r w:rsidR="0057230D">
        <w:rPr>
          <w:lang w:bidi="ar-SA"/>
        </w:rPr>
        <w:t>Each hazard’s</w:t>
      </w:r>
      <w:r w:rsidR="00644388" w:rsidRPr="00E024DD">
        <w:rPr>
          <w:lang w:bidi="ar-SA"/>
        </w:rPr>
        <w:t xml:space="preserve"> characteristics </w:t>
      </w:r>
      <w:r w:rsidR="00CA4C27" w:rsidRPr="00E024DD">
        <w:rPr>
          <w:lang w:bidi="ar-SA"/>
        </w:rPr>
        <w:t>are summarised in</w:t>
      </w:r>
      <w:r w:rsidR="00644388" w:rsidRPr="00E024DD">
        <w:rPr>
          <w:lang w:bidi="ar-SA"/>
        </w:rPr>
        <w:t xml:space="preserve"> the </w:t>
      </w:r>
      <w:r w:rsidR="00223404" w:rsidRPr="00E024DD">
        <w:rPr>
          <w:lang w:bidi="ar-SA"/>
        </w:rPr>
        <w:t>microbiological assessment</w:t>
      </w:r>
      <w:r w:rsidR="00644388" w:rsidRPr="00E024DD">
        <w:rPr>
          <w:lang w:bidi="ar-SA"/>
        </w:rPr>
        <w:t>, with detail in</w:t>
      </w:r>
      <w:r w:rsidR="00C12EE5">
        <w:rPr>
          <w:lang w:bidi="ar-SA"/>
        </w:rPr>
        <w:t xml:space="preserve"> its</w:t>
      </w:r>
      <w:r w:rsidR="00644388" w:rsidRPr="00E024DD">
        <w:rPr>
          <w:lang w:bidi="ar-SA"/>
        </w:rPr>
        <w:t xml:space="preserve"> Appendices 7, 9 and 10.</w:t>
      </w:r>
    </w:p>
    <w:p w14:paraId="3C55E01E" w14:textId="77777777" w:rsidR="00644388" w:rsidRDefault="00644388" w:rsidP="00644388">
      <w:pPr>
        <w:rPr>
          <w:lang w:bidi="ar-SA"/>
        </w:rPr>
      </w:pPr>
    </w:p>
    <w:p w14:paraId="4583C2ED" w14:textId="61283326" w:rsidR="00644388" w:rsidRDefault="00644388" w:rsidP="00644388">
      <w:pPr>
        <w:rPr>
          <w:lang w:bidi="ar-SA"/>
        </w:rPr>
      </w:pPr>
      <w:r>
        <w:rPr>
          <w:lang w:bidi="ar-SA"/>
        </w:rPr>
        <w:t xml:space="preserve">Microbial hazards of leafy vegetables </w:t>
      </w:r>
      <w:r w:rsidR="00132209">
        <w:rPr>
          <w:lang w:bidi="ar-SA"/>
        </w:rPr>
        <w:t>that</w:t>
      </w:r>
      <w:r>
        <w:rPr>
          <w:lang w:bidi="ar-SA"/>
        </w:rPr>
        <w:t xml:space="preserve"> FSANZ considered relevant in the Australian context, and </w:t>
      </w:r>
      <w:r w:rsidR="009A547C">
        <w:rPr>
          <w:lang w:bidi="ar-SA"/>
        </w:rPr>
        <w:t xml:space="preserve">further </w:t>
      </w:r>
      <w:r>
        <w:rPr>
          <w:lang w:bidi="ar-SA"/>
        </w:rPr>
        <w:t>examined, were:</w:t>
      </w:r>
    </w:p>
    <w:p w14:paraId="6AD9EABE" w14:textId="77777777" w:rsidR="00644388" w:rsidRDefault="00644388" w:rsidP="00DF44D1">
      <w:pPr>
        <w:pStyle w:val="FSBullet1"/>
      </w:pPr>
      <w:r w:rsidRPr="00764E8A">
        <w:rPr>
          <w:i/>
        </w:rPr>
        <w:t>Salmonella</w:t>
      </w:r>
      <w:r>
        <w:t xml:space="preserve"> spp.</w:t>
      </w:r>
    </w:p>
    <w:p w14:paraId="450F6366" w14:textId="77777777" w:rsidR="00644388" w:rsidRDefault="00644388" w:rsidP="00DF44D1">
      <w:pPr>
        <w:pStyle w:val="FSBullet1"/>
      </w:pPr>
      <w:r>
        <w:t>STEC</w:t>
      </w:r>
    </w:p>
    <w:p w14:paraId="7A651AF1" w14:textId="56378E1D" w:rsidR="00644388" w:rsidRDefault="00644388" w:rsidP="00DF44D1">
      <w:pPr>
        <w:pStyle w:val="FSBullet1"/>
      </w:pPr>
      <w:r w:rsidRPr="00764E8A">
        <w:rPr>
          <w:i/>
        </w:rPr>
        <w:t>L</w:t>
      </w:r>
      <w:r w:rsidR="000F1826">
        <w:rPr>
          <w:i/>
        </w:rPr>
        <w:t>.</w:t>
      </w:r>
      <w:r w:rsidRPr="00764E8A">
        <w:rPr>
          <w:i/>
        </w:rPr>
        <w:t> monocytogenes</w:t>
      </w:r>
      <w:r>
        <w:t>.</w:t>
      </w:r>
    </w:p>
    <w:p w14:paraId="09106A7B" w14:textId="3F5F83FA" w:rsidR="00CA1D69" w:rsidRDefault="00CA1D69" w:rsidP="00CA1D69">
      <w:pPr>
        <w:rPr>
          <w:lang w:bidi="ar-SA"/>
        </w:rPr>
      </w:pPr>
    </w:p>
    <w:p w14:paraId="1BD8E2F8" w14:textId="6D249706" w:rsidR="00CA1D69" w:rsidRDefault="00CA1D69" w:rsidP="00CA1D69">
      <w:pPr>
        <w:rPr>
          <w:b/>
        </w:rPr>
      </w:pPr>
      <w:r w:rsidRPr="00CA1D69">
        <w:rPr>
          <w:b/>
        </w:rPr>
        <w:t xml:space="preserve">Food safety risk factors </w:t>
      </w:r>
      <w:r w:rsidR="00C12EE5">
        <w:rPr>
          <w:b/>
        </w:rPr>
        <w:t xml:space="preserve">that FSANZ </w:t>
      </w:r>
      <w:r w:rsidRPr="00CA1D69">
        <w:rPr>
          <w:b/>
        </w:rPr>
        <w:t xml:space="preserve">attributed to </w:t>
      </w:r>
      <w:r w:rsidR="00F22C53">
        <w:rPr>
          <w:b/>
        </w:rPr>
        <w:t>leafy vegetable</w:t>
      </w:r>
      <w:r w:rsidRPr="00CA1D69">
        <w:rPr>
          <w:b/>
        </w:rPr>
        <w:t>s</w:t>
      </w:r>
      <w:r>
        <w:rPr>
          <w:b/>
        </w:rPr>
        <w:t xml:space="preserve"> and regulatory risk management measures</w:t>
      </w:r>
      <w:r w:rsidR="00C12EE5">
        <w:rPr>
          <w:b/>
        </w:rPr>
        <w:t xml:space="preserve"> considered and proposed</w:t>
      </w:r>
    </w:p>
    <w:p w14:paraId="7E8F57E0" w14:textId="77777777" w:rsidR="00F22C53" w:rsidRPr="00CA1D69" w:rsidRDefault="00F22C53" w:rsidP="00CA1D69">
      <w:pPr>
        <w:rPr>
          <w:b/>
        </w:rPr>
      </w:pPr>
    </w:p>
    <w:tbl>
      <w:tblPr>
        <w:tblStyle w:val="TableGrid"/>
        <w:tblW w:w="0" w:type="auto"/>
        <w:tblLook w:val="04A0" w:firstRow="1" w:lastRow="0" w:firstColumn="1" w:lastColumn="0" w:noHBand="0" w:noVBand="1"/>
      </w:tblPr>
      <w:tblGrid>
        <w:gridCol w:w="6115"/>
        <w:gridCol w:w="1440"/>
        <w:gridCol w:w="1505"/>
      </w:tblGrid>
      <w:tr w:rsidR="00CA1D69" w:rsidRPr="00E65DF8" w14:paraId="214B8ADB" w14:textId="77777777" w:rsidTr="00CA1D69">
        <w:tc>
          <w:tcPr>
            <w:tcW w:w="6115" w:type="dxa"/>
          </w:tcPr>
          <w:p w14:paraId="6A87FB04" w14:textId="77777777" w:rsidR="00CA1D69" w:rsidRPr="00CA1D69" w:rsidRDefault="00CA1D69" w:rsidP="00CA1D69">
            <w:pPr>
              <w:rPr>
                <w:b/>
              </w:rPr>
            </w:pPr>
            <w:r w:rsidRPr="00E65DF8">
              <w:rPr>
                <w:b/>
              </w:rPr>
              <w:t>Food safety risk factors</w:t>
            </w:r>
          </w:p>
        </w:tc>
        <w:tc>
          <w:tcPr>
            <w:tcW w:w="1440" w:type="dxa"/>
          </w:tcPr>
          <w:p w14:paraId="7DB5A7C2" w14:textId="77777777" w:rsidR="00CA1D69" w:rsidRPr="00CA1D69" w:rsidRDefault="00CA1D69" w:rsidP="00CA1D69">
            <w:pPr>
              <w:rPr>
                <w:b/>
              </w:rPr>
            </w:pPr>
            <w:r w:rsidRPr="00CA1D69">
              <w:rPr>
                <w:b/>
              </w:rPr>
              <w:t>Considered</w:t>
            </w:r>
          </w:p>
        </w:tc>
        <w:tc>
          <w:tcPr>
            <w:tcW w:w="1505" w:type="dxa"/>
          </w:tcPr>
          <w:p w14:paraId="3CF1BF7A" w14:textId="77777777" w:rsidR="00CA1D69" w:rsidRPr="00CA1D69" w:rsidRDefault="00CA1D69" w:rsidP="00CA1D69">
            <w:pPr>
              <w:rPr>
                <w:b/>
              </w:rPr>
            </w:pPr>
            <w:r w:rsidRPr="00CA1D69">
              <w:rPr>
                <w:b/>
              </w:rPr>
              <w:t xml:space="preserve">Proposed </w:t>
            </w:r>
          </w:p>
        </w:tc>
      </w:tr>
      <w:tr w:rsidR="00CA1D69" w14:paraId="3AEF7437" w14:textId="77777777" w:rsidTr="00CA1D69">
        <w:tc>
          <w:tcPr>
            <w:tcW w:w="6115" w:type="dxa"/>
          </w:tcPr>
          <w:p w14:paraId="6A1ABDBC" w14:textId="77777777" w:rsidR="00CA1D69" w:rsidRDefault="00CA1D69" w:rsidP="00CA1D69">
            <w:pPr>
              <w:pStyle w:val="FSBullet1"/>
              <w:numPr>
                <w:ilvl w:val="0"/>
                <w:numId w:val="0"/>
              </w:numPr>
              <w:ind w:left="120"/>
            </w:pPr>
            <w:r>
              <w:t>incursion by wildlife and domestic animals</w:t>
            </w:r>
          </w:p>
        </w:tc>
        <w:tc>
          <w:tcPr>
            <w:tcW w:w="1440" w:type="dxa"/>
          </w:tcPr>
          <w:p w14:paraId="1EEDCEC2"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2421ACD0" w14:textId="77777777" w:rsidR="00CA1D69" w:rsidRDefault="00CA1D69" w:rsidP="00CA1D69">
            <w:pPr>
              <w:jc w:val="center"/>
            </w:pPr>
            <w:r w:rsidRPr="002B11D4">
              <w:rPr>
                <w:rFonts w:ascii="Wingdings 2" w:hAnsi="Wingdings 2"/>
                <w:color w:val="000000" w:themeColor="text1"/>
                <w:lang w:val="en-AU"/>
              </w:rPr>
              <w:t></w:t>
            </w:r>
          </w:p>
        </w:tc>
      </w:tr>
      <w:tr w:rsidR="00CA1D69" w14:paraId="14B953D9" w14:textId="77777777" w:rsidTr="00CA1D69">
        <w:tc>
          <w:tcPr>
            <w:tcW w:w="6115" w:type="dxa"/>
          </w:tcPr>
          <w:p w14:paraId="0F4A34DB" w14:textId="30A82CB0" w:rsidR="00CA1D69" w:rsidRDefault="00CA1D69" w:rsidP="00CA1D69">
            <w:pPr>
              <w:ind w:left="120"/>
            </w:pPr>
            <w:r>
              <w:t xml:space="preserve">characteristics of the production site including </w:t>
            </w:r>
            <w:r w:rsidR="00C015A2">
              <w:t xml:space="preserve">surrounding and prior land use, </w:t>
            </w:r>
            <w:r>
              <w:t>particularly for open-field production</w:t>
            </w:r>
          </w:p>
        </w:tc>
        <w:tc>
          <w:tcPr>
            <w:tcW w:w="1440" w:type="dxa"/>
          </w:tcPr>
          <w:p w14:paraId="2CDA64FD"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516116ED" w14:textId="77777777" w:rsidR="00CA1D69" w:rsidRDefault="00CA1D69" w:rsidP="00CA1D69">
            <w:pPr>
              <w:jc w:val="center"/>
            </w:pPr>
            <w:r w:rsidRPr="002B11D4">
              <w:rPr>
                <w:rFonts w:ascii="Wingdings 2" w:hAnsi="Wingdings 2"/>
                <w:color w:val="000000" w:themeColor="text1"/>
                <w:lang w:val="en-AU"/>
              </w:rPr>
              <w:t></w:t>
            </w:r>
          </w:p>
        </w:tc>
      </w:tr>
      <w:tr w:rsidR="00CA1D69" w14:paraId="49CB11C9" w14:textId="77777777" w:rsidTr="00CA1D69">
        <w:tc>
          <w:tcPr>
            <w:tcW w:w="6115" w:type="dxa"/>
          </w:tcPr>
          <w:p w14:paraId="24D265D4" w14:textId="77777777" w:rsidR="00CA1D69" w:rsidRDefault="00CA1D69" w:rsidP="00CA1D69">
            <w:pPr>
              <w:pStyle w:val="FSBullet1"/>
              <w:numPr>
                <w:ilvl w:val="0"/>
                <w:numId w:val="0"/>
              </w:numPr>
              <w:ind w:left="120"/>
            </w:pPr>
            <w:r>
              <w:t>occurrence of weather events, such as flooding or heavy rain, which could transfer pathogens to produce, fields, or irrigation water sources</w:t>
            </w:r>
          </w:p>
        </w:tc>
        <w:tc>
          <w:tcPr>
            <w:tcW w:w="1440" w:type="dxa"/>
          </w:tcPr>
          <w:p w14:paraId="3699401F"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303DB164" w14:textId="77777777" w:rsidR="00CA1D69" w:rsidRDefault="00CA1D69" w:rsidP="00CA1D69">
            <w:pPr>
              <w:jc w:val="center"/>
            </w:pPr>
            <w:r w:rsidRPr="002B11D4">
              <w:rPr>
                <w:rFonts w:ascii="Wingdings 2" w:hAnsi="Wingdings 2"/>
                <w:color w:val="000000" w:themeColor="text1"/>
                <w:lang w:val="en-AU"/>
              </w:rPr>
              <w:t></w:t>
            </w:r>
          </w:p>
        </w:tc>
      </w:tr>
      <w:tr w:rsidR="00A04F35" w14:paraId="07D1D7AA" w14:textId="77777777" w:rsidTr="00CA1D69">
        <w:tc>
          <w:tcPr>
            <w:tcW w:w="6115" w:type="dxa"/>
          </w:tcPr>
          <w:p w14:paraId="754C614A" w14:textId="7E8EA0A1" w:rsidR="00A04F35" w:rsidRDefault="00A04F35" w:rsidP="00A04F35">
            <w:pPr>
              <w:pStyle w:val="FSBullet1"/>
              <w:numPr>
                <w:ilvl w:val="0"/>
                <w:numId w:val="0"/>
              </w:numPr>
              <w:ind w:left="502" w:hanging="360"/>
            </w:pPr>
            <w:r>
              <w:t>contamination of seeds and seedlings</w:t>
            </w:r>
          </w:p>
        </w:tc>
        <w:tc>
          <w:tcPr>
            <w:tcW w:w="1440" w:type="dxa"/>
          </w:tcPr>
          <w:p w14:paraId="0E3D3BA9" w14:textId="1DAA815F" w:rsidR="00A04F35" w:rsidRPr="002B11D4" w:rsidRDefault="00A04F35" w:rsidP="00A04F35">
            <w:pPr>
              <w:jc w:val="center"/>
              <w:rPr>
                <w:rFonts w:ascii="Wingdings 2" w:hAnsi="Wingdings 2"/>
                <w:color w:val="000000" w:themeColor="text1"/>
                <w:lang w:val="en-AU"/>
              </w:rPr>
            </w:pPr>
            <w:r w:rsidRPr="002B11D4">
              <w:rPr>
                <w:rFonts w:ascii="Wingdings 2" w:hAnsi="Wingdings 2"/>
                <w:color w:val="000000" w:themeColor="text1"/>
                <w:lang w:val="en-AU"/>
              </w:rPr>
              <w:t></w:t>
            </w:r>
          </w:p>
        </w:tc>
        <w:tc>
          <w:tcPr>
            <w:tcW w:w="1505" w:type="dxa"/>
          </w:tcPr>
          <w:p w14:paraId="5E268BE6" w14:textId="3131D694" w:rsidR="00A04F35" w:rsidRPr="002B11D4" w:rsidRDefault="00A04F35" w:rsidP="00A04F35">
            <w:pPr>
              <w:jc w:val="center"/>
              <w:rPr>
                <w:rFonts w:ascii="Wingdings 2" w:hAnsi="Wingdings 2"/>
                <w:color w:val="000000" w:themeColor="text1"/>
                <w:lang w:val="en-AU"/>
              </w:rPr>
            </w:pPr>
            <w:r w:rsidRPr="002B11D4">
              <w:rPr>
                <w:rFonts w:ascii="Wingdings 2" w:hAnsi="Wingdings 2"/>
                <w:color w:val="000000" w:themeColor="text1"/>
                <w:lang w:val="en-AU"/>
              </w:rPr>
              <w:t></w:t>
            </w:r>
          </w:p>
        </w:tc>
      </w:tr>
      <w:tr w:rsidR="00A04F35" w14:paraId="1B6F2433" w14:textId="77777777" w:rsidTr="00CA1D69">
        <w:tc>
          <w:tcPr>
            <w:tcW w:w="6115" w:type="dxa"/>
          </w:tcPr>
          <w:p w14:paraId="0E76184D" w14:textId="77777777" w:rsidR="00A04F35" w:rsidRDefault="00A04F35" w:rsidP="00A04F35">
            <w:pPr>
              <w:pStyle w:val="FSBullet1"/>
              <w:numPr>
                <w:ilvl w:val="0"/>
                <w:numId w:val="0"/>
              </w:numPr>
              <w:ind w:left="120"/>
            </w:pPr>
            <w:r>
              <w:t>application of untreated or insufficiently treated manure or compost amendments, particularly for plants growing close to the ground</w:t>
            </w:r>
          </w:p>
        </w:tc>
        <w:tc>
          <w:tcPr>
            <w:tcW w:w="1440" w:type="dxa"/>
          </w:tcPr>
          <w:p w14:paraId="638EF200"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7DE6D465" w14:textId="77777777" w:rsidR="00A04F35" w:rsidRDefault="00A04F35" w:rsidP="00A04F35">
            <w:pPr>
              <w:jc w:val="center"/>
            </w:pPr>
            <w:r w:rsidRPr="002B11D4">
              <w:rPr>
                <w:rFonts w:ascii="Wingdings 2" w:hAnsi="Wingdings 2"/>
                <w:color w:val="000000" w:themeColor="text1"/>
                <w:lang w:val="en-AU"/>
              </w:rPr>
              <w:t></w:t>
            </w:r>
          </w:p>
        </w:tc>
      </w:tr>
      <w:tr w:rsidR="00A04F35" w14:paraId="1A8739A7" w14:textId="77777777" w:rsidTr="00CA1D69">
        <w:tc>
          <w:tcPr>
            <w:tcW w:w="6115" w:type="dxa"/>
          </w:tcPr>
          <w:p w14:paraId="11CC7599" w14:textId="77777777" w:rsidR="00A04F35" w:rsidRDefault="00A04F35" w:rsidP="00A04F35">
            <w:pPr>
              <w:pStyle w:val="FSBullet1"/>
              <w:numPr>
                <w:ilvl w:val="0"/>
                <w:numId w:val="0"/>
              </w:numPr>
              <w:ind w:left="120"/>
            </w:pPr>
            <w:r>
              <w:t>use of contaminated water for irrigation and for the application of agricultural chemicals</w:t>
            </w:r>
          </w:p>
        </w:tc>
        <w:tc>
          <w:tcPr>
            <w:tcW w:w="1440" w:type="dxa"/>
          </w:tcPr>
          <w:p w14:paraId="6BC8237B"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780608A9" w14:textId="77777777" w:rsidR="00A04F35" w:rsidRDefault="00A04F35" w:rsidP="00A04F35">
            <w:pPr>
              <w:jc w:val="center"/>
            </w:pPr>
            <w:r w:rsidRPr="002B11D4">
              <w:rPr>
                <w:rFonts w:ascii="Wingdings 2" w:hAnsi="Wingdings 2"/>
                <w:color w:val="000000" w:themeColor="text1"/>
                <w:lang w:val="en-AU"/>
              </w:rPr>
              <w:t></w:t>
            </w:r>
          </w:p>
        </w:tc>
      </w:tr>
      <w:tr w:rsidR="00A04F35" w14:paraId="204CF638" w14:textId="77777777" w:rsidTr="00CA1D69">
        <w:tc>
          <w:tcPr>
            <w:tcW w:w="6115" w:type="dxa"/>
          </w:tcPr>
          <w:p w14:paraId="50BB71B1" w14:textId="77777777" w:rsidR="00A04F35" w:rsidRDefault="00A04F35" w:rsidP="00A04F35">
            <w:pPr>
              <w:pStyle w:val="FSBullet1"/>
              <w:numPr>
                <w:ilvl w:val="0"/>
                <w:numId w:val="0"/>
              </w:numPr>
              <w:ind w:left="120"/>
            </w:pPr>
            <w:r>
              <w:t>contamination and cross-contamination due to poor worker and equipment hygiene, both at harvest and postharvest</w:t>
            </w:r>
          </w:p>
        </w:tc>
        <w:tc>
          <w:tcPr>
            <w:tcW w:w="1440" w:type="dxa"/>
          </w:tcPr>
          <w:p w14:paraId="42056BB7"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5023235" w14:textId="77777777" w:rsidR="00A04F35" w:rsidRDefault="00A04F35" w:rsidP="00A04F35">
            <w:pPr>
              <w:jc w:val="center"/>
            </w:pPr>
            <w:r w:rsidRPr="002B11D4">
              <w:rPr>
                <w:rFonts w:ascii="Wingdings 2" w:hAnsi="Wingdings 2"/>
                <w:color w:val="000000" w:themeColor="text1"/>
                <w:lang w:val="en-AU"/>
              </w:rPr>
              <w:t></w:t>
            </w:r>
          </w:p>
        </w:tc>
      </w:tr>
      <w:tr w:rsidR="00A04F35" w14:paraId="4831ADD4" w14:textId="77777777" w:rsidTr="00CA1D69">
        <w:tc>
          <w:tcPr>
            <w:tcW w:w="6115" w:type="dxa"/>
          </w:tcPr>
          <w:p w14:paraId="438E8973" w14:textId="77777777" w:rsidR="00A04F35" w:rsidRDefault="00A04F35" w:rsidP="00A04F35">
            <w:pPr>
              <w:pStyle w:val="FSBullet1"/>
              <w:numPr>
                <w:ilvl w:val="0"/>
                <w:numId w:val="0"/>
              </w:numPr>
              <w:ind w:left="120"/>
            </w:pPr>
            <w:r>
              <w:t>inadequate washing and sanitiser application</w:t>
            </w:r>
          </w:p>
        </w:tc>
        <w:tc>
          <w:tcPr>
            <w:tcW w:w="1440" w:type="dxa"/>
          </w:tcPr>
          <w:p w14:paraId="4E3BE914"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B69781C" w14:textId="77777777" w:rsidR="00A04F35" w:rsidRDefault="00A04F35" w:rsidP="00A04F35">
            <w:pPr>
              <w:jc w:val="center"/>
            </w:pPr>
            <w:r w:rsidRPr="002B11D4">
              <w:rPr>
                <w:rFonts w:ascii="Wingdings 2" w:hAnsi="Wingdings 2"/>
                <w:color w:val="000000" w:themeColor="text1"/>
                <w:lang w:val="en-AU"/>
              </w:rPr>
              <w:t></w:t>
            </w:r>
          </w:p>
        </w:tc>
      </w:tr>
      <w:tr w:rsidR="00A04F35" w14:paraId="3E9F3FE4" w14:textId="77777777" w:rsidTr="00CA1D69">
        <w:tc>
          <w:tcPr>
            <w:tcW w:w="6115" w:type="dxa"/>
          </w:tcPr>
          <w:p w14:paraId="34E667F9" w14:textId="77777777" w:rsidR="00A04F35" w:rsidRDefault="00A04F35" w:rsidP="00A04F35">
            <w:pPr>
              <w:pStyle w:val="FSBullet1"/>
              <w:numPr>
                <w:ilvl w:val="0"/>
                <w:numId w:val="0"/>
              </w:numPr>
              <w:ind w:left="120"/>
            </w:pPr>
            <w:r>
              <w:t>inadequate cold chain maintenance</w:t>
            </w:r>
          </w:p>
        </w:tc>
        <w:tc>
          <w:tcPr>
            <w:tcW w:w="1440" w:type="dxa"/>
          </w:tcPr>
          <w:p w14:paraId="062F79A7"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65AA600" w14:textId="77777777" w:rsidR="00A04F35" w:rsidRDefault="00A04F35" w:rsidP="00A04F35">
            <w:pPr>
              <w:jc w:val="center"/>
            </w:pPr>
            <w:r w:rsidRPr="002B11D4">
              <w:rPr>
                <w:rFonts w:ascii="Wingdings 2" w:hAnsi="Wingdings 2"/>
                <w:color w:val="000000" w:themeColor="text1"/>
                <w:lang w:val="en-AU"/>
              </w:rPr>
              <w:t></w:t>
            </w:r>
          </w:p>
        </w:tc>
      </w:tr>
    </w:tbl>
    <w:p w14:paraId="2036C2C7" w14:textId="63ACDB05" w:rsidR="00644388" w:rsidRDefault="00644388" w:rsidP="00644388"/>
    <w:p w14:paraId="1E27BE43" w14:textId="0D97DEF7" w:rsidR="00F22C53" w:rsidRDefault="00F22C53" w:rsidP="00F22C53">
      <w:r>
        <w:t xml:space="preserve">FSANZ has </w:t>
      </w:r>
      <w:r w:rsidR="0033105B">
        <w:t xml:space="preserve">also </w:t>
      </w:r>
      <w:r>
        <w:t>included the following proposed regulatory measures to support the management of the key risks factors identified above:</w:t>
      </w:r>
    </w:p>
    <w:p w14:paraId="75BAC66F" w14:textId="0A3A9DE9" w:rsidR="00F22C53" w:rsidRDefault="0025198D" w:rsidP="00F22C53">
      <w:pPr>
        <w:pStyle w:val="FSBullet1"/>
      </w:pPr>
      <w:r>
        <w:t>GFSMR</w:t>
      </w:r>
    </w:p>
    <w:p w14:paraId="195B9613" w14:textId="77777777" w:rsidR="00F22C53" w:rsidRDefault="00F22C53" w:rsidP="00F22C53">
      <w:pPr>
        <w:pStyle w:val="FSBullet1"/>
      </w:pPr>
      <w:r>
        <w:t>minimal traceability</w:t>
      </w:r>
    </w:p>
    <w:p w14:paraId="69991338" w14:textId="77777777" w:rsidR="00F22C53" w:rsidRDefault="00F22C53" w:rsidP="00F22C53">
      <w:pPr>
        <w:pStyle w:val="FSBullet1"/>
      </w:pPr>
      <w:r>
        <w:t>safe sale and supply.</w:t>
      </w:r>
    </w:p>
    <w:p w14:paraId="30832DA7" w14:textId="77777777" w:rsidR="00F22C53" w:rsidRDefault="00F22C53" w:rsidP="00F22C53"/>
    <w:p w14:paraId="795B3FF4" w14:textId="7FDD3D3E" w:rsidR="00F22C53" w:rsidRPr="00F22C53" w:rsidRDefault="000F1826" w:rsidP="00644388">
      <w:pPr>
        <w:rPr>
          <w:color w:val="000000" w:themeColor="text1"/>
        </w:rPr>
      </w:pPr>
      <w:r>
        <w:rPr>
          <w:color w:val="000000" w:themeColor="text1"/>
        </w:rPr>
        <w:t xml:space="preserve">The GFSMR, </w:t>
      </w:r>
      <w:r w:rsidR="00F22C53">
        <w:rPr>
          <w:color w:val="000000" w:themeColor="text1"/>
        </w:rPr>
        <w:t xml:space="preserve">defined in </w:t>
      </w:r>
      <w:hyperlink r:id="rId35" w:history="1">
        <w:r w:rsidR="00F22C53">
          <w:rPr>
            <w:rStyle w:val="Hyperlink"/>
          </w:rPr>
          <w:t>Standard 4.1.1</w:t>
        </w:r>
      </w:hyperlink>
      <w:r w:rsidRPr="000F1826">
        <w:rPr>
          <w:rStyle w:val="Hyperlink"/>
          <w:color w:val="auto"/>
          <w:u w:val="none"/>
        </w:rPr>
        <w:t>,</w:t>
      </w:r>
      <w:r w:rsidR="00F22C53">
        <w:rPr>
          <w:color w:val="000000" w:themeColor="text1"/>
        </w:rPr>
        <w:t xml:space="preserve"> include requirements for the business to write a food safety management statement and for this statement to b</w:t>
      </w:r>
      <w:r w:rsidR="000C234A">
        <w:rPr>
          <w:color w:val="000000" w:themeColor="text1"/>
        </w:rPr>
        <w:t>e approved (or recognised) by a food regulatory</w:t>
      </w:r>
      <w:r w:rsidR="00F22C53">
        <w:rPr>
          <w:color w:val="000000" w:themeColor="text1"/>
        </w:rPr>
        <w:t xml:space="preserve"> authority and subject to ongoing monitoring.</w:t>
      </w:r>
    </w:p>
    <w:p w14:paraId="519DBC53" w14:textId="6354E61F" w:rsidR="00644388" w:rsidRPr="00644388" w:rsidRDefault="00DC26DB" w:rsidP="00CA1D69">
      <w:pPr>
        <w:pStyle w:val="Heading4"/>
        <w:ind w:left="0" w:firstLine="0"/>
      </w:pPr>
      <w:bookmarkStart w:id="293" w:name="_Toc77687510"/>
      <w:bookmarkStart w:id="294" w:name="_Toc76570488"/>
      <w:bookmarkStart w:id="295" w:name="_Toc76382361"/>
      <w:bookmarkStart w:id="296" w:name="_Toc74145863"/>
      <w:bookmarkStart w:id="297" w:name="_Toc69222850"/>
      <w:r>
        <w:t>Cost-</w:t>
      </w:r>
      <w:r w:rsidR="00644388" w:rsidRPr="00644388">
        <w:t>benefit analysis</w:t>
      </w:r>
      <w:bookmarkEnd w:id="293"/>
      <w:bookmarkEnd w:id="294"/>
      <w:bookmarkEnd w:id="295"/>
      <w:bookmarkEnd w:id="296"/>
      <w:bookmarkEnd w:id="297"/>
    </w:p>
    <w:p w14:paraId="324E15B0" w14:textId="5736E59E" w:rsidR="005A04D3" w:rsidRPr="00B85F78" w:rsidRDefault="00BB647B" w:rsidP="00644388">
      <w:r>
        <w:t>FSANZ completed</w:t>
      </w:r>
      <w:r w:rsidR="005932BE">
        <w:t xml:space="preserve"> an economic analysis of co</w:t>
      </w:r>
      <w:r w:rsidR="00CA4C27">
        <w:t>sts and benefits to inform the D</w:t>
      </w:r>
      <w:r w:rsidR="005932BE">
        <w:t xml:space="preserve">RIS. </w:t>
      </w:r>
      <w:r w:rsidR="008D1EF7">
        <w:t xml:space="preserve">The </w:t>
      </w:r>
      <w:r w:rsidR="00CA4C27">
        <w:t xml:space="preserve">relatively </w:t>
      </w:r>
      <w:r w:rsidR="008D1EF7">
        <w:t xml:space="preserve">high estimated illness cost for leafy vegetables is largely a result of the higher occurrence of </w:t>
      </w:r>
      <w:r w:rsidR="008D1EF7">
        <w:rPr>
          <w:i/>
        </w:rPr>
        <w:t>Salmonella</w:t>
      </w:r>
      <w:r w:rsidR="008D1EF7">
        <w:t xml:space="preserve"> and the severit</w:t>
      </w:r>
      <w:r w:rsidR="0033105B">
        <w:t xml:space="preserve">y </w:t>
      </w:r>
      <w:r w:rsidR="000F1826">
        <w:t>of l</w:t>
      </w:r>
      <w:r w:rsidR="008D1EF7">
        <w:t>isteriosis.</w:t>
      </w:r>
      <w:r w:rsidR="009979D0">
        <w:t xml:space="preserve"> That said, the estimated costs per case of </w:t>
      </w:r>
      <w:r w:rsidR="009979D0" w:rsidRPr="002E59FB">
        <w:rPr>
          <w:i/>
        </w:rPr>
        <w:t>Salmonella</w:t>
      </w:r>
      <w:r w:rsidR="009979D0">
        <w:t xml:space="preserve"> have been revised downwards since the CRIS with FSANZ’s more soph</w:t>
      </w:r>
      <w:r w:rsidR="00976D20">
        <w:t>isticated Cost of Illness model.</w:t>
      </w:r>
      <w:r w:rsidR="009979D0">
        <w:t xml:space="preserve">  </w:t>
      </w:r>
    </w:p>
    <w:p w14:paraId="64AD85C8" w14:textId="23A41705" w:rsidR="00644388" w:rsidRPr="005A04D3" w:rsidRDefault="00644388" w:rsidP="00B85F78">
      <w:pPr>
        <w:pStyle w:val="Heading4"/>
      </w:pPr>
      <w:bookmarkStart w:id="298" w:name="_Toc77687511"/>
      <w:bookmarkStart w:id="299" w:name="_Toc76570489"/>
      <w:bookmarkStart w:id="300" w:name="_Toc76382362"/>
      <w:bookmarkStart w:id="301" w:name="_Toc74145864"/>
      <w:bookmarkStart w:id="302" w:name="_Toc69222851"/>
      <w:r w:rsidRPr="005A04D3">
        <w:lastRenderedPageBreak/>
        <w:t xml:space="preserve">Other considerations </w:t>
      </w:r>
      <w:bookmarkEnd w:id="298"/>
      <w:bookmarkEnd w:id="299"/>
      <w:bookmarkEnd w:id="300"/>
      <w:bookmarkEnd w:id="301"/>
      <w:bookmarkEnd w:id="302"/>
    </w:p>
    <w:p w14:paraId="5261D1EB" w14:textId="44A70D5E" w:rsidR="005A04D3" w:rsidRPr="002D5090" w:rsidRDefault="00644388" w:rsidP="00644388">
      <w:pPr>
        <w:rPr>
          <w:lang w:bidi="ar-SA"/>
        </w:rPr>
      </w:pPr>
      <w:r>
        <w:rPr>
          <w:lang w:bidi="ar-SA"/>
        </w:rPr>
        <w:t xml:space="preserve">FSANZ’s review also considered the extent of the current regulatory and non-regulatory framework, including existing FSS and the </w:t>
      </w:r>
      <w:r w:rsidR="009A547C">
        <w:t>level of sign-</w:t>
      </w:r>
      <w:r>
        <w:t>up to these schemes.</w:t>
      </w:r>
      <w:r w:rsidR="007C3411">
        <w:rPr>
          <w:lang w:bidi="ar-SA"/>
        </w:rPr>
        <w:t xml:space="preserve"> </w:t>
      </w:r>
      <w:r w:rsidR="009979D0">
        <w:t xml:space="preserve">After </w:t>
      </w:r>
      <w:r w:rsidR="00F22C53">
        <w:t>receiving advice</w:t>
      </w:r>
      <w:r w:rsidR="00CA1D69">
        <w:t xml:space="preserve"> in submissions from the leafy vegetables industry</w:t>
      </w:r>
      <w:r w:rsidR="009979D0">
        <w:t xml:space="preserve"> and re-examining estimated business numbers</w:t>
      </w:r>
      <w:r w:rsidR="00CA1D69">
        <w:t xml:space="preserve"> from the Australian Bureau of Statistics</w:t>
      </w:r>
      <w:r w:rsidR="00CA1D69">
        <w:rPr>
          <w:rStyle w:val="FootnoteReference"/>
        </w:rPr>
        <w:footnoteReference w:id="7"/>
      </w:r>
      <w:r w:rsidR="009979D0">
        <w:t>, FSANZ now estimates there are 640 (+/- 12</w:t>
      </w:r>
      <w:r>
        <w:t xml:space="preserve">0) leafy vegetable producers nationally, and that </w:t>
      </w:r>
      <w:r w:rsidR="009A547C">
        <w:t>about</w:t>
      </w:r>
      <w:r>
        <w:t xml:space="preserve"> 5</w:t>
      </w:r>
      <w:r w:rsidR="00153035">
        <w:t>0</w:t>
      </w:r>
      <w:r>
        <w:t xml:space="preserve">% of these businesses </w:t>
      </w:r>
      <w:r w:rsidR="009979D0">
        <w:t xml:space="preserve">operate on </w:t>
      </w:r>
      <w:r>
        <w:t xml:space="preserve">an accredited FSS. </w:t>
      </w:r>
      <w:r>
        <w:rPr>
          <w:color w:val="000000" w:themeColor="text1"/>
        </w:rPr>
        <w:t>The lack of existing national regulation and the low</w:t>
      </w:r>
      <w:r w:rsidR="00153035">
        <w:rPr>
          <w:color w:val="000000" w:themeColor="text1"/>
        </w:rPr>
        <w:t>er</w:t>
      </w:r>
      <w:r>
        <w:rPr>
          <w:color w:val="000000" w:themeColor="text1"/>
        </w:rPr>
        <w:t xml:space="preserve"> uptake of a FSS </w:t>
      </w:r>
      <w:r w:rsidR="00153035">
        <w:rPr>
          <w:color w:val="000000" w:themeColor="text1"/>
        </w:rPr>
        <w:t xml:space="preserve">compared to other </w:t>
      </w:r>
      <w:r w:rsidR="00F80D1A">
        <w:rPr>
          <w:lang w:val="en-AU"/>
        </w:rPr>
        <w:t>commodities</w:t>
      </w:r>
      <w:r w:rsidR="00153035">
        <w:rPr>
          <w:color w:val="000000" w:themeColor="text1"/>
        </w:rPr>
        <w:t xml:space="preserve"> </w:t>
      </w:r>
      <w:r>
        <w:rPr>
          <w:color w:val="000000" w:themeColor="text1"/>
        </w:rPr>
        <w:t xml:space="preserve">influenced FSANZ’s final position. </w:t>
      </w:r>
    </w:p>
    <w:p w14:paraId="241D5613" w14:textId="77777777" w:rsidR="00406420" w:rsidRDefault="00406420" w:rsidP="00644388"/>
    <w:p w14:paraId="5B7BC4EB" w14:textId="3E4B9010" w:rsidR="009668BE" w:rsidRDefault="00CC62DD" w:rsidP="00A46B41">
      <w:pPr>
        <w:pStyle w:val="Heading3"/>
      </w:pPr>
      <w:bookmarkStart w:id="303" w:name="_Toc85540157"/>
      <w:bookmarkStart w:id="304" w:name="_Toc85626166"/>
      <w:bookmarkStart w:id="305" w:name="_Toc85635299"/>
      <w:bookmarkStart w:id="306" w:name="_Toc97643853"/>
      <w:bookmarkStart w:id="307" w:name="_Toc97653238"/>
      <w:bookmarkStart w:id="308" w:name="_Toc97739390"/>
      <w:bookmarkStart w:id="309" w:name="_Toc97823807"/>
      <w:bookmarkStart w:id="310" w:name="_Toc97823973"/>
      <w:r w:rsidRPr="00B405D8">
        <w:t>Melons</w:t>
      </w:r>
      <w:r w:rsidR="00B405D8">
        <w:t xml:space="preserve"> </w:t>
      </w:r>
      <w:r w:rsidR="00607239">
        <w:t>–</w:t>
      </w:r>
      <w:r w:rsidR="00B405D8">
        <w:t xml:space="preserve"> determining appropriate regulatory measures</w:t>
      </w:r>
      <w:bookmarkEnd w:id="303"/>
      <w:bookmarkEnd w:id="304"/>
      <w:bookmarkEnd w:id="305"/>
      <w:bookmarkEnd w:id="306"/>
      <w:bookmarkEnd w:id="307"/>
      <w:bookmarkEnd w:id="308"/>
      <w:bookmarkEnd w:id="309"/>
      <w:bookmarkEnd w:id="310"/>
    </w:p>
    <w:p w14:paraId="2D9F2849" w14:textId="2F1BC303" w:rsidR="007C3411" w:rsidRPr="00473721" w:rsidRDefault="00607239" w:rsidP="00607239">
      <w:pPr>
        <w:pStyle w:val="Heading4"/>
      </w:pPr>
      <w:bookmarkStart w:id="311" w:name="_Toc77687515"/>
      <w:bookmarkStart w:id="312" w:name="_Toc76570494"/>
      <w:bookmarkStart w:id="313" w:name="_Toc76382367"/>
      <w:bookmarkStart w:id="314" w:name="_Toc74145869"/>
      <w:bookmarkStart w:id="315" w:name="_Toc69222856"/>
      <w:r>
        <w:t>Identified r</w:t>
      </w:r>
      <w:r w:rsidR="007C3411" w:rsidRPr="007C3411">
        <w:t xml:space="preserve">isk factors </w:t>
      </w:r>
      <w:bookmarkEnd w:id="311"/>
      <w:bookmarkEnd w:id="312"/>
      <w:bookmarkEnd w:id="313"/>
      <w:bookmarkEnd w:id="314"/>
      <w:bookmarkEnd w:id="315"/>
    </w:p>
    <w:p w14:paraId="4DD94F70" w14:textId="77777777" w:rsidR="007C3411" w:rsidRDefault="007C3411" w:rsidP="007C3411">
      <w:pPr>
        <w:rPr>
          <w:color w:val="000000" w:themeColor="text1"/>
          <w:lang w:bidi="ar-SA"/>
        </w:rPr>
      </w:pPr>
      <w:r>
        <w:rPr>
          <w:color w:val="000000" w:themeColor="text1"/>
          <w:lang w:bidi="ar-SA"/>
        </w:rPr>
        <w:t>In the period between 2010 and 2019 there were three reported outbreaks linked to the production of melons in Australia. These were:</w:t>
      </w:r>
    </w:p>
    <w:p w14:paraId="24C94A24" w14:textId="7FCD01F6" w:rsidR="007C3411" w:rsidRDefault="007C3411" w:rsidP="00DF44D1">
      <w:pPr>
        <w:pStyle w:val="FSBullet1"/>
      </w:pPr>
      <w:r>
        <w:t xml:space="preserve">2010 </w:t>
      </w:r>
      <w:r w:rsidR="000F1826">
        <w:t>–</w:t>
      </w:r>
      <w:r>
        <w:t xml:space="preserve"> </w:t>
      </w:r>
      <w:r w:rsidRPr="00764E8A">
        <w:rPr>
          <w:i/>
        </w:rPr>
        <w:t>L</w:t>
      </w:r>
      <w:r w:rsidR="000F1826">
        <w:rPr>
          <w:i/>
        </w:rPr>
        <w:t>.</w:t>
      </w:r>
      <w:r w:rsidRPr="00764E8A">
        <w:rPr>
          <w:i/>
        </w:rPr>
        <w:t xml:space="preserve"> monocytogenes</w:t>
      </w:r>
    </w:p>
    <w:p w14:paraId="592E015F" w14:textId="77777777" w:rsidR="007C3411" w:rsidRDefault="007C3411" w:rsidP="00DF44D1">
      <w:pPr>
        <w:pStyle w:val="FSBullet1"/>
      </w:pPr>
      <w:r>
        <w:t xml:space="preserve">2016 - </w:t>
      </w:r>
      <w:r w:rsidRPr="00764E8A">
        <w:rPr>
          <w:i/>
        </w:rPr>
        <w:t>Salmonella</w:t>
      </w:r>
      <w:r>
        <w:t xml:space="preserve"> </w:t>
      </w:r>
      <w:proofErr w:type="spellStart"/>
      <w:r>
        <w:t>Hvittingfoss</w:t>
      </w:r>
      <w:proofErr w:type="spellEnd"/>
    </w:p>
    <w:p w14:paraId="54F77F7D" w14:textId="63AAFD0A" w:rsidR="007C3411" w:rsidRDefault="007C3411" w:rsidP="00DF44D1">
      <w:pPr>
        <w:pStyle w:val="FSBullet1"/>
      </w:pPr>
      <w:r>
        <w:t xml:space="preserve">2018 </w:t>
      </w:r>
      <w:r w:rsidR="000F1826">
        <w:t>–</w:t>
      </w:r>
      <w:r>
        <w:t xml:space="preserve"> </w:t>
      </w:r>
      <w:r w:rsidRPr="00764E8A">
        <w:rPr>
          <w:i/>
        </w:rPr>
        <w:t>L</w:t>
      </w:r>
      <w:r w:rsidR="000F1826">
        <w:rPr>
          <w:i/>
        </w:rPr>
        <w:t>.</w:t>
      </w:r>
      <w:r w:rsidRPr="00764E8A">
        <w:rPr>
          <w:i/>
        </w:rPr>
        <w:t xml:space="preserve"> monocytogenes</w:t>
      </w:r>
      <w:r>
        <w:t>.</w:t>
      </w:r>
    </w:p>
    <w:p w14:paraId="35E2C06B" w14:textId="77777777" w:rsidR="007C3411" w:rsidRDefault="007C3411" w:rsidP="007C3411">
      <w:pPr>
        <w:rPr>
          <w:lang w:bidi="ar-SA"/>
        </w:rPr>
      </w:pPr>
    </w:p>
    <w:p w14:paraId="56FC92D3" w14:textId="65D77708" w:rsidR="007C3411" w:rsidRDefault="007C3411" w:rsidP="007C3411">
      <w:pPr>
        <w:rPr>
          <w:color w:val="000000" w:themeColor="text1"/>
          <w:lang w:bidi="ar-SA"/>
        </w:rPr>
      </w:pPr>
      <w:r>
        <w:rPr>
          <w:color w:val="000000" w:themeColor="text1"/>
          <w:lang w:bidi="ar-SA"/>
        </w:rPr>
        <w:t xml:space="preserve">In </w:t>
      </w:r>
      <w:r w:rsidR="009A547C">
        <w:rPr>
          <w:color w:val="000000" w:themeColor="text1"/>
          <w:lang w:bidi="ar-SA"/>
        </w:rPr>
        <w:t>2011</w:t>
      </w:r>
      <w:r w:rsidR="009A547C">
        <w:t>–</w:t>
      </w:r>
      <w:r>
        <w:rPr>
          <w:color w:val="000000" w:themeColor="text1"/>
          <w:lang w:bidi="ar-SA"/>
        </w:rPr>
        <w:t>2020 there were two Australian recalls issued f</w:t>
      </w:r>
      <w:r w:rsidR="009A547C">
        <w:rPr>
          <w:color w:val="000000" w:themeColor="text1"/>
          <w:lang w:bidi="ar-SA"/>
        </w:rPr>
        <w:t>or domestically produced melons</w:t>
      </w:r>
      <w:r>
        <w:rPr>
          <w:color w:val="000000" w:themeColor="text1"/>
          <w:lang w:bidi="ar-SA"/>
        </w:rPr>
        <w:t>:</w:t>
      </w:r>
    </w:p>
    <w:p w14:paraId="32998D35" w14:textId="2CF17E7C" w:rsidR="007C3411" w:rsidRDefault="007C3411" w:rsidP="00DF44D1">
      <w:pPr>
        <w:pStyle w:val="FSBullet1"/>
      </w:pPr>
      <w:r>
        <w:t xml:space="preserve">2016 - </w:t>
      </w:r>
      <w:r>
        <w:rPr>
          <w:i/>
          <w:iCs/>
        </w:rPr>
        <w:t xml:space="preserve">Salmonella </w:t>
      </w:r>
      <w:r w:rsidRPr="00DC26DB">
        <w:rPr>
          <w:iCs/>
        </w:rPr>
        <w:t>spp</w:t>
      </w:r>
      <w:r w:rsidR="00DC26DB">
        <w:rPr>
          <w:iCs/>
        </w:rPr>
        <w:t>.</w:t>
      </w:r>
      <w:r w:rsidR="009A547C">
        <w:t xml:space="preserve">, </w:t>
      </w:r>
      <w:r>
        <w:t>associated with an outbreak</w:t>
      </w:r>
    </w:p>
    <w:p w14:paraId="47CAFAF4" w14:textId="34E4B63F" w:rsidR="007C3411" w:rsidRDefault="007C3411" w:rsidP="00DF44D1">
      <w:pPr>
        <w:pStyle w:val="FSBullet1"/>
      </w:pPr>
      <w:r>
        <w:t xml:space="preserve">2018 </w:t>
      </w:r>
      <w:r w:rsidR="000F1826">
        <w:t>–</w:t>
      </w:r>
      <w:r>
        <w:t xml:space="preserve"> </w:t>
      </w:r>
      <w:r>
        <w:rPr>
          <w:i/>
        </w:rPr>
        <w:t>L</w:t>
      </w:r>
      <w:r w:rsidR="000F1826">
        <w:rPr>
          <w:i/>
        </w:rPr>
        <w:t>.</w:t>
      </w:r>
      <w:r>
        <w:rPr>
          <w:i/>
        </w:rPr>
        <w:t xml:space="preserve"> monocytogenes</w:t>
      </w:r>
      <w:r w:rsidR="009A547C">
        <w:rPr>
          <w:i/>
        </w:rPr>
        <w:t>,</w:t>
      </w:r>
      <w:r w:rsidR="009A547C">
        <w:t xml:space="preserve"> </w:t>
      </w:r>
      <w:r>
        <w:t>associated with an outbreak.</w:t>
      </w:r>
    </w:p>
    <w:p w14:paraId="510A2E2B" w14:textId="77777777" w:rsidR="007C3411" w:rsidRDefault="007C3411" w:rsidP="007C3411">
      <w:pPr>
        <w:rPr>
          <w:lang w:bidi="ar-SA"/>
        </w:rPr>
      </w:pPr>
    </w:p>
    <w:p w14:paraId="0E9A050F" w14:textId="35D90271" w:rsidR="007C3411" w:rsidRDefault="007C3411" w:rsidP="007C3411">
      <w:pPr>
        <w:rPr>
          <w:color w:val="000000" w:themeColor="text1"/>
          <w:lang w:bidi="ar-SA"/>
        </w:rPr>
      </w:pPr>
      <w:r>
        <w:rPr>
          <w:color w:val="000000" w:themeColor="text1"/>
          <w:lang w:bidi="ar-SA"/>
        </w:rPr>
        <w:t xml:space="preserve">Over this same period, three international outbreaks were linked to melons. Hazards identified included </w:t>
      </w:r>
      <w:r>
        <w:rPr>
          <w:i/>
          <w:color w:val="000000" w:themeColor="text1"/>
          <w:lang w:bidi="ar-SA"/>
        </w:rPr>
        <w:t xml:space="preserve">Salmonella </w:t>
      </w:r>
      <w:r>
        <w:rPr>
          <w:color w:val="000000" w:themeColor="text1"/>
          <w:lang w:bidi="ar-SA"/>
        </w:rPr>
        <w:t xml:space="preserve">Typhimurium and </w:t>
      </w:r>
      <w:r>
        <w:rPr>
          <w:i/>
          <w:color w:val="000000" w:themeColor="text1"/>
          <w:lang w:bidi="ar-SA"/>
        </w:rPr>
        <w:t xml:space="preserve">Salmonella </w:t>
      </w:r>
      <w:r>
        <w:rPr>
          <w:color w:val="000000" w:themeColor="text1"/>
          <w:lang w:bidi="ar-SA"/>
        </w:rPr>
        <w:t>Newport</w:t>
      </w:r>
      <w:r>
        <w:rPr>
          <w:i/>
          <w:color w:val="000000" w:themeColor="text1"/>
          <w:lang w:bidi="ar-SA"/>
        </w:rPr>
        <w:t xml:space="preserve">. </w:t>
      </w:r>
      <w:r>
        <w:rPr>
          <w:color w:val="000000" w:themeColor="text1"/>
          <w:lang w:bidi="ar-SA"/>
        </w:rPr>
        <w:t>The melons sector is one of the four fresh minimally processed horticulture sectors most commonly associated with international outbreaks. Further detail about outbreaks and prevalenc</w:t>
      </w:r>
      <w:r w:rsidR="00223404">
        <w:rPr>
          <w:color w:val="000000" w:themeColor="text1"/>
          <w:lang w:bidi="ar-SA"/>
        </w:rPr>
        <w:t xml:space="preserve">e is presented in </w:t>
      </w:r>
      <w:r>
        <w:rPr>
          <w:color w:val="000000" w:themeColor="text1"/>
          <w:lang w:bidi="ar-SA"/>
        </w:rPr>
        <w:t>the microbiological assessment</w:t>
      </w:r>
      <w:r w:rsidR="00E024DD">
        <w:t>.</w:t>
      </w:r>
    </w:p>
    <w:p w14:paraId="45C0D755" w14:textId="44946E5E" w:rsidR="007C3411" w:rsidRDefault="007C3411" w:rsidP="007C3411">
      <w:pPr>
        <w:rPr>
          <w:lang w:bidi="ar-SA"/>
        </w:rPr>
      </w:pPr>
    </w:p>
    <w:p w14:paraId="0D5AF6C6" w14:textId="6A54D288" w:rsidR="000E15A4" w:rsidRDefault="000E15A4" w:rsidP="007C3411">
      <w:pPr>
        <w:rPr>
          <w:lang w:bidi="ar-SA"/>
        </w:rPr>
      </w:pPr>
      <w:r>
        <w:rPr>
          <w:lang w:bidi="ar-SA"/>
        </w:rPr>
        <w:t>The melons industry has been proactive with increasing</w:t>
      </w:r>
      <w:r w:rsidR="0033105B">
        <w:rPr>
          <w:lang w:bidi="ar-SA"/>
        </w:rPr>
        <w:t xml:space="preserve"> food</w:t>
      </w:r>
      <w:r>
        <w:rPr>
          <w:lang w:bidi="ar-SA"/>
        </w:rPr>
        <w:t xml:space="preserve"> safety measures since 2018</w:t>
      </w:r>
      <w:r w:rsidR="00FB4B30">
        <w:rPr>
          <w:lang w:bidi="ar-SA"/>
        </w:rPr>
        <w:t xml:space="preserve">, including </w:t>
      </w:r>
      <w:r w:rsidR="000F1826">
        <w:rPr>
          <w:lang w:bidi="ar-SA"/>
        </w:rPr>
        <w:t xml:space="preserve">through </w:t>
      </w:r>
      <w:r w:rsidR="00FB4B30">
        <w:rPr>
          <w:lang w:bidi="ar-SA"/>
        </w:rPr>
        <w:t>development and implementation of a</w:t>
      </w:r>
      <w:r w:rsidR="000F1826">
        <w:rPr>
          <w:lang w:bidi="ar-SA"/>
        </w:rPr>
        <w:t xml:space="preserve"> comprehensive</w:t>
      </w:r>
      <w:r w:rsidR="00FB4B30">
        <w:rPr>
          <w:lang w:bidi="ar-SA"/>
        </w:rPr>
        <w:t xml:space="preserve"> </w:t>
      </w:r>
      <w:r w:rsidR="000F1826">
        <w:rPr>
          <w:lang w:bidi="ar-SA"/>
        </w:rPr>
        <w:t>best-</w:t>
      </w:r>
      <w:r w:rsidR="00FB4B30">
        <w:rPr>
          <w:lang w:bidi="ar-SA"/>
        </w:rPr>
        <w:t>practice toolbox</w:t>
      </w:r>
      <w:r>
        <w:rPr>
          <w:lang w:bidi="ar-SA"/>
        </w:rPr>
        <w:t xml:space="preserve">. In 2022, 95% </w:t>
      </w:r>
      <w:r w:rsidR="00006AD1">
        <w:rPr>
          <w:lang w:bidi="ar-SA"/>
        </w:rPr>
        <w:t>or more</w:t>
      </w:r>
      <w:r>
        <w:rPr>
          <w:lang w:bidi="ar-SA"/>
        </w:rPr>
        <w:t xml:space="preserve"> of melons businesses operate under a FSS.</w:t>
      </w:r>
    </w:p>
    <w:p w14:paraId="089B38FD" w14:textId="77777777" w:rsidR="000E15A4" w:rsidRDefault="000E15A4" w:rsidP="007C3411">
      <w:pPr>
        <w:rPr>
          <w:lang w:bidi="ar-SA"/>
        </w:rPr>
      </w:pPr>
    </w:p>
    <w:p w14:paraId="1211AB47" w14:textId="0D4AABFD" w:rsidR="007C3411" w:rsidRDefault="007C3411" w:rsidP="007C3411">
      <w:pPr>
        <w:rPr>
          <w:color w:val="000000" w:themeColor="text1"/>
          <w:lang w:bidi="ar-SA"/>
        </w:rPr>
      </w:pPr>
      <w:r>
        <w:rPr>
          <w:color w:val="000000" w:themeColor="text1"/>
          <w:lang w:bidi="ar-SA"/>
        </w:rPr>
        <w:t xml:space="preserve">Microbial hazards of melons </w:t>
      </w:r>
      <w:r w:rsidR="002F10A8">
        <w:rPr>
          <w:color w:val="000000" w:themeColor="text1"/>
          <w:lang w:bidi="ar-SA"/>
        </w:rPr>
        <w:t>that</w:t>
      </w:r>
      <w:r>
        <w:rPr>
          <w:color w:val="000000" w:themeColor="text1"/>
          <w:lang w:bidi="ar-SA"/>
        </w:rPr>
        <w:t xml:space="preserve"> FSANZ considered to be relevant in the Australian context, and examined further, were:</w:t>
      </w:r>
    </w:p>
    <w:p w14:paraId="44FF5AE3" w14:textId="46B381D8" w:rsidR="00006AD1" w:rsidRPr="00006AD1" w:rsidRDefault="00006AD1" w:rsidP="00006AD1">
      <w:pPr>
        <w:pStyle w:val="FSBullet1"/>
      </w:pPr>
      <w:r w:rsidRPr="00764E8A">
        <w:rPr>
          <w:i/>
        </w:rPr>
        <w:t>L</w:t>
      </w:r>
      <w:r w:rsidR="000F1826">
        <w:rPr>
          <w:i/>
        </w:rPr>
        <w:t>.</w:t>
      </w:r>
      <w:r w:rsidRPr="00764E8A">
        <w:rPr>
          <w:i/>
        </w:rPr>
        <w:t> monocytogenes</w:t>
      </w:r>
      <w:r>
        <w:t>.</w:t>
      </w:r>
    </w:p>
    <w:p w14:paraId="4AE47CA3" w14:textId="1F4C1647" w:rsidR="007C3411" w:rsidRDefault="007C3411" w:rsidP="00DF44D1">
      <w:pPr>
        <w:pStyle w:val="FSBullet1"/>
      </w:pPr>
      <w:r w:rsidRPr="00764E8A">
        <w:rPr>
          <w:i/>
        </w:rPr>
        <w:t>Salmonella</w:t>
      </w:r>
      <w:r>
        <w:t xml:space="preserve"> spp.</w:t>
      </w:r>
    </w:p>
    <w:p w14:paraId="026282C3" w14:textId="77777777" w:rsidR="007C3411" w:rsidRDefault="007C3411" w:rsidP="007C3411">
      <w:pPr>
        <w:rPr>
          <w:lang w:bidi="ar-SA"/>
        </w:rPr>
      </w:pPr>
    </w:p>
    <w:p w14:paraId="183F1430" w14:textId="5692FAA1" w:rsidR="007C3411" w:rsidRDefault="007C3411" w:rsidP="007C3411">
      <w:pPr>
        <w:rPr>
          <w:lang w:bidi="ar-SA"/>
        </w:rPr>
      </w:pPr>
      <w:r>
        <w:rPr>
          <w:lang w:bidi="ar-SA"/>
        </w:rPr>
        <w:t>FSANZ’s selection of microbial hazards of concern was based on consideration of Australian and international outbreak data and other international research. The characteristics of</w:t>
      </w:r>
      <w:r w:rsidR="00223404">
        <w:rPr>
          <w:lang w:bidi="ar-SA"/>
        </w:rPr>
        <w:t xml:space="preserve"> each hazard are summarised </w:t>
      </w:r>
      <w:r w:rsidR="00223404" w:rsidRPr="00E024DD">
        <w:rPr>
          <w:lang w:bidi="ar-SA"/>
        </w:rPr>
        <w:t xml:space="preserve">in </w:t>
      </w:r>
      <w:r w:rsidRPr="00E024DD">
        <w:rPr>
          <w:lang w:bidi="ar-SA"/>
        </w:rPr>
        <w:t>the microbiological assessment</w:t>
      </w:r>
      <w:r w:rsidR="00E024DD" w:rsidRPr="00E024DD" w:rsidDel="00821202">
        <w:rPr>
          <w:lang w:bidi="ar-SA"/>
        </w:rPr>
        <w:t xml:space="preserve"> </w:t>
      </w:r>
      <w:r w:rsidRPr="00E024DD">
        <w:rPr>
          <w:lang w:bidi="ar-SA"/>
        </w:rPr>
        <w:t xml:space="preserve">with further detail in </w:t>
      </w:r>
      <w:r w:rsidR="00C12EE5">
        <w:rPr>
          <w:lang w:bidi="ar-SA"/>
        </w:rPr>
        <w:t xml:space="preserve">its </w:t>
      </w:r>
      <w:r w:rsidRPr="00E024DD">
        <w:rPr>
          <w:lang w:bidi="ar-SA"/>
        </w:rPr>
        <w:t>Appendices 6, 8 and 10.</w:t>
      </w:r>
    </w:p>
    <w:p w14:paraId="3F909DF3" w14:textId="484228FD" w:rsidR="00E65DF8" w:rsidRDefault="00E65DF8" w:rsidP="00F47C17"/>
    <w:p w14:paraId="7E391227" w14:textId="7D4B9E76" w:rsidR="00C12EE5" w:rsidRDefault="00C12EE5" w:rsidP="00C12EE5">
      <w:pPr>
        <w:rPr>
          <w:b/>
        </w:rPr>
      </w:pPr>
      <w:r w:rsidRPr="00CA1D69">
        <w:rPr>
          <w:b/>
        </w:rPr>
        <w:t xml:space="preserve">Food safety risk factors </w:t>
      </w:r>
      <w:r>
        <w:rPr>
          <w:b/>
        </w:rPr>
        <w:t xml:space="preserve">that FSANZ </w:t>
      </w:r>
      <w:r w:rsidRPr="00CA1D69">
        <w:rPr>
          <w:b/>
        </w:rPr>
        <w:t xml:space="preserve">attributed to </w:t>
      </w:r>
      <w:r>
        <w:rPr>
          <w:b/>
        </w:rPr>
        <w:t>melons and regulatory risk management measures considered and proposed</w:t>
      </w:r>
    </w:p>
    <w:p w14:paraId="7A18F3B5" w14:textId="77777777" w:rsidR="00F22C53" w:rsidRPr="00F47C17" w:rsidRDefault="00F22C53" w:rsidP="00F47C17">
      <w:pPr>
        <w:rPr>
          <w:b/>
        </w:rPr>
      </w:pPr>
    </w:p>
    <w:tbl>
      <w:tblPr>
        <w:tblStyle w:val="TableGrid"/>
        <w:tblW w:w="0" w:type="auto"/>
        <w:tblLook w:val="04A0" w:firstRow="1" w:lastRow="0" w:firstColumn="1" w:lastColumn="0" w:noHBand="0" w:noVBand="1"/>
      </w:tblPr>
      <w:tblGrid>
        <w:gridCol w:w="6115"/>
        <w:gridCol w:w="1440"/>
        <w:gridCol w:w="1505"/>
      </w:tblGrid>
      <w:tr w:rsidR="00E65DF8" w:rsidRPr="00E65DF8" w14:paraId="71BDC129" w14:textId="77777777" w:rsidTr="00F22C53">
        <w:tc>
          <w:tcPr>
            <w:tcW w:w="6115" w:type="dxa"/>
          </w:tcPr>
          <w:p w14:paraId="70E0E3C5" w14:textId="124A05FE" w:rsidR="00E65DF8" w:rsidRPr="00F47C17" w:rsidRDefault="00E65DF8" w:rsidP="00E65DF8">
            <w:pPr>
              <w:rPr>
                <w:b/>
              </w:rPr>
            </w:pPr>
            <w:r w:rsidRPr="00E65DF8">
              <w:rPr>
                <w:b/>
              </w:rPr>
              <w:t>Food safety risk factors</w:t>
            </w:r>
          </w:p>
        </w:tc>
        <w:tc>
          <w:tcPr>
            <w:tcW w:w="1440" w:type="dxa"/>
          </w:tcPr>
          <w:p w14:paraId="7E8EFD97" w14:textId="19FDA5C3" w:rsidR="00E65DF8" w:rsidRPr="00AC4D2B" w:rsidRDefault="00E65DF8" w:rsidP="00E65DF8">
            <w:pPr>
              <w:rPr>
                <w:b/>
              </w:rPr>
            </w:pPr>
            <w:r w:rsidRPr="00AC4D2B">
              <w:rPr>
                <w:b/>
              </w:rPr>
              <w:t>Considered</w:t>
            </w:r>
          </w:p>
        </w:tc>
        <w:tc>
          <w:tcPr>
            <w:tcW w:w="1505" w:type="dxa"/>
          </w:tcPr>
          <w:p w14:paraId="4EA381F7" w14:textId="508A6D84" w:rsidR="00E65DF8" w:rsidRPr="00AC4D2B" w:rsidRDefault="00E65DF8">
            <w:pPr>
              <w:rPr>
                <w:b/>
              </w:rPr>
            </w:pPr>
            <w:r w:rsidRPr="00AC4D2B">
              <w:rPr>
                <w:b/>
              </w:rPr>
              <w:t xml:space="preserve">Proposed </w:t>
            </w:r>
          </w:p>
        </w:tc>
      </w:tr>
      <w:tr w:rsidR="0021327D" w14:paraId="41613A25" w14:textId="77777777" w:rsidTr="00F22C53">
        <w:tc>
          <w:tcPr>
            <w:tcW w:w="6115" w:type="dxa"/>
          </w:tcPr>
          <w:p w14:paraId="17A83955" w14:textId="7AC49680" w:rsidR="0021327D" w:rsidRDefault="0021327D" w:rsidP="00F47C17">
            <w:pPr>
              <w:pStyle w:val="FSBullet1"/>
              <w:numPr>
                <w:ilvl w:val="0"/>
                <w:numId w:val="0"/>
              </w:numPr>
              <w:ind w:left="120"/>
            </w:pPr>
            <w:r>
              <w:t>incursion by wildlife and domestic animals</w:t>
            </w:r>
          </w:p>
        </w:tc>
        <w:tc>
          <w:tcPr>
            <w:tcW w:w="1440" w:type="dxa"/>
          </w:tcPr>
          <w:p w14:paraId="2BAC3A09" w14:textId="31FBE0DD" w:rsidR="0021327D" w:rsidRDefault="0021327D" w:rsidP="00AC4D2B">
            <w:pPr>
              <w:jc w:val="center"/>
            </w:pPr>
            <w:r w:rsidRPr="002B11D4">
              <w:rPr>
                <w:rFonts w:ascii="Wingdings 2" w:hAnsi="Wingdings 2"/>
                <w:color w:val="000000" w:themeColor="text1"/>
                <w:lang w:val="en-AU"/>
              </w:rPr>
              <w:t></w:t>
            </w:r>
          </w:p>
        </w:tc>
        <w:tc>
          <w:tcPr>
            <w:tcW w:w="1505" w:type="dxa"/>
          </w:tcPr>
          <w:p w14:paraId="093B420A" w14:textId="68E52956" w:rsidR="0021327D" w:rsidRDefault="0021327D" w:rsidP="00AC4D2B">
            <w:pPr>
              <w:jc w:val="center"/>
            </w:pPr>
            <w:r w:rsidRPr="002B11D4">
              <w:rPr>
                <w:rFonts w:ascii="Wingdings 2" w:hAnsi="Wingdings 2"/>
                <w:color w:val="000000" w:themeColor="text1"/>
                <w:lang w:val="en-AU"/>
              </w:rPr>
              <w:t></w:t>
            </w:r>
          </w:p>
        </w:tc>
      </w:tr>
      <w:tr w:rsidR="0021327D" w14:paraId="6CA2C8C3" w14:textId="77777777" w:rsidTr="00F22C53">
        <w:tc>
          <w:tcPr>
            <w:tcW w:w="6115" w:type="dxa"/>
          </w:tcPr>
          <w:p w14:paraId="4A008657" w14:textId="6A31C80E" w:rsidR="0021327D" w:rsidRDefault="0021327D" w:rsidP="00F47C17">
            <w:pPr>
              <w:ind w:left="120"/>
            </w:pPr>
            <w:r>
              <w:t xml:space="preserve">characteristics of the production site including </w:t>
            </w:r>
            <w:r w:rsidR="00C015A2">
              <w:t xml:space="preserve">surrounding and prior land use, </w:t>
            </w:r>
            <w:r>
              <w:t>particularly for open-field production</w:t>
            </w:r>
          </w:p>
        </w:tc>
        <w:tc>
          <w:tcPr>
            <w:tcW w:w="1440" w:type="dxa"/>
          </w:tcPr>
          <w:p w14:paraId="112E9CD6" w14:textId="54ABD356" w:rsidR="0021327D" w:rsidRDefault="0021327D" w:rsidP="00AC4D2B">
            <w:pPr>
              <w:jc w:val="center"/>
            </w:pPr>
            <w:r w:rsidRPr="002B11D4">
              <w:rPr>
                <w:rFonts w:ascii="Wingdings 2" w:hAnsi="Wingdings 2"/>
                <w:color w:val="000000" w:themeColor="text1"/>
                <w:lang w:val="en-AU"/>
              </w:rPr>
              <w:t></w:t>
            </w:r>
          </w:p>
        </w:tc>
        <w:tc>
          <w:tcPr>
            <w:tcW w:w="1505" w:type="dxa"/>
          </w:tcPr>
          <w:p w14:paraId="4443806E" w14:textId="3A6FB14B" w:rsidR="0021327D" w:rsidRDefault="0021327D" w:rsidP="00AC4D2B">
            <w:pPr>
              <w:jc w:val="center"/>
            </w:pPr>
            <w:r w:rsidRPr="002B11D4">
              <w:rPr>
                <w:rFonts w:ascii="Wingdings 2" w:hAnsi="Wingdings 2"/>
                <w:color w:val="000000" w:themeColor="text1"/>
                <w:lang w:val="en-AU"/>
              </w:rPr>
              <w:t></w:t>
            </w:r>
          </w:p>
        </w:tc>
      </w:tr>
      <w:tr w:rsidR="0021327D" w14:paraId="2C17F3DB" w14:textId="77777777" w:rsidTr="00F22C53">
        <w:tc>
          <w:tcPr>
            <w:tcW w:w="6115" w:type="dxa"/>
          </w:tcPr>
          <w:p w14:paraId="3BFCC1A6" w14:textId="249F69BC" w:rsidR="0021327D" w:rsidRDefault="0021327D" w:rsidP="00F47C17">
            <w:pPr>
              <w:pStyle w:val="FSBullet1"/>
              <w:numPr>
                <w:ilvl w:val="0"/>
                <w:numId w:val="0"/>
              </w:numPr>
              <w:ind w:left="120"/>
            </w:pPr>
            <w:r>
              <w:lastRenderedPageBreak/>
              <w:t>occurrence of weather events, such as flooding or heavy rain, which could transfer pathogens to produce, fields, or irrigation water sources</w:t>
            </w:r>
          </w:p>
        </w:tc>
        <w:tc>
          <w:tcPr>
            <w:tcW w:w="1440" w:type="dxa"/>
          </w:tcPr>
          <w:p w14:paraId="6A9DCADA" w14:textId="5A570569" w:rsidR="0021327D" w:rsidRDefault="0021327D" w:rsidP="00AC4D2B">
            <w:pPr>
              <w:jc w:val="center"/>
            </w:pPr>
            <w:r w:rsidRPr="002B11D4">
              <w:rPr>
                <w:rFonts w:ascii="Wingdings 2" w:hAnsi="Wingdings 2"/>
                <w:color w:val="000000" w:themeColor="text1"/>
                <w:lang w:val="en-AU"/>
              </w:rPr>
              <w:t></w:t>
            </w:r>
          </w:p>
        </w:tc>
        <w:tc>
          <w:tcPr>
            <w:tcW w:w="1505" w:type="dxa"/>
          </w:tcPr>
          <w:p w14:paraId="427C0D53" w14:textId="69F1570C" w:rsidR="0021327D" w:rsidRDefault="0021327D" w:rsidP="00AC4D2B">
            <w:pPr>
              <w:jc w:val="center"/>
            </w:pPr>
            <w:r w:rsidRPr="002B11D4">
              <w:rPr>
                <w:rFonts w:ascii="Wingdings 2" w:hAnsi="Wingdings 2"/>
                <w:color w:val="000000" w:themeColor="text1"/>
                <w:lang w:val="en-AU"/>
              </w:rPr>
              <w:t></w:t>
            </w:r>
          </w:p>
        </w:tc>
      </w:tr>
      <w:tr w:rsidR="0021327D" w14:paraId="3CF90187" w14:textId="77777777" w:rsidTr="00F22C53">
        <w:tc>
          <w:tcPr>
            <w:tcW w:w="6115" w:type="dxa"/>
          </w:tcPr>
          <w:p w14:paraId="2DF2F612" w14:textId="57207D46" w:rsidR="0021327D" w:rsidRDefault="0021327D" w:rsidP="00F47C17">
            <w:pPr>
              <w:pStyle w:val="FSBullet1"/>
              <w:numPr>
                <w:ilvl w:val="0"/>
                <w:numId w:val="0"/>
              </w:numPr>
              <w:ind w:left="120"/>
            </w:pPr>
            <w:r>
              <w:t>application of untreated or insufficiently treated manure or compost amendments, particularly for plants growing close to the ground</w:t>
            </w:r>
          </w:p>
        </w:tc>
        <w:tc>
          <w:tcPr>
            <w:tcW w:w="1440" w:type="dxa"/>
          </w:tcPr>
          <w:p w14:paraId="5CD6DE63" w14:textId="4F15BFBE" w:rsidR="0021327D" w:rsidRDefault="0021327D" w:rsidP="00AC4D2B">
            <w:pPr>
              <w:jc w:val="center"/>
            </w:pPr>
            <w:r w:rsidRPr="002B11D4">
              <w:rPr>
                <w:rFonts w:ascii="Wingdings 2" w:hAnsi="Wingdings 2"/>
                <w:color w:val="000000" w:themeColor="text1"/>
                <w:lang w:val="en-AU"/>
              </w:rPr>
              <w:t></w:t>
            </w:r>
          </w:p>
        </w:tc>
        <w:tc>
          <w:tcPr>
            <w:tcW w:w="1505" w:type="dxa"/>
          </w:tcPr>
          <w:p w14:paraId="3A1E719A" w14:textId="6AA5482A" w:rsidR="0021327D" w:rsidRDefault="0021327D" w:rsidP="00AC4D2B">
            <w:pPr>
              <w:jc w:val="center"/>
            </w:pPr>
            <w:r w:rsidRPr="002B11D4">
              <w:rPr>
                <w:rFonts w:ascii="Wingdings 2" w:hAnsi="Wingdings 2"/>
                <w:color w:val="000000" w:themeColor="text1"/>
                <w:lang w:val="en-AU"/>
              </w:rPr>
              <w:t></w:t>
            </w:r>
          </w:p>
        </w:tc>
      </w:tr>
      <w:tr w:rsidR="0021327D" w14:paraId="7EABA300" w14:textId="77777777" w:rsidTr="00F22C53">
        <w:tc>
          <w:tcPr>
            <w:tcW w:w="6115" w:type="dxa"/>
          </w:tcPr>
          <w:p w14:paraId="37BC770E" w14:textId="46233E3D" w:rsidR="0021327D" w:rsidRDefault="0021327D" w:rsidP="00F47C17">
            <w:pPr>
              <w:pStyle w:val="FSBullet1"/>
              <w:numPr>
                <w:ilvl w:val="0"/>
                <w:numId w:val="0"/>
              </w:numPr>
              <w:ind w:left="120"/>
            </w:pPr>
            <w:r>
              <w:t>use of contaminated water for irrigation and for the application of agricultural chemicals</w:t>
            </w:r>
          </w:p>
        </w:tc>
        <w:tc>
          <w:tcPr>
            <w:tcW w:w="1440" w:type="dxa"/>
          </w:tcPr>
          <w:p w14:paraId="543013D9" w14:textId="10A9F8D9" w:rsidR="0021327D" w:rsidRDefault="0021327D" w:rsidP="00AC4D2B">
            <w:pPr>
              <w:jc w:val="center"/>
            </w:pPr>
            <w:r w:rsidRPr="002B11D4">
              <w:rPr>
                <w:rFonts w:ascii="Wingdings 2" w:hAnsi="Wingdings 2"/>
                <w:color w:val="000000" w:themeColor="text1"/>
                <w:lang w:val="en-AU"/>
              </w:rPr>
              <w:t></w:t>
            </w:r>
          </w:p>
        </w:tc>
        <w:tc>
          <w:tcPr>
            <w:tcW w:w="1505" w:type="dxa"/>
          </w:tcPr>
          <w:p w14:paraId="53765BC6" w14:textId="61CE672C" w:rsidR="0021327D" w:rsidRDefault="0021327D" w:rsidP="00AC4D2B">
            <w:pPr>
              <w:jc w:val="center"/>
            </w:pPr>
            <w:r w:rsidRPr="002B11D4">
              <w:rPr>
                <w:rFonts w:ascii="Wingdings 2" w:hAnsi="Wingdings 2"/>
                <w:color w:val="000000" w:themeColor="text1"/>
                <w:lang w:val="en-AU"/>
              </w:rPr>
              <w:t></w:t>
            </w:r>
          </w:p>
        </w:tc>
      </w:tr>
      <w:tr w:rsidR="0021327D" w14:paraId="71C3DEA3" w14:textId="77777777" w:rsidTr="00F22C53">
        <w:tc>
          <w:tcPr>
            <w:tcW w:w="6115" w:type="dxa"/>
          </w:tcPr>
          <w:p w14:paraId="199942AB" w14:textId="5E368F6F" w:rsidR="0021327D" w:rsidRDefault="0021327D" w:rsidP="00F47C17">
            <w:pPr>
              <w:pStyle w:val="FSBullet1"/>
              <w:numPr>
                <w:ilvl w:val="0"/>
                <w:numId w:val="0"/>
              </w:numPr>
              <w:ind w:left="120"/>
            </w:pPr>
            <w:r>
              <w:t>contamination and cross-contamination due to poor worker and equipment hygiene, both at harvest and postharvest</w:t>
            </w:r>
          </w:p>
        </w:tc>
        <w:tc>
          <w:tcPr>
            <w:tcW w:w="1440" w:type="dxa"/>
          </w:tcPr>
          <w:p w14:paraId="279F63C7" w14:textId="28E7A6F5" w:rsidR="0021327D" w:rsidRDefault="0021327D" w:rsidP="00AC4D2B">
            <w:pPr>
              <w:jc w:val="center"/>
            </w:pPr>
            <w:r w:rsidRPr="002B11D4">
              <w:rPr>
                <w:rFonts w:ascii="Wingdings 2" w:hAnsi="Wingdings 2"/>
                <w:color w:val="000000" w:themeColor="text1"/>
                <w:lang w:val="en-AU"/>
              </w:rPr>
              <w:t></w:t>
            </w:r>
          </w:p>
        </w:tc>
        <w:tc>
          <w:tcPr>
            <w:tcW w:w="1505" w:type="dxa"/>
          </w:tcPr>
          <w:p w14:paraId="28C391FA" w14:textId="4658DCC0" w:rsidR="0021327D" w:rsidRDefault="0021327D" w:rsidP="00AC4D2B">
            <w:pPr>
              <w:jc w:val="center"/>
            </w:pPr>
            <w:r w:rsidRPr="002B11D4">
              <w:rPr>
                <w:rFonts w:ascii="Wingdings 2" w:hAnsi="Wingdings 2"/>
                <w:color w:val="000000" w:themeColor="text1"/>
                <w:lang w:val="en-AU"/>
              </w:rPr>
              <w:t></w:t>
            </w:r>
          </w:p>
        </w:tc>
      </w:tr>
      <w:tr w:rsidR="0021327D" w14:paraId="05E930EA" w14:textId="77777777" w:rsidTr="00F22C53">
        <w:tc>
          <w:tcPr>
            <w:tcW w:w="6115" w:type="dxa"/>
          </w:tcPr>
          <w:p w14:paraId="0241039D" w14:textId="58384816" w:rsidR="0021327D" w:rsidRDefault="0021327D" w:rsidP="00F47C17">
            <w:pPr>
              <w:pStyle w:val="FSBullet1"/>
              <w:numPr>
                <w:ilvl w:val="0"/>
                <w:numId w:val="0"/>
              </w:numPr>
              <w:ind w:left="120"/>
            </w:pPr>
            <w:r>
              <w:t>inadequate washing and sanitiser application</w:t>
            </w:r>
          </w:p>
        </w:tc>
        <w:tc>
          <w:tcPr>
            <w:tcW w:w="1440" w:type="dxa"/>
          </w:tcPr>
          <w:p w14:paraId="13343CD5" w14:textId="24CE5945" w:rsidR="0021327D" w:rsidRDefault="0021327D" w:rsidP="00AC4D2B">
            <w:pPr>
              <w:jc w:val="center"/>
            </w:pPr>
            <w:r w:rsidRPr="002B11D4">
              <w:rPr>
                <w:rFonts w:ascii="Wingdings 2" w:hAnsi="Wingdings 2"/>
                <w:color w:val="000000" w:themeColor="text1"/>
                <w:lang w:val="en-AU"/>
              </w:rPr>
              <w:t></w:t>
            </w:r>
          </w:p>
        </w:tc>
        <w:tc>
          <w:tcPr>
            <w:tcW w:w="1505" w:type="dxa"/>
          </w:tcPr>
          <w:p w14:paraId="560E83F5" w14:textId="5A197C74" w:rsidR="0021327D" w:rsidRDefault="0021327D" w:rsidP="00AC4D2B">
            <w:pPr>
              <w:jc w:val="center"/>
            </w:pPr>
            <w:r w:rsidRPr="002B11D4">
              <w:rPr>
                <w:rFonts w:ascii="Wingdings 2" w:hAnsi="Wingdings 2"/>
                <w:color w:val="000000" w:themeColor="text1"/>
                <w:lang w:val="en-AU"/>
              </w:rPr>
              <w:t></w:t>
            </w:r>
          </w:p>
        </w:tc>
      </w:tr>
      <w:tr w:rsidR="0021327D" w14:paraId="0BDD5C4A" w14:textId="77777777" w:rsidTr="00F22C53">
        <w:tc>
          <w:tcPr>
            <w:tcW w:w="6115" w:type="dxa"/>
          </w:tcPr>
          <w:p w14:paraId="16BDFC64" w14:textId="6C2561A9" w:rsidR="0021327D" w:rsidRDefault="0021327D" w:rsidP="00F47C17">
            <w:pPr>
              <w:pStyle w:val="FSBullet1"/>
              <w:numPr>
                <w:ilvl w:val="0"/>
                <w:numId w:val="0"/>
              </w:numPr>
              <w:ind w:left="120"/>
            </w:pPr>
            <w:r>
              <w:t>inadequate cold chain maintenance</w:t>
            </w:r>
          </w:p>
        </w:tc>
        <w:tc>
          <w:tcPr>
            <w:tcW w:w="1440" w:type="dxa"/>
          </w:tcPr>
          <w:p w14:paraId="1188373D" w14:textId="3F2854E3" w:rsidR="0021327D" w:rsidRDefault="0021327D" w:rsidP="00AC4D2B">
            <w:pPr>
              <w:jc w:val="center"/>
            </w:pPr>
            <w:r w:rsidRPr="002B11D4">
              <w:rPr>
                <w:rFonts w:ascii="Wingdings 2" w:hAnsi="Wingdings 2"/>
                <w:color w:val="000000" w:themeColor="text1"/>
                <w:lang w:val="en-AU"/>
              </w:rPr>
              <w:t></w:t>
            </w:r>
          </w:p>
        </w:tc>
        <w:tc>
          <w:tcPr>
            <w:tcW w:w="1505" w:type="dxa"/>
          </w:tcPr>
          <w:p w14:paraId="31BBC766" w14:textId="1EC84BA7" w:rsidR="0021327D" w:rsidRDefault="0021327D" w:rsidP="00AC4D2B">
            <w:pPr>
              <w:jc w:val="center"/>
            </w:pPr>
            <w:r w:rsidRPr="002B11D4">
              <w:rPr>
                <w:rFonts w:ascii="Wingdings 2" w:hAnsi="Wingdings 2"/>
                <w:color w:val="000000" w:themeColor="text1"/>
                <w:lang w:val="en-AU"/>
              </w:rPr>
              <w:t></w:t>
            </w:r>
          </w:p>
        </w:tc>
      </w:tr>
    </w:tbl>
    <w:p w14:paraId="2B7EA0D7" w14:textId="06907FBE" w:rsidR="007C3411" w:rsidRDefault="007C3411" w:rsidP="00F47C17"/>
    <w:p w14:paraId="27C59D7A" w14:textId="60F1F012" w:rsidR="00F22C53" w:rsidRDefault="00F22C53" w:rsidP="00F22C53">
      <w:r>
        <w:t xml:space="preserve">FSANZ has </w:t>
      </w:r>
      <w:r w:rsidR="0033105B">
        <w:t xml:space="preserve">also </w:t>
      </w:r>
      <w:r>
        <w:t>included the following proposed regulatory measures to support management of the key risks factors identified above:</w:t>
      </w:r>
    </w:p>
    <w:p w14:paraId="6337223E" w14:textId="6A18EC5F" w:rsidR="00F22C53" w:rsidRDefault="0057230D" w:rsidP="00F22C53">
      <w:pPr>
        <w:pStyle w:val="FSBullet1"/>
      </w:pPr>
      <w:r>
        <w:t>GFSMR</w:t>
      </w:r>
    </w:p>
    <w:p w14:paraId="552984F5" w14:textId="77777777" w:rsidR="00F22C53" w:rsidRDefault="00F22C53" w:rsidP="00F22C53">
      <w:pPr>
        <w:pStyle w:val="FSBullet1"/>
      </w:pPr>
      <w:r>
        <w:t>minimal traceability</w:t>
      </w:r>
    </w:p>
    <w:p w14:paraId="34DE7C14" w14:textId="77777777" w:rsidR="00F22C53" w:rsidRDefault="00F22C53" w:rsidP="00F22C53">
      <w:pPr>
        <w:pStyle w:val="FSBullet1"/>
      </w:pPr>
      <w:r>
        <w:t>safe sale and supply.</w:t>
      </w:r>
    </w:p>
    <w:p w14:paraId="564AD345" w14:textId="77777777" w:rsidR="00F22C53" w:rsidRDefault="00F22C53" w:rsidP="00F22C53"/>
    <w:p w14:paraId="0F97ED43" w14:textId="7D0804EE" w:rsidR="00F22C53" w:rsidRPr="006A7336" w:rsidRDefault="00F22C53" w:rsidP="00F22C53">
      <w:pPr>
        <w:rPr>
          <w:color w:val="000000" w:themeColor="text1"/>
        </w:rPr>
      </w:pPr>
      <w:r>
        <w:rPr>
          <w:color w:val="000000" w:themeColor="text1"/>
        </w:rPr>
        <w:t xml:space="preserve">The GFSMR defined in </w:t>
      </w:r>
      <w:hyperlink r:id="rId36" w:history="1">
        <w:r>
          <w:rPr>
            <w:rStyle w:val="Hyperlink"/>
          </w:rPr>
          <w:t>Standard 4.1.1</w:t>
        </w:r>
      </w:hyperlink>
      <w:r w:rsidR="0057230D">
        <w:rPr>
          <w:color w:val="000000" w:themeColor="text1"/>
        </w:rPr>
        <w:t xml:space="preserve"> </w:t>
      </w:r>
      <w:r>
        <w:rPr>
          <w:color w:val="000000" w:themeColor="text1"/>
        </w:rPr>
        <w:t>include requirements for the business to write a food safety management statement and for this statement to be approved (or recognised) by an authority and subject to ongoing monitoring.</w:t>
      </w:r>
    </w:p>
    <w:p w14:paraId="2C5D1134" w14:textId="72F77B3D" w:rsidR="007C3411" w:rsidRPr="007C3411" w:rsidRDefault="00DC26DB" w:rsidP="002944C9">
      <w:pPr>
        <w:pStyle w:val="Heading4"/>
        <w:ind w:left="0" w:firstLine="0"/>
      </w:pPr>
      <w:bookmarkStart w:id="316" w:name="_Toc77687516"/>
      <w:bookmarkStart w:id="317" w:name="_Toc76570495"/>
      <w:bookmarkStart w:id="318" w:name="_Toc76382368"/>
      <w:bookmarkStart w:id="319" w:name="_Toc74145870"/>
      <w:bookmarkStart w:id="320" w:name="_Toc69222857"/>
      <w:r>
        <w:t>Cost-</w:t>
      </w:r>
      <w:r w:rsidR="007C3411" w:rsidRPr="007C3411">
        <w:t xml:space="preserve">benefit analysis </w:t>
      </w:r>
      <w:bookmarkEnd w:id="316"/>
      <w:bookmarkEnd w:id="317"/>
      <w:bookmarkEnd w:id="318"/>
      <w:bookmarkEnd w:id="319"/>
      <w:bookmarkEnd w:id="320"/>
    </w:p>
    <w:p w14:paraId="309C19AA" w14:textId="61660CF6" w:rsidR="007C3411" w:rsidRDefault="003A06D5" w:rsidP="007C3411">
      <w:pPr>
        <w:rPr>
          <w:color w:val="000000" w:themeColor="text1"/>
          <w:lang w:bidi="ar-SA"/>
        </w:rPr>
      </w:pPr>
      <w:r>
        <w:t>FSA</w:t>
      </w:r>
      <w:r w:rsidR="002944C9">
        <w:t>NZ completed</w:t>
      </w:r>
      <w:r>
        <w:t xml:space="preserve"> an economic analysis of co</w:t>
      </w:r>
      <w:r w:rsidR="002944C9">
        <w:t>sts and benefits to inform the D</w:t>
      </w:r>
      <w:r>
        <w:t>RIS</w:t>
      </w:r>
      <w:r w:rsidR="007C3411">
        <w:rPr>
          <w:lang w:bidi="ar-SA"/>
        </w:rPr>
        <w:t xml:space="preserve">. </w:t>
      </w:r>
      <w:r w:rsidR="00D10D6B">
        <w:rPr>
          <w:lang w:bidi="ar-SA"/>
        </w:rPr>
        <w:t>A</w:t>
      </w:r>
      <w:r w:rsidR="009A2D07">
        <w:rPr>
          <w:lang w:bidi="ar-SA"/>
        </w:rPr>
        <w:t>s for the other two commodities, a</w:t>
      </w:r>
      <w:r w:rsidR="00D10D6B">
        <w:rPr>
          <w:lang w:bidi="ar-SA"/>
        </w:rPr>
        <w:t xml:space="preserve"> large part of estimating benefits </w:t>
      </w:r>
      <w:r w:rsidR="004745A4">
        <w:rPr>
          <w:lang w:bidi="ar-SA"/>
        </w:rPr>
        <w:t xml:space="preserve">of options </w:t>
      </w:r>
      <w:r w:rsidR="00D10D6B">
        <w:rPr>
          <w:lang w:bidi="ar-SA"/>
        </w:rPr>
        <w:t xml:space="preserve">was estimating reductions in </w:t>
      </w:r>
      <w:r w:rsidR="004745A4">
        <w:rPr>
          <w:lang w:bidi="ar-SA"/>
        </w:rPr>
        <w:t xml:space="preserve">annual </w:t>
      </w:r>
      <w:r w:rsidR="00D10D6B">
        <w:rPr>
          <w:lang w:bidi="ar-SA"/>
        </w:rPr>
        <w:t xml:space="preserve">illness cases and </w:t>
      </w:r>
      <w:r w:rsidR="004745A4">
        <w:rPr>
          <w:lang w:bidi="ar-SA"/>
        </w:rPr>
        <w:t xml:space="preserve">hence illness </w:t>
      </w:r>
      <w:r w:rsidR="00D10D6B">
        <w:rPr>
          <w:lang w:bidi="ar-SA"/>
        </w:rPr>
        <w:t>costs.</w:t>
      </w:r>
      <w:r w:rsidR="002944C9">
        <w:rPr>
          <w:color w:val="000000" w:themeColor="text1"/>
          <w:lang w:bidi="ar-SA"/>
        </w:rPr>
        <w:t xml:space="preserve"> </w:t>
      </w:r>
      <w:r w:rsidR="007D1361">
        <w:rPr>
          <w:color w:val="000000" w:themeColor="text1"/>
          <w:lang w:bidi="ar-SA"/>
        </w:rPr>
        <w:t>For melons, l</w:t>
      </w:r>
      <w:r w:rsidR="00C72261">
        <w:rPr>
          <w:color w:val="000000" w:themeColor="text1"/>
          <w:lang w:bidi="ar-SA"/>
        </w:rPr>
        <w:t xml:space="preserve">isteriosis with an estimated six acute cases per year, was the highest cost illness followed by </w:t>
      </w:r>
      <w:r w:rsidR="0057230D">
        <w:rPr>
          <w:color w:val="000000" w:themeColor="text1"/>
          <w:lang w:bidi="ar-SA"/>
        </w:rPr>
        <w:t>s</w:t>
      </w:r>
      <w:r w:rsidR="007C3411">
        <w:rPr>
          <w:color w:val="000000" w:themeColor="text1"/>
          <w:lang w:bidi="ar-SA"/>
        </w:rPr>
        <w:t xml:space="preserve">almonellosis </w:t>
      </w:r>
      <w:r w:rsidR="002944C9">
        <w:rPr>
          <w:color w:val="000000" w:themeColor="text1"/>
          <w:lang w:bidi="ar-SA"/>
        </w:rPr>
        <w:t>illness</w:t>
      </w:r>
      <w:r w:rsidR="00C72261">
        <w:rPr>
          <w:color w:val="000000" w:themeColor="text1"/>
          <w:lang w:bidi="ar-SA"/>
        </w:rPr>
        <w:t xml:space="preserve"> (</w:t>
      </w:r>
      <w:r w:rsidR="0033105B">
        <w:rPr>
          <w:color w:val="000000" w:themeColor="text1"/>
          <w:lang w:bidi="ar-SA"/>
        </w:rPr>
        <w:t>with</w:t>
      </w:r>
      <w:r w:rsidR="00C72261">
        <w:rPr>
          <w:color w:val="000000" w:themeColor="text1"/>
          <w:lang w:bidi="ar-SA"/>
        </w:rPr>
        <w:t xml:space="preserve"> costs </w:t>
      </w:r>
      <w:r w:rsidR="001A1FCA">
        <w:rPr>
          <w:color w:val="000000" w:themeColor="text1"/>
          <w:lang w:bidi="ar-SA"/>
        </w:rPr>
        <w:t>revised downwards since the CRIS</w:t>
      </w:r>
      <w:r w:rsidR="00C72261">
        <w:rPr>
          <w:color w:val="000000" w:themeColor="text1"/>
          <w:lang w:bidi="ar-SA"/>
        </w:rPr>
        <w:t xml:space="preserve">). </w:t>
      </w:r>
      <w:r w:rsidR="002944C9">
        <w:rPr>
          <w:color w:val="000000" w:themeColor="text1"/>
          <w:lang w:bidi="ar-SA"/>
        </w:rPr>
        <w:t>FSANZ notes that since 2018</w:t>
      </w:r>
      <w:r w:rsidR="00456EC3">
        <w:rPr>
          <w:color w:val="000000" w:themeColor="text1"/>
          <w:lang w:bidi="ar-SA"/>
        </w:rPr>
        <w:t>,</w:t>
      </w:r>
      <w:r w:rsidR="002944C9">
        <w:rPr>
          <w:color w:val="000000" w:themeColor="text1"/>
          <w:lang w:bidi="ar-SA"/>
        </w:rPr>
        <w:t xml:space="preserve"> the melons industry has been very proactive with implementing additional safety measures.</w:t>
      </w:r>
    </w:p>
    <w:p w14:paraId="00CCACC7" w14:textId="0057D22E" w:rsidR="00D10D6B" w:rsidRDefault="00D10D6B" w:rsidP="007C3411">
      <w:pPr>
        <w:rPr>
          <w:color w:val="000000" w:themeColor="text1"/>
          <w:lang w:val="en-AU"/>
        </w:rPr>
      </w:pPr>
    </w:p>
    <w:p w14:paraId="4426D73F" w14:textId="407A2895" w:rsidR="00D10D6B" w:rsidRPr="00607239" w:rsidRDefault="00D10D6B" w:rsidP="007C3411">
      <w:pPr>
        <w:rPr>
          <w:color w:val="000000" w:themeColor="text1"/>
          <w:lang w:val="en-AU"/>
        </w:rPr>
      </w:pPr>
      <w:r>
        <w:rPr>
          <w:color w:val="000000" w:themeColor="text1"/>
          <w:lang w:val="en-AU"/>
        </w:rPr>
        <w:t xml:space="preserve">All other options, including the </w:t>
      </w:r>
      <w:r w:rsidR="00787FE0">
        <w:rPr>
          <w:color w:val="000000" w:themeColor="text1"/>
          <w:lang w:val="en-AU"/>
        </w:rPr>
        <w:t>preferred op</w:t>
      </w:r>
      <w:r>
        <w:rPr>
          <w:color w:val="000000" w:themeColor="text1"/>
          <w:lang w:val="en-AU"/>
        </w:rPr>
        <w:t>tion</w:t>
      </w:r>
      <w:r w:rsidR="004745A4">
        <w:rPr>
          <w:color w:val="000000" w:themeColor="text1"/>
          <w:lang w:val="en-AU"/>
        </w:rPr>
        <w:t>,</w:t>
      </w:r>
      <w:r>
        <w:rPr>
          <w:color w:val="000000" w:themeColor="text1"/>
          <w:lang w:val="en-AU"/>
        </w:rPr>
        <w:t xml:space="preserve"> were found to have net benefits over the </w:t>
      </w:r>
      <w:r w:rsidR="00787FE0">
        <w:rPr>
          <w:color w:val="000000" w:themeColor="text1"/>
          <w:lang w:val="en-AU"/>
        </w:rPr>
        <w:t xml:space="preserve">status quo </w:t>
      </w:r>
      <w:r w:rsidR="00D274FC">
        <w:rPr>
          <w:color w:val="000000" w:themeColor="text1"/>
          <w:lang w:val="en-AU"/>
        </w:rPr>
        <w:t xml:space="preserve">from reducing listeriosis and </w:t>
      </w:r>
      <w:r w:rsidR="004745A4">
        <w:rPr>
          <w:color w:val="000000" w:themeColor="text1"/>
          <w:lang w:val="en-AU"/>
        </w:rPr>
        <w:t>salmonellosis</w:t>
      </w:r>
      <w:r w:rsidR="009A2D07">
        <w:rPr>
          <w:color w:val="000000" w:themeColor="text1"/>
          <w:lang w:val="en-AU"/>
        </w:rPr>
        <w:t>, plus other illnesses for the other two commodities</w:t>
      </w:r>
      <w:r>
        <w:rPr>
          <w:color w:val="000000" w:themeColor="text1"/>
          <w:lang w:val="en-AU"/>
        </w:rPr>
        <w:t xml:space="preserve">. More details are in Section 7 and in the </w:t>
      </w:r>
      <w:r w:rsidR="004745A4">
        <w:rPr>
          <w:color w:val="000000" w:themeColor="text1"/>
          <w:lang w:val="en-AU"/>
        </w:rPr>
        <w:t>CBA</w:t>
      </w:r>
      <w:r>
        <w:rPr>
          <w:color w:val="000000" w:themeColor="text1"/>
          <w:lang w:val="en-AU"/>
        </w:rPr>
        <w:t xml:space="preserve"> </w:t>
      </w:r>
      <w:r w:rsidR="004745A4">
        <w:rPr>
          <w:color w:val="000000" w:themeColor="text1"/>
          <w:lang w:val="en-AU"/>
        </w:rPr>
        <w:t>supporting document.</w:t>
      </w:r>
      <w:r>
        <w:rPr>
          <w:color w:val="000000" w:themeColor="text1"/>
          <w:lang w:val="en-AU"/>
        </w:rPr>
        <w:t xml:space="preserve">   </w:t>
      </w:r>
    </w:p>
    <w:p w14:paraId="370D96C6" w14:textId="44F946D8" w:rsidR="007C3411" w:rsidRPr="007C3411" w:rsidRDefault="007C3411" w:rsidP="00607239">
      <w:pPr>
        <w:pStyle w:val="Heading4"/>
      </w:pPr>
      <w:bookmarkStart w:id="321" w:name="_Toc77687517"/>
      <w:bookmarkStart w:id="322" w:name="_Toc76570496"/>
      <w:bookmarkStart w:id="323" w:name="_Toc76382369"/>
      <w:bookmarkStart w:id="324" w:name="_Toc74145871"/>
      <w:bookmarkStart w:id="325" w:name="_Toc69222858"/>
      <w:r w:rsidRPr="007C3411">
        <w:t xml:space="preserve">Other considerations </w:t>
      </w:r>
      <w:bookmarkEnd w:id="321"/>
      <w:bookmarkEnd w:id="322"/>
      <w:bookmarkEnd w:id="323"/>
      <w:bookmarkEnd w:id="324"/>
      <w:bookmarkEnd w:id="325"/>
    </w:p>
    <w:p w14:paraId="20C73353" w14:textId="1549ED0A" w:rsidR="007C3411" w:rsidRDefault="007C3411" w:rsidP="007C3411">
      <w:pPr>
        <w:rPr>
          <w:lang w:bidi="ar-SA"/>
        </w:rPr>
      </w:pPr>
      <w:r>
        <w:rPr>
          <w:color w:val="000000" w:themeColor="text1"/>
        </w:rPr>
        <w:t>FSANZ estimates that there are 225 (+/- 75) melon producers nationally and that approximately 95% of these businesses are already signatory to a FSS</w:t>
      </w:r>
      <w:r w:rsidR="002944C9">
        <w:rPr>
          <w:color w:val="000000" w:themeColor="text1"/>
        </w:rPr>
        <w:t>, reflecting the drive for additional safety in this sector</w:t>
      </w:r>
      <w:r>
        <w:rPr>
          <w:color w:val="000000" w:themeColor="text1"/>
        </w:rPr>
        <w:t xml:space="preserve">. </w:t>
      </w:r>
      <w:r w:rsidR="002944C9">
        <w:rPr>
          <w:color w:val="000000" w:themeColor="text1"/>
        </w:rPr>
        <w:t>Although</w:t>
      </w:r>
      <w:r>
        <w:rPr>
          <w:color w:val="000000" w:themeColor="text1"/>
        </w:rPr>
        <w:t xml:space="preserve"> these </w:t>
      </w:r>
      <w:r w:rsidR="002944C9">
        <w:rPr>
          <w:color w:val="000000" w:themeColor="text1"/>
        </w:rPr>
        <w:t xml:space="preserve">FSS </w:t>
      </w:r>
      <w:r>
        <w:rPr>
          <w:color w:val="000000" w:themeColor="text1"/>
        </w:rPr>
        <w:t>schemes are voluntary, they are a requirement when supplying to major retailers.</w:t>
      </w:r>
    </w:p>
    <w:p w14:paraId="47D09FDD" w14:textId="5410877F" w:rsidR="00DB090B" w:rsidRPr="007C3411" w:rsidRDefault="00DB090B" w:rsidP="00B85F78">
      <w:pPr>
        <w:pStyle w:val="Heading3"/>
      </w:pPr>
      <w:bookmarkStart w:id="326" w:name="_Toc85540158"/>
      <w:bookmarkStart w:id="327" w:name="_Toc85626167"/>
      <w:bookmarkStart w:id="328" w:name="_Toc85635300"/>
      <w:bookmarkStart w:id="329" w:name="_Toc97643854"/>
      <w:bookmarkStart w:id="330" w:name="_Toc97653239"/>
      <w:bookmarkStart w:id="331" w:name="_Toc97739391"/>
      <w:bookmarkStart w:id="332" w:name="_Toc97823808"/>
      <w:bookmarkStart w:id="333" w:name="_Toc97823974"/>
      <w:r w:rsidRPr="007C3411">
        <w:t>Draft standards</w:t>
      </w:r>
      <w:bookmarkEnd w:id="326"/>
      <w:bookmarkEnd w:id="327"/>
      <w:bookmarkEnd w:id="328"/>
      <w:bookmarkEnd w:id="329"/>
      <w:bookmarkEnd w:id="330"/>
      <w:bookmarkEnd w:id="331"/>
      <w:bookmarkEnd w:id="332"/>
      <w:bookmarkEnd w:id="333"/>
    </w:p>
    <w:p w14:paraId="53DC5299" w14:textId="57417E20" w:rsidR="006965D9" w:rsidRDefault="00496E7A" w:rsidP="006965D9">
      <w:r>
        <w:t>Each</w:t>
      </w:r>
      <w:r w:rsidR="006965D9">
        <w:t xml:space="preserve"> of FSANZ’s proposed </w:t>
      </w:r>
      <w:r w:rsidR="00A912A1">
        <w:t xml:space="preserve">draft </w:t>
      </w:r>
      <w:r w:rsidR="006965D9">
        <w:t xml:space="preserve">regulatory measures are provided </w:t>
      </w:r>
      <w:r w:rsidR="006965D9" w:rsidRPr="00DF44D1">
        <w:t>in Attachment A</w:t>
      </w:r>
      <w:r w:rsidR="006965D9">
        <w:t>:</w:t>
      </w:r>
    </w:p>
    <w:p w14:paraId="46599850" w14:textId="77777777" w:rsidR="006965D9" w:rsidRDefault="006965D9" w:rsidP="00DF44D1">
      <w:pPr>
        <w:pStyle w:val="FSBullet1"/>
      </w:pPr>
      <w:r w:rsidRPr="00A120BD">
        <w:t>Standard 4.2.7</w:t>
      </w:r>
      <w:r w:rsidRPr="00D00E1C">
        <w:t xml:space="preserve"> </w:t>
      </w:r>
      <w:r w:rsidRPr="00A120BD">
        <w:t>Primary Production and Processing Standard for Berries</w:t>
      </w:r>
      <w:r>
        <w:t xml:space="preserve"> </w:t>
      </w:r>
    </w:p>
    <w:p w14:paraId="76352201" w14:textId="77777777" w:rsidR="006965D9" w:rsidRDefault="006965D9" w:rsidP="00DF44D1">
      <w:pPr>
        <w:pStyle w:val="FSBullet1"/>
      </w:pPr>
      <w:r>
        <w:t>Standard 4.2.8</w:t>
      </w:r>
      <w:r w:rsidRPr="00D00E1C">
        <w:t xml:space="preserve"> </w:t>
      </w:r>
      <w:r w:rsidRPr="00A120BD">
        <w:t xml:space="preserve">Primary Production and Processing Standard for </w:t>
      </w:r>
      <w:r>
        <w:t xml:space="preserve">Leafy Vegetables </w:t>
      </w:r>
    </w:p>
    <w:p w14:paraId="6F66849C" w14:textId="5F0F1DD4" w:rsidR="006965D9" w:rsidRDefault="006965D9" w:rsidP="00DF44D1">
      <w:pPr>
        <w:pStyle w:val="FSBullet1"/>
      </w:pPr>
      <w:r w:rsidRPr="00A120BD">
        <w:t>Standard 4.2.</w:t>
      </w:r>
      <w:r>
        <w:t>9</w:t>
      </w:r>
      <w:r w:rsidRPr="00D00E1C">
        <w:t xml:space="preserve"> </w:t>
      </w:r>
      <w:r w:rsidRPr="00A120BD">
        <w:t xml:space="preserve">Primary Production and Processing Standard for </w:t>
      </w:r>
      <w:r>
        <w:t>Melons</w:t>
      </w:r>
      <w:r w:rsidR="006C5BE4">
        <w:t>.</w:t>
      </w:r>
      <w:r>
        <w:t xml:space="preserve"> </w:t>
      </w:r>
    </w:p>
    <w:p w14:paraId="4AFA4570" w14:textId="77777777" w:rsidR="006965D9" w:rsidRDefault="006965D9" w:rsidP="006965D9"/>
    <w:p w14:paraId="1C067FEE" w14:textId="00BC454A" w:rsidR="006965D9" w:rsidRPr="001A1FCA" w:rsidRDefault="00496E7A" w:rsidP="00045729">
      <w:r w:rsidRPr="009D2DA6">
        <w:t xml:space="preserve">Table </w:t>
      </w:r>
      <w:r w:rsidR="009D2DA6" w:rsidRPr="009D2DA6">
        <w:t>3</w:t>
      </w:r>
      <w:r w:rsidR="00331B3F" w:rsidRPr="009D2DA6">
        <w:t xml:space="preserve"> provides a comparative summary of the </w:t>
      </w:r>
      <w:r w:rsidR="002F10A8">
        <w:t xml:space="preserve">three </w:t>
      </w:r>
      <w:r w:rsidR="00331B3F" w:rsidRPr="009D2DA6">
        <w:t>proposed standards</w:t>
      </w:r>
      <w:r w:rsidR="001A1FCA">
        <w:t>.</w:t>
      </w:r>
    </w:p>
    <w:p w14:paraId="6C715222" w14:textId="2E40DB75" w:rsidR="00FD4943" w:rsidRDefault="00FD4943" w:rsidP="00045729">
      <w:pPr>
        <w:rPr>
          <w:rFonts w:cs="Arial"/>
        </w:rPr>
      </w:pPr>
    </w:p>
    <w:p w14:paraId="44237D2B" w14:textId="2BB5E4BA" w:rsidR="00DB090B" w:rsidRPr="00937B46" w:rsidRDefault="00DB090B" w:rsidP="00FB4B30">
      <w:pPr>
        <w:keepNext/>
        <w:rPr>
          <w:rFonts w:cs="Arial"/>
          <w:b/>
        </w:rPr>
      </w:pPr>
      <w:r w:rsidRPr="009D2DA6">
        <w:rPr>
          <w:rFonts w:cs="Arial"/>
          <w:b/>
        </w:rPr>
        <w:lastRenderedPageBreak/>
        <w:t xml:space="preserve">Table </w:t>
      </w:r>
      <w:r w:rsidR="009D2DA6" w:rsidRPr="009D2DA6">
        <w:rPr>
          <w:rFonts w:cs="Arial"/>
          <w:b/>
        </w:rPr>
        <w:t>3</w:t>
      </w:r>
      <w:r w:rsidR="006A7336">
        <w:rPr>
          <w:rFonts w:cs="Arial"/>
          <w:b/>
        </w:rPr>
        <w:t>.</w:t>
      </w:r>
      <w:r w:rsidR="00665611" w:rsidRPr="009D2DA6">
        <w:rPr>
          <w:rFonts w:cs="Arial"/>
          <w:b/>
        </w:rPr>
        <w:t xml:space="preserve"> </w:t>
      </w:r>
      <w:r w:rsidRPr="009D2DA6">
        <w:rPr>
          <w:rFonts w:cs="Arial"/>
          <w:b/>
        </w:rPr>
        <w:t>Summary of the proposed standards</w:t>
      </w:r>
      <w:r w:rsidR="00DF44D1">
        <w:rPr>
          <w:rFonts w:cs="Arial"/>
          <w:b/>
        </w:rPr>
        <w:t>,</w:t>
      </w:r>
      <w:r w:rsidRPr="009D2DA6">
        <w:rPr>
          <w:rFonts w:cs="Arial"/>
          <w:b/>
        </w:rPr>
        <w:t xml:space="preserve"> for comparison across </w:t>
      </w:r>
      <w:r>
        <w:rPr>
          <w:rFonts w:cs="Arial"/>
          <w:b/>
        </w:rPr>
        <w:t xml:space="preserve">sectors </w:t>
      </w:r>
    </w:p>
    <w:tbl>
      <w:tblPr>
        <w:tblStyle w:val="TableGrid"/>
        <w:tblW w:w="0" w:type="auto"/>
        <w:tblLayout w:type="fixed"/>
        <w:tblLook w:val="04A0" w:firstRow="1" w:lastRow="0" w:firstColumn="1" w:lastColumn="0" w:noHBand="0" w:noVBand="1"/>
      </w:tblPr>
      <w:tblGrid>
        <w:gridCol w:w="5240"/>
        <w:gridCol w:w="1273"/>
        <w:gridCol w:w="1273"/>
        <w:gridCol w:w="1274"/>
      </w:tblGrid>
      <w:tr w:rsidR="00DB090B" w:rsidRPr="00AB1DF4" w14:paraId="18F3B853" w14:textId="77777777" w:rsidTr="000A16E7">
        <w:trPr>
          <w:tblHeader/>
        </w:trPr>
        <w:tc>
          <w:tcPr>
            <w:tcW w:w="5240" w:type="dxa"/>
            <w:shd w:val="clear" w:color="auto" w:fill="8DB3E2" w:themeFill="text2" w:themeFillTint="66"/>
          </w:tcPr>
          <w:p w14:paraId="2085C52C" w14:textId="77777777" w:rsidR="00DB090B" w:rsidRPr="00AB1DF4" w:rsidRDefault="00DB090B" w:rsidP="00DB090B">
            <w:pPr>
              <w:spacing w:before="120" w:after="120"/>
              <w:rPr>
                <w:rFonts w:cs="Arial"/>
                <w:b/>
                <w:sz w:val="20"/>
                <w:szCs w:val="20"/>
              </w:rPr>
            </w:pPr>
            <w:r w:rsidRPr="00AB1DF4">
              <w:rPr>
                <w:rFonts w:cs="Arial"/>
                <w:b/>
                <w:sz w:val="20"/>
                <w:szCs w:val="20"/>
              </w:rPr>
              <w:t>Requirement</w:t>
            </w:r>
          </w:p>
        </w:tc>
        <w:tc>
          <w:tcPr>
            <w:tcW w:w="1273" w:type="dxa"/>
            <w:shd w:val="clear" w:color="auto" w:fill="8DB3E2" w:themeFill="text2" w:themeFillTint="66"/>
          </w:tcPr>
          <w:p w14:paraId="46E9E7B3" w14:textId="77777777" w:rsidR="00DB090B" w:rsidRPr="00AB1DF4" w:rsidRDefault="00DB090B" w:rsidP="00DB090B">
            <w:pPr>
              <w:spacing w:before="120" w:after="120"/>
              <w:rPr>
                <w:rFonts w:cs="Arial"/>
                <w:b/>
                <w:sz w:val="20"/>
                <w:szCs w:val="20"/>
              </w:rPr>
            </w:pPr>
            <w:r w:rsidRPr="00AB1DF4">
              <w:rPr>
                <w:rFonts w:cs="Arial"/>
                <w:b/>
                <w:sz w:val="20"/>
                <w:szCs w:val="20"/>
              </w:rPr>
              <w:t>Berries</w:t>
            </w:r>
          </w:p>
        </w:tc>
        <w:tc>
          <w:tcPr>
            <w:tcW w:w="1273" w:type="dxa"/>
            <w:shd w:val="clear" w:color="auto" w:fill="8DB3E2" w:themeFill="text2" w:themeFillTint="66"/>
          </w:tcPr>
          <w:p w14:paraId="166A9925" w14:textId="77777777" w:rsidR="00DB090B" w:rsidRPr="00AB1DF4" w:rsidRDefault="00DB090B" w:rsidP="00DB090B">
            <w:pPr>
              <w:spacing w:before="120" w:after="120"/>
              <w:rPr>
                <w:rFonts w:cs="Arial"/>
                <w:b/>
                <w:sz w:val="20"/>
                <w:szCs w:val="20"/>
              </w:rPr>
            </w:pPr>
            <w:r w:rsidRPr="00AB1DF4">
              <w:rPr>
                <w:rFonts w:cs="Arial"/>
                <w:b/>
                <w:sz w:val="20"/>
                <w:szCs w:val="20"/>
              </w:rPr>
              <w:t>Leafy Vegetables</w:t>
            </w:r>
          </w:p>
        </w:tc>
        <w:tc>
          <w:tcPr>
            <w:tcW w:w="1274" w:type="dxa"/>
            <w:shd w:val="clear" w:color="auto" w:fill="8DB3E2" w:themeFill="text2" w:themeFillTint="66"/>
          </w:tcPr>
          <w:p w14:paraId="1281CF20" w14:textId="77777777" w:rsidR="00DB090B" w:rsidRPr="00AB1DF4" w:rsidRDefault="00DB090B" w:rsidP="00DB090B">
            <w:pPr>
              <w:spacing w:before="120" w:after="120"/>
              <w:rPr>
                <w:rFonts w:cs="Arial"/>
                <w:b/>
                <w:sz w:val="20"/>
                <w:szCs w:val="20"/>
              </w:rPr>
            </w:pPr>
            <w:r w:rsidRPr="00AB1DF4">
              <w:rPr>
                <w:rFonts w:cs="Arial"/>
                <w:b/>
                <w:sz w:val="20"/>
                <w:szCs w:val="20"/>
              </w:rPr>
              <w:t>Melons</w:t>
            </w:r>
          </w:p>
        </w:tc>
      </w:tr>
      <w:tr w:rsidR="00DB090B" w:rsidRPr="00AB1DF4" w14:paraId="1F902F2F" w14:textId="77777777" w:rsidTr="00496E7A">
        <w:tc>
          <w:tcPr>
            <w:tcW w:w="5240" w:type="dxa"/>
          </w:tcPr>
          <w:p w14:paraId="58F2F662" w14:textId="77777777" w:rsidR="00DB090B" w:rsidRPr="00AB1DF4" w:rsidRDefault="00DB090B" w:rsidP="00DB090B">
            <w:pPr>
              <w:spacing w:before="120" w:after="120"/>
              <w:rPr>
                <w:rFonts w:cs="Arial"/>
                <w:b/>
                <w:i/>
                <w:sz w:val="20"/>
                <w:szCs w:val="20"/>
              </w:rPr>
            </w:pPr>
            <w:r w:rsidRPr="00AB1DF4">
              <w:rPr>
                <w:rFonts w:cs="Arial"/>
                <w:b/>
                <w:i/>
                <w:sz w:val="20"/>
                <w:szCs w:val="20"/>
              </w:rPr>
              <w:t>Notification</w:t>
            </w:r>
          </w:p>
          <w:p w14:paraId="7BE2EA36" w14:textId="77777777" w:rsidR="00DB090B" w:rsidRDefault="00DB090B" w:rsidP="006354B0">
            <w:pPr>
              <w:pStyle w:val="ListParagraph"/>
              <w:widowControl/>
              <w:numPr>
                <w:ilvl w:val="0"/>
                <w:numId w:val="13"/>
              </w:numPr>
              <w:spacing w:before="120" w:after="120"/>
              <w:rPr>
                <w:rFonts w:cs="Arial"/>
                <w:sz w:val="20"/>
                <w:szCs w:val="20"/>
              </w:rPr>
            </w:pPr>
            <w:r w:rsidRPr="00A551E4">
              <w:rPr>
                <w:rFonts w:cs="Arial"/>
                <w:sz w:val="20"/>
                <w:szCs w:val="20"/>
              </w:rPr>
              <w:t>A primary horticulture producer and processor must provide specified information to the relevant authority before engaging in a relevant activity.</w:t>
            </w:r>
          </w:p>
          <w:p w14:paraId="4B4006F0" w14:textId="60B3BBA6"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In this section, specified information means the following:</w:t>
            </w:r>
          </w:p>
          <w:p w14:paraId="7256FFA0"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contact details of the primary horticulture producer of the primary horticulture processor, including the name of their business and the name and business address of the proprietor of their business;</w:t>
            </w:r>
          </w:p>
          <w:p w14:paraId="0E99802F"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a description of the activities the primary horticulture producer of the primary horticulture processor will undertake in relation to berries; and</w:t>
            </w:r>
          </w:p>
          <w:p w14:paraId="31D743A5"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location or locations of each activity referred to in paragraph (b) that is within the jurisdiction of the relevant authority.</w:t>
            </w:r>
          </w:p>
          <w:p w14:paraId="708EC850" w14:textId="77777777"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 xml:space="preserve">A primary horticulture producer and a primary horticulture processor must notify the relevant authority of any proposed change to specified information provided to a relevant authority in accordance with this section before that change occurs. </w:t>
            </w:r>
          </w:p>
          <w:p w14:paraId="2A4AF01A" w14:textId="56E62776" w:rsidR="00DF47AA" w:rsidRPr="00F47C17" w:rsidRDefault="00DF47AA" w:rsidP="00F47C17">
            <w:pPr>
              <w:spacing w:before="120" w:after="120"/>
              <w:rPr>
                <w:rFonts w:cs="Arial"/>
                <w:sz w:val="20"/>
                <w:szCs w:val="20"/>
              </w:rPr>
            </w:pPr>
            <w:r>
              <w:rPr>
                <w:rFonts w:cs="Arial"/>
                <w:sz w:val="20"/>
                <w:szCs w:val="20"/>
              </w:rPr>
              <w:t xml:space="preserve">* Note: </w:t>
            </w:r>
            <w:r w:rsidRPr="00F47C17">
              <w:rPr>
                <w:rFonts w:cs="Arial"/>
                <w:sz w:val="20"/>
                <w:szCs w:val="20"/>
              </w:rPr>
              <w:t xml:space="preserve">notification is </w:t>
            </w:r>
            <w:r>
              <w:rPr>
                <w:rFonts w:cs="Arial"/>
                <w:sz w:val="20"/>
                <w:szCs w:val="20"/>
              </w:rPr>
              <w:t>part of</w:t>
            </w:r>
            <w:r w:rsidRPr="00F47C17">
              <w:rPr>
                <w:rFonts w:cs="Arial"/>
                <w:sz w:val="20"/>
                <w:szCs w:val="20"/>
              </w:rPr>
              <w:t xml:space="preserve"> general food safety management requirements</w:t>
            </w:r>
            <w:r>
              <w:rPr>
                <w:rFonts w:cs="Arial"/>
                <w:sz w:val="20"/>
                <w:szCs w:val="20"/>
              </w:rPr>
              <w:t xml:space="preserve"> so did not require </w:t>
            </w:r>
            <w:r w:rsidR="00D940C7">
              <w:rPr>
                <w:rFonts w:cs="Arial"/>
                <w:sz w:val="20"/>
                <w:szCs w:val="20"/>
              </w:rPr>
              <w:t xml:space="preserve">separate </w:t>
            </w:r>
            <w:r>
              <w:rPr>
                <w:rFonts w:cs="Arial"/>
                <w:sz w:val="20"/>
                <w:szCs w:val="20"/>
              </w:rPr>
              <w:t>listing</w:t>
            </w:r>
          </w:p>
        </w:tc>
        <w:tc>
          <w:tcPr>
            <w:tcW w:w="1273" w:type="dxa"/>
          </w:tcPr>
          <w:p w14:paraId="17E9E32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02BBEA25" w14:textId="64710E0A" w:rsidR="00DB090B" w:rsidRPr="00AB1DF4" w:rsidRDefault="00DB090B" w:rsidP="00DB090B">
            <w:pPr>
              <w:spacing w:before="120" w:after="120"/>
              <w:rPr>
                <w:rFonts w:cs="Arial"/>
                <w:sz w:val="20"/>
                <w:szCs w:val="20"/>
              </w:rPr>
            </w:pPr>
            <w:r>
              <w:rPr>
                <w:rFonts w:ascii="Wingdings 2" w:hAnsi="Wingdings 2"/>
                <w:sz w:val="40"/>
                <w:szCs w:val="40"/>
                <w:lang w:val="en-AU"/>
              </w:rPr>
              <w:t></w:t>
            </w:r>
            <w:r w:rsidR="00DF47AA" w:rsidRPr="00F47C17">
              <w:rPr>
                <w:rFonts w:asciiTheme="minorHAnsi" w:hAnsiTheme="minorHAnsi" w:cstheme="minorHAnsi"/>
                <w:sz w:val="24"/>
                <w:lang w:val="en-AU"/>
              </w:rPr>
              <w:t>*</w:t>
            </w:r>
          </w:p>
        </w:tc>
        <w:tc>
          <w:tcPr>
            <w:tcW w:w="1274" w:type="dxa"/>
          </w:tcPr>
          <w:p w14:paraId="7E124FE6" w14:textId="2869DEC1" w:rsidR="00DB090B" w:rsidRPr="00AB1DF4" w:rsidRDefault="00DB090B" w:rsidP="00DB090B">
            <w:pPr>
              <w:spacing w:before="120" w:after="120"/>
              <w:rPr>
                <w:rFonts w:cs="Arial"/>
                <w:sz w:val="20"/>
                <w:szCs w:val="20"/>
              </w:rPr>
            </w:pPr>
            <w:r>
              <w:rPr>
                <w:rFonts w:ascii="Wingdings 2" w:hAnsi="Wingdings 2"/>
                <w:sz w:val="40"/>
                <w:szCs w:val="40"/>
                <w:lang w:val="en-AU"/>
              </w:rPr>
              <w:t></w:t>
            </w:r>
            <w:r w:rsidR="00DF47AA" w:rsidRPr="000C690A">
              <w:rPr>
                <w:rFonts w:asciiTheme="minorHAnsi" w:hAnsiTheme="minorHAnsi" w:cstheme="minorHAnsi"/>
                <w:sz w:val="24"/>
                <w:lang w:val="en-AU"/>
              </w:rPr>
              <w:t>*</w:t>
            </w:r>
          </w:p>
        </w:tc>
      </w:tr>
      <w:tr w:rsidR="00DB090B" w:rsidRPr="00AB1DF4" w14:paraId="2B3F9D7D" w14:textId="77777777" w:rsidTr="00496E7A">
        <w:tc>
          <w:tcPr>
            <w:tcW w:w="5240" w:type="dxa"/>
          </w:tcPr>
          <w:p w14:paraId="796ED598" w14:textId="77777777" w:rsidR="00DB090B" w:rsidRPr="00A307AF" w:rsidRDefault="00DB090B" w:rsidP="00DB090B">
            <w:pPr>
              <w:spacing w:before="120" w:after="120"/>
              <w:rPr>
                <w:rFonts w:cs="Arial"/>
                <w:b/>
                <w:i/>
                <w:sz w:val="20"/>
                <w:szCs w:val="20"/>
              </w:rPr>
            </w:pPr>
            <w:r w:rsidRPr="00A307AF">
              <w:rPr>
                <w:rFonts w:cs="Arial"/>
                <w:b/>
                <w:i/>
                <w:sz w:val="20"/>
                <w:szCs w:val="20"/>
              </w:rPr>
              <w:t>General food safety management requirements</w:t>
            </w:r>
          </w:p>
          <w:p w14:paraId="67E1B2A9"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comply with the general food safety management requirements</w:t>
            </w:r>
          </w:p>
          <w:p w14:paraId="2C0518EA" w14:textId="50CBEE84" w:rsidR="00BF00BA" w:rsidRPr="00AB1DF4" w:rsidRDefault="00DF47AA" w:rsidP="00DB090B">
            <w:pPr>
              <w:spacing w:before="120" w:after="120"/>
              <w:rPr>
                <w:rFonts w:cs="Arial"/>
                <w:sz w:val="20"/>
                <w:szCs w:val="20"/>
              </w:rPr>
            </w:pPr>
            <w:r>
              <w:rPr>
                <w:rFonts w:cs="Arial"/>
                <w:sz w:val="20"/>
                <w:szCs w:val="20"/>
              </w:rPr>
              <w:t>*</w:t>
            </w:r>
            <w:r w:rsidR="00BF00BA">
              <w:rPr>
                <w:rFonts w:cs="Arial"/>
                <w:sz w:val="20"/>
                <w:szCs w:val="20"/>
              </w:rPr>
              <w:t>Note: This requirement includes notification.</w:t>
            </w:r>
          </w:p>
        </w:tc>
        <w:tc>
          <w:tcPr>
            <w:tcW w:w="1273" w:type="dxa"/>
          </w:tcPr>
          <w:p w14:paraId="5A9983AD"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4E5D664E"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02A8BBC"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D6DC3BB" w14:textId="77777777" w:rsidTr="00496E7A">
        <w:tc>
          <w:tcPr>
            <w:tcW w:w="5240" w:type="dxa"/>
          </w:tcPr>
          <w:p w14:paraId="4289975B" w14:textId="77777777" w:rsidR="00DB090B" w:rsidRDefault="00DB090B" w:rsidP="00DB090B">
            <w:pPr>
              <w:spacing w:before="120" w:after="120"/>
              <w:rPr>
                <w:rFonts w:cs="Arial"/>
                <w:b/>
                <w:i/>
                <w:sz w:val="20"/>
                <w:szCs w:val="20"/>
              </w:rPr>
            </w:pPr>
            <w:r w:rsidRPr="00A307AF">
              <w:rPr>
                <w:rFonts w:cs="Arial"/>
                <w:b/>
                <w:i/>
                <w:sz w:val="20"/>
                <w:szCs w:val="20"/>
              </w:rPr>
              <w:t>Traceability</w:t>
            </w:r>
          </w:p>
          <w:p w14:paraId="33805AD2" w14:textId="77777777" w:rsidR="00DB090B" w:rsidRDefault="00DB090B" w:rsidP="00DC26DB">
            <w:pPr>
              <w:spacing w:before="120"/>
              <w:rPr>
                <w:rFonts w:cs="Arial"/>
                <w:sz w:val="20"/>
                <w:szCs w:val="20"/>
              </w:rPr>
            </w:pPr>
            <w:r>
              <w:rPr>
                <w:rFonts w:cs="Arial"/>
                <w:sz w:val="20"/>
                <w:szCs w:val="20"/>
              </w:rPr>
              <w:t>A primary horticulture producer and a primary horticulture processor must have in place a system that can identify:</w:t>
            </w:r>
          </w:p>
          <w:p w14:paraId="5E28FF2E" w14:textId="77777777" w:rsidR="00DB090B" w:rsidRDefault="00DB090B" w:rsidP="006354B0">
            <w:pPr>
              <w:pStyle w:val="ListParagraph"/>
              <w:widowControl/>
              <w:numPr>
                <w:ilvl w:val="0"/>
                <w:numId w:val="15"/>
              </w:numPr>
              <w:spacing w:after="120"/>
              <w:rPr>
                <w:rFonts w:cs="Arial"/>
                <w:sz w:val="20"/>
                <w:szCs w:val="20"/>
              </w:rPr>
            </w:pPr>
            <w:r>
              <w:rPr>
                <w:rFonts w:cs="Arial"/>
                <w:sz w:val="20"/>
                <w:szCs w:val="20"/>
              </w:rPr>
              <w:t>f</w:t>
            </w:r>
            <w:r w:rsidRPr="00844632">
              <w:rPr>
                <w:rFonts w:cs="Arial"/>
                <w:sz w:val="20"/>
                <w:szCs w:val="20"/>
              </w:rPr>
              <w:t>rom whom</w:t>
            </w:r>
            <w:r>
              <w:rPr>
                <w:rFonts w:cs="Arial"/>
                <w:sz w:val="20"/>
                <w:szCs w:val="20"/>
              </w:rPr>
              <w:t xml:space="preserve"> [</w:t>
            </w:r>
            <w:r w:rsidRPr="00844632">
              <w:rPr>
                <w:rFonts w:cs="Arial"/>
                <w:i/>
                <w:sz w:val="20"/>
                <w:szCs w:val="20"/>
              </w:rPr>
              <w:t>the commodity</w:t>
            </w:r>
            <w:r>
              <w:rPr>
                <w:rFonts w:cs="Arial"/>
                <w:sz w:val="20"/>
                <w:szCs w:val="20"/>
              </w:rPr>
              <w:t>] were received; and</w:t>
            </w:r>
          </w:p>
          <w:p w14:paraId="70DA5644" w14:textId="77777777" w:rsidR="00FB4B30" w:rsidRDefault="00DB090B" w:rsidP="00FB4B30">
            <w:pPr>
              <w:pStyle w:val="ListParagraph"/>
              <w:widowControl/>
              <w:numPr>
                <w:ilvl w:val="0"/>
                <w:numId w:val="15"/>
              </w:numPr>
              <w:spacing w:before="120" w:after="120"/>
              <w:rPr>
                <w:rFonts w:cs="Arial"/>
                <w:sz w:val="20"/>
                <w:szCs w:val="20"/>
              </w:rPr>
            </w:pPr>
            <w:r>
              <w:rPr>
                <w:rFonts w:cs="Arial"/>
                <w:sz w:val="20"/>
                <w:szCs w:val="20"/>
              </w:rPr>
              <w:t>to whom [</w:t>
            </w:r>
            <w:r w:rsidRPr="00844632">
              <w:rPr>
                <w:rFonts w:cs="Arial"/>
                <w:i/>
                <w:sz w:val="20"/>
                <w:szCs w:val="20"/>
              </w:rPr>
              <w:t>the commodity</w:t>
            </w:r>
            <w:r>
              <w:rPr>
                <w:rFonts w:cs="Arial"/>
                <w:sz w:val="20"/>
                <w:szCs w:val="20"/>
              </w:rPr>
              <w:t>] were supplied.</w:t>
            </w:r>
          </w:p>
          <w:p w14:paraId="65D28032" w14:textId="27BA695B" w:rsidR="00FB4B30" w:rsidRPr="00844632" w:rsidRDefault="00A912A1" w:rsidP="00FB4B30">
            <w:pPr>
              <w:widowControl/>
              <w:spacing w:before="120" w:after="120"/>
              <w:rPr>
                <w:rFonts w:cs="Arial"/>
                <w:sz w:val="20"/>
                <w:szCs w:val="20"/>
              </w:rPr>
            </w:pPr>
            <w:r w:rsidRPr="00A912A1">
              <w:rPr>
                <w:rFonts w:asciiTheme="minorHAnsi" w:hAnsiTheme="minorHAnsi" w:cstheme="minorHAnsi"/>
                <w:sz w:val="24"/>
                <w:vertAlign w:val="superscript"/>
                <w:lang w:val="en-AU"/>
              </w:rPr>
              <w:t>#</w:t>
            </w:r>
            <w:r w:rsidR="00A733CD">
              <w:rPr>
                <w:rFonts w:cs="Arial"/>
                <w:sz w:val="20"/>
                <w:szCs w:val="20"/>
              </w:rPr>
              <w:t xml:space="preserve">Note: </w:t>
            </w:r>
            <w:r w:rsidR="00FB4B30">
              <w:rPr>
                <w:rFonts w:cs="Arial"/>
                <w:sz w:val="20"/>
                <w:szCs w:val="20"/>
              </w:rPr>
              <w:t>and for berries, identification of the growing site</w:t>
            </w:r>
          </w:p>
        </w:tc>
        <w:tc>
          <w:tcPr>
            <w:tcW w:w="1273" w:type="dxa"/>
          </w:tcPr>
          <w:p w14:paraId="578CDB00" w14:textId="7DD0C401"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r w:rsidR="00A912A1" w:rsidRPr="00A912A1">
              <w:rPr>
                <w:rFonts w:asciiTheme="minorHAnsi" w:hAnsiTheme="minorHAnsi" w:cstheme="minorHAnsi"/>
                <w:sz w:val="24"/>
                <w:vertAlign w:val="superscript"/>
                <w:lang w:val="en-AU"/>
              </w:rPr>
              <w:t>#</w:t>
            </w:r>
          </w:p>
        </w:tc>
        <w:tc>
          <w:tcPr>
            <w:tcW w:w="1273" w:type="dxa"/>
            <w:shd w:val="clear" w:color="auto" w:fill="EAF1DD" w:themeFill="accent3" w:themeFillTint="33"/>
          </w:tcPr>
          <w:p w14:paraId="51BA6A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7A26E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FCEB1AB" w14:textId="77777777" w:rsidTr="00496E7A">
        <w:tc>
          <w:tcPr>
            <w:tcW w:w="5240" w:type="dxa"/>
          </w:tcPr>
          <w:p w14:paraId="0E0EBE7F" w14:textId="5E7E5139" w:rsidR="00DB090B" w:rsidRPr="00A307AF" w:rsidRDefault="00DB090B" w:rsidP="00DB090B">
            <w:pPr>
              <w:spacing w:before="120" w:after="120"/>
              <w:rPr>
                <w:rFonts w:cs="Arial"/>
                <w:b/>
                <w:i/>
                <w:sz w:val="20"/>
                <w:szCs w:val="20"/>
              </w:rPr>
            </w:pPr>
            <w:r w:rsidRPr="00A307AF">
              <w:rPr>
                <w:rFonts w:cs="Arial"/>
                <w:b/>
                <w:i/>
                <w:sz w:val="20"/>
                <w:szCs w:val="20"/>
              </w:rPr>
              <w:t>Inputs – s</w:t>
            </w:r>
            <w:r>
              <w:rPr>
                <w:rFonts w:cs="Arial"/>
                <w:b/>
                <w:i/>
                <w:sz w:val="20"/>
                <w:szCs w:val="20"/>
              </w:rPr>
              <w:t>oil</w:t>
            </w:r>
            <w:r w:rsidR="0090288A">
              <w:rPr>
                <w:rFonts w:cs="Arial"/>
                <w:b/>
                <w:i/>
                <w:sz w:val="20"/>
                <w:szCs w:val="20"/>
              </w:rPr>
              <w:t>,</w:t>
            </w:r>
            <w:r w:rsidRPr="00A307AF">
              <w:rPr>
                <w:rFonts w:cs="Arial"/>
                <w:b/>
                <w:i/>
                <w:sz w:val="20"/>
                <w:szCs w:val="20"/>
              </w:rPr>
              <w:t xml:space="preserve"> fertiliser </w:t>
            </w:r>
            <w:r w:rsidR="0090288A">
              <w:rPr>
                <w:rFonts w:cs="Arial"/>
                <w:b/>
                <w:i/>
                <w:sz w:val="20"/>
                <w:szCs w:val="20"/>
              </w:rPr>
              <w:t>and water</w:t>
            </w:r>
          </w:p>
          <w:p w14:paraId="66AEC32F"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w:t>
            </w:r>
            <w:r w:rsidRPr="00BF6DE8">
              <w:rPr>
                <w:rFonts w:cs="Arial"/>
                <w:i/>
                <w:sz w:val="20"/>
                <w:szCs w:val="20"/>
              </w:rPr>
              <w:t>the commodity</w:t>
            </w:r>
            <w:r>
              <w:rPr>
                <w:rFonts w:cs="Arial"/>
                <w:sz w:val="20"/>
                <w:szCs w:val="20"/>
              </w:rPr>
              <w:t>] unacceptable:</w:t>
            </w:r>
          </w:p>
          <w:p w14:paraId="5982D2FD"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w:t>
            </w:r>
          </w:p>
          <w:p w14:paraId="0AE529DA"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 amendments (including manure, human biosolids, compost, and plant bio-waste);</w:t>
            </w:r>
            <w:r>
              <w:rPr>
                <w:rFonts w:cs="Arial"/>
                <w:sz w:val="20"/>
                <w:szCs w:val="20"/>
              </w:rPr>
              <w:t xml:space="preserve"> and</w:t>
            </w:r>
          </w:p>
          <w:p w14:paraId="1A1DD6D6" w14:textId="77777777" w:rsidR="0090288A" w:rsidRDefault="00DB090B" w:rsidP="0090288A">
            <w:pPr>
              <w:pStyle w:val="ListParagraph"/>
              <w:widowControl/>
              <w:numPr>
                <w:ilvl w:val="0"/>
                <w:numId w:val="16"/>
              </w:numPr>
              <w:spacing w:before="120" w:after="120"/>
              <w:rPr>
                <w:rFonts w:cs="Arial"/>
                <w:sz w:val="20"/>
                <w:szCs w:val="20"/>
              </w:rPr>
            </w:pPr>
            <w:r>
              <w:rPr>
                <w:rFonts w:cs="Arial"/>
                <w:sz w:val="20"/>
                <w:szCs w:val="20"/>
              </w:rPr>
              <w:t>f</w:t>
            </w:r>
            <w:r w:rsidRPr="00193964">
              <w:rPr>
                <w:rFonts w:cs="Arial"/>
                <w:sz w:val="20"/>
                <w:szCs w:val="20"/>
              </w:rPr>
              <w:t>ertiliser</w:t>
            </w:r>
          </w:p>
          <w:p w14:paraId="14833FED" w14:textId="46F6A54B" w:rsidR="001A1FCA" w:rsidRPr="0090288A" w:rsidRDefault="0090288A" w:rsidP="0090288A">
            <w:pPr>
              <w:pStyle w:val="ListParagraph"/>
              <w:widowControl/>
              <w:numPr>
                <w:ilvl w:val="0"/>
                <w:numId w:val="16"/>
              </w:numPr>
              <w:spacing w:before="120" w:after="120"/>
              <w:rPr>
                <w:rFonts w:cs="Arial"/>
                <w:sz w:val="20"/>
                <w:szCs w:val="20"/>
              </w:rPr>
            </w:pPr>
            <w:r>
              <w:rPr>
                <w:rFonts w:cs="Arial"/>
                <w:sz w:val="20"/>
                <w:szCs w:val="20"/>
              </w:rPr>
              <w:lastRenderedPageBreak/>
              <w:t>water</w:t>
            </w:r>
            <w:r w:rsidR="00DB090B">
              <w:rPr>
                <w:rFonts w:cs="Arial"/>
                <w:sz w:val="20"/>
                <w:szCs w:val="20"/>
              </w:rPr>
              <w:t>.</w:t>
            </w:r>
          </w:p>
        </w:tc>
        <w:tc>
          <w:tcPr>
            <w:tcW w:w="1273" w:type="dxa"/>
          </w:tcPr>
          <w:p w14:paraId="0A3835A0" w14:textId="3587482C" w:rsidR="00DB090B" w:rsidRPr="00AB1DF4" w:rsidRDefault="001A1FCA" w:rsidP="00DB090B">
            <w:pPr>
              <w:spacing w:before="120" w:after="120"/>
              <w:rPr>
                <w:rFonts w:cs="Arial"/>
                <w:sz w:val="20"/>
                <w:szCs w:val="20"/>
              </w:rPr>
            </w:pPr>
            <w:r w:rsidRPr="00F80FBD">
              <w:rPr>
                <w:rFonts w:ascii="Wingdings 2" w:hAnsi="Wingdings 2"/>
                <w:sz w:val="40"/>
                <w:szCs w:val="40"/>
                <w:lang w:val="en-AU"/>
              </w:rPr>
              <w:lastRenderedPageBreak/>
              <w:t></w:t>
            </w:r>
          </w:p>
        </w:tc>
        <w:tc>
          <w:tcPr>
            <w:tcW w:w="1273" w:type="dxa"/>
            <w:shd w:val="clear" w:color="auto" w:fill="EAF1DD" w:themeFill="accent3" w:themeFillTint="33"/>
          </w:tcPr>
          <w:p w14:paraId="296DFC6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B7843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2222A4D" w14:textId="77777777" w:rsidTr="00496E7A">
        <w:tc>
          <w:tcPr>
            <w:tcW w:w="5240" w:type="dxa"/>
          </w:tcPr>
          <w:p w14:paraId="4782D9FE" w14:textId="77777777" w:rsidR="00DB090B" w:rsidRPr="00A307AF" w:rsidRDefault="00DB090B" w:rsidP="00DB090B">
            <w:pPr>
              <w:spacing w:before="120" w:after="120"/>
              <w:rPr>
                <w:rFonts w:cs="Arial"/>
                <w:b/>
                <w:i/>
                <w:sz w:val="20"/>
                <w:szCs w:val="20"/>
              </w:rPr>
            </w:pPr>
            <w:r w:rsidRPr="00A307AF">
              <w:rPr>
                <w:rFonts w:cs="Arial"/>
                <w:b/>
                <w:i/>
                <w:sz w:val="20"/>
                <w:szCs w:val="20"/>
              </w:rPr>
              <w:t xml:space="preserve">Inputs – </w:t>
            </w:r>
            <w:r>
              <w:rPr>
                <w:rFonts w:cs="Arial"/>
                <w:b/>
                <w:i/>
                <w:sz w:val="20"/>
                <w:szCs w:val="20"/>
              </w:rPr>
              <w:t>seed and seedling</w:t>
            </w:r>
          </w:p>
          <w:p w14:paraId="01F1BC32"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the leafy vegetables unacceptable:</w:t>
            </w:r>
          </w:p>
          <w:p w14:paraId="31CD7240" w14:textId="77777777" w:rsidR="00DB090B" w:rsidRDefault="00DB090B" w:rsidP="006354B0">
            <w:pPr>
              <w:pStyle w:val="ListParagraph"/>
              <w:widowControl/>
              <w:numPr>
                <w:ilvl w:val="0"/>
                <w:numId w:val="12"/>
              </w:numPr>
              <w:spacing w:before="120" w:after="120"/>
              <w:rPr>
                <w:rFonts w:cs="Arial"/>
                <w:sz w:val="20"/>
                <w:szCs w:val="20"/>
              </w:rPr>
            </w:pPr>
            <w:r>
              <w:rPr>
                <w:rFonts w:cs="Arial"/>
                <w:sz w:val="20"/>
                <w:szCs w:val="20"/>
              </w:rPr>
              <w:t>seeds;</w:t>
            </w:r>
          </w:p>
          <w:p w14:paraId="31A4E1E9" w14:textId="77777777" w:rsidR="00DB090B" w:rsidRPr="00BF6DE8" w:rsidRDefault="00DB090B" w:rsidP="006354B0">
            <w:pPr>
              <w:pStyle w:val="ListParagraph"/>
              <w:widowControl/>
              <w:numPr>
                <w:ilvl w:val="0"/>
                <w:numId w:val="12"/>
              </w:numPr>
              <w:spacing w:before="120" w:after="120"/>
              <w:rPr>
                <w:rFonts w:cs="Arial"/>
                <w:sz w:val="20"/>
                <w:szCs w:val="20"/>
              </w:rPr>
            </w:pPr>
            <w:r>
              <w:rPr>
                <w:rFonts w:cs="Arial"/>
                <w:sz w:val="20"/>
                <w:szCs w:val="20"/>
              </w:rPr>
              <w:t>seedlings</w:t>
            </w:r>
            <w:r w:rsidRPr="00BF6DE8">
              <w:rPr>
                <w:rFonts w:cs="Arial"/>
                <w:sz w:val="20"/>
                <w:szCs w:val="20"/>
              </w:rPr>
              <w:t>.</w:t>
            </w:r>
          </w:p>
        </w:tc>
        <w:tc>
          <w:tcPr>
            <w:tcW w:w="1273" w:type="dxa"/>
          </w:tcPr>
          <w:p w14:paraId="1D7B7E44"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25A7A9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15F9F0" w14:textId="77777777" w:rsidR="00DB090B" w:rsidRDefault="00DB090B" w:rsidP="00DB090B">
            <w:pPr>
              <w:spacing w:before="120" w:after="120"/>
              <w:rPr>
                <w:rFonts w:ascii="Wingdings 2" w:hAnsi="Wingdings 2"/>
                <w:sz w:val="40"/>
                <w:szCs w:val="40"/>
                <w:lang w:val="en-AU"/>
              </w:rPr>
            </w:pPr>
            <w:r>
              <w:rPr>
                <w:rFonts w:ascii="Wingdings 2" w:hAnsi="Wingdings 2"/>
                <w:sz w:val="40"/>
                <w:szCs w:val="40"/>
                <w:lang w:val="en-AU"/>
              </w:rPr>
              <w:t></w:t>
            </w:r>
          </w:p>
        </w:tc>
      </w:tr>
      <w:tr w:rsidR="00DB090B" w:rsidRPr="00AB1DF4" w14:paraId="2BB6D5C8" w14:textId="77777777" w:rsidTr="00496E7A">
        <w:tc>
          <w:tcPr>
            <w:tcW w:w="5240" w:type="dxa"/>
          </w:tcPr>
          <w:p w14:paraId="53BDBC11" w14:textId="77777777" w:rsidR="00DB090B" w:rsidRPr="00A307AF" w:rsidRDefault="00DB090B" w:rsidP="00DB090B">
            <w:pPr>
              <w:spacing w:before="120" w:after="120"/>
              <w:rPr>
                <w:rFonts w:cs="Arial"/>
                <w:b/>
                <w:i/>
                <w:sz w:val="20"/>
                <w:szCs w:val="20"/>
              </w:rPr>
            </w:pPr>
            <w:r w:rsidRPr="00A307AF">
              <w:rPr>
                <w:rFonts w:cs="Arial"/>
                <w:b/>
                <w:i/>
                <w:sz w:val="20"/>
                <w:szCs w:val="20"/>
              </w:rPr>
              <w:t>Growing sites</w:t>
            </w:r>
          </w:p>
          <w:p w14:paraId="30E4A7D3" w14:textId="77777777" w:rsidR="00DB090B" w:rsidRPr="00AB1DF4" w:rsidRDefault="00DB090B" w:rsidP="00DB090B">
            <w:pPr>
              <w:spacing w:before="120" w:after="120"/>
              <w:rPr>
                <w:rFonts w:cs="Arial"/>
                <w:sz w:val="20"/>
                <w:szCs w:val="20"/>
              </w:rPr>
            </w:pPr>
            <w:r>
              <w:rPr>
                <w:rFonts w:cs="Arial"/>
                <w:sz w:val="20"/>
                <w:szCs w:val="20"/>
              </w:rPr>
              <w:t>A primary horticulture producer must take all reasonable measures to ensure that a growing site is located, designed, constructed, maintained and operated such that [</w:t>
            </w:r>
            <w:r w:rsidRPr="008B162B">
              <w:rPr>
                <w:rFonts w:cs="Arial"/>
                <w:i/>
                <w:sz w:val="20"/>
                <w:szCs w:val="20"/>
              </w:rPr>
              <w:t>the commodity</w:t>
            </w:r>
            <w:r>
              <w:rPr>
                <w:rFonts w:cs="Arial"/>
                <w:sz w:val="20"/>
                <w:szCs w:val="20"/>
              </w:rPr>
              <w:t>] are not made unacceptable.</w:t>
            </w:r>
          </w:p>
        </w:tc>
        <w:tc>
          <w:tcPr>
            <w:tcW w:w="1273" w:type="dxa"/>
          </w:tcPr>
          <w:p w14:paraId="4F0726B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06504E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E793A1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3A82D1A4" w14:textId="77777777" w:rsidTr="00496E7A">
        <w:tc>
          <w:tcPr>
            <w:tcW w:w="5240" w:type="dxa"/>
          </w:tcPr>
          <w:p w14:paraId="2034276F" w14:textId="77777777" w:rsidR="00DB090B" w:rsidRPr="008B162B" w:rsidRDefault="00DB090B" w:rsidP="00DB090B">
            <w:pPr>
              <w:spacing w:before="120" w:after="120"/>
              <w:rPr>
                <w:rFonts w:cs="Arial"/>
                <w:b/>
                <w:i/>
                <w:sz w:val="20"/>
                <w:szCs w:val="20"/>
              </w:rPr>
            </w:pPr>
            <w:r w:rsidRPr="008B162B">
              <w:rPr>
                <w:rFonts w:cs="Arial"/>
                <w:b/>
                <w:i/>
                <w:sz w:val="20"/>
                <w:szCs w:val="20"/>
              </w:rPr>
              <w:t>Weather events</w:t>
            </w:r>
          </w:p>
          <w:p w14:paraId="0BD995A2" w14:textId="77777777" w:rsidR="00DB090B" w:rsidRPr="00AB1DF4" w:rsidRDefault="00DB090B" w:rsidP="00DB090B">
            <w:pPr>
              <w:spacing w:before="120" w:after="120"/>
              <w:rPr>
                <w:rFonts w:cs="Arial"/>
                <w:sz w:val="20"/>
                <w:szCs w:val="20"/>
              </w:rPr>
            </w:pPr>
            <w:r>
              <w:rPr>
                <w:rFonts w:cs="Arial"/>
                <w:sz w:val="20"/>
                <w:szCs w:val="20"/>
              </w:rPr>
              <w:t>A primary horticulture producer and a primary horticulture processor must take appropriate remedial action to ensure that [</w:t>
            </w:r>
            <w:r w:rsidRPr="008B162B">
              <w:rPr>
                <w:rFonts w:cs="Arial"/>
                <w:i/>
                <w:sz w:val="20"/>
                <w:szCs w:val="20"/>
              </w:rPr>
              <w:t>the commodity</w:t>
            </w:r>
            <w:r>
              <w:rPr>
                <w:rFonts w:cs="Arial"/>
                <w:sz w:val="20"/>
                <w:szCs w:val="20"/>
              </w:rPr>
              <w:t>] adversely affected by weather conditions are not unacceptable.</w:t>
            </w:r>
          </w:p>
        </w:tc>
        <w:tc>
          <w:tcPr>
            <w:tcW w:w="1273" w:type="dxa"/>
          </w:tcPr>
          <w:p w14:paraId="354E263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121C047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7E2FFF9"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58572C94" w14:textId="77777777" w:rsidTr="00496E7A">
        <w:tc>
          <w:tcPr>
            <w:tcW w:w="5240" w:type="dxa"/>
          </w:tcPr>
          <w:p w14:paraId="47B166C8" w14:textId="77777777" w:rsidR="00DB090B" w:rsidRPr="008B162B" w:rsidRDefault="00DB090B" w:rsidP="00DB090B">
            <w:pPr>
              <w:spacing w:before="120" w:after="120"/>
              <w:rPr>
                <w:rFonts w:cs="Arial"/>
                <w:b/>
                <w:i/>
                <w:sz w:val="20"/>
                <w:szCs w:val="20"/>
              </w:rPr>
            </w:pPr>
            <w:r w:rsidRPr="008B162B">
              <w:rPr>
                <w:rFonts w:cs="Arial"/>
                <w:b/>
                <w:i/>
                <w:sz w:val="20"/>
                <w:szCs w:val="20"/>
              </w:rPr>
              <w:t>Premises and equipment</w:t>
            </w:r>
          </w:p>
          <w:p w14:paraId="7BC0D733" w14:textId="77777777" w:rsidR="00DB090B"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take all reasonable measures to ensure that premises and equipment are designed, constructed, maintained and operated in a way that:</w:t>
            </w:r>
          </w:p>
          <w:p w14:paraId="300CC9D9"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allows for effective cleaning and sanitisation of the premises and equipment; and</w:t>
            </w:r>
          </w:p>
          <w:p w14:paraId="75A8494B"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does not make [</w:t>
            </w:r>
            <w:r w:rsidRPr="008B162B">
              <w:rPr>
                <w:rFonts w:cs="Arial"/>
                <w:i/>
                <w:sz w:val="20"/>
                <w:szCs w:val="20"/>
              </w:rPr>
              <w:t>the commodity</w:t>
            </w:r>
            <w:r>
              <w:rPr>
                <w:rFonts w:cs="Arial"/>
                <w:sz w:val="20"/>
                <w:szCs w:val="20"/>
              </w:rPr>
              <w:t>] unacceptable.</w:t>
            </w:r>
          </w:p>
          <w:p w14:paraId="5410BCAE" w14:textId="77777777" w:rsidR="00DB090B" w:rsidRPr="00A307AF"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ensure that premises and equipment are kept clean, sanitised and in good repair to the extent required to ensure that [</w:t>
            </w:r>
            <w:r w:rsidRPr="00E65E40">
              <w:rPr>
                <w:rFonts w:cs="Arial"/>
                <w:i/>
                <w:sz w:val="20"/>
                <w:szCs w:val="20"/>
              </w:rPr>
              <w:t>the commodity</w:t>
            </w:r>
            <w:r>
              <w:rPr>
                <w:rFonts w:cs="Arial"/>
                <w:sz w:val="20"/>
                <w:szCs w:val="20"/>
              </w:rPr>
              <w:t>] are not made unacceptable.</w:t>
            </w:r>
          </w:p>
        </w:tc>
        <w:tc>
          <w:tcPr>
            <w:tcW w:w="1273" w:type="dxa"/>
          </w:tcPr>
          <w:p w14:paraId="2123318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E31065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9CC940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6A4087B" w14:textId="77777777" w:rsidTr="00496E7A">
        <w:tc>
          <w:tcPr>
            <w:tcW w:w="5240" w:type="dxa"/>
          </w:tcPr>
          <w:p w14:paraId="2355FC6A"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Temperature of harvested </w:t>
            </w:r>
            <w:r>
              <w:rPr>
                <w:rFonts w:cs="Arial"/>
                <w:b/>
                <w:i/>
                <w:sz w:val="20"/>
                <w:szCs w:val="20"/>
              </w:rPr>
              <w:t>[the commodity]</w:t>
            </w:r>
          </w:p>
          <w:p w14:paraId="34C12F66"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keep harvested [</w:t>
            </w:r>
            <w:r w:rsidRPr="00E65E40">
              <w:rPr>
                <w:rFonts w:cs="Arial"/>
                <w:i/>
                <w:sz w:val="20"/>
                <w:szCs w:val="20"/>
              </w:rPr>
              <w:t>the commodity</w:t>
            </w:r>
            <w:r>
              <w:rPr>
                <w:rFonts w:cs="Arial"/>
                <w:sz w:val="20"/>
                <w:szCs w:val="20"/>
              </w:rPr>
              <w:t>] at a temperature that does not make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unacceptable.</w:t>
            </w:r>
          </w:p>
        </w:tc>
        <w:tc>
          <w:tcPr>
            <w:tcW w:w="1273" w:type="dxa"/>
          </w:tcPr>
          <w:p w14:paraId="72441B1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39CF522A"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618FD9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179F7EC2" w14:textId="77777777" w:rsidTr="00496E7A">
        <w:tc>
          <w:tcPr>
            <w:tcW w:w="5240" w:type="dxa"/>
          </w:tcPr>
          <w:p w14:paraId="3DE6438E"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Washing and sanitisation of harvested </w:t>
            </w:r>
            <w:r>
              <w:rPr>
                <w:rFonts w:cs="Arial"/>
                <w:b/>
                <w:i/>
                <w:sz w:val="20"/>
                <w:szCs w:val="20"/>
              </w:rPr>
              <w:t>[the commodity]</w:t>
            </w:r>
          </w:p>
          <w:p w14:paraId="45BA7581" w14:textId="77777777" w:rsidR="00DB090B" w:rsidRDefault="00DB090B" w:rsidP="00DB090B">
            <w:pPr>
              <w:spacing w:before="120" w:after="120"/>
              <w:rPr>
                <w:rFonts w:cs="Arial"/>
                <w:sz w:val="20"/>
                <w:szCs w:val="20"/>
              </w:rPr>
            </w:pPr>
            <w:r>
              <w:rPr>
                <w:rFonts w:cs="Arial"/>
                <w:sz w:val="20"/>
                <w:szCs w:val="20"/>
              </w:rPr>
              <w:t>A primary horticulture processor must take all reasonable measures to ensure that:</w:t>
            </w:r>
          </w:p>
          <w:p w14:paraId="1D3AA451" w14:textId="77777777" w:rsidR="00DB090B" w:rsidRDefault="00DB090B" w:rsidP="006354B0">
            <w:pPr>
              <w:pStyle w:val="ListParagraph"/>
              <w:widowControl/>
              <w:numPr>
                <w:ilvl w:val="0"/>
                <w:numId w:val="10"/>
              </w:numPr>
              <w:spacing w:before="120" w:after="120"/>
              <w:rPr>
                <w:rFonts w:cs="Arial"/>
                <w:sz w:val="20"/>
                <w:szCs w:val="20"/>
              </w:rPr>
            </w:pPr>
            <w:r>
              <w:rPr>
                <w:rFonts w:cs="Arial"/>
                <w:sz w:val="20"/>
                <w:szCs w:val="20"/>
              </w:rPr>
              <w:t>visible extraneous material on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 and</w:t>
            </w:r>
          </w:p>
          <w:p w14:paraId="6DBE71B8" w14:textId="77777777" w:rsidR="00DB090B" w:rsidRPr="0065166A" w:rsidRDefault="00DB090B" w:rsidP="006354B0">
            <w:pPr>
              <w:pStyle w:val="ListParagraph"/>
              <w:widowControl/>
              <w:numPr>
                <w:ilvl w:val="0"/>
                <w:numId w:val="10"/>
              </w:numPr>
              <w:spacing w:before="120" w:after="120"/>
              <w:rPr>
                <w:rFonts w:cs="Arial"/>
                <w:sz w:val="20"/>
                <w:szCs w:val="20"/>
              </w:rPr>
            </w:pPr>
            <w:r>
              <w:rPr>
                <w:rFonts w:cs="Arial"/>
                <w:sz w:val="20"/>
                <w:szCs w:val="20"/>
              </w:rPr>
              <w:lastRenderedPageBreak/>
              <w:t>any washing or sanitising of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w:t>
            </w:r>
          </w:p>
        </w:tc>
        <w:tc>
          <w:tcPr>
            <w:tcW w:w="1273" w:type="dxa"/>
          </w:tcPr>
          <w:p w14:paraId="3E1D85D2" w14:textId="77777777" w:rsidR="00DB090B" w:rsidRPr="00AB1DF4" w:rsidRDefault="00DB090B" w:rsidP="00DB090B">
            <w:pPr>
              <w:spacing w:before="120" w:after="120"/>
              <w:rPr>
                <w:rFonts w:cs="Arial"/>
                <w:sz w:val="20"/>
                <w:szCs w:val="20"/>
              </w:rPr>
            </w:pPr>
            <w:r>
              <w:rPr>
                <w:rFonts w:ascii="Wingdings 2" w:hAnsi="Wingdings 2"/>
                <w:sz w:val="40"/>
                <w:szCs w:val="40"/>
                <w:lang w:val="en-AU"/>
              </w:rPr>
              <w:lastRenderedPageBreak/>
              <w:t></w:t>
            </w:r>
          </w:p>
        </w:tc>
        <w:tc>
          <w:tcPr>
            <w:tcW w:w="1273" w:type="dxa"/>
            <w:shd w:val="clear" w:color="auto" w:fill="EAF1DD" w:themeFill="accent3" w:themeFillTint="33"/>
          </w:tcPr>
          <w:p w14:paraId="0DA3AB6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AF22C6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0FBF1F1" w14:textId="77777777" w:rsidTr="00496E7A">
        <w:tc>
          <w:tcPr>
            <w:tcW w:w="5240" w:type="dxa"/>
          </w:tcPr>
          <w:p w14:paraId="5CCEA98C" w14:textId="77777777" w:rsidR="00DB090B" w:rsidRPr="008B162B" w:rsidRDefault="00DB090B" w:rsidP="00DB090B">
            <w:pPr>
              <w:spacing w:before="120" w:after="120"/>
              <w:rPr>
                <w:rFonts w:cs="Arial"/>
                <w:b/>
                <w:i/>
                <w:sz w:val="20"/>
                <w:szCs w:val="20"/>
              </w:rPr>
            </w:pPr>
            <w:r w:rsidRPr="008B162B">
              <w:rPr>
                <w:rFonts w:cs="Arial"/>
                <w:b/>
                <w:i/>
                <w:sz w:val="20"/>
                <w:szCs w:val="20"/>
              </w:rPr>
              <w:t>Animals and pests</w:t>
            </w:r>
          </w:p>
          <w:p w14:paraId="7F4B4E3A"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minimise the presence of animals, vermin and pests in growing sites and in premises and equipment, to ensure that [</w:t>
            </w:r>
            <w:r w:rsidRPr="00E65E40">
              <w:rPr>
                <w:rFonts w:cs="Arial"/>
                <w:i/>
                <w:sz w:val="20"/>
                <w:szCs w:val="20"/>
              </w:rPr>
              <w:t>the commodity</w:t>
            </w:r>
            <w:r>
              <w:rPr>
                <w:rFonts w:cs="Arial"/>
                <w:sz w:val="20"/>
                <w:szCs w:val="20"/>
              </w:rPr>
              <w:t>] are not made unacceptable.</w:t>
            </w:r>
          </w:p>
        </w:tc>
        <w:tc>
          <w:tcPr>
            <w:tcW w:w="1273" w:type="dxa"/>
          </w:tcPr>
          <w:p w14:paraId="0704F64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468577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1F00BA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7628DFF" w14:textId="77777777" w:rsidTr="00496E7A">
        <w:tc>
          <w:tcPr>
            <w:tcW w:w="5240" w:type="dxa"/>
          </w:tcPr>
          <w:p w14:paraId="1C7D7016" w14:textId="77777777" w:rsidR="00DB090B" w:rsidRPr="008B162B" w:rsidRDefault="00DB090B" w:rsidP="00BB322F">
            <w:pPr>
              <w:keepNext/>
              <w:spacing w:before="120" w:after="120"/>
              <w:rPr>
                <w:rFonts w:cs="Arial"/>
                <w:b/>
                <w:i/>
                <w:sz w:val="20"/>
                <w:szCs w:val="20"/>
              </w:rPr>
            </w:pPr>
            <w:r w:rsidRPr="008B162B">
              <w:rPr>
                <w:rFonts w:cs="Arial"/>
                <w:b/>
                <w:i/>
                <w:sz w:val="20"/>
                <w:szCs w:val="20"/>
              </w:rPr>
              <w:t>Skills and knowledge</w:t>
            </w:r>
          </w:p>
          <w:p w14:paraId="1341C50D"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ensure that persons who engage in a relevant activity or who supervise a person who engages in a relevant activity have:</w:t>
            </w:r>
          </w:p>
          <w:p w14:paraId="5D313B05"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 xml:space="preserve">knowledge of food safety and food hygiene matters; and </w:t>
            </w:r>
          </w:p>
          <w:p w14:paraId="44B20A9B"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skills in food safety and food hygiene matters</w:t>
            </w:r>
          </w:p>
          <w:p w14:paraId="7D4DA356" w14:textId="77777777" w:rsidR="00DB090B" w:rsidRPr="0065166A" w:rsidRDefault="00DB090B" w:rsidP="00DB090B">
            <w:pPr>
              <w:spacing w:before="120" w:after="120"/>
              <w:rPr>
                <w:rFonts w:cs="Arial"/>
                <w:sz w:val="20"/>
                <w:szCs w:val="20"/>
              </w:rPr>
            </w:pPr>
            <w:r>
              <w:rPr>
                <w:rFonts w:cs="Arial"/>
                <w:sz w:val="20"/>
                <w:szCs w:val="20"/>
              </w:rPr>
              <w:t>commensurate with their work.</w:t>
            </w:r>
          </w:p>
        </w:tc>
        <w:tc>
          <w:tcPr>
            <w:tcW w:w="1273" w:type="dxa"/>
          </w:tcPr>
          <w:p w14:paraId="268021F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1CA2CC3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81B75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24FC3A1" w14:textId="77777777" w:rsidTr="00496E7A">
        <w:tc>
          <w:tcPr>
            <w:tcW w:w="5240" w:type="dxa"/>
          </w:tcPr>
          <w:p w14:paraId="6AEE34DE" w14:textId="77777777" w:rsidR="00DB090B" w:rsidRPr="008B162B" w:rsidRDefault="00DB090B" w:rsidP="00DB090B">
            <w:pPr>
              <w:spacing w:before="120" w:after="120"/>
              <w:rPr>
                <w:rFonts w:cs="Arial"/>
                <w:b/>
                <w:i/>
                <w:sz w:val="20"/>
                <w:szCs w:val="20"/>
              </w:rPr>
            </w:pPr>
            <w:r w:rsidRPr="008B162B">
              <w:rPr>
                <w:rFonts w:cs="Arial"/>
                <w:b/>
                <w:i/>
                <w:sz w:val="20"/>
                <w:szCs w:val="20"/>
              </w:rPr>
              <w:t>Health and hygiene of personnel and visitors</w:t>
            </w:r>
          </w:p>
          <w:p w14:paraId="4F6F228E"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personnel and visitors exercise personal hygiene and health practices that do not make [</w:t>
            </w:r>
            <w:r w:rsidRPr="00E65E40">
              <w:rPr>
                <w:rFonts w:cs="Arial"/>
                <w:i/>
                <w:sz w:val="20"/>
                <w:szCs w:val="20"/>
              </w:rPr>
              <w:t>the commodity</w:t>
            </w:r>
            <w:r>
              <w:rPr>
                <w:rFonts w:cs="Arial"/>
                <w:sz w:val="20"/>
                <w:szCs w:val="20"/>
              </w:rPr>
              <w:t xml:space="preserve">] unacceptable. </w:t>
            </w:r>
          </w:p>
        </w:tc>
        <w:tc>
          <w:tcPr>
            <w:tcW w:w="1273" w:type="dxa"/>
          </w:tcPr>
          <w:p w14:paraId="758D8FC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2D2B31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82D70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EE4A01E" w14:textId="77777777" w:rsidTr="00496E7A">
        <w:tc>
          <w:tcPr>
            <w:tcW w:w="5240" w:type="dxa"/>
          </w:tcPr>
          <w:p w14:paraId="491095FC"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Sale or supply of unacceptable </w:t>
            </w:r>
            <w:r>
              <w:rPr>
                <w:rFonts w:cs="Arial"/>
                <w:b/>
                <w:i/>
                <w:sz w:val="20"/>
                <w:szCs w:val="20"/>
              </w:rPr>
              <w:t>[the commodity]</w:t>
            </w:r>
          </w:p>
          <w:p w14:paraId="1C56BB9E" w14:textId="7F7319B2" w:rsidR="00DB090B" w:rsidRDefault="00DB090B" w:rsidP="00DB090B">
            <w:pPr>
              <w:spacing w:before="120" w:after="120"/>
              <w:rPr>
                <w:rFonts w:cs="Arial"/>
                <w:sz w:val="20"/>
                <w:szCs w:val="20"/>
              </w:rPr>
            </w:pPr>
            <w:r>
              <w:rPr>
                <w:rFonts w:cs="Arial"/>
                <w:sz w:val="20"/>
                <w:szCs w:val="20"/>
              </w:rPr>
              <w:t>A primary horticulture producer and a primary horticulture processor must not sell or supply [</w:t>
            </w:r>
            <w:r w:rsidRPr="00E65E40">
              <w:rPr>
                <w:rFonts w:cs="Arial"/>
                <w:i/>
                <w:sz w:val="20"/>
                <w:szCs w:val="20"/>
              </w:rPr>
              <w:t>the commodity</w:t>
            </w:r>
            <w:r>
              <w:rPr>
                <w:rFonts w:cs="Arial"/>
                <w:sz w:val="20"/>
                <w:szCs w:val="20"/>
              </w:rPr>
              <w:t>] for human consumption if they ought reasonably know or ought reasonabl</w:t>
            </w:r>
            <w:r w:rsidR="000C7D0D">
              <w:rPr>
                <w:rFonts w:cs="Arial"/>
                <w:sz w:val="20"/>
                <w:szCs w:val="20"/>
              </w:rPr>
              <w:t>y</w:t>
            </w:r>
            <w:r>
              <w:rPr>
                <w:rFonts w:cs="Arial"/>
                <w:sz w:val="20"/>
                <w:szCs w:val="20"/>
              </w:rPr>
              <w:t xml:space="preserve"> suspect that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are unacceptable.</w:t>
            </w:r>
          </w:p>
        </w:tc>
        <w:tc>
          <w:tcPr>
            <w:tcW w:w="1273" w:type="dxa"/>
          </w:tcPr>
          <w:p w14:paraId="4668696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2EA149F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C9EB07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bl>
    <w:p w14:paraId="2750E7E4" w14:textId="25E987C6" w:rsidR="00331B3F" w:rsidRPr="0014739F" w:rsidRDefault="00331B3F" w:rsidP="00A46B41">
      <w:pPr>
        <w:pStyle w:val="Heading3"/>
      </w:pPr>
      <w:bookmarkStart w:id="334" w:name="_Toc85540159"/>
      <w:bookmarkStart w:id="335" w:name="_Toc85626168"/>
      <w:bookmarkStart w:id="336" w:name="_Toc85635301"/>
      <w:bookmarkStart w:id="337" w:name="_Toc97643855"/>
      <w:bookmarkStart w:id="338" w:name="_Toc97653240"/>
      <w:bookmarkStart w:id="339" w:name="_Toc97739392"/>
      <w:bookmarkStart w:id="340" w:name="_Toc97823809"/>
      <w:bookmarkStart w:id="341" w:name="_Toc97823975"/>
      <w:r w:rsidRPr="0014739F">
        <w:t>Compliance plans</w:t>
      </w:r>
      <w:bookmarkEnd w:id="334"/>
      <w:bookmarkEnd w:id="335"/>
      <w:bookmarkEnd w:id="336"/>
      <w:bookmarkEnd w:id="337"/>
      <w:bookmarkEnd w:id="338"/>
      <w:bookmarkEnd w:id="339"/>
      <w:bookmarkEnd w:id="340"/>
      <w:bookmarkEnd w:id="341"/>
    </w:p>
    <w:p w14:paraId="7AEAD943" w14:textId="2B5F05B1" w:rsidR="00331B3F" w:rsidRDefault="00FB4B30" w:rsidP="00331B3F">
      <w:r>
        <w:t>S</w:t>
      </w:r>
      <w:r w:rsidR="00DC28F0">
        <w:t xml:space="preserve">tandards </w:t>
      </w:r>
      <w:r>
        <w:t xml:space="preserve">in the Code </w:t>
      </w:r>
      <w:r w:rsidR="00DC28F0">
        <w:t>are implemented by the jurisdictions</w:t>
      </w:r>
      <w:r w:rsidR="00EF7CCA">
        <w:t>.</w:t>
      </w:r>
      <w:r>
        <w:t xml:space="preserve"> C</w:t>
      </w:r>
      <w:r w:rsidR="00496E7A">
        <w:t>ompliance plan</w:t>
      </w:r>
      <w:r>
        <w:t>s</w:t>
      </w:r>
      <w:r w:rsidR="00496E7A">
        <w:t xml:space="preserve"> </w:t>
      </w:r>
      <w:r w:rsidR="005C444D">
        <w:t>support</w:t>
      </w:r>
      <w:r>
        <w:t>ing</w:t>
      </w:r>
      <w:r w:rsidR="005C444D">
        <w:t xml:space="preserve"> </w:t>
      </w:r>
      <w:r>
        <w:t xml:space="preserve">the standards’ </w:t>
      </w:r>
      <w:r w:rsidR="005C444D">
        <w:t xml:space="preserve">implementation by businesses at a practical level </w:t>
      </w:r>
      <w:r>
        <w:t xml:space="preserve">are </w:t>
      </w:r>
      <w:r w:rsidR="005C444D">
        <w:t>developed</w:t>
      </w:r>
      <w:r>
        <w:t xml:space="preserve"> by a jurisdictional</w:t>
      </w:r>
      <w:r w:rsidR="007307BB">
        <w:t xml:space="preserve"> working group</w:t>
      </w:r>
      <w:r w:rsidR="00331B3F">
        <w:t xml:space="preserve">. While </w:t>
      </w:r>
      <w:r w:rsidR="00E1550E">
        <w:t>the</w:t>
      </w:r>
      <w:r w:rsidR="00331B3F">
        <w:t xml:space="preserve"> standards are outcomes based, the compliance plans outline how primary producers and processors will be expected to demonstrate the outcomes have been met. </w:t>
      </w:r>
      <w:r w:rsidR="00496E7A" w:rsidRPr="007E6545">
        <w:t xml:space="preserve">These plans </w:t>
      </w:r>
      <w:r w:rsidR="00E1550E">
        <w:t xml:space="preserve">also </w:t>
      </w:r>
      <w:r w:rsidR="00496E7A" w:rsidRPr="007E6545">
        <w:t>allow for greater understanding</w:t>
      </w:r>
      <w:r w:rsidR="003866C1">
        <w:t xml:space="preserve"> </w:t>
      </w:r>
      <w:r w:rsidR="00496E7A" w:rsidRPr="007E6545">
        <w:t>of the effects of the proposed regulation.</w:t>
      </w:r>
      <w:r w:rsidR="00725E67">
        <w:t xml:space="preserve"> </w:t>
      </w:r>
      <w:r w:rsidR="00DF47AA">
        <w:t>J</w:t>
      </w:r>
      <w:r w:rsidR="00725E67">
        <w:t>urisdiction</w:t>
      </w:r>
      <w:r w:rsidR="00DF47AA">
        <w:t>s</w:t>
      </w:r>
      <w:r w:rsidR="00725E67">
        <w:t xml:space="preserve"> are working with industry and existing FSS scheme providers to determine </w:t>
      </w:r>
      <w:r>
        <w:t xml:space="preserve">details of </w:t>
      </w:r>
      <w:r w:rsidR="00725E67">
        <w:t>implementation</w:t>
      </w:r>
      <w:r w:rsidR="00A912A1">
        <w:t xml:space="preserve"> models</w:t>
      </w:r>
      <w:r w:rsidR="00725E67">
        <w:t>.</w:t>
      </w:r>
      <w:r w:rsidR="00550092">
        <w:t xml:space="preserve"> A transition period of 2.5 years will be allowed for implementation after gazettal</w:t>
      </w:r>
      <w:r w:rsidR="007410AE">
        <w:t xml:space="preserve"> of the proposed standards</w:t>
      </w:r>
      <w:r w:rsidR="00550092">
        <w:t xml:space="preserve">. </w:t>
      </w:r>
    </w:p>
    <w:p w14:paraId="509EE6E6" w14:textId="77777777" w:rsidR="0005685C" w:rsidRPr="00FB0972" w:rsidRDefault="0005685C" w:rsidP="00B85F78">
      <w:pPr>
        <w:pStyle w:val="Heading3"/>
      </w:pPr>
      <w:bookmarkStart w:id="342" w:name="_Toc85540160"/>
      <w:bookmarkStart w:id="343" w:name="_Toc85626169"/>
      <w:bookmarkStart w:id="344" w:name="_Toc85635302"/>
      <w:bookmarkStart w:id="345" w:name="_Toc97643856"/>
      <w:bookmarkStart w:id="346" w:name="_Toc97653241"/>
      <w:bookmarkStart w:id="347" w:name="_Toc97739393"/>
      <w:bookmarkStart w:id="348" w:name="_Toc97823810"/>
      <w:bookmarkStart w:id="349" w:name="_Toc97823976"/>
      <w:r w:rsidRPr="00FB0972">
        <w:t>Summary</w:t>
      </w:r>
      <w:bookmarkEnd w:id="342"/>
      <w:bookmarkEnd w:id="343"/>
      <w:bookmarkEnd w:id="344"/>
      <w:bookmarkEnd w:id="345"/>
      <w:bookmarkEnd w:id="346"/>
      <w:bookmarkEnd w:id="347"/>
      <w:bookmarkEnd w:id="348"/>
      <w:bookmarkEnd w:id="349"/>
    </w:p>
    <w:p w14:paraId="02F76029" w14:textId="6ECE4566" w:rsidR="00D043B0" w:rsidRDefault="003866C1" w:rsidP="003866C1">
      <w:pPr>
        <w:pStyle w:val="Header"/>
      </w:pPr>
      <w:r>
        <w:t xml:space="preserve">Under </w:t>
      </w:r>
      <w:r w:rsidR="0005685C" w:rsidRPr="003866C1">
        <w:t xml:space="preserve">option </w:t>
      </w:r>
      <w:r w:rsidRPr="003866C1">
        <w:t>2</w:t>
      </w:r>
      <w:r w:rsidR="00B57551">
        <w:t>,</w:t>
      </w:r>
      <w:r w:rsidRPr="003866C1">
        <w:t xml:space="preserve"> regulation would be introduced </w:t>
      </w:r>
      <w:r>
        <w:t xml:space="preserve">for </w:t>
      </w:r>
      <w:r w:rsidR="0005685C" w:rsidRPr="003866C1">
        <w:t xml:space="preserve">the primary production and processing of berries, leafy vegetables and melons. </w:t>
      </w:r>
      <w:r>
        <w:t>Regulatory requirements for</w:t>
      </w:r>
      <w:r w:rsidR="009D2DA6">
        <w:t xml:space="preserve"> each sector are </w:t>
      </w:r>
      <w:r w:rsidR="00BB322F">
        <w:t>summarised</w:t>
      </w:r>
      <w:r w:rsidR="009D2DA6">
        <w:t xml:space="preserve"> in T</w:t>
      </w:r>
      <w:r>
        <w:t xml:space="preserve">able </w:t>
      </w:r>
      <w:r w:rsidR="009D2DA6">
        <w:t>3</w:t>
      </w:r>
      <w:r>
        <w:t xml:space="preserve"> above. </w:t>
      </w:r>
      <w:r w:rsidRPr="009D2DA6">
        <w:t xml:space="preserve">Compliance plans (for the leafy vegetables and melons </w:t>
      </w:r>
      <w:r w:rsidRPr="009D2DA6">
        <w:lastRenderedPageBreak/>
        <w:t xml:space="preserve">sectors) and </w:t>
      </w:r>
      <w:r w:rsidR="009B5B70" w:rsidRPr="009D2DA6">
        <w:t xml:space="preserve">a guidance document </w:t>
      </w:r>
      <w:r w:rsidRPr="009D2DA6">
        <w:t xml:space="preserve">(for the berries sector) </w:t>
      </w:r>
      <w:r w:rsidR="00EF7CCA">
        <w:t>were</w:t>
      </w:r>
      <w:r w:rsidRPr="009D2DA6">
        <w:t xml:space="preserve"> provided </w:t>
      </w:r>
      <w:r w:rsidR="00EF7CCA">
        <w:t xml:space="preserve">during consultation </w:t>
      </w:r>
      <w:r w:rsidRPr="009D2DA6">
        <w:t>to demonstrate how the proposed reg</w:t>
      </w:r>
      <w:r w:rsidR="009B5B70" w:rsidRPr="009D2DA6">
        <w:t>ulation would</w:t>
      </w:r>
      <w:r w:rsidR="00953F95">
        <w:t xml:space="preserve"> likely</w:t>
      </w:r>
      <w:r w:rsidR="009B5B70" w:rsidRPr="009D2DA6">
        <w:t xml:space="preserve"> be implemented.</w:t>
      </w:r>
    </w:p>
    <w:p w14:paraId="345A3F52" w14:textId="1E4987A9" w:rsidR="00900391" w:rsidRDefault="00FB6EF1" w:rsidP="00F611C6">
      <w:pPr>
        <w:pStyle w:val="Heading2"/>
      </w:pPr>
      <w:bookmarkStart w:id="350" w:name="_Toc85635303"/>
      <w:bookmarkStart w:id="351" w:name="_Toc97643857"/>
      <w:bookmarkStart w:id="352" w:name="_Toc97653242"/>
      <w:bookmarkStart w:id="353" w:name="_Toc97739394"/>
      <w:bookmarkStart w:id="354" w:name="_Toc97823811"/>
      <w:bookmarkStart w:id="355" w:name="_Toc97823977"/>
      <w:r>
        <w:t>6.4</w:t>
      </w:r>
      <w:r>
        <w:tab/>
      </w:r>
      <w:r w:rsidR="00900391">
        <w:t>Option 3: Regulatory plus non-regulatory measures</w:t>
      </w:r>
      <w:bookmarkEnd w:id="350"/>
      <w:bookmarkEnd w:id="351"/>
      <w:bookmarkEnd w:id="352"/>
      <w:bookmarkEnd w:id="353"/>
      <w:bookmarkEnd w:id="354"/>
      <w:bookmarkEnd w:id="355"/>
    </w:p>
    <w:p w14:paraId="237487FC" w14:textId="27CECB07" w:rsidR="00CC62DD" w:rsidRPr="003A48CC" w:rsidRDefault="00CC62DD" w:rsidP="00CC62DD">
      <w:pPr>
        <w:rPr>
          <w:szCs w:val="22"/>
          <w:lang w:val="en-AU" w:bidi="ar-SA"/>
        </w:rPr>
      </w:pPr>
      <w:r>
        <w:t>This option is an extension of option 2 (regulation only), and would also include development of non-regulatory measures through collaboration between government and industry</w:t>
      </w:r>
      <w:r w:rsidR="007410AE">
        <w:t xml:space="preserve"> during the 2.5 year transition period</w:t>
      </w:r>
      <w:r>
        <w:t xml:space="preserve">. </w:t>
      </w:r>
      <w:r w:rsidRPr="00ED3F69">
        <w:rPr>
          <w:color w:val="000000" w:themeColor="text1"/>
          <w:lang w:val="en-AU"/>
        </w:rPr>
        <w:t xml:space="preserve">Option 3 represents the most robust option of those </w:t>
      </w:r>
      <w:r w:rsidRPr="003A48CC">
        <w:rPr>
          <w:lang w:val="en-AU"/>
        </w:rPr>
        <w:t>reviewed.</w:t>
      </w:r>
    </w:p>
    <w:p w14:paraId="48918372" w14:textId="77777777" w:rsidR="00CC62DD" w:rsidRDefault="00CC62DD" w:rsidP="00CC62DD">
      <w:pPr>
        <w:pStyle w:val="Header"/>
      </w:pPr>
    </w:p>
    <w:p w14:paraId="116C8F66" w14:textId="14DD95E2" w:rsidR="00CC62DD" w:rsidRDefault="00CC62DD" w:rsidP="00CC62DD">
      <w:pPr>
        <w:pStyle w:val="Header"/>
      </w:pPr>
      <w:r>
        <w:t xml:space="preserve">Regulatory measures (standards) would be </w:t>
      </w:r>
      <w:r w:rsidR="00EC0E7C">
        <w:t>as discussed in option 2, outlined above</w:t>
      </w:r>
      <w:r w:rsidRPr="00115224">
        <w:t xml:space="preserve">. </w:t>
      </w:r>
    </w:p>
    <w:p w14:paraId="59D36CE9" w14:textId="225FB201" w:rsidR="00B57551" w:rsidRDefault="00B57551" w:rsidP="00CC62DD">
      <w:pPr>
        <w:pStyle w:val="Header"/>
      </w:pPr>
    </w:p>
    <w:p w14:paraId="36DC5AC6" w14:textId="5340A811" w:rsidR="00B57551" w:rsidRDefault="00B57551" w:rsidP="00B57551">
      <w:pPr>
        <w:pStyle w:val="Header"/>
      </w:pPr>
      <w:r w:rsidRPr="00371D85">
        <w:t xml:space="preserve">Non-regulatory measures are </w:t>
      </w:r>
      <w:r>
        <w:t>not mandatory</w:t>
      </w:r>
      <w:r w:rsidR="00B50E47">
        <w:t>;</w:t>
      </w:r>
      <w:r>
        <w:t xml:space="preserve"> however</w:t>
      </w:r>
      <w:r w:rsidR="00B50E47">
        <w:t>,</w:t>
      </w:r>
      <w:r>
        <w:t xml:space="preserve"> </w:t>
      </w:r>
      <w:r w:rsidR="00BB322F">
        <w:t xml:space="preserve">they </w:t>
      </w:r>
      <w:r w:rsidR="00F2454C">
        <w:t xml:space="preserve">are considered to </w:t>
      </w:r>
      <w:r>
        <w:t>further support the protection of consumers from foodborne illness</w:t>
      </w:r>
      <w:r w:rsidR="00BB322F">
        <w:t>,</w:t>
      </w:r>
      <w:r>
        <w:t xml:space="preserve"> and </w:t>
      </w:r>
      <w:r w:rsidR="0057230D">
        <w:t xml:space="preserve">of </w:t>
      </w:r>
      <w:r>
        <w:t>industry and government from risk.</w:t>
      </w:r>
      <w:r w:rsidR="00B50E47">
        <w:t xml:space="preserve"> Proposed non-regulatory measures</w:t>
      </w:r>
      <w:r w:rsidR="007C37CA">
        <w:t xml:space="preserve"> include </w:t>
      </w:r>
      <w:r w:rsidR="00152851">
        <w:t>guidelines, fact</w:t>
      </w:r>
      <w:r w:rsidR="007C37CA" w:rsidRPr="009D2DA6">
        <w:t xml:space="preserve"> sheets</w:t>
      </w:r>
      <w:r w:rsidR="007C37CA">
        <w:t>, animations, webinars and face-to-</w:t>
      </w:r>
      <w:r w:rsidR="007C37CA" w:rsidRPr="009D2DA6">
        <w:t>face meetings</w:t>
      </w:r>
      <w:r w:rsidR="007C37CA">
        <w:t xml:space="preserve"> </w:t>
      </w:r>
      <w:r w:rsidR="00C133C9">
        <w:t xml:space="preserve">created by FSANZ </w:t>
      </w:r>
      <w:r w:rsidR="00E7783C" w:rsidRPr="009D2DA6">
        <w:rPr>
          <w:rFonts w:cs="Arial"/>
          <w:lang w:val="en-AU"/>
        </w:rPr>
        <w:t>in consultation with jurisdi</w:t>
      </w:r>
      <w:r w:rsidR="00E7783C">
        <w:rPr>
          <w:rFonts w:cs="Arial"/>
          <w:lang w:val="en-AU"/>
        </w:rPr>
        <w:t>ctions and peak industry bodies</w:t>
      </w:r>
      <w:r w:rsidR="00C133C9">
        <w:t>. More details and costings of non-regulatory measures</w:t>
      </w:r>
      <w:r w:rsidR="008B2B8B">
        <w:t xml:space="preserve"> are</w:t>
      </w:r>
      <w:r w:rsidR="00C133C9">
        <w:t xml:space="preserve"> </w:t>
      </w:r>
      <w:r w:rsidR="00A26874">
        <w:t>in section 7.5</w:t>
      </w:r>
      <w:r w:rsidR="00B50E47">
        <w:t>.</w:t>
      </w:r>
      <w:r w:rsidR="00C133C9">
        <w:t xml:space="preserve"> Industry are keen to be involved </w:t>
      </w:r>
      <w:r w:rsidR="008A36E4">
        <w:t>in</w:t>
      </w:r>
      <w:r w:rsidR="00C133C9">
        <w:t xml:space="preserve"> develop</w:t>
      </w:r>
      <w:r w:rsidR="008A36E4">
        <w:t>ing</w:t>
      </w:r>
      <w:r w:rsidR="00C133C9">
        <w:t xml:space="preserve"> different media in multiple languages.</w:t>
      </w:r>
    </w:p>
    <w:p w14:paraId="22DA0C76" w14:textId="16A043BC" w:rsidR="00057BF4" w:rsidRDefault="00057BF4" w:rsidP="00B57551">
      <w:pPr>
        <w:pStyle w:val="Header"/>
      </w:pPr>
    </w:p>
    <w:p w14:paraId="25C27736" w14:textId="28F27725" w:rsidR="00301E15" w:rsidRPr="008A36E4" w:rsidRDefault="00057BF4" w:rsidP="008A36E4">
      <w:pPr>
        <w:rPr>
          <w:rFonts w:eastAsiaTheme="minorHAnsi"/>
        </w:rPr>
      </w:pPr>
      <w:r>
        <w:t>FSANZ acknowledges the horticulture industries’ continued</w:t>
      </w:r>
      <w:r w:rsidRPr="009957E2">
        <w:t xml:space="preserve"> invest</w:t>
      </w:r>
      <w:r>
        <w:t>ment</w:t>
      </w:r>
      <w:r w:rsidRPr="009957E2">
        <w:t xml:space="preserve"> in non-regulatory activities</w:t>
      </w:r>
      <w:r>
        <w:t xml:space="preserve"> and the ongoing role they play in improving food safety. </w:t>
      </w:r>
      <w:r w:rsidRPr="009957E2">
        <w:t>Activities include the development of guidance for farmers’ markets</w:t>
      </w:r>
      <w:r w:rsidRPr="009957E2">
        <w:rPr>
          <w:rStyle w:val="FootnoteReference"/>
        </w:rPr>
        <w:footnoteReference w:id="8"/>
      </w:r>
      <w:r w:rsidRPr="009957E2">
        <w:t xml:space="preserve">, codes of practice, updating </w:t>
      </w:r>
      <w:r>
        <w:t>FSS</w:t>
      </w:r>
      <w:r w:rsidRPr="009957E2">
        <w:t xml:space="preserve"> and establishing the Fresh Produce Safety Centre Australia and New Zealand</w:t>
      </w:r>
      <w:r w:rsidRPr="009957E2">
        <w:rPr>
          <w:rStyle w:val="FootnoteReference"/>
        </w:rPr>
        <w:footnoteReference w:id="9"/>
      </w:r>
      <w:r w:rsidRPr="009957E2">
        <w:t xml:space="preserve">. </w:t>
      </w:r>
      <w:r w:rsidRPr="000B1CB1">
        <w:t>Var</w:t>
      </w:r>
      <w:r>
        <w:t>ious guidance ha</w:t>
      </w:r>
      <w:r w:rsidR="00394CF1">
        <w:t>s</w:t>
      </w:r>
      <w:r>
        <w:t xml:space="preserve"> also</w:t>
      </w:r>
      <w:r w:rsidRPr="000B1CB1">
        <w:t xml:space="preserve"> been developed </w:t>
      </w:r>
      <w:r>
        <w:t>through industry and government collaboration</w:t>
      </w:r>
      <w:r w:rsidR="00B50E47">
        <w:t>; f</w:t>
      </w:r>
      <w:r>
        <w:t>or example, th</w:t>
      </w:r>
      <w:r w:rsidRPr="000B1CB1">
        <w:t xml:space="preserve">e </w:t>
      </w:r>
      <w:r w:rsidRPr="000B1CB1">
        <w:rPr>
          <w:i/>
          <w:iCs/>
        </w:rPr>
        <w:t>Guidelines for Fresh Produce Food Safety 2019</w:t>
      </w:r>
      <w:r w:rsidRPr="000B1CB1">
        <w:t xml:space="preserve"> and</w:t>
      </w:r>
      <w:r>
        <w:t xml:space="preserve"> the</w:t>
      </w:r>
      <w:r w:rsidRPr="000B1CB1">
        <w:t xml:space="preserve"> </w:t>
      </w:r>
      <w:r w:rsidRPr="00394CF1">
        <w:rPr>
          <w:iCs/>
        </w:rPr>
        <w:t xml:space="preserve">Melon Food Safety </w:t>
      </w:r>
      <w:r w:rsidR="00DF47AA" w:rsidRPr="00394CF1">
        <w:rPr>
          <w:iCs/>
        </w:rPr>
        <w:t>Toolbox</w:t>
      </w:r>
      <w:r w:rsidR="00DF47AA">
        <w:rPr>
          <w:rStyle w:val="FootnoteReference"/>
        </w:rPr>
        <w:footnoteReference w:id="10"/>
      </w:r>
      <w:r w:rsidR="00BB322F">
        <w:t>.</w:t>
      </w:r>
    </w:p>
    <w:p w14:paraId="0EBA0F5D" w14:textId="28509287" w:rsidR="0098595B" w:rsidRDefault="00FB6EF1" w:rsidP="00F611C6">
      <w:pPr>
        <w:pStyle w:val="Heading2"/>
      </w:pPr>
      <w:bookmarkStart w:id="356" w:name="_Toc85635305"/>
      <w:bookmarkStart w:id="357" w:name="_Toc97643859"/>
      <w:bookmarkStart w:id="358" w:name="_Toc97653244"/>
      <w:bookmarkStart w:id="359" w:name="_Toc97739396"/>
      <w:bookmarkStart w:id="360" w:name="_Toc97823813"/>
      <w:bookmarkStart w:id="361" w:name="_Toc97823978"/>
      <w:r>
        <w:t>6.5</w:t>
      </w:r>
      <w:r>
        <w:tab/>
      </w:r>
      <w:r w:rsidR="00900391">
        <w:t xml:space="preserve">Option 4: </w:t>
      </w:r>
      <w:r w:rsidR="0098595B">
        <w:t>Non-regulatory measures</w:t>
      </w:r>
      <w:bookmarkEnd w:id="356"/>
      <w:bookmarkEnd w:id="357"/>
      <w:bookmarkEnd w:id="358"/>
      <w:bookmarkEnd w:id="359"/>
      <w:bookmarkEnd w:id="360"/>
      <w:bookmarkEnd w:id="361"/>
    </w:p>
    <w:p w14:paraId="08E06BC1" w14:textId="065C5AD6" w:rsidR="0098595B" w:rsidRPr="00B85F78" w:rsidRDefault="00DB090B" w:rsidP="00B85F78">
      <w:pPr>
        <w:pStyle w:val="Header"/>
        <w:rPr>
          <w:rFonts w:cs="Arial"/>
        </w:rPr>
      </w:pPr>
      <w:r>
        <w:rPr>
          <w:rFonts w:cs="Arial"/>
        </w:rPr>
        <w:t>This option would recomme</w:t>
      </w:r>
      <w:r w:rsidR="00B57551">
        <w:rPr>
          <w:rFonts w:cs="Arial"/>
        </w:rPr>
        <w:t xml:space="preserve">nd non-regulatory measures only, </w:t>
      </w:r>
      <w:r w:rsidR="00BB322F">
        <w:rPr>
          <w:rFonts w:cs="Arial"/>
        </w:rPr>
        <w:t xml:space="preserve">the same </w:t>
      </w:r>
      <w:r w:rsidR="00D174C3">
        <w:rPr>
          <w:rFonts w:cs="Arial"/>
        </w:rPr>
        <w:t xml:space="preserve">as </w:t>
      </w:r>
      <w:r w:rsidR="00BB322F">
        <w:rPr>
          <w:rFonts w:cs="Arial"/>
        </w:rPr>
        <w:t xml:space="preserve">those </w:t>
      </w:r>
      <w:r w:rsidR="00D174C3">
        <w:rPr>
          <w:rFonts w:cs="Arial"/>
        </w:rPr>
        <w:t xml:space="preserve">outlined in option 3 above. </w:t>
      </w:r>
      <w:r w:rsidR="00D174C3">
        <w:t xml:space="preserve">Further information is provided in </w:t>
      </w:r>
      <w:r w:rsidR="00D174C3" w:rsidRPr="00040F00">
        <w:t xml:space="preserve">the </w:t>
      </w:r>
      <w:r w:rsidR="005016BF" w:rsidRPr="00040F00">
        <w:t>CBA</w:t>
      </w:r>
      <w:r w:rsidR="00D174C3" w:rsidRPr="00040F00">
        <w:t>.</w:t>
      </w:r>
      <w:r w:rsidR="008A36E4">
        <w:br/>
      </w:r>
    </w:p>
    <w:p w14:paraId="30393ECB" w14:textId="55F83D8C" w:rsidR="00411BA8" w:rsidRDefault="00411BA8" w:rsidP="004C1A6E">
      <w:pPr>
        <w:rPr>
          <w:rFonts w:eastAsiaTheme="majorEastAsia"/>
          <w:lang w:val="en-AU" w:eastAsia="en-GB" w:bidi="ar-SA"/>
        </w:rPr>
      </w:pPr>
      <w:bookmarkStart w:id="362" w:name="_Toc85540164"/>
      <w:bookmarkStart w:id="363" w:name="_Toc85626173"/>
      <w:bookmarkStart w:id="364" w:name="_Toc85635306"/>
      <w:bookmarkStart w:id="365" w:name="_Toc97643860"/>
      <w:bookmarkStart w:id="366" w:name="_Toc97653245"/>
      <w:bookmarkStart w:id="367" w:name="_Toc97739397"/>
      <w:bookmarkStart w:id="368" w:name="_Toc97823814"/>
      <w:bookmarkStart w:id="369" w:name="_Toc97819725"/>
      <w:bookmarkStart w:id="370" w:name="_Toc78896403"/>
      <w:bookmarkEnd w:id="362"/>
      <w:bookmarkEnd w:id="363"/>
      <w:bookmarkEnd w:id="364"/>
      <w:bookmarkEnd w:id="365"/>
      <w:bookmarkEnd w:id="366"/>
      <w:bookmarkEnd w:id="367"/>
      <w:bookmarkEnd w:id="368"/>
      <w:bookmarkEnd w:id="369"/>
    </w:p>
    <w:p w14:paraId="0606EC5D" w14:textId="3A2EB42A" w:rsidR="000A059B" w:rsidRDefault="006A7336" w:rsidP="001D43C6">
      <w:pPr>
        <w:pStyle w:val="Heading1"/>
        <w:widowControl/>
        <w:spacing w:before="0" w:after="0"/>
        <w:rPr>
          <w:rFonts w:ascii="Arial Bold" w:eastAsiaTheme="majorEastAsia" w:hAnsi="Arial Bold" w:cstheme="majorBidi"/>
          <w:b w:val="0"/>
          <w:lang w:val="en-AU" w:eastAsia="en-GB"/>
        </w:rPr>
      </w:pPr>
      <w:bookmarkStart w:id="371" w:name="_Toc85635307"/>
      <w:bookmarkStart w:id="372" w:name="_Toc97643861"/>
      <w:bookmarkStart w:id="373" w:name="_Toc97653246"/>
      <w:bookmarkStart w:id="374" w:name="_Toc97739398"/>
      <w:bookmarkStart w:id="375" w:name="_Toc97823815"/>
      <w:bookmarkStart w:id="376" w:name="_Toc97823979"/>
      <w:r>
        <w:rPr>
          <w:rFonts w:ascii="Arial Bold" w:eastAsiaTheme="majorEastAsia" w:hAnsi="Arial Bold" w:cstheme="majorBidi"/>
          <w:b w:val="0"/>
          <w:lang w:val="en-AU" w:eastAsia="en-GB"/>
        </w:rPr>
        <w:t>7.</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likely net benefit of each option?</w:t>
      </w:r>
      <w:bookmarkStart w:id="377" w:name="_Toc76382343"/>
      <w:bookmarkStart w:id="378" w:name="_Toc76570472"/>
      <w:bookmarkStart w:id="379" w:name="_Toc77687495"/>
      <w:bookmarkEnd w:id="370"/>
      <w:bookmarkEnd w:id="371"/>
      <w:bookmarkEnd w:id="372"/>
      <w:bookmarkEnd w:id="373"/>
      <w:bookmarkEnd w:id="374"/>
      <w:bookmarkEnd w:id="375"/>
      <w:bookmarkEnd w:id="376"/>
    </w:p>
    <w:p w14:paraId="4C39C192" w14:textId="549F77DD" w:rsidR="001C4EC5" w:rsidRPr="00716986" w:rsidRDefault="00FB6EF1" w:rsidP="00F611C6">
      <w:pPr>
        <w:pStyle w:val="Heading2"/>
        <w:rPr>
          <w:lang w:val="en-AU"/>
        </w:rPr>
      </w:pPr>
      <w:bookmarkStart w:id="380" w:name="_Toc85635308"/>
      <w:bookmarkStart w:id="381" w:name="_Toc97643862"/>
      <w:bookmarkStart w:id="382" w:name="_Toc97653247"/>
      <w:bookmarkStart w:id="383" w:name="_Toc97739399"/>
      <w:bookmarkStart w:id="384" w:name="_Toc97823816"/>
      <w:bookmarkStart w:id="385" w:name="_Toc97823980"/>
      <w:r>
        <w:rPr>
          <w:lang w:val="en-AU"/>
        </w:rPr>
        <w:t>7.1</w:t>
      </w:r>
      <w:r>
        <w:rPr>
          <w:lang w:val="en-AU"/>
        </w:rPr>
        <w:tab/>
      </w:r>
      <w:r w:rsidR="000A059B" w:rsidRPr="00716986">
        <w:rPr>
          <w:lang w:val="en-AU"/>
        </w:rPr>
        <w:t>Overview</w:t>
      </w:r>
      <w:bookmarkEnd w:id="380"/>
      <w:bookmarkEnd w:id="381"/>
      <w:bookmarkEnd w:id="382"/>
      <w:bookmarkEnd w:id="383"/>
      <w:bookmarkEnd w:id="384"/>
      <w:bookmarkEnd w:id="385"/>
    </w:p>
    <w:p w14:paraId="5B322583" w14:textId="6FDC370A" w:rsidR="00C4234E" w:rsidRDefault="001802A0" w:rsidP="001C4EC5">
      <w:pPr>
        <w:rPr>
          <w:lang w:val="en-AU"/>
        </w:rPr>
      </w:pPr>
      <w:r>
        <w:rPr>
          <w:lang w:val="en-AU"/>
        </w:rPr>
        <w:t>FSANZ prepared a CBA</w:t>
      </w:r>
      <w:r w:rsidR="000A059B" w:rsidRPr="00716986">
        <w:rPr>
          <w:lang w:val="en-AU"/>
        </w:rPr>
        <w:t xml:space="preserve"> to look at the net benefits of each option, and which measures (if any) should be introduced. Information and costings</w:t>
      </w:r>
      <w:r w:rsidR="00A24FCC" w:rsidRPr="00716986">
        <w:rPr>
          <w:lang w:val="en-AU"/>
        </w:rPr>
        <w:t xml:space="preserve"> were examined</w:t>
      </w:r>
      <w:r w:rsidR="000A059B" w:rsidRPr="00716986">
        <w:rPr>
          <w:lang w:val="en-AU"/>
        </w:rPr>
        <w:t xml:space="preserve"> for each option and for each sector</w:t>
      </w:r>
      <w:r w:rsidR="00A24FCC" w:rsidRPr="00716986">
        <w:rPr>
          <w:lang w:val="en-AU"/>
        </w:rPr>
        <w:t>.</w:t>
      </w:r>
      <w:r w:rsidR="00C4234E">
        <w:rPr>
          <w:lang w:val="en-AU"/>
        </w:rPr>
        <w:t xml:space="preserve"> </w:t>
      </w:r>
    </w:p>
    <w:p w14:paraId="102C321A" w14:textId="42F0C173" w:rsidR="00C4234E" w:rsidRDefault="00C4234E" w:rsidP="001C4EC5">
      <w:pPr>
        <w:rPr>
          <w:lang w:val="en-AU"/>
        </w:rPr>
      </w:pPr>
    </w:p>
    <w:p w14:paraId="3B81AFBA" w14:textId="4A4294D9" w:rsidR="00C4234E" w:rsidRDefault="00C4234E" w:rsidP="00C4234E">
      <w:pPr>
        <w:rPr>
          <w:rFonts w:cs="Arial"/>
          <w:lang w:val="en-AU"/>
        </w:rPr>
      </w:pPr>
      <w:r>
        <w:rPr>
          <w:rFonts w:cs="Arial"/>
          <w:lang w:val="en-AU"/>
        </w:rPr>
        <w:t xml:space="preserve">FSANZ had regard to implementation costs in its assessment. See, for example, sections 2.1 and 2.5.1.1 of the </w:t>
      </w:r>
      <w:r w:rsidRPr="00A92555">
        <w:rPr>
          <w:rFonts w:cs="Arial"/>
          <w:iCs/>
          <w:lang w:val="en-AU"/>
        </w:rPr>
        <w:t xml:space="preserve">Approval Report </w:t>
      </w:r>
      <w:r w:rsidRPr="00A92555">
        <w:rPr>
          <w:rFonts w:cs="Arial"/>
          <w:lang w:val="en-AU"/>
        </w:rPr>
        <w:t>and SD2 (</w:t>
      </w:r>
      <w:r w:rsidRPr="00A92555">
        <w:rPr>
          <w:rFonts w:cs="Arial"/>
          <w:iCs/>
          <w:lang w:val="en-AU"/>
        </w:rPr>
        <w:t>CBA</w:t>
      </w:r>
      <w:r>
        <w:rPr>
          <w:rFonts w:cs="Arial"/>
          <w:lang w:val="en-AU"/>
        </w:rPr>
        <w:t xml:space="preserve">).  How the approved draft </w:t>
      </w:r>
      <w:r w:rsidR="00A92555">
        <w:rPr>
          <w:rFonts w:cs="Arial"/>
          <w:lang w:val="en-AU"/>
        </w:rPr>
        <w:t xml:space="preserve">standards </w:t>
      </w:r>
      <w:r>
        <w:rPr>
          <w:rFonts w:cs="Arial"/>
          <w:lang w:val="en-AU"/>
        </w:rPr>
        <w:t xml:space="preserve">are implemented by the jurisdictions remains a matter for the jurisdictions to determine. FSANZ’s understanding is that jurisdictions have yet to agree on a model for implementation and have committed to work with industry in developing </w:t>
      </w:r>
      <w:r w:rsidRPr="00C4234E">
        <w:rPr>
          <w:rFonts w:cs="Arial"/>
          <w:lang w:val="en-AU"/>
        </w:rPr>
        <w:t xml:space="preserve">a model. </w:t>
      </w:r>
    </w:p>
    <w:p w14:paraId="0604E819" w14:textId="77777777" w:rsidR="00C4234E" w:rsidRDefault="00C4234E" w:rsidP="00C4234E">
      <w:pPr>
        <w:rPr>
          <w:rFonts w:cs="Arial"/>
          <w:lang w:val="en-AU"/>
        </w:rPr>
      </w:pPr>
    </w:p>
    <w:p w14:paraId="29CF6091" w14:textId="4389DF3B" w:rsidR="00C4234E" w:rsidRPr="00C4234E" w:rsidRDefault="00C4234E" w:rsidP="001C4EC5">
      <w:pPr>
        <w:rPr>
          <w:rFonts w:cs="Arial"/>
          <w:lang w:val="en-AU"/>
        </w:rPr>
      </w:pPr>
      <w:r w:rsidRPr="00C4234E">
        <w:rPr>
          <w:rFonts w:cs="Arial"/>
          <w:lang w:val="en-AU"/>
        </w:rPr>
        <w:t>When developing its cost and benefit estimates,</w:t>
      </w:r>
      <w:r>
        <w:rPr>
          <w:rFonts w:cs="Arial"/>
          <w:lang w:val="en-AU"/>
        </w:rPr>
        <w:t xml:space="preserve"> FSANZ considered implementation costs such as those associated with rights of entry, licensing, registration and audit to account for the possibility that they may form part of the implementation model adopted by jurisdictions. The draft </w:t>
      </w:r>
      <w:r w:rsidR="00A92555">
        <w:rPr>
          <w:rFonts w:cs="Arial"/>
          <w:lang w:val="en-AU"/>
        </w:rPr>
        <w:t xml:space="preserve">standards </w:t>
      </w:r>
      <w:r>
        <w:rPr>
          <w:rFonts w:cs="Arial"/>
          <w:lang w:val="en-AU"/>
        </w:rPr>
        <w:t xml:space="preserve">approved by FSANZ do not contain or impose such requirements (for example, Standard 4.2.7 imposes a notification requirement only). </w:t>
      </w:r>
    </w:p>
    <w:p w14:paraId="6DE997DB" w14:textId="38AE4224" w:rsidR="00040F00" w:rsidRDefault="00040F00" w:rsidP="001C4EC5">
      <w:pPr>
        <w:rPr>
          <w:lang w:val="en-AU"/>
        </w:rPr>
      </w:pPr>
      <w:r>
        <w:rPr>
          <w:lang w:val="en-AU"/>
        </w:rPr>
        <w:lastRenderedPageBreak/>
        <w:t xml:space="preserve">FSANZ has revised certain costs and benefits since the CRIS after receiving useful information from stakeholders and </w:t>
      </w:r>
      <w:r w:rsidR="00195826">
        <w:rPr>
          <w:lang w:val="en-AU"/>
        </w:rPr>
        <w:t>using a more sophisticated</w:t>
      </w:r>
      <w:r>
        <w:rPr>
          <w:lang w:val="en-AU"/>
        </w:rPr>
        <w:t xml:space="preserve"> Cost of Illness model</w:t>
      </w:r>
      <w:r w:rsidR="00195826">
        <w:rPr>
          <w:lang w:val="en-AU"/>
        </w:rPr>
        <w:t xml:space="preserve"> as part of continuous improvement</w:t>
      </w:r>
      <w:r>
        <w:rPr>
          <w:lang w:val="en-AU"/>
        </w:rPr>
        <w:t>.</w:t>
      </w:r>
    </w:p>
    <w:p w14:paraId="4C873665" w14:textId="77777777" w:rsidR="00040F00" w:rsidRDefault="00040F00" w:rsidP="001C4EC5">
      <w:pPr>
        <w:rPr>
          <w:lang w:val="en-AU"/>
        </w:rPr>
      </w:pPr>
    </w:p>
    <w:p w14:paraId="7CB745BE" w14:textId="501B2443" w:rsidR="000A059B" w:rsidRPr="0008209C" w:rsidRDefault="00A24FCC" w:rsidP="001C4EC5">
      <w:pPr>
        <w:rPr>
          <w:lang w:val="en-AU"/>
        </w:rPr>
      </w:pPr>
      <w:r w:rsidRPr="00716986">
        <w:rPr>
          <w:lang w:val="en-AU"/>
        </w:rPr>
        <w:t>Retaining the status quo was not associated with any additional costs or health benefits and the current cos</w:t>
      </w:r>
      <w:r w:rsidR="00040F00">
        <w:rPr>
          <w:lang w:val="en-AU"/>
        </w:rPr>
        <w:t>t of illness would still apply.</w:t>
      </w:r>
      <w:r w:rsidR="00A73E0A">
        <w:rPr>
          <w:lang w:val="en-AU"/>
        </w:rPr>
        <w:t xml:space="preserve"> </w:t>
      </w:r>
      <w:r w:rsidRPr="00716986">
        <w:rPr>
          <w:lang w:val="en-AU"/>
        </w:rPr>
        <w:t>Regulation was estimated to have a positive net benefit</w:t>
      </w:r>
      <w:r w:rsidR="00040F00">
        <w:rPr>
          <w:lang w:val="en-AU"/>
        </w:rPr>
        <w:t xml:space="preserve"> for berries and melons</w:t>
      </w:r>
      <w:r w:rsidR="00A73E0A">
        <w:rPr>
          <w:lang w:val="en-AU"/>
        </w:rPr>
        <w:t xml:space="preserve">. Regulation </w:t>
      </w:r>
      <w:r w:rsidR="00434659">
        <w:rPr>
          <w:lang w:val="en-AU"/>
        </w:rPr>
        <w:t xml:space="preserve">was estimated to </w:t>
      </w:r>
      <w:r w:rsidR="00A73E0A">
        <w:rPr>
          <w:lang w:val="en-AU"/>
        </w:rPr>
        <w:t>have</w:t>
      </w:r>
      <w:r w:rsidR="00040F00">
        <w:rPr>
          <w:lang w:val="en-AU"/>
        </w:rPr>
        <w:t xml:space="preserve"> a </w:t>
      </w:r>
      <w:r w:rsidR="00434659">
        <w:rPr>
          <w:lang w:val="en-AU"/>
        </w:rPr>
        <w:t>positive but lower</w:t>
      </w:r>
      <w:r w:rsidR="00040F00">
        <w:rPr>
          <w:lang w:val="en-AU"/>
        </w:rPr>
        <w:t xml:space="preserve"> net benefit for leafy vegetables</w:t>
      </w:r>
      <w:r w:rsidR="00B35698">
        <w:rPr>
          <w:lang w:val="en-AU"/>
        </w:rPr>
        <w:t>,</w:t>
      </w:r>
      <w:r w:rsidR="00A73E0A">
        <w:rPr>
          <w:lang w:val="en-AU"/>
        </w:rPr>
        <w:t xml:space="preserve"> depending on how jurisdictions implement the regulation</w:t>
      </w:r>
      <w:r w:rsidRPr="00716986">
        <w:rPr>
          <w:lang w:val="en-AU"/>
        </w:rPr>
        <w:t>. Regulation combined with non-reg</w:t>
      </w:r>
      <w:r w:rsidR="0099359B">
        <w:rPr>
          <w:lang w:val="en-AU"/>
        </w:rPr>
        <w:t>ulatory measures</w:t>
      </w:r>
      <w:r w:rsidRPr="00716986">
        <w:rPr>
          <w:lang w:val="en-AU"/>
        </w:rPr>
        <w:t xml:space="preserve"> was found to have the hig</w:t>
      </w:r>
      <w:r w:rsidR="00BB322F">
        <w:rPr>
          <w:lang w:val="en-AU"/>
        </w:rPr>
        <w:t>hest net benefit</w:t>
      </w:r>
      <w:r w:rsidR="00F80D1A">
        <w:rPr>
          <w:lang w:val="en-AU"/>
        </w:rPr>
        <w:t xml:space="preserve"> </w:t>
      </w:r>
      <w:r w:rsidR="00FB5BC5">
        <w:rPr>
          <w:lang w:val="en-AU"/>
        </w:rPr>
        <w:t xml:space="preserve">in </w:t>
      </w:r>
      <w:r w:rsidR="00F80D1A">
        <w:rPr>
          <w:lang w:val="en-AU"/>
        </w:rPr>
        <w:t>all three commodity groups</w:t>
      </w:r>
      <w:r w:rsidR="0099359B">
        <w:rPr>
          <w:lang w:val="en-AU"/>
        </w:rPr>
        <w:t>. Non-regulatory measures</w:t>
      </w:r>
      <w:r w:rsidR="00BB322F">
        <w:rPr>
          <w:lang w:val="en-AU"/>
        </w:rPr>
        <w:t>, as a standalone, was</w:t>
      </w:r>
      <w:r w:rsidRPr="00716986">
        <w:rPr>
          <w:lang w:val="en-AU"/>
        </w:rPr>
        <w:t xml:space="preserve"> found to have some benefit.</w:t>
      </w:r>
      <w:r w:rsidR="000A059B" w:rsidRPr="0008209C">
        <w:rPr>
          <w:lang w:val="en-AU"/>
        </w:rPr>
        <w:t xml:space="preserve">   </w:t>
      </w:r>
    </w:p>
    <w:p w14:paraId="4F898ABC" w14:textId="22228BC7" w:rsidR="007A0840" w:rsidRPr="008D07E5" w:rsidRDefault="00FB6EF1" w:rsidP="00F611C6">
      <w:pPr>
        <w:pStyle w:val="Heading2"/>
      </w:pPr>
      <w:bookmarkStart w:id="386" w:name="_Toc85635309"/>
      <w:bookmarkStart w:id="387" w:name="_Toc97643863"/>
      <w:bookmarkStart w:id="388" w:name="_Toc97653248"/>
      <w:bookmarkStart w:id="389" w:name="_Toc97739400"/>
      <w:bookmarkStart w:id="390" w:name="_Toc97823817"/>
      <w:bookmarkStart w:id="391" w:name="_Toc97823981"/>
      <w:r>
        <w:t>7.2</w:t>
      </w:r>
      <w:r>
        <w:tab/>
      </w:r>
      <w:r w:rsidR="006A7336">
        <w:t>The cost–</w:t>
      </w:r>
      <w:r w:rsidR="007A0840" w:rsidRPr="008D07E5">
        <w:t>benefit analysis</w:t>
      </w:r>
      <w:bookmarkEnd w:id="377"/>
      <w:bookmarkEnd w:id="378"/>
      <w:bookmarkEnd w:id="379"/>
      <w:bookmarkEnd w:id="386"/>
      <w:bookmarkEnd w:id="387"/>
      <w:bookmarkEnd w:id="388"/>
      <w:bookmarkEnd w:id="389"/>
      <w:bookmarkEnd w:id="390"/>
      <w:bookmarkEnd w:id="391"/>
    </w:p>
    <w:p w14:paraId="78FCAF7B" w14:textId="60B2A4EC" w:rsidR="007A0840" w:rsidRPr="00C2713B" w:rsidRDefault="007A0840" w:rsidP="007A0840">
      <w:pPr>
        <w:rPr>
          <w:lang w:val="en-AU"/>
        </w:rPr>
      </w:pPr>
      <w:r w:rsidRPr="00C2713B">
        <w:rPr>
          <w:lang w:val="en-AU"/>
        </w:rPr>
        <w:t xml:space="preserve">FSANZ is committed to ensuring that any proposed food safety measures are based on the best available scientific advice, taking into account </w:t>
      </w:r>
      <w:r w:rsidR="00B35698">
        <w:rPr>
          <w:lang w:val="en-AU"/>
        </w:rPr>
        <w:t>wider</w:t>
      </w:r>
      <w:r w:rsidRPr="00C2713B">
        <w:rPr>
          <w:lang w:val="en-AU"/>
        </w:rPr>
        <w:t xml:space="preserve"> costs and benefits. As part of any proposal</w:t>
      </w:r>
      <w:r w:rsidR="00BB322F">
        <w:rPr>
          <w:lang w:val="en-AU"/>
        </w:rPr>
        <w:t>,</w:t>
      </w:r>
      <w:r w:rsidRPr="00C2713B">
        <w:rPr>
          <w:lang w:val="en-AU"/>
        </w:rPr>
        <w:t xml:space="preserve"> FSANZ prepares a </w:t>
      </w:r>
      <w:r>
        <w:rPr>
          <w:lang w:val="en-AU"/>
        </w:rPr>
        <w:t>CBA</w:t>
      </w:r>
      <w:r w:rsidRPr="00C2713B">
        <w:rPr>
          <w:lang w:val="en-AU"/>
        </w:rPr>
        <w:t xml:space="preserve"> to consider:</w:t>
      </w:r>
    </w:p>
    <w:p w14:paraId="10E4EAE3" w14:textId="5F986DC6" w:rsidR="007A0840" w:rsidRPr="00C2713B" w:rsidRDefault="007A0840" w:rsidP="002447A1">
      <w:pPr>
        <w:pStyle w:val="FSBullet1"/>
        <w:rPr>
          <w:lang w:val="en-AU"/>
        </w:rPr>
      </w:pPr>
      <w:r w:rsidRPr="00C2713B">
        <w:rPr>
          <w:lang w:val="en-AU"/>
        </w:rPr>
        <w:t xml:space="preserve">the </w:t>
      </w:r>
      <w:r>
        <w:rPr>
          <w:lang w:val="en-AU"/>
        </w:rPr>
        <w:t>net benefits of each option</w:t>
      </w:r>
      <w:r w:rsidR="00A73E0A">
        <w:rPr>
          <w:lang w:val="en-AU"/>
        </w:rPr>
        <w:t>, qualitative and quantitative</w:t>
      </w:r>
    </w:p>
    <w:p w14:paraId="3913BAD7" w14:textId="27C85BF3" w:rsidR="007A0840" w:rsidRPr="00C2713B" w:rsidRDefault="007A0840" w:rsidP="002447A1">
      <w:pPr>
        <w:pStyle w:val="FSBullet1"/>
        <w:rPr>
          <w:lang w:val="en-AU"/>
        </w:rPr>
      </w:pPr>
      <w:r w:rsidRPr="00C2713B">
        <w:rPr>
          <w:lang w:val="en-AU"/>
        </w:rPr>
        <w:t>whether it is appropriate to introduce regulation and/or non-regulat</w:t>
      </w:r>
      <w:r w:rsidR="0099359B">
        <w:rPr>
          <w:lang w:val="en-AU"/>
        </w:rPr>
        <w:t>ory measures</w:t>
      </w:r>
    </w:p>
    <w:p w14:paraId="44F3A2AC" w14:textId="64125B17" w:rsidR="007A0840" w:rsidRPr="00E10594" w:rsidRDefault="007A0840" w:rsidP="002447A1">
      <w:pPr>
        <w:pStyle w:val="FSBullet1"/>
        <w:rPr>
          <w:lang w:val="en-AU"/>
        </w:rPr>
      </w:pPr>
      <w:r w:rsidRPr="00C2713B">
        <w:rPr>
          <w:lang w:val="en-AU"/>
        </w:rPr>
        <w:t>the most appropriate form of regulation and/or non-</w:t>
      </w:r>
      <w:r w:rsidR="0099359B" w:rsidRPr="00C2713B">
        <w:rPr>
          <w:lang w:val="en-AU"/>
        </w:rPr>
        <w:t>regulat</w:t>
      </w:r>
      <w:r w:rsidR="0099359B">
        <w:rPr>
          <w:lang w:val="en-AU"/>
        </w:rPr>
        <w:t>ory measures</w:t>
      </w:r>
      <w:r w:rsidRPr="00C2713B">
        <w:rPr>
          <w:lang w:val="en-AU"/>
        </w:rPr>
        <w:t>.</w:t>
      </w:r>
    </w:p>
    <w:p w14:paraId="51B46EC9" w14:textId="77777777" w:rsidR="007A0840" w:rsidRPr="0001618C" w:rsidRDefault="007A0840" w:rsidP="007A0840">
      <w:pPr>
        <w:pStyle w:val="Default"/>
        <w:rPr>
          <w:color w:val="auto"/>
          <w:sz w:val="22"/>
          <w:szCs w:val="22"/>
        </w:rPr>
      </w:pPr>
    </w:p>
    <w:p w14:paraId="120AE7BE" w14:textId="437DF7E3" w:rsidR="007A0840" w:rsidRPr="00A73E0A" w:rsidRDefault="002C3767" w:rsidP="007A0840">
      <w:pPr>
        <w:pStyle w:val="Default"/>
        <w:rPr>
          <w:color w:val="auto"/>
          <w:sz w:val="22"/>
          <w:szCs w:val="22"/>
        </w:rPr>
      </w:pPr>
      <w:r w:rsidRPr="002C3767">
        <w:rPr>
          <w:color w:val="auto"/>
          <w:sz w:val="22"/>
          <w:szCs w:val="22"/>
        </w:rPr>
        <w:t xml:space="preserve">The CBA </w:t>
      </w:r>
      <w:r w:rsidRPr="00A73E0A">
        <w:rPr>
          <w:color w:val="auto"/>
          <w:sz w:val="22"/>
          <w:szCs w:val="22"/>
        </w:rPr>
        <w:t>is provided</w:t>
      </w:r>
      <w:r w:rsidR="00DD3C26">
        <w:rPr>
          <w:color w:val="auto"/>
          <w:sz w:val="22"/>
          <w:szCs w:val="22"/>
        </w:rPr>
        <w:t xml:space="preserve"> with this DRIS</w:t>
      </w:r>
      <w:r w:rsidRPr="00A73E0A">
        <w:rPr>
          <w:color w:val="auto"/>
          <w:sz w:val="22"/>
          <w:szCs w:val="22"/>
        </w:rPr>
        <w:t>. It</w:t>
      </w:r>
      <w:r w:rsidR="007A0840" w:rsidRPr="00A73E0A">
        <w:rPr>
          <w:color w:val="auto"/>
          <w:sz w:val="22"/>
          <w:szCs w:val="22"/>
        </w:rPr>
        <w:t xml:space="preserve"> includes </w:t>
      </w:r>
      <w:r w:rsidRPr="00A73E0A">
        <w:rPr>
          <w:color w:val="auto"/>
          <w:sz w:val="22"/>
          <w:szCs w:val="22"/>
        </w:rPr>
        <w:t>additional</w:t>
      </w:r>
      <w:r w:rsidR="007A0840" w:rsidRPr="00A73E0A">
        <w:rPr>
          <w:color w:val="auto"/>
          <w:sz w:val="22"/>
          <w:szCs w:val="22"/>
        </w:rPr>
        <w:t xml:space="preserve"> detailed </w:t>
      </w:r>
      <w:r w:rsidR="00BB7061" w:rsidRPr="00A73E0A">
        <w:rPr>
          <w:color w:val="auto"/>
          <w:sz w:val="22"/>
          <w:szCs w:val="22"/>
        </w:rPr>
        <w:t>analyse</w:t>
      </w:r>
      <w:r w:rsidR="007A0840" w:rsidRPr="00A73E0A">
        <w:rPr>
          <w:color w:val="auto"/>
          <w:sz w:val="22"/>
          <w:szCs w:val="22"/>
        </w:rPr>
        <w:t>s</w:t>
      </w:r>
      <w:r w:rsidRPr="00A73E0A">
        <w:rPr>
          <w:color w:val="auto"/>
          <w:sz w:val="22"/>
          <w:szCs w:val="22"/>
        </w:rPr>
        <w:t xml:space="preserve"> on</w:t>
      </w:r>
      <w:r w:rsidR="007A0840" w:rsidRPr="00A73E0A">
        <w:rPr>
          <w:color w:val="auto"/>
          <w:sz w:val="22"/>
          <w:szCs w:val="22"/>
        </w:rPr>
        <w:t>:</w:t>
      </w:r>
    </w:p>
    <w:p w14:paraId="47692BE1" w14:textId="493F3539" w:rsidR="007A0840" w:rsidRPr="00A73E0A" w:rsidRDefault="0099359B" w:rsidP="002447A1">
      <w:pPr>
        <w:pStyle w:val="FSBullet1"/>
      </w:pPr>
      <w:r>
        <w:t>b</w:t>
      </w:r>
      <w:r w:rsidR="007A0840" w:rsidRPr="00A73E0A">
        <w:t>usiness costs</w:t>
      </w:r>
      <w:r w:rsidR="00A054B9" w:rsidRPr="00A73E0A">
        <w:rPr>
          <w:lang w:val="en-AU"/>
        </w:rPr>
        <w:t xml:space="preserve"> </w:t>
      </w:r>
      <w:r w:rsidR="002C3767" w:rsidRPr="00A73E0A">
        <w:rPr>
          <w:lang w:val="en-AU"/>
        </w:rPr>
        <w:t>(</w:t>
      </w:r>
      <w:r w:rsidR="005739DE">
        <w:rPr>
          <w:lang w:val="en-AU"/>
        </w:rPr>
        <w:t xml:space="preserve">CBA </w:t>
      </w:r>
      <w:r w:rsidR="002C3767" w:rsidRPr="00A73E0A">
        <w:t xml:space="preserve">Appendix 1) </w:t>
      </w:r>
      <w:r w:rsidR="00A054B9" w:rsidRPr="00A73E0A">
        <w:rPr>
          <w:lang w:val="en-AU"/>
        </w:rPr>
        <w:t>–</w:t>
      </w:r>
      <w:r w:rsidR="00FB5BC5">
        <w:rPr>
          <w:lang w:val="en-AU"/>
        </w:rPr>
        <w:t xml:space="preserve"> </w:t>
      </w:r>
      <w:r w:rsidR="00A054B9" w:rsidRPr="00A73E0A">
        <w:rPr>
          <w:lang w:val="en-AU"/>
        </w:rPr>
        <w:t xml:space="preserve">details </w:t>
      </w:r>
      <w:r w:rsidR="00FB5BC5">
        <w:rPr>
          <w:lang w:val="en-AU"/>
        </w:rPr>
        <w:t>on</w:t>
      </w:r>
      <w:r w:rsidR="00FB5BC5" w:rsidRPr="00A73E0A">
        <w:rPr>
          <w:lang w:val="en-AU"/>
        </w:rPr>
        <w:t xml:space="preserve"> </w:t>
      </w:r>
      <w:r w:rsidR="00A054B9" w:rsidRPr="00A73E0A">
        <w:rPr>
          <w:lang w:val="en-AU"/>
        </w:rPr>
        <w:t xml:space="preserve">the CBA figures and assumptions </w:t>
      </w:r>
    </w:p>
    <w:p w14:paraId="28C537FF" w14:textId="2DED7FCB" w:rsidR="007A0840" w:rsidRPr="00A73E0A" w:rsidRDefault="0099359B" w:rsidP="002447A1">
      <w:pPr>
        <w:pStyle w:val="FSBullet1"/>
      </w:pPr>
      <w:r>
        <w:t>e</w:t>
      </w:r>
      <w:r w:rsidR="007A0840" w:rsidRPr="00A73E0A">
        <w:t>xpert elicitation</w:t>
      </w:r>
      <w:r w:rsidR="00A054B9" w:rsidRPr="00A73E0A">
        <w:t xml:space="preserve"> </w:t>
      </w:r>
      <w:r w:rsidR="002C3767" w:rsidRPr="00A73E0A">
        <w:t>(</w:t>
      </w:r>
      <w:r w:rsidR="005739DE">
        <w:t xml:space="preserve">CBA </w:t>
      </w:r>
      <w:r w:rsidR="002C3767" w:rsidRPr="00A73E0A">
        <w:t xml:space="preserve">Appendix 2 ) </w:t>
      </w:r>
      <w:r w:rsidR="00A054B9" w:rsidRPr="00A73E0A">
        <w:rPr>
          <w:lang w:val="en-AU"/>
        </w:rPr>
        <w:t xml:space="preserve">–  </w:t>
      </w:r>
      <w:r w:rsidR="00A054B9" w:rsidRPr="00A73E0A">
        <w:t>estimates of the percentage of total burden of illness in Australia (caused by the hazards identified in the microbiological assessment) which may be attributed to berries, leafy vegetables and melons</w:t>
      </w:r>
    </w:p>
    <w:p w14:paraId="310202A3" w14:textId="2E157872" w:rsidR="007A0840" w:rsidRPr="00A73E0A" w:rsidRDefault="0099359B" w:rsidP="002447A1">
      <w:pPr>
        <w:pStyle w:val="FSBullet1"/>
      </w:pPr>
      <w:r>
        <w:t>p</w:t>
      </w:r>
      <w:r w:rsidR="00FB5BC5">
        <w:t>ossible g</w:t>
      </w:r>
      <w:r w:rsidR="007A0840" w:rsidRPr="00A73E0A">
        <w:t>overnment costs</w:t>
      </w:r>
      <w:r w:rsidR="00A054B9" w:rsidRPr="00A73E0A">
        <w:t xml:space="preserve"> </w:t>
      </w:r>
      <w:r w:rsidR="00471E8E" w:rsidRPr="00A73E0A">
        <w:t>of the regulatory options</w:t>
      </w:r>
      <w:r w:rsidR="002C3767" w:rsidRPr="00A73E0A">
        <w:t xml:space="preserve"> (</w:t>
      </w:r>
      <w:r w:rsidR="005739DE">
        <w:t xml:space="preserve">CBA </w:t>
      </w:r>
      <w:r w:rsidR="002C3767" w:rsidRPr="00A73E0A">
        <w:t>Appendix 3)</w:t>
      </w:r>
      <w:r w:rsidR="00700687" w:rsidRPr="00A73E0A">
        <w:t xml:space="preserve"> </w:t>
      </w:r>
      <w:r w:rsidR="00A054B9" w:rsidRPr="00A73E0A">
        <w:rPr>
          <w:lang w:val="en-AU"/>
        </w:rPr>
        <w:t>–</w:t>
      </w:r>
      <w:r w:rsidR="00A054B9" w:rsidRPr="00A73E0A">
        <w:t xml:space="preserve"> how implementation and ongoing costs to govern</w:t>
      </w:r>
      <w:r w:rsidR="00916A6C" w:rsidRPr="00A73E0A">
        <w:t>ment regulators were calculated</w:t>
      </w:r>
      <w:r w:rsidR="00A054B9" w:rsidRPr="00A73E0A">
        <w:t xml:space="preserve"> </w:t>
      </w:r>
    </w:p>
    <w:p w14:paraId="5267F80F" w14:textId="77C7574C" w:rsidR="00471E8E" w:rsidRPr="00A73E0A" w:rsidRDefault="0099359B" w:rsidP="00490390">
      <w:pPr>
        <w:pStyle w:val="FSBullet1"/>
      </w:pPr>
      <w:r>
        <w:t>p</w:t>
      </w:r>
      <w:r w:rsidR="00FB5BC5">
        <w:t>ossible g</w:t>
      </w:r>
      <w:r w:rsidR="00471E8E" w:rsidRPr="00A73E0A">
        <w:t>overnment costs of the non-regulatory option</w:t>
      </w:r>
      <w:r w:rsidR="002C3767" w:rsidRPr="00A73E0A">
        <w:t xml:space="preserve"> (</w:t>
      </w:r>
      <w:r w:rsidR="005739DE">
        <w:t xml:space="preserve">CBA </w:t>
      </w:r>
      <w:r w:rsidR="002C3767" w:rsidRPr="00A73E0A">
        <w:t>Appendix 4)</w:t>
      </w:r>
      <w:r w:rsidR="00471E8E" w:rsidRPr="00A73E0A">
        <w:t xml:space="preserve"> – how design and delivery of costs to government and industry bodies were calculated </w:t>
      </w:r>
    </w:p>
    <w:p w14:paraId="352BE841" w14:textId="7E5355B9" w:rsidR="007A0840" w:rsidRPr="00A73E0A" w:rsidRDefault="0099359B" w:rsidP="002447A1">
      <w:pPr>
        <w:pStyle w:val="FSBullet1"/>
      </w:pPr>
      <w:r>
        <w:t>b</w:t>
      </w:r>
      <w:r w:rsidR="007A0840" w:rsidRPr="00A73E0A">
        <w:t>usiness costs of a food safety incident: a case study</w:t>
      </w:r>
      <w:r w:rsidR="00A054B9" w:rsidRPr="00A73E0A">
        <w:t xml:space="preserve"> </w:t>
      </w:r>
      <w:r w:rsidR="002C3767" w:rsidRPr="00A73E0A">
        <w:t>(</w:t>
      </w:r>
      <w:r w:rsidR="005739DE">
        <w:t xml:space="preserve">CBA </w:t>
      </w:r>
      <w:r w:rsidR="002C3767" w:rsidRPr="00A73E0A">
        <w:t xml:space="preserve">Appendix 5 ) </w:t>
      </w:r>
      <w:r w:rsidR="00A054B9" w:rsidRPr="00A73E0A">
        <w:rPr>
          <w:lang w:val="en-AU"/>
        </w:rPr>
        <w:t xml:space="preserve">– </w:t>
      </w:r>
      <w:r w:rsidR="00A054B9" w:rsidRPr="00A73E0A">
        <w:t xml:space="preserve">examines the costs of the 2018 </w:t>
      </w:r>
      <w:r w:rsidR="00A054B9" w:rsidRPr="00A73E0A">
        <w:rPr>
          <w:i/>
        </w:rPr>
        <w:t>Listeria</w:t>
      </w:r>
      <w:r w:rsidR="00A054B9" w:rsidRPr="00A73E0A">
        <w:t xml:space="preserve"> outbreak associated with </w:t>
      </w:r>
      <w:proofErr w:type="spellStart"/>
      <w:r w:rsidR="00A054B9" w:rsidRPr="00A73E0A">
        <w:t>rockmelons</w:t>
      </w:r>
      <w:proofErr w:type="spellEnd"/>
      <w:r w:rsidR="00A054B9" w:rsidRPr="00A73E0A">
        <w:t>, to help visualise the impact of outbreaks and their significance both in terms of health (illness and/or death) and costs to the industry</w:t>
      </w:r>
    </w:p>
    <w:p w14:paraId="7079D290" w14:textId="2BA9F452" w:rsidR="007A0840" w:rsidRPr="00A73E0A" w:rsidRDefault="0099359B" w:rsidP="002447A1">
      <w:pPr>
        <w:pStyle w:val="FSBullet1"/>
      </w:pPr>
      <w:r>
        <w:t>i</w:t>
      </w:r>
      <w:r w:rsidR="007A0840" w:rsidRPr="00A73E0A">
        <w:t>nternational trade</w:t>
      </w:r>
      <w:r w:rsidR="00A054B9" w:rsidRPr="00A73E0A">
        <w:t xml:space="preserve"> </w:t>
      </w:r>
      <w:r w:rsidR="002C3767" w:rsidRPr="00A73E0A">
        <w:t>(</w:t>
      </w:r>
      <w:r w:rsidR="005739DE">
        <w:t xml:space="preserve">CBA </w:t>
      </w:r>
      <w:r w:rsidR="002C3767" w:rsidRPr="00A73E0A">
        <w:t xml:space="preserve">Appendix 6)  </w:t>
      </w:r>
      <w:r w:rsidR="00A054B9" w:rsidRPr="00A73E0A">
        <w:rPr>
          <w:lang w:val="en-AU"/>
        </w:rPr>
        <w:t xml:space="preserve">– </w:t>
      </w:r>
      <w:r w:rsidR="00A054B9" w:rsidRPr="00A73E0A">
        <w:t>see below</w:t>
      </w:r>
    </w:p>
    <w:p w14:paraId="03BA7DE9" w14:textId="5F01F86E" w:rsidR="007A0840" w:rsidRPr="00A73E0A" w:rsidRDefault="0099359B" w:rsidP="007A0840">
      <w:pPr>
        <w:pStyle w:val="FSBullet1"/>
      </w:pPr>
      <w:r>
        <w:t>c</w:t>
      </w:r>
      <w:r w:rsidR="007A0840" w:rsidRPr="00A73E0A">
        <w:t>onsumer</w:t>
      </w:r>
      <w:r w:rsidR="00A054B9" w:rsidRPr="00A73E0A">
        <w:t xml:space="preserve"> response </w:t>
      </w:r>
      <w:r w:rsidR="00A054B9" w:rsidRPr="00A73E0A">
        <w:softHyphen/>
        <w:t xml:space="preserve"> </w:t>
      </w:r>
      <w:r w:rsidR="002C3767" w:rsidRPr="00A73E0A">
        <w:t>(</w:t>
      </w:r>
      <w:r w:rsidR="005739DE">
        <w:t xml:space="preserve">CBA </w:t>
      </w:r>
      <w:r w:rsidR="002C3767" w:rsidRPr="00A73E0A">
        <w:t xml:space="preserve">Appendix 7)  </w:t>
      </w:r>
      <w:r w:rsidR="002C3767" w:rsidRPr="00A73E0A">
        <w:rPr>
          <w:lang w:val="en-AU"/>
        </w:rPr>
        <w:t xml:space="preserve">– see </w:t>
      </w:r>
      <w:r w:rsidR="00A054B9" w:rsidRPr="00A73E0A">
        <w:rPr>
          <w:lang w:val="en-AU"/>
        </w:rPr>
        <w:t>below</w:t>
      </w:r>
      <w:r w:rsidR="007A0840" w:rsidRPr="00A73E0A">
        <w:t>.</w:t>
      </w:r>
    </w:p>
    <w:p w14:paraId="2CB155F1" w14:textId="77777777" w:rsidR="007A0840" w:rsidRDefault="007A0840" w:rsidP="001D43C6">
      <w:pPr>
        <w:pStyle w:val="Heading3"/>
      </w:pPr>
      <w:bookmarkStart w:id="392" w:name="_Toc85540172"/>
      <w:bookmarkStart w:id="393" w:name="_Toc85626177"/>
      <w:bookmarkStart w:id="394" w:name="_Toc85635310"/>
      <w:bookmarkStart w:id="395" w:name="_Toc97643864"/>
      <w:bookmarkStart w:id="396" w:name="_Toc97653249"/>
      <w:bookmarkStart w:id="397" w:name="_Toc97739401"/>
      <w:bookmarkStart w:id="398" w:name="_Toc97823818"/>
      <w:bookmarkStart w:id="399" w:name="_Toc97823982"/>
      <w:r>
        <w:t>International trade</w:t>
      </w:r>
      <w:bookmarkEnd w:id="392"/>
      <w:bookmarkEnd w:id="393"/>
      <w:bookmarkEnd w:id="394"/>
      <w:bookmarkEnd w:id="395"/>
      <w:bookmarkEnd w:id="396"/>
      <w:bookmarkEnd w:id="397"/>
      <w:bookmarkEnd w:id="398"/>
      <w:bookmarkEnd w:id="399"/>
      <w:r>
        <w:t xml:space="preserve"> </w:t>
      </w:r>
    </w:p>
    <w:p w14:paraId="2A3ABD44" w14:textId="4A198FB4" w:rsidR="007A0840" w:rsidRDefault="007A0840" w:rsidP="007A0840">
      <w:pPr>
        <w:rPr>
          <w:b/>
        </w:rPr>
      </w:pPr>
      <w:r>
        <w:t>When</w:t>
      </w:r>
      <w:r w:rsidRPr="0041267E">
        <w:t xml:space="preserve"> evaluating various options</w:t>
      </w:r>
      <w:r>
        <w:t>,</w:t>
      </w:r>
      <w:r w:rsidRPr="0041267E">
        <w:t xml:space="preserve"> FSANZ </w:t>
      </w:r>
      <w:r>
        <w:t xml:space="preserve">considered current export volumes in the berries, leafy vegetables and melons sectors and the impact that any regulation would have on current and future exports. A detailed study is provided </w:t>
      </w:r>
      <w:r w:rsidRPr="00A73E0A">
        <w:t xml:space="preserve">in </w:t>
      </w:r>
      <w:r w:rsidR="00490390" w:rsidRPr="00A73E0A">
        <w:t>Appendix 6</w:t>
      </w:r>
      <w:r w:rsidR="00D043B0" w:rsidRPr="00A73E0A">
        <w:t xml:space="preserve"> of</w:t>
      </w:r>
      <w:r w:rsidRPr="00A73E0A">
        <w:t xml:space="preserve"> the CBA.</w:t>
      </w:r>
    </w:p>
    <w:p w14:paraId="2A7BB4D1" w14:textId="77777777" w:rsidR="007A0840" w:rsidRPr="00D82B88" w:rsidRDefault="007A0840" w:rsidP="007A0840">
      <w:pPr>
        <w:rPr>
          <w:b/>
        </w:rPr>
      </w:pPr>
    </w:p>
    <w:p w14:paraId="66D48AF8" w14:textId="01D19455" w:rsidR="007A0840" w:rsidRDefault="007A0840" w:rsidP="007A0840">
      <w:pPr>
        <w:ind w:right="990"/>
        <w:rPr>
          <w:rFonts w:ascii="Calibri" w:hAnsi="Calibri"/>
          <w:color w:val="44546A"/>
          <w:szCs w:val="22"/>
          <w:lang w:bidi="ar-SA"/>
        </w:rPr>
      </w:pPr>
      <w:r>
        <w:t>Australian food is well</w:t>
      </w:r>
      <w:r w:rsidR="007E48C7">
        <w:t xml:space="preserve"> </w:t>
      </w:r>
      <w:r>
        <w:t xml:space="preserve">recognised internationally for its quality and safety, </w:t>
      </w:r>
      <w:r w:rsidR="00FB5BC5">
        <w:t xml:space="preserve">enabling </w:t>
      </w:r>
      <w:r>
        <w:t xml:space="preserve">market access in several export countries at premium pricing. Potential trade impacts have been raised as an issue requiring </w:t>
      </w:r>
      <w:r w:rsidR="001802A0">
        <w:t xml:space="preserve">examination </w:t>
      </w:r>
      <w:r w:rsidR="001802A0" w:rsidRPr="00A73E0A">
        <w:t>as part of the CBA</w:t>
      </w:r>
      <w:r w:rsidRPr="00A73E0A">
        <w:t>.</w:t>
      </w:r>
    </w:p>
    <w:p w14:paraId="02E42C28" w14:textId="77777777" w:rsidR="007A0840" w:rsidRDefault="007A0840" w:rsidP="007A0840">
      <w:pPr>
        <w:ind w:right="990"/>
        <w:rPr>
          <w:rFonts w:cs="Arial"/>
          <w:color w:val="44546A"/>
        </w:rPr>
      </w:pPr>
    </w:p>
    <w:p w14:paraId="067EA8C4" w14:textId="456D3C67" w:rsidR="007A0840" w:rsidRDefault="007E48C7" w:rsidP="007A0840">
      <w:pPr>
        <w:ind w:right="990"/>
      </w:pPr>
      <w:r>
        <w:t>Currently only around 2–</w:t>
      </w:r>
      <w:r w:rsidR="007A0840">
        <w:t xml:space="preserve">3% of domestic production revenues for berries and leafy vegetable are from exports. This </w:t>
      </w:r>
      <w:r w:rsidR="0099359B">
        <w:t xml:space="preserve">figure </w:t>
      </w:r>
      <w:r w:rsidR="007A0840">
        <w:t>is higher for melons</w:t>
      </w:r>
      <w:r>
        <w:t>,</w:t>
      </w:r>
      <w:r w:rsidR="007A0840">
        <w:t xml:space="preserve"> at around 20%. There seems to be a strong domestic production focus for fresh </w:t>
      </w:r>
      <w:r w:rsidR="007A0840" w:rsidRPr="007D597A">
        <w:t>berries and</w:t>
      </w:r>
      <w:r w:rsidR="007A0840">
        <w:t xml:space="preserve"> fresh</w:t>
      </w:r>
      <w:r w:rsidR="007A0840" w:rsidRPr="007D597A">
        <w:t xml:space="preserve"> leafy vegetables</w:t>
      </w:r>
      <w:r w:rsidR="007A0840">
        <w:t xml:space="preserve"> and comparatively fewer export opportunities. As a result</w:t>
      </w:r>
      <w:r>
        <w:t>,</w:t>
      </w:r>
      <w:r w:rsidR="007A0840">
        <w:t xml:space="preserve"> </w:t>
      </w:r>
      <w:r>
        <w:t xml:space="preserve">introducing regulation </w:t>
      </w:r>
      <w:r w:rsidR="007A0840">
        <w:t xml:space="preserve">is expected to </w:t>
      </w:r>
      <w:r>
        <w:t>have a</w:t>
      </w:r>
      <w:r w:rsidR="007A0840">
        <w:t xml:space="preserve"> minimal export impact in these sectors. There is greater export trade in melons and there may be a</w:t>
      </w:r>
      <w:r w:rsidR="009F29B6">
        <w:t xml:space="preserve">n </w:t>
      </w:r>
      <w:r w:rsidR="007A0840">
        <w:t>export impact in the melons sector only</w:t>
      </w:r>
      <w:r w:rsidR="007A0840" w:rsidRPr="007D597A">
        <w:t>.</w:t>
      </w:r>
    </w:p>
    <w:p w14:paraId="441D1D74" w14:textId="77777777" w:rsidR="007A0840" w:rsidRDefault="007A0840" w:rsidP="007A0840">
      <w:pPr>
        <w:ind w:right="990"/>
      </w:pPr>
    </w:p>
    <w:p w14:paraId="2BFFC918" w14:textId="77777777" w:rsidR="007A0840" w:rsidRPr="007D597A" w:rsidRDefault="007A0840" w:rsidP="007A0840">
      <w:pPr>
        <w:ind w:right="990"/>
      </w:pPr>
      <w:r>
        <w:t>Evidence of any sort of price premium</w:t>
      </w:r>
      <w:r w:rsidRPr="007D597A">
        <w:t xml:space="preserve"> for </w:t>
      </w:r>
      <w:r>
        <w:t xml:space="preserve">‘clean green’ </w:t>
      </w:r>
      <w:r w:rsidRPr="007D597A">
        <w:t>Australian produce</w:t>
      </w:r>
      <w:r>
        <w:t xml:space="preserve"> only exists for lettuces, with lower prices being received for melons and berries than are received by most other export countries.</w:t>
      </w:r>
    </w:p>
    <w:p w14:paraId="0ED25FBC" w14:textId="77777777" w:rsidR="007A0840" w:rsidRDefault="007A0840" w:rsidP="007A0840">
      <w:pPr>
        <w:ind w:right="990"/>
      </w:pPr>
    </w:p>
    <w:p w14:paraId="5E9275EB" w14:textId="7F094A92" w:rsidR="007A0840" w:rsidRDefault="007A0840" w:rsidP="001D43C6">
      <w:pPr>
        <w:ind w:right="990"/>
      </w:pPr>
      <w:r w:rsidRPr="007D597A">
        <w:t>Given the above,</w:t>
      </w:r>
      <w:r>
        <w:t xml:space="preserve"> it is unclear if the </w:t>
      </w:r>
      <w:r w:rsidR="00D043B0">
        <w:t xml:space="preserve">proposed regulation </w:t>
      </w:r>
      <w:r w:rsidRPr="007D597A">
        <w:t xml:space="preserve">will </w:t>
      </w:r>
      <w:r w:rsidR="00235AEF">
        <w:t>impact</w:t>
      </w:r>
      <w:r>
        <w:t xml:space="preserve"> exports. Exports are driven by many</w:t>
      </w:r>
      <w:r w:rsidRPr="007D597A">
        <w:t xml:space="preserve"> </w:t>
      </w:r>
      <w:r>
        <w:t>factors</w:t>
      </w:r>
      <w:r w:rsidRPr="007D597A">
        <w:t xml:space="preserve"> other</w:t>
      </w:r>
      <w:r>
        <w:t xml:space="preserve"> </w:t>
      </w:r>
      <w:r w:rsidRPr="007D597A">
        <w:t>than domestic food regulation</w:t>
      </w:r>
      <w:r>
        <w:t>,</w:t>
      </w:r>
      <w:r w:rsidRPr="007D597A">
        <w:t xml:space="preserve"> </w:t>
      </w:r>
      <w:r>
        <w:t xml:space="preserve">including </w:t>
      </w:r>
      <w:r w:rsidR="00235AEF">
        <w:t xml:space="preserve">market access, </w:t>
      </w:r>
      <w:r>
        <w:t xml:space="preserve">compliance with importing country </w:t>
      </w:r>
      <w:r w:rsidRPr="007D597A">
        <w:t>s</w:t>
      </w:r>
      <w:r w:rsidR="00D043B0">
        <w:t xml:space="preserve">tandards, </w:t>
      </w:r>
      <w:r w:rsidR="00235AEF">
        <w:t xml:space="preserve">international </w:t>
      </w:r>
      <w:r w:rsidRPr="007D597A">
        <w:t xml:space="preserve">price </w:t>
      </w:r>
      <w:r w:rsidR="00D043B0">
        <w:t xml:space="preserve">competitiveness </w:t>
      </w:r>
      <w:r>
        <w:t xml:space="preserve">and </w:t>
      </w:r>
      <w:r w:rsidRPr="007D597A">
        <w:t>marketing</w:t>
      </w:r>
      <w:r>
        <w:t>.</w:t>
      </w:r>
      <w:r w:rsidRPr="007D597A">
        <w:t> However, further domestic food safety inci</w:t>
      </w:r>
      <w:r>
        <w:t xml:space="preserve">dents could negatively affect export markets, </w:t>
      </w:r>
      <w:r w:rsidR="007E48C7">
        <w:t>of</w:t>
      </w:r>
      <w:r>
        <w:t xml:space="preserve"> </w:t>
      </w:r>
      <w:r w:rsidRPr="007D597A">
        <w:t xml:space="preserve">particular concern </w:t>
      </w:r>
      <w:r w:rsidR="007E48C7">
        <w:t xml:space="preserve">to </w:t>
      </w:r>
      <w:r w:rsidRPr="007D597A">
        <w:t>the melon industry.</w:t>
      </w:r>
    </w:p>
    <w:p w14:paraId="227ED287" w14:textId="220DC28B" w:rsidR="003B1362" w:rsidRDefault="003B1362" w:rsidP="001D43C6">
      <w:pPr>
        <w:ind w:right="990"/>
      </w:pPr>
    </w:p>
    <w:p w14:paraId="5A0BFA66" w14:textId="7E669626" w:rsidR="003B1362" w:rsidRDefault="003B1362" w:rsidP="003B1362">
      <w:pPr>
        <w:rPr>
          <w:lang w:val="en"/>
        </w:rPr>
      </w:pPr>
      <w:r>
        <w:rPr>
          <w:lang w:val="en"/>
        </w:rPr>
        <w:t xml:space="preserve">Food that meets the requirements of the </w:t>
      </w:r>
      <w:r w:rsidRPr="00A17198">
        <w:rPr>
          <w:i/>
          <w:lang w:val="en"/>
        </w:rPr>
        <w:t>Biosecurity Act 2015</w:t>
      </w:r>
      <w:r w:rsidRPr="009D6E82">
        <w:rPr>
          <w:rStyle w:val="FootnoteReference"/>
          <w:lang w:val="en"/>
        </w:rPr>
        <w:footnoteReference w:id="11"/>
      </w:r>
      <w:r w:rsidRPr="009D6E82">
        <w:rPr>
          <w:lang w:val="en"/>
        </w:rPr>
        <w:t xml:space="preserve"> </w:t>
      </w:r>
      <w:r>
        <w:rPr>
          <w:lang w:val="en"/>
        </w:rPr>
        <w:t xml:space="preserve">and enters Australia is subject to the </w:t>
      </w:r>
      <w:r w:rsidRPr="00A17198">
        <w:rPr>
          <w:i/>
          <w:lang w:val="en"/>
        </w:rPr>
        <w:t>Imported Food Control Act 1992</w:t>
      </w:r>
      <w:r w:rsidRPr="009613DE">
        <w:rPr>
          <w:rStyle w:val="FootnoteReference"/>
          <w:lang w:val="en"/>
        </w:rPr>
        <w:footnoteReference w:id="12"/>
      </w:r>
      <w:r w:rsidRPr="009613DE">
        <w:rPr>
          <w:lang w:val="en"/>
        </w:rPr>
        <w:t>.</w:t>
      </w:r>
      <w:r>
        <w:rPr>
          <w:lang w:val="en"/>
        </w:rPr>
        <w:t xml:space="preserve"> The </w:t>
      </w:r>
      <w:r w:rsidRPr="00A17198">
        <w:rPr>
          <w:i/>
          <w:lang w:val="en"/>
        </w:rPr>
        <w:t xml:space="preserve">Imported Food </w:t>
      </w:r>
      <w:r>
        <w:rPr>
          <w:i/>
          <w:lang w:val="en"/>
        </w:rPr>
        <w:t>Regulations 2019</w:t>
      </w:r>
      <w:r w:rsidRPr="009D6E82">
        <w:rPr>
          <w:rStyle w:val="FootnoteReference"/>
          <w:lang w:val="en"/>
        </w:rPr>
        <w:footnoteReference w:id="13"/>
      </w:r>
      <w:r>
        <w:rPr>
          <w:lang w:val="en"/>
        </w:rPr>
        <w:t xml:space="preserve"> establishes the Imported Food Inspection Scheme</w:t>
      </w:r>
      <w:r w:rsidRPr="009613DE">
        <w:rPr>
          <w:rStyle w:val="FootnoteReference"/>
          <w:lang w:val="en"/>
        </w:rPr>
        <w:footnoteReference w:id="14"/>
      </w:r>
      <w:r>
        <w:rPr>
          <w:lang w:val="en"/>
        </w:rPr>
        <w:t xml:space="preserve"> (IFIS) and together with the </w:t>
      </w:r>
      <w:r w:rsidRPr="00A17198">
        <w:rPr>
          <w:i/>
          <w:lang w:val="en"/>
        </w:rPr>
        <w:t xml:space="preserve">Imported Food Control </w:t>
      </w:r>
      <w:r>
        <w:rPr>
          <w:i/>
          <w:lang w:val="en"/>
        </w:rPr>
        <w:t>Order</w:t>
      </w:r>
      <w:r w:rsidRPr="00A17198">
        <w:rPr>
          <w:i/>
          <w:lang w:val="en"/>
        </w:rPr>
        <w:t xml:space="preserve"> </w:t>
      </w:r>
      <w:r>
        <w:rPr>
          <w:i/>
          <w:lang w:val="en"/>
        </w:rPr>
        <w:t>2019</w:t>
      </w:r>
      <w:r w:rsidRPr="009613DE">
        <w:rPr>
          <w:rStyle w:val="FootnoteReference"/>
          <w:lang w:val="en"/>
        </w:rPr>
        <w:footnoteReference w:id="15"/>
      </w:r>
      <w:r>
        <w:rPr>
          <w:i/>
          <w:lang w:val="en"/>
        </w:rPr>
        <w:t>,</w:t>
      </w:r>
      <w:r>
        <w:rPr>
          <w:lang w:val="en"/>
        </w:rPr>
        <w:t xml:space="preserve"> sets compliance requirements for imported food. </w:t>
      </w:r>
    </w:p>
    <w:p w14:paraId="409B3A92" w14:textId="77777777" w:rsidR="003B1362" w:rsidRDefault="003B1362" w:rsidP="003B1362">
      <w:pPr>
        <w:rPr>
          <w:lang w:val="en"/>
        </w:rPr>
      </w:pPr>
    </w:p>
    <w:p w14:paraId="0F151782" w14:textId="3214BBA9" w:rsidR="003B1362" w:rsidRDefault="003B1362" w:rsidP="003B1362">
      <w:pPr>
        <w:rPr>
          <w:lang w:val="en"/>
        </w:rPr>
      </w:pPr>
      <w:r>
        <w:rPr>
          <w:lang w:val="en"/>
        </w:rPr>
        <w:t xml:space="preserve">Information about import requirements is available on the </w:t>
      </w:r>
      <w:r w:rsidRPr="00BF357E">
        <w:rPr>
          <w:lang w:val="en"/>
        </w:rPr>
        <w:t>D</w:t>
      </w:r>
      <w:r>
        <w:rPr>
          <w:lang w:val="en"/>
        </w:rPr>
        <w:t>AWE</w:t>
      </w:r>
      <w:r>
        <w:rPr>
          <w:rStyle w:val="FootnoteReference"/>
          <w:lang w:val="en"/>
        </w:rPr>
        <w:footnoteReference w:id="16"/>
      </w:r>
      <w:r>
        <w:rPr>
          <w:lang w:val="en"/>
        </w:rPr>
        <w:t xml:space="preserve"> website.</w:t>
      </w:r>
    </w:p>
    <w:p w14:paraId="33C2A8EA" w14:textId="77777777" w:rsidR="007A0840" w:rsidRDefault="007A0840" w:rsidP="001D43C6">
      <w:pPr>
        <w:pStyle w:val="Heading3"/>
      </w:pPr>
      <w:bookmarkStart w:id="400" w:name="_Toc85540173"/>
      <w:bookmarkStart w:id="401" w:name="_Toc85626178"/>
      <w:bookmarkStart w:id="402" w:name="_Toc85635311"/>
      <w:bookmarkStart w:id="403" w:name="_Toc97643865"/>
      <w:bookmarkStart w:id="404" w:name="_Toc97653250"/>
      <w:bookmarkStart w:id="405" w:name="_Toc97739402"/>
      <w:bookmarkStart w:id="406" w:name="_Toc97823819"/>
      <w:bookmarkStart w:id="407" w:name="_Toc97823983"/>
      <w:r w:rsidRPr="00D82B88">
        <w:t>Consumer response</w:t>
      </w:r>
      <w:bookmarkEnd w:id="400"/>
      <w:bookmarkEnd w:id="401"/>
      <w:bookmarkEnd w:id="402"/>
      <w:bookmarkEnd w:id="403"/>
      <w:bookmarkEnd w:id="404"/>
      <w:bookmarkEnd w:id="405"/>
      <w:bookmarkEnd w:id="406"/>
      <w:bookmarkEnd w:id="407"/>
    </w:p>
    <w:p w14:paraId="4DD6EC1A" w14:textId="698A84B1" w:rsidR="007A0840" w:rsidRDefault="007A0840" w:rsidP="007A0840">
      <w:r>
        <w:t>When</w:t>
      </w:r>
      <w:r w:rsidRPr="0041267E">
        <w:t xml:space="preserve"> evaluating various options</w:t>
      </w:r>
      <w:r>
        <w:t>,</w:t>
      </w:r>
      <w:r w:rsidRPr="0041267E">
        <w:t xml:space="preserve"> FSANZ </w:t>
      </w:r>
      <w:r>
        <w:t>considered the impact that any regulation would have on consumers</w:t>
      </w:r>
      <w:r w:rsidR="007E48C7">
        <w:t>,</w:t>
      </w:r>
      <w:r>
        <w:t xml:space="preserve"> and therefore industry. </w:t>
      </w:r>
      <w:r w:rsidR="007E48C7">
        <w:t>We</w:t>
      </w:r>
      <w:r>
        <w:t xml:space="preserve"> </w:t>
      </w:r>
      <w:r w:rsidR="007E48C7">
        <w:t>examined</w:t>
      </w:r>
      <w:r>
        <w:t xml:space="preserve"> published national and international journals to </w:t>
      </w:r>
      <w:r w:rsidR="007E48C7">
        <w:t>understand</w:t>
      </w:r>
      <w:r>
        <w:t xml:space="preserve"> these impacts on consumers. A detailed report of this study is provided in </w:t>
      </w:r>
      <w:r w:rsidR="00490390" w:rsidRPr="00A73E0A">
        <w:t>Appendix 7</w:t>
      </w:r>
      <w:r w:rsidRPr="00A73E0A">
        <w:t xml:space="preserve"> </w:t>
      </w:r>
      <w:r w:rsidR="007E48C7" w:rsidRPr="00A73E0A">
        <w:t>of</w:t>
      </w:r>
      <w:r w:rsidRPr="00A73E0A">
        <w:t xml:space="preserve"> the CBA.</w:t>
      </w:r>
    </w:p>
    <w:p w14:paraId="492C8C25" w14:textId="77777777" w:rsidR="007A0840" w:rsidRPr="0041267E" w:rsidRDefault="007A0840" w:rsidP="007A0840"/>
    <w:p w14:paraId="4D093418" w14:textId="10A42265" w:rsidR="007A0840" w:rsidRDefault="007E48C7" w:rsidP="007A0840">
      <w:r>
        <w:t>We estimate the</w:t>
      </w:r>
      <w:r w:rsidR="007A0840">
        <w:t xml:space="preserve"> proposed </w:t>
      </w:r>
      <w:r w:rsidR="007A0840">
        <w:rPr>
          <w:lang w:val="en-AU"/>
        </w:rPr>
        <w:t>regulatory and non-regulatory food safety</w:t>
      </w:r>
      <w:r w:rsidR="007A0840">
        <w:t xml:space="preserve"> strategies </w:t>
      </w:r>
      <w:r w:rsidR="005A1290">
        <w:t xml:space="preserve">may </w:t>
      </w:r>
      <w:r w:rsidR="007A0840">
        <w:t>translate into an increased consumer purchase cost</w:t>
      </w:r>
      <w:r>
        <w:t>,</w:t>
      </w:r>
      <w:r w:rsidR="007A0840">
        <w:t xml:space="preserve"> and an increased demand from some consumers</w:t>
      </w:r>
      <w:r>
        <w:t>,</w:t>
      </w:r>
      <w:r w:rsidR="007A0840">
        <w:t xml:space="preserve"> due to increased confidence in food safety.</w:t>
      </w:r>
    </w:p>
    <w:p w14:paraId="75204F96" w14:textId="77777777" w:rsidR="007A0840" w:rsidRDefault="007A0840" w:rsidP="007A0840"/>
    <w:p w14:paraId="7C3C9E64" w14:textId="15FA1A42" w:rsidR="007A0840" w:rsidRPr="001D43C6" w:rsidRDefault="007E48C7" w:rsidP="00BF00BA">
      <w:pPr>
        <w:widowControl/>
      </w:pPr>
      <w:r>
        <w:t>A</w:t>
      </w:r>
      <w:r w:rsidR="007A0840">
        <w:t>vailable studies suggest that the net impact in terms of consumer dem</w:t>
      </w:r>
      <w:r>
        <w:t xml:space="preserve">and should be relatively benign. </w:t>
      </w:r>
      <w:r w:rsidR="005C2990">
        <w:t>That said, any purchase cost increases would have greatest impact on consumers with low incomes, whether because they reduce consumption of fruit or vegetables</w:t>
      </w:r>
      <w:r w:rsidR="00DD66CA">
        <w:t>,</w:t>
      </w:r>
      <w:r w:rsidR="005C2990">
        <w:t xml:space="preserve"> or </w:t>
      </w:r>
      <w:r w:rsidR="004000F6">
        <w:t xml:space="preserve">face </w:t>
      </w:r>
      <w:r w:rsidR="005C2990">
        <w:t>greater financial challenges from</w:t>
      </w:r>
      <w:r w:rsidR="009A4DF4">
        <w:t xml:space="preserve"> paying</w:t>
      </w:r>
      <w:r w:rsidR="005C2990">
        <w:t xml:space="preserve"> higher prices.</w:t>
      </w:r>
    </w:p>
    <w:p w14:paraId="3C95617B" w14:textId="77777777" w:rsidR="007A0840" w:rsidRPr="008D0947" w:rsidRDefault="007A0840" w:rsidP="001D43C6">
      <w:pPr>
        <w:pStyle w:val="Heading3"/>
      </w:pPr>
      <w:bookmarkStart w:id="408" w:name="_Toc85540174"/>
      <w:bookmarkStart w:id="409" w:name="_Toc85626179"/>
      <w:bookmarkStart w:id="410" w:name="_Toc85635312"/>
      <w:bookmarkStart w:id="411" w:name="_Toc97643866"/>
      <w:bookmarkStart w:id="412" w:name="_Toc97653251"/>
      <w:bookmarkStart w:id="413" w:name="_Toc97739403"/>
      <w:bookmarkStart w:id="414" w:name="_Toc97823820"/>
      <w:bookmarkStart w:id="415" w:name="_Toc97823984"/>
      <w:r>
        <w:t>CBA data gaps and assumptions</w:t>
      </w:r>
      <w:bookmarkEnd w:id="408"/>
      <w:bookmarkEnd w:id="409"/>
      <w:bookmarkEnd w:id="410"/>
      <w:bookmarkEnd w:id="411"/>
      <w:bookmarkEnd w:id="412"/>
      <w:bookmarkEnd w:id="413"/>
      <w:bookmarkEnd w:id="414"/>
      <w:bookmarkEnd w:id="415"/>
    </w:p>
    <w:p w14:paraId="49C98EF7" w14:textId="726A7BA4" w:rsidR="007A0840" w:rsidRPr="0001618C" w:rsidRDefault="007A0840" w:rsidP="007A0840">
      <w:pPr>
        <w:rPr>
          <w:lang w:val="en-AU"/>
        </w:rPr>
      </w:pPr>
      <w:r w:rsidRPr="0001618C">
        <w:rPr>
          <w:lang w:val="en-AU"/>
        </w:rPr>
        <w:t xml:space="preserve">This </w:t>
      </w:r>
      <w:r w:rsidR="001802A0">
        <w:rPr>
          <w:lang w:val="en-AU"/>
        </w:rPr>
        <w:t>CBA</w:t>
      </w:r>
      <w:r w:rsidRPr="0001618C">
        <w:rPr>
          <w:lang w:val="en-AU"/>
        </w:rPr>
        <w:t xml:space="preserve"> relied on the best available information at this point in time, but data gaps remain and a number of assumptions needed to be made. </w:t>
      </w:r>
      <w:r w:rsidRPr="0001618C">
        <w:t xml:space="preserve">It has not been possible to readily quantify </w:t>
      </w:r>
      <w:r w:rsidR="000A6D6F">
        <w:t xml:space="preserve">all </w:t>
      </w:r>
      <w:r w:rsidR="00FA1C98">
        <w:t>relevant</w:t>
      </w:r>
      <w:r w:rsidRPr="0001618C">
        <w:t xml:space="preserve"> costs and benefits. However, </w:t>
      </w:r>
      <w:r w:rsidR="00855F1E">
        <w:t>during consultation, stakeholders were asked to provide more information.</w:t>
      </w:r>
      <w:r w:rsidR="00A73E0A">
        <w:t xml:space="preserve"> Useful information from stakeholders included numbers of leafy vegetable businesses, numbers of </w:t>
      </w:r>
      <w:r w:rsidR="00434659">
        <w:t xml:space="preserve">leafy vegetable businesses on </w:t>
      </w:r>
      <w:r w:rsidR="00304AEA">
        <w:t>a FSS</w:t>
      </w:r>
      <w:r w:rsidR="00434659">
        <w:t>,</w:t>
      </w:r>
      <w:r w:rsidR="00A73E0A">
        <w:t xml:space="preserve"> numbers of annual working days for harvesting berries, and other information.</w:t>
      </w:r>
    </w:p>
    <w:p w14:paraId="547E670E" w14:textId="77777777" w:rsidR="007A0840" w:rsidRPr="0001618C" w:rsidRDefault="007A0840" w:rsidP="007A0840">
      <w:pPr>
        <w:rPr>
          <w:lang w:val="en-AU"/>
        </w:rPr>
      </w:pPr>
    </w:p>
    <w:p w14:paraId="10446F50" w14:textId="12B42171" w:rsidR="007A0840" w:rsidRPr="0001618C" w:rsidRDefault="007A0840" w:rsidP="007A0840">
      <w:r w:rsidRPr="0001618C">
        <w:t>Estimating the business costs associated with a food safety incident or outbreak is difficult. The magnitude of the costs to the businesses directly involved and to the wider industry is driven by a wide range of factors</w:t>
      </w:r>
      <w:r w:rsidR="007E48C7">
        <w:t>,</w:t>
      </w:r>
      <w:r w:rsidRPr="0001618C">
        <w:t xml:space="preserve"> including:</w:t>
      </w:r>
    </w:p>
    <w:p w14:paraId="2C6F00C4" w14:textId="77777777" w:rsidR="007A0840" w:rsidRPr="0001618C" w:rsidRDefault="007A0840" w:rsidP="006354B0">
      <w:pPr>
        <w:pStyle w:val="FSBullet"/>
        <w:numPr>
          <w:ilvl w:val="0"/>
          <w:numId w:val="5"/>
        </w:numPr>
        <w:ind w:left="567" w:hanging="567"/>
        <w:rPr>
          <w:lang w:val="en-AU"/>
        </w:rPr>
      </w:pPr>
      <w:r w:rsidRPr="0001618C">
        <w:rPr>
          <w:lang w:val="en-AU"/>
        </w:rPr>
        <w:t xml:space="preserve">whether the food is a luxury or a staple </w:t>
      </w:r>
    </w:p>
    <w:p w14:paraId="397D3B97" w14:textId="77777777" w:rsidR="007A0840" w:rsidRPr="0001618C" w:rsidRDefault="007A0840" w:rsidP="006354B0">
      <w:pPr>
        <w:pStyle w:val="FSBullet"/>
        <w:numPr>
          <w:ilvl w:val="0"/>
          <w:numId w:val="5"/>
        </w:numPr>
        <w:ind w:left="567" w:hanging="567"/>
        <w:rPr>
          <w:lang w:val="en-AU"/>
        </w:rPr>
      </w:pPr>
      <w:r w:rsidRPr="0001618C">
        <w:rPr>
          <w:lang w:val="en-AU"/>
        </w:rPr>
        <w:lastRenderedPageBreak/>
        <w:t>how identifiable the product is within the market</w:t>
      </w:r>
    </w:p>
    <w:p w14:paraId="1463E846" w14:textId="77777777" w:rsidR="007A0840" w:rsidRPr="0001618C" w:rsidRDefault="007A0840" w:rsidP="006354B0">
      <w:pPr>
        <w:pStyle w:val="FSBullet"/>
        <w:numPr>
          <w:ilvl w:val="0"/>
          <w:numId w:val="5"/>
        </w:numPr>
        <w:ind w:left="567" w:hanging="567"/>
        <w:rPr>
          <w:lang w:val="en-AU"/>
        </w:rPr>
      </w:pPr>
      <w:r w:rsidRPr="0001618C">
        <w:rPr>
          <w:lang w:val="en-AU"/>
        </w:rPr>
        <w:t>whether any deaths occur</w:t>
      </w:r>
    </w:p>
    <w:p w14:paraId="57D285CB" w14:textId="77777777" w:rsidR="007A0840" w:rsidRPr="0001618C" w:rsidRDefault="007A0840" w:rsidP="006354B0">
      <w:pPr>
        <w:pStyle w:val="FSBullet"/>
        <w:numPr>
          <w:ilvl w:val="0"/>
          <w:numId w:val="5"/>
        </w:numPr>
        <w:ind w:left="567" w:hanging="567"/>
      </w:pPr>
      <w:r w:rsidRPr="0001618C">
        <w:rPr>
          <w:lang w:val="en-AU"/>
        </w:rPr>
        <w:t>the</w:t>
      </w:r>
      <w:r w:rsidRPr="0001618C">
        <w:t xml:space="preserve"> level of media attention that is received.</w:t>
      </w:r>
    </w:p>
    <w:p w14:paraId="426397B6" w14:textId="77777777" w:rsidR="007A0840" w:rsidRPr="0001618C" w:rsidRDefault="007A0840" w:rsidP="007A0840"/>
    <w:p w14:paraId="3EA67531" w14:textId="6FD00784" w:rsidR="0088545A" w:rsidRDefault="007A0840" w:rsidP="007A0840">
      <w:pPr>
        <w:rPr>
          <w:highlight w:val="yellow"/>
        </w:rPr>
      </w:pPr>
      <w:r w:rsidRPr="0001618C">
        <w:t>Regardless of the challenges of estimating these costs, they are likely to be substantial in many instances. A case study looking at potential costs to industry of an outbreak or other food safety in</w:t>
      </w:r>
      <w:r w:rsidR="00490390">
        <w:t xml:space="preserve">cident is provided in </w:t>
      </w:r>
      <w:r w:rsidR="00490390" w:rsidRPr="00281433">
        <w:t>Appendix 5</w:t>
      </w:r>
      <w:r w:rsidRPr="00281433">
        <w:t xml:space="preserve"> of the CBA.</w:t>
      </w:r>
    </w:p>
    <w:p w14:paraId="1ABD594D" w14:textId="01D5F6B9" w:rsidR="0088545A" w:rsidRDefault="0088545A" w:rsidP="007A0840">
      <w:pPr>
        <w:rPr>
          <w:highlight w:val="yellow"/>
        </w:rPr>
      </w:pPr>
    </w:p>
    <w:p w14:paraId="0E56020F" w14:textId="4CC5F940" w:rsidR="0088545A" w:rsidRPr="0088545A" w:rsidRDefault="0088545A" w:rsidP="0088545A">
      <w:pPr>
        <w:pStyle w:val="CommentText"/>
        <w:rPr>
          <w:sz w:val="22"/>
          <w:szCs w:val="24"/>
        </w:rPr>
      </w:pPr>
      <w:r w:rsidRPr="00E86D15">
        <w:rPr>
          <w:sz w:val="22"/>
          <w:szCs w:val="24"/>
        </w:rPr>
        <w:t>Implementation costs</w:t>
      </w:r>
      <w:r w:rsidR="00E86D15" w:rsidRPr="00E86D15">
        <w:rPr>
          <w:sz w:val="22"/>
          <w:szCs w:val="24"/>
        </w:rPr>
        <w:t xml:space="preserve"> such as notification, licensing</w:t>
      </w:r>
      <w:r w:rsidRPr="00E86D15">
        <w:rPr>
          <w:sz w:val="22"/>
          <w:szCs w:val="24"/>
        </w:rPr>
        <w:t xml:space="preserve">, audits and monitoring </w:t>
      </w:r>
      <w:r w:rsidR="005A1290">
        <w:rPr>
          <w:sz w:val="22"/>
          <w:szCs w:val="24"/>
        </w:rPr>
        <w:t xml:space="preserve">as well as education and awareness raising </w:t>
      </w:r>
      <w:r w:rsidRPr="00E86D15">
        <w:rPr>
          <w:sz w:val="22"/>
          <w:szCs w:val="24"/>
        </w:rPr>
        <w:t xml:space="preserve">will vary by jurisdiction and circumstances of a business. </w:t>
      </w:r>
      <w:r w:rsidR="00E90565">
        <w:rPr>
          <w:sz w:val="22"/>
          <w:szCs w:val="24"/>
        </w:rPr>
        <w:t>Implementation approach and associated costs</w:t>
      </w:r>
      <w:r w:rsidR="0072704B" w:rsidRPr="00E86D15">
        <w:rPr>
          <w:sz w:val="22"/>
          <w:szCs w:val="24"/>
        </w:rPr>
        <w:t xml:space="preserve"> </w:t>
      </w:r>
      <w:r w:rsidRPr="00E86D15">
        <w:rPr>
          <w:sz w:val="22"/>
          <w:szCs w:val="24"/>
        </w:rPr>
        <w:t xml:space="preserve">will be </w:t>
      </w:r>
      <w:r w:rsidR="00E90565">
        <w:rPr>
          <w:sz w:val="22"/>
          <w:szCs w:val="24"/>
        </w:rPr>
        <w:t>determined by jurisdictions</w:t>
      </w:r>
      <w:r w:rsidR="00E90565" w:rsidRPr="00E86D15">
        <w:rPr>
          <w:sz w:val="22"/>
          <w:szCs w:val="24"/>
        </w:rPr>
        <w:t xml:space="preserve"> </w:t>
      </w:r>
      <w:r w:rsidR="00E90565">
        <w:rPr>
          <w:sz w:val="22"/>
          <w:szCs w:val="24"/>
        </w:rPr>
        <w:t>with</w:t>
      </w:r>
      <w:r w:rsidR="00E90565" w:rsidRPr="00E86D15">
        <w:rPr>
          <w:sz w:val="22"/>
          <w:szCs w:val="24"/>
        </w:rPr>
        <w:t xml:space="preserve"> </w:t>
      </w:r>
      <w:r w:rsidRPr="00E86D15">
        <w:rPr>
          <w:sz w:val="22"/>
          <w:szCs w:val="24"/>
        </w:rPr>
        <w:t xml:space="preserve">the transition </w:t>
      </w:r>
      <w:r w:rsidR="00E90565">
        <w:rPr>
          <w:sz w:val="22"/>
          <w:szCs w:val="24"/>
        </w:rPr>
        <w:t>period allowing time for its development</w:t>
      </w:r>
      <w:r w:rsidRPr="00E86D15">
        <w:rPr>
          <w:sz w:val="22"/>
          <w:szCs w:val="24"/>
        </w:rPr>
        <w:t xml:space="preserve">. </w:t>
      </w:r>
      <w:r w:rsidR="005A1290">
        <w:rPr>
          <w:sz w:val="22"/>
          <w:szCs w:val="24"/>
        </w:rPr>
        <w:t>J</w:t>
      </w:r>
      <w:r w:rsidRPr="00E86D15">
        <w:rPr>
          <w:sz w:val="22"/>
          <w:szCs w:val="24"/>
        </w:rPr>
        <w:t>urisdictions</w:t>
      </w:r>
      <w:r w:rsidR="005A1290">
        <w:rPr>
          <w:sz w:val="22"/>
          <w:szCs w:val="24"/>
        </w:rPr>
        <w:t xml:space="preserve"> are</w:t>
      </w:r>
      <w:r w:rsidR="005A1290" w:rsidRPr="005A1290">
        <w:rPr>
          <w:sz w:val="22"/>
          <w:szCs w:val="24"/>
        </w:rPr>
        <w:t xml:space="preserve"> </w:t>
      </w:r>
      <w:r w:rsidR="005A1290" w:rsidRPr="00E86D15">
        <w:rPr>
          <w:sz w:val="22"/>
          <w:szCs w:val="24"/>
        </w:rPr>
        <w:t>working with</w:t>
      </w:r>
      <w:r w:rsidRPr="00E86D15">
        <w:rPr>
          <w:sz w:val="22"/>
          <w:szCs w:val="24"/>
        </w:rPr>
        <w:t xml:space="preserve"> industry and </w:t>
      </w:r>
      <w:r w:rsidR="00E90565">
        <w:rPr>
          <w:sz w:val="22"/>
          <w:szCs w:val="24"/>
        </w:rPr>
        <w:t>scheme operators</w:t>
      </w:r>
      <w:r w:rsidRPr="00E86D15">
        <w:rPr>
          <w:sz w:val="22"/>
          <w:szCs w:val="24"/>
        </w:rPr>
        <w:t xml:space="preserve"> </w:t>
      </w:r>
      <w:r w:rsidR="005A1290">
        <w:rPr>
          <w:sz w:val="22"/>
          <w:szCs w:val="24"/>
        </w:rPr>
        <w:t xml:space="preserve">as well as FSANZ </w:t>
      </w:r>
      <w:r w:rsidRPr="00E86D15">
        <w:rPr>
          <w:sz w:val="22"/>
          <w:szCs w:val="24"/>
        </w:rPr>
        <w:t xml:space="preserve">to </w:t>
      </w:r>
      <w:r w:rsidR="005A1290">
        <w:rPr>
          <w:sz w:val="22"/>
          <w:szCs w:val="24"/>
        </w:rPr>
        <w:t>consider options that reduce duplication and potentially</w:t>
      </w:r>
      <w:r w:rsidR="005A1290" w:rsidRPr="00E86D15">
        <w:rPr>
          <w:sz w:val="22"/>
          <w:szCs w:val="24"/>
        </w:rPr>
        <w:t xml:space="preserve"> </w:t>
      </w:r>
      <w:r w:rsidRPr="00E86D15">
        <w:rPr>
          <w:sz w:val="22"/>
          <w:szCs w:val="24"/>
        </w:rPr>
        <w:t xml:space="preserve">costs. </w:t>
      </w:r>
    </w:p>
    <w:p w14:paraId="5A665D98" w14:textId="6593AD6D" w:rsidR="00042BC0" w:rsidRPr="0088545A" w:rsidRDefault="00042BC0" w:rsidP="007A0840"/>
    <w:p w14:paraId="2935BF08" w14:textId="5095F47A" w:rsidR="00042BC0" w:rsidRDefault="007A0840" w:rsidP="007A0840">
      <w:pPr>
        <w:rPr>
          <w:lang w:val="en-AU"/>
        </w:rPr>
      </w:pPr>
      <w:r w:rsidRPr="0001618C">
        <w:rPr>
          <w:lang w:val="en-AU"/>
        </w:rPr>
        <w:t>Summary data from the CBA has been included in the following sections of this document</w:t>
      </w:r>
      <w:r w:rsidR="00E86D15">
        <w:rPr>
          <w:lang w:val="en-AU"/>
        </w:rPr>
        <w:t xml:space="preserve"> on estimated</w:t>
      </w:r>
      <w:r w:rsidRPr="0001618C">
        <w:rPr>
          <w:lang w:val="en-AU"/>
        </w:rPr>
        <w:t xml:space="preserve"> </w:t>
      </w:r>
      <w:r w:rsidR="00944FE9">
        <w:rPr>
          <w:lang w:val="en-AU"/>
        </w:rPr>
        <w:t>net benefit</w:t>
      </w:r>
      <w:r w:rsidR="00E86D15">
        <w:rPr>
          <w:lang w:val="en-AU"/>
        </w:rPr>
        <w:t>s</w:t>
      </w:r>
      <w:r w:rsidR="00944FE9">
        <w:rPr>
          <w:lang w:val="en-AU"/>
        </w:rPr>
        <w:t xml:space="preserve"> of each option</w:t>
      </w:r>
      <w:r w:rsidR="00E86D15">
        <w:rPr>
          <w:lang w:val="en-AU"/>
        </w:rPr>
        <w:t>, based on currently available information</w:t>
      </w:r>
      <w:r>
        <w:rPr>
          <w:lang w:val="en-AU"/>
        </w:rPr>
        <w:t>.</w:t>
      </w:r>
    </w:p>
    <w:p w14:paraId="631D8906" w14:textId="09E29823" w:rsidR="0088545A" w:rsidRDefault="0088545A" w:rsidP="007A0840">
      <w:pPr>
        <w:rPr>
          <w:lang w:val="en-AU"/>
        </w:rPr>
      </w:pPr>
    </w:p>
    <w:p w14:paraId="1A34C603" w14:textId="53C4DED7" w:rsidR="007A0840" w:rsidRDefault="00FB6EF1" w:rsidP="00F611C6">
      <w:pPr>
        <w:pStyle w:val="Heading2"/>
      </w:pPr>
      <w:bookmarkStart w:id="416" w:name="_Toc85635313"/>
      <w:bookmarkStart w:id="417" w:name="_Toc97643867"/>
      <w:bookmarkStart w:id="418" w:name="_Toc97653252"/>
      <w:bookmarkStart w:id="419" w:name="_Toc97739404"/>
      <w:bookmarkStart w:id="420" w:name="_Toc97823821"/>
      <w:bookmarkStart w:id="421" w:name="_Toc97823985"/>
      <w:r>
        <w:t>7.3</w:t>
      </w:r>
      <w:r>
        <w:tab/>
      </w:r>
      <w:r w:rsidR="00CA5971">
        <w:t>Net benefit of o</w:t>
      </w:r>
      <w:r w:rsidR="007A0840">
        <w:t>ption 1 – Retain the status quo</w:t>
      </w:r>
      <w:bookmarkEnd w:id="416"/>
      <w:bookmarkEnd w:id="417"/>
      <w:bookmarkEnd w:id="418"/>
      <w:bookmarkEnd w:id="419"/>
      <w:bookmarkEnd w:id="420"/>
      <w:bookmarkEnd w:id="421"/>
    </w:p>
    <w:p w14:paraId="286116DF" w14:textId="5F2C0577" w:rsidR="007A0840" w:rsidRDefault="007A0840" w:rsidP="007A0840">
      <w:r>
        <w:t xml:space="preserve">Under the status quo option, proposal P1052 would be abandoned </w:t>
      </w:r>
      <w:r w:rsidRPr="004621B4">
        <w:t>and</w:t>
      </w:r>
      <w:r>
        <w:t xml:space="preserve"> the current food safety framework </w:t>
      </w:r>
      <w:r w:rsidRPr="004621B4">
        <w:t xml:space="preserve">would continue. </w:t>
      </w:r>
    </w:p>
    <w:p w14:paraId="2FB73C42" w14:textId="77777777" w:rsidR="007A0840" w:rsidRPr="008F4777" w:rsidRDefault="007A0840" w:rsidP="001D43C6">
      <w:pPr>
        <w:pStyle w:val="Heading3"/>
      </w:pPr>
      <w:bookmarkStart w:id="422" w:name="_Toc85540176"/>
      <w:bookmarkStart w:id="423" w:name="_Toc85626181"/>
      <w:bookmarkStart w:id="424" w:name="_Toc85635314"/>
      <w:bookmarkStart w:id="425" w:name="_Toc97643868"/>
      <w:bookmarkStart w:id="426" w:name="_Toc97653253"/>
      <w:bookmarkStart w:id="427" w:name="_Toc97739405"/>
      <w:bookmarkStart w:id="428" w:name="_Toc97823822"/>
      <w:bookmarkStart w:id="429" w:name="_Toc97823986"/>
      <w:r w:rsidRPr="008F4777">
        <w:t>C</w:t>
      </w:r>
      <w:r>
        <w:t>urrent c</w:t>
      </w:r>
      <w:r w:rsidRPr="008F4777">
        <w:t>ost of illness</w:t>
      </w:r>
      <w:bookmarkEnd w:id="422"/>
      <w:bookmarkEnd w:id="423"/>
      <w:bookmarkEnd w:id="424"/>
      <w:bookmarkEnd w:id="425"/>
      <w:bookmarkEnd w:id="426"/>
      <w:bookmarkEnd w:id="427"/>
      <w:bookmarkEnd w:id="428"/>
      <w:bookmarkEnd w:id="429"/>
    </w:p>
    <w:p w14:paraId="238F8240" w14:textId="20E8CA70" w:rsidR="007A0840" w:rsidRPr="0001618C" w:rsidRDefault="00AF211A" w:rsidP="007A0840">
      <w:r>
        <w:t>T</w:t>
      </w:r>
      <w:r w:rsidR="007A0840">
        <w:t>o examine the status quo</w:t>
      </w:r>
      <w:r w:rsidR="00A054B9">
        <w:t>,</w:t>
      </w:r>
      <w:r w:rsidR="007A0840">
        <w:t xml:space="preserve"> </w:t>
      </w:r>
      <w:r w:rsidR="007A0840" w:rsidRPr="0001618C">
        <w:t>FSANZ estimated the annual cost of illn</w:t>
      </w:r>
      <w:r w:rsidR="007A0840">
        <w:t xml:space="preserve">ess currently attributable to each sector. </w:t>
      </w:r>
    </w:p>
    <w:p w14:paraId="538495A9" w14:textId="77777777" w:rsidR="007A0840" w:rsidRPr="0001618C" w:rsidRDefault="007A0840" w:rsidP="007A0840"/>
    <w:p w14:paraId="308218F0" w14:textId="65D9A321" w:rsidR="00A054B9" w:rsidRDefault="00624464" w:rsidP="00624464">
      <w:r>
        <w:t>Identified microbiological h</w:t>
      </w:r>
      <w:r w:rsidRPr="00624464">
        <w:t>azards</w:t>
      </w:r>
      <w:r>
        <w:t xml:space="preserve"> in Australia for each commodity are </w:t>
      </w:r>
      <w:r w:rsidR="00B50E47">
        <w:t xml:space="preserve">listed </w:t>
      </w:r>
      <w:r>
        <w:t>in Table 2</w:t>
      </w:r>
      <w:r w:rsidR="00512473">
        <w:t xml:space="preserve"> earlier in this document</w:t>
      </w:r>
      <w:r w:rsidR="00B50E47">
        <w:t xml:space="preserve"> </w:t>
      </w:r>
      <w:r>
        <w:t>(section 4.6).</w:t>
      </w:r>
    </w:p>
    <w:p w14:paraId="54A1173A" w14:textId="77777777" w:rsidR="00903F54" w:rsidRDefault="00903F54" w:rsidP="00624464">
      <w:pPr>
        <w:rPr>
          <w:b/>
        </w:rPr>
      </w:pPr>
    </w:p>
    <w:p w14:paraId="591858F1" w14:textId="77777777" w:rsidR="007A0840" w:rsidRPr="0001618C" w:rsidRDefault="007A0840" w:rsidP="007A0840">
      <w:r>
        <w:t>T</w:t>
      </w:r>
      <w:r w:rsidRPr="0001618C">
        <w:t>o determine the total cost of illness specifically linked to berri</w:t>
      </w:r>
      <w:r>
        <w:t>es, leafy vegetables and melons</w:t>
      </w:r>
      <w:r w:rsidRPr="0001618C">
        <w:t xml:space="preserve">, the total illness burden was deduced and then an expert elicitation process was used to determine the percentage burden attributed to each commodity. An expert elicitation process uses a panel of experts to estimate the value of insufficient, uncertain or missing data. The expert elicitation model, methodology </w:t>
      </w:r>
      <w:r w:rsidRPr="00004D72">
        <w:t>and results are further described i</w:t>
      </w:r>
      <w:r w:rsidRPr="00A73E0A">
        <w:t>n Appendix 2 of the CBA.</w:t>
      </w:r>
    </w:p>
    <w:p w14:paraId="16190BB7" w14:textId="77777777" w:rsidR="007A0840" w:rsidRPr="0001618C" w:rsidRDefault="007A0840" w:rsidP="007A0840"/>
    <w:p w14:paraId="59E3301D" w14:textId="2C6AF416" w:rsidR="007A0840" w:rsidRPr="0001618C" w:rsidRDefault="007A0840" w:rsidP="007A0840">
      <w:r w:rsidRPr="0001618C">
        <w:t xml:space="preserve">The expert estimates of the percentage of the total burden of illness in Australia which can be attributed to berries, leafy vegetables and melons is provided </w:t>
      </w:r>
      <w:r w:rsidRPr="001D43C6">
        <w:t xml:space="preserve">in </w:t>
      </w:r>
      <w:r w:rsidR="000B18C5" w:rsidRPr="001D43C6">
        <w:t xml:space="preserve">Table </w:t>
      </w:r>
      <w:r w:rsidR="009F3B89">
        <w:t>4</w:t>
      </w:r>
      <w:r w:rsidRPr="001D43C6">
        <w:t>.</w:t>
      </w:r>
    </w:p>
    <w:p w14:paraId="7BB9B10F" w14:textId="77777777" w:rsidR="007A0840" w:rsidRDefault="007A0840" w:rsidP="007A0840"/>
    <w:p w14:paraId="1DCA7534" w14:textId="3E640EF3" w:rsidR="007A0840" w:rsidRPr="0001618C" w:rsidRDefault="000B18C5" w:rsidP="007A0840">
      <w:pPr>
        <w:rPr>
          <w:b/>
        </w:rPr>
      </w:pPr>
      <w:r w:rsidRPr="00004D72">
        <w:rPr>
          <w:b/>
        </w:rPr>
        <w:t xml:space="preserve">Table </w:t>
      </w:r>
      <w:r w:rsidR="009F3B89">
        <w:rPr>
          <w:b/>
        </w:rPr>
        <w:t>4</w:t>
      </w:r>
      <w:r w:rsidR="001D43C6" w:rsidRPr="00004D72">
        <w:rPr>
          <w:b/>
        </w:rPr>
        <w:t>.</w:t>
      </w:r>
      <w:r>
        <w:rPr>
          <w:b/>
        </w:rPr>
        <w:t xml:space="preserve"> </w:t>
      </w:r>
      <w:r w:rsidR="007A0840" w:rsidRPr="0001618C">
        <w:rPr>
          <w:b/>
        </w:rPr>
        <w:t>Median attribution percentage by pathogen and commodity</w:t>
      </w:r>
    </w:p>
    <w:tbl>
      <w:tblPr>
        <w:tblStyle w:val="TableGrid"/>
        <w:tblW w:w="0" w:type="auto"/>
        <w:tblLook w:val="04A0" w:firstRow="1" w:lastRow="0" w:firstColumn="1" w:lastColumn="0" w:noHBand="0" w:noVBand="1"/>
      </w:tblPr>
      <w:tblGrid>
        <w:gridCol w:w="3020"/>
        <w:gridCol w:w="3020"/>
        <w:gridCol w:w="2602"/>
      </w:tblGrid>
      <w:tr w:rsidR="007A0840" w:rsidRPr="0001618C" w14:paraId="6D9F61B0" w14:textId="77777777" w:rsidTr="007A0840">
        <w:tc>
          <w:tcPr>
            <w:tcW w:w="3020" w:type="dxa"/>
            <w:shd w:val="clear" w:color="auto" w:fill="8DB3E2" w:themeFill="text2" w:themeFillTint="66"/>
          </w:tcPr>
          <w:p w14:paraId="7AFEFCF7" w14:textId="77777777" w:rsidR="007A0840" w:rsidRPr="0001618C" w:rsidRDefault="007A0840" w:rsidP="007A0840">
            <w:pPr>
              <w:rPr>
                <w:b/>
                <w:highlight w:val="yellow"/>
              </w:rPr>
            </w:pPr>
            <w:r w:rsidRPr="0001618C">
              <w:rPr>
                <w:rFonts w:cs="Arial"/>
                <w:b/>
                <w:bCs/>
                <w:lang w:val="en-AU"/>
              </w:rPr>
              <w:t>Commodity</w:t>
            </w:r>
          </w:p>
        </w:tc>
        <w:tc>
          <w:tcPr>
            <w:tcW w:w="3020" w:type="dxa"/>
            <w:shd w:val="clear" w:color="auto" w:fill="8DB3E2" w:themeFill="text2" w:themeFillTint="66"/>
          </w:tcPr>
          <w:p w14:paraId="233B8EF6" w14:textId="77777777" w:rsidR="007A0840" w:rsidRPr="0001618C" w:rsidRDefault="007A0840" w:rsidP="007A0840">
            <w:pPr>
              <w:rPr>
                <w:b/>
                <w:highlight w:val="yellow"/>
              </w:rPr>
            </w:pPr>
            <w:r w:rsidRPr="0001618C">
              <w:rPr>
                <w:rFonts w:cs="Arial"/>
                <w:b/>
                <w:bCs/>
                <w:lang w:val="en-AU"/>
              </w:rPr>
              <w:t>Pathogen</w:t>
            </w:r>
          </w:p>
        </w:tc>
        <w:tc>
          <w:tcPr>
            <w:tcW w:w="2602" w:type="dxa"/>
            <w:shd w:val="clear" w:color="auto" w:fill="8DB3E2" w:themeFill="text2" w:themeFillTint="66"/>
          </w:tcPr>
          <w:p w14:paraId="3EE83754" w14:textId="77777777" w:rsidR="007A0840" w:rsidRPr="0001618C" w:rsidRDefault="007A0840" w:rsidP="007A0840">
            <w:pPr>
              <w:rPr>
                <w:b/>
                <w:highlight w:val="yellow"/>
              </w:rPr>
            </w:pPr>
            <w:r w:rsidRPr="0001618C">
              <w:rPr>
                <w:rFonts w:cs="Arial"/>
                <w:b/>
                <w:bCs/>
                <w:lang w:val="en-AU"/>
              </w:rPr>
              <w:t>Median % attribution</w:t>
            </w:r>
          </w:p>
        </w:tc>
      </w:tr>
      <w:tr w:rsidR="007A0840" w:rsidRPr="0001618C" w14:paraId="4A56D8AC" w14:textId="77777777" w:rsidTr="00B50E47">
        <w:tc>
          <w:tcPr>
            <w:tcW w:w="3020" w:type="dxa"/>
            <w:vMerge w:val="restart"/>
            <w:shd w:val="clear" w:color="auto" w:fill="auto"/>
          </w:tcPr>
          <w:p w14:paraId="0767C587" w14:textId="5C7F3DF1" w:rsidR="007A0840" w:rsidRPr="0001618C" w:rsidRDefault="00260A94" w:rsidP="007A0840">
            <w:pPr>
              <w:rPr>
                <w:b/>
              </w:rPr>
            </w:pPr>
            <w:r w:rsidRPr="00260A94">
              <w:t>Berries</w:t>
            </w:r>
          </w:p>
        </w:tc>
        <w:tc>
          <w:tcPr>
            <w:tcW w:w="3020" w:type="dxa"/>
            <w:shd w:val="clear" w:color="auto" w:fill="auto"/>
          </w:tcPr>
          <w:p w14:paraId="331177BA" w14:textId="77777777" w:rsidR="007A0840" w:rsidRPr="0001618C" w:rsidRDefault="007A0840" w:rsidP="007A0840">
            <w:pPr>
              <w:rPr>
                <w:b/>
              </w:rPr>
            </w:pPr>
            <w:proofErr w:type="spellStart"/>
            <w:r w:rsidRPr="0001618C">
              <w:rPr>
                <w:rFonts w:cs="Arial"/>
                <w:lang w:val="en-AU"/>
              </w:rPr>
              <w:t>NoV</w:t>
            </w:r>
            <w:proofErr w:type="spellEnd"/>
          </w:p>
        </w:tc>
        <w:tc>
          <w:tcPr>
            <w:tcW w:w="2602" w:type="dxa"/>
            <w:shd w:val="clear" w:color="auto" w:fill="auto"/>
          </w:tcPr>
          <w:p w14:paraId="402AF070" w14:textId="77777777" w:rsidR="007A0840" w:rsidRPr="0001618C" w:rsidRDefault="007A0840" w:rsidP="00E93FAA">
            <w:pPr>
              <w:jc w:val="right"/>
              <w:rPr>
                <w:b/>
              </w:rPr>
            </w:pPr>
            <w:r w:rsidRPr="0001618C">
              <w:rPr>
                <w:rFonts w:cs="Arial"/>
                <w:lang w:val="en-AU"/>
              </w:rPr>
              <w:t>0.6</w:t>
            </w:r>
          </w:p>
        </w:tc>
      </w:tr>
      <w:tr w:rsidR="007A0840" w:rsidRPr="0001618C" w14:paraId="1BCF87A3" w14:textId="77777777" w:rsidTr="00B50E47">
        <w:tc>
          <w:tcPr>
            <w:tcW w:w="3020" w:type="dxa"/>
            <w:vMerge/>
            <w:shd w:val="clear" w:color="auto" w:fill="auto"/>
          </w:tcPr>
          <w:p w14:paraId="00C30C1D" w14:textId="77777777" w:rsidR="007A0840" w:rsidRPr="0001618C" w:rsidRDefault="007A0840" w:rsidP="007A0840">
            <w:pPr>
              <w:rPr>
                <w:b/>
              </w:rPr>
            </w:pPr>
          </w:p>
        </w:tc>
        <w:tc>
          <w:tcPr>
            <w:tcW w:w="3020" w:type="dxa"/>
            <w:shd w:val="clear" w:color="auto" w:fill="auto"/>
          </w:tcPr>
          <w:p w14:paraId="55B46EE7" w14:textId="77777777" w:rsidR="007A0840" w:rsidRPr="0001618C" w:rsidRDefault="007A0840" w:rsidP="007A0840">
            <w:pPr>
              <w:rPr>
                <w:b/>
              </w:rPr>
            </w:pPr>
            <w:r w:rsidRPr="0001618C">
              <w:rPr>
                <w:rFonts w:cs="Arial"/>
                <w:lang w:val="en-AU"/>
              </w:rPr>
              <w:t>STEC</w:t>
            </w:r>
          </w:p>
        </w:tc>
        <w:tc>
          <w:tcPr>
            <w:tcW w:w="2602" w:type="dxa"/>
            <w:shd w:val="clear" w:color="auto" w:fill="auto"/>
          </w:tcPr>
          <w:p w14:paraId="060F80DE" w14:textId="77777777" w:rsidR="007A0840" w:rsidRPr="0001618C" w:rsidRDefault="007A0840" w:rsidP="00E93FAA">
            <w:pPr>
              <w:jc w:val="right"/>
              <w:rPr>
                <w:b/>
              </w:rPr>
            </w:pPr>
            <w:r w:rsidRPr="0001618C">
              <w:rPr>
                <w:rFonts w:cs="Arial"/>
                <w:lang w:val="en-AU"/>
              </w:rPr>
              <w:t>1.0</w:t>
            </w:r>
          </w:p>
        </w:tc>
      </w:tr>
      <w:tr w:rsidR="007A0840" w:rsidRPr="0001618C" w14:paraId="3E186635" w14:textId="77777777" w:rsidTr="00B50E47">
        <w:tc>
          <w:tcPr>
            <w:tcW w:w="3020" w:type="dxa"/>
            <w:vMerge w:val="restart"/>
            <w:shd w:val="clear" w:color="auto" w:fill="auto"/>
          </w:tcPr>
          <w:p w14:paraId="03933A88" w14:textId="77777777" w:rsidR="007A0840" w:rsidRPr="004C1A6E" w:rsidRDefault="007A0840" w:rsidP="007A0840">
            <w:r w:rsidRPr="004C1A6E">
              <w:t>Leafy vegetables</w:t>
            </w:r>
          </w:p>
        </w:tc>
        <w:tc>
          <w:tcPr>
            <w:tcW w:w="3020" w:type="dxa"/>
            <w:shd w:val="clear" w:color="auto" w:fill="auto"/>
          </w:tcPr>
          <w:p w14:paraId="42391D5E" w14:textId="5D25887E" w:rsidR="007A0840" w:rsidRPr="0001618C" w:rsidRDefault="007A0840" w:rsidP="000F1826">
            <w:pPr>
              <w:rPr>
                <w:rFonts w:cs="Arial"/>
                <w:lang w:val="en-AU"/>
              </w:rPr>
            </w:pPr>
            <w:r w:rsidRPr="0001618C">
              <w:rPr>
                <w:rFonts w:cs="Arial"/>
                <w:i/>
                <w:iCs/>
                <w:lang w:val="en-AU"/>
              </w:rPr>
              <w:t>L</w:t>
            </w:r>
            <w:r w:rsidR="000F1826">
              <w:rPr>
                <w:rFonts w:cs="Arial"/>
                <w:i/>
                <w:iCs/>
                <w:lang w:val="en-AU"/>
              </w:rPr>
              <w:t>.</w:t>
            </w:r>
            <w:r w:rsidRPr="0001618C">
              <w:rPr>
                <w:rFonts w:cs="Arial"/>
                <w:lang w:val="en-AU"/>
              </w:rPr>
              <w:t xml:space="preserve"> </w:t>
            </w:r>
            <w:r w:rsidRPr="0001618C">
              <w:rPr>
                <w:rFonts w:cs="Arial"/>
                <w:i/>
                <w:iCs/>
                <w:lang w:val="en-AU"/>
              </w:rPr>
              <w:t>monocytogenes</w:t>
            </w:r>
          </w:p>
        </w:tc>
        <w:tc>
          <w:tcPr>
            <w:tcW w:w="2602" w:type="dxa"/>
            <w:shd w:val="clear" w:color="auto" w:fill="auto"/>
          </w:tcPr>
          <w:p w14:paraId="24286E33" w14:textId="77777777" w:rsidR="007A0840" w:rsidRPr="0001618C" w:rsidRDefault="007A0840" w:rsidP="00E93FAA">
            <w:pPr>
              <w:jc w:val="right"/>
              <w:rPr>
                <w:rFonts w:cs="Arial"/>
                <w:lang w:val="en-AU"/>
              </w:rPr>
            </w:pPr>
            <w:r w:rsidRPr="0001618C">
              <w:rPr>
                <w:rFonts w:cs="Arial"/>
                <w:lang w:val="en-AU"/>
              </w:rPr>
              <w:t>7.5</w:t>
            </w:r>
          </w:p>
        </w:tc>
      </w:tr>
      <w:tr w:rsidR="007A0840" w:rsidRPr="0001618C" w14:paraId="4F1E20B3" w14:textId="77777777" w:rsidTr="00B50E47">
        <w:tc>
          <w:tcPr>
            <w:tcW w:w="3020" w:type="dxa"/>
            <w:vMerge/>
            <w:shd w:val="clear" w:color="auto" w:fill="auto"/>
          </w:tcPr>
          <w:p w14:paraId="4915C443" w14:textId="77777777" w:rsidR="007A0840" w:rsidRPr="004C1A6E" w:rsidRDefault="007A0840" w:rsidP="007A0840"/>
        </w:tc>
        <w:tc>
          <w:tcPr>
            <w:tcW w:w="3020" w:type="dxa"/>
            <w:shd w:val="clear" w:color="auto" w:fill="auto"/>
          </w:tcPr>
          <w:p w14:paraId="63172357"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09B3BB1E" w14:textId="77777777" w:rsidR="007A0840" w:rsidRPr="0001618C" w:rsidRDefault="007A0840" w:rsidP="00E93FAA">
            <w:pPr>
              <w:jc w:val="right"/>
              <w:rPr>
                <w:rFonts w:cs="Arial"/>
                <w:lang w:val="en-AU"/>
              </w:rPr>
            </w:pPr>
            <w:r w:rsidRPr="0001618C">
              <w:rPr>
                <w:rFonts w:cs="Arial"/>
                <w:lang w:val="en-AU"/>
              </w:rPr>
              <w:t>1.7</w:t>
            </w:r>
          </w:p>
        </w:tc>
      </w:tr>
      <w:tr w:rsidR="007A0840" w:rsidRPr="0001618C" w14:paraId="77B39BC0" w14:textId="77777777" w:rsidTr="00B50E47">
        <w:tc>
          <w:tcPr>
            <w:tcW w:w="3020" w:type="dxa"/>
            <w:vMerge/>
            <w:shd w:val="clear" w:color="auto" w:fill="auto"/>
          </w:tcPr>
          <w:p w14:paraId="51D952B6" w14:textId="77777777" w:rsidR="007A0840" w:rsidRPr="004C1A6E" w:rsidRDefault="007A0840" w:rsidP="007A0840"/>
        </w:tc>
        <w:tc>
          <w:tcPr>
            <w:tcW w:w="3020" w:type="dxa"/>
            <w:shd w:val="clear" w:color="auto" w:fill="auto"/>
          </w:tcPr>
          <w:p w14:paraId="1946E83C" w14:textId="77777777" w:rsidR="007A0840" w:rsidRPr="0001618C" w:rsidRDefault="007A0840" w:rsidP="007A0840">
            <w:pPr>
              <w:rPr>
                <w:rFonts w:cs="Arial"/>
                <w:lang w:val="en-AU"/>
              </w:rPr>
            </w:pPr>
            <w:r w:rsidRPr="0001618C">
              <w:rPr>
                <w:rFonts w:cs="Arial"/>
                <w:lang w:val="en-AU"/>
              </w:rPr>
              <w:t>STEC</w:t>
            </w:r>
          </w:p>
        </w:tc>
        <w:tc>
          <w:tcPr>
            <w:tcW w:w="2602" w:type="dxa"/>
            <w:shd w:val="clear" w:color="auto" w:fill="auto"/>
          </w:tcPr>
          <w:p w14:paraId="504810A6" w14:textId="77777777" w:rsidR="007A0840" w:rsidRPr="0001618C" w:rsidRDefault="007A0840" w:rsidP="00E93FAA">
            <w:pPr>
              <w:jc w:val="right"/>
              <w:rPr>
                <w:rFonts w:cs="Arial"/>
                <w:lang w:val="en-AU"/>
              </w:rPr>
            </w:pPr>
            <w:r w:rsidRPr="0001618C">
              <w:rPr>
                <w:rFonts w:cs="Arial"/>
                <w:lang w:val="en-AU"/>
              </w:rPr>
              <w:t>5.0</w:t>
            </w:r>
          </w:p>
        </w:tc>
      </w:tr>
      <w:tr w:rsidR="007A0840" w:rsidRPr="0001618C" w14:paraId="69891782" w14:textId="77777777" w:rsidTr="00B50E47">
        <w:tc>
          <w:tcPr>
            <w:tcW w:w="3020" w:type="dxa"/>
            <w:vMerge w:val="restart"/>
            <w:shd w:val="clear" w:color="auto" w:fill="auto"/>
          </w:tcPr>
          <w:p w14:paraId="406B00B9" w14:textId="77777777" w:rsidR="007A0840" w:rsidRPr="004C1A6E" w:rsidRDefault="007A0840" w:rsidP="007A0840">
            <w:r w:rsidRPr="004C1A6E">
              <w:t>Melons</w:t>
            </w:r>
          </w:p>
        </w:tc>
        <w:tc>
          <w:tcPr>
            <w:tcW w:w="3020" w:type="dxa"/>
            <w:shd w:val="clear" w:color="auto" w:fill="auto"/>
          </w:tcPr>
          <w:p w14:paraId="6407894E" w14:textId="72509E21" w:rsidR="007A0840" w:rsidRPr="0001618C" w:rsidRDefault="007A0840" w:rsidP="000F1826">
            <w:pPr>
              <w:rPr>
                <w:rFonts w:cs="Arial"/>
                <w:lang w:val="en-AU"/>
              </w:rPr>
            </w:pPr>
            <w:r w:rsidRPr="0001618C">
              <w:rPr>
                <w:rFonts w:cs="Arial"/>
                <w:i/>
                <w:iCs/>
                <w:lang w:val="en-AU"/>
              </w:rPr>
              <w:t>L</w:t>
            </w:r>
            <w:r w:rsidR="000F1826">
              <w:rPr>
                <w:rFonts w:cs="Arial"/>
                <w:i/>
                <w:iCs/>
                <w:lang w:val="en-AU"/>
              </w:rPr>
              <w:t>.</w:t>
            </w:r>
            <w:r w:rsidRPr="0001618C">
              <w:rPr>
                <w:rFonts w:cs="Arial"/>
                <w:lang w:val="en-AU"/>
              </w:rPr>
              <w:t xml:space="preserve"> </w:t>
            </w:r>
            <w:r w:rsidRPr="0001618C">
              <w:rPr>
                <w:rFonts w:cs="Arial"/>
                <w:i/>
                <w:iCs/>
                <w:lang w:val="en-AU"/>
              </w:rPr>
              <w:t>monocytogenes</w:t>
            </w:r>
          </w:p>
        </w:tc>
        <w:tc>
          <w:tcPr>
            <w:tcW w:w="2602" w:type="dxa"/>
            <w:shd w:val="clear" w:color="auto" w:fill="auto"/>
          </w:tcPr>
          <w:p w14:paraId="102B55D9" w14:textId="77777777" w:rsidR="007A0840" w:rsidRPr="0001618C" w:rsidRDefault="007A0840" w:rsidP="00E93FAA">
            <w:pPr>
              <w:jc w:val="right"/>
              <w:rPr>
                <w:rFonts w:cs="Arial"/>
                <w:lang w:val="en-AU"/>
              </w:rPr>
            </w:pPr>
            <w:r w:rsidRPr="0001618C">
              <w:rPr>
                <w:rFonts w:cs="Arial"/>
                <w:lang w:val="en-AU"/>
              </w:rPr>
              <w:t>8.7</w:t>
            </w:r>
          </w:p>
        </w:tc>
      </w:tr>
      <w:tr w:rsidR="007A0840" w:rsidRPr="0001618C" w14:paraId="0CBC9058" w14:textId="77777777" w:rsidTr="00B50E47">
        <w:tc>
          <w:tcPr>
            <w:tcW w:w="3020" w:type="dxa"/>
            <w:vMerge/>
            <w:shd w:val="clear" w:color="auto" w:fill="DBE5F1" w:themeFill="accent1" w:themeFillTint="33"/>
          </w:tcPr>
          <w:p w14:paraId="4B57C079" w14:textId="77777777" w:rsidR="007A0840" w:rsidRPr="0001618C" w:rsidRDefault="007A0840" w:rsidP="007A0840">
            <w:pPr>
              <w:rPr>
                <w:b/>
              </w:rPr>
            </w:pPr>
          </w:p>
        </w:tc>
        <w:tc>
          <w:tcPr>
            <w:tcW w:w="3020" w:type="dxa"/>
            <w:shd w:val="clear" w:color="auto" w:fill="auto"/>
          </w:tcPr>
          <w:p w14:paraId="007FD188"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4295ED47" w14:textId="77777777" w:rsidR="007A0840" w:rsidRPr="0001618C" w:rsidRDefault="007A0840" w:rsidP="00E93FAA">
            <w:pPr>
              <w:jc w:val="right"/>
              <w:rPr>
                <w:rFonts w:cs="Arial"/>
                <w:lang w:val="en-AU"/>
              </w:rPr>
            </w:pPr>
            <w:r w:rsidRPr="0001618C">
              <w:rPr>
                <w:rFonts w:cs="Arial"/>
                <w:lang w:val="en-AU"/>
              </w:rPr>
              <w:t>0.9</w:t>
            </w:r>
          </w:p>
        </w:tc>
      </w:tr>
    </w:tbl>
    <w:p w14:paraId="38FA2CDA" w14:textId="66B6A563" w:rsidR="007A0840" w:rsidRPr="00624464" w:rsidRDefault="000F1826" w:rsidP="007A0840">
      <w:pPr>
        <w:rPr>
          <w:sz w:val="20"/>
        </w:rPr>
      </w:pPr>
      <w:r>
        <w:rPr>
          <w:i/>
          <w:sz w:val="20"/>
        </w:rPr>
        <w:t xml:space="preserve">L. = Listeria, </w:t>
      </w:r>
      <w:proofErr w:type="spellStart"/>
      <w:r w:rsidR="00624464">
        <w:rPr>
          <w:sz w:val="20"/>
        </w:rPr>
        <w:t>NoV</w:t>
      </w:r>
      <w:proofErr w:type="spellEnd"/>
      <w:r w:rsidR="00624464">
        <w:rPr>
          <w:sz w:val="20"/>
        </w:rPr>
        <w:t xml:space="preserve"> = norovirus,  STEC = </w:t>
      </w:r>
      <w:proofErr w:type="spellStart"/>
      <w:r w:rsidR="00624464">
        <w:rPr>
          <w:sz w:val="20"/>
        </w:rPr>
        <w:t>shiga</w:t>
      </w:r>
      <w:proofErr w:type="spellEnd"/>
      <w:r w:rsidR="00624464">
        <w:rPr>
          <w:sz w:val="20"/>
        </w:rPr>
        <w:t xml:space="preserve"> toxin-producing </w:t>
      </w:r>
      <w:r w:rsidR="00624464" w:rsidRPr="00624464">
        <w:rPr>
          <w:i/>
          <w:sz w:val="20"/>
        </w:rPr>
        <w:t>E. coli</w:t>
      </w:r>
      <w:r w:rsidR="00624464">
        <w:rPr>
          <w:sz w:val="20"/>
        </w:rPr>
        <w:t>.</w:t>
      </w:r>
    </w:p>
    <w:p w14:paraId="4772E1BD" w14:textId="77777777" w:rsidR="00624464" w:rsidRPr="0001618C" w:rsidRDefault="00624464" w:rsidP="007A0840">
      <w:pPr>
        <w:rPr>
          <w:b/>
          <w:highlight w:val="yellow"/>
        </w:rPr>
      </w:pPr>
    </w:p>
    <w:p w14:paraId="70977977" w14:textId="305BE9E8" w:rsidR="007A0840" w:rsidRPr="0001618C" w:rsidRDefault="007A0840" w:rsidP="007A0840">
      <w:pPr>
        <w:rPr>
          <w:szCs w:val="22"/>
          <w:lang w:bidi="ar-SA"/>
        </w:rPr>
      </w:pPr>
      <w:r w:rsidRPr="0001618C">
        <w:t xml:space="preserve">FSANZ used these percentages to </w:t>
      </w:r>
      <w:r w:rsidR="00BA271F">
        <w:t xml:space="preserve">then </w:t>
      </w:r>
      <w:r w:rsidRPr="0001618C">
        <w:t xml:space="preserve">estimate the annual cost of illness that can be </w:t>
      </w:r>
      <w:r w:rsidRPr="0001618C">
        <w:lastRenderedPageBreak/>
        <w:t xml:space="preserve">attributed to each of these sectors. </w:t>
      </w:r>
      <w:r w:rsidR="00BA271F">
        <w:t>Our</w:t>
      </w:r>
      <w:r w:rsidR="00A73E0A">
        <w:t xml:space="preserve"> </w:t>
      </w:r>
      <w:r w:rsidRPr="0001618C">
        <w:t xml:space="preserve">costings are in </w:t>
      </w:r>
      <w:r w:rsidR="000B18C5" w:rsidRPr="00004D72">
        <w:t xml:space="preserve">Table </w:t>
      </w:r>
      <w:r w:rsidR="009F3B89">
        <w:t>5</w:t>
      </w:r>
      <w:r w:rsidR="00A73E0A">
        <w:t xml:space="preserve"> and reflect the revised and more sophisticate</w:t>
      </w:r>
      <w:r w:rsidR="005A4E8E">
        <w:t>d Cost of Illness model that has</w:t>
      </w:r>
      <w:r w:rsidR="00A73E0A">
        <w:t xml:space="preserve"> substantially revised </w:t>
      </w:r>
      <w:r w:rsidR="00E90565" w:rsidRPr="00CA1D69">
        <w:rPr>
          <w:i/>
        </w:rPr>
        <w:t>S</w:t>
      </w:r>
      <w:r w:rsidR="00A73E0A" w:rsidRPr="00CA1D69">
        <w:rPr>
          <w:i/>
        </w:rPr>
        <w:t>almonella</w:t>
      </w:r>
      <w:r w:rsidR="00A73E0A">
        <w:t xml:space="preserve"> illness costs downwards</w:t>
      </w:r>
      <w:r w:rsidRPr="0001618C">
        <w:t xml:space="preserve">. </w:t>
      </w:r>
    </w:p>
    <w:p w14:paraId="7E1BB500" w14:textId="77777777" w:rsidR="007A0840" w:rsidRDefault="007A0840" w:rsidP="007A0840"/>
    <w:p w14:paraId="07FBBB10" w14:textId="01F3C5D2" w:rsidR="007A0840" w:rsidRPr="0001618C" w:rsidRDefault="000B18C5" w:rsidP="009D2DA6">
      <w:pPr>
        <w:keepNext/>
        <w:rPr>
          <w:b/>
        </w:rPr>
      </w:pPr>
      <w:r w:rsidRPr="00004D72">
        <w:rPr>
          <w:b/>
        </w:rPr>
        <w:t>Table</w:t>
      </w:r>
      <w:r w:rsidR="00004D72" w:rsidRPr="00004D72">
        <w:rPr>
          <w:b/>
        </w:rPr>
        <w:t xml:space="preserve"> </w:t>
      </w:r>
      <w:r w:rsidR="009F3B89">
        <w:rPr>
          <w:b/>
        </w:rPr>
        <w:t>5</w:t>
      </w:r>
      <w:r w:rsidR="00004D72" w:rsidRPr="00004D72">
        <w:rPr>
          <w:b/>
        </w:rPr>
        <w:t>.</w:t>
      </w:r>
      <w:r w:rsidRPr="00004D72">
        <w:rPr>
          <w:b/>
        </w:rPr>
        <w:t xml:space="preserve"> </w:t>
      </w:r>
      <w:r w:rsidR="00FC37E0">
        <w:rPr>
          <w:b/>
        </w:rPr>
        <w:t>E</w:t>
      </w:r>
      <w:r w:rsidR="007A0840" w:rsidRPr="00004D72">
        <w:rPr>
          <w:b/>
        </w:rPr>
        <w:t xml:space="preserve">stimates of annual cost of illness </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528"/>
      </w:tblGrid>
      <w:tr w:rsidR="007A0840" w14:paraId="3AB95AE1"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8DB3E2" w:themeFill="text2" w:themeFillTint="66"/>
            <w:hideMark/>
          </w:tcPr>
          <w:p w14:paraId="5F44043E" w14:textId="77777777" w:rsidR="007A0840" w:rsidRPr="00624464" w:rsidRDefault="007A0840" w:rsidP="009D2DA6">
            <w:pPr>
              <w:keepNext/>
              <w:rPr>
                <w:color w:val="auto"/>
              </w:rPr>
            </w:pPr>
            <w:r w:rsidRPr="00624464">
              <w:rPr>
                <w:color w:val="auto"/>
              </w:rPr>
              <w:t>Commodity</w:t>
            </w:r>
          </w:p>
        </w:tc>
        <w:tc>
          <w:tcPr>
            <w:tcW w:w="5528" w:type="dxa"/>
            <w:shd w:val="clear" w:color="auto" w:fill="8DB3E2" w:themeFill="text2" w:themeFillTint="66"/>
            <w:hideMark/>
          </w:tcPr>
          <w:p w14:paraId="4F63978A" w14:textId="77777777" w:rsidR="007A0840" w:rsidRPr="00624464" w:rsidRDefault="007A0840" w:rsidP="00B50E47">
            <w:pPr>
              <w:cnfStyle w:val="100000000000" w:firstRow="1" w:lastRow="0" w:firstColumn="0" w:lastColumn="0" w:oddVBand="0" w:evenVBand="0" w:oddHBand="0" w:evenHBand="0" w:firstRowFirstColumn="0" w:firstRowLastColumn="0" w:lastRowFirstColumn="0" w:lastRowLastColumn="0"/>
              <w:rPr>
                <w:color w:val="auto"/>
              </w:rPr>
            </w:pPr>
            <w:r w:rsidRPr="00624464">
              <w:rPr>
                <w:color w:val="auto"/>
              </w:rPr>
              <w:t>Total illness cost pa ($)</w:t>
            </w:r>
          </w:p>
        </w:tc>
      </w:tr>
      <w:tr w:rsidR="007A0840" w14:paraId="2C27DCA4"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73E04A18" w14:textId="77777777" w:rsidR="007A0840" w:rsidRDefault="007A0840" w:rsidP="007A0840">
            <w:r>
              <w:rPr>
                <w:b w:val="0"/>
              </w:rPr>
              <w:t>Berries</w:t>
            </w:r>
          </w:p>
        </w:tc>
        <w:tc>
          <w:tcPr>
            <w:tcW w:w="5528" w:type="dxa"/>
            <w:shd w:val="clear" w:color="auto" w:fill="auto"/>
            <w:hideMark/>
          </w:tcPr>
          <w:p w14:paraId="7C91E970" w14:textId="30CA3030" w:rsidR="007A0840" w:rsidRPr="008D33DD" w:rsidRDefault="007A0840" w:rsidP="008D33DD">
            <w:pPr>
              <w:pStyle w:val="ListParagraph"/>
              <w:numPr>
                <w:ilvl w:val="1"/>
                <w:numId w:val="22"/>
              </w:numPr>
              <w:jc w:val="right"/>
              <w:cnfStyle w:val="000000100000" w:firstRow="0" w:lastRow="0" w:firstColumn="0" w:lastColumn="0" w:oddVBand="0" w:evenVBand="0" w:oddHBand="1" w:evenHBand="0" w:firstRowFirstColumn="0" w:firstRowLastColumn="0" w:lastRowFirstColumn="0" w:lastRowLastColumn="0"/>
              <w:rPr>
                <w:b/>
              </w:rPr>
            </w:pPr>
            <w:r w:rsidRPr="008D33DD">
              <w:rPr>
                <w:b/>
              </w:rPr>
              <w:t>million</w:t>
            </w:r>
          </w:p>
          <w:p w14:paraId="7E876B2F" w14:textId="5747D79C" w:rsidR="008D33DD" w:rsidRPr="008D33DD" w:rsidRDefault="00402B23" w:rsidP="00C778AD">
            <w:pPr>
              <w:cnfStyle w:val="000000100000" w:firstRow="0" w:lastRow="0" w:firstColumn="0" w:lastColumn="0" w:oddVBand="0" w:evenVBand="0" w:oddHBand="1" w:evenHBand="0" w:firstRowFirstColumn="0" w:firstRowLastColumn="0" w:lastRowFirstColumn="0" w:lastRowLastColumn="0"/>
            </w:pPr>
            <w:proofErr w:type="spellStart"/>
            <w:r w:rsidRPr="00402B23">
              <w:t>NoV</w:t>
            </w:r>
            <w:proofErr w:type="spellEnd"/>
            <w:r w:rsidRPr="008D33DD">
              <w:t xml:space="preserve"> </w:t>
            </w:r>
            <w:r w:rsidR="008D33DD" w:rsidRPr="008D33DD">
              <w:t>contributes the highest cost, followed by STEC</w:t>
            </w:r>
          </w:p>
        </w:tc>
      </w:tr>
      <w:tr w:rsidR="007A0840" w14:paraId="6486ABF9" w14:textId="77777777" w:rsidTr="00BF00BA">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0484F15" w14:textId="77777777" w:rsidR="007A0840" w:rsidRPr="0001618C" w:rsidRDefault="007A0840" w:rsidP="007A0840">
            <w:pPr>
              <w:rPr>
                <w:b w:val="0"/>
              </w:rPr>
            </w:pPr>
            <w:r>
              <w:rPr>
                <w:b w:val="0"/>
              </w:rPr>
              <w:t>Leafy vegetables</w:t>
            </w:r>
          </w:p>
        </w:tc>
        <w:tc>
          <w:tcPr>
            <w:tcW w:w="5528" w:type="dxa"/>
            <w:shd w:val="clear" w:color="auto" w:fill="auto"/>
            <w:hideMark/>
          </w:tcPr>
          <w:p w14:paraId="6A331BA9" w14:textId="1F9967F8" w:rsidR="007A0840" w:rsidRPr="008D33DD" w:rsidRDefault="00D449EA" w:rsidP="00BF00BA">
            <w:pPr>
              <w:jc w:val="right"/>
              <w:cnfStyle w:val="000000000000" w:firstRow="0" w:lastRow="0" w:firstColumn="0" w:lastColumn="0" w:oddVBand="0" w:evenVBand="0" w:oddHBand="0" w:evenHBand="0" w:firstRowFirstColumn="0" w:firstRowLastColumn="0" w:lastRowFirstColumn="0" w:lastRowLastColumn="0"/>
              <w:rPr>
                <w:b/>
              </w:rPr>
            </w:pPr>
            <w:r>
              <w:rPr>
                <w:b/>
              </w:rPr>
              <w:t>9.3</w:t>
            </w:r>
            <w:r w:rsidR="007A0840" w:rsidRPr="008D33DD">
              <w:rPr>
                <w:b/>
              </w:rPr>
              <w:t xml:space="preserve"> million</w:t>
            </w:r>
          </w:p>
          <w:p w14:paraId="410E8164" w14:textId="502DD68E" w:rsidR="008D33DD" w:rsidRPr="0090288A" w:rsidRDefault="008D33DD" w:rsidP="00C778AD">
            <w:pPr>
              <w:cnfStyle w:val="000000000000" w:firstRow="0" w:lastRow="0" w:firstColumn="0" w:lastColumn="0" w:oddVBand="0" w:evenVBand="0" w:oddHBand="0" w:evenHBand="0" w:firstRowFirstColumn="0" w:firstRowLastColumn="0" w:lastRowFirstColumn="0" w:lastRowLastColumn="0"/>
              <w:rPr>
                <w:i/>
              </w:rPr>
            </w:pPr>
            <w:r w:rsidRPr="008D33DD">
              <w:rPr>
                <w:i/>
              </w:rPr>
              <w:t xml:space="preserve">Salmonella </w:t>
            </w:r>
            <w:r w:rsidRPr="008D33DD">
              <w:t>contributes the highest cost, followed by</w:t>
            </w:r>
            <w:r w:rsidRPr="008D33DD">
              <w:rPr>
                <w:i/>
              </w:rPr>
              <w:t xml:space="preserve"> L</w:t>
            </w:r>
            <w:r w:rsidR="00C778AD">
              <w:rPr>
                <w:i/>
              </w:rPr>
              <w:t>. monocytogenes</w:t>
            </w:r>
            <w:r w:rsidRPr="008D33DD">
              <w:rPr>
                <w:i/>
              </w:rPr>
              <w:t xml:space="preserve"> </w:t>
            </w:r>
            <w:r w:rsidRPr="008D33DD">
              <w:t>and</w:t>
            </w:r>
            <w:r w:rsidRPr="008D33DD">
              <w:rPr>
                <w:i/>
              </w:rPr>
              <w:t xml:space="preserve"> STEC</w:t>
            </w:r>
          </w:p>
        </w:tc>
      </w:tr>
      <w:tr w:rsidR="007A0840" w14:paraId="7C9B3FF9"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D8056B6" w14:textId="77777777" w:rsidR="007A0840" w:rsidRDefault="007A0840" w:rsidP="007A0840">
            <w:r>
              <w:rPr>
                <w:b w:val="0"/>
              </w:rPr>
              <w:t>Melons</w:t>
            </w:r>
          </w:p>
        </w:tc>
        <w:tc>
          <w:tcPr>
            <w:tcW w:w="5528" w:type="dxa"/>
            <w:shd w:val="clear" w:color="auto" w:fill="auto"/>
            <w:hideMark/>
          </w:tcPr>
          <w:p w14:paraId="2E4BD6CE" w14:textId="09924833" w:rsidR="007A0840" w:rsidRPr="008D33DD" w:rsidRDefault="00D449EA" w:rsidP="00BF00BA">
            <w:pPr>
              <w:jc w:val="right"/>
              <w:cnfStyle w:val="000000100000" w:firstRow="0" w:lastRow="0" w:firstColumn="0" w:lastColumn="0" w:oddVBand="0" w:evenVBand="0" w:oddHBand="1" w:evenHBand="0" w:firstRowFirstColumn="0" w:firstRowLastColumn="0" w:lastRowFirstColumn="0" w:lastRowLastColumn="0"/>
              <w:rPr>
                <w:b/>
              </w:rPr>
            </w:pPr>
            <w:r>
              <w:rPr>
                <w:b/>
              </w:rPr>
              <w:t>7</w:t>
            </w:r>
            <w:r w:rsidR="007A0840" w:rsidRPr="008D33DD">
              <w:rPr>
                <w:b/>
              </w:rPr>
              <w:t>.</w:t>
            </w:r>
            <w:r w:rsidR="00A73E0A" w:rsidRPr="008D33DD">
              <w:rPr>
                <w:b/>
              </w:rPr>
              <w:t>1</w:t>
            </w:r>
            <w:r w:rsidR="007A0840" w:rsidRPr="008D33DD">
              <w:rPr>
                <w:b/>
              </w:rPr>
              <w:t xml:space="preserve"> million</w:t>
            </w:r>
          </w:p>
          <w:p w14:paraId="5F8B4321" w14:textId="3CFE8B77" w:rsidR="008D33DD" w:rsidRDefault="00434659" w:rsidP="00C778AD">
            <w:pPr>
              <w:cnfStyle w:val="000000100000" w:firstRow="0" w:lastRow="0" w:firstColumn="0" w:lastColumn="0" w:oddVBand="0" w:evenVBand="0" w:oddHBand="1" w:evenHBand="0" w:firstRowFirstColumn="0" w:firstRowLastColumn="0" w:lastRowFirstColumn="0" w:lastRowLastColumn="0"/>
            </w:pPr>
            <w:r w:rsidRPr="008D33DD">
              <w:rPr>
                <w:i/>
              </w:rPr>
              <w:t>L</w:t>
            </w:r>
            <w:r w:rsidR="00C778AD">
              <w:rPr>
                <w:i/>
              </w:rPr>
              <w:t>. monocytogenes</w:t>
            </w:r>
            <w:r w:rsidRPr="008D33DD">
              <w:t xml:space="preserve"> </w:t>
            </w:r>
            <w:r w:rsidR="008D33DD" w:rsidRPr="008D33DD">
              <w:t xml:space="preserve">contributes the highest cost, followed by </w:t>
            </w:r>
            <w:r w:rsidRPr="008D33DD">
              <w:rPr>
                <w:i/>
              </w:rPr>
              <w:t>Salmonella</w:t>
            </w:r>
            <w:r w:rsidRPr="008D33DD">
              <w:t xml:space="preserve"> </w:t>
            </w:r>
          </w:p>
        </w:tc>
      </w:tr>
    </w:tbl>
    <w:p w14:paraId="21365F6E" w14:textId="77777777" w:rsidR="000F1826" w:rsidRPr="00624464" w:rsidRDefault="000F1826" w:rsidP="000F1826">
      <w:pPr>
        <w:rPr>
          <w:sz w:val="20"/>
        </w:rPr>
      </w:pPr>
      <w:r>
        <w:rPr>
          <w:i/>
          <w:sz w:val="20"/>
        </w:rPr>
        <w:t xml:space="preserve">L. = Listeria, </w:t>
      </w:r>
      <w:proofErr w:type="spellStart"/>
      <w:r>
        <w:rPr>
          <w:sz w:val="20"/>
        </w:rPr>
        <w:t>NoV</w:t>
      </w:r>
      <w:proofErr w:type="spellEnd"/>
      <w:r>
        <w:rPr>
          <w:sz w:val="20"/>
        </w:rPr>
        <w:t xml:space="preserve"> = norovirus,  STEC = </w:t>
      </w:r>
      <w:proofErr w:type="spellStart"/>
      <w:r>
        <w:rPr>
          <w:sz w:val="20"/>
        </w:rPr>
        <w:t>shiga</w:t>
      </w:r>
      <w:proofErr w:type="spellEnd"/>
      <w:r>
        <w:rPr>
          <w:sz w:val="20"/>
        </w:rPr>
        <w:t xml:space="preserve"> toxin-producing </w:t>
      </w:r>
      <w:r w:rsidRPr="00624464">
        <w:rPr>
          <w:i/>
          <w:sz w:val="20"/>
        </w:rPr>
        <w:t>E. coli</w:t>
      </w:r>
      <w:r>
        <w:rPr>
          <w:sz w:val="20"/>
        </w:rPr>
        <w:t>.</w:t>
      </w:r>
    </w:p>
    <w:p w14:paraId="05E23A82" w14:textId="0D07CE26" w:rsidR="000B261E" w:rsidRPr="000570EE" w:rsidRDefault="000B261E" w:rsidP="007A0840">
      <w:pPr>
        <w:rPr>
          <w:highlight w:val="yellow"/>
        </w:rPr>
      </w:pPr>
    </w:p>
    <w:p w14:paraId="3BED4E18" w14:textId="06DC99F2" w:rsidR="000B261E" w:rsidRPr="00466B7B" w:rsidRDefault="000B261E" w:rsidP="007A0840">
      <w:r w:rsidRPr="008D33DD">
        <w:rPr>
          <w:lang w:val="en-AU"/>
        </w:rPr>
        <w:t>Estimated costs of illness and estimated benefits of reducing illnesses are based on a cost model that accounts for costs of visit</w:t>
      </w:r>
      <w:r w:rsidR="00FC7899">
        <w:rPr>
          <w:lang w:val="en-AU"/>
        </w:rPr>
        <w:t xml:space="preserve">s to </w:t>
      </w:r>
      <w:r w:rsidR="00C778AD">
        <w:rPr>
          <w:lang w:val="en-AU"/>
        </w:rPr>
        <w:t>general practitioners</w:t>
      </w:r>
      <w:r w:rsidR="00FC7899">
        <w:rPr>
          <w:lang w:val="en-AU"/>
        </w:rPr>
        <w:t xml:space="preserve"> from a food</w:t>
      </w:r>
      <w:r w:rsidRPr="008D33DD">
        <w:rPr>
          <w:lang w:val="en-AU"/>
        </w:rPr>
        <w:t>borne illness, hospitalisati</w:t>
      </w:r>
      <w:r w:rsidR="00FC7899">
        <w:rPr>
          <w:lang w:val="en-AU"/>
        </w:rPr>
        <w:t>ons for some people with a food</w:t>
      </w:r>
      <w:r w:rsidRPr="008D33DD">
        <w:rPr>
          <w:lang w:val="en-AU"/>
        </w:rPr>
        <w:t xml:space="preserve">borne illness, lost working days, </w:t>
      </w:r>
      <w:r w:rsidR="00A331C9" w:rsidRPr="008D33DD">
        <w:rPr>
          <w:lang w:val="en-AU"/>
        </w:rPr>
        <w:t>willingness to pay money to avoid illnesses and the value of a human life for those that die from a foodborne illness.</w:t>
      </w:r>
    </w:p>
    <w:p w14:paraId="443A3725" w14:textId="4B575859" w:rsidR="007A0840" w:rsidRPr="008D07E5" w:rsidRDefault="007A0840" w:rsidP="00B50E47">
      <w:pPr>
        <w:pStyle w:val="Heading3"/>
      </w:pPr>
      <w:bookmarkStart w:id="430" w:name="_Toc85540177"/>
      <w:bookmarkStart w:id="431" w:name="_Toc85626182"/>
      <w:bookmarkStart w:id="432" w:name="_Toc85635315"/>
      <w:bookmarkStart w:id="433" w:name="_Toc97643869"/>
      <w:bookmarkStart w:id="434" w:name="_Toc97653254"/>
      <w:bookmarkStart w:id="435" w:name="_Toc97739406"/>
      <w:bookmarkStart w:id="436" w:name="_Toc97823823"/>
      <w:bookmarkStart w:id="437" w:name="_Toc97823987"/>
      <w:r w:rsidRPr="008D07E5">
        <w:t xml:space="preserve">Summary of the </w:t>
      </w:r>
      <w:r w:rsidR="00AF4433">
        <w:t xml:space="preserve">costs and benefits of the </w:t>
      </w:r>
      <w:r w:rsidRPr="008D07E5">
        <w:t>status quo</w:t>
      </w:r>
      <w:bookmarkEnd w:id="430"/>
      <w:bookmarkEnd w:id="431"/>
      <w:bookmarkEnd w:id="432"/>
      <w:bookmarkEnd w:id="433"/>
      <w:bookmarkEnd w:id="434"/>
      <w:bookmarkEnd w:id="435"/>
      <w:bookmarkEnd w:id="436"/>
      <w:bookmarkEnd w:id="437"/>
    </w:p>
    <w:p w14:paraId="08626A2D" w14:textId="4D7C8B88" w:rsidR="007A0840" w:rsidRPr="00BC2491" w:rsidRDefault="004D50E0" w:rsidP="007A0840">
      <w:r>
        <w:t xml:space="preserve">Under </w:t>
      </w:r>
      <w:r w:rsidR="007A0840" w:rsidRPr="00BC2491">
        <w:t xml:space="preserve">the status </w:t>
      </w:r>
      <w:r>
        <w:t>quo</w:t>
      </w:r>
      <w:r w:rsidR="007A0840">
        <w:t xml:space="preserve"> the following can be expected</w:t>
      </w:r>
      <w:r w:rsidR="007A0840" w:rsidRPr="00BC2491">
        <w:t>:</w:t>
      </w:r>
    </w:p>
    <w:p w14:paraId="428FEAC2" w14:textId="6CBB9DBC" w:rsidR="007A0840" w:rsidRPr="00BC2491" w:rsidRDefault="009C21F9"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continued o</w:t>
      </w:r>
      <w:r w:rsidR="007A0840" w:rsidRPr="00BC2491">
        <w:rPr>
          <w:rFonts w:eastAsiaTheme="minorHAnsi" w:cstheme="minorBidi"/>
          <w:szCs w:val="22"/>
          <w:lang w:bidi="ar-SA"/>
        </w:rPr>
        <w:t>utbreaks, illness, deaths, recalls and incidents</w:t>
      </w:r>
      <w:r w:rsidR="00A7132B">
        <w:rPr>
          <w:rFonts w:eastAsiaTheme="minorHAnsi" w:cstheme="minorBidi"/>
          <w:szCs w:val="22"/>
          <w:lang w:bidi="ar-SA"/>
        </w:rPr>
        <w:t>,</w:t>
      </w:r>
      <w:r w:rsidR="007A0840">
        <w:rPr>
          <w:rFonts w:eastAsiaTheme="minorHAnsi" w:cstheme="minorBidi"/>
          <w:szCs w:val="22"/>
          <w:lang w:bidi="ar-SA"/>
        </w:rPr>
        <w:t xml:space="preserve"> </w:t>
      </w:r>
      <w:r w:rsidR="00AF211A">
        <w:rPr>
          <w:rFonts w:eastAsiaTheme="minorHAnsi" w:cstheme="minorBidi"/>
          <w:szCs w:val="22"/>
          <w:lang w:bidi="ar-SA"/>
        </w:rPr>
        <w:t>noting</w:t>
      </w:r>
      <w:r w:rsidR="008D33DD">
        <w:rPr>
          <w:rFonts w:eastAsiaTheme="minorHAnsi" w:cstheme="minorBidi"/>
          <w:szCs w:val="22"/>
          <w:lang w:bidi="ar-SA"/>
        </w:rPr>
        <w:t xml:space="preserve"> </w:t>
      </w:r>
      <w:r w:rsidR="00110F38">
        <w:rPr>
          <w:rFonts w:eastAsiaTheme="minorHAnsi" w:cstheme="minorBidi"/>
          <w:szCs w:val="22"/>
          <w:lang w:bidi="ar-SA"/>
        </w:rPr>
        <w:t>potential</w:t>
      </w:r>
      <w:r w:rsidR="00110F38" w:rsidRPr="00BC2491">
        <w:rPr>
          <w:rFonts w:eastAsiaTheme="minorHAnsi" w:cstheme="minorBidi"/>
          <w:szCs w:val="22"/>
          <w:lang w:bidi="ar-SA"/>
        </w:rPr>
        <w:t xml:space="preserve"> </w:t>
      </w:r>
      <w:r w:rsidR="007A0840" w:rsidRPr="00BC2491">
        <w:rPr>
          <w:rFonts w:eastAsiaTheme="minorHAnsi" w:cstheme="minorBidi"/>
          <w:szCs w:val="22"/>
          <w:lang w:bidi="ar-SA"/>
        </w:rPr>
        <w:t>reductions in</w:t>
      </w:r>
      <w:r w:rsidR="008D33DD">
        <w:rPr>
          <w:rFonts w:eastAsiaTheme="minorHAnsi" w:cstheme="minorBidi"/>
          <w:szCs w:val="22"/>
          <w:lang w:bidi="ar-SA"/>
        </w:rPr>
        <w:t xml:space="preserve"> future</w:t>
      </w:r>
      <w:r w:rsidR="007A0840" w:rsidRPr="00BC2491">
        <w:rPr>
          <w:rFonts w:eastAsiaTheme="minorHAnsi" w:cstheme="minorBidi"/>
          <w:szCs w:val="22"/>
          <w:lang w:bidi="ar-SA"/>
        </w:rPr>
        <w:t xml:space="preserve"> melon incidents due to improved safet</w:t>
      </w:r>
      <w:r w:rsidR="008D33DD">
        <w:rPr>
          <w:rFonts w:eastAsiaTheme="minorHAnsi" w:cstheme="minorBidi"/>
          <w:szCs w:val="22"/>
          <w:lang w:bidi="ar-SA"/>
        </w:rPr>
        <w:t xml:space="preserve">y practices implemented by </w:t>
      </w:r>
      <w:r w:rsidR="007A0840" w:rsidRPr="00BC2491">
        <w:rPr>
          <w:rFonts w:eastAsiaTheme="minorHAnsi" w:cstheme="minorBidi"/>
          <w:szCs w:val="22"/>
          <w:lang w:bidi="ar-SA"/>
        </w:rPr>
        <w:t>melon growers since 2018</w:t>
      </w:r>
    </w:p>
    <w:p w14:paraId="262DE6F9" w14:textId="6AB7D2E3" w:rsidR="007A0840" w:rsidRDefault="00A7132B"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 xml:space="preserve">annual </w:t>
      </w:r>
      <w:r w:rsidR="007A0840" w:rsidRPr="00BC2491">
        <w:rPr>
          <w:rFonts w:eastAsiaTheme="minorHAnsi" w:cstheme="minorBidi"/>
          <w:szCs w:val="22"/>
          <w:lang w:bidi="ar-SA"/>
        </w:rPr>
        <w:t>cost</w:t>
      </w:r>
      <w:r w:rsidR="00FB48D5">
        <w:rPr>
          <w:rFonts w:eastAsiaTheme="minorHAnsi" w:cstheme="minorBidi"/>
          <w:szCs w:val="22"/>
          <w:lang w:bidi="ar-SA"/>
        </w:rPr>
        <w:t>s</w:t>
      </w:r>
      <w:r w:rsidR="007A0840" w:rsidRPr="00BC2491">
        <w:rPr>
          <w:rFonts w:eastAsiaTheme="minorHAnsi" w:cstheme="minorBidi"/>
          <w:szCs w:val="22"/>
          <w:lang w:bidi="ar-SA"/>
        </w:rPr>
        <w:t xml:space="preserve"> of illness described above</w:t>
      </w:r>
      <w:r>
        <w:rPr>
          <w:rFonts w:eastAsiaTheme="minorHAnsi" w:cstheme="minorBidi"/>
          <w:szCs w:val="22"/>
          <w:lang w:bidi="ar-SA"/>
        </w:rPr>
        <w:t xml:space="preserve"> </w:t>
      </w:r>
      <w:r w:rsidR="00110F38">
        <w:rPr>
          <w:rFonts w:eastAsiaTheme="minorHAnsi" w:cstheme="minorBidi"/>
          <w:szCs w:val="22"/>
          <w:lang w:bidi="ar-SA"/>
        </w:rPr>
        <w:t xml:space="preserve">would remain </w:t>
      </w:r>
      <w:r>
        <w:rPr>
          <w:rFonts w:eastAsiaTheme="minorHAnsi" w:cstheme="minorBidi"/>
          <w:szCs w:val="22"/>
          <w:lang w:bidi="ar-SA"/>
        </w:rPr>
        <w:t>(</w:t>
      </w:r>
      <w:r w:rsidR="007A0840" w:rsidRPr="00BC2491">
        <w:rPr>
          <w:rFonts w:eastAsiaTheme="minorHAnsi" w:cstheme="minorBidi"/>
          <w:szCs w:val="22"/>
          <w:lang w:bidi="ar-SA"/>
        </w:rPr>
        <w:t xml:space="preserve">i.e. </w:t>
      </w:r>
      <w:r w:rsidR="008D33DD" w:rsidRPr="008D33DD">
        <w:rPr>
          <w:rFonts w:eastAsiaTheme="minorHAnsi" w:cstheme="minorBidi"/>
          <w:szCs w:val="22"/>
          <w:lang w:bidi="ar-SA"/>
        </w:rPr>
        <w:t>berries $</w:t>
      </w:r>
      <w:r w:rsidR="00F628F9">
        <w:rPr>
          <w:rFonts w:eastAsiaTheme="minorHAnsi" w:cstheme="minorBidi"/>
          <w:szCs w:val="22"/>
          <w:lang w:bidi="ar-SA"/>
        </w:rPr>
        <w:t>4.4 million, leafy vegetables $9.3 million, melons $7</w:t>
      </w:r>
      <w:r w:rsidR="008D33DD" w:rsidRPr="008D33DD">
        <w:rPr>
          <w:rFonts w:eastAsiaTheme="minorHAnsi" w:cstheme="minorBidi"/>
          <w:szCs w:val="22"/>
          <w:lang w:bidi="ar-SA"/>
        </w:rPr>
        <w:t>.1</w:t>
      </w:r>
      <w:r w:rsidR="007A0840" w:rsidRPr="008D33DD">
        <w:rPr>
          <w:rFonts w:eastAsiaTheme="minorHAnsi" w:cstheme="minorBidi"/>
          <w:szCs w:val="22"/>
          <w:lang w:bidi="ar-SA"/>
        </w:rPr>
        <w:t xml:space="preserve"> million</w:t>
      </w:r>
      <w:r w:rsidRPr="008D33DD">
        <w:rPr>
          <w:rFonts w:eastAsiaTheme="minorHAnsi" w:cstheme="minorBidi"/>
          <w:szCs w:val="22"/>
          <w:lang w:bidi="ar-SA"/>
        </w:rPr>
        <w:t>)</w:t>
      </w:r>
    </w:p>
    <w:p w14:paraId="4A02B7C5" w14:textId="31563D57" w:rsidR="007A0840" w:rsidRPr="008D07E5" w:rsidRDefault="007A0840" w:rsidP="006354B0">
      <w:pPr>
        <w:widowControl/>
        <w:numPr>
          <w:ilvl w:val="0"/>
          <w:numId w:val="7"/>
        </w:numPr>
        <w:contextualSpacing/>
        <w:rPr>
          <w:rFonts w:eastAsiaTheme="minorHAnsi" w:cs="Arial"/>
        </w:rPr>
      </w:pPr>
      <w:r w:rsidRPr="00BC2491">
        <w:rPr>
          <w:rFonts w:eastAsiaTheme="minorHAnsi" w:cs="Arial"/>
        </w:rPr>
        <w:t>no additional benefits in terms of food safety</w:t>
      </w:r>
    </w:p>
    <w:p w14:paraId="768413F6" w14:textId="121B482A" w:rsidR="00FB48D5" w:rsidRPr="00BC2491" w:rsidRDefault="00FB48D5" w:rsidP="00FB48D5">
      <w:pPr>
        <w:widowControl/>
        <w:numPr>
          <w:ilvl w:val="0"/>
          <w:numId w:val="7"/>
        </w:numPr>
        <w:contextualSpacing/>
        <w:rPr>
          <w:rFonts w:eastAsiaTheme="minorHAnsi" w:cstheme="minorBidi"/>
          <w:szCs w:val="22"/>
          <w:lang w:bidi="ar-SA"/>
        </w:rPr>
      </w:pPr>
      <w:r w:rsidRPr="00BC2491">
        <w:rPr>
          <w:rFonts w:eastAsiaTheme="minorHAnsi" w:cs="Arial"/>
          <w:szCs w:val="22"/>
          <w:lang w:bidi="ar-SA"/>
        </w:rPr>
        <w:t>no nationally consistent set of regulatory requirements for berries, leafy vegetables or melon</w:t>
      </w:r>
      <w:r w:rsidR="009C21F9">
        <w:rPr>
          <w:rFonts w:eastAsiaTheme="minorHAnsi" w:cs="Arial"/>
          <w:szCs w:val="22"/>
          <w:lang w:bidi="ar-SA"/>
        </w:rPr>
        <w:t>s</w:t>
      </w:r>
    </w:p>
    <w:p w14:paraId="579BF931" w14:textId="5CEDDBF0" w:rsidR="00FB48D5" w:rsidRPr="00BC2491" w:rsidRDefault="00FB48D5" w:rsidP="00FB48D5">
      <w:pPr>
        <w:widowControl/>
        <w:numPr>
          <w:ilvl w:val="0"/>
          <w:numId w:val="7"/>
        </w:numPr>
        <w:contextualSpacing/>
        <w:rPr>
          <w:rFonts w:eastAsiaTheme="minorHAnsi" w:cstheme="minorBidi"/>
          <w:szCs w:val="22"/>
          <w:lang w:bidi="ar-SA"/>
        </w:rPr>
      </w:pPr>
      <w:r w:rsidRPr="00BC2491">
        <w:rPr>
          <w:rFonts w:eastAsiaTheme="minorHAnsi" w:cs="Arial"/>
          <w:szCs w:val="22"/>
          <w:lang w:bidi="ar-SA"/>
        </w:rPr>
        <w:t xml:space="preserve">no nationally consistent set of non-regulatory </w:t>
      </w:r>
      <w:r>
        <w:rPr>
          <w:rFonts w:eastAsiaTheme="minorHAnsi" w:cs="Arial"/>
          <w:szCs w:val="22"/>
          <w:lang w:bidi="ar-SA"/>
        </w:rPr>
        <w:t>measures</w:t>
      </w:r>
      <w:r w:rsidR="009C21F9">
        <w:rPr>
          <w:rFonts w:eastAsiaTheme="minorHAnsi" w:cs="Arial"/>
          <w:szCs w:val="22"/>
          <w:lang w:bidi="ar-SA"/>
        </w:rPr>
        <w:t xml:space="preserve"> (F</w:t>
      </w:r>
      <w:r w:rsidRPr="00BC2491">
        <w:rPr>
          <w:rFonts w:eastAsiaTheme="minorHAnsi" w:cs="Arial"/>
          <w:szCs w:val="22"/>
          <w:lang w:bidi="ar-SA"/>
        </w:rPr>
        <w:t>SANZ acknowledge</w:t>
      </w:r>
      <w:r>
        <w:rPr>
          <w:rFonts w:eastAsiaTheme="minorHAnsi" w:cs="Arial"/>
          <w:szCs w:val="22"/>
          <w:lang w:bidi="ar-SA"/>
        </w:rPr>
        <w:t>s</w:t>
      </w:r>
      <w:r w:rsidRPr="00BC2491">
        <w:rPr>
          <w:rFonts w:eastAsiaTheme="minorHAnsi" w:cs="Arial"/>
          <w:szCs w:val="22"/>
          <w:lang w:bidi="ar-SA"/>
        </w:rPr>
        <w:t xml:space="preserve"> industry </w:t>
      </w:r>
      <w:r>
        <w:rPr>
          <w:rFonts w:eastAsiaTheme="minorHAnsi" w:cs="Arial"/>
          <w:szCs w:val="22"/>
          <w:lang w:bidi="ar-SA"/>
        </w:rPr>
        <w:t>uptake</w:t>
      </w:r>
      <w:r w:rsidRPr="00BC2491">
        <w:rPr>
          <w:rFonts w:eastAsiaTheme="minorHAnsi" w:cs="Arial"/>
          <w:szCs w:val="22"/>
          <w:lang w:bidi="ar-SA"/>
        </w:rPr>
        <w:t xml:space="preserve"> of FSS</w:t>
      </w:r>
      <w:r w:rsidR="009C21F9">
        <w:rPr>
          <w:rFonts w:eastAsiaTheme="minorHAnsi" w:cs="Arial"/>
          <w:szCs w:val="22"/>
          <w:lang w:bidi="ar-SA"/>
        </w:rPr>
        <w:t>)</w:t>
      </w:r>
    </w:p>
    <w:p w14:paraId="6CCE774F" w14:textId="330F1E1A" w:rsidR="007A0840" w:rsidRDefault="009C21F9" w:rsidP="00FB48D5">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continue</w:t>
      </w:r>
      <w:r>
        <w:rPr>
          <w:rFonts w:eastAsiaTheme="minorHAnsi" w:cstheme="minorBidi"/>
          <w:szCs w:val="22"/>
          <w:lang w:bidi="ar-SA"/>
        </w:rPr>
        <w:t>d</w:t>
      </w:r>
      <w:r w:rsidRPr="00BC2491">
        <w:rPr>
          <w:rFonts w:eastAsiaTheme="minorHAnsi" w:cstheme="minorBidi"/>
          <w:szCs w:val="22"/>
          <w:lang w:bidi="ar-SA"/>
        </w:rPr>
        <w:t xml:space="preserve"> uneven playing field for industry and </w:t>
      </w:r>
      <w:r>
        <w:rPr>
          <w:rFonts w:eastAsiaTheme="minorHAnsi" w:cstheme="minorBidi"/>
          <w:szCs w:val="22"/>
          <w:lang w:bidi="ar-SA"/>
        </w:rPr>
        <w:t>a</w:t>
      </w:r>
      <w:r w:rsidRPr="00BC2491">
        <w:rPr>
          <w:rFonts w:eastAsiaTheme="minorHAnsi" w:cstheme="minorBidi"/>
          <w:szCs w:val="22"/>
          <w:lang w:bidi="ar-SA"/>
        </w:rPr>
        <w:t xml:space="preserve"> potential lack of appropriate food safety management </w:t>
      </w:r>
      <w:r>
        <w:rPr>
          <w:rFonts w:eastAsiaTheme="minorHAnsi" w:cstheme="minorBidi"/>
          <w:szCs w:val="22"/>
          <w:lang w:bidi="ar-SA"/>
        </w:rPr>
        <w:t>across the sectors</w:t>
      </w:r>
      <w:r>
        <w:rPr>
          <w:rFonts w:eastAsiaTheme="minorHAnsi" w:cstheme="minorBidi"/>
          <w:szCs w:val="22"/>
        </w:rPr>
        <w:t>—i</w:t>
      </w:r>
      <w:r w:rsidR="007A0840" w:rsidRPr="00BC2491">
        <w:rPr>
          <w:rFonts w:eastAsiaTheme="minorHAnsi" w:cstheme="minorBidi"/>
          <w:szCs w:val="22"/>
          <w:lang w:bidi="ar-SA"/>
        </w:rPr>
        <w:t xml:space="preserve">ndustry FSS </w:t>
      </w:r>
      <w:r w:rsidR="007A0840" w:rsidRPr="00BC2491">
        <w:rPr>
          <w:rFonts w:cs="Arial"/>
        </w:rPr>
        <w:t xml:space="preserve">only apply to businesses </w:t>
      </w:r>
      <w:r w:rsidR="00741B6B">
        <w:rPr>
          <w:rFonts w:cs="Arial"/>
        </w:rPr>
        <w:t>that uptake and apply them</w:t>
      </w:r>
      <w:r w:rsidR="007A0840" w:rsidRPr="00BC2491">
        <w:rPr>
          <w:rFonts w:cs="Arial"/>
        </w:rPr>
        <w:t xml:space="preserve">. </w:t>
      </w:r>
      <w:r w:rsidR="00741B6B">
        <w:rPr>
          <w:rFonts w:eastAsiaTheme="minorHAnsi" w:cstheme="minorBidi"/>
          <w:szCs w:val="22"/>
          <w:lang w:bidi="ar-SA"/>
        </w:rPr>
        <w:t>P</w:t>
      </w:r>
      <w:r w:rsidR="007A0840" w:rsidRPr="00BC2491">
        <w:rPr>
          <w:rFonts w:eastAsiaTheme="minorHAnsi" w:cstheme="minorBidi"/>
          <w:szCs w:val="22"/>
          <w:lang w:bidi="ar-SA"/>
        </w:rPr>
        <w:t xml:space="preserve">rimary producers and processors supplying major retailers </w:t>
      </w:r>
      <w:r w:rsidR="00741B6B">
        <w:rPr>
          <w:rFonts w:eastAsiaTheme="minorHAnsi" w:cstheme="minorBidi"/>
          <w:szCs w:val="22"/>
          <w:lang w:bidi="ar-SA"/>
        </w:rPr>
        <w:t>are</w:t>
      </w:r>
      <w:r w:rsidR="007A0840" w:rsidRPr="00BC2491">
        <w:rPr>
          <w:rFonts w:eastAsiaTheme="minorHAnsi" w:cstheme="minorBidi"/>
          <w:szCs w:val="22"/>
          <w:lang w:bidi="ar-SA"/>
        </w:rPr>
        <w:t xml:space="preserve"> required by the retailer to participate in </w:t>
      </w:r>
      <w:r w:rsidR="00304AEA">
        <w:rPr>
          <w:rFonts w:eastAsiaTheme="minorHAnsi" w:cstheme="minorBidi"/>
          <w:szCs w:val="22"/>
          <w:lang w:bidi="ar-SA"/>
        </w:rPr>
        <w:t>a FSS</w:t>
      </w:r>
      <w:r w:rsidR="00110F38">
        <w:rPr>
          <w:rFonts w:eastAsiaTheme="minorHAnsi" w:cstheme="minorBidi"/>
          <w:szCs w:val="22"/>
          <w:lang w:bidi="ar-SA"/>
        </w:rPr>
        <w:t>. O</w:t>
      </w:r>
      <w:r w:rsidR="007A0840" w:rsidRPr="00BC2491">
        <w:rPr>
          <w:rFonts w:eastAsiaTheme="minorHAnsi" w:cstheme="minorBidi"/>
          <w:szCs w:val="22"/>
          <w:lang w:bidi="ar-SA"/>
        </w:rPr>
        <w:t xml:space="preserve">ther </w:t>
      </w:r>
      <w:r w:rsidR="00110F38">
        <w:rPr>
          <w:rFonts w:eastAsiaTheme="minorHAnsi" w:cstheme="minorBidi"/>
          <w:szCs w:val="22"/>
          <w:lang w:bidi="ar-SA"/>
        </w:rPr>
        <w:t>growers</w:t>
      </w:r>
      <w:r w:rsidR="007A0840" w:rsidRPr="00BC2491">
        <w:rPr>
          <w:rFonts w:eastAsiaTheme="minorHAnsi" w:cstheme="minorBidi"/>
          <w:szCs w:val="22"/>
          <w:lang w:bidi="ar-SA"/>
        </w:rPr>
        <w:t xml:space="preserve"> and processors </w:t>
      </w:r>
      <w:r w:rsidR="00110F38">
        <w:rPr>
          <w:rFonts w:eastAsiaTheme="minorHAnsi" w:cstheme="minorBidi"/>
          <w:szCs w:val="22"/>
          <w:lang w:bidi="ar-SA"/>
        </w:rPr>
        <w:t xml:space="preserve">may not </w:t>
      </w:r>
      <w:r w:rsidR="00110F38">
        <w:rPr>
          <w:rFonts w:cs="Arial"/>
        </w:rPr>
        <w:t>participate and may have less robust food safety management</w:t>
      </w:r>
      <w:r w:rsidR="007A0840" w:rsidRPr="00BC2491">
        <w:rPr>
          <w:rFonts w:cs="Arial"/>
        </w:rPr>
        <w:t xml:space="preserve">. </w:t>
      </w:r>
    </w:p>
    <w:p w14:paraId="7C05F079" w14:textId="3BBCDBBE" w:rsidR="007A0840" w:rsidRPr="00BC2491" w:rsidRDefault="007A0840"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no change required of industry or government</w:t>
      </w:r>
    </w:p>
    <w:p w14:paraId="67C63AF3" w14:textId="38B8C3EF" w:rsidR="007A0840" w:rsidRPr="00004D72" w:rsidRDefault="007A0840" w:rsidP="006354B0">
      <w:pPr>
        <w:widowControl/>
        <w:numPr>
          <w:ilvl w:val="0"/>
          <w:numId w:val="7"/>
        </w:numPr>
        <w:contextualSpacing/>
        <w:rPr>
          <w:rFonts w:eastAsiaTheme="minorHAnsi" w:cs="Arial"/>
        </w:rPr>
      </w:pPr>
      <w:r>
        <w:rPr>
          <w:rFonts w:eastAsiaTheme="minorHAnsi" w:cs="Arial"/>
        </w:rPr>
        <w:t>no additional costs incurred by industry, government or consumers</w:t>
      </w:r>
      <w:r w:rsidR="00694D1D">
        <w:rPr>
          <w:rFonts w:eastAsiaTheme="minorHAnsi" w:cs="Arial"/>
        </w:rPr>
        <w:t xml:space="preserve">. </w:t>
      </w:r>
      <w:r w:rsidR="0090288A">
        <w:rPr>
          <w:rFonts w:eastAsiaTheme="minorHAnsi" w:cs="Arial"/>
        </w:rPr>
        <w:br/>
      </w:r>
    </w:p>
    <w:p w14:paraId="3AD06720" w14:textId="3ADB34D7" w:rsidR="007A0840" w:rsidRPr="00A53A53" w:rsidRDefault="00FB6EF1" w:rsidP="00F611C6">
      <w:pPr>
        <w:pStyle w:val="Heading2"/>
      </w:pPr>
      <w:bookmarkStart w:id="438" w:name="_Toc85635316"/>
      <w:bookmarkStart w:id="439" w:name="_Toc97643870"/>
      <w:bookmarkStart w:id="440" w:name="_Toc97653255"/>
      <w:bookmarkStart w:id="441" w:name="_Toc97739407"/>
      <w:bookmarkStart w:id="442" w:name="_Toc97823824"/>
      <w:bookmarkStart w:id="443" w:name="_Toc97823988"/>
      <w:r>
        <w:t>7.4</w:t>
      </w:r>
      <w:r>
        <w:tab/>
      </w:r>
      <w:r w:rsidR="00CA5971">
        <w:t>Net benefit of o</w:t>
      </w:r>
      <w:r w:rsidR="007A0840">
        <w:t>ption 2 – Regulatory measures</w:t>
      </w:r>
      <w:bookmarkEnd w:id="438"/>
      <w:bookmarkEnd w:id="439"/>
      <w:bookmarkEnd w:id="440"/>
      <w:bookmarkEnd w:id="441"/>
      <w:bookmarkEnd w:id="442"/>
      <w:bookmarkEnd w:id="443"/>
    </w:p>
    <w:p w14:paraId="68111136" w14:textId="2DD2CA22" w:rsidR="007A0840" w:rsidRDefault="007A0840" w:rsidP="007A0840">
      <w:pPr>
        <w:rPr>
          <w:rFonts w:cs="Arial"/>
          <w:color w:val="000000" w:themeColor="text1"/>
        </w:rPr>
      </w:pPr>
      <w:r w:rsidRPr="00C735F9">
        <w:rPr>
          <w:rFonts w:cs="Arial"/>
          <w:color w:val="000000" w:themeColor="text1"/>
        </w:rPr>
        <w:t xml:space="preserve">FSANZ’s </w:t>
      </w:r>
      <w:r w:rsidRPr="00115224">
        <w:rPr>
          <w:rFonts w:cs="Arial"/>
          <w:color w:val="000000" w:themeColor="text1"/>
        </w:rPr>
        <w:t>CBA</w:t>
      </w:r>
      <w:r w:rsidRPr="00C735F9">
        <w:rPr>
          <w:rFonts w:cs="Arial"/>
          <w:color w:val="000000" w:themeColor="text1"/>
        </w:rPr>
        <w:t xml:space="preserve"> concluded that there will only be a minor cost difference between options 2 (regulation) and option 3 (regulation combined with non-regulation)</w:t>
      </w:r>
      <w:r>
        <w:rPr>
          <w:rFonts w:cs="Arial"/>
          <w:color w:val="000000" w:themeColor="text1"/>
        </w:rPr>
        <w:t xml:space="preserve"> and that option 3 would provide a greater net benefit. </w:t>
      </w:r>
      <w:r w:rsidR="00B365FA">
        <w:rPr>
          <w:rFonts w:cs="Arial"/>
          <w:color w:val="000000" w:themeColor="text1"/>
        </w:rPr>
        <w:t xml:space="preserve">A very marginal reduction of foodborne illness costs, at less than 0.1% of costs over ten years would justify the small costs of moving from option 2 to option 3. </w:t>
      </w:r>
    </w:p>
    <w:p w14:paraId="71CE359B" w14:textId="77777777" w:rsidR="007A0840" w:rsidRDefault="007A0840" w:rsidP="007A0840">
      <w:pPr>
        <w:rPr>
          <w:rFonts w:cs="Arial"/>
          <w:color w:val="000000" w:themeColor="text1"/>
        </w:rPr>
      </w:pPr>
    </w:p>
    <w:p w14:paraId="7A6FA806" w14:textId="6BA4A9F6" w:rsidR="007A0840" w:rsidRPr="00004D72" w:rsidRDefault="007A0840" w:rsidP="007A0840">
      <w:pPr>
        <w:rPr>
          <w:rFonts w:cs="Arial"/>
          <w:color w:val="000000" w:themeColor="text1"/>
        </w:rPr>
      </w:pPr>
      <w:r w:rsidRPr="00C735F9">
        <w:rPr>
          <w:rFonts w:cs="Arial"/>
          <w:color w:val="000000" w:themeColor="text1"/>
        </w:rPr>
        <w:t xml:space="preserve">As a result, the </w:t>
      </w:r>
      <w:r w:rsidR="001802A0">
        <w:rPr>
          <w:rFonts w:cs="Arial"/>
          <w:color w:val="000000" w:themeColor="text1"/>
        </w:rPr>
        <w:t>CBA</w:t>
      </w:r>
      <w:r w:rsidRPr="00C735F9">
        <w:rPr>
          <w:rFonts w:cs="Arial"/>
          <w:color w:val="000000" w:themeColor="text1"/>
        </w:rPr>
        <w:t xml:space="preserve"> </w:t>
      </w:r>
      <w:r>
        <w:rPr>
          <w:rFonts w:cs="Arial"/>
          <w:color w:val="000000" w:themeColor="text1"/>
        </w:rPr>
        <w:t xml:space="preserve">for option 2 mirrors the majority of </w:t>
      </w:r>
      <w:r w:rsidR="001802A0">
        <w:rPr>
          <w:rFonts w:cs="Arial"/>
          <w:color w:val="000000" w:themeColor="text1"/>
        </w:rPr>
        <w:t>the analysis</w:t>
      </w:r>
      <w:r>
        <w:rPr>
          <w:rFonts w:cs="Arial"/>
          <w:color w:val="000000" w:themeColor="text1"/>
        </w:rPr>
        <w:t xml:space="preserve"> for </w:t>
      </w:r>
      <w:r w:rsidRPr="00C735F9">
        <w:rPr>
          <w:rFonts w:cs="Arial"/>
          <w:color w:val="000000" w:themeColor="text1"/>
        </w:rPr>
        <w:t>option 3</w:t>
      </w:r>
      <w:r>
        <w:rPr>
          <w:rFonts w:cs="Arial"/>
          <w:color w:val="000000" w:themeColor="text1"/>
        </w:rPr>
        <w:t>,</w:t>
      </w:r>
      <w:r w:rsidRPr="00C735F9">
        <w:rPr>
          <w:rFonts w:cs="Arial"/>
          <w:color w:val="000000" w:themeColor="text1"/>
        </w:rPr>
        <w:t xml:space="preserve"> </w:t>
      </w:r>
      <w:r>
        <w:rPr>
          <w:rFonts w:cs="Arial"/>
          <w:color w:val="000000" w:themeColor="text1"/>
        </w:rPr>
        <w:t xml:space="preserve">and is </w:t>
      </w:r>
      <w:r w:rsidR="00004D72">
        <w:rPr>
          <w:rFonts w:cs="Arial"/>
          <w:color w:val="000000" w:themeColor="text1"/>
        </w:rPr>
        <w:t>outlined in the next section.</w:t>
      </w:r>
    </w:p>
    <w:p w14:paraId="2826CC3A" w14:textId="5D2C583B" w:rsidR="003D2EA8" w:rsidRPr="008D33DD" w:rsidRDefault="00FB6EF1" w:rsidP="008D33DD">
      <w:pPr>
        <w:pStyle w:val="Heading2"/>
      </w:pPr>
      <w:bookmarkStart w:id="444" w:name="_Toc85635317"/>
      <w:bookmarkStart w:id="445" w:name="_Toc97643871"/>
      <w:bookmarkStart w:id="446" w:name="_Toc97653256"/>
      <w:bookmarkStart w:id="447" w:name="_Toc97739408"/>
      <w:bookmarkStart w:id="448" w:name="_Toc97823825"/>
      <w:bookmarkStart w:id="449" w:name="_Toc97823989"/>
      <w:r>
        <w:lastRenderedPageBreak/>
        <w:t>7.5</w:t>
      </w:r>
      <w:r>
        <w:tab/>
      </w:r>
      <w:r w:rsidR="00CA5971">
        <w:t>Net benefit o</w:t>
      </w:r>
      <w:r w:rsidR="007A0840">
        <w:t>ption 3 – Regulatory and non-regulatory measures</w:t>
      </w:r>
      <w:bookmarkEnd w:id="444"/>
      <w:r w:rsidR="00C64970">
        <w:t xml:space="preserve"> – Preferred option</w:t>
      </w:r>
      <w:bookmarkEnd w:id="445"/>
      <w:bookmarkEnd w:id="446"/>
      <w:bookmarkEnd w:id="447"/>
      <w:bookmarkEnd w:id="448"/>
      <w:bookmarkEnd w:id="449"/>
    </w:p>
    <w:p w14:paraId="241E5E44" w14:textId="76F897F5" w:rsidR="005E43BB" w:rsidRDefault="00C64970" w:rsidP="007A0840">
      <w:pPr>
        <w:pStyle w:val="Header"/>
        <w:rPr>
          <w:color w:val="000000" w:themeColor="text1"/>
          <w:lang w:val="en-AU"/>
        </w:rPr>
      </w:pPr>
      <w:r>
        <w:rPr>
          <w:color w:val="000000" w:themeColor="text1"/>
          <w:lang w:val="en-AU"/>
        </w:rPr>
        <w:t>This is FSANZ’s preferred option and expected to give higher overall net benefits</w:t>
      </w:r>
      <w:r w:rsidR="00FB48D5">
        <w:rPr>
          <w:color w:val="000000" w:themeColor="text1"/>
          <w:lang w:val="en-AU"/>
        </w:rPr>
        <w:t xml:space="preserve"> than other options</w:t>
      </w:r>
      <w:r>
        <w:rPr>
          <w:color w:val="000000" w:themeColor="text1"/>
          <w:lang w:val="en-AU"/>
        </w:rPr>
        <w:t>.</w:t>
      </w:r>
      <w:r w:rsidR="00B365FA">
        <w:rPr>
          <w:color w:val="000000" w:themeColor="text1"/>
          <w:lang w:val="en-AU"/>
        </w:rPr>
        <w:t xml:space="preserve"> </w:t>
      </w:r>
      <w:r w:rsidR="007A0840">
        <w:rPr>
          <w:color w:val="000000" w:themeColor="text1"/>
          <w:lang w:val="en-AU"/>
        </w:rPr>
        <w:t xml:space="preserve">FSANZ estimated </w:t>
      </w:r>
      <w:r w:rsidR="005E43BB">
        <w:rPr>
          <w:color w:val="000000" w:themeColor="text1"/>
          <w:lang w:val="en-AU"/>
        </w:rPr>
        <w:t xml:space="preserve">a </w:t>
      </w:r>
      <w:r w:rsidR="007A0840" w:rsidRPr="00115224">
        <w:rPr>
          <w:color w:val="000000" w:themeColor="text1"/>
          <w:lang w:val="en-AU"/>
        </w:rPr>
        <w:t>range</w:t>
      </w:r>
      <w:r w:rsidR="005E43BB">
        <w:rPr>
          <w:color w:val="000000" w:themeColor="text1"/>
          <w:lang w:val="en-AU"/>
        </w:rPr>
        <w:t xml:space="preserve"> of costs and </w:t>
      </w:r>
      <w:r w:rsidR="007A0840" w:rsidRPr="00115224">
        <w:rPr>
          <w:color w:val="000000" w:themeColor="text1"/>
          <w:lang w:val="en-AU"/>
        </w:rPr>
        <w:t>cost-benefit ra</w:t>
      </w:r>
      <w:r w:rsidR="007A0840">
        <w:rPr>
          <w:color w:val="000000" w:themeColor="text1"/>
          <w:lang w:val="en-AU"/>
        </w:rPr>
        <w:t>tios for each commodity that could</w:t>
      </w:r>
      <w:r w:rsidR="007A0840" w:rsidRPr="00115224">
        <w:rPr>
          <w:color w:val="000000" w:themeColor="text1"/>
          <w:lang w:val="en-AU"/>
        </w:rPr>
        <w:t xml:space="preserve"> be expected from implementing option 3. </w:t>
      </w:r>
    </w:p>
    <w:p w14:paraId="19B5AD85" w14:textId="25FC0BEB" w:rsidR="005E43BB" w:rsidRPr="005E43BB" w:rsidRDefault="005E43BB" w:rsidP="00004D72">
      <w:pPr>
        <w:pStyle w:val="Heading3"/>
      </w:pPr>
      <w:bookmarkStart w:id="450" w:name="_Toc85540180"/>
      <w:bookmarkStart w:id="451" w:name="_Toc85626185"/>
      <w:bookmarkStart w:id="452" w:name="_Toc85635318"/>
      <w:bookmarkStart w:id="453" w:name="_Toc97643872"/>
      <w:bookmarkStart w:id="454" w:name="_Toc97653257"/>
      <w:bookmarkStart w:id="455" w:name="_Toc97739409"/>
      <w:bookmarkStart w:id="456" w:name="_Toc97823826"/>
      <w:bookmarkStart w:id="457" w:name="_Toc97823990"/>
      <w:r w:rsidRPr="005E43BB">
        <w:t>Costs to industry</w:t>
      </w:r>
      <w:bookmarkEnd w:id="450"/>
      <w:bookmarkEnd w:id="451"/>
      <w:bookmarkEnd w:id="452"/>
      <w:bookmarkEnd w:id="453"/>
      <w:bookmarkEnd w:id="454"/>
      <w:bookmarkEnd w:id="455"/>
      <w:bookmarkEnd w:id="456"/>
      <w:bookmarkEnd w:id="457"/>
    </w:p>
    <w:p w14:paraId="709F0E12" w14:textId="4A8B02E1" w:rsidR="00B50E47" w:rsidRDefault="005E43BB" w:rsidP="00B50E47">
      <w:pPr>
        <w:pStyle w:val="Header"/>
        <w:rPr>
          <w:color w:val="000000" w:themeColor="text1"/>
          <w:lang w:val="en-AU"/>
        </w:rPr>
      </w:pPr>
      <w:r>
        <w:rPr>
          <w:color w:val="000000" w:themeColor="text1"/>
          <w:lang w:val="en-AU"/>
        </w:rPr>
        <w:t xml:space="preserve">FSANZ estimated the costs </w:t>
      </w:r>
      <w:r w:rsidR="007E1199">
        <w:rPr>
          <w:color w:val="000000" w:themeColor="text1"/>
          <w:lang w:val="en-AU"/>
        </w:rPr>
        <w:t xml:space="preserve">to industry </w:t>
      </w:r>
      <w:r>
        <w:rPr>
          <w:color w:val="000000" w:themeColor="text1"/>
          <w:lang w:val="en-AU"/>
        </w:rPr>
        <w:t xml:space="preserve">of implementing option 3 for each commodity. Figures are provided </w:t>
      </w:r>
      <w:r w:rsidR="0086325A">
        <w:rPr>
          <w:color w:val="000000" w:themeColor="text1"/>
          <w:lang w:val="en-AU"/>
        </w:rPr>
        <w:t xml:space="preserve">both </w:t>
      </w:r>
      <w:r>
        <w:rPr>
          <w:color w:val="000000" w:themeColor="text1"/>
          <w:lang w:val="en-AU"/>
        </w:rPr>
        <w:t>per business and for the entire sector. A summary of</w:t>
      </w:r>
      <w:r w:rsidR="00D767C6">
        <w:rPr>
          <w:color w:val="000000" w:themeColor="text1"/>
          <w:lang w:val="en-AU"/>
        </w:rPr>
        <w:t xml:space="preserve"> these costings is provided in </w:t>
      </w:r>
      <w:r w:rsidR="00D767C6" w:rsidRPr="00004D72">
        <w:rPr>
          <w:color w:val="000000" w:themeColor="text1"/>
          <w:lang w:val="en-AU"/>
        </w:rPr>
        <w:t>T</w:t>
      </w:r>
      <w:r w:rsidRPr="00004D72">
        <w:rPr>
          <w:color w:val="000000" w:themeColor="text1"/>
          <w:lang w:val="en-AU"/>
        </w:rPr>
        <w:t xml:space="preserve">able </w:t>
      </w:r>
      <w:r w:rsidR="00B365FA">
        <w:rPr>
          <w:color w:val="000000" w:themeColor="text1"/>
          <w:lang w:val="en-AU"/>
        </w:rPr>
        <w:t>6</w:t>
      </w:r>
      <w:r w:rsidRPr="00004D72">
        <w:rPr>
          <w:color w:val="000000" w:themeColor="text1"/>
          <w:lang w:val="en-AU"/>
        </w:rPr>
        <w:t>,</w:t>
      </w:r>
      <w:r>
        <w:rPr>
          <w:color w:val="000000" w:themeColor="text1"/>
          <w:lang w:val="en-AU"/>
        </w:rPr>
        <w:t xml:space="preserve"> </w:t>
      </w:r>
      <w:r w:rsidR="00633FC8">
        <w:rPr>
          <w:color w:val="000000" w:themeColor="text1"/>
          <w:lang w:val="en-AU"/>
        </w:rPr>
        <w:t>with</w:t>
      </w:r>
      <w:r>
        <w:rPr>
          <w:color w:val="000000" w:themeColor="text1"/>
          <w:lang w:val="en-AU"/>
        </w:rPr>
        <w:t xml:space="preserve"> detail provided in the CBA</w:t>
      </w:r>
      <w:r w:rsidR="00D767C6">
        <w:rPr>
          <w:color w:val="000000" w:themeColor="text1"/>
          <w:lang w:val="en-AU"/>
        </w:rPr>
        <w:t>.</w:t>
      </w:r>
    </w:p>
    <w:p w14:paraId="7FCC2D66" w14:textId="77777777" w:rsidR="00B50E47" w:rsidRDefault="00B50E47" w:rsidP="00B50E47">
      <w:pPr>
        <w:pStyle w:val="Header"/>
        <w:rPr>
          <w:color w:val="000000" w:themeColor="text1"/>
          <w:lang w:val="en-AU"/>
        </w:rPr>
      </w:pPr>
    </w:p>
    <w:p w14:paraId="33EB5EC9" w14:textId="0ACFDADE" w:rsidR="007A4D86" w:rsidRDefault="005E43BB" w:rsidP="00855E29">
      <w:pPr>
        <w:pStyle w:val="Header"/>
        <w:keepNext/>
        <w:rPr>
          <w:b/>
          <w:lang w:val="en-AU"/>
        </w:rPr>
      </w:pPr>
      <w:r w:rsidRPr="004C4F7E">
        <w:rPr>
          <w:b/>
          <w:lang w:val="en-AU"/>
        </w:rPr>
        <w:t xml:space="preserve">Table </w:t>
      </w:r>
      <w:r w:rsidR="00B365FA">
        <w:rPr>
          <w:b/>
          <w:lang w:val="en-AU"/>
        </w:rPr>
        <w:t>6</w:t>
      </w:r>
      <w:r w:rsidR="00004D72">
        <w:rPr>
          <w:b/>
          <w:lang w:val="en-AU"/>
        </w:rPr>
        <w:t>.</w:t>
      </w:r>
      <w:r w:rsidR="000B18C5">
        <w:rPr>
          <w:b/>
          <w:lang w:val="en-AU"/>
        </w:rPr>
        <w:t xml:space="preserve"> </w:t>
      </w:r>
      <w:r w:rsidRPr="005E43BB">
        <w:rPr>
          <w:b/>
          <w:lang w:val="en-AU"/>
        </w:rPr>
        <w:t>Summary of estimated</w:t>
      </w:r>
      <w:r w:rsidR="00B95660">
        <w:rPr>
          <w:b/>
          <w:lang w:val="en-AU"/>
        </w:rPr>
        <w:t xml:space="preserve"> medium cost to businesses and</w:t>
      </w:r>
      <w:r w:rsidRPr="005E43BB">
        <w:rPr>
          <w:b/>
          <w:lang w:val="en-AU"/>
        </w:rPr>
        <w:t xml:space="preserve"> total costs to industry of implementing option 3</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174"/>
        <w:gridCol w:w="1387"/>
        <w:gridCol w:w="1175"/>
        <w:gridCol w:w="1265"/>
        <w:gridCol w:w="1175"/>
        <w:gridCol w:w="1180"/>
      </w:tblGrid>
      <w:tr w:rsidR="005E43BB" w:rsidRPr="00B964A7" w14:paraId="1FCF5770" w14:textId="77777777" w:rsidTr="00301E15">
        <w:trPr>
          <w:trHeight w:val="494"/>
        </w:trPr>
        <w:tc>
          <w:tcPr>
            <w:tcW w:w="2163" w:type="dxa"/>
            <w:tcBorders>
              <w:top w:val="single" w:sz="4" w:space="0" w:color="auto"/>
              <w:left w:val="single" w:sz="4" w:space="0" w:color="auto"/>
              <w:bottom w:val="nil"/>
            </w:tcBorders>
            <w:shd w:val="clear" w:color="auto" w:fill="8DB3E2" w:themeFill="text2" w:themeFillTint="66"/>
            <w:noWrap/>
            <w:vAlign w:val="center"/>
            <w:hideMark/>
          </w:tcPr>
          <w:p w14:paraId="50E89400" w14:textId="364BFEC9" w:rsidR="005E43BB" w:rsidRPr="00B964A7" w:rsidRDefault="005E43BB" w:rsidP="002D301F">
            <w:pPr>
              <w:rPr>
                <w:rFonts w:cs="Arial"/>
                <w:color w:val="000000"/>
                <w:lang w:eastAsia="en-GB"/>
              </w:rPr>
            </w:pPr>
            <w:r w:rsidRPr="009F14CE">
              <w:rPr>
                <w:b/>
                <w:lang w:val="en-AU"/>
              </w:rPr>
              <w:t xml:space="preserve"> </w:t>
            </w:r>
            <w:r w:rsidRPr="00B964A7">
              <w:rPr>
                <w:rFonts w:cs="Arial"/>
                <w:color w:val="000000"/>
                <w:lang w:eastAsia="en-GB"/>
              </w:rPr>
              <w:t> </w:t>
            </w:r>
            <w:r w:rsidR="00624464" w:rsidRPr="00624464">
              <w:rPr>
                <w:rFonts w:cs="Arial"/>
                <w:b/>
                <w:color w:val="000000"/>
                <w:lang w:eastAsia="en-GB"/>
              </w:rPr>
              <w:t>Estimate</w:t>
            </w:r>
          </w:p>
        </w:tc>
        <w:tc>
          <w:tcPr>
            <w:tcW w:w="2561" w:type="dxa"/>
            <w:gridSpan w:val="2"/>
            <w:shd w:val="clear" w:color="auto" w:fill="8DB3E2" w:themeFill="text2" w:themeFillTint="66"/>
            <w:vAlign w:val="center"/>
            <w:hideMark/>
          </w:tcPr>
          <w:p w14:paraId="0582AF14" w14:textId="73D006BF" w:rsidR="005E43BB" w:rsidRPr="00E7217A" w:rsidRDefault="005E43BB" w:rsidP="00B50E47">
            <w:pPr>
              <w:jc w:val="center"/>
              <w:rPr>
                <w:rFonts w:cs="Arial"/>
                <w:b/>
                <w:color w:val="000000"/>
                <w:lang w:eastAsia="en-GB"/>
              </w:rPr>
            </w:pPr>
            <w:r w:rsidRPr="00B37552">
              <w:rPr>
                <w:rFonts w:cs="Arial"/>
                <w:b/>
                <w:bCs/>
                <w:color w:val="000000"/>
                <w:lang w:eastAsia="en-GB"/>
              </w:rPr>
              <w:t>Berries</w:t>
            </w:r>
          </w:p>
        </w:tc>
        <w:tc>
          <w:tcPr>
            <w:tcW w:w="2440" w:type="dxa"/>
            <w:gridSpan w:val="2"/>
            <w:shd w:val="clear" w:color="auto" w:fill="8DB3E2" w:themeFill="text2" w:themeFillTint="66"/>
            <w:vAlign w:val="center"/>
            <w:hideMark/>
          </w:tcPr>
          <w:p w14:paraId="01833509"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Leafy vegetables </w:t>
            </w:r>
          </w:p>
        </w:tc>
        <w:tc>
          <w:tcPr>
            <w:tcW w:w="2355" w:type="dxa"/>
            <w:gridSpan w:val="2"/>
            <w:shd w:val="clear" w:color="auto" w:fill="8DB3E2" w:themeFill="text2" w:themeFillTint="66"/>
            <w:vAlign w:val="center"/>
            <w:hideMark/>
          </w:tcPr>
          <w:p w14:paraId="2196588A"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Melons </w:t>
            </w:r>
          </w:p>
        </w:tc>
      </w:tr>
      <w:tr w:rsidR="009E4147" w:rsidRPr="00B964A7" w14:paraId="6CCBD26D" w14:textId="77777777" w:rsidTr="00301E15">
        <w:trPr>
          <w:trHeight w:val="601"/>
        </w:trPr>
        <w:tc>
          <w:tcPr>
            <w:tcW w:w="2163" w:type="dxa"/>
            <w:tcBorders>
              <w:top w:val="nil"/>
              <w:left w:val="single" w:sz="4" w:space="0" w:color="auto"/>
              <w:bottom w:val="single" w:sz="4" w:space="0" w:color="auto"/>
            </w:tcBorders>
            <w:shd w:val="clear" w:color="auto" w:fill="8DB3E2" w:themeFill="text2" w:themeFillTint="66"/>
            <w:noWrap/>
            <w:vAlign w:val="bottom"/>
            <w:hideMark/>
          </w:tcPr>
          <w:p w14:paraId="3E3873EF" w14:textId="77777777" w:rsidR="005E43BB" w:rsidRPr="00B964A7" w:rsidRDefault="005E43BB" w:rsidP="002D301F">
            <w:pPr>
              <w:rPr>
                <w:rFonts w:cs="Arial"/>
                <w:color w:val="000000"/>
                <w:lang w:eastAsia="en-GB"/>
              </w:rPr>
            </w:pPr>
            <w:r w:rsidRPr="00B964A7">
              <w:rPr>
                <w:rFonts w:cs="Arial"/>
                <w:color w:val="000000"/>
                <w:lang w:eastAsia="en-GB"/>
              </w:rPr>
              <w:t> </w:t>
            </w:r>
          </w:p>
        </w:tc>
        <w:tc>
          <w:tcPr>
            <w:tcW w:w="1174" w:type="dxa"/>
            <w:shd w:val="clear" w:color="auto" w:fill="8DB3E2" w:themeFill="text2" w:themeFillTint="66"/>
            <w:vAlign w:val="bottom"/>
            <w:hideMark/>
          </w:tcPr>
          <w:p w14:paraId="16C45AAA" w14:textId="77777777" w:rsidR="005E43BB" w:rsidRPr="001A3142" w:rsidRDefault="005E43BB" w:rsidP="00B50E47">
            <w:pPr>
              <w:rPr>
                <w:rFonts w:cs="Arial"/>
                <w:b/>
                <w:color w:val="000000"/>
                <w:lang w:eastAsia="en-GB"/>
              </w:rPr>
            </w:pPr>
            <w:r w:rsidRPr="00E7217A">
              <w:rPr>
                <w:rFonts w:cs="Arial"/>
                <w:b/>
                <w:color w:val="000000"/>
                <w:lang w:eastAsia="en-GB"/>
              </w:rPr>
              <w:t>Initial costs</w:t>
            </w:r>
            <w:r w:rsidRPr="001A3142">
              <w:rPr>
                <w:rFonts w:cs="Arial"/>
                <w:b/>
                <w:color w:val="000000"/>
                <w:lang w:eastAsia="en-GB"/>
              </w:rPr>
              <w:t xml:space="preserve"> $ </w:t>
            </w:r>
          </w:p>
        </w:tc>
        <w:tc>
          <w:tcPr>
            <w:tcW w:w="1387" w:type="dxa"/>
            <w:shd w:val="clear" w:color="auto" w:fill="8DB3E2" w:themeFill="text2" w:themeFillTint="66"/>
            <w:vAlign w:val="bottom"/>
            <w:hideMark/>
          </w:tcPr>
          <w:p w14:paraId="05D6E023" w14:textId="77777777" w:rsidR="005E43BB" w:rsidRPr="001A3142" w:rsidRDefault="005E43BB" w:rsidP="00B50E47">
            <w:pPr>
              <w:rPr>
                <w:rFonts w:cs="Arial"/>
                <w:b/>
                <w:color w:val="000000"/>
                <w:lang w:eastAsia="en-GB"/>
              </w:rPr>
            </w:pPr>
            <w:r w:rsidRPr="00AD3BB0">
              <w:rPr>
                <w:rFonts w:cs="Arial"/>
                <w:b/>
                <w:color w:val="000000"/>
                <w:lang w:eastAsia="en-GB"/>
              </w:rPr>
              <w:t>Ongoing costs per year</w:t>
            </w:r>
            <w:r w:rsidRPr="00E7217A">
              <w:rPr>
                <w:rFonts w:cs="Arial"/>
                <w:b/>
                <w:color w:val="000000"/>
                <w:lang w:eastAsia="en-GB"/>
              </w:rPr>
              <w:t xml:space="preserve"> $</w:t>
            </w:r>
          </w:p>
        </w:tc>
        <w:tc>
          <w:tcPr>
            <w:tcW w:w="1175" w:type="dxa"/>
            <w:shd w:val="clear" w:color="auto" w:fill="8DB3E2" w:themeFill="text2" w:themeFillTint="66"/>
            <w:vAlign w:val="bottom"/>
            <w:hideMark/>
          </w:tcPr>
          <w:p w14:paraId="1F6150EB" w14:textId="77777777" w:rsidR="005E43BB" w:rsidRPr="00AD3BB0" w:rsidRDefault="005E43BB" w:rsidP="00B50E47">
            <w:pPr>
              <w:rPr>
                <w:rFonts w:cs="Arial"/>
                <w:b/>
                <w:color w:val="000000"/>
                <w:lang w:eastAsia="en-GB"/>
              </w:rPr>
            </w:pPr>
            <w:r w:rsidRPr="001A3142">
              <w:rPr>
                <w:rFonts w:cs="Arial"/>
                <w:b/>
                <w:color w:val="000000"/>
                <w:lang w:eastAsia="en-GB"/>
              </w:rPr>
              <w:t>Initial costs</w:t>
            </w:r>
            <w:r w:rsidRPr="00AD3BB0">
              <w:rPr>
                <w:rFonts w:cs="Arial"/>
                <w:b/>
                <w:color w:val="000000"/>
                <w:lang w:eastAsia="en-GB"/>
              </w:rPr>
              <w:t xml:space="preserve"> $</w:t>
            </w:r>
          </w:p>
        </w:tc>
        <w:tc>
          <w:tcPr>
            <w:tcW w:w="1265" w:type="dxa"/>
            <w:shd w:val="clear" w:color="auto" w:fill="8DB3E2" w:themeFill="text2" w:themeFillTint="66"/>
            <w:vAlign w:val="bottom"/>
            <w:hideMark/>
          </w:tcPr>
          <w:p w14:paraId="736A15AB" w14:textId="77777777" w:rsidR="005E43BB" w:rsidRPr="00AD3BB0" w:rsidRDefault="005E43BB" w:rsidP="00B50E47">
            <w:pPr>
              <w:rPr>
                <w:rFonts w:cs="Arial"/>
                <w:b/>
                <w:color w:val="000000"/>
                <w:lang w:eastAsia="en-GB"/>
              </w:rPr>
            </w:pPr>
            <w:r w:rsidRPr="00AD3BB0">
              <w:rPr>
                <w:rFonts w:cs="Arial"/>
                <w:b/>
                <w:color w:val="000000"/>
                <w:lang w:eastAsia="en-GB"/>
              </w:rPr>
              <w:t>Ongoing costs per year $</w:t>
            </w:r>
          </w:p>
        </w:tc>
        <w:tc>
          <w:tcPr>
            <w:tcW w:w="1175" w:type="dxa"/>
            <w:shd w:val="clear" w:color="auto" w:fill="8DB3E2" w:themeFill="text2" w:themeFillTint="66"/>
            <w:vAlign w:val="bottom"/>
            <w:hideMark/>
          </w:tcPr>
          <w:p w14:paraId="47CE3A34" w14:textId="77777777" w:rsidR="005E43BB" w:rsidRPr="00B964A7" w:rsidRDefault="005E43BB" w:rsidP="00B50E47">
            <w:pPr>
              <w:rPr>
                <w:rFonts w:cs="Arial"/>
                <w:b/>
                <w:color w:val="000000"/>
                <w:lang w:eastAsia="en-GB"/>
              </w:rPr>
            </w:pPr>
            <w:r w:rsidRPr="00AD3BB0">
              <w:rPr>
                <w:rFonts w:cs="Arial"/>
                <w:b/>
                <w:color w:val="000000"/>
                <w:lang w:eastAsia="en-GB"/>
              </w:rPr>
              <w:t>Initial costs</w:t>
            </w:r>
            <w:r w:rsidRPr="00B964A7">
              <w:rPr>
                <w:rFonts w:cs="Arial"/>
                <w:b/>
                <w:color w:val="000000"/>
                <w:lang w:eastAsia="en-GB"/>
              </w:rPr>
              <w:t xml:space="preserve"> $</w:t>
            </w:r>
          </w:p>
        </w:tc>
        <w:tc>
          <w:tcPr>
            <w:tcW w:w="1180" w:type="dxa"/>
            <w:shd w:val="clear" w:color="auto" w:fill="8DB3E2" w:themeFill="text2" w:themeFillTint="66"/>
            <w:vAlign w:val="bottom"/>
            <w:hideMark/>
          </w:tcPr>
          <w:p w14:paraId="4D9BCB1C" w14:textId="77777777" w:rsidR="005E43BB" w:rsidRPr="00B964A7" w:rsidRDefault="005E43BB" w:rsidP="00B50E47">
            <w:pPr>
              <w:ind w:left="-110" w:firstLine="110"/>
              <w:rPr>
                <w:rFonts w:cs="Arial"/>
                <w:b/>
                <w:color w:val="000000"/>
                <w:lang w:eastAsia="en-GB"/>
              </w:rPr>
            </w:pPr>
            <w:r w:rsidRPr="00B964A7">
              <w:rPr>
                <w:rFonts w:cs="Arial"/>
                <w:b/>
                <w:color w:val="000000"/>
                <w:lang w:eastAsia="en-GB"/>
              </w:rPr>
              <w:t>Ongoing costs per year $</w:t>
            </w:r>
          </w:p>
        </w:tc>
      </w:tr>
      <w:tr w:rsidR="00BE7E77" w:rsidRPr="00564E72" w14:paraId="78236A48" w14:textId="77777777" w:rsidTr="007613F1">
        <w:trPr>
          <w:trHeight w:val="587"/>
        </w:trPr>
        <w:tc>
          <w:tcPr>
            <w:tcW w:w="2163" w:type="dxa"/>
            <w:tcBorders>
              <w:top w:val="single" w:sz="4" w:space="0" w:color="auto"/>
            </w:tcBorders>
            <w:shd w:val="clear" w:color="auto" w:fill="auto"/>
            <w:noWrap/>
            <w:vAlign w:val="bottom"/>
            <w:hideMark/>
          </w:tcPr>
          <w:p w14:paraId="0CD51837" w14:textId="019BDCBC" w:rsidR="00BE7E77" w:rsidRPr="00564E72" w:rsidRDefault="00BE7E77" w:rsidP="00BE7E77">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per </w:t>
            </w:r>
            <w:r w:rsidRPr="00B95660">
              <w:rPr>
                <w:rFonts w:cs="Arial"/>
                <w:b/>
                <w:color w:val="000000"/>
                <w:lang w:eastAsia="en-GB"/>
              </w:rPr>
              <w:t>business</w:t>
            </w:r>
            <w:r w:rsidR="003A0C99">
              <w:rPr>
                <w:rFonts w:cs="Arial"/>
                <w:b/>
                <w:color w:val="000000"/>
                <w:lang w:eastAsia="en-GB"/>
              </w:rPr>
              <w:t xml:space="preserve"> </w:t>
            </w:r>
            <w:r w:rsidR="003A0C99">
              <w:rPr>
                <w:rFonts w:cs="Arial"/>
                <w:color w:val="000000"/>
                <w:lang w:eastAsia="en-GB"/>
              </w:rPr>
              <w:t xml:space="preserve">not </w:t>
            </w:r>
            <w:r w:rsidR="00655BA5">
              <w:rPr>
                <w:rFonts w:cs="Arial"/>
                <w:color w:val="000000"/>
                <w:lang w:eastAsia="en-GB"/>
              </w:rPr>
              <w:t xml:space="preserve">already </w:t>
            </w:r>
            <w:r w:rsidR="003A0C99">
              <w:rPr>
                <w:rFonts w:cs="Arial"/>
                <w:color w:val="000000"/>
                <w:lang w:eastAsia="en-GB"/>
              </w:rPr>
              <w:t xml:space="preserve">on </w:t>
            </w:r>
            <w:r w:rsidR="00304AEA">
              <w:rPr>
                <w:rFonts w:cs="Arial"/>
                <w:color w:val="000000"/>
                <w:lang w:eastAsia="en-GB"/>
              </w:rPr>
              <w:t>a FSS</w:t>
            </w:r>
            <w:r w:rsidR="00EC3CD9">
              <w:rPr>
                <w:rFonts w:cs="Arial"/>
                <w:color w:val="000000"/>
                <w:lang w:eastAsia="en-GB"/>
              </w:rPr>
              <w:t xml:space="preserve"> but 50% compliant</w:t>
            </w:r>
          </w:p>
        </w:tc>
        <w:tc>
          <w:tcPr>
            <w:tcW w:w="1174" w:type="dxa"/>
            <w:shd w:val="clear" w:color="auto" w:fill="auto"/>
            <w:noWrap/>
            <w:vAlign w:val="bottom"/>
            <w:hideMark/>
          </w:tcPr>
          <w:p w14:paraId="660E9FF0" w14:textId="658307D8"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530 </w:t>
            </w:r>
          </w:p>
        </w:tc>
        <w:tc>
          <w:tcPr>
            <w:tcW w:w="1387" w:type="dxa"/>
            <w:shd w:val="clear" w:color="auto" w:fill="auto"/>
            <w:noWrap/>
            <w:vAlign w:val="bottom"/>
            <w:hideMark/>
          </w:tcPr>
          <w:p w14:paraId="5A1AAF99" w14:textId="5EC6C6FC"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1,656 </w:t>
            </w:r>
          </w:p>
        </w:tc>
        <w:tc>
          <w:tcPr>
            <w:tcW w:w="1175" w:type="dxa"/>
            <w:shd w:val="clear" w:color="auto" w:fill="auto"/>
            <w:noWrap/>
            <w:vAlign w:val="bottom"/>
            <w:hideMark/>
          </w:tcPr>
          <w:p w14:paraId="4D6D2922" w14:textId="64F21C4A"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700 </w:t>
            </w:r>
          </w:p>
        </w:tc>
        <w:tc>
          <w:tcPr>
            <w:tcW w:w="1265" w:type="dxa"/>
            <w:shd w:val="clear" w:color="auto" w:fill="auto"/>
            <w:noWrap/>
            <w:vAlign w:val="bottom"/>
            <w:hideMark/>
          </w:tcPr>
          <w:p w14:paraId="152B9135" w14:textId="67835CC1"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7,035 </w:t>
            </w:r>
          </w:p>
        </w:tc>
        <w:tc>
          <w:tcPr>
            <w:tcW w:w="1175" w:type="dxa"/>
            <w:shd w:val="clear" w:color="auto" w:fill="auto"/>
            <w:noWrap/>
            <w:vAlign w:val="bottom"/>
            <w:hideMark/>
          </w:tcPr>
          <w:p w14:paraId="7A2B45A3" w14:textId="13549C2D"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700 </w:t>
            </w:r>
          </w:p>
        </w:tc>
        <w:tc>
          <w:tcPr>
            <w:tcW w:w="1180" w:type="dxa"/>
            <w:shd w:val="clear" w:color="auto" w:fill="auto"/>
            <w:noWrap/>
            <w:vAlign w:val="bottom"/>
            <w:hideMark/>
          </w:tcPr>
          <w:p w14:paraId="5DED6AB4" w14:textId="5D213360"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4,055 </w:t>
            </w:r>
          </w:p>
        </w:tc>
      </w:tr>
      <w:tr w:rsidR="002F4C93" w:rsidRPr="00564E72" w14:paraId="4ED1C914" w14:textId="77777777" w:rsidTr="00FB48D5">
        <w:trPr>
          <w:trHeight w:val="587"/>
        </w:trPr>
        <w:tc>
          <w:tcPr>
            <w:tcW w:w="2163" w:type="dxa"/>
            <w:tcBorders>
              <w:bottom w:val="single" w:sz="4" w:space="0" w:color="auto"/>
            </w:tcBorders>
            <w:shd w:val="clear" w:color="auto" w:fill="auto"/>
            <w:noWrap/>
            <w:vAlign w:val="bottom"/>
            <w:hideMark/>
          </w:tcPr>
          <w:p w14:paraId="01B145C5" w14:textId="30C34DE3" w:rsidR="002F4C93" w:rsidRPr="00564E72" w:rsidRDefault="002F4C93" w:rsidP="002F4C93">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total </w:t>
            </w:r>
            <w:r w:rsidRPr="00B95660">
              <w:rPr>
                <w:rFonts w:cs="Arial"/>
                <w:b/>
                <w:color w:val="000000"/>
                <w:lang w:eastAsia="en-GB"/>
              </w:rPr>
              <w:t xml:space="preserve">industry </w:t>
            </w:r>
            <w:r w:rsidRPr="00624464">
              <w:rPr>
                <w:rFonts w:cs="Arial"/>
                <w:color w:val="000000"/>
                <w:lang w:eastAsia="en-GB"/>
              </w:rPr>
              <w:t>costs</w:t>
            </w:r>
          </w:p>
        </w:tc>
        <w:tc>
          <w:tcPr>
            <w:tcW w:w="1174" w:type="dxa"/>
            <w:tcBorders>
              <w:bottom w:val="single" w:sz="4" w:space="0" w:color="auto"/>
            </w:tcBorders>
            <w:shd w:val="clear" w:color="auto" w:fill="auto"/>
            <w:noWrap/>
            <w:vAlign w:val="bottom"/>
            <w:hideMark/>
          </w:tcPr>
          <w:p w14:paraId="08CE428E" w14:textId="350317E8" w:rsidR="002F4C93" w:rsidRPr="002F4C93" w:rsidRDefault="002F4C93" w:rsidP="002F4C93">
            <w:pPr>
              <w:jc w:val="right"/>
              <w:rPr>
                <w:rFonts w:cs="Arial"/>
                <w:color w:val="000000"/>
                <w:lang w:eastAsia="en-GB"/>
              </w:rPr>
            </w:pPr>
            <w:r w:rsidRPr="002F4C93">
              <w:rPr>
                <w:rFonts w:cs="Arial"/>
                <w:color w:val="000000"/>
                <w:lang w:eastAsia="en-GB"/>
              </w:rPr>
              <w:t xml:space="preserve">           119,330 </w:t>
            </w:r>
          </w:p>
        </w:tc>
        <w:tc>
          <w:tcPr>
            <w:tcW w:w="1387" w:type="dxa"/>
            <w:tcBorders>
              <w:bottom w:val="single" w:sz="4" w:space="0" w:color="auto"/>
            </w:tcBorders>
            <w:shd w:val="clear" w:color="auto" w:fill="auto"/>
            <w:noWrap/>
            <w:vAlign w:val="bottom"/>
            <w:hideMark/>
          </w:tcPr>
          <w:p w14:paraId="6BDBE69A" w14:textId="1B2343FE" w:rsidR="002F4C93" w:rsidRPr="002F4C93" w:rsidRDefault="002F4C93" w:rsidP="002F4C93">
            <w:pPr>
              <w:jc w:val="right"/>
              <w:rPr>
                <w:rFonts w:cs="Arial"/>
                <w:color w:val="000000"/>
                <w:lang w:eastAsia="en-GB"/>
              </w:rPr>
            </w:pPr>
            <w:r w:rsidRPr="002F4C93">
              <w:rPr>
                <w:rFonts w:cs="Arial"/>
                <w:color w:val="000000"/>
                <w:lang w:eastAsia="en-GB"/>
              </w:rPr>
              <w:t xml:space="preserve">           310,592 </w:t>
            </w:r>
          </w:p>
        </w:tc>
        <w:tc>
          <w:tcPr>
            <w:tcW w:w="1175" w:type="dxa"/>
            <w:tcBorders>
              <w:bottom w:val="single" w:sz="4" w:space="0" w:color="auto"/>
            </w:tcBorders>
            <w:shd w:val="clear" w:color="auto" w:fill="auto"/>
            <w:noWrap/>
            <w:vAlign w:val="bottom"/>
            <w:hideMark/>
          </w:tcPr>
          <w:p w14:paraId="70C10DF8" w14:textId="5027664F" w:rsidR="002F4C93" w:rsidRPr="002F4C93" w:rsidRDefault="002F4C93" w:rsidP="002F4C93">
            <w:pPr>
              <w:jc w:val="right"/>
              <w:rPr>
                <w:rFonts w:cs="Arial"/>
                <w:color w:val="000000"/>
                <w:lang w:eastAsia="en-GB"/>
              </w:rPr>
            </w:pPr>
            <w:r w:rsidRPr="002F4C93">
              <w:rPr>
                <w:rFonts w:cs="Arial"/>
                <w:color w:val="000000"/>
                <w:lang w:eastAsia="en-GB"/>
              </w:rPr>
              <w:t xml:space="preserve">         </w:t>
            </w:r>
            <w:r w:rsidR="003A0C99" w:rsidRPr="003A0C99">
              <w:rPr>
                <w:rFonts w:cs="Arial"/>
                <w:color w:val="000000"/>
                <w:lang w:eastAsia="en-GB"/>
              </w:rPr>
              <w:t>227</w:t>
            </w:r>
            <w:r w:rsidRPr="002F4C93">
              <w:rPr>
                <w:rFonts w:cs="Arial"/>
                <w:color w:val="000000"/>
                <w:lang w:eastAsia="en-GB"/>
              </w:rPr>
              <w:t xml:space="preserve">,080 </w:t>
            </w:r>
          </w:p>
        </w:tc>
        <w:tc>
          <w:tcPr>
            <w:tcW w:w="1265" w:type="dxa"/>
            <w:tcBorders>
              <w:bottom w:val="single" w:sz="4" w:space="0" w:color="auto"/>
            </w:tcBorders>
            <w:shd w:val="clear" w:color="auto" w:fill="auto"/>
            <w:noWrap/>
            <w:vAlign w:val="bottom"/>
            <w:hideMark/>
          </w:tcPr>
          <w:p w14:paraId="308E62CA" w14:textId="3C56E73A" w:rsidR="002F4C93" w:rsidRPr="002F4C93" w:rsidRDefault="002F4C93" w:rsidP="002F4C93">
            <w:pPr>
              <w:jc w:val="right"/>
              <w:rPr>
                <w:rFonts w:cs="Arial"/>
                <w:color w:val="000000"/>
                <w:lang w:eastAsia="en-GB"/>
              </w:rPr>
            </w:pPr>
            <w:r w:rsidRPr="002F4C93">
              <w:rPr>
                <w:rFonts w:cs="Arial"/>
                <w:color w:val="000000"/>
                <w:lang w:eastAsia="en-GB"/>
              </w:rPr>
              <w:t xml:space="preserve">        </w:t>
            </w:r>
            <w:r w:rsidR="003A0C99" w:rsidRPr="003A0C99">
              <w:rPr>
                <w:rFonts w:cs="Arial"/>
                <w:color w:val="000000"/>
                <w:lang w:eastAsia="en-GB"/>
              </w:rPr>
              <w:t xml:space="preserve"> 2,460,637</w:t>
            </w:r>
            <w:r w:rsidRPr="002F4C93">
              <w:rPr>
                <w:rFonts w:cs="Arial"/>
                <w:color w:val="000000"/>
                <w:lang w:eastAsia="en-GB"/>
              </w:rPr>
              <w:t xml:space="preserve"> </w:t>
            </w:r>
          </w:p>
        </w:tc>
        <w:tc>
          <w:tcPr>
            <w:tcW w:w="1175" w:type="dxa"/>
            <w:tcBorders>
              <w:bottom w:val="single" w:sz="4" w:space="0" w:color="auto"/>
            </w:tcBorders>
            <w:shd w:val="clear" w:color="auto" w:fill="auto"/>
            <w:noWrap/>
            <w:vAlign w:val="bottom"/>
            <w:hideMark/>
          </w:tcPr>
          <w:p w14:paraId="3803A4FB" w14:textId="35198A41" w:rsidR="002F4C93" w:rsidRPr="002F4C93" w:rsidRDefault="002F4C93" w:rsidP="002F4C93">
            <w:pPr>
              <w:jc w:val="right"/>
              <w:rPr>
                <w:rFonts w:cs="Arial"/>
                <w:color w:val="000000"/>
                <w:lang w:eastAsia="en-GB"/>
              </w:rPr>
            </w:pPr>
            <w:r w:rsidRPr="002F4C93">
              <w:rPr>
                <w:rFonts w:cs="Arial"/>
                <w:color w:val="000000"/>
                <w:lang w:eastAsia="en-GB"/>
              </w:rPr>
              <w:t xml:space="preserve">              10,955 </w:t>
            </w:r>
          </w:p>
        </w:tc>
        <w:tc>
          <w:tcPr>
            <w:tcW w:w="1180" w:type="dxa"/>
            <w:tcBorders>
              <w:bottom w:val="single" w:sz="4" w:space="0" w:color="auto"/>
            </w:tcBorders>
            <w:shd w:val="clear" w:color="auto" w:fill="auto"/>
            <w:noWrap/>
            <w:vAlign w:val="bottom"/>
            <w:hideMark/>
          </w:tcPr>
          <w:p w14:paraId="001F60D0" w14:textId="4B3CD063" w:rsidR="002F4C93" w:rsidRPr="002F4C93" w:rsidRDefault="002F4C93" w:rsidP="002F4C93">
            <w:pPr>
              <w:jc w:val="right"/>
              <w:rPr>
                <w:rFonts w:cs="Arial"/>
                <w:color w:val="000000"/>
                <w:lang w:eastAsia="en-GB"/>
              </w:rPr>
            </w:pPr>
            <w:r w:rsidRPr="002F4C93">
              <w:rPr>
                <w:rFonts w:cs="Arial"/>
                <w:color w:val="000000"/>
                <w:lang w:eastAsia="en-GB"/>
              </w:rPr>
              <w:t xml:space="preserve">           185,417 </w:t>
            </w:r>
          </w:p>
        </w:tc>
      </w:tr>
      <w:tr w:rsidR="00B95660" w:rsidRPr="00564E72" w14:paraId="1C6E6E90" w14:textId="77777777" w:rsidTr="00FB48D5">
        <w:trPr>
          <w:trHeight w:val="587"/>
        </w:trPr>
        <w:tc>
          <w:tcPr>
            <w:tcW w:w="9519" w:type="dxa"/>
            <w:gridSpan w:val="7"/>
            <w:tcBorders>
              <w:left w:val="nil"/>
              <w:bottom w:val="nil"/>
              <w:right w:val="nil"/>
            </w:tcBorders>
            <w:shd w:val="clear" w:color="auto" w:fill="auto"/>
            <w:noWrap/>
            <w:vAlign w:val="bottom"/>
          </w:tcPr>
          <w:p w14:paraId="5C04F0B9" w14:textId="2A2113AC" w:rsidR="00B95660" w:rsidRPr="00B95660" w:rsidRDefault="00B95660" w:rsidP="00E4080C">
            <w:pPr>
              <w:rPr>
                <w:sz w:val="18"/>
                <w:szCs w:val="18"/>
              </w:rPr>
            </w:pPr>
            <w:r w:rsidRPr="00B95660">
              <w:rPr>
                <w:sz w:val="18"/>
                <w:szCs w:val="18"/>
              </w:rPr>
              <w:t>The table above excludes the relatively minor costs of option 3’s non-regulatory component incurred by jurisdictions.</w:t>
            </w:r>
          </w:p>
          <w:p w14:paraId="07B3EBEC" w14:textId="12F4FFC5" w:rsidR="00B95660" w:rsidRPr="00E4080C" w:rsidRDefault="00B95660" w:rsidP="00B95660">
            <w:pPr>
              <w:jc w:val="right"/>
            </w:pPr>
          </w:p>
        </w:tc>
      </w:tr>
    </w:tbl>
    <w:p w14:paraId="4561AB5D" w14:textId="55964311" w:rsidR="008D33DD" w:rsidRDefault="0086325A" w:rsidP="00FB48D5">
      <w:pPr>
        <w:keepNext/>
        <w:rPr>
          <w:color w:val="000000" w:themeColor="text1"/>
          <w:lang w:val="en-AU"/>
        </w:rPr>
      </w:pPr>
      <w:r>
        <w:rPr>
          <w:color w:val="000000" w:themeColor="text1"/>
          <w:lang w:val="en-AU"/>
        </w:rPr>
        <w:t>In general, businesses</w:t>
      </w:r>
      <w:r w:rsidR="00484982">
        <w:rPr>
          <w:color w:val="000000" w:themeColor="text1"/>
          <w:lang w:val="en-AU"/>
        </w:rPr>
        <w:t xml:space="preserve"> currently operating under</w:t>
      </w:r>
      <w:r>
        <w:rPr>
          <w:color w:val="000000" w:themeColor="text1"/>
          <w:lang w:val="en-AU"/>
        </w:rPr>
        <w:t xml:space="preserve"> a FSS (or equivalent) will incur lower costs </w:t>
      </w:r>
      <w:r w:rsidR="00633FC8">
        <w:rPr>
          <w:color w:val="000000" w:themeColor="text1"/>
          <w:lang w:val="en-AU"/>
        </w:rPr>
        <w:t>in</w:t>
      </w:r>
      <w:r>
        <w:rPr>
          <w:color w:val="000000" w:themeColor="text1"/>
          <w:lang w:val="en-AU"/>
        </w:rPr>
        <w:t xml:space="preserve"> </w:t>
      </w:r>
      <w:r w:rsidR="009E4147">
        <w:rPr>
          <w:color w:val="000000" w:themeColor="text1"/>
          <w:lang w:val="en-AU"/>
        </w:rPr>
        <w:t>meet</w:t>
      </w:r>
      <w:r w:rsidR="00633FC8">
        <w:rPr>
          <w:color w:val="000000" w:themeColor="text1"/>
          <w:lang w:val="en-AU"/>
        </w:rPr>
        <w:t>ing</w:t>
      </w:r>
      <w:r>
        <w:rPr>
          <w:color w:val="000000" w:themeColor="text1"/>
          <w:lang w:val="en-AU"/>
        </w:rPr>
        <w:t xml:space="preserve"> the proposed regulation. These businesses are expected to be </w:t>
      </w:r>
      <w:r w:rsidR="00FB48D5">
        <w:rPr>
          <w:color w:val="000000" w:themeColor="text1"/>
          <w:lang w:val="en-AU"/>
        </w:rPr>
        <w:t xml:space="preserve">already </w:t>
      </w:r>
      <w:r>
        <w:rPr>
          <w:color w:val="000000" w:themeColor="text1"/>
          <w:lang w:val="en-AU"/>
        </w:rPr>
        <w:t xml:space="preserve">operating in a manner that would </w:t>
      </w:r>
      <w:r w:rsidR="00FB48D5">
        <w:rPr>
          <w:color w:val="000000" w:themeColor="text1"/>
          <w:lang w:val="en-AU"/>
        </w:rPr>
        <w:t xml:space="preserve">likely </w:t>
      </w:r>
      <w:r>
        <w:rPr>
          <w:color w:val="000000" w:themeColor="text1"/>
          <w:lang w:val="en-AU"/>
        </w:rPr>
        <w:t>meet the requirements of regulation. Businesses not operating under a FSS may still be complying with</w:t>
      </w:r>
      <w:r w:rsidR="00694D1D">
        <w:rPr>
          <w:color w:val="000000" w:themeColor="text1"/>
          <w:lang w:val="en-AU"/>
        </w:rPr>
        <w:t>,</w:t>
      </w:r>
      <w:r>
        <w:rPr>
          <w:color w:val="000000" w:themeColor="text1"/>
          <w:lang w:val="en-AU"/>
        </w:rPr>
        <w:t xml:space="preserve"> </w:t>
      </w:r>
      <w:r w:rsidR="00694D1D">
        <w:rPr>
          <w:color w:val="000000" w:themeColor="text1"/>
          <w:lang w:val="en-AU"/>
        </w:rPr>
        <w:t>for example,</w:t>
      </w:r>
      <w:r>
        <w:rPr>
          <w:color w:val="000000" w:themeColor="text1"/>
          <w:lang w:val="en-AU"/>
        </w:rPr>
        <w:t xml:space="preserve"> 50% of the proposed regulatory requirements and would only be expected to incur 50% of the costs.</w:t>
      </w:r>
      <w:r w:rsidR="008D33DD">
        <w:rPr>
          <w:color w:val="000000" w:themeColor="text1"/>
          <w:lang w:val="en-AU"/>
        </w:rPr>
        <w:t xml:space="preserve"> This 50% figure was questioned during consultation by some stakeholders, although there is still insufficient evidence to model using another percentage figure.</w:t>
      </w:r>
    </w:p>
    <w:p w14:paraId="428E97AB" w14:textId="77777777" w:rsidR="008D33DD" w:rsidRDefault="008D33DD" w:rsidP="0086325A">
      <w:pPr>
        <w:rPr>
          <w:color w:val="000000" w:themeColor="text1"/>
          <w:lang w:val="en-AU"/>
        </w:rPr>
      </w:pPr>
    </w:p>
    <w:p w14:paraId="424B17C4" w14:textId="479564F4" w:rsidR="0086325A" w:rsidRDefault="0086325A" w:rsidP="0086325A">
      <w:pPr>
        <w:rPr>
          <w:color w:val="000000" w:themeColor="text1"/>
          <w:lang w:val="en-AU"/>
        </w:rPr>
      </w:pPr>
      <w:r>
        <w:rPr>
          <w:color w:val="000000" w:themeColor="text1"/>
          <w:lang w:val="en-AU"/>
        </w:rPr>
        <w:t xml:space="preserve">Businesses </w:t>
      </w:r>
      <w:r w:rsidR="00B84527">
        <w:rPr>
          <w:color w:val="000000" w:themeColor="text1"/>
          <w:lang w:val="en-AU"/>
        </w:rPr>
        <w:t xml:space="preserve">with </w:t>
      </w:r>
      <w:r>
        <w:rPr>
          <w:color w:val="000000" w:themeColor="text1"/>
          <w:lang w:val="en-AU"/>
        </w:rPr>
        <w:t>very little food safety manage</w:t>
      </w:r>
      <w:r w:rsidR="00B84527">
        <w:rPr>
          <w:color w:val="000000" w:themeColor="text1"/>
          <w:lang w:val="en-AU"/>
        </w:rPr>
        <w:t>ment in place would be expect</w:t>
      </w:r>
      <w:r w:rsidR="00B95660">
        <w:rPr>
          <w:color w:val="000000" w:themeColor="text1"/>
          <w:lang w:val="en-AU"/>
        </w:rPr>
        <w:t>ed to incur the greatest costs;</w:t>
      </w:r>
      <w:r w:rsidR="0021662A">
        <w:rPr>
          <w:color w:val="000000" w:themeColor="text1"/>
          <w:lang w:val="en-AU"/>
        </w:rPr>
        <w:t xml:space="preserve"> this is demonstrated in Table 7</w:t>
      </w:r>
      <w:r w:rsidR="00B95660">
        <w:rPr>
          <w:color w:val="000000" w:themeColor="text1"/>
          <w:lang w:val="en-AU"/>
        </w:rPr>
        <w:t xml:space="preserve">. </w:t>
      </w:r>
      <w:r w:rsidR="00AA53FC">
        <w:rPr>
          <w:color w:val="000000" w:themeColor="text1"/>
          <w:lang w:val="en-AU"/>
        </w:rPr>
        <w:t xml:space="preserve">It is important to take </w:t>
      </w:r>
      <w:r w:rsidR="00566A04">
        <w:rPr>
          <w:color w:val="000000" w:themeColor="text1"/>
          <w:lang w:val="en-AU"/>
        </w:rPr>
        <w:t xml:space="preserve">a </w:t>
      </w:r>
      <w:r w:rsidR="00AA53FC">
        <w:rPr>
          <w:color w:val="000000" w:themeColor="text1"/>
          <w:lang w:val="en-AU"/>
        </w:rPr>
        <w:t>business</w:t>
      </w:r>
      <w:r w:rsidR="00633FC8">
        <w:rPr>
          <w:color w:val="000000" w:themeColor="text1"/>
          <w:lang w:val="en-AU"/>
        </w:rPr>
        <w:t>’</w:t>
      </w:r>
      <w:r w:rsidR="00AA53FC">
        <w:rPr>
          <w:color w:val="000000" w:themeColor="text1"/>
          <w:lang w:val="en-AU"/>
        </w:rPr>
        <w:t xml:space="preserve">s current level of food safety management into </w:t>
      </w:r>
      <w:r w:rsidR="00B95660">
        <w:rPr>
          <w:color w:val="000000" w:themeColor="text1"/>
          <w:lang w:val="en-AU"/>
        </w:rPr>
        <w:t>consideration when reviewing potential</w:t>
      </w:r>
      <w:r w:rsidR="00F71A1C">
        <w:rPr>
          <w:color w:val="000000" w:themeColor="text1"/>
          <w:lang w:val="en-AU"/>
        </w:rPr>
        <w:t xml:space="preserve"> costs</w:t>
      </w:r>
      <w:r w:rsidR="00B95660">
        <w:rPr>
          <w:color w:val="000000" w:themeColor="text1"/>
          <w:lang w:val="en-AU"/>
        </w:rPr>
        <w:t>.</w:t>
      </w:r>
    </w:p>
    <w:p w14:paraId="1DA8B5E3" w14:textId="346CFCE1" w:rsidR="00301E15" w:rsidRDefault="00301E15" w:rsidP="0086325A">
      <w:pPr>
        <w:rPr>
          <w:b/>
          <w:lang w:val="en-AU"/>
        </w:rPr>
      </w:pPr>
    </w:p>
    <w:p w14:paraId="7C1847B7" w14:textId="17223AEC" w:rsidR="00885894" w:rsidRDefault="00B95660" w:rsidP="0086325A">
      <w:pPr>
        <w:rPr>
          <w:b/>
          <w:lang w:val="en-AU"/>
        </w:rPr>
      </w:pPr>
      <w:r w:rsidRPr="004C4F7E">
        <w:rPr>
          <w:b/>
          <w:lang w:val="en-AU"/>
        </w:rPr>
        <w:t xml:space="preserve">Table </w:t>
      </w:r>
      <w:r w:rsidR="0021662A">
        <w:rPr>
          <w:b/>
          <w:lang w:val="en-AU"/>
        </w:rPr>
        <w:t>7</w:t>
      </w:r>
      <w:r>
        <w:rPr>
          <w:b/>
          <w:lang w:val="en-AU"/>
        </w:rPr>
        <w:t>. Summary of estimated costs to businesses</w:t>
      </w:r>
      <w:r w:rsidRPr="005E43BB">
        <w:rPr>
          <w:b/>
          <w:lang w:val="en-AU"/>
        </w:rPr>
        <w:t xml:space="preserve"> of implementing option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52"/>
        <w:gridCol w:w="1276"/>
        <w:gridCol w:w="992"/>
        <w:gridCol w:w="1418"/>
        <w:gridCol w:w="992"/>
        <w:gridCol w:w="1276"/>
      </w:tblGrid>
      <w:tr w:rsidR="002065D5" w:rsidRPr="00260D51" w14:paraId="5B0387FC" w14:textId="77777777" w:rsidTr="00B95660">
        <w:trPr>
          <w:trHeight w:val="505"/>
        </w:trPr>
        <w:tc>
          <w:tcPr>
            <w:tcW w:w="2405" w:type="dxa"/>
            <w:tcBorders>
              <w:top w:val="single" w:sz="4" w:space="0" w:color="auto"/>
              <w:left w:val="single" w:sz="4" w:space="0" w:color="auto"/>
              <w:bottom w:val="nil"/>
            </w:tcBorders>
            <w:shd w:val="clear" w:color="auto" w:fill="8DB3E2" w:themeFill="text2" w:themeFillTint="66"/>
            <w:noWrap/>
            <w:vAlign w:val="center"/>
            <w:hideMark/>
          </w:tcPr>
          <w:p w14:paraId="732346E7" w14:textId="77777777" w:rsidR="002065D5" w:rsidRPr="00260D51" w:rsidRDefault="002065D5" w:rsidP="00FD4943">
            <w:pPr>
              <w:keepNext/>
              <w:rPr>
                <w:rFonts w:cs="Arial"/>
                <w:color w:val="000000"/>
                <w:lang w:eastAsia="en-GB"/>
              </w:rPr>
            </w:pPr>
            <w:r w:rsidRPr="00260D51">
              <w:rPr>
                <w:rFonts w:cs="Arial"/>
                <w:color w:val="000000"/>
                <w:lang w:eastAsia="en-GB"/>
              </w:rPr>
              <w:t> </w:t>
            </w:r>
            <w:r w:rsidRPr="00260D51">
              <w:rPr>
                <w:rFonts w:cs="Arial"/>
                <w:b/>
                <w:color w:val="000000"/>
                <w:lang w:eastAsia="en-GB"/>
              </w:rPr>
              <w:t>Estimate</w:t>
            </w:r>
          </w:p>
        </w:tc>
        <w:tc>
          <w:tcPr>
            <w:tcW w:w="2268" w:type="dxa"/>
            <w:gridSpan w:val="2"/>
            <w:shd w:val="clear" w:color="auto" w:fill="8DB3E2" w:themeFill="text2" w:themeFillTint="66"/>
            <w:vAlign w:val="center"/>
            <w:hideMark/>
          </w:tcPr>
          <w:p w14:paraId="2B63FBDD" w14:textId="77777777" w:rsidR="002065D5" w:rsidRPr="00260D51" w:rsidRDefault="002065D5" w:rsidP="00FD4943">
            <w:pPr>
              <w:jc w:val="center"/>
              <w:rPr>
                <w:rFonts w:cs="Arial"/>
                <w:b/>
                <w:color w:val="000000"/>
                <w:lang w:eastAsia="en-GB"/>
              </w:rPr>
            </w:pPr>
            <w:r w:rsidRPr="00260D51">
              <w:rPr>
                <w:rFonts w:cs="Arial"/>
                <w:b/>
                <w:bCs/>
                <w:color w:val="000000"/>
                <w:lang w:eastAsia="en-GB"/>
              </w:rPr>
              <w:t>Berries</w:t>
            </w:r>
          </w:p>
        </w:tc>
        <w:tc>
          <w:tcPr>
            <w:tcW w:w="2410" w:type="dxa"/>
            <w:gridSpan w:val="2"/>
            <w:shd w:val="clear" w:color="auto" w:fill="8DB3E2" w:themeFill="text2" w:themeFillTint="66"/>
            <w:vAlign w:val="center"/>
            <w:hideMark/>
          </w:tcPr>
          <w:p w14:paraId="35C20F26" w14:textId="77777777" w:rsidR="002065D5" w:rsidRPr="00260D51" w:rsidRDefault="002065D5" w:rsidP="00FD4943">
            <w:pPr>
              <w:jc w:val="center"/>
              <w:rPr>
                <w:rFonts w:cs="Arial"/>
                <w:b/>
                <w:color w:val="000000"/>
                <w:lang w:eastAsia="en-GB"/>
              </w:rPr>
            </w:pPr>
            <w:r w:rsidRPr="00260D51">
              <w:rPr>
                <w:rFonts w:cs="Arial"/>
                <w:b/>
                <w:bCs/>
                <w:color w:val="000000"/>
                <w:lang w:eastAsia="en-GB"/>
              </w:rPr>
              <w:t xml:space="preserve">Leafy vegetables </w:t>
            </w:r>
          </w:p>
        </w:tc>
        <w:tc>
          <w:tcPr>
            <w:tcW w:w="2268" w:type="dxa"/>
            <w:gridSpan w:val="2"/>
            <w:shd w:val="clear" w:color="auto" w:fill="8DB3E2" w:themeFill="text2" w:themeFillTint="66"/>
            <w:vAlign w:val="center"/>
            <w:hideMark/>
          </w:tcPr>
          <w:p w14:paraId="70CBF1AE" w14:textId="77777777" w:rsidR="002065D5" w:rsidRPr="00260D51" w:rsidRDefault="002065D5" w:rsidP="00FD4943">
            <w:pPr>
              <w:ind w:right="-235"/>
              <w:jc w:val="center"/>
              <w:rPr>
                <w:rFonts w:cs="Arial"/>
                <w:b/>
                <w:color w:val="000000"/>
                <w:lang w:eastAsia="en-GB"/>
              </w:rPr>
            </w:pPr>
            <w:r w:rsidRPr="00260D51">
              <w:rPr>
                <w:rFonts w:cs="Arial"/>
                <w:b/>
                <w:bCs/>
                <w:color w:val="000000"/>
                <w:lang w:eastAsia="en-GB"/>
              </w:rPr>
              <w:t xml:space="preserve">Melons </w:t>
            </w:r>
          </w:p>
        </w:tc>
      </w:tr>
      <w:tr w:rsidR="002065D5" w:rsidRPr="00260D51" w14:paraId="1A4921EC" w14:textId="77777777" w:rsidTr="00B95660">
        <w:trPr>
          <w:trHeight w:val="615"/>
        </w:trPr>
        <w:tc>
          <w:tcPr>
            <w:tcW w:w="2405" w:type="dxa"/>
            <w:tcBorders>
              <w:top w:val="nil"/>
              <w:left w:val="single" w:sz="4" w:space="0" w:color="auto"/>
              <w:bottom w:val="single" w:sz="4" w:space="0" w:color="auto"/>
            </w:tcBorders>
            <w:shd w:val="clear" w:color="auto" w:fill="8DB3E2" w:themeFill="text2" w:themeFillTint="66"/>
            <w:noWrap/>
            <w:vAlign w:val="bottom"/>
            <w:hideMark/>
          </w:tcPr>
          <w:p w14:paraId="3184BE6B" w14:textId="77777777" w:rsidR="002065D5" w:rsidRPr="00260D51" w:rsidRDefault="002065D5" w:rsidP="00FD4943">
            <w:pPr>
              <w:rPr>
                <w:rFonts w:cs="Arial"/>
                <w:color w:val="000000"/>
                <w:lang w:eastAsia="en-GB"/>
              </w:rPr>
            </w:pPr>
            <w:r w:rsidRPr="00260D51">
              <w:rPr>
                <w:rFonts w:cs="Arial"/>
                <w:color w:val="000000"/>
                <w:lang w:eastAsia="en-GB"/>
              </w:rPr>
              <w:t> </w:t>
            </w:r>
          </w:p>
        </w:tc>
        <w:tc>
          <w:tcPr>
            <w:tcW w:w="992" w:type="dxa"/>
            <w:shd w:val="clear" w:color="auto" w:fill="8DB3E2" w:themeFill="text2" w:themeFillTint="66"/>
            <w:vAlign w:val="center"/>
            <w:hideMark/>
          </w:tcPr>
          <w:p w14:paraId="4C89C99D" w14:textId="77777777" w:rsidR="002065D5" w:rsidRPr="00260D51" w:rsidRDefault="002065D5" w:rsidP="00FD4943">
            <w:pPr>
              <w:rPr>
                <w:rFonts w:cs="Arial"/>
                <w:b/>
                <w:color w:val="000000"/>
                <w:lang w:eastAsia="en-GB"/>
              </w:rPr>
            </w:pPr>
            <w:r w:rsidRPr="00260D51">
              <w:rPr>
                <w:rFonts w:cs="Arial"/>
                <w:b/>
                <w:color w:val="000000"/>
                <w:lang w:eastAsia="en-GB"/>
              </w:rPr>
              <w:t xml:space="preserve">Initial costs $ </w:t>
            </w:r>
          </w:p>
        </w:tc>
        <w:tc>
          <w:tcPr>
            <w:tcW w:w="1276" w:type="dxa"/>
            <w:shd w:val="clear" w:color="auto" w:fill="8DB3E2" w:themeFill="text2" w:themeFillTint="66"/>
            <w:vAlign w:val="center"/>
            <w:hideMark/>
          </w:tcPr>
          <w:p w14:paraId="5D087575"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288EF9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418" w:type="dxa"/>
            <w:shd w:val="clear" w:color="auto" w:fill="8DB3E2" w:themeFill="text2" w:themeFillTint="66"/>
            <w:vAlign w:val="center"/>
            <w:hideMark/>
          </w:tcPr>
          <w:p w14:paraId="0FF8F303"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5C8F63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276" w:type="dxa"/>
            <w:shd w:val="clear" w:color="auto" w:fill="8DB3E2" w:themeFill="text2" w:themeFillTint="66"/>
            <w:vAlign w:val="center"/>
            <w:hideMark/>
          </w:tcPr>
          <w:p w14:paraId="03DB9754"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r>
      <w:tr w:rsidR="002065D5" w:rsidRPr="00C77582" w14:paraId="2465A7FC" w14:textId="77777777" w:rsidTr="00B95660">
        <w:trPr>
          <w:trHeight w:val="600"/>
        </w:trPr>
        <w:tc>
          <w:tcPr>
            <w:tcW w:w="2405" w:type="dxa"/>
            <w:tcBorders>
              <w:top w:val="single" w:sz="4" w:space="0" w:color="auto"/>
            </w:tcBorders>
            <w:shd w:val="clear" w:color="auto" w:fill="DBE5F1" w:themeFill="accent1" w:themeFillTint="33"/>
            <w:noWrap/>
            <w:vAlign w:val="bottom"/>
            <w:hideMark/>
          </w:tcPr>
          <w:p w14:paraId="02A71B40" w14:textId="77777777" w:rsidR="002065D5" w:rsidRPr="00C77582" w:rsidRDefault="002065D5" w:rsidP="00FD4943">
            <w:pPr>
              <w:rPr>
                <w:rFonts w:cs="Arial"/>
                <w:szCs w:val="22"/>
              </w:rPr>
            </w:pPr>
            <w:r w:rsidRPr="00C77582">
              <w:rPr>
                <w:rFonts w:cs="Arial"/>
                <w:szCs w:val="22"/>
              </w:rPr>
              <w:t xml:space="preserve">Businesses </w:t>
            </w:r>
            <w:r w:rsidRPr="00B95660">
              <w:rPr>
                <w:rFonts w:cs="Arial"/>
                <w:b/>
                <w:szCs w:val="22"/>
              </w:rPr>
              <w:t>with FSS</w:t>
            </w:r>
            <w:r w:rsidRPr="00C77582">
              <w:rPr>
                <w:rFonts w:cs="Arial"/>
                <w:szCs w:val="22"/>
              </w:rPr>
              <w:t xml:space="preserve"> (or equivalent measures) in place</w:t>
            </w:r>
          </w:p>
          <w:p w14:paraId="5FCD28C9" w14:textId="77777777" w:rsidR="002065D5" w:rsidRPr="00C77582" w:rsidRDefault="002065D5" w:rsidP="00FD4943">
            <w:pPr>
              <w:rPr>
                <w:rFonts w:cs="Arial"/>
                <w:szCs w:val="22"/>
              </w:rPr>
            </w:pPr>
          </w:p>
          <w:p w14:paraId="5CA28C40" w14:textId="77777777" w:rsidR="002065D5" w:rsidRPr="00C77582" w:rsidRDefault="002065D5" w:rsidP="00FD4943">
            <w:pPr>
              <w:rPr>
                <w:rFonts w:cs="Arial"/>
                <w:sz w:val="18"/>
                <w:szCs w:val="18"/>
              </w:rPr>
            </w:pPr>
            <w:r w:rsidRPr="00C77582">
              <w:rPr>
                <w:rFonts w:cs="Arial"/>
                <w:sz w:val="18"/>
                <w:szCs w:val="18"/>
              </w:rPr>
              <w:t>Berries: Initial notification</w:t>
            </w:r>
          </w:p>
          <w:p w14:paraId="62EB4CF0" w14:textId="77777777" w:rsidR="002065D5" w:rsidRPr="00C77582" w:rsidRDefault="002065D5" w:rsidP="00FD4943">
            <w:pPr>
              <w:rPr>
                <w:rFonts w:cs="Arial"/>
                <w:sz w:val="18"/>
                <w:szCs w:val="18"/>
              </w:rPr>
            </w:pPr>
          </w:p>
          <w:p w14:paraId="531A3B26" w14:textId="0E6BDB95" w:rsidR="002065D5" w:rsidRPr="00FB48D5" w:rsidRDefault="002065D5" w:rsidP="00FD4943">
            <w:pPr>
              <w:rPr>
                <w:rFonts w:cs="Arial"/>
                <w:sz w:val="18"/>
                <w:szCs w:val="18"/>
                <w:highlight w:val="yellow"/>
              </w:rPr>
            </w:pPr>
            <w:r w:rsidRPr="00C77582">
              <w:rPr>
                <w:rFonts w:cs="Arial"/>
                <w:sz w:val="18"/>
                <w:szCs w:val="18"/>
              </w:rPr>
              <w:t>Leafy vegetables and melons: A</w:t>
            </w:r>
            <w:r w:rsidR="006E286B">
              <w:rPr>
                <w:rFonts w:cs="Arial"/>
                <w:sz w:val="18"/>
                <w:szCs w:val="18"/>
              </w:rPr>
              <w:t>ssumed a</w:t>
            </w:r>
            <w:r w:rsidRPr="00C77582">
              <w:rPr>
                <w:rFonts w:cs="Arial"/>
                <w:sz w:val="18"/>
                <w:szCs w:val="18"/>
              </w:rPr>
              <w:t xml:space="preserve">nnual </w:t>
            </w:r>
            <w:r w:rsidRPr="00C77582">
              <w:rPr>
                <w:rFonts w:cs="Arial"/>
                <w:sz w:val="18"/>
                <w:szCs w:val="18"/>
              </w:rPr>
              <w:lastRenderedPageBreak/>
              <w:t>licencing costs</w:t>
            </w:r>
          </w:p>
        </w:tc>
        <w:tc>
          <w:tcPr>
            <w:tcW w:w="992" w:type="dxa"/>
            <w:shd w:val="clear" w:color="auto" w:fill="auto"/>
            <w:noWrap/>
            <w:vAlign w:val="center"/>
            <w:hideMark/>
          </w:tcPr>
          <w:p w14:paraId="718720E5" w14:textId="77777777" w:rsidR="003A0C99" w:rsidRDefault="002065D5" w:rsidP="00FD4943">
            <w:pPr>
              <w:jc w:val="right"/>
            </w:pPr>
            <w:r w:rsidRPr="00C77582">
              <w:lastRenderedPageBreak/>
              <w:t xml:space="preserve">       </w:t>
            </w:r>
          </w:p>
          <w:p w14:paraId="31DD4A39" w14:textId="77777777" w:rsidR="003A0C99" w:rsidRDefault="003A0C99" w:rsidP="00FD4943">
            <w:pPr>
              <w:jc w:val="right"/>
            </w:pPr>
          </w:p>
          <w:p w14:paraId="305C14B8" w14:textId="0245265C" w:rsidR="002065D5" w:rsidRPr="00C77582" w:rsidRDefault="002065D5" w:rsidP="00FD4943">
            <w:pPr>
              <w:jc w:val="right"/>
            </w:pPr>
            <w:r w:rsidRPr="00C77582">
              <w:t>30</w:t>
            </w:r>
            <w:r w:rsidR="0056215C">
              <w:t xml:space="preserve"> (notifications only)</w:t>
            </w:r>
          </w:p>
        </w:tc>
        <w:tc>
          <w:tcPr>
            <w:tcW w:w="1276" w:type="dxa"/>
            <w:shd w:val="clear" w:color="auto" w:fill="auto"/>
            <w:noWrap/>
            <w:vAlign w:val="center"/>
            <w:hideMark/>
          </w:tcPr>
          <w:p w14:paraId="5793B09B" w14:textId="77777777" w:rsidR="002065D5" w:rsidRPr="00C77582" w:rsidRDefault="002065D5" w:rsidP="00FD4943">
            <w:pPr>
              <w:jc w:val="right"/>
            </w:pPr>
            <w:r w:rsidRPr="00C77582">
              <w:t>0</w:t>
            </w:r>
          </w:p>
        </w:tc>
        <w:tc>
          <w:tcPr>
            <w:tcW w:w="992" w:type="dxa"/>
            <w:shd w:val="clear" w:color="auto" w:fill="DBE5F1" w:themeFill="accent1" w:themeFillTint="33"/>
            <w:noWrap/>
            <w:vAlign w:val="center"/>
            <w:hideMark/>
          </w:tcPr>
          <w:p w14:paraId="57EB1B60" w14:textId="77777777" w:rsidR="002065D5" w:rsidRPr="00C77582" w:rsidRDefault="002065D5" w:rsidP="00FD4943">
            <w:pPr>
              <w:jc w:val="right"/>
            </w:pPr>
            <w:r w:rsidRPr="00C77582">
              <w:t xml:space="preserve">0 </w:t>
            </w:r>
          </w:p>
        </w:tc>
        <w:tc>
          <w:tcPr>
            <w:tcW w:w="1418" w:type="dxa"/>
            <w:shd w:val="clear" w:color="auto" w:fill="DBE5F1" w:themeFill="accent1" w:themeFillTint="33"/>
            <w:noWrap/>
            <w:vAlign w:val="center"/>
            <w:hideMark/>
          </w:tcPr>
          <w:p w14:paraId="2B444829" w14:textId="77777777" w:rsidR="003A0C99" w:rsidRDefault="002065D5" w:rsidP="00144636">
            <w:pPr>
              <w:jc w:val="right"/>
            </w:pPr>
            <w:r w:rsidRPr="00C77582">
              <w:t xml:space="preserve"> </w:t>
            </w:r>
          </w:p>
          <w:p w14:paraId="25D235BC" w14:textId="77777777" w:rsidR="003A0C99" w:rsidRDefault="003A0C99" w:rsidP="00144636">
            <w:pPr>
              <w:jc w:val="right"/>
            </w:pPr>
          </w:p>
          <w:p w14:paraId="71860F62" w14:textId="3B28C31E" w:rsidR="002065D5" w:rsidRPr="00C77582" w:rsidRDefault="00144636" w:rsidP="00144636">
            <w:pPr>
              <w:jc w:val="right"/>
            </w:pPr>
            <w:r>
              <w:t>654 (licences only</w:t>
            </w:r>
            <w:r w:rsidR="002065D5" w:rsidRPr="00C77582">
              <w:t xml:space="preserve"> </w:t>
            </w:r>
          </w:p>
        </w:tc>
        <w:tc>
          <w:tcPr>
            <w:tcW w:w="992" w:type="dxa"/>
            <w:shd w:val="clear" w:color="auto" w:fill="auto"/>
            <w:noWrap/>
            <w:vAlign w:val="center"/>
            <w:hideMark/>
          </w:tcPr>
          <w:p w14:paraId="3F0916D1" w14:textId="77777777" w:rsidR="002065D5" w:rsidRPr="00C77582" w:rsidRDefault="002065D5" w:rsidP="00FD4943">
            <w:pPr>
              <w:jc w:val="right"/>
            </w:pPr>
            <w:r w:rsidRPr="00C77582">
              <w:t xml:space="preserve"> 0 </w:t>
            </w:r>
          </w:p>
        </w:tc>
        <w:tc>
          <w:tcPr>
            <w:tcW w:w="1276" w:type="dxa"/>
            <w:shd w:val="clear" w:color="auto" w:fill="auto"/>
            <w:noWrap/>
            <w:vAlign w:val="center"/>
            <w:hideMark/>
          </w:tcPr>
          <w:p w14:paraId="10ED16F3" w14:textId="77777777" w:rsidR="003A0C99" w:rsidRDefault="002065D5" w:rsidP="00144636">
            <w:pPr>
              <w:jc w:val="right"/>
            </w:pPr>
            <w:r>
              <w:t xml:space="preserve"> </w:t>
            </w:r>
          </w:p>
          <w:p w14:paraId="5ABD1F46" w14:textId="1EC89AF3" w:rsidR="002065D5" w:rsidRPr="00C77582" w:rsidRDefault="00144636" w:rsidP="00144636">
            <w:pPr>
              <w:jc w:val="right"/>
            </w:pPr>
            <w:r>
              <w:t>654 (licences only)</w:t>
            </w:r>
            <w:r w:rsidR="002065D5" w:rsidRPr="00C77582">
              <w:t xml:space="preserve"> </w:t>
            </w:r>
          </w:p>
        </w:tc>
      </w:tr>
      <w:tr w:rsidR="002065D5" w:rsidRPr="00C77582" w14:paraId="1758AF42" w14:textId="77777777" w:rsidTr="00B95660">
        <w:trPr>
          <w:trHeight w:val="600"/>
        </w:trPr>
        <w:tc>
          <w:tcPr>
            <w:tcW w:w="2405" w:type="dxa"/>
            <w:tcBorders>
              <w:top w:val="single" w:sz="4" w:space="0" w:color="auto"/>
            </w:tcBorders>
            <w:shd w:val="clear" w:color="auto" w:fill="DBE5F1" w:themeFill="accent1" w:themeFillTint="33"/>
            <w:noWrap/>
            <w:vAlign w:val="bottom"/>
          </w:tcPr>
          <w:p w14:paraId="6AEA2312" w14:textId="3B5E3095" w:rsidR="002065D5" w:rsidRPr="00C77582" w:rsidRDefault="002065D5" w:rsidP="00FD4943">
            <w:pPr>
              <w:rPr>
                <w:rFonts w:cs="Arial"/>
                <w:szCs w:val="22"/>
              </w:rPr>
            </w:pPr>
            <w:r w:rsidRPr="00C77582">
              <w:rPr>
                <w:rFonts w:cs="Arial"/>
                <w:szCs w:val="22"/>
              </w:rPr>
              <w:t>Businesses</w:t>
            </w:r>
            <w:r w:rsidR="0056215C">
              <w:rPr>
                <w:rFonts w:cs="Arial"/>
                <w:szCs w:val="22"/>
              </w:rPr>
              <w:t xml:space="preserve"> not already on </w:t>
            </w:r>
            <w:r w:rsidR="00304AEA">
              <w:rPr>
                <w:rFonts w:cs="Arial"/>
                <w:szCs w:val="22"/>
              </w:rPr>
              <w:t>a FSS</w:t>
            </w:r>
            <w:r w:rsidR="0056215C">
              <w:rPr>
                <w:rFonts w:cs="Arial"/>
                <w:szCs w:val="22"/>
              </w:rPr>
              <w:t xml:space="preserve"> but</w:t>
            </w:r>
            <w:r w:rsidRPr="00C77582">
              <w:rPr>
                <w:rFonts w:cs="Arial"/>
                <w:szCs w:val="22"/>
              </w:rPr>
              <w:t xml:space="preserve"> with some food safety management in place (50% of the proposed measures)</w:t>
            </w:r>
          </w:p>
          <w:p w14:paraId="3350500B" w14:textId="77777777" w:rsidR="002065D5" w:rsidRPr="00C77582" w:rsidRDefault="002065D5" w:rsidP="00FD4943">
            <w:pPr>
              <w:rPr>
                <w:rFonts w:cs="Arial"/>
                <w:szCs w:val="22"/>
              </w:rPr>
            </w:pPr>
          </w:p>
          <w:p w14:paraId="5872F88E" w14:textId="7C5B0374" w:rsidR="002065D5" w:rsidRPr="00FB48D5" w:rsidRDefault="002065D5" w:rsidP="00FD4943">
            <w:pPr>
              <w:rPr>
                <w:rFonts w:cs="Arial"/>
                <w:sz w:val="18"/>
                <w:szCs w:val="18"/>
              </w:rPr>
            </w:pPr>
            <w:r w:rsidRPr="00C77582">
              <w:rPr>
                <w:rFonts w:cs="Arial"/>
                <w:sz w:val="18"/>
                <w:szCs w:val="18"/>
              </w:rPr>
              <w:t>Includes</w:t>
            </w:r>
            <w:r w:rsidR="00F96B94">
              <w:rPr>
                <w:rFonts w:cs="Arial"/>
                <w:sz w:val="18"/>
                <w:szCs w:val="18"/>
              </w:rPr>
              <w:t xml:space="preserve"> </w:t>
            </w:r>
            <w:r w:rsidRPr="00C77582">
              <w:rPr>
                <w:rFonts w:cs="Arial"/>
                <w:sz w:val="18"/>
                <w:szCs w:val="18"/>
              </w:rPr>
              <w:t>notifications</w:t>
            </w:r>
            <w:r w:rsidR="00144636">
              <w:rPr>
                <w:rFonts w:cs="Arial"/>
                <w:sz w:val="18"/>
                <w:szCs w:val="18"/>
              </w:rPr>
              <w:t xml:space="preserve"> ($30 for berries)</w:t>
            </w:r>
            <w:r w:rsidRPr="00C77582">
              <w:rPr>
                <w:rFonts w:cs="Arial"/>
                <w:sz w:val="18"/>
                <w:szCs w:val="18"/>
              </w:rPr>
              <w:t xml:space="preserve">, </w:t>
            </w:r>
            <w:r w:rsidR="00F96B94">
              <w:rPr>
                <w:rFonts w:cs="Arial"/>
                <w:sz w:val="18"/>
                <w:szCs w:val="18"/>
              </w:rPr>
              <w:t xml:space="preserve">assumed </w:t>
            </w:r>
            <w:r w:rsidRPr="00C77582">
              <w:rPr>
                <w:rFonts w:cs="Arial"/>
                <w:sz w:val="18"/>
                <w:szCs w:val="18"/>
              </w:rPr>
              <w:t>licencing</w:t>
            </w:r>
            <w:r w:rsidR="00144636">
              <w:rPr>
                <w:rFonts w:cs="Arial"/>
                <w:sz w:val="18"/>
                <w:szCs w:val="18"/>
              </w:rPr>
              <w:t xml:space="preserve"> and audits ($654 and $885 respectively for leafy veg. and melons) </w:t>
            </w:r>
            <w:r w:rsidRPr="00C77582">
              <w:rPr>
                <w:rFonts w:cs="Arial"/>
                <w:sz w:val="18"/>
                <w:szCs w:val="18"/>
              </w:rPr>
              <w:t>and 50% of the costs of implementing all me</w:t>
            </w:r>
            <w:r w:rsidR="00FB48D5">
              <w:rPr>
                <w:rFonts w:cs="Arial"/>
                <w:sz w:val="18"/>
                <w:szCs w:val="18"/>
              </w:rPr>
              <w:t>asures in the proposed standard</w:t>
            </w:r>
          </w:p>
        </w:tc>
        <w:tc>
          <w:tcPr>
            <w:tcW w:w="992" w:type="dxa"/>
            <w:shd w:val="clear" w:color="auto" w:fill="auto"/>
            <w:noWrap/>
            <w:vAlign w:val="center"/>
          </w:tcPr>
          <w:p w14:paraId="4DB646C3" w14:textId="198DB7E2" w:rsidR="002065D5" w:rsidRPr="00C77582" w:rsidRDefault="00144636" w:rsidP="00FD4943">
            <w:pPr>
              <w:jc w:val="right"/>
            </w:pPr>
            <w:r>
              <w:t>53</w:t>
            </w:r>
            <w:r w:rsidR="002065D5" w:rsidRPr="00C77582">
              <w:t>0</w:t>
            </w:r>
          </w:p>
        </w:tc>
        <w:tc>
          <w:tcPr>
            <w:tcW w:w="1276" w:type="dxa"/>
            <w:shd w:val="clear" w:color="auto" w:fill="auto"/>
            <w:noWrap/>
            <w:vAlign w:val="center"/>
          </w:tcPr>
          <w:p w14:paraId="64C5853F" w14:textId="0B18968F" w:rsidR="002065D5" w:rsidRPr="00C77582" w:rsidRDefault="002065D5" w:rsidP="00FD4943">
            <w:pPr>
              <w:jc w:val="right"/>
            </w:pPr>
            <w:r w:rsidRPr="00C77582">
              <w:t>1</w:t>
            </w:r>
            <w:r>
              <w:t>,</w:t>
            </w:r>
            <w:r w:rsidR="00144636">
              <w:t>6</w:t>
            </w:r>
            <w:r w:rsidRPr="00C77582">
              <w:t>56</w:t>
            </w:r>
          </w:p>
        </w:tc>
        <w:tc>
          <w:tcPr>
            <w:tcW w:w="992" w:type="dxa"/>
            <w:shd w:val="clear" w:color="auto" w:fill="DBE5F1" w:themeFill="accent1" w:themeFillTint="33"/>
            <w:noWrap/>
            <w:vAlign w:val="center"/>
          </w:tcPr>
          <w:p w14:paraId="0895BCFF" w14:textId="77777777" w:rsidR="002065D5" w:rsidRPr="00C77582" w:rsidRDefault="002065D5" w:rsidP="00FD4943">
            <w:pPr>
              <w:jc w:val="right"/>
            </w:pPr>
            <w:r w:rsidRPr="00C77582">
              <w:t>700</w:t>
            </w:r>
          </w:p>
        </w:tc>
        <w:tc>
          <w:tcPr>
            <w:tcW w:w="1418" w:type="dxa"/>
            <w:shd w:val="clear" w:color="auto" w:fill="DBE5F1" w:themeFill="accent1" w:themeFillTint="33"/>
            <w:noWrap/>
            <w:vAlign w:val="center"/>
          </w:tcPr>
          <w:p w14:paraId="738046D2" w14:textId="18033DB2" w:rsidR="002065D5" w:rsidRPr="00C77582" w:rsidRDefault="00144636" w:rsidP="00FD4943">
            <w:pPr>
              <w:jc w:val="right"/>
            </w:pPr>
            <w:r>
              <w:t>7,035</w:t>
            </w:r>
          </w:p>
        </w:tc>
        <w:tc>
          <w:tcPr>
            <w:tcW w:w="992" w:type="dxa"/>
            <w:shd w:val="clear" w:color="auto" w:fill="auto"/>
            <w:noWrap/>
            <w:vAlign w:val="center"/>
          </w:tcPr>
          <w:p w14:paraId="1B29CB5F" w14:textId="77777777" w:rsidR="002065D5" w:rsidRPr="00C77582" w:rsidRDefault="002065D5" w:rsidP="00FD4943">
            <w:pPr>
              <w:jc w:val="right"/>
            </w:pPr>
            <w:r w:rsidRPr="00C77582">
              <w:t>700</w:t>
            </w:r>
          </w:p>
        </w:tc>
        <w:tc>
          <w:tcPr>
            <w:tcW w:w="1276" w:type="dxa"/>
            <w:shd w:val="clear" w:color="auto" w:fill="auto"/>
            <w:noWrap/>
            <w:vAlign w:val="center"/>
          </w:tcPr>
          <w:p w14:paraId="2D6BB056" w14:textId="288E3798" w:rsidR="002065D5" w:rsidRPr="00C77582" w:rsidRDefault="00144636" w:rsidP="00FD4943">
            <w:pPr>
              <w:jc w:val="right"/>
            </w:pPr>
            <w:r>
              <w:t>4,055</w:t>
            </w:r>
          </w:p>
        </w:tc>
      </w:tr>
      <w:tr w:rsidR="002065D5" w:rsidRPr="00C77582" w14:paraId="25068C97" w14:textId="77777777" w:rsidTr="00FB48D5">
        <w:trPr>
          <w:trHeight w:val="600"/>
        </w:trPr>
        <w:tc>
          <w:tcPr>
            <w:tcW w:w="2405" w:type="dxa"/>
            <w:tcBorders>
              <w:top w:val="single" w:sz="4" w:space="0" w:color="auto"/>
              <w:bottom w:val="single" w:sz="4" w:space="0" w:color="auto"/>
            </w:tcBorders>
            <w:shd w:val="clear" w:color="auto" w:fill="DBE5F1" w:themeFill="accent1" w:themeFillTint="33"/>
            <w:noWrap/>
            <w:vAlign w:val="bottom"/>
          </w:tcPr>
          <w:p w14:paraId="40482C8D" w14:textId="77777777" w:rsidR="002065D5" w:rsidRPr="00C77582" w:rsidRDefault="002065D5" w:rsidP="00FD4943">
            <w:pPr>
              <w:rPr>
                <w:rFonts w:cs="Arial"/>
                <w:szCs w:val="22"/>
              </w:rPr>
            </w:pPr>
            <w:r w:rsidRPr="00C77582">
              <w:rPr>
                <w:rFonts w:cs="Arial"/>
                <w:szCs w:val="22"/>
              </w:rPr>
              <w:t>Businesses without any food safety management in place. Costs will be similar to what businesses implementing industry-driven schemes have already invested</w:t>
            </w:r>
          </w:p>
          <w:p w14:paraId="2BE1F231" w14:textId="77777777" w:rsidR="002065D5" w:rsidRPr="00C77582" w:rsidRDefault="002065D5" w:rsidP="00FD4943">
            <w:pPr>
              <w:rPr>
                <w:rFonts w:cs="Arial"/>
                <w:szCs w:val="22"/>
              </w:rPr>
            </w:pPr>
          </w:p>
          <w:p w14:paraId="42B5758B" w14:textId="720A00BE" w:rsidR="002065D5" w:rsidRPr="00FB48D5" w:rsidRDefault="002065D5" w:rsidP="00F96B94">
            <w:pPr>
              <w:rPr>
                <w:rFonts w:cs="Arial"/>
                <w:sz w:val="18"/>
                <w:szCs w:val="18"/>
              </w:rPr>
            </w:pPr>
            <w:r w:rsidRPr="00C77582">
              <w:rPr>
                <w:rFonts w:cs="Arial"/>
                <w:sz w:val="18"/>
                <w:szCs w:val="18"/>
              </w:rPr>
              <w:t xml:space="preserve">Includes notifications, </w:t>
            </w:r>
            <w:r w:rsidR="00F96B94">
              <w:rPr>
                <w:rFonts w:cs="Arial"/>
                <w:sz w:val="18"/>
                <w:szCs w:val="18"/>
              </w:rPr>
              <w:t xml:space="preserve">assumed </w:t>
            </w:r>
            <w:r w:rsidRPr="00C77582">
              <w:rPr>
                <w:rFonts w:cs="Arial"/>
                <w:sz w:val="18"/>
                <w:szCs w:val="18"/>
              </w:rPr>
              <w:t>licencing, audits and 100% of the costs of implementing all me</w:t>
            </w:r>
            <w:r w:rsidR="00FB48D5">
              <w:rPr>
                <w:rFonts w:cs="Arial"/>
                <w:sz w:val="18"/>
                <w:szCs w:val="18"/>
              </w:rPr>
              <w:t>asures in the proposed standard</w:t>
            </w:r>
          </w:p>
        </w:tc>
        <w:tc>
          <w:tcPr>
            <w:tcW w:w="992" w:type="dxa"/>
            <w:tcBorders>
              <w:bottom w:val="single" w:sz="4" w:space="0" w:color="auto"/>
            </w:tcBorders>
            <w:shd w:val="clear" w:color="auto" w:fill="auto"/>
            <w:noWrap/>
            <w:vAlign w:val="center"/>
          </w:tcPr>
          <w:p w14:paraId="466B31BC" w14:textId="10CEC486" w:rsidR="002065D5" w:rsidRPr="00C77582" w:rsidRDefault="002065D5" w:rsidP="00FD4943">
            <w:pPr>
              <w:jc w:val="right"/>
            </w:pPr>
            <w:r w:rsidRPr="00C77582">
              <w:t>1</w:t>
            </w:r>
            <w:r w:rsidR="002C1032">
              <w:t>,</w:t>
            </w:r>
            <w:r w:rsidRPr="00C77582">
              <w:t>0</w:t>
            </w:r>
            <w:r w:rsidR="00655BA5">
              <w:t>3</w:t>
            </w:r>
            <w:r w:rsidR="002C1032">
              <w:t>0</w:t>
            </w:r>
          </w:p>
        </w:tc>
        <w:tc>
          <w:tcPr>
            <w:tcW w:w="1276" w:type="dxa"/>
            <w:tcBorders>
              <w:bottom w:val="single" w:sz="4" w:space="0" w:color="auto"/>
            </w:tcBorders>
            <w:shd w:val="clear" w:color="auto" w:fill="auto"/>
            <w:noWrap/>
            <w:vAlign w:val="center"/>
          </w:tcPr>
          <w:p w14:paraId="195FC3C7" w14:textId="61912BFC" w:rsidR="002065D5" w:rsidRPr="00C77582" w:rsidRDefault="002C1032" w:rsidP="002C1032">
            <w:pPr>
              <w:jc w:val="right"/>
            </w:pPr>
            <w:r>
              <w:t>3,313</w:t>
            </w:r>
          </w:p>
        </w:tc>
        <w:tc>
          <w:tcPr>
            <w:tcW w:w="992" w:type="dxa"/>
            <w:tcBorders>
              <w:bottom w:val="single" w:sz="4" w:space="0" w:color="auto"/>
            </w:tcBorders>
            <w:shd w:val="clear" w:color="auto" w:fill="DBE5F1" w:themeFill="accent1" w:themeFillTint="33"/>
            <w:noWrap/>
            <w:vAlign w:val="center"/>
          </w:tcPr>
          <w:p w14:paraId="09E671E7" w14:textId="77777777" w:rsidR="002065D5" w:rsidRPr="00C77582" w:rsidRDefault="002065D5" w:rsidP="00FD4943">
            <w:pPr>
              <w:jc w:val="right"/>
            </w:pPr>
            <w:r w:rsidRPr="00C77582">
              <w:t>1</w:t>
            </w:r>
            <w:r>
              <w:t>,</w:t>
            </w:r>
            <w:r w:rsidRPr="00C77582">
              <w:t>400</w:t>
            </w:r>
          </w:p>
        </w:tc>
        <w:tc>
          <w:tcPr>
            <w:tcW w:w="1418" w:type="dxa"/>
            <w:tcBorders>
              <w:bottom w:val="single" w:sz="4" w:space="0" w:color="auto"/>
            </w:tcBorders>
            <w:shd w:val="clear" w:color="auto" w:fill="DBE5F1" w:themeFill="accent1" w:themeFillTint="33"/>
            <w:noWrap/>
            <w:vAlign w:val="center"/>
          </w:tcPr>
          <w:p w14:paraId="68AC5EC4" w14:textId="77777777" w:rsidR="002065D5" w:rsidRPr="00C77582" w:rsidRDefault="002065D5" w:rsidP="00FD4943">
            <w:pPr>
              <w:jc w:val="right"/>
            </w:pPr>
            <w:r w:rsidRPr="00C77582">
              <w:t>12,533</w:t>
            </w:r>
          </w:p>
        </w:tc>
        <w:tc>
          <w:tcPr>
            <w:tcW w:w="992" w:type="dxa"/>
            <w:tcBorders>
              <w:bottom w:val="single" w:sz="4" w:space="0" w:color="auto"/>
            </w:tcBorders>
            <w:shd w:val="clear" w:color="auto" w:fill="auto"/>
            <w:noWrap/>
            <w:vAlign w:val="center"/>
          </w:tcPr>
          <w:p w14:paraId="37BC79B8" w14:textId="77777777" w:rsidR="002065D5" w:rsidRPr="00C77582" w:rsidRDefault="002065D5" w:rsidP="00FD4943">
            <w:pPr>
              <w:jc w:val="right"/>
            </w:pPr>
            <w:r>
              <w:t>1,400</w:t>
            </w:r>
          </w:p>
        </w:tc>
        <w:tc>
          <w:tcPr>
            <w:tcW w:w="1276" w:type="dxa"/>
            <w:tcBorders>
              <w:bottom w:val="single" w:sz="4" w:space="0" w:color="auto"/>
            </w:tcBorders>
            <w:shd w:val="clear" w:color="auto" w:fill="auto"/>
            <w:noWrap/>
            <w:vAlign w:val="center"/>
          </w:tcPr>
          <w:p w14:paraId="54964CA1" w14:textId="77777777" w:rsidR="002065D5" w:rsidRPr="00C77582" w:rsidRDefault="002065D5" w:rsidP="00FD4943">
            <w:pPr>
              <w:jc w:val="right"/>
            </w:pPr>
            <w:r w:rsidRPr="00C77582">
              <w:t>6,573</w:t>
            </w:r>
          </w:p>
        </w:tc>
      </w:tr>
      <w:tr w:rsidR="002065D5" w:rsidRPr="00C77582" w14:paraId="690A13FA" w14:textId="77777777" w:rsidTr="00FB48D5">
        <w:trPr>
          <w:trHeight w:val="600"/>
        </w:trPr>
        <w:tc>
          <w:tcPr>
            <w:tcW w:w="9351" w:type="dxa"/>
            <w:gridSpan w:val="7"/>
            <w:tcBorders>
              <w:top w:val="single" w:sz="4" w:space="0" w:color="auto"/>
              <w:left w:val="nil"/>
              <w:bottom w:val="nil"/>
              <w:right w:val="nil"/>
            </w:tcBorders>
            <w:shd w:val="clear" w:color="auto" w:fill="auto"/>
            <w:noWrap/>
            <w:vAlign w:val="bottom"/>
          </w:tcPr>
          <w:p w14:paraId="2D2F4893" w14:textId="77777777" w:rsidR="002065D5" w:rsidRPr="00423BBC" w:rsidRDefault="002065D5" w:rsidP="002065D5">
            <w:pPr>
              <w:rPr>
                <w:rFonts w:cs="Arial"/>
                <w:sz w:val="18"/>
                <w:szCs w:val="18"/>
                <w:highlight w:val="yellow"/>
              </w:rPr>
            </w:pPr>
            <w:r w:rsidRPr="00423BBC">
              <w:rPr>
                <w:sz w:val="18"/>
                <w:szCs w:val="18"/>
              </w:rPr>
              <w:t>N</w:t>
            </w:r>
            <w:r>
              <w:rPr>
                <w:sz w:val="18"/>
                <w:szCs w:val="18"/>
              </w:rPr>
              <w:t>ote: This</w:t>
            </w:r>
            <w:r w:rsidRPr="00423BBC">
              <w:rPr>
                <w:sz w:val="18"/>
                <w:szCs w:val="18"/>
              </w:rPr>
              <w:t xml:space="preserve"> table includes the costs of </w:t>
            </w:r>
            <w:r>
              <w:rPr>
                <w:sz w:val="18"/>
                <w:szCs w:val="18"/>
              </w:rPr>
              <w:t xml:space="preserve">formal </w:t>
            </w:r>
            <w:r w:rsidRPr="00423BBC">
              <w:rPr>
                <w:sz w:val="18"/>
                <w:szCs w:val="18"/>
              </w:rPr>
              <w:t xml:space="preserve">audits by government food regulators.  </w:t>
            </w:r>
            <w:r>
              <w:rPr>
                <w:sz w:val="18"/>
                <w:szCs w:val="18"/>
              </w:rPr>
              <w:t xml:space="preserve">Alternative, lower cost, monitoring arrangements may be considered at a state and territory level for businesses already certified against a FSS. </w:t>
            </w:r>
          </w:p>
          <w:p w14:paraId="28E15F19" w14:textId="77777777" w:rsidR="002065D5" w:rsidRPr="00C77582" w:rsidRDefault="002065D5" w:rsidP="00FD4943">
            <w:pPr>
              <w:jc w:val="right"/>
            </w:pPr>
          </w:p>
        </w:tc>
      </w:tr>
    </w:tbl>
    <w:p w14:paraId="59125C1D" w14:textId="423593CF" w:rsidR="00C85CB8" w:rsidRPr="00C85CB8" w:rsidRDefault="00181E4C" w:rsidP="00C85CB8">
      <w:pPr>
        <w:rPr>
          <w:lang w:val="en-AU"/>
        </w:rPr>
      </w:pPr>
      <w:r>
        <w:rPr>
          <w:color w:val="000000" w:themeColor="text1"/>
          <w:lang w:val="en-AU"/>
        </w:rPr>
        <w:t>FSANZ has estimated the</w:t>
      </w:r>
      <w:r w:rsidR="009E4147">
        <w:rPr>
          <w:color w:val="000000" w:themeColor="text1"/>
          <w:lang w:val="en-AU"/>
        </w:rPr>
        <w:t xml:space="preserve"> cost </w:t>
      </w:r>
      <w:r w:rsidR="00694D1D">
        <w:rPr>
          <w:color w:val="000000" w:themeColor="text1"/>
          <w:lang w:val="en-AU"/>
        </w:rPr>
        <w:t xml:space="preserve">to a berry business </w:t>
      </w:r>
      <w:r w:rsidR="009E4147">
        <w:rPr>
          <w:color w:val="000000" w:themeColor="text1"/>
          <w:lang w:val="en-AU"/>
        </w:rPr>
        <w:t xml:space="preserve">of notifying food regulators of </w:t>
      </w:r>
      <w:r w:rsidR="00694D1D">
        <w:rPr>
          <w:color w:val="000000" w:themeColor="text1"/>
          <w:lang w:val="en-AU"/>
        </w:rPr>
        <w:t>its</w:t>
      </w:r>
      <w:r w:rsidR="009E4147">
        <w:rPr>
          <w:color w:val="000000" w:themeColor="text1"/>
          <w:lang w:val="en-AU"/>
        </w:rPr>
        <w:t xml:space="preserve"> existence </w:t>
      </w:r>
      <w:r w:rsidR="00694D1D">
        <w:rPr>
          <w:color w:val="000000" w:themeColor="text1"/>
          <w:lang w:val="en-AU"/>
        </w:rPr>
        <w:t>i</w:t>
      </w:r>
      <w:r w:rsidR="009E4147">
        <w:rPr>
          <w:color w:val="000000" w:themeColor="text1"/>
          <w:lang w:val="en-AU"/>
        </w:rPr>
        <w:t>s $30</w:t>
      </w:r>
      <w:r w:rsidR="00CC15AD">
        <w:rPr>
          <w:color w:val="000000" w:themeColor="text1"/>
          <w:lang w:val="en-AU"/>
        </w:rPr>
        <w:t xml:space="preserve">. </w:t>
      </w:r>
      <w:r w:rsidR="0021662A">
        <w:rPr>
          <w:lang w:val="en-AU"/>
        </w:rPr>
        <w:t>I</w:t>
      </w:r>
      <w:r w:rsidR="00CE47DB">
        <w:rPr>
          <w:lang w:val="en-AU"/>
        </w:rPr>
        <w:t>nspections by government regulators would occur if a food safety concern was raised</w:t>
      </w:r>
      <w:r w:rsidR="00CE47DB" w:rsidRPr="009D2DA6">
        <w:rPr>
          <w:lang w:val="en-AU"/>
        </w:rPr>
        <w:t xml:space="preserve">. The inspection </w:t>
      </w:r>
      <w:r w:rsidR="00EB0C18">
        <w:rPr>
          <w:lang w:val="en-AU"/>
        </w:rPr>
        <w:t>may</w:t>
      </w:r>
      <w:r w:rsidR="00EB0C18" w:rsidRPr="009D2DA6">
        <w:rPr>
          <w:lang w:val="en-AU"/>
        </w:rPr>
        <w:t xml:space="preserve"> </w:t>
      </w:r>
      <w:r w:rsidR="008B2B8B">
        <w:rPr>
          <w:lang w:val="en-AU"/>
        </w:rPr>
        <w:t>involve</w:t>
      </w:r>
      <w:r w:rsidR="00CE47DB" w:rsidRPr="009D2DA6">
        <w:rPr>
          <w:lang w:val="en-AU"/>
        </w:rPr>
        <w:t xml:space="preserve"> a walk-through and review of how the business implement</w:t>
      </w:r>
      <w:r w:rsidR="008B2B8B">
        <w:rPr>
          <w:lang w:val="en-AU"/>
        </w:rPr>
        <w:t>s</w:t>
      </w:r>
      <w:r w:rsidR="00CE47DB" w:rsidRPr="009D2DA6">
        <w:rPr>
          <w:lang w:val="en-AU"/>
        </w:rPr>
        <w:t xml:space="preserve"> the proposed standard. </w:t>
      </w:r>
      <w:r w:rsidR="00C85CB8" w:rsidRPr="00C85CB8">
        <w:rPr>
          <w:lang w:val="en-AU"/>
        </w:rPr>
        <w:t>FSANZ has estimated $250-500 per inspection for an average</w:t>
      </w:r>
      <w:r w:rsidR="008B2B8B">
        <w:rPr>
          <w:lang w:val="en-AU"/>
        </w:rPr>
        <w:t>-</w:t>
      </w:r>
      <w:r w:rsidR="00C85CB8" w:rsidRPr="00C85CB8">
        <w:rPr>
          <w:lang w:val="en-AU"/>
        </w:rPr>
        <w:t>sized berry producer. These costs are approximates only and based on current fees for inspecting food business (rather than inspections in the horticulture sector). In some jurisdictions there are currently no set charges for inspecting horticultural businesses</w:t>
      </w:r>
      <w:r w:rsidR="008B2B8B">
        <w:rPr>
          <w:lang w:val="en-AU"/>
        </w:rPr>
        <w:t>,</w:t>
      </w:r>
      <w:r w:rsidR="00C85CB8" w:rsidRPr="00C85CB8">
        <w:rPr>
          <w:lang w:val="en-AU"/>
        </w:rPr>
        <w:t xml:space="preserve"> </w:t>
      </w:r>
      <w:r w:rsidR="008B2B8B">
        <w:rPr>
          <w:lang w:val="en-AU"/>
        </w:rPr>
        <w:t>so</w:t>
      </w:r>
      <w:r w:rsidR="00C85CB8" w:rsidRPr="00C85CB8">
        <w:rPr>
          <w:lang w:val="en-AU"/>
        </w:rPr>
        <w:t xml:space="preserve"> the fee provided is indicative only.</w:t>
      </w:r>
    </w:p>
    <w:p w14:paraId="6E337B7F" w14:textId="1E039222" w:rsidR="009E4147" w:rsidRDefault="009E4147" w:rsidP="0086325A">
      <w:pPr>
        <w:rPr>
          <w:color w:val="000000" w:themeColor="text1"/>
          <w:lang w:val="en-AU"/>
        </w:rPr>
      </w:pPr>
    </w:p>
    <w:p w14:paraId="468E082E" w14:textId="04A5E889" w:rsidR="00AE7622" w:rsidRDefault="001E598D" w:rsidP="00AE7622">
      <w:pPr>
        <w:rPr>
          <w:rFonts w:cs="Arial"/>
          <w:color w:val="000000"/>
          <w:lang w:eastAsia="en-GB"/>
        </w:rPr>
      </w:pPr>
      <w:r>
        <w:rPr>
          <w:color w:val="000000" w:themeColor="text1"/>
          <w:lang w:val="en-AU"/>
        </w:rPr>
        <w:t xml:space="preserve">FSANZ has estimated the cost of </w:t>
      </w:r>
      <w:r w:rsidR="006E286B">
        <w:rPr>
          <w:color w:val="000000" w:themeColor="text1"/>
          <w:lang w:val="en-AU"/>
        </w:rPr>
        <w:t xml:space="preserve">assumed </w:t>
      </w:r>
      <w:r>
        <w:rPr>
          <w:color w:val="000000" w:themeColor="text1"/>
          <w:lang w:val="en-AU"/>
        </w:rPr>
        <w:t>licencing and auditing</w:t>
      </w:r>
      <w:r w:rsidR="005171E7">
        <w:rPr>
          <w:color w:val="000000" w:themeColor="text1"/>
          <w:lang w:val="en-AU"/>
        </w:rPr>
        <w:t xml:space="preserve"> or monitoring</w:t>
      </w:r>
      <w:r>
        <w:rPr>
          <w:color w:val="000000" w:themeColor="text1"/>
          <w:lang w:val="en-AU"/>
        </w:rPr>
        <w:t xml:space="preserve"> leafy vegetables and melon businesses against the </w:t>
      </w:r>
      <w:r w:rsidR="00AE7622">
        <w:rPr>
          <w:color w:val="000000" w:themeColor="text1"/>
          <w:lang w:val="en-AU"/>
        </w:rPr>
        <w:t xml:space="preserve">proposed </w:t>
      </w:r>
      <w:r w:rsidR="00BD380C">
        <w:rPr>
          <w:color w:val="000000" w:themeColor="text1"/>
          <w:lang w:val="en-AU"/>
        </w:rPr>
        <w:t>PPP</w:t>
      </w:r>
      <w:r w:rsidR="00AE7622">
        <w:rPr>
          <w:color w:val="000000" w:themeColor="text1"/>
          <w:lang w:val="en-AU"/>
        </w:rPr>
        <w:t xml:space="preserve"> standards,</w:t>
      </w:r>
      <w:r w:rsidR="00AE7622" w:rsidRPr="00AE7622">
        <w:rPr>
          <w:rFonts w:cs="Arial"/>
          <w:color w:val="000000"/>
          <w:lang w:eastAsia="en-GB"/>
        </w:rPr>
        <w:t xml:space="preserve"> </w:t>
      </w:r>
      <w:r w:rsidR="00AE7622" w:rsidRPr="00E750CC">
        <w:rPr>
          <w:rFonts w:cs="Arial"/>
          <w:color w:val="000000"/>
          <w:lang w:eastAsia="en-GB"/>
        </w:rPr>
        <w:t>based on an average of licence fee figures provided by state and territory governments in April 2021.</w:t>
      </w:r>
      <w:r w:rsidR="00AE7622">
        <w:rPr>
          <w:color w:val="000000" w:themeColor="text1"/>
          <w:lang w:val="en-AU"/>
        </w:rPr>
        <w:t xml:space="preserve"> </w:t>
      </w:r>
      <w:r w:rsidR="00CE2C09">
        <w:rPr>
          <w:color w:val="000000" w:themeColor="text1"/>
          <w:lang w:val="en-AU"/>
        </w:rPr>
        <w:t xml:space="preserve">Assumed </w:t>
      </w:r>
      <w:r w:rsidR="00CE2C09">
        <w:rPr>
          <w:rFonts w:cs="Arial"/>
          <w:color w:val="000000"/>
          <w:lang w:eastAsia="en-GB"/>
        </w:rPr>
        <w:t>l</w:t>
      </w:r>
      <w:r w:rsidR="00AE7622">
        <w:rPr>
          <w:rFonts w:cs="Arial"/>
          <w:color w:val="000000"/>
          <w:lang w:eastAsia="en-GB"/>
        </w:rPr>
        <w:t>icencing/re-licencing fees are estimated at $624 each year.</w:t>
      </w:r>
      <w:r w:rsidR="00AE7622" w:rsidRPr="00E750CC">
        <w:rPr>
          <w:rFonts w:cs="Arial"/>
          <w:color w:val="000000"/>
          <w:lang w:eastAsia="en-GB"/>
        </w:rPr>
        <w:t xml:space="preserve"> </w:t>
      </w:r>
      <w:r w:rsidR="00AE7622">
        <w:rPr>
          <w:rFonts w:cs="Arial"/>
          <w:color w:val="000000"/>
          <w:lang w:eastAsia="en-GB"/>
        </w:rPr>
        <w:t>Fees per</w:t>
      </w:r>
      <w:r w:rsidR="00AE7622" w:rsidRPr="00E750CC">
        <w:rPr>
          <w:rFonts w:cs="Arial"/>
          <w:color w:val="000000"/>
          <w:lang w:eastAsia="en-GB"/>
        </w:rPr>
        <w:t xml:space="preserve"> audit</w:t>
      </w:r>
      <w:r w:rsidR="00AE7622">
        <w:rPr>
          <w:rFonts w:cs="Arial"/>
          <w:color w:val="000000"/>
          <w:lang w:eastAsia="en-GB"/>
        </w:rPr>
        <w:t xml:space="preserve"> are estimated to be</w:t>
      </w:r>
      <w:r w:rsidR="00AE7622" w:rsidRPr="00E750CC">
        <w:rPr>
          <w:rFonts w:cs="Arial"/>
          <w:color w:val="000000"/>
          <w:lang w:eastAsia="en-GB"/>
        </w:rPr>
        <w:t xml:space="preserve"> $485 </w:t>
      </w:r>
      <w:r w:rsidR="00AE7622">
        <w:rPr>
          <w:rFonts w:cs="Arial"/>
          <w:color w:val="000000"/>
          <w:lang w:eastAsia="en-GB"/>
        </w:rPr>
        <w:t>each year.</w:t>
      </w:r>
      <w:r w:rsidR="00AE7622">
        <w:rPr>
          <w:color w:val="000000" w:themeColor="text1"/>
          <w:lang w:val="en-AU"/>
        </w:rPr>
        <w:t xml:space="preserve"> </w:t>
      </w:r>
      <w:r w:rsidR="00AE7622" w:rsidRPr="00E750CC">
        <w:rPr>
          <w:rFonts w:cs="Arial"/>
          <w:color w:val="000000"/>
          <w:lang w:eastAsia="en-GB"/>
        </w:rPr>
        <w:t xml:space="preserve">Actual audit fees </w:t>
      </w:r>
      <w:r w:rsidR="00787FE0">
        <w:rPr>
          <w:rFonts w:cs="Arial"/>
          <w:color w:val="000000"/>
          <w:lang w:eastAsia="en-GB"/>
        </w:rPr>
        <w:t xml:space="preserve">(if imposed) </w:t>
      </w:r>
      <w:r w:rsidR="00AE7622" w:rsidRPr="00E750CC">
        <w:rPr>
          <w:rFonts w:cs="Arial"/>
          <w:color w:val="000000"/>
          <w:lang w:eastAsia="en-GB"/>
        </w:rPr>
        <w:t>may vary greatly from this average, depending on size and</w:t>
      </w:r>
      <w:r w:rsidR="00AE7622">
        <w:rPr>
          <w:rFonts w:cs="Arial"/>
          <w:color w:val="000000"/>
          <w:lang w:eastAsia="en-GB"/>
        </w:rPr>
        <w:t xml:space="preserve"> other aspects of a business</w:t>
      </w:r>
      <w:r w:rsidR="00CC2109">
        <w:rPr>
          <w:rFonts w:cs="Arial"/>
          <w:color w:val="000000"/>
          <w:lang w:eastAsia="en-GB"/>
        </w:rPr>
        <w:t xml:space="preserve"> as well as </w:t>
      </w:r>
      <w:r w:rsidR="00B611C3">
        <w:rPr>
          <w:rFonts w:cs="Arial"/>
          <w:color w:val="000000"/>
          <w:lang w:eastAsia="en-GB"/>
        </w:rPr>
        <w:t xml:space="preserve">the </w:t>
      </w:r>
      <w:r w:rsidR="00CC2109">
        <w:rPr>
          <w:rFonts w:cs="Arial"/>
          <w:color w:val="000000"/>
          <w:lang w:eastAsia="en-GB"/>
        </w:rPr>
        <w:t>implementation model developed by jurisdictions</w:t>
      </w:r>
      <w:r w:rsidR="00AE7622">
        <w:rPr>
          <w:rFonts w:cs="Arial"/>
          <w:color w:val="000000"/>
          <w:lang w:eastAsia="en-GB"/>
        </w:rPr>
        <w:t xml:space="preserve">. </w:t>
      </w:r>
      <w:r w:rsidR="00C61472">
        <w:rPr>
          <w:rFonts w:cs="Arial"/>
          <w:color w:val="000000"/>
          <w:lang w:eastAsia="en-GB"/>
        </w:rPr>
        <w:t>Additionally, there are costs of business time taken for the licensing and audit processes, e.g. applying for a licence and co-operating with auditors when they visit the businesses.</w:t>
      </w:r>
    </w:p>
    <w:p w14:paraId="6FD96F6C" w14:textId="77777777" w:rsidR="00AE7622" w:rsidRDefault="00AE7622" w:rsidP="00AE7622">
      <w:pPr>
        <w:rPr>
          <w:rFonts w:cs="Arial"/>
          <w:color w:val="000000"/>
          <w:lang w:eastAsia="en-GB"/>
        </w:rPr>
      </w:pPr>
    </w:p>
    <w:p w14:paraId="016E9C13" w14:textId="7004CAF3" w:rsidR="00AA53FC" w:rsidRDefault="00AE7622" w:rsidP="00AE7622">
      <w:pPr>
        <w:rPr>
          <w:rFonts w:cs="Arial"/>
          <w:color w:val="000000"/>
          <w:lang w:eastAsia="en-GB"/>
        </w:rPr>
      </w:pPr>
      <w:r>
        <w:rPr>
          <w:rFonts w:cs="Arial"/>
          <w:color w:val="000000"/>
          <w:lang w:eastAsia="en-GB"/>
        </w:rPr>
        <w:t xml:space="preserve">The cost of industry time </w:t>
      </w:r>
      <w:r w:rsidR="00FE19F2">
        <w:rPr>
          <w:rFonts w:cs="Arial"/>
          <w:color w:val="000000"/>
          <w:lang w:eastAsia="en-GB"/>
        </w:rPr>
        <w:t>to familiarise</w:t>
      </w:r>
      <w:r>
        <w:rPr>
          <w:rFonts w:cs="Arial"/>
          <w:color w:val="000000"/>
          <w:lang w:eastAsia="en-GB"/>
        </w:rPr>
        <w:t xml:space="preserve"> </w:t>
      </w:r>
      <w:r w:rsidR="00AA53FC">
        <w:rPr>
          <w:rFonts w:cs="Arial"/>
          <w:color w:val="000000"/>
          <w:lang w:eastAsia="en-GB"/>
        </w:rPr>
        <w:t xml:space="preserve">with the new regulation, </w:t>
      </w:r>
      <w:r>
        <w:rPr>
          <w:rFonts w:cs="Arial"/>
          <w:color w:val="000000"/>
          <w:lang w:eastAsia="en-GB"/>
        </w:rPr>
        <w:t>preparing for an</w:t>
      </w:r>
      <w:r w:rsidR="00AA53FC">
        <w:rPr>
          <w:rFonts w:cs="Arial"/>
          <w:color w:val="000000"/>
          <w:lang w:eastAsia="en-GB"/>
        </w:rPr>
        <w:t>d</w:t>
      </w:r>
      <w:r>
        <w:rPr>
          <w:rFonts w:cs="Arial"/>
          <w:color w:val="000000"/>
          <w:lang w:eastAsia="en-GB"/>
        </w:rPr>
        <w:t xml:space="preserve"> attending audits </w:t>
      </w:r>
      <w:r w:rsidR="00AA53FC">
        <w:rPr>
          <w:rFonts w:cs="Arial"/>
          <w:color w:val="000000"/>
          <w:lang w:eastAsia="en-GB"/>
        </w:rPr>
        <w:t xml:space="preserve">etc. are based on data in the TQA report, </w:t>
      </w:r>
      <w:hyperlink r:id="rId37" w:history="1">
        <w:r w:rsidR="00AA53FC" w:rsidRPr="00B50DC5">
          <w:rPr>
            <w:rStyle w:val="Hyperlink"/>
          </w:rPr>
          <w:t>Quantifying the costs of compliance with quality assurance 2011</w:t>
        </w:r>
      </w:hyperlink>
      <w:r w:rsidR="00AA53FC">
        <w:rPr>
          <w:rFonts w:cs="Arial"/>
          <w:color w:val="000000"/>
          <w:lang w:eastAsia="en-GB"/>
        </w:rPr>
        <w:t xml:space="preserve">, and </w:t>
      </w:r>
      <w:r>
        <w:rPr>
          <w:rFonts w:cs="Arial"/>
          <w:color w:val="000000"/>
          <w:lang w:eastAsia="en-GB"/>
        </w:rPr>
        <w:t>has been calculated as</w:t>
      </w:r>
      <w:r w:rsidR="00AA53FC">
        <w:rPr>
          <w:rFonts w:cs="Arial"/>
          <w:color w:val="000000"/>
          <w:lang w:eastAsia="en-GB"/>
        </w:rPr>
        <w:t>:</w:t>
      </w:r>
      <w:r>
        <w:rPr>
          <w:rFonts w:cs="Arial"/>
          <w:color w:val="000000"/>
          <w:lang w:eastAsia="en-GB"/>
        </w:rPr>
        <w:t xml:space="preserve"> </w:t>
      </w:r>
      <w:r w:rsidRPr="00E750CC">
        <w:rPr>
          <w:rFonts w:cs="Arial"/>
          <w:color w:val="000000"/>
          <w:lang w:eastAsia="en-GB"/>
        </w:rPr>
        <w:t xml:space="preserve"> </w:t>
      </w:r>
    </w:p>
    <w:p w14:paraId="493FE4FB" w14:textId="77777777" w:rsidR="00AA53FC" w:rsidRPr="009F14CE" w:rsidRDefault="00AA53FC" w:rsidP="006354B0">
      <w:pPr>
        <w:widowControl/>
        <w:numPr>
          <w:ilvl w:val="1"/>
          <w:numId w:val="21"/>
        </w:numPr>
        <w:ind w:left="426" w:hanging="426"/>
        <w:contextualSpacing/>
        <w:rPr>
          <w:lang w:val="en-AU"/>
        </w:rPr>
      </w:pPr>
      <w:r w:rsidRPr="009F14CE">
        <w:rPr>
          <w:lang w:val="en-AU"/>
        </w:rPr>
        <w:lastRenderedPageBreak/>
        <w:t>$60 per hour for manager</w:t>
      </w:r>
    </w:p>
    <w:p w14:paraId="3340548A" w14:textId="77777777" w:rsidR="00AA53FC" w:rsidRPr="009F14CE" w:rsidRDefault="00AA53FC" w:rsidP="006354B0">
      <w:pPr>
        <w:widowControl/>
        <w:numPr>
          <w:ilvl w:val="1"/>
          <w:numId w:val="21"/>
        </w:numPr>
        <w:ind w:left="426" w:hanging="426"/>
        <w:contextualSpacing/>
        <w:rPr>
          <w:lang w:val="en-AU"/>
        </w:rPr>
      </w:pPr>
      <w:r w:rsidRPr="009F14CE">
        <w:rPr>
          <w:lang w:val="en-AU"/>
        </w:rPr>
        <w:t xml:space="preserve">$40 per hour for another worker </w:t>
      </w:r>
    </w:p>
    <w:p w14:paraId="45F8066D" w14:textId="24C48FE4" w:rsidR="00AA53FC" w:rsidRDefault="00AA53FC" w:rsidP="006354B0">
      <w:pPr>
        <w:widowControl/>
        <w:numPr>
          <w:ilvl w:val="1"/>
          <w:numId w:val="21"/>
        </w:numPr>
        <w:ind w:left="426" w:hanging="426"/>
        <w:contextualSpacing/>
        <w:rPr>
          <w:lang w:val="en-AU"/>
        </w:rPr>
      </w:pPr>
      <w:r w:rsidRPr="009F14CE">
        <w:rPr>
          <w:lang w:val="en-AU"/>
        </w:rPr>
        <w:t>$70 per hour for an industry representative</w:t>
      </w:r>
      <w:r w:rsidR="00E645DE">
        <w:rPr>
          <w:lang w:val="en-AU"/>
        </w:rPr>
        <w:t>.</w:t>
      </w:r>
      <w:r w:rsidRPr="009F14CE">
        <w:rPr>
          <w:lang w:val="en-AU"/>
        </w:rPr>
        <w:t xml:space="preserve"> </w:t>
      </w:r>
    </w:p>
    <w:p w14:paraId="61BF07D3" w14:textId="77777777" w:rsidR="00AA53FC" w:rsidRDefault="00AA53FC" w:rsidP="00AA53FC">
      <w:pPr>
        <w:widowControl/>
        <w:contextualSpacing/>
        <w:rPr>
          <w:lang w:val="en-AU"/>
        </w:rPr>
      </w:pPr>
    </w:p>
    <w:p w14:paraId="7DA46C3B" w14:textId="0D9CB6C4" w:rsidR="009E4147" w:rsidRPr="00004D72" w:rsidRDefault="00AA53FC" w:rsidP="00004D72">
      <w:pPr>
        <w:widowControl/>
        <w:contextualSpacing/>
        <w:rPr>
          <w:lang w:val="en-AU"/>
        </w:rPr>
      </w:pPr>
      <w:r>
        <w:rPr>
          <w:lang w:val="en-AU"/>
        </w:rPr>
        <w:t>Further detail of all of these calculations is provided in Appendix 1 of the CBA.</w:t>
      </w:r>
    </w:p>
    <w:p w14:paraId="7647EBE4" w14:textId="780ED959" w:rsidR="009E4147" w:rsidRDefault="001E598D" w:rsidP="00004D72">
      <w:pPr>
        <w:pStyle w:val="Heading4"/>
        <w:rPr>
          <w:lang w:val="en-AU"/>
        </w:rPr>
      </w:pPr>
      <w:r w:rsidRPr="009D2DA6">
        <w:rPr>
          <w:lang w:val="en-AU"/>
        </w:rPr>
        <w:t>S</w:t>
      </w:r>
      <w:r w:rsidR="009E4147" w:rsidRPr="009D2DA6">
        <w:rPr>
          <w:lang w:val="en-AU"/>
        </w:rPr>
        <w:t>mall businesses</w:t>
      </w:r>
    </w:p>
    <w:p w14:paraId="12DC450B" w14:textId="78EEC885" w:rsidR="00466DC8" w:rsidRDefault="00466DC8" w:rsidP="00004D72">
      <w:r w:rsidRPr="009D2DA6">
        <w:t xml:space="preserve">FSANZ has </w:t>
      </w:r>
      <w:r w:rsidR="003A4B3A">
        <w:t>sought to reduce</w:t>
      </w:r>
      <w:r w:rsidRPr="009D2DA6">
        <w:t xml:space="preserve"> </w:t>
      </w:r>
      <w:r w:rsidR="003A4B3A">
        <w:t>burdens of</w:t>
      </w:r>
      <w:r w:rsidRPr="009D2DA6">
        <w:t xml:space="preserve"> regulation</w:t>
      </w:r>
      <w:r w:rsidR="007E1199">
        <w:t xml:space="preserve"> where possible, and </w:t>
      </w:r>
      <w:r w:rsidRPr="009D2DA6">
        <w:t>achieve the desired food safety outcomes for consumers</w:t>
      </w:r>
      <w:r w:rsidR="00C74742">
        <w:t xml:space="preserve"> and reduce foodborne illness attributed to these commodities</w:t>
      </w:r>
      <w:r w:rsidRPr="009D2DA6">
        <w:t xml:space="preserve">. </w:t>
      </w:r>
      <w:r w:rsidR="00B769E4">
        <w:t>The protection of public health and safety is FSANZ’s top priority.</w:t>
      </w:r>
    </w:p>
    <w:p w14:paraId="27603BE4" w14:textId="77777777" w:rsidR="00004D72" w:rsidRPr="00004D72" w:rsidRDefault="00004D72" w:rsidP="00004D72"/>
    <w:p w14:paraId="7A6DC3AF" w14:textId="5313A240" w:rsidR="00466DC8" w:rsidRPr="009D2DA6" w:rsidRDefault="00466DC8" w:rsidP="00466DC8">
      <w:pPr>
        <w:rPr>
          <w:color w:val="000000" w:themeColor="text1"/>
          <w:lang w:val="en-AU"/>
        </w:rPr>
      </w:pPr>
      <w:r w:rsidRPr="009D2DA6">
        <w:rPr>
          <w:color w:val="000000" w:themeColor="text1"/>
          <w:lang w:val="en-AU"/>
        </w:rPr>
        <w:t>The costs of establishing compliance against the proposed standards (changing business operations, updating equipment, training</w:t>
      </w:r>
      <w:r w:rsidR="00BD380C">
        <w:rPr>
          <w:color w:val="000000" w:themeColor="text1"/>
          <w:lang w:val="en-AU"/>
        </w:rPr>
        <w:t>,</w:t>
      </w:r>
      <w:r w:rsidRPr="009D2DA6">
        <w:rPr>
          <w:color w:val="000000" w:themeColor="text1"/>
          <w:lang w:val="en-AU"/>
        </w:rPr>
        <w:t xml:space="preserve"> etc.) can be influenced by the size of a business. </w:t>
      </w:r>
      <w:r w:rsidR="00D04D18" w:rsidRPr="009D2DA6">
        <w:rPr>
          <w:color w:val="000000" w:themeColor="text1"/>
          <w:lang w:val="en-AU"/>
        </w:rPr>
        <w:t>Economies of scale also come into play with audit</w:t>
      </w:r>
      <w:r w:rsidRPr="009D2DA6">
        <w:rPr>
          <w:color w:val="000000" w:themeColor="text1"/>
          <w:lang w:val="en-AU"/>
        </w:rPr>
        <w:t xml:space="preserve"> </w:t>
      </w:r>
      <w:r w:rsidR="00D04D18" w:rsidRPr="009D2DA6">
        <w:rPr>
          <w:color w:val="000000" w:themeColor="text1"/>
          <w:lang w:val="en-AU"/>
        </w:rPr>
        <w:t xml:space="preserve">and other monitoring fees </w:t>
      </w:r>
      <w:r w:rsidRPr="009D2DA6">
        <w:rPr>
          <w:color w:val="000000" w:themeColor="text1"/>
          <w:lang w:val="en-AU"/>
        </w:rPr>
        <w:t>charged by government food regulators. Smaller businesses may be audited</w:t>
      </w:r>
      <w:r w:rsidR="005171E7" w:rsidRPr="009D2DA6">
        <w:rPr>
          <w:color w:val="000000" w:themeColor="text1"/>
          <w:lang w:val="en-AU"/>
        </w:rPr>
        <w:t xml:space="preserve">/monitored </w:t>
      </w:r>
      <w:r w:rsidRPr="009D2DA6">
        <w:rPr>
          <w:color w:val="000000" w:themeColor="text1"/>
          <w:lang w:val="en-AU"/>
        </w:rPr>
        <w:t xml:space="preserve">relatively quickly and accrue smaller fees. </w:t>
      </w:r>
    </w:p>
    <w:p w14:paraId="54C7111C" w14:textId="65088462" w:rsidR="00C26D78" w:rsidRDefault="00C26D78" w:rsidP="00466DC8">
      <w:pPr>
        <w:rPr>
          <w:color w:val="000000" w:themeColor="text1"/>
          <w:lang w:val="en-AU"/>
        </w:rPr>
      </w:pPr>
    </w:p>
    <w:p w14:paraId="12CB8DDA" w14:textId="4F53A2A9" w:rsidR="003B3D03" w:rsidRPr="009D2DA6" w:rsidRDefault="003B3D03" w:rsidP="00466DC8">
      <w:pPr>
        <w:rPr>
          <w:color w:val="000000" w:themeColor="text1"/>
          <w:lang w:val="en-AU"/>
        </w:rPr>
      </w:pPr>
      <w:r>
        <w:rPr>
          <w:color w:val="000000" w:themeColor="text1"/>
          <w:lang w:val="en-AU"/>
        </w:rPr>
        <w:t xml:space="preserve">However, </w:t>
      </w:r>
      <w:r w:rsidR="00677DBB">
        <w:rPr>
          <w:color w:val="000000" w:themeColor="text1"/>
          <w:lang w:val="en-AU"/>
        </w:rPr>
        <w:t>after also considering stakeholder feedback</w:t>
      </w:r>
      <w:r>
        <w:rPr>
          <w:color w:val="000000" w:themeColor="text1"/>
          <w:lang w:val="en-AU"/>
        </w:rPr>
        <w:t>, FSANZ acknowledges that costs for small businesses may be a larger percentage of turnover than for larger businesses</w:t>
      </w:r>
      <w:r w:rsidR="00533FFC">
        <w:rPr>
          <w:color w:val="000000" w:themeColor="text1"/>
          <w:lang w:val="en-AU"/>
        </w:rPr>
        <w:t>. S</w:t>
      </w:r>
      <w:r w:rsidR="00384298">
        <w:rPr>
          <w:color w:val="000000" w:themeColor="text1"/>
          <w:lang w:val="en-AU"/>
        </w:rPr>
        <w:t>ome already marginally profitable small enterprises may exit the market because of the proposed requirements</w:t>
      </w:r>
      <w:r w:rsidR="00533FFC">
        <w:rPr>
          <w:color w:val="000000" w:themeColor="text1"/>
          <w:lang w:val="en-AU"/>
        </w:rPr>
        <w:t>, particularly given challenges of the post-</w:t>
      </w:r>
      <w:r w:rsidR="00677DBB">
        <w:rPr>
          <w:color w:val="000000" w:themeColor="text1"/>
          <w:lang w:val="en-AU"/>
        </w:rPr>
        <w:t>COVID</w:t>
      </w:r>
      <w:r w:rsidR="00533FFC">
        <w:rPr>
          <w:color w:val="000000" w:themeColor="text1"/>
          <w:lang w:val="en-AU"/>
        </w:rPr>
        <w:t xml:space="preserve"> environment</w:t>
      </w:r>
      <w:r>
        <w:rPr>
          <w:color w:val="000000" w:themeColor="text1"/>
          <w:lang w:val="en-AU"/>
        </w:rPr>
        <w:t>.</w:t>
      </w:r>
      <w:r w:rsidR="00384298">
        <w:rPr>
          <w:color w:val="000000" w:themeColor="text1"/>
          <w:lang w:val="en-AU"/>
        </w:rPr>
        <w:t xml:space="preserve"> That may have some (but unknown) impacts on affordability of fresh local produce. Appendix 7 of the CBA provides more details on consumer research.</w:t>
      </w:r>
      <w:r>
        <w:rPr>
          <w:color w:val="000000" w:themeColor="text1"/>
          <w:lang w:val="en-AU"/>
        </w:rPr>
        <w:t xml:space="preserve"> </w:t>
      </w:r>
      <w:r w:rsidR="00677DBB">
        <w:rPr>
          <w:color w:val="000000" w:themeColor="text1"/>
          <w:lang w:val="en-AU"/>
        </w:rPr>
        <w:t xml:space="preserve">Some small businesses may </w:t>
      </w:r>
      <w:r w:rsidR="00757077">
        <w:rPr>
          <w:color w:val="000000" w:themeColor="text1"/>
          <w:lang w:val="en-AU"/>
        </w:rPr>
        <w:t xml:space="preserve">also </w:t>
      </w:r>
      <w:r w:rsidR="00757077">
        <w:t xml:space="preserve">substitute towards growing other crops not covered by standards.   </w:t>
      </w:r>
    </w:p>
    <w:p w14:paraId="6F61A75F" w14:textId="5AD83E2D" w:rsidR="003B3D03" w:rsidRDefault="003B3D03" w:rsidP="00562CB8">
      <w:pPr>
        <w:widowControl/>
      </w:pPr>
    </w:p>
    <w:p w14:paraId="1B39F006" w14:textId="6B214079" w:rsidR="00C26D78" w:rsidRDefault="00C26D78" w:rsidP="00562CB8">
      <w:pPr>
        <w:widowControl/>
      </w:pPr>
      <w:r w:rsidRPr="009D2DA6">
        <w:t xml:space="preserve">FSANZ </w:t>
      </w:r>
      <w:r w:rsidR="00BD1EE5">
        <w:t xml:space="preserve">discussed </w:t>
      </w:r>
      <w:r w:rsidRPr="009D2DA6">
        <w:t>with state and territory government</w:t>
      </w:r>
      <w:r w:rsidR="00746F02">
        <w:t xml:space="preserve"> jurisdictional</w:t>
      </w:r>
      <w:r w:rsidRPr="009D2DA6">
        <w:t xml:space="preserve"> representatives</w:t>
      </w:r>
      <w:r w:rsidR="00677DBB">
        <w:t xml:space="preserve"> about </w:t>
      </w:r>
      <w:r w:rsidR="00B769E4">
        <w:t>accommodatin</w:t>
      </w:r>
      <w:r w:rsidR="00677DBB">
        <w:t>g small businesses</w:t>
      </w:r>
      <w:r w:rsidR="00757077">
        <w:t xml:space="preserve"> </w:t>
      </w:r>
      <w:r w:rsidR="00B769E4">
        <w:t>under</w:t>
      </w:r>
      <w:r w:rsidR="00757077">
        <w:t xml:space="preserve"> the proposed </w:t>
      </w:r>
      <w:r w:rsidR="00C74742">
        <w:t>s</w:t>
      </w:r>
      <w:r w:rsidR="00757077">
        <w:t>tandards</w:t>
      </w:r>
      <w:r w:rsidR="00677DBB">
        <w:t>. Jurisdictions might consider assessing burdens faced by small businesses and minimising burdens where appropriate</w:t>
      </w:r>
      <w:r w:rsidR="00C74742">
        <w:t>, without compromising food safety</w:t>
      </w:r>
      <w:r w:rsidR="00677DBB">
        <w:t xml:space="preserve">. International examples of accommodating small businesses such as the USA’s </w:t>
      </w:r>
      <w:r w:rsidR="00677DBB">
        <w:rPr>
          <w:lang w:val="en-AU"/>
        </w:rPr>
        <w:t>Food Safety Management Act</w:t>
      </w:r>
      <w:r w:rsidR="00677DBB">
        <w:rPr>
          <w:rStyle w:val="FootnoteReference"/>
          <w:lang w:val="en-AU"/>
        </w:rPr>
        <w:footnoteReference w:id="17"/>
      </w:r>
      <w:r w:rsidR="00677DBB">
        <w:rPr>
          <w:lang w:val="en-AU"/>
        </w:rPr>
        <w:t xml:space="preserve"> might be useful references.</w:t>
      </w:r>
      <w:r w:rsidR="00677DBB">
        <w:t xml:space="preserve"> </w:t>
      </w:r>
    </w:p>
    <w:p w14:paraId="5114BFA6" w14:textId="0B6CF995" w:rsidR="00746F02" w:rsidRDefault="00746F02" w:rsidP="00562CB8">
      <w:pPr>
        <w:widowControl/>
      </w:pPr>
    </w:p>
    <w:p w14:paraId="7984C990" w14:textId="0E14A4AD" w:rsidR="00746F02" w:rsidRPr="00746F02" w:rsidRDefault="00677DBB" w:rsidP="00746F02">
      <w:pPr>
        <w:pStyle w:val="ISCbulleted"/>
        <w:tabs>
          <w:tab w:val="clear" w:pos="360"/>
        </w:tabs>
        <w:ind w:left="0" w:firstLine="0"/>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 xml:space="preserve">It is also noted that </w:t>
      </w:r>
      <w:r w:rsidR="00746F02">
        <w:rPr>
          <w:rFonts w:ascii="Arial" w:eastAsia="Times New Roman" w:hAnsi="Arial"/>
          <w:color w:val="000000" w:themeColor="text1"/>
          <w:sz w:val="22"/>
          <w:lang w:val="en-AU" w:eastAsia="en-US" w:bidi="en-US"/>
        </w:rPr>
        <w:t xml:space="preserve">very small businesses </w:t>
      </w:r>
      <w:r>
        <w:rPr>
          <w:rFonts w:ascii="Arial" w:eastAsia="Times New Roman" w:hAnsi="Arial"/>
          <w:color w:val="000000" w:themeColor="text1"/>
          <w:sz w:val="22"/>
          <w:lang w:val="en-AU" w:eastAsia="en-US" w:bidi="en-US"/>
        </w:rPr>
        <w:t>produce relatively</w:t>
      </w:r>
      <w:r w:rsidR="00746F02">
        <w:rPr>
          <w:rFonts w:ascii="Arial" w:eastAsia="Times New Roman" w:hAnsi="Arial"/>
          <w:color w:val="000000" w:themeColor="text1"/>
          <w:sz w:val="22"/>
          <w:lang w:val="en-AU" w:eastAsia="en-US" w:bidi="en-US"/>
        </w:rPr>
        <w:t xml:space="preserve"> small volumes of </w:t>
      </w:r>
      <w:r w:rsidR="00F80D1A" w:rsidRPr="00F80D1A">
        <w:rPr>
          <w:rFonts w:ascii="Arial" w:eastAsia="Times New Roman" w:hAnsi="Arial"/>
          <w:color w:val="000000" w:themeColor="text1"/>
          <w:sz w:val="22"/>
          <w:lang w:val="en-AU" w:eastAsia="en-US" w:bidi="en-US"/>
        </w:rPr>
        <w:t>commodities</w:t>
      </w:r>
      <w:r w:rsidR="00746F02">
        <w:rPr>
          <w:rFonts w:ascii="Arial" w:eastAsia="Times New Roman" w:hAnsi="Arial"/>
          <w:color w:val="000000" w:themeColor="text1"/>
          <w:sz w:val="22"/>
          <w:lang w:val="en-AU" w:eastAsia="en-US" w:bidi="en-US"/>
        </w:rPr>
        <w:t xml:space="preserve"> </w:t>
      </w:r>
      <w:r>
        <w:rPr>
          <w:rFonts w:ascii="Arial" w:eastAsia="Times New Roman" w:hAnsi="Arial"/>
          <w:color w:val="000000" w:themeColor="text1"/>
          <w:sz w:val="22"/>
          <w:lang w:val="en-AU" w:eastAsia="en-US" w:bidi="en-US"/>
        </w:rPr>
        <w:t xml:space="preserve">compared </w:t>
      </w:r>
      <w:r w:rsidR="00746F02">
        <w:rPr>
          <w:rFonts w:ascii="Arial" w:eastAsia="Times New Roman" w:hAnsi="Arial"/>
          <w:color w:val="000000" w:themeColor="text1"/>
          <w:sz w:val="22"/>
          <w:lang w:val="en-AU" w:eastAsia="en-US" w:bidi="en-US"/>
        </w:rPr>
        <w:t xml:space="preserve">to the entire market. Jurisdictions will make the final decisions about </w:t>
      </w:r>
      <w:r w:rsidR="00C74742">
        <w:rPr>
          <w:rFonts w:ascii="Arial" w:eastAsia="Times New Roman" w:hAnsi="Arial"/>
          <w:color w:val="000000" w:themeColor="text1"/>
          <w:sz w:val="22"/>
          <w:lang w:val="en-AU" w:eastAsia="en-US" w:bidi="en-US"/>
        </w:rPr>
        <w:t>appropriate implementation and compliance pathways for</w:t>
      </w:r>
      <w:r w:rsidR="00B769E4">
        <w:rPr>
          <w:rFonts w:ascii="Arial" w:eastAsia="Times New Roman" w:hAnsi="Arial"/>
          <w:color w:val="000000" w:themeColor="text1"/>
          <w:sz w:val="22"/>
          <w:lang w:val="en-AU" w:eastAsia="en-US" w:bidi="en-US"/>
        </w:rPr>
        <w:t xml:space="preserve"> small busi</w:t>
      </w:r>
      <w:r w:rsidR="008B2B8B">
        <w:rPr>
          <w:rFonts w:ascii="Arial" w:eastAsia="Times New Roman" w:hAnsi="Arial"/>
          <w:color w:val="000000" w:themeColor="text1"/>
          <w:sz w:val="22"/>
          <w:lang w:val="en-AU" w:eastAsia="en-US" w:bidi="en-US"/>
        </w:rPr>
        <w:t>nesses</w:t>
      </w:r>
      <w:r w:rsidR="00746F02">
        <w:rPr>
          <w:rFonts w:ascii="Arial" w:eastAsia="Times New Roman" w:hAnsi="Arial"/>
          <w:color w:val="000000" w:themeColor="text1"/>
          <w:sz w:val="22"/>
          <w:lang w:val="en-AU" w:eastAsia="en-US" w:bidi="en-US"/>
        </w:rPr>
        <w:t>.</w:t>
      </w:r>
      <w:r w:rsidR="00CC2109">
        <w:rPr>
          <w:rFonts w:ascii="Arial" w:eastAsia="Times New Roman" w:hAnsi="Arial"/>
          <w:color w:val="000000" w:themeColor="text1"/>
          <w:sz w:val="22"/>
          <w:lang w:val="en-AU" w:eastAsia="en-US" w:bidi="en-US"/>
        </w:rPr>
        <w:t xml:space="preserve">  FSANZ notes efforts underway among jurisdictions and industry to develop education materials and tools to promote awareness of food safety specifically in these sectors.</w:t>
      </w:r>
    </w:p>
    <w:p w14:paraId="31BB2C7F" w14:textId="7B26A34F" w:rsidR="007E1A49" w:rsidRDefault="007E1A49" w:rsidP="00746F02">
      <w:pPr>
        <w:widowControl/>
        <w:contextualSpacing/>
        <w:rPr>
          <w:color w:val="000000" w:themeColor="text1"/>
          <w:lang w:val="en-AU"/>
        </w:rPr>
      </w:pPr>
    </w:p>
    <w:p w14:paraId="22A02B0D" w14:textId="1459B2E7" w:rsidR="007E1A49" w:rsidRPr="009D2DA6" w:rsidRDefault="00B769E4" w:rsidP="007E1A49">
      <w:r>
        <w:t xml:space="preserve">Guidance </w:t>
      </w:r>
      <w:r w:rsidR="007E1A49" w:rsidRPr="009D2DA6">
        <w:t xml:space="preserve">materials developed </w:t>
      </w:r>
      <w:r w:rsidR="00C26D78" w:rsidRPr="009D2DA6">
        <w:t xml:space="preserve">by government </w:t>
      </w:r>
      <w:r w:rsidR="007E1A49" w:rsidRPr="009D2DA6">
        <w:t>to support implementation by industry of new PPP standards</w:t>
      </w:r>
      <w:r>
        <w:t xml:space="preserve"> are also intended to help small businesses</w:t>
      </w:r>
      <w:r w:rsidR="007E1A49" w:rsidRPr="009D2DA6">
        <w:t>. Th</w:t>
      </w:r>
      <w:r w:rsidR="008B2B8B">
        <w:t>ese</w:t>
      </w:r>
      <w:r w:rsidR="007E1A49" w:rsidRPr="009D2DA6">
        <w:t xml:space="preserve"> include compliance plans, templates for food safety requirements, record keeping</w:t>
      </w:r>
      <w:r w:rsidR="004C216C">
        <w:t>,</w:t>
      </w:r>
      <w:r w:rsidR="007E1A49" w:rsidRPr="009D2DA6">
        <w:t xml:space="preserve"> etc.  </w:t>
      </w:r>
    </w:p>
    <w:p w14:paraId="75A05E85" w14:textId="1DEF5239" w:rsidR="007E1A49" w:rsidRPr="009D2DA6" w:rsidRDefault="007E1A49" w:rsidP="007E1A49"/>
    <w:p w14:paraId="1A9615C4" w14:textId="35121704" w:rsidR="00C26D78" w:rsidRPr="009D2DA6" w:rsidRDefault="00C26D78" w:rsidP="00C26D78">
      <w:r w:rsidRPr="009D2DA6">
        <w:t>To help small businesses understand the implications of the costs associated with the proposed standards</w:t>
      </w:r>
      <w:r w:rsidR="008712A4">
        <w:t>,</w:t>
      </w:r>
      <w:r w:rsidRPr="009D2DA6">
        <w:t xml:space="preserve"> FSANZ has provided:</w:t>
      </w:r>
    </w:p>
    <w:p w14:paraId="0D5900E3" w14:textId="6B2A8C7C" w:rsidR="00C26D78" w:rsidRPr="009D2DA6" w:rsidRDefault="00C26D78" w:rsidP="00E645DE">
      <w:pPr>
        <w:pStyle w:val="FSBullet1"/>
      </w:pPr>
      <w:r w:rsidRPr="009D2DA6">
        <w:t xml:space="preserve">estimates of government fees in the CBA. </w:t>
      </w:r>
    </w:p>
    <w:p w14:paraId="5A5C7359" w14:textId="78F8E414" w:rsidR="00C26D78" w:rsidRPr="009D2DA6" w:rsidRDefault="00C26D78" w:rsidP="00E645DE">
      <w:pPr>
        <w:pStyle w:val="FSBullet1"/>
      </w:pPr>
      <w:r w:rsidRPr="009D2DA6">
        <w:t>estimates of business costs in the CBA</w:t>
      </w:r>
    </w:p>
    <w:p w14:paraId="228DCE9D" w14:textId="42EEFA3B" w:rsidR="00C26D78" w:rsidRPr="009D2DA6" w:rsidRDefault="00C26D78" w:rsidP="00E645DE">
      <w:pPr>
        <w:pStyle w:val="FSBullet1"/>
      </w:pPr>
      <w:r w:rsidRPr="009D2DA6">
        <w:t xml:space="preserve">case studies in section </w:t>
      </w:r>
      <w:r w:rsidR="00E645DE">
        <w:t>9</w:t>
      </w:r>
      <w:r w:rsidRPr="009D2DA6">
        <w:t xml:space="preserve"> of this document.  </w:t>
      </w:r>
    </w:p>
    <w:p w14:paraId="1FDC401A" w14:textId="5C2275BD" w:rsidR="00BC39AD" w:rsidRPr="009D2DA6" w:rsidRDefault="00BC39AD" w:rsidP="00BC39AD"/>
    <w:p w14:paraId="310BAAE1" w14:textId="3872954C" w:rsidR="00BC39AD" w:rsidRPr="009D2DA6" w:rsidRDefault="00BC39AD" w:rsidP="00BC39AD">
      <w:r w:rsidRPr="009D2DA6">
        <w:t>FSANZ is mindful</w:t>
      </w:r>
      <w:r w:rsidR="004C216C">
        <w:t>,</w:t>
      </w:r>
      <w:r w:rsidRPr="009D2DA6">
        <w:t xml:space="preserve"> however</w:t>
      </w:r>
      <w:r w:rsidR="004C216C">
        <w:t>,</w:t>
      </w:r>
      <w:r w:rsidRPr="009D2DA6">
        <w:t xml:space="preserve"> that the biggest indicator of the likely costs for any business (regardless of size) is the extent to which they are currently following a FSS or equivalent. This is why </w:t>
      </w:r>
      <w:r w:rsidR="007E1199">
        <w:t>we</w:t>
      </w:r>
      <w:r w:rsidRPr="009D2DA6">
        <w:t xml:space="preserve"> ha</w:t>
      </w:r>
      <w:r w:rsidR="007E1199">
        <w:t>ve</w:t>
      </w:r>
      <w:r w:rsidRPr="009D2DA6">
        <w:t xml:space="preserve"> focussed on providing costing estimates reflect</w:t>
      </w:r>
      <w:r w:rsidR="007E1199">
        <w:t>ing</w:t>
      </w:r>
      <w:r w:rsidRPr="009D2DA6">
        <w:t xml:space="preserve"> different levels of </w:t>
      </w:r>
      <w:r w:rsidRPr="009D2DA6">
        <w:lastRenderedPageBreak/>
        <w:t>current FSS compliance.</w:t>
      </w:r>
    </w:p>
    <w:p w14:paraId="3CC657F6" w14:textId="7F677B5A" w:rsidR="007E1A49" w:rsidRPr="009D2DA6" w:rsidRDefault="007E1A49" w:rsidP="007E1A49"/>
    <w:p w14:paraId="58DFA8E5" w14:textId="6D42077F" w:rsidR="003F7731" w:rsidRPr="009D2DA6" w:rsidRDefault="00D04D18" w:rsidP="003F7731">
      <w:r w:rsidRPr="009D2DA6">
        <w:t>Positive impacts on small business include that the standards address the key (evidenced) food safety risks and help industry mitigate those risks to avoid future problems, using a preventative outcomes-based a</w:t>
      </w:r>
      <w:r w:rsidR="004C216C">
        <w:t xml:space="preserve">pproach. </w:t>
      </w:r>
    </w:p>
    <w:p w14:paraId="121FF695" w14:textId="77777777" w:rsidR="00CC2109" w:rsidRPr="009D2DA6" w:rsidRDefault="00CC2109" w:rsidP="003F7731"/>
    <w:p w14:paraId="11C93E3D" w14:textId="77777777" w:rsidR="00CC2109" w:rsidRPr="00004D72" w:rsidRDefault="00CC2109" w:rsidP="00CC2109">
      <w:bookmarkStart w:id="458" w:name="_Toc85540181"/>
      <w:bookmarkStart w:id="459" w:name="_Toc85626186"/>
      <w:bookmarkStart w:id="460" w:name="_Toc85635319"/>
      <w:bookmarkStart w:id="461" w:name="_Toc97643873"/>
      <w:bookmarkStart w:id="462" w:name="_Toc97653258"/>
      <w:bookmarkStart w:id="463" w:name="_Toc97739410"/>
      <w:bookmarkStart w:id="464" w:name="_Toc97823827"/>
      <w:bookmarkStart w:id="465" w:name="_Toc97823991"/>
      <w:r>
        <w:t xml:space="preserve">If standards are gazetted, such implementation decisions would be made by jurisdictions likely during the 2.5 year transition period to regulations taking full effect. </w:t>
      </w:r>
    </w:p>
    <w:p w14:paraId="244BAF28" w14:textId="62CE0946" w:rsidR="005E43BB" w:rsidRPr="005E43BB" w:rsidRDefault="00004D72" w:rsidP="00A46B41">
      <w:pPr>
        <w:pStyle w:val="Heading3"/>
      </w:pPr>
      <w:r>
        <w:t>Cost-</w:t>
      </w:r>
      <w:r w:rsidR="005E43BB" w:rsidRPr="005E43BB">
        <w:t>benefit ratios</w:t>
      </w:r>
      <w:bookmarkEnd w:id="458"/>
      <w:bookmarkEnd w:id="459"/>
      <w:bookmarkEnd w:id="460"/>
      <w:bookmarkEnd w:id="461"/>
      <w:bookmarkEnd w:id="462"/>
      <w:bookmarkEnd w:id="463"/>
      <w:bookmarkEnd w:id="464"/>
      <w:bookmarkEnd w:id="465"/>
    </w:p>
    <w:p w14:paraId="7321A4E0" w14:textId="6F59919B" w:rsidR="00154717" w:rsidRPr="002B61B5" w:rsidRDefault="005E43BB" w:rsidP="007A0840">
      <w:pPr>
        <w:rPr>
          <w:color w:val="000000" w:themeColor="text1"/>
          <w:lang w:val="en-AU"/>
        </w:rPr>
      </w:pPr>
      <w:r w:rsidRPr="00115224">
        <w:rPr>
          <w:color w:val="000000" w:themeColor="text1"/>
          <w:lang w:val="en-AU"/>
        </w:rPr>
        <w:t xml:space="preserve">For </w:t>
      </w:r>
      <w:r w:rsidR="004F2123">
        <w:rPr>
          <w:color w:val="000000" w:themeColor="text1"/>
          <w:lang w:val="en-AU"/>
        </w:rPr>
        <w:t>berries</w:t>
      </w:r>
      <w:r w:rsidR="007E1199">
        <w:rPr>
          <w:color w:val="000000" w:themeColor="text1"/>
          <w:lang w:val="en-AU"/>
        </w:rPr>
        <w:t>, leafy vegetables</w:t>
      </w:r>
      <w:r w:rsidR="004F2123">
        <w:rPr>
          <w:color w:val="000000" w:themeColor="text1"/>
          <w:lang w:val="en-AU"/>
        </w:rPr>
        <w:t xml:space="preserve"> and melons,</w:t>
      </w:r>
      <w:r w:rsidRPr="00115224">
        <w:rPr>
          <w:color w:val="000000" w:themeColor="text1"/>
          <w:lang w:val="en-AU"/>
        </w:rPr>
        <w:t xml:space="preserve"> </w:t>
      </w:r>
      <w:r w:rsidRPr="004F2123">
        <w:rPr>
          <w:color w:val="000000" w:themeColor="text1"/>
          <w:lang w:val="en-AU"/>
        </w:rPr>
        <w:t>there is a</w:t>
      </w:r>
      <w:r w:rsidR="00AB69D6">
        <w:rPr>
          <w:color w:val="000000" w:themeColor="text1"/>
          <w:lang w:val="en-AU"/>
        </w:rPr>
        <w:t>n</w:t>
      </w:r>
      <w:r w:rsidRPr="004F2123">
        <w:rPr>
          <w:color w:val="000000" w:themeColor="text1"/>
          <w:lang w:val="en-AU"/>
        </w:rPr>
        <w:t xml:space="preserve"> expected positive net benefit. </w:t>
      </w:r>
      <w:r w:rsidR="007E1199">
        <w:rPr>
          <w:color w:val="000000" w:themeColor="text1"/>
          <w:lang w:val="en-AU"/>
        </w:rPr>
        <w:t>The n</w:t>
      </w:r>
      <w:r w:rsidR="004F2123" w:rsidRPr="004F2123">
        <w:rPr>
          <w:color w:val="000000" w:themeColor="text1"/>
          <w:lang w:val="en-AU"/>
        </w:rPr>
        <w:t xml:space="preserve">et benefit for leafy vegetables </w:t>
      </w:r>
      <w:r w:rsidR="007E1199">
        <w:rPr>
          <w:color w:val="000000" w:themeColor="text1"/>
          <w:lang w:val="en-AU"/>
        </w:rPr>
        <w:t>is</w:t>
      </w:r>
      <w:r w:rsidR="007E1199" w:rsidRPr="004F2123">
        <w:rPr>
          <w:color w:val="000000" w:themeColor="text1"/>
          <w:lang w:val="en-AU"/>
        </w:rPr>
        <w:t xml:space="preserve"> </w:t>
      </w:r>
      <w:r w:rsidR="004F2123" w:rsidRPr="004F2123">
        <w:rPr>
          <w:color w:val="000000" w:themeColor="text1"/>
          <w:lang w:val="en-AU"/>
        </w:rPr>
        <w:t xml:space="preserve">expected to be </w:t>
      </w:r>
      <w:r w:rsidR="00DD1998">
        <w:rPr>
          <w:color w:val="000000" w:themeColor="text1"/>
          <w:lang w:val="en-AU"/>
        </w:rPr>
        <w:t>lower as a proportion of the costs of regulations.</w:t>
      </w:r>
      <w:r w:rsidR="004F2123" w:rsidRPr="004F2123">
        <w:rPr>
          <w:color w:val="000000" w:themeColor="text1"/>
          <w:lang w:val="en-AU"/>
        </w:rPr>
        <w:t xml:space="preserve"> </w:t>
      </w:r>
      <w:r w:rsidRPr="004F2123">
        <w:rPr>
          <w:color w:val="000000" w:themeColor="text1"/>
          <w:lang w:val="en-AU"/>
        </w:rPr>
        <w:t>Full details of the analysis for this option is provided in the CBA.</w:t>
      </w:r>
      <w:r w:rsidR="002237FC">
        <w:rPr>
          <w:color w:val="000000" w:themeColor="text1"/>
          <w:lang w:val="en-AU"/>
        </w:rPr>
        <w:t xml:space="preserve"> The figures </w:t>
      </w:r>
      <w:r w:rsidR="004C216C">
        <w:rPr>
          <w:color w:val="000000" w:themeColor="text1"/>
          <w:lang w:val="en-AU"/>
        </w:rPr>
        <w:t xml:space="preserve">outlined </w:t>
      </w:r>
      <w:r w:rsidR="002237FC">
        <w:rPr>
          <w:color w:val="000000" w:themeColor="text1"/>
          <w:lang w:val="en-AU"/>
        </w:rPr>
        <w:t>below account for costs to industry and costs of the non-regulatory option to jurisdictions.</w:t>
      </w:r>
      <w:r w:rsidR="00792687">
        <w:rPr>
          <w:color w:val="000000" w:themeColor="text1"/>
          <w:lang w:val="en-AU"/>
        </w:rPr>
        <w:t xml:space="preserve"> </w:t>
      </w:r>
      <w:r w:rsidR="00EB47F9">
        <w:rPr>
          <w:color w:val="000000" w:themeColor="text1"/>
          <w:lang w:val="en-AU"/>
        </w:rPr>
        <w:t>Assumed efficacy figures are expert-based estimated percentage reductions of illness costs after implementing option 3. Central assumed efficacy</w:t>
      </w:r>
      <w:r w:rsidR="002660DE">
        <w:rPr>
          <w:color w:val="000000" w:themeColor="text1"/>
          <w:lang w:val="en-AU"/>
        </w:rPr>
        <w:t xml:space="preserve"> (reduced illness costs) from option 3</w:t>
      </w:r>
      <w:r w:rsidR="00EB47F9">
        <w:rPr>
          <w:color w:val="000000" w:themeColor="text1"/>
          <w:lang w:val="en-AU"/>
        </w:rPr>
        <w:t xml:space="preserve"> is 15% for berries, 40% for leafy vegetables and 20% for melons.</w:t>
      </w:r>
    </w:p>
    <w:p w14:paraId="78CD09CF" w14:textId="77777777" w:rsidR="006D5508" w:rsidRPr="00190752" w:rsidRDefault="006D5508" w:rsidP="00004D72">
      <w:pPr>
        <w:pStyle w:val="Heading4"/>
      </w:pPr>
      <w:r w:rsidRPr="00190752">
        <w:t>Berries</w:t>
      </w:r>
    </w:p>
    <w:p w14:paraId="6CFE3173" w14:textId="63268B53" w:rsidR="006D5508" w:rsidRPr="005C7F92" w:rsidRDefault="00341C87" w:rsidP="006D5508">
      <w:pPr>
        <w:rPr>
          <w:lang w:bidi="ar-SA"/>
        </w:rPr>
      </w:pPr>
      <w:r w:rsidRPr="00544A47">
        <w:rPr>
          <w:color w:val="000000" w:themeColor="text1"/>
          <w:lang w:bidi="ar-SA"/>
        </w:rPr>
        <w:t xml:space="preserve">The CBA determined </w:t>
      </w:r>
      <w:r>
        <w:rPr>
          <w:color w:val="000000" w:themeColor="text1"/>
          <w:lang w:bidi="ar-SA"/>
        </w:rPr>
        <w:t xml:space="preserve">a central estimate of $0.5 costs to every $1 benefit for berries if option 3 was implemented, with a range of </w:t>
      </w:r>
      <w:r w:rsidRPr="00544A47">
        <w:rPr>
          <w:color w:val="000000" w:themeColor="text1"/>
          <w:lang w:bidi="ar-SA"/>
        </w:rPr>
        <w:t>$0.</w:t>
      </w:r>
      <w:r w:rsidR="000A1F6A">
        <w:rPr>
          <w:color w:val="000000" w:themeColor="text1"/>
          <w:lang w:bidi="ar-SA"/>
        </w:rPr>
        <w:t>2 to $0.7</w:t>
      </w:r>
      <w:r w:rsidRPr="00544A47">
        <w:rPr>
          <w:color w:val="000000" w:themeColor="text1"/>
          <w:lang w:bidi="ar-SA"/>
        </w:rPr>
        <w:t xml:space="preserve"> to achiev</w:t>
      </w:r>
      <w:r>
        <w:rPr>
          <w:color w:val="000000" w:themeColor="text1"/>
          <w:lang w:bidi="ar-SA"/>
        </w:rPr>
        <w:t xml:space="preserve">e every $1 benefit </w:t>
      </w:r>
      <w:r w:rsidR="00004D72">
        <w:rPr>
          <w:lang w:bidi="ar-SA"/>
        </w:rPr>
        <w:t xml:space="preserve">(Table </w:t>
      </w:r>
      <w:r w:rsidR="008C1427">
        <w:rPr>
          <w:lang w:bidi="ar-SA"/>
        </w:rPr>
        <w:t>8</w:t>
      </w:r>
      <w:r w:rsidR="00004D72">
        <w:rPr>
          <w:lang w:bidi="ar-SA"/>
        </w:rPr>
        <w:t>)</w:t>
      </w:r>
      <w:r w:rsidR="006D5508">
        <w:rPr>
          <w:lang w:bidi="ar-SA"/>
        </w:rPr>
        <w:t>. At</w:t>
      </w:r>
      <w:r w:rsidR="006D5508" w:rsidRPr="0026166F">
        <w:rPr>
          <w:lang w:bidi="ar-SA"/>
        </w:rPr>
        <w:t xml:space="preserve"> </w:t>
      </w:r>
      <w:r w:rsidR="006D5508">
        <w:rPr>
          <w:lang w:bidi="ar-SA"/>
        </w:rPr>
        <w:t xml:space="preserve">an </w:t>
      </w:r>
      <w:r w:rsidR="00BE0399">
        <w:rPr>
          <w:lang w:bidi="ar-SA"/>
        </w:rPr>
        <w:t xml:space="preserve">estimated </w:t>
      </w:r>
      <w:r w:rsidR="006D5508" w:rsidRPr="0026166F">
        <w:rPr>
          <w:lang w:bidi="ar-SA"/>
        </w:rPr>
        <w:t xml:space="preserve">15% </w:t>
      </w:r>
      <w:r w:rsidR="00BE0399">
        <w:rPr>
          <w:lang w:bidi="ar-SA"/>
        </w:rPr>
        <w:t xml:space="preserve">base </w:t>
      </w:r>
      <w:r w:rsidR="006D5508" w:rsidRPr="0026166F">
        <w:rPr>
          <w:lang w:bidi="ar-SA"/>
        </w:rPr>
        <w:t>efficacy</w:t>
      </w:r>
      <w:r w:rsidR="006D5508">
        <w:rPr>
          <w:lang w:bidi="ar-SA"/>
        </w:rPr>
        <w:t xml:space="preserve"> in reducing berry-related foodborne illness</w:t>
      </w:r>
      <w:r w:rsidR="006D5508" w:rsidRPr="0026166F">
        <w:rPr>
          <w:lang w:bidi="ar-SA"/>
        </w:rPr>
        <w:t>, the base estima</w:t>
      </w:r>
      <w:r w:rsidR="00C64970">
        <w:rPr>
          <w:lang w:bidi="ar-SA"/>
        </w:rPr>
        <w:t>te of illness cost savings is $0.7</w:t>
      </w:r>
      <w:r w:rsidR="006D5508">
        <w:rPr>
          <w:lang w:bidi="ar-SA"/>
        </w:rPr>
        <w:t xml:space="preserve"> </w:t>
      </w:r>
      <w:r w:rsidR="006D5508" w:rsidRPr="0026166F">
        <w:rPr>
          <w:lang w:bidi="ar-SA"/>
        </w:rPr>
        <w:t>m</w:t>
      </w:r>
      <w:r w:rsidR="006D5508">
        <w:rPr>
          <w:lang w:bidi="ar-SA"/>
        </w:rPr>
        <w:t>illion</w:t>
      </w:r>
      <w:r w:rsidR="00372B4D">
        <w:rPr>
          <w:lang w:bidi="ar-SA"/>
        </w:rPr>
        <w:t xml:space="preserve"> </w:t>
      </w:r>
      <w:r w:rsidR="00BE0399">
        <w:rPr>
          <w:lang w:bidi="ar-SA"/>
        </w:rPr>
        <w:t>a</w:t>
      </w:r>
      <w:r w:rsidR="00372B4D">
        <w:rPr>
          <w:lang w:bidi="ar-SA"/>
        </w:rPr>
        <w:t xml:space="preserve"> year</w:t>
      </w:r>
      <w:r w:rsidR="006D5508" w:rsidRPr="0026166F">
        <w:rPr>
          <w:lang w:bidi="ar-SA"/>
        </w:rPr>
        <w:t xml:space="preserve">. </w:t>
      </w:r>
    </w:p>
    <w:p w14:paraId="6EBBEE4D" w14:textId="77777777" w:rsidR="006D5508" w:rsidRDefault="006D5508" w:rsidP="006D5508">
      <w:pPr>
        <w:rPr>
          <w:lang w:val="en-AU"/>
        </w:rPr>
      </w:pPr>
    </w:p>
    <w:p w14:paraId="3AB204F9" w14:textId="36FA80AD" w:rsidR="006D5508" w:rsidRPr="001C4A9A" w:rsidRDefault="009D2DA6" w:rsidP="00004D72">
      <w:pPr>
        <w:keepNext/>
        <w:rPr>
          <w:b/>
          <w:lang w:val="en-AU"/>
        </w:rPr>
      </w:pPr>
      <w:r w:rsidRPr="002447A1">
        <w:rPr>
          <w:b/>
          <w:lang w:val="en-AU"/>
        </w:rPr>
        <w:t xml:space="preserve">Table </w:t>
      </w:r>
      <w:r w:rsidR="008C1427">
        <w:rPr>
          <w:b/>
          <w:lang w:val="en-AU"/>
        </w:rPr>
        <w:t>8</w:t>
      </w:r>
      <w:r w:rsidR="002447A1">
        <w:rPr>
          <w:b/>
          <w:lang w:val="en-AU"/>
        </w:rPr>
        <w:t>.</w:t>
      </w:r>
      <w:r w:rsidR="00A2501B">
        <w:rPr>
          <w:b/>
          <w:lang w:val="en-AU"/>
        </w:rPr>
        <w:t xml:space="preserve"> </w:t>
      </w:r>
      <w:r w:rsidR="00004D72">
        <w:rPr>
          <w:b/>
          <w:lang w:val="en-AU"/>
        </w:rPr>
        <w:t xml:space="preserve"> Cost-</w:t>
      </w:r>
      <w:r w:rsidR="006D5508" w:rsidRPr="001C4A9A">
        <w:rPr>
          <w:b/>
          <w:lang w:val="en-AU"/>
        </w:rPr>
        <w:t>benefit ratio for berries</w:t>
      </w:r>
    </w:p>
    <w:tbl>
      <w:tblPr>
        <w:tblStyle w:val="TableGrid"/>
        <w:tblW w:w="8926" w:type="dxa"/>
        <w:tblLook w:val="04A0" w:firstRow="1" w:lastRow="0" w:firstColumn="1" w:lastColumn="0" w:noHBand="0" w:noVBand="1"/>
      </w:tblPr>
      <w:tblGrid>
        <w:gridCol w:w="4248"/>
        <w:gridCol w:w="4678"/>
      </w:tblGrid>
      <w:tr w:rsidR="006D5508" w14:paraId="295AB642" w14:textId="77777777" w:rsidTr="00227777">
        <w:tc>
          <w:tcPr>
            <w:tcW w:w="4248" w:type="dxa"/>
            <w:shd w:val="clear" w:color="auto" w:fill="8DB3E2" w:themeFill="text2" w:themeFillTint="66"/>
          </w:tcPr>
          <w:p w14:paraId="5A7587D1" w14:textId="77777777" w:rsidR="006D5508" w:rsidRDefault="006D5508" w:rsidP="00A1125C">
            <w:pPr>
              <w:pStyle w:val="Header"/>
              <w:rPr>
                <w:b/>
                <w:color w:val="000000" w:themeColor="text1"/>
              </w:rPr>
            </w:pPr>
            <w:r>
              <w:rPr>
                <w:b/>
                <w:color w:val="000000" w:themeColor="text1"/>
              </w:rPr>
              <w:t>Commodity</w:t>
            </w:r>
          </w:p>
        </w:tc>
        <w:tc>
          <w:tcPr>
            <w:tcW w:w="4678" w:type="dxa"/>
            <w:shd w:val="clear" w:color="auto" w:fill="8DB3E2" w:themeFill="text2" w:themeFillTint="66"/>
          </w:tcPr>
          <w:p w14:paraId="69E84214" w14:textId="2F63C358"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0E3BDB5A" w14:textId="77777777" w:rsidR="006D5508" w:rsidRDefault="006D5508" w:rsidP="00A1125C">
            <w:pPr>
              <w:pStyle w:val="Header"/>
              <w:rPr>
                <w:b/>
                <w:color w:val="000000" w:themeColor="text1"/>
              </w:rPr>
            </w:pPr>
            <w:r>
              <w:rPr>
                <w:b/>
                <w:color w:val="000000" w:themeColor="text1"/>
              </w:rPr>
              <w:t>Central efficacy range</w:t>
            </w:r>
          </w:p>
        </w:tc>
      </w:tr>
      <w:tr w:rsidR="006D5508" w14:paraId="3A37CF65" w14:textId="77777777" w:rsidTr="00737007">
        <w:tc>
          <w:tcPr>
            <w:tcW w:w="4248" w:type="dxa"/>
            <w:tcBorders>
              <w:bottom w:val="single" w:sz="4" w:space="0" w:color="000000"/>
            </w:tcBorders>
          </w:tcPr>
          <w:p w14:paraId="180EBC0C" w14:textId="73C5A5E8" w:rsidR="006D5508" w:rsidRDefault="006D5508" w:rsidP="00A1125C">
            <w:pPr>
              <w:pStyle w:val="Header"/>
              <w:rPr>
                <w:color w:val="000000" w:themeColor="text1"/>
              </w:rPr>
            </w:pPr>
            <w:r w:rsidRPr="004C1A6E">
              <w:rPr>
                <w:color w:val="000000" w:themeColor="text1"/>
              </w:rPr>
              <w:t>Berries</w:t>
            </w:r>
          </w:p>
          <w:p w14:paraId="007AA7A0" w14:textId="77777777" w:rsidR="004C1A6E" w:rsidRPr="004C1A6E" w:rsidRDefault="004C1A6E" w:rsidP="00A1125C">
            <w:pPr>
              <w:pStyle w:val="Header"/>
              <w:rPr>
                <w:color w:val="000000" w:themeColor="text1"/>
              </w:rPr>
            </w:pPr>
          </w:p>
          <w:p w14:paraId="0850E96F" w14:textId="17AAB599" w:rsidR="006D5508" w:rsidRPr="00FE19F2" w:rsidRDefault="006D5508" w:rsidP="00A1125C">
            <w:pPr>
              <w:pStyle w:val="Header"/>
              <w:rPr>
                <w:color w:val="000000" w:themeColor="text1"/>
                <w:szCs w:val="22"/>
                <w:lang w:val="en-AU"/>
              </w:rPr>
            </w:pPr>
            <w:r w:rsidRPr="00FE19F2">
              <w:rPr>
                <w:color w:val="000000" w:themeColor="text1"/>
                <w:szCs w:val="22"/>
                <w:lang w:val="en-AU"/>
              </w:rPr>
              <w:t xml:space="preserve">Harvest and packing season assumed as </w:t>
            </w:r>
            <w:r w:rsidR="00D15EFF">
              <w:rPr>
                <w:color w:val="000000" w:themeColor="text1"/>
                <w:szCs w:val="22"/>
                <w:lang w:val="en-AU"/>
              </w:rPr>
              <w:t>210</w:t>
            </w:r>
            <w:r w:rsidRPr="00FE19F2">
              <w:rPr>
                <w:color w:val="000000" w:themeColor="text1"/>
                <w:szCs w:val="22"/>
                <w:lang w:val="en-AU"/>
              </w:rPr>
              <w:t xml:space="preserve"> days </w:t>
            </w:r>
            <w:r w:rsidR="00982921">
              <w:rPr>
                <w:color w:val="000000" w:themeColor="text1"/>
                <w:szCs w:val="22"/>
                <w:lang w:val="en-AU"/>
              </w:rPr>
              <w:t>per year, based on updated estimates during the 2</w:t>
            </w:r>
            <w:r w:rsidR="00982921" w:rsidRPr="00982921">
              <w:rPr>
                <w:color w:val="000000" w:themeColor="text1"/>
                <w:szCs w:val="22"/>
                <w:vertAlign w:val="superscript"/>
                <w:lang w:val="en-AU"/>
              </w:rPr>
              <w:t>nd</w:t>
            </w:r>
            <w:r w:rsidR="00982921">
              <w:rPr>
                <w:color w:val="000000" w:themeColor="text1"/>
                <w:szCs w:val="22"/>
                <w:lang w:val="en-AU"/>
              </w:rPr>
              <w:t xml:space="preserve"> consultation round.</w:t>
            </w:r>
          </w:p>
          <w:p w14:paraId="23180F55" w14:textId="77777777" w:rsidR="006D5508" w:rsidRPr="00FE19F2" w:rsidRDefault="006D5508" w:rsidP="00A1125C">
            <w:pPr>
              <w:pStyle w:val="Header"/>
              <w:rPr>
                <w:b/>
                <w:color w:val="000000" w:themeColor="text1"/>
                <w:szCs w:val="22"/>
              </w:rPr>
            </w:pPr>
          </w:p>
        </w:tc>
        <w:tc>
          <w:tcPr>
            <w:tcW w:w="4678" w:type="dxa"/>
            <w:tcBorders>
              <w:bottom w:val="single" w:sz="4" w:space="0" w:color="000000"/>
            </w:tcBorders>
          </w:tcPr>
          <w:p w14:paraId="6D10F8B5" w14:textId="7008FC55" w:rsidR="006D5508" w:rsidRPr="00FE19F2" w:rsidRDefault="00D15EFF" w:rsidP="00A1125C">
            <w:pPr>
              <w:pStyle w:val="Header"/>
              <w:rPr>
                <w:color w:val="000000" w:themeColor="text1"/>
                <w:szCs w:val="22"/>
              </w:rPr>
            </w:pPr>
            <w:r>
              <w:rPr>
                <w:color w:val="000000" w:themeColor="text1"/>
                <w:szCs w:val="22"/>
              </w:rPr>
              <w:t>$0.</w:t>
            </w:r>
            <w:r w:rsidR="00341C87">
              <w:rPr>
                <w:color w:val="000000" w:themeColor="text1"/>
                <w:szCs w:val="22"/>
              </w:rPr>
              <w:t>5</w:t>
            </w:r>
          </w:p>
          <w:p w14:paraId="3F2226DF" w14:textId="2CA1B957" w:rsidR="006D5508" w:rsidRPr="00FE19F2" w:rsidRDefault="00F008A5" w:rsidP="00A1125C">
            <w:pPr>
              <w:pStyle w:val="Header"/>
              <w:rPr>
                <w:color w:val="000000" w:themeColor="text1"/>
                <w:szCs w:val="22"/>
                <w:lang w:val="en-AU"/>
              </w:rPr>
            </w:pPr>
            <w:r w:rsidRPr="00FE19F2">
              <w:rPr>
                <w:color w:val="000000" w:themeColor="text1"/>
                <w:szCs w:val="22"/>
                <w:lang w:val="en-AU"/>
              </w:rPr>
              <w:t>c</w:t>
            </w:r>
            <w:r w:rsidR="006D5508" w:rsidRPr="00FE19F2">
              <w:rPr>
                <w:color w:val="000000" w:themeColor="text1"/>
                <w:szCs w:val="22"/>
                <w:lang w:val="en-AU"/>
              </w:rPr>
              <w:t>osts for every $1 benefit</w:t>
            </w:r>
            <w:r w:rsidR="000A1F6A">
              <w:rPr>
                <w:color w:val="000000" w:themeColor="text1"/>
                <w:szCs w:val="22"/>
                <w:lang w:val="en-AU"/>
              </w:rPr>
              <w:t xml:space="preserve"> ($0.2 to $0.7</w:t>
            </w:r>
            <w:r w:rsidR="00341C87">
              <w:rPr>
                <w:color w:val="000000" w:themeColor="text1"/>
                <w:szCs w:val="22"/>
                <w:lang w:val="en-AU"/>
              </w:rPr>
              <w:t xml:space="preserve"> range)</w:t>
            </w:r>
            <w:r w:rsidR="00624464" w:rsidRPr="00FE19F2">
              <w:rPr>
                <w:color w:val="000000" w:themeColor="text1"/>
                <w:szCs w:val="22"/>
                <w:lang w:val="en-AU"/>
              </w:rPr>
              <w:t>.</w:t>
            </w:r>
          </w:p>
          <w:p w14:paraId="1C3A213D" w14:textId="77777777" w:rsidR="006D5508" w:rsidRPr="00FE19F2" w:rsidRDefault="006D5508" w:rsidP="00A1125C">
            <w:pPr>
              <w:pStyle w:val="Header"/>
              <w:rPr>
                <w:color w:val="000000" w:themeColor="text1"/>
                <w:szCs w:val="22"/>
                <w:lang w:val="en-AU"/>
              </w:rPr>
            </w:pPr>
          </w:p>
          <w:p w14:paraId="7D19EE08" w14:textId="70B46F4C" w:rsidR="006D5508" w:rsidRPr="007047F9" w:rsidRDefault="006D5508" w:rsidP="00A1125C">
            <w:pPr>
              <w:pStyle w:val="Header"/>
              <w:rPr>
                <w:color w:val="000000" w:themeColor="text1"/>
                <w:szCs w:val="20"/>
                <w:lang w:val="en-AU"/>
              </w:rPr>
            </w:pPr>
            <w:r w:rsidRPr="007047F9">
              <w:rPr>
                <w:color w:val="000000" w:themeColor="text1"/>
                <w:szCs w:val="20"/>
                <w:lang w:val="en-AU"/>
              </w:rPr>
              <w:t>Net benefit predicted</w:t>
            </w:r>
            <w:r w:rsidR="00F008A5" w:rsidRPr="007047F9">
              <w:rPr>
                <w:color w:val="000000" w:themeColor="text1"/>
                <w:szCs w:val="20"/>
                <w:lang w:val="en-AU"/>
              </w:rPr>
              <w:t>.</w:t>
            </w:r>
          </w:p>
          <w:p w14:paraId="7CF410DC" w14:textId="53117253" w:rsidR="006D5508" w:rsidRPr="00FE19F2" w:rsidRDefault="006D5508" w:rsidP="00A1125C">
            <w:pPr>
              <w:pStyle w:val="Header"/>
              <w:rPr>
                <w:color w:val="000000" w:themeColor="text1"/>
                <w:szCs w:val="22"/>
                <w:lang w:val="en-AU"/>
              </w:rPr>
            </w:pPr>
            <w:r w:rsidRPr="00E93FAA">
              <w:rPr>
                <w:color w:val="000000" w:themeColor="text1"/>
                <w:sz w:val="20"/>
                <w:szCs w:val="20"/>
                <w:lang w:val="en-AU"/>
              </w:rPr>
              <w:t>[Assumed efficacy of 15</w:t>
            </w:r>
            <w:r w:rsidR="00E645DE" w:rsidRPr="00E93FAA">
              <w:rPr>
                <w:color w:val="000000" w:themeColor="text1"/>
                <w:sz w:val="20"/>
                <w:szCs w:val="20"/>
                <w:lang w:val="en-AU"/>
              </w:rPr>
              <w:t>%]</w:t>
            </w:r>
            <w:r w:rsidR="00624464" w:rsidRPr="00E93FAA">
              <w:rPr>
                <w:color w:val="000000" w:themeColor="text1"/>
                <w:sz w:val="20"/>
                <w:szCs w:val="20"/>
                <w:lang w:val="en-AU"/>
              </w:rPr>
              <w:t>.</w:t>
            </w:r>
          </w:p>
        </w:tc>
      </w:tr>
      <w:tr w:rsidR="006D5508" w14:paraId="72EE6D64" w14:textId="77777777" w:rsidTr="00737007">
        <w:tc>
          <w:tcPr>
            <w:tcW w:w="8926" w:type="dxa"/>
            <w:gridSpan w:val="2"/>
            <w:tcBorders>
              <w:left w:val="nil"/>
              <w:bottom w:val="nil"/>
              <w:right w:val="nil"/>
            </w:tcBorders>
          </w:tcPr>
          <w:p w14:paraId="0A1C18C1" w14:textId="2CDBD5CB" w:rsidR="006D5508" w:rsidRDefault="00004D72" w:rsidP="00A1125C">
            <w:pPr>
              <w:pStyle w:val="Header"/>
              <w:rPr>
                <w:b/>
                <w:color w:val="000000" w:themeColor="text1"/>
              </w:rPr>
            </w:pPr>
            <w:r>
              <w:rPr>
                <w:rFonts w:cs="Arial"/>
                <w:bCs/>
                <w:color w:val="000000"/>
                <w:sz w:val="20"/>
                <w:szCs w:val="20"/>
                <w:lang w:eastAsia="en-GB"/>
              </w:rPr>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11BA24DD" w14:textId="77777777" w:rsidR="0088377D" w:rsidRDefault="0088377D" w:rsidP="006D5508">
      <w:pPr>
        <w:rPr>
          <w:lang w:bidi="ar-SA"/>
        </w:rPr>
      </w:pPr>
    </w:p>
    <w:p w14:paraId="7B824DC5" w14:textId="6A96606C" w:rsidR="006D5508" w:rsidRPr="009E7288" w:rsidRDefault="006D5508" w:rsidP="009E7288">
      <w:pPr>
        <w:widowControl/>
        <w:rPr>
          <w:rFonts w:ascii="Calibri" w:hAnsi="Calibri" w:cs="Calibri"/>
          <w:color w:val="000000"/>
          <w:szCs w:val="22"/>
          <w:lang w:eastAsia="en-GB" w:bidi="ar-SA"/>
        </w:rPr>
      </w:pPr>
      <w:r>
        <w:rPr>
          <w:lang w:bidi="ar-SA"/>
        </w:rPr>
        <w:t>The estimated net benefit</w:t>
      </w:r>
      <w:r w:rsidRPr="0026166F">
        <w:rPr>
          <w:lang w:bidi="ar-SA"/>
        </w:rPr>
        <w:t xml:space="preserve"> </w:t>
      </w:r>
      <w:r>
        <w:rPr>
          <w:lang w:bidi="ar-SA"/>
        </w:rPr>
        <w:t>over a ten-year period of implementing option 3 r</w:t>
      </w:r>
      <w:r w:rsidRPr="0026166F">
        <w:rPr>
          <w:lang w:bidi="ar-SA"/>
        </w:rPr>
        <w:t>anges from $</w:t>
      </w:r>
      <w:r w:rsidR="0091487F">
        <w:rPr>
          <w:lang w:bidi="ar-SA"/>
        </w:rPr>
        <w:t>1.2</w:t>
      </w:r>
      <w:r>
        <w:rPr>
          <w:lang w:bidi="ar-SA"/>
        </w:rPr>
        <w:t> </w:t>
      </w:r>
      <w:r w:rsidRPr="0026166F">
        <w:rPr>
          <w:lang w:bidi="ar-SA"/>
        </w:rPr>
        <w:t>m</w:t>
      </w:r>
      <w:r>
        <w:rPr>
          <w:lang w:bidi="ar-SA"/>
        </w:rPr>
        <w:t>illion</w:t>
      </w:r>
      <w:r w:rsidR="0091487F">
        <w:rPr>
          <w:lang w:bidi="ar-SA"/>
        </w:rPr>
        <w:t xml:space="preserve"> to $3.5</w:t>
      </w:r>
      <w:r>
        <w:rPr>
          <w:lang w:bidi="ar-SA"/>
        </w:rPr>
        <w:t xml:space="preserve"> </w:t>
      </w:r>
      <w:r w:rsidRPr="0026166F">
        <w:rPr>
          <w:lang w:bidi="ar-SA"/>
        </w:rPr>
        <w:t>m</w:t>
      </w:r>
      <w:r>
        <w:rPr>
          <w:lang w:bidi="ar-SA"/>
        </w:rPr>
        <w:t>illion</w:t>
      </w:r>
      <w:r w:rsidRPr="0026166F">
        <w:rPr>
          <w:lang w:bidi="ar-SA"/>
        </w:rPr>
        <w:t xml:space="preserve"> (15% efficacy at a 7% per annum discount rate).</w:t>
      </w:r>
      <w:r>
        <w:rPr>
          <w:lang w:bidi="ar-SA"/>
        </w:rPr>
        <w:t xml:space="preserve"> The</w:t>
      </w:r>
      <w:r w:rsidR="00193FD9">
        <w:rPr>
          <w:lang w:bidi="ar-SA"/>
        </w:rPr>
        <w:t xml:space="preserve"> central</w:t>
      </w:r>
      <w:r>
        <w:rPr>
          <w:lang w:bidi="ar-SA"/>
        </w:rPr>
        <w:t xml:space="preserve"> </w:t>
      </w:r>
      <w:r w:rsidR="00792687">
        <w:rPr>
          <w:lang w:bidi="ar-SA"/>
        </w:rPr>
        <w:t>net benefit</w:t>
      </w:r>
      <w:r>
        <w:rPr>
          <w:lang w:bidi="ar-SA"/>
        </w:rPr>
        <w:t xml:space="preserve"> estimate is </w:t>
      </w:r>
      <w:r w:rsidR="00872C7D" w:rsidRPr="009E7288">
        <w:rPr>
          <w:lang w:bidi="ar-SA"/>
        </w:rPr>
        <w:t>$</w:t>
      </w:r>
      <w:r w:rsidR="0091487F" w:rsidRPr="0091487F">
        <w:rPr>
          <w:lang w:bidi="ar-SA"/>
        </w:rPr>
        <w:t>2</w:t>
      </w:r>
      <w:r w:rsidR="0091487F">
        <w:rPr>
          <w:lang w:bidi="ar-SA"/>
        </w:rPr>
        <w:t>,</w:t>
      </w:r>
      <w:r w:rsidR="0091487F" w:rsidRPr="0091487F">
        <w:rPr>
          <w:lang w:bidi="ar-SA"/>
        </w:rPr>
        <w:t>363</w:t>
      </w:r>
      <w:r w:rsidR="0091487F">
        <w:rPr>
          <w:lang w:bidi="ar-SA"/>
        </w:rPr>
        <w:t>,</w:t>
      </w:r>
      <w:r w:rsidR="0091487F" w:rsidRPr="0091487F">
        <w:rPr>
          <w:lang w:bidi="ar-SA"/>
        </w:rPr>
        <w:t xml:space="preserve">158 </w:t>
      </w:r>
      <w:r w:rsidR="00A8589F">
        <w:rPr>
          <w:rFonts w:cs="Arial"/>
          <w:color w:val="000000"/>
          <w:lang w:eastAsia="en-GB"/>
        </w:rPr>
        <w:t>over 10 years</w:t>
      </w:r>
      <w:r w:rsidR="007E1579">
        <w:rPr>
          <w:rFonts w:cs="Arial"/>
          <w:color w:val="000000"/>
          <w:lang w:eastAsia="en-GB"/>
        </w:rPr>
        <w:t>.</w:t>
      </w:r>
    </w:p>
    <w:p w14:paraId="5B611201" w14:textId="1A55CFE1" w:rsidR="00E967C1" w:rsidRDefault="00E967C1" w:rsidP="00E967C1"/>
    <w:p w14:paraId="404E745C" w14:textId="1780DB57" w:rsidR="00E967C1" w:rsidRDefault="00E967C1" w:rsidP="006D5508">
      <w:r>
        <w:t xml:space="preserve">A significant impact could be expected for the </w:t>
      </w:r>
      <w:r w:rsidRPr="00D94A36">
        <w:t>estimated 25% of businesses (app</w:t>
      </w:r>
      <w:r>
        <w:t xml:space="preserve">roximately </w:t>
      </w:r>
      <w:r w:rsidRPr="00D94A36">
        <w:t>188 businesses)</w:t>
      </w:r>
      <w:r>
        <w:t xml:space="preserve"> which may not be working under a FSS and may be key contribu</w:t>
      </w:r>
      <w:r w:rsidR="00004D72">
        <w:t>tors to risk across the sector.</w:t>
      </w:r>
    </w:p>
    <w:p w14:paraId="52E41A3C" w14:textId="38493F59" w:rsidR="00334622" w:rsidRDefault="006D5508" w:rsidP="009B7B60">
      <w:pPr>
        <w:pStyle w:val="Heading4"/>
      </w:pPr>
      <w:r w:rsidRPr="00473A6C">
        <w:t>Leafy vegetables</w:t>
      </w:r>
    </w:p>
    <w:p w14:paraId="14517A0C" w14:textId="63BAB218" w:rsidR="005342D9" w:rsidRDefault="00334622" w:rsidP="006D5508">
      <w:r>
        <w:t xml:space="preserve">The </w:t>
      </w:r>
      <w:r w:rsidR="00DD1998">
        <w:t xml:space="preserve">expected </w:t>
      </w:r>
      <w:r>
        <w:t xml:space="preserve">net benefits </w:t>
      </w:r>
      <w:r w:rsidR="00444100">
        <w:t xml:space="preserve">of option </w:t>
      </w:r>
      <w:r w:rsidR="007E1199">
        <w:t xml:space="preserve">3 </w:t>
      </w:r>
      <w:r>
        <w:t xml:space="preserve">are </w:t>
      </w:r>
      <w:r w:rsidR="00DD1998">
        <w:t>positive but lower</w:t>
      </w:r>
      <w:r>
        <w:t xml:space="preserve"> for leafy vegetables</w:t>
      </w:r>
      <w:r w:rsidR="00DD1998">
        <w:t xml:space="preserve"> as a percentage</w:t>
      </w:r>
      <w:r>
        <w:t xml:space="preserve"> of </w:t>
      </w:r>
      <w:r w:rsidR="009B7B60">
        <w:t>costs</w:t>
      </w:r>
      <w:r w:rsidR="00DD1998">
        <w:t>, compared</w:t>
      </w:r>
      <w:r w:rsidR="009B7B60">
        <w:t xml:space="preserve"> to </w:t>
      </w:r>
      <w:r w:rsidR="00F80D1A">
        <w:t>berries and melons</w:t>
      </w:r>
      <w:r>
        <w:t xml:space="preserve">. </w:t>
      </w:r>
      <w:r w:rsidR="00DB551C">
        <w:t>On balance, t</w:t>
      </w:r>
      <w:r>
        <w:t>he CBA e</w:t>
      </w:r>
      <w:r w:rsidR="00E27894">
        <w:t>s</w:t>
      </w:r>
      <w:r>
        <w:t>timate</w:t>
      </w:r>
      <w:r w:rsidR="00DB551C">
        <w:t>s</w:t>
      </w:r>
      <w:r w:rsidR="006D5508">
        <w:t xml:space="preserve"> </w:t>
      </w:r>
      <w:r w:rsidR="00DB551C">
        <w:t>a positive net benefit</w:t>
      </w:r>
      <w:r w:rsidR="00C77ABB">
        <w:t xml:space="preserve"> with a central estimate of $0.7</w:t>
      </w:r>
      <w:r w:rsidR="00DB551C">
        <w:t xml:space="preserve"> cost to every $1 benefit (Table </w:t>
      </w:r>
      <w:r w:rsidR="008C1427">
        <w:t>9</w:t>
      </w:r>
      <w:r w:rsidR="00C77ABB">
        <w:t>) with a range of between $0.3</w:t>
      </w:r>
      <w:r w:rsidR="00DB551C">
        <w:t xml:space="preserve"> </w:t>
      </w:r>
      <w:r w:rsidR="00B769E4">
        <w:t>and</w:t>
      </w:r>
      <w:r w:rsidR="00C77ABB">
        <w:t xml:space="preserve"> $1.0</w:t>
      </w:r>
      <w:r w:rsidR="00DB551C">
        <w:t xml:space="preserve"> cost for every $1 of benefit. </w:t>
      </w:r>
    </w:p>
    <w:p w14:paraId="74C96B01" w14:textId="1EAD1459" w:rsidR="006D5508" w:rsidRDefault="006D5508" w:rsidP="006D5508"/>
    <w:p w14:paraId="2CC02227" w14:textId="3CB3EBD2" w:rsidR="00DB551C" w:rsidRDefault="00DB551C" w:rsidP="00F008A5">
      <w:pPr>
        <w:rPr>
          <w:lang w:bidi="ar-SA"/>
        </w:rPr>
      </w:pPr>
      <w:r>
        <w:t>The</w:t>
      </w:r>
      <w:r w:rsidR="00F008A5">
        <w:t xml:space="preserve"> </w:t>
      </w:r>
      <w:r w:rsidR="00444100">
        <w:t>central estimate is a</w:t>
      </w:r>
      <w:r w:rsidR="00F008A5">
        <w:t xml:space="preserve"> $</w:t>
      </w:r>
      <w:r w:rsidR="00756237">
        <w:t>8.6</w:t>
      </w:r>
      <w:r w:rsidR="00F008A5">
        <w:t>m positive net benefit over 10 years (</w:t>
      </w:r>
      <w:r w:rsidR="00F008A5">
        <w:rPr>
          <w:lang w:bidi="ar-SA"/>
        </w:rPr>
        <w:t xml:space="preserve">at a </w:t>
      </w:r>
      <w:r w:rsidR="00F008A5" w:rsidRPr="00B6395F">
        <w:rPr>
          <w:lang w:bidi="ar-SA"/>
        </w:rPr>
        <w:t>40% efficacy</w:t>
      </w:r>
      <w:r w:rsidR="00F008A5">
        <w:rPr>
          <w:lang w:bidi="ar-SA"/>
        </w:rPr>
        <w:t>,</w:t>
      </w:r>
      <w:r w:rsidR="00F008A5" w:rsidRPr="00B6395F">
        <w:rPr>
          <w:lang w:bidi="ar-SA"/>
        </w:rPr>
        <w:t xml:space="preserve"> at a 7% </w:t>
      </w:r>
      <w:r w:rsidR="00F008A5" w:rsidRPr="00B6395F">
        <w:rPr>
          <w:lang w:bidi="ar-SA"/>
        </w:rPr>
        <w:lastRenderedPageBreak/>
        <w:t>per annum discount rate)</w:t>
      </w:r>
      <w:r w:rsidR="00444100">
        <w:rPr>
          <w:lang w:bidi="ar-SA"/>
        </w:rPr>
        <w:t xml:space="preserve"> or</w:t>
      </w:r>
      <w:r w:rsidR="00444100">
        <w:t xml:space="preserve"> precisely </w:t>
      </w:r>
      <w:r w:rsidR="00F008A5" w:rsidRPr="008F52A1">
        <w:rPr>
          <w:lang w:bidi="ar-SA"/>
        </w:rPr>
        <w:t>$</w:t>
      </w:r>
      <w:r w:rsidR="00756237">
        <w:rPr>
          <w:lang w:bidi="ar-SA"/>
        </w:rPr>
        <w:t>8,590,339</w:t>
      </w:r>
      <w:r w:rsidR="008F52A1">
        <w:rPr>
          <w:lang w:bidi="ar-SA"/>
        </w:rPr>
        <w:t>.</w:t>
      </w:r>
      <w:r>
        <w:rPr>
          <w:lang w:bidi="ar-SA"/>
        </w:rPr>
        <w:t xml:space="preserve"> </w:t>
      </w:r>
    </w:p>
    <w:p w14:paraId="0F94B47E" w14:textId="77777777" w:rsidR="00DB551C" w:rsidRDefault="00DB551C" w:rsidP="00F008A5">
      <w:pPr>
        <w:rPr>
          <w:lang w:bidi="ar-SA"/>
        </w:rPr>
      </w:pPr>
    </w:p>
    <w:p w14:paraId="2E668914" w14:textId="14EA0312" w:rsidR="00F008A5" w:rsidRDefault="00DB551C" w:rsidP="00F008A5">
      <w:pPr>
        <w:rPr>
          <w:lang w:bidi="ar-SA"/>
        </w:rPr>
      </w:pPr>
      <w:r>
        <w:rPr>
          <w:lang w:bidi="ar-SA"/>
        </w:rPr>
        <w:t xml:space="preserve">There are some risks of a negative net benefit if costs of compliance </w:t>
      </w:r>
      <w:r w:rsidR="007E1199">
        <w:rPr>
          <w:lang w:bidi="ar-SA"/>
        </w:rPr>
        <w:t>a</w:t>
      </w:r>
      <w:r>
        <w:rPr>
          <w:lang w:bidi="ar-SA"/>
        </w:rPr>
        <w:t xml:space="preserve">re higher than anticipated or efficacy </w:t>
      </w:r>
      <w:r w:rsidR="00B769E4">
        <w:rPr>
          <w:lang w:bidi="ar-SA"/>
        </w:rPr>
        <w:t>of the standard</w:t>
      </w:r>
      <w:r>
        <w:rPr>
          <w:lang w:bidi="ar-SA"/>
        </w:rPr>
        <w:t xml:space="preserve"> </w:t>
      </w:r>
      <w:r w:rsidR="007E1199">
        <w:rPr>
          <w:lang w:bidi="ar-SA"/>
        </w:rPr>
        <w:t>i</w:t>
      </w:r>
      <w:r>
        <w:rPr>
          <w:lang w:bidi="ar-SA"/>
        </w:rPr>
        <w:t>s lower</w:t>
      </w:r>
      <w:r w:rsidR="00B769E4">
        <w:rPr>
          <w:lang w:bidi="ar-SA"/>
        </w:rPr>
        <w:t xml:space="preserve"> than 40%</w:t>
      </w:r>
      <w:r>
        <w:rPr>
          <w:lang w:bidi="ar-SA"/>
        </w:rPr>
        <w:t>. That said, recognising existing FSS</w:t>
      </w:r>
      <w:r w:rsidR="00B769E4">
        <w:rPr>
          <w:lang w:bidi="ar-SA"/>
        </w:rPr>
        <w:t xml:space="preserve"> and</w:t>
      </w:r>
      <w:r>
        <w:rPr>
          <w:lang w:bidi="ar-SA"/>
        </w:rPr>
        <w:t xml:space="preserve"> accommodating the needs of small businesses would reduce such risks. </w:t>
      </w:r>
      <w:r w:rsidR="00B769E4">
        <w:rPr>
          <w:lang w:bidi="ar-SA"/>
        </w:rPr>
        <w:t xml:space="preserve">Benefits are also likely to be more positive </w:t>
      </w:r>
      <w:r w:rsidR="00EA7573">
        <w:rPr>
          <w:lang w:bidi="ar-SA"/>
        </w:rPr>
        <w:t>than the $0.7</w:t>
      </w:r>
      <w:r w:rsidR="004F239F">
        <w:rPr>
          <w:lang w:bidi="ar-SA"/>
        </w:rPr>
        <w:t xml:space="preserve"> costs to $1 benefit</w:t>
      </w:r>
      <w:r w:rsidR="00201FBF">
        <w:rPr>
          <w:lang w:bidi="ar-SA"/>
        </w:rPr>
        <w:t xml:space="preserve"> figure suggests through standards </w:t>
      </w:r>
      <w:r w:rsidR="007E1199">
        <w:rPr>
          <w:lang w:bidi="ar-SA"/>
        </w:rPr>
        <w:t>improving businesses’</w:t>
      </w:r>
      <w:r w:rsidR="00201FBF">
        <w:rPr>
          <w:lang w:bidi="ar-SA"/>
        </w:rPr>
        <w:t xml:space="preserve"> ability to avoid</w:t>
      </w:r>
      <w:r>
        <w:rPr>
          <w:lang w:bidi="ar-SA"/>
        </w:rPr>
        <w:t xml:space="preserve"> expensive food</w:t>
      </w:r>
      <w:r w:rsidR="00201FBF">
        <w:rPr>
          <w:lang w:bidi="ar-SA"/>
        </w:rPr>
        <w:t xml:space="preserve"> recalls</w:t>
      </w:r>
      <w:r>
        <w:rPr>
          <w:lang w:bidi="ar-SA"/>
        </w:rPr>
        <w:t xml:space="preserve">. </w:t>
      </w:r>
    </w:p>
    <w:p w14:paraId="1F2FA08F" w14:textId="195F3050" w:rsidR="00BE0399" w:rsidRDefault="00BE0399" w:rsidP="00F008A5">
      <w:pPr>
        <w:rPr>
          <w:lang w:bidi="ar-SA"/>
        </w:rPr>
      </w:pPr>
    </w:p>
    <w:p w14:paraId="5A8524C9" w14:textId="1BE019B0" w:rsidR="00BE0399" w:rsidRPr="00544A47" w:rsidRDefault="00BE0399" w:rsidP="00BE0399">
      <w:pPr>
        <w:rPr>
          <w:color w:val="000000" w:themeColor="text1"/>
          <w:lang w:bidi="ar-SA"/>
        </w:rPr>
      </w:pPr>
      <w:r w:rsidRPr="00544A47">
        <w:rPr>
          <w:color w:val="000000" w:themeColor="text1"/>
          <w:lang w:bidi="ar-SA"/>
        </w:rPr>
        <w:t>At a</w:t>
      </w:r>
      <w:r>
        <w:rPr>
          <w:color w:val="000000" w:themeColor="text1"/>
          <w:lang w:bidi="ar-SA"/>
        </w:rPr>
        <w:t>n estimated 4</w:t>
      </w:r>
      <w:r w:rsidRPr="00544A47">
        <w:rPr>
          <w:color w:val="000000" w:themeColor="text1"/>
          <w:lang w:bidi="ar-SA"/>
        </w:rPr>
        <w:t>0% efficacy, the base estima</w:t>
      </w:r>
      <w:r>
        <w:rPr>
          <w:color w:val="000000" w:themeColor="text1"/>
          <w:lang w:bidi="ar-SA"/>
        </w:rPr>
        <w:t>te</w:t>
      </w:r>
      <w:r w:rsidR="00EA7573">
        <w:rPr>
          <w:color w:val="000000" w:themeColor="text1"/>
          <w:lang w:bidi="ar-SA"/>
        </w:rPr>
        <w:t xml:space="preserve"> of illness cost savings is $3.7</w:t>
      </w:r>
      <w:r>
        <w:rPr>
          <w:color w:val="000000" w:themeColor="text1"/>
          <w:lang w:bidi="ar-SA"/>
        </w:rPr>
        <w:t xml:space="preserve"> </w:t>
      </w:r>
      <w:r w:rsidRPr="00544A47">
        <w:rPr>
          <w:color w:val="000000" w:themeColor="text1"/>
          <w:lang w:bidi="ar-SA"/>
        </w:rPr>
        <w:t>m</w:t>
      </w:r>
      <w:r>
        <w:rPr>
          <w:color w:val="000000" w:themeColor="text1"/>
          <w:lang w:bidi="ar-SA"/>
        </w:rPr>
        <w:t>illion a year</w:t>
      </w:r>
      <w:r w:rsidRPr="00544A47">
        <w:rPr>
          <w:color w:val="000000" w:themeColor="text1"/>
          <w:lang w:bidi="ar-SA"/>
        </w:rPr>
        <w:t>.</w:t>
      </w:r>
    </w:p>
    <w:p w14:paraId="73CD1FA3" w14:textId="77777777" w:rsidR="00BE0399" w:rsidRPr="00DD1998" w:rsidRDefault="00BE0399" w:rsidP="00F008A5">
      <w:pPr>
        <w:rPr>
          <w:lang w:bidi="ar-SA"/>
        </w:rPr>
      </w:pPr>
    </w:p>
    <w:p w14:paraId="3C00DC32" w14:textId="77777777" w:rsidR="00F008A5" w:rsidRDefault="00F008A5" w:rsidP="006D5508">
      <w:pPr>
        <w:rPr>
          <w:rFonts w:asciiTheme="minorHAnsi" w:hAnsiTheme="minorHAnsi" w:cstheme="minorBidi"/>
        </w:rPr>
      </w:pPr>
    </w:p>
    <w:p w14:paraId="5B38EF8E" w14:textId="05EA9BCF" w:rsidR="006D5508" w:rsidRPr="001C4A9A" w:rsidRDefault="00A2501B" w:rsidP="006D5508">
      <w:pPr>
        <w:rPr>
          <w:b/>
        </w:rPr>
      </w:pPr>
      <w:r w:rsidRPr="00004D72">
        <w:rPr>
          <w:b/>
        </w:rPr>
        <w:t xml:space="preserve">Table </w:t>
      </w:r>
      <w:r w:rsidR="008C1427">
        <w:rPr>
          <w:b/>
        </w:rPr>
        <w:t>9</w:t>
      </w:r>
      <w:r w:rsidR="00DF44D1">
        <w:rPr>
          <w:b/>
        </w:rPr>
        <w:t>.</w:t>
      </w:r>
      <w:r>
        <w:rPr>
          <w:b/>
        </w:rPr>
        <w:t xml:space="preserve"> </w:t>
      </w:r>
      <w:r w:rsidR="006D5508" w:rsidRPr="001C4A9A">
        <w:rPr>
          <w:b/>
        </w:rPr>
        <w:t>Cost-benefit ratio for leafy vegetables</w:t>
      </w:r>
    </w:p>
    <w:tbl>
      <w:tblPr>
        <w:tblStyle w:val="TableGrid"/>
        <w:tblW w:w="8926" w:type="dxa"/>
        <w:tblLook w:val="04A0" w:firstRow="1" w:lastRow="0" w:firstColumn="1" w:lastColumn="0" w:noHBand="0" w:noVBand="1"/>
      </w:tblPr>
      <w:tblGrid>
        <w:gridCol w:w="4390"/>
        <w:gridCol w:w="4536"/>
      </w:tblGrid>
      <w:tr w:rsidR="006D5508" w:rsidRPr="00FE19F2" w14:paraId="6F6DA01B" w14:textId="77777777" w:rsidTr="006C3CFA">
        <w:tc>
          <w:tcPr>
            <w:tcW w:w="439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324B1458" w14:textId="77777777" w:rsidR="006D5508" w:rsidRPr="00FE19F2" w:rsidRDefault="006D5508" w:rsidP="00A1125C">
            <w:pPr>
              <w:pStyle w:val="Header"/>
              <w:rPr>
                <w:rFonts w:ascii="Calibri" w:hAnsi="Calibri"/>
                <w:b/>
                <w:color w:val="000000" w:themeColor="text1"/>
                <w:szCs w:val="20"/>
                <w:lang w:eastAsia="en-GB" w:bidi="ar-SA"/>
              </w:rPr>
            </w:pPr>
            <w:r w:rsidRPr="00FE19F2">
              <w:rPr>
                <w:b/>
                <w:color w:val="000000" w:themeColor="text1"/>
                <w:szCs w:val="20"/>
                <w:lang w:eastAsia="en-GB"/>
              </w:rPr>
              <w:t>Commodity</w:t>
            </w:r>
          </w:p>
        </w:tc>
        <w:tc>
          <w:tcPr>
            <w:tcW w:w="45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0558542E" w14:textId="2FAAEE51" w:rsidR="006D5508" w:rsidRPr="00FE19F2" w:rsidRDefault="001802A0" w:rsidP="00A1125C">
            <w:pPr>
              <w:pStyle w:val="Header"/>
              <w:rPr>
                <w:rFonts w:ascii="Calibri" w:hAnsi="Calibri"/>
                <w:b/>
                <w:color w:val="000000" w:themeColor="text1"/>
                <w:szCs w:val="20"/>
                <w:lang w:eastAsia="en-GB"/>
              </w:rPr>
            </w:pPr>
            <w:r w:rsidRPr="00FE19F2">
              <w:rPr>
                <w:b/>
                <w:color w:val="000000" w:themeColor="text1"/>
                <w:szCs w:val="20"/>
                <w:lang w:eastAsia="en-GB"/>
              </w:rPr>
              <w:t>Cost-</w:t>
            </w:r>
            <w:r w:rsidR="006D5508" w:rsidRPr="00FE19F2">
              <w:rPr>
                <w:b/>
                <w:color w:val="000000" w:themeColor="text1"/>
                <w:szCs w:val="20"/>
                <w:lang w:eastAsia="en-GB"/>
              </w:rPr>
              <w:t>benefit ratios for commodity group</w:t>
            </w:r>
          </w:p>
          <w:p w14:paraId="28A224E1" w14:textId="77777777" w:rsidR="006D5508" w:rsidRPr="00FE19F2" w:rsidRDefault="006D5508" w:rsidP="00A1125C">
            <w:pPr>
              <w:pStyle w:val="Header"/>
              <w:rPr>
                <w:rFonts w:ascii="Calibri" w:hAnsi="Calibri"/>
                <w:b/>
                <w:color w:val="000000" w:themeColor="text1"/>
                <w:szCs w:val="20"/>
                <w:lang w:eastAsia="en-GB"/>
              </w:rPr>
            </w:pPr>
            <w:r w:rsidRPr="00FE19F2">
              <w:rPr>
                <w:b/>
                <w:color w:val="000000" w:themeColor="text1"/>
                <w:szCs w:val="20"/>
                <w:lang w:eastAsia="en-GB"/>
              </w:rPr>
              <w:t>Central efficacy range</w:t>
            </w:r>
          </w:p>
        </w:tc>
      </w:tr>
      <w:tr w:rsidR="006D5508" w14:paraId="24D9DA0F" w14:textId="77777777" w:rsidTr="00737007">
        <w:tc>
          <w:tcPr>
            <w:tcW w:w="4390" w:type="dxa"/>
            <w:tcBorders>
              <w:top w:val="single" w:sz="4" w:space="0" w:color="000000"/>
              <w:left w:val="single" w:sz="4" w:space="0" w:color="000000"/>
              <w:bottom w:val="single" w:sz="4" w:space="0" w:color="000000"/>
              <w:right w:val="single" w:sz="4" w:space="0" w:color="000000"/>
            </w:tcBorders>
          </w:tcPr>
          <w:p w14:paraId="5BA419E0" w14:textId="77777777" w:rsidR="006D5508" w:rsidRPr="00FE19F2" w:rsidRDefault="006D5508" w:rsidP="00A1125C">
            <w:pPr>
              <w:pStyle w:val="Header"/>
              <w:rPr>
                <w:color w:val="000000" w:themeColor="text1"/>
                <w:szCs w:val="20"/>
                <w:lang w:eastAsia="en-GB"/>
              </w:rPr>
            </w:pPr>
            <w:r w:rsidRPr="00FE19F2">
              <w:rPr>
                <w:color w:val="000000" w:themeColor="text1"/>
                <w:szCs w:val="20"/>
                <w:lang w:eastAsia="en-GB"/>
              </w:rPr>
              <w:t>Leafy vegetables</w:t>
            </w:r>
          </w:p>
          <w:p w14:paraId="4181A022" w14:textId="77777777" w:rsidR="006D5508" w:rsidRPr="00FE19F2" w:rsidRDefault="006D5508" w:rsidP="00A1125C">
            <w:pPr>
              <w:pStyle w:val="Header"/>
              <w:rPr>
                <w:b/>
                <w:color w:val="000000" w:themeColor="text1"/>
                <w:szCs w:val="20"/>
                <w:lang w:eastAsia="en-GB"/>
              </w:rPr>
            </w:pPr>
          </w:p>
          <w:p w14:paraId="24E91890" w14:textId="58E92A4F" w:rsidR="006D5508" w:rsidRPr="00FE19F2" w:rsidRDefault="006D5508" w:rsidP="00A1125C">
            <w:pPr>
              <w:pStyle w:val="Header"/>
              <w:rPr>
                <w:rFonts w:ascii="Calibri" w:hAnsi="Calibri"/>
                <w:color w:val="000000" w:themeColor="text1"/>
                <w:szCs w:val="20"/>
                <w:lang w:val="en-AU" w:eastAsia="en-GB"/>
              </w:rPr>
            </w:pPr>
            <w:r w:rsidRPr="00FE19F2">
              <w:rPr>
                <w:color w:val="000000" w:themeColor="text1"/>
                <w:szCs w:val="20"/>
                <w:lang w:eastAsia="en-GB"/>
              </w:rPr>
              <w:t xml:space="preserve">Harvest and packing season assumed as 310 days </w:t>
            </w:r>
            <w:r w:rsidR="00F008A5" w:rsidRPr="00FE19F2">
              <w:rPr>
                <w:color w:val="000000" w:themeColor="text1"/>
                <w:szCs w:val="20"/>
                <w:lang w:eastAsia="en-GB"/>
              </w:rPr>
              <w:t>per year</w:t>
            </w:r>
            <w:r w:rsidRPr="00FE19F2">
              <w:rPr>
                <w:color w:val="000000" w:themeColor="text1"/>
                <w:szCs w:val="20"/>
                <w:lang w:eastAsia="en-GB"/>
              </w:rPr>
              <w:t>.</w:t>
            </w:r>
          </w:p>
          <w:p w14:paraId="1D60087B" w14:textId="77777777" w:rsidR="006D5508" w:rsidRPr="00FE19F2" w:rsidRDefault="006D5508" w:rsidP="00A1125C">
            <w:pPr>
              <w:pStyle w:val="Header"/>
              <w:rPr>
                <w:rFonts w:ascii="Calibri" w:hAnsi="Calibri"/>
                <w:b/>
                <w:color w:val="000000" w:themeColor="text1"/>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14:paraId="08322B0E" w14:textId="299BA71E" w:rsidR="006D5508" w:rsidRPr="00FE19F2" w:rsidRDefault="00FB4E3B" w:rsidP="00A1125C">
            <w:pPr>
              <w:pStyle w:val="Header"/>
              <w:rPr>
                <w:rFonts w:ascii="Calibri" w:hAnsi="Calibri"/>
                <w:color w:val="000000" w:themeColor="text1"/>
                <w:lang w:eastAsia="en-GB"/>
              </w:rPr>
            </w:pPr>
            <w:r>
              <w:rPr>
                <w:color w:val="000000" w:themeColor="text1"/>
                <w:szCs w:val="20"/>
                <w:lang w:eastAsia="en-GB"/>
              </w:rPr>
              <w:t>$0.</w:t>
            </w:r>
            <w:r w:rsidR="009D59EC">
              <w:rPr>
                <w:color w:val="000000" w:themeColor="text1"/>
                <w:szCs w:val="20"/>
                <w:lang w:eastAsia="en-GB"/>
              </w:rPr>
              <w:t>7</w:t>
            </w:r>
          </w:p>
          <w:p w14:paraId="07AA7FCC" w14:textId="06B7B302" w:rsidR="006D5508" w:rsidRPr="00FE19F2" w:rsidRDefault="00F008A5" w:rsidP="00A1125C">
            <w:pPr>
              <w:pStyle w:val="Header"/>
              <w:rPr>
                <w:color w:val="000000" w:themeColor="text1"/>
                <w:szCs w:val="20"/>
                <w:lang w:eastAsia="en-GB"/>
              </w:rPr>
            </w:pPr>
            <w:r w:rsidRPr="00FE19F2">
              <w:rPr>
                <w:color w:val="000000" w:themeColor="text1"/>
                <w:szCs w:val="20"/>
                <w:lang w:eastAsia="en-GB"/>
              </w:rPr>
              <w:t>c</w:t>
            </w:r>
            <w:r w:rsidR="006D5508" w:rsidRPr="00FE19F2">
              <w:rPr>
                <w:color w:val="000000" w:themeColor="text1"/>
                <w:szCs w:val="20"/>
                <w:lang w:eastAsia="en-GB"/>
              </w:rPr>
              <w:t>osts for every $1 benefit</w:t>
            </w:r>
            <w:r w:rsidR="009D59EC">
              <w:rPr>
                <w:color w:val="000000" w:themeColor="text1"/>
                <w:szCs w:val="20"/>
                <w:lang w:eastAsia="en-GB"/>
              </w:rPr>
              <w:t xml:space="preserve"> ($0.3 to $1.0</w:t>
            </w:r>
            <w:r w:rsidR="00341C87">
              <w:rPr>
                <w:color w:val="000000" w:themeColor="text1"/>
                <w:szCs w:val="20"/>
                <w:lang w:eastAsia="en-GB"/>
              </w:rPr>
              <w:t xml:space="preserve"> range)</w:t>
            </w:r>
            <w:r w:rsidRPr="00FE19F2">
              <w:rPr>
                <w:color w:val="000000" w:themeColor="text1"/>
                <w:szCs w:val="20"/>
                <w:lang w:eastAsia="en-GB"/>
              </w:rPr>
              <w:t>.</w:t>
            </w:r>
          </w:p>
          <w:p w14:paraId="30EE729F" w14:textId="77777777" w:rsidR="006D5508" w:rsidRPr="00FE19F2" w:rsidRDefault="006D5508" w:rsidP="00A1125C">
            <w:pPr>
              <w:pStyle w:val="Header"/>
              <w:rPr>
                <w:rFonts w:ascii="Calibri" w:hAnsi="Calibri"/>
                <w:color w:val="000000" w:themeColor="text1"/>
                <w:szCs w:val="20"/>
                <w:lang w:val="en-AU" w:eastAsia="en-GB"/>
              </w:rPr>
            </w:pPr>
          </w:p>
          <w:p w14:paraId="1E2D2ED2" w14:textId="42EC4B02" w:rsidR="00E93FAA" w:rsidRPr="007047F9" w:rsidRDefault="006D5508" w:rsidP="00A1125C">
            <w:pPr>
              <w:pStyle w:val="Header"/>
              <w:rPr>
                <w:color w:val="000000" w:themeColor="text1"/>
                <w:szCs w:val="20"/>
                <w:lang w:val="en-AU"/>
              </w:rPr>
            </w:pPr>
            <w:r w:rsidRPr="007047F9">
              <w:rPr>
                <w:color w:val="000000" w:themeColor="text1"/>
                <w:szCs w:val="20"/>
                <w:lang w:val="en-AU"/>
              </w:rPr>
              <w:t>Net benefit predicted</w:t>
            </w:r>
            <w:r w:rsidR="00FE28E8" w:rsidRPr="007047F9">
              <w:rPr>
                <w:color w:val="000000" w:themeColor="text1"/>
                <w:sz w:val="24"/>
                <w:szCs w:val="20"/>
                <w:lang w:eastAsia="en-GB"/>
              </w:rPr>
              <w:t>.</w:t>
            </w:r>
          </w:p>
          <w:p w14:paraId="2B6034E4" w14:textId="2E336032" w:rsidR="00E93FAA" w:rsidRPr="00301E15" w:rsidRDefault="006D5508" w:rsidP="00664257">
            <w:pPr>
              <w:pStyle w:val="Header"/>
              <w:rPr>
                <w:color w:val="000000" w:themeColor="text1"/>
                <w:sz w:val="20"/>
                <w:szCs w:val="20"/>
                <w:lang w:val="en-AU"/>
              </w:rPr>
            </w:pPr>
            <w:r w:rsidRPr="00E93FAA">
              <w:rPr>
                <w:color w:val="000000" w:themeColor="text1"/>
                <w:sz w:val="20"/>
                <w:szCs w:val="20"/>
                <w:lang w:val="en-AU"/>
              </w:rPr>
              <w:t xml:space="preserve">[Assumed efficacy of 40%. This higher efficacy value is </w:t>
            </w:r>
            <w:r w:rsidR="00664257">
              <w:rPr>
                <w:color w:val="000000" w:themeColor="text1"/>
                <w:sz w:val="20"/>
                <w:szCs w:val="20"/>
                <w:lang w:val="en-AU"/>
              </w:rPr>
              <w:t>because</w:t>
            </w:r>
            <w:r w:rsidRPr="00E93FAA">
              <w:rPr>
                <w:color w:val="000000" w:themeColor="text1"/>
                <w:sz w:val="20"/>
                <w:szCs w:val="20"/>
                <w:lang w:val="en-AU"/>
              </w:rPr>
              <w:t xml:space="preserve"> of the </w:t>
            </w:r>
            <w:r w:rsidR="00444100">
              <w:rPr>
                <w:color w:val="000000" w:themeColor="text1"/>
                <w:sz w:val="20"/>
                <w:szCs w:val="20"/>
                <w:lang w:val="en-AU"/>
              </w:rPr>
              <w:t>highe</w:t>
            </w:r>
            <w:r w:rsidRPr="00E93FAA">
              <w:rPr>
                <w:color w:val="000000" w:themeColor="text1"/>
                <w:sz w:val="20"/>
                <w:szCs w:val="20"/>
                <w:lang w:val="en-AU"/>
              </w:rPr>
              <w:t>r number of leaf</w:t>
            </w:r>
            <w:r w:rsidR="00444100">
              <w:rPr>
                <w:color w:val="000000" w:themeColor="text1"/>
                <w:sz w:val="20"/>
                <w:szCs w:val="20"/>
                <w:lang w:val="en-AU"/>
              </w:rPr>
              <w:t>y vegetable businesses not yet</w:t>
            </w:r>
            <w:r w:rsidRPr="00E93FAA">
              <w:rPr>
                <w:color w:val="000000" w:themeColor="text1"/>
                <w:sz w:val="20"/>
                <w:szCs w:val="20"/>
                <w:lang w:val="en-AU"/>
              </w:rPr>
              <w:t xml:space="preserve"> on a FSS. </w:t>
            </w:r>
            <w:r w:rsidR="00E967C1" w:rsidRPr="00E93FAA">
              <w:rPr>
                <w:color w:val="000000" w:themeColor="text1"/>
                <w:sz w:val="20"/>
                <w:szCs w:val="20"/>
                <w:lang w:val="en-AU"/>
              </w:rPr>
              <w:t xml:space="preserve">As a result, regulation in a </w:t>
            </w:r>
            <w:r w:rsidR="00FB4E3B">
              <w:rPr>
                <w:color w:val="000000" w:themeColor="text1"/>
                <w:sz w:val="20"/>
                <w:szCs w:val="20"/>
                <w:lang w:val="en-AU"/>
              </w:rPr>
              <w:t>less regulated</w:t>
            </w:r>
            <w:r w:rsidR="00E967C1" w:rsidRPr="00E93FAA">
              <w:rPr>
                <w:color w:val="000000" w:themeColor="text1"/>
                <w:sz w:val="20"/>
                <w:szCs w:val="20"/>
                <w:lang w:val="en-AU"/>
              </w:rPr>
              <w:t xml:space="preserve"> sector</w:t>
            </w:r>
            <w:r w:rsidRPr="00E93FAA">
              <w:rPr>
                <w:color w:val="000000" w:themeColor="text1"/>
                <w:sz w:val="20"/>
                <w:szCs w:val="20"/>
                <w:lang w:val="en-AU"/>
              </w:rPr>
              <w:t xml:space="preserve"> is likely to have a larger effect in reducing foodborne illness.]</w:t>
            </w:r>
          </w:p>
        </w:tc>
      </w:tr>
      <w:tr w:rsidR="006D5508" w14:paraId="181749C2" w14:textId="77777777" w:rsidTr="00737007">
        <w:tc>
          <w:tcPr>
            <w:tcW w:w="8926" w:type="dxa"/>
            <w:gridSpan w:val="2"/>
            <w:tcBorders>
              <w:top w:val="single" w:sz="4" w:space="0" w:color="000000"/>
              <w:left w:val="nil"/>
              <w:bottom w:val="nil"/>
              <w:right w:val="nil"/>
            </w:tcBorders>
            <w:hideMark/>
          </w:tcPr>
          <w:p w14:paraId="548F4A03" w14:textId="2060E54C" w:rsidR="006D5508" w:rsidRDefault="00004D72" w:rsidP="00A1125C">
            <w:pPr>
              <w:pStyle w:val="Header"/>
              <w:rPr>
                <w:rFonts w:ascii="Calibri" w:hAnsi="Calibri"/>
                <w:b/>
                <w:color w:val="000000" w:themeColor="text1"/>
                <w:sz w:val="20"/>
                <w:szCs w:val="20"/>
                <w:lang w:eastAsia="en-GB"/>
              </w:rPr>
            </w:pPr>
            <w:r>
              <w:rPr>
                <w:rFonts w:cs="Arial"/>
                <w:bCs/>
                <w:color w:val="000000"/>
                <w:sz w:val="20"/>
                <w:szCs w:val="20"/>
                <w:lang w:eastAsia="en-GB"/>
              </w:rPr>
              <w:t>Note</w:t>
            </w:r>
            <w:r w:rsidR="006D5508">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507543D5" w14:textId="77777777" w:rsidR="006D5508" w:rsidRPr="00B6395F" w:rsidRDefault="006D5508" w:rsidP="006D5508">
      <w:pPr>
        <w:rPr>
          <w:rFonts w:cstheme="minorBidi"/>
          <w:szCs w:val="22"/>
          <w:lang w:val="en-AU"/>
        </w:rPr>
      </w:pPr>
    </w:p>
    <w:p w14:paraId="45CA646C" w14:textId="59D5C8DE" w:rsidR="00094D9D" w:rsidRDefault="00E967C1" w:rsidP="006D5508">
      <w:r>
        <w:t>A significant impact could be expected for the est</w:t>
      </w:r>
      <w:r w:rsidR="004C5E13">
        <w:t>imated 5</w:t>
      </w:r>
      <w:r w:rsidR="00DD1998">
        <w:t>0</w:t>
      </w:r>
      <w:r w:rsidR="004C5E13">
        <w:t xml:space="preserve">% of businesses (approximately </w:t>
      </w:r>
      <w:r w:rsidR="00DD1998">
        <w:t>32</w:t>
      </w:r>
      <w:r w:rsidR="00334622">
        <w:t>0</w:t>
      </w:r>
      <w:r w:rsidR="004C5E13">
        <w:t xml:space="preserve"> businesses), </w:t>
      </w:r>
      <w:r>
        <w:t>which may not be working under a FSS and may be key contribu</w:t>
      </w:r>
      <w:r w:rsidR="00004D72">
        <w:t>tors to risk across the sector.</w:t>
      </w:r>
      <w:r w:rsidR="008C1427">
        <w:t xml:space="preserve"> Smaller leafy vegetables businesses not yet on a FSS may also experience highest costs of complying.</w:t>
      </w:r>
    </w:p>
    <w:p w14:paraId="04E2B4CA" w14:textId="77777777" w:rsidR="006D5508" w:rsidRPr="00BD7F4C" w:rsidRDefault="006D5508" w:rsidP="00004D72">
      <w:pPr>
        <w:pStyle w:val="Heading4"/>
        <w:rPr>
          <w:lang w:val="en-AU"/>
        </w:rPr>
      </w:pPr>
      <w:r w:rsidRPr="00BD7F4C">
        <w:rPr>
          <w:lang w:val="en-AU"/>
        </w:rPr>
        <w:t>Melons</w:t>
      </w:r>
    </w:p>
    <w:p w14:paraId="083E4B67" w14:textId="07407A02" w:rsidR="006D5508" w:rsidRPr="00544A47" w:rsidRDefault="006D5508" w:rsidP="006D5508">
      <w:pPr>
        <w:rPr>
          <w:color w:val="000000" w:themeColor="text1"/>
          <w:lang w:bidi="ar-SA"/>
        </w:rPr>
      </w:pPr>
      <w:r w:rsidRPr="00544A47">
        <w:rPr>
          <w:color w:val="000000" w:themeColor="text1"/>
          <w:lang w:bidi="ar-SA"/>
        </w:rPr>
        <w:t xml:space="preserve">The CBA determined </w:t>
      </w:r>
      <w:r w:rsidR="00D90B3A">
        <w:rPr>
          <w:color w:val="000000" w:themeColor="text1"/>
          <w:lang w:bidi="ar-SA"/>
        </w:rPr>
        <w:t>a central estimate of $0.1</w:t>
      </w:r>
      <w:r w:rsidR="00341C87">
        <w:rPr>
          <w:color w:val="000000" w:themeColor="text1"/>
          <w:lang w:bidi="ar-SA"/>
        </w:rPr>
        <w:t xml:space="preserve"> costs to every $1 benefit if option 3 was implemented, with a range of </w:t>
      </w:r>
      <w:r w:rsidRPr="00544A47">
        <w:rPr>
          <w:color w:val="000000" w:themeColor="text1"/>
          <w:lang w:bidi="ar-SA"/>
        </w:rPr>
        <w:t>$0.</w:t>
      </w:r>
      <w:r w:rsidR="0093545B">
        <w:rPr>
          <w:color w:val="000000" w:themeColor="text1"/>
          <w:lang w:bidi="ar-SA"/>
        </w:rPr>
        <w:t>1 to $0.2</w:t>
      </w:r>
      <w:r w:rsidRPr="00544A47">
        <w:rPr>
          <w:color w:val="000000" w:themeColor="text1"/>
          <w:lang w:bidi="ar-SA"/>
        </w:rPr>
        <w:t xml:space="preserve"> to achiev</w:t>
      </w:r>
      <w:r w:rsidR="004D50E0">
        <w:rPr>
          <w:color w:val="000000" w:themeColor="text1"/>
          <w:lang w:bidi="ar-SA"/>
        </w:rPr>
        <w:t xml:space="preserve">e every $1 benefit </w:t>
      </w:r>
      <w:r w:rsidR="00F71A1C">
        <w:rPr>
          <w:color w:val="000000" w:themeColor="text1"/>
          <w:lang w:bidi="ar-SA"/>
        </w:rPr>
        <w:t>(Tab</w:t>
      </w:r>
      <w:r w:rsidR="008C1427">
        <w:rPr>
          <w:color w:val="000000" w:themeColor="text1"/>
          <w:lang w:bidi="ar-SA"/>
        </w:rPr>
        <w:t>le 10</w:t>
      </w:r>
      <w:r w:rsidR="0017168B">
        <w:rPr>
          <w:color w:val="000000" w:themeColor="text1"/>
          <w:lang w:bidi="ar-SA"/>
        </w:rPr>
        <w:t>)</w:t>
      </w:r>
      <w:r w:rsidRPr="00544A47">
        <w:rPr>
          <w:color w:val="000000" w:themeColor="text1"/>
          <w:lang w:bidi="ar-SA"/>
        </w:rPr>
        <w:t>.</w:t>
      </w:r>
      <w:r w:rsidR="00DA59DC">
        <w:rPr>
          <w:color w:val="000000" w:themeColor="text1"/>
          <w:lang w:bidi="ar-SA"/>
        </w:rPr>
        <w:t xml:space="preserve"> This takes account of the lower costs of illness under FSANZ’s </w:t>
      </w:r>
      <w:r w:rsidR="007F744B">
        <w:rPr>
          <w:color w:val="000000" w:themeColor="text1"/>
          <w:lang w:bidi="ar-SA"/>
        </w:rPr>
        <w:t>improved</w:t>
      </w:r>
      <w:r w:rsidR="00DA59DC">
        <w:rPr>
          <w:color w:val="000000" w:themeColor="text1"/>
          <w:lang w:bidi="ar-SA"/>
        </w:rPr>
        <w:t xml:space="preserve"> cost model.</w:t>
      </w:r>
      <w:r w:rsidRPr="00544A47">
        <w:rPr>
          <w:color w:val="000000" w:themeColor="text1"/>
          <w:lang w:bidi="ar-SA"/>
        </w:rPr>
        <w:t xml:space="preserve"> At a 20% efficacy, the base estima</w:t>
      </w:r>
      <w:r w:rsidR="00BE0399">
        <w:rPr>
          <w:color w:val="000000" w:themeColor="text1"/>
          <w:lang w:bidi="ar-SA"/>
        </w:rPr>
        <w:t>te</w:t>
      </w:r>
      <w:r w:rsidR="00CC2DE7">
        <w:rPr>
          <w:color w:val="000000" w:themeColor="text1"/>
          <w:lang w:bidi="ar-SA"/>
        </w:rPr>
        <w:t xml:space="preserve"> of illness cost savings is $1.4</w:t>
      </w:r>
      <w:r>
        <w:rPr>
          <w:color w:val="000000" w:themeColor="text1"/>
          <w:lang w:bidi="ar-SA"/>
        </w:rPr>
        <w:t xml:space="preserve"> </w:t>
      </w:r>
      <w:r w:rsidRPr="00544A47">
        <w:rPr>
          <w:color w:val="000000" w:themeColor="text1"/>
          <w:lang w:bidi="ar-SA"/>
        </w:rPr>
        <w:t>m</w:t>
      </w:r>
      <w:r>
        <w:rPr>
          <w:color w:val="000000" w:themeColor="text1"/>
          <w:lang w:bidi="ar-SA"/>
        </w:rPr>
        <w:t>illion</w:t>
      </w:r>
      <w:r w:rsidR="00BE0399">
        <w:rPr>
          <w:color w:val="000000" w:themeColor="text1"/>
          <w:lang w:bidi="ar-SA"/>
        </w:rPr>
        <w:t xml:space="preserve"> a year</w:t>
      </w:r>
      <w:r w:rsidRPr="00544A47">
        <w:rPr>
          <w:color w:val="000000" w:themeColor="text1"/>
          <w:lang w:bidi="ar-SA"/>
        </w:rPr>
        <w:t>.</w:t>
      </w:r>
    </w:p>
    <w:p w14:paraId="58DF73BA" w14:textId="77777777" w:rsidR="006D5508" w:rsidRDefault="006D5508" w:rsidP="006D5508">
      <w:pPr>
        <w:rPr>
          <w:lang w:val="en-AU"/>
        </w:rPr>
      </w:pPr>
    </w:p>
    <w:p w14:paraId="0F678116" w14:textId="4D3DE587" w:rsidR="006D5508" w:rsidRPr="001C4A9A" w:rsidRDefault="00A2501B" w:rsidP="006D5508">
      <w:pPr>
        <w:rPr>
          <w:b/>
          <w:lang w:val="en-AU"/>
        </w:rPr>
      </w:pPr>
      <w:r w:rsidRPr="00004D72">
        <w:rPr>
          <w:b/>
          <w:lang w:val="en-AU"/>
        </w:rPr>
        <w:t xml:space="preserve">Table </w:t>
      </w:r>
      <w:r w:rsidR="008C1427">
        <w:rPr>
          <w:b/>
          <w:lang w:val="en-AU"/>
        </w:rPr>
        <w:t>10</w:t>
      </w:r>
      <w:r w:rsidR="00DF44D1">
        <w:rPr>
          <w:b/>
          <w:lang w:val="en-AU"/>
        </w:rPr>
        <w:t>.</w:t>
      </w:r>
      <w:r w:rsidR="006D5508" w:rsidRPr="001C4A9A">
        <w:rPr>
          <w:b/>
          <w:lang w:val="en-AU"/>
        </w:rPr>
        <w:t xml:space="preserve"> Cost-benefit ratio for melons</w:t>
      </w:r>
    </w:p>
    <w:tbl>
      <w:tblPr>
        <w:tblStyle w:val="TableGrid"/>
        <w:tblW w:w="8926" w:type="dxa"/>
        <w:tblLook w:val="04A0" w:firstRow="1" w:lastRow="0" w:firstColumn="1" w:lastColumn="0" w:noHBand="0" w:noVBand="1"/>
      </w:tblPr>
      <w:tblGrid>
        <w:gridCol w:w="4390"/>
        <w:gridCol w:w="4536"/>
      </w:tblGrid>
      <w:tr w:rsidR="006D5508" w14:paraId="2DC5F5BE" w14:textId="77777777" w:rsidTr="006C3CFA">
        <w:tc>
          <w:tcPr>
            <w:tcW w:w="4390" w:type="dxa"/>
            <w:shd w:val="clear" w:color="auto" w:fill="8DB3E2" w:themeFill="text2" w:themeFillTint="66"/>
          </w:tcPr>
          <w:p w14:paraId="10CFECA8" w14:textId="77777777" w:rsidR="006D5508" w:rsidRDefault="006D5508" w:rsidP="00A1125C">
            <w:pPr>
              <w:pStyle w:val="Header"/>
              <w:rPr>
                <w:b/>
                <w:color w:val="000000" w:themeColor="text1"/>
              </w:rPr>
            </w:pPr>
            <w:r>
              <w:rPr>
                <w:b/>
                <w:color w:val="000000" w:themeColor="text1"/>
              </w:rPr>
              <w:t>Commodity</w:t>
            </w:r>
          </w:p>
        </w:tc>
        <w:tc>
          <w:tcPr>
            <w:tcW w:w="4536" w:type="dxa"/>
            <w:shd w:val="clear" w:color="auto" w:fill="8DB3E2" w:themeFill="text2" w:themeFillTint="66"/>
          </w:tcPr>
          <w:p w14:paraId="13B69D56" w14:textId="7EC7B476"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5FBE9779" w14:textId="77777777" w:rsidR="006D5508" w:rsidRDefault="006D5508" w:rsidP="00A1125C">
            <w:pPr>
              <w:pStyle w:val="Header"/>
              <w:rPr>
                <w:b/>
                <w:color w:val="000000" w:themeColor="text1"/>
              </w:rPr>
            </w:pPr>
            <w:r>
              <w:rPr>
                <w:b/>
                <w:color w:val="000000" w:themeColor="text1"/>
              </w:rPr>
              <w:t>Central efficacy range</w:t>
            </w:r>
          </w:p>
        </w:tc>
      </w:tr>
      <w:tr w:rsidR="006D5508" w14:paraId="03B76034" w14:textId="77777777" w:rsidTr="00737007">
        <w:tc>
          <w:tcPr>
            <w:tcW w:w="4390" w:type="dxa"/>
            <w:tcBorders>
              <w:bottom w:val="single" w:sz="4" w:space="0" w:color="000000"/>
            </w:tcBorders>
          </w:tcPr>
          <w:p w14:paraId="1E714C5F" w14:textId="318A428E" w:rsidR="006D5508" w:rsidRDefault="006D5508" w:rsidP="00A1125C">
            <w:pPr>
              <w:pStyle w:val="Header"/>
              <w:rPr>
                <w:color w:val="000000" w:themeColor="text1"/>
              </w:rPr>
            </w:pPr>
            <w:r w:rsidRPr="004C1A6E">
              <w:rPr>
                <w:color w:val="000000" w:themeColor="text1"/>
              </w:rPr>
              <w:t>Melons</w:t>
            </w:r>
          </w:p>
          <w:p w14:paraId="20281176" w14:textId="77777777" w:rsidR="004C1A6E" w:rsidRPr="004C1A6E" w:rsidRDefault="004C1A6E" w:rsidP="00A1125C">
            <w:pPr>
              <w:pStyle w:val="Header"/>
              <w:rPr>
                <w:color w:val="000000" w:themeColor="text1"/>
              </w:rPr>
            </w:pPr>
          </w:p>
          <w:p w14:paraId="371B3154" w14:textId="07E133B6" w:rsidR="006D5508" w:rsidRPr="00301E15" w:rsidRDefault="006D5508" w:rsidP="00A1125C">
            <w:pPr>
              <w:pStyle w:val="Header"/>
              <w:rPr>
                <w:color w:val="000000" w:themeColor="text1"/>
                <w:sz w:val="20"/>
                <w:szCs w:val="20"/>
                <w:lang w:val="en-AU"/>
              </w:rPr>
            </w:pPr>
            <w:r w:rsidRPr="008D3CA9">
              <w:rPr>
                <w:color w:val="000000" w:themeColor="text1"/>
                <w:sz w:val="20"/>
                <w:szCs w:val="20"/>
                <w:lang w:val="en-AU"/>
              </w:rPr>
              <w:t>Harvest and pac</w:t>
            </w:r>
            <w:r>
              <w:rPr>
                <w:color w:val="000000" w:themeColor="text1"/>
                <w:sz w:val="20"/>
                <w:szCs w:val="20"/>
                <w:lang w:val="en-AU"/>
              </w:rPr>
              <w:t xml:space="preserve">king season assumed as 60 days </w:t>
            </w:r>
            <w:r w:rsidR="00F008A5">
              <w:rPr>
                <w:color w:val="000000" w:themeColor="text1"/>
                <w:sz w:val="20"/>
                <w:szCs w:val="20"/>
                <w:lang w:val="en-AU"/>
              </w:rPr>
              <w:t>per year.</w:t>
            </w:r>
          </w:p>
        </w:tc>
        <w:tc>
          <w:tcPr>
            <w:tcW w:w="4536" w:type="dxa"/>
            <w:tcBorders>
              <w:bottom w:val="single" w:sz="4" w:space="0" w:color="000000"/>
            </w:tcBorders>
          </w:tcPr>
          <w:p w14:paraId="294032B7" w14:textId="1F01345F" w:rsidR="006D5508" w:rsidRPr="007B5AE3" w:rsidRDefault="0093545B" w:rsidP="00F008A5">
            <w:pPr>
              <w:pStyle w:val="Header"/>
              <w:rPr>
                <w:color w:val="000000" w:themeColor="text1"/>
              </w:rPr>
            </w:pPr>
            <w:r>
              <w:rPr>
                <w:color w:val="000000" w:themeColor="text1"/>
              </w:rPr>
              <w:t>$0.</w:t>
            </w:r>
            <w:r w:rsidR="00312CF5">
              <w:rPr>
                <w:color w:val="000000" w:themeColor="text1"/>
              </w:rPr>
              <w:t>1</w:t>
            </w:r>
          </w:p>
          <w:p w14:paraId="1EE67019" w14:textId="3C665A39" w:rsidR="006D5508" w:rsidRDefault="00F008A5" w:rsidP="00A1125C">
            <w:pPr>
              <w:pStyle w:val="Header"/>
              <w:rPr>
                <w:color w:val="000000" w:themeColor="text1"/>
                <w:sz w:val="20"/>
                <w:szCs w:val="20"/>
                <w:lang w:val="en-AU"/>
              </w:rPr>
            </w:pPr>
            <w:r>
              <w:rPr>
                <w:color w:val="000000" w:themeColor="text1"/>
                <w:sz w:val="20"/>
                <w:szCs w:val="20"/>
                <w:lang w:val="en-AU"/>
              </w:rPr>
              <w:t>c</w:t>
            </w:r>
            <w:r w:rsidR="006D5508" w:rsidRPr="002B61B5">
              <w:rPr>
                <w:color w:val="000000" w:themeColor="text1"/>
                <w:sz w:val="20"/>
                <w:szCs w:val="20"/>
                <w:lang w:val="en-AU"/>
              </w:rPr>
              <w:t>osts for every $1 benefit</w:t>
            </w:r>
            <w:r w:rsidR="00341C87">
              <w:rPr>
                <w:color w:val="000000" w:themeColor="text1"/>
                <w:sz w:val="20"/>
                <w:szCs w:val="20"/>
                <w:lang w:val="en-AU"/>
              </w:rPr>
              <w:t xml:space="preserve"> (</w:t>
            </w:r>
            <w:r w:rsidR="0071460F">
              <w:rPr>
                <w:color w:val="000000" w:themeColor="text1"/>
                <w:sz w:val="20"/>
                <w:szCs w:val="20"/>
                <w:lang w:val="en-AU"/>
              </w:rPr>
              <w:t>&lt;</w:t>
            </w:r>
            <w:r w:rsidR="00341C87">
              <w:rPr>
                <w:color w:val="000000" w:themeColor="text1"/>
                <w:sz w:val="20"/>
                <w:szCs w:val="20"/>
                <w:lang w:val="en-AU"/>
              </w:rPr>
              <w:t>$0.1 to $0.2 range)</w:t>
            </w:r>
            <w:r>
              <w:rPr>
                <w:color w:val="000000" w:themeColor="text1"/>
                <w:sz w:val="20"/>
                <w:szCs w:val="20"/>
                <w:lang w:val="en-AU"/>
              </w:rPr>
              <w:t>.</w:t>
            </w:r>
          </w:p>
          <w:p w14:paraId="09672BDA" w14:textId="77777777" w:rsidR="006D5508" w:rsidRDefault="006D5508" w:rsidP="00A1125C">
            <w:pPr>
              <w:pStyle w:val="Header"/>
              <w:rPr>
                <w:color w:val="000000" w:themeColor="text1"/>
                <w:sz w:val="20"/>
                <w:szCs w:val="20"/>
                <w:lang w:val="en-AU"/>
              </w:rPr>
            </w:pPr>
          </w:p>
          <w:p w14:paraId="61047989" w14:textId="0CB39742" w:rsidR="006D5508" w:rsidRPr="00301E15" w:rsidRDefault="006D5508" w:rsidP="00A1125C">
            <w:pPr>
              <w:pStyle w:val="Header"/>
              <w:rPr>
                <w:color w:val="000000" w:themeColor="text1"/>
                <w:sz w:val="20"/>
                <w:szCs w:val="20"/>
                <w:lang w:val="en-AU"/>
              </w:rPr>
            </w:pPr>
            <w:r w:rsidRPr="007047F9">
              <w:rPr>
                <w:color w:val="000000" w:themeColor="text1"/>
                <w:szCs w:val="20"/>
                <w:lang w:val="en-AU"/>
              </w:rPr>
              <w:t xml:space="preserve">Net benefit </w:t>
            </w:r>
            <w:r w:rsidR="00FE28E8" w:rsidRPr="007047F9">
              <w:rPr>
                <w:color w:val="000000" w:themeColor="text1"/>
                <w:szCs w:val="20"/>
                <w:lang w:val="en-AU"/>
              </w:rPr>
              <w:t>predicted.</w:t>
            </w:r>
            <w:r w:rsidRPr="007047F9">
              <w:rPr>
                <w:color w:val="000000" w:themeColor="text1"/>
                <w:szCs w:val="20"/>
                <w:lang w:val="en-AU"/>
              </w:rPr>
              <w:t>[</w:t>
            </w:r>
            <w:r>
              <w:rPr>
                <w:color w:val="000000" w:themeColor="text1"/>
                <w:sz w:val="20"/>
                <w:szCs w:val="20"/>
                <w:lang w:val="en-AU"/>
              </w:rPr>
              <w:t>Assumed efficacy of 20%]</w:t>
            </w:r>
            <w:r w:rsidR="00F008A5">
              <w:rPr>
                <w:color w:val="000000" w:themeColor="text1"/>
                <w:sz w:val="20"/>
                <w:szCs w:val="20"/>
                <w:lang w:val="en-AU"/>
              </w:rPr>
              <w:t>.</w:t>
            </w:r>
          </w:p>
        </w:tc>
      </w:tr>
      <w:tr w:rsidR="006D5508" w14:paraId="6951AB5C" w14:textId="77777777" w:rsidTr="00737007">
        <w:tc>
          <w:tcPr>
            <w:tcW w:w="8926" w:type="dxa"/>
            <w:gridSpan w:val="2"/>
            <w:tcBorders>
              <w:left w:val="nil"/>
              <w:bottom w:val="nil"/>
              <w:right w:val="nil"/>
            </w:tcBorders>
          </w:tcPr>
          <w:p w14:paraId="2CF25FCB" w14:textId="67E61578" w:rsidR="006D5508" w:rsidRDefault="00004D72" w:rsidP="00A1125C">
            <w:pPr>
              <w:pStyle w:val="Header"/>
              <w:rPr>
                <w:b/>
                <w:color w:val="000000" w:themeColor="text1"/>
              </w:rPr>
            </w:pPr>
            <w:r>
              <w:rPr>
                <w:rFonts w:cs="Arial"/>
                <w:bCs/>
                <w:color w:val="000000"/>
                <w:sz w:val="20"/>
                <w:szCs w:val="20"/>
                <w:lang w:eastAsia="en-GB"/>
              </w:rPr>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0BBB631E" w14:textId="77777777" w:rsidR="00D83A00" w:rsidRDefault="00D83A00" w:rsidP="006D5508">
      <w:pPr>
        <w:rPr>
          <w:color w:val="000000" w:themeColor="text1"/>
          <w:lang w:bidi="ar-SA"/>
        </w:rPr>
      </w:pPr>
    </w:p>
    <w:p w14:paraId="7EC67749" w14:textId="03A7FD21" w:rsidR="006D5508" w:rsidRDefault="006D5508" w:rsidP="006D5508">
      <w:pPr>
        <w:rPr>
          <w:color w:val="000000" w:themeColor="text1"/>
          <w:lang w:bidi="ar-SA"/>
        </w:rPr>
      </w:pPr>
      <w:r w:rsidRPr="007B5AE3">
        <w:rPr>
          <w:color w:val="000000" w:themeColor="text1"/>
          <w:lang w:bidi="ar-SA"/>
        </w:rPr>
        <w:t xml:space="preserve">The </w:t>
      </w:r>
      <w:r>
        <w:rPr>
          <w:color w:val="000000" w:themeColor="text1"/>
          <w:lang w:bidi="ar-SA"/>
        </w:rPr>
        <w:t xml:space="preserve">estimated </w:t>
      </w:r>
      <w:r w:rsidRPr="007B5AE3">
        <w:rPr>
          <w:color w:val="000000" w:themeColor="text1"/>
          <w:lang w:bidi="ar-SA"/>
        </w:rPr>
        <w:t>net benefit over a</w:t>
      </w:r>
      <w:r w:rsidR="00312CF5">
        <w:rPr>
          <w:color w:val="000000" w:themeColor="text1"/>
          <w:lang w:bidi="ar-SA"/>
        </w:rPr>
        <w:t xml:space="preserve"> ten-year period ranges from $7</w:t>
      </w:r>
      <w:r w:rsidRPr="007B5AE3">
        <w:rPr>
          <w:color w:val="000000" w:themeColor="text1"/>
          <w:lang w:bidi="ar-SA"/>
        </w:rPr>
        <w:t>.</w:t>
      </w:r>
      <w:r w:rsidR="00312CF5">
        <w:rPr>
          <w:color w:val="000000" w:themeColor="text1"/>
          <w:lang w:bidi="ar-SA"/>
        </w:rPr>
        <w:t>9</w:t>
      </w:r>
      <w:r>
        <w:rPr>
          <w:color w:val="000000" w:themeColor="text1"/>
          <w:lang w:bidi="ar-SA"/>
        </w:rPr>
        <w:t xml:space="preserve"> </w:t>
      </w:r>
      <w:r w:rsidRPr="007B5AE3">
        <w:rPr>
          <w:color w:val="000000" w:themeColor="text1"/>
          <w:lang w:bidi="ar-SA"/>
        </w:rPr>
        <w:t>m</w:t>
      </w:r>
      <w:r>
        <w:rPr>
          <w:color w:val="000000" w:themeColor="text1"/>
          <w:lang w:bidi="ar-SA"/>
        </w:rPr>
        <w:t>illion</w:t>
      </w:r>
      <w:r w:rsidR="00312CF5">
        <w:rPr>
          <w:color w:val="000000" w:themeColor="text1"/>
          <w:lang w:bidi="ar-SA"/>
        </w:rPr>
        <w:t xml:space="preserve"> to $</w:t>
      </w:r>
      <w:r w:rsidR="0093545B">
        <w:rPr>
          <w:color w:val="000000" w:themeColor="text1"/>
          <w:lang w:bidi="ar-SA"/>
        </w:rPr>
        <w:t>9</w:t>
      </w:r>
      <w:r w:rsidR="00312CF5">
        <w:rPr>
          <w:color w:val="000000" w:themeColor="text1"/>
          <w:lang w:bidi="ar-SA"/>
        </w:rPr>
        <w:t>.3</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(20% efficacy at a 7% per annum discount rate). The central </w:t>
      </w:r>
      <w:r w:rsidR="00E363A0">
        <w:rPr>
          <w:color w:val="000000" w:themeColor="text1"/>
          <w:lang w:bidi="ar-SA"/>
        </w:rPr>
        <w:t>net benefit</w:t>
      </w:r>
      <w:r>
        <w:rPr>
          <w:color w:val="000000" w:themeColor="text1"/>
          <w:lang w:bidi="ar-SA"/>
        </w:rPr>
        <w:t xml:space="preserve"> </w:t>
      </w:r>
      <w:r w:rsidRPr="007B5AE3">
        <w:rPr>
          <w:color w:val="000000" w:themeColor="text1"/>
          <w:lang w:bidi="ar-SA"/>
        </w:rPr>
        <w:t xml:space="preserve">estimate is </w:t>
      </w:r>
      <w:r>
        <w:rPr>
          <w:color w:val="000000" w:themeColor="text1"/>
          <w:lang w:bidi="ar-SA"/>
        </w:rPr>
        <w:t>$</w:t>
      </w:r>
      <w:r w:rsidR="00312CF5">
        <w:rPr>
          <w:color w:val="000000" w:themeColor="text1"/>
          <w:lang w:val="en-AU"/>
        </w:rPr>
        <w:t>8.6</w:t>
      </w:r>
      <w:r>
        <w:rPr>
          <w:color w:val="000000" w:themeColor="text1"/>
          <w:lang w:val="en-AU"/>
        </w:rPr>
        <w:t> million</w:t>
      </w:r>
      <w:r w:rsidRPr="007B5AE3">
        <w:rPr>
          <w:color w:val="000000" w:themeColor="text1"/>
          <w:lang w:bidi="ar-SA"/>
        </w:rPr>
        <w:t xml:space="preserve">. </w:t>
      </w:r>
    </w:p>
    <w:p w14:paraId="0F331236" w14:textId="573F5442" w:rsidR="0093545B" w:rsidRDefault="0093545B" w:rsidP="00E967C1">
      <w:pPr>
        <w:pStyle w:val="CommentText"/>
      </w:pPr>
    </w:p>
    <w:p w14:paraId="24DF3A1C" w14:textId="1465649F" w:rsidR="006D5508" w:rsidRDefault="00E967C1" w:rsidP="007A0840">
      <w:pPr>
        <w:rPr>
          <w:color w:val="000000" w:themeColor="text1"/>
        </w:rPr>
      </w:pPr>
      <w:r w:rsidRPr="00494070">
        <w:rPr>
          <w:color w:val="000000" w:themeColor="text1"/>
        </w:rPr>
        <w:t xml:space="preserve">FSANZ </w:t>
      </w:r>
      <w:r w:rsidR="00F04746">
        <w:rPr>
          <w:color w:val="000000" w:themeColor="text1"/>
        </w:rPr>
        <w:t>acknowledges</w:t>
      </w:r>
      <w:r w:rsidRPr="00494070">
        <w:rPr>
          <w:color w:val="000000" w:themeColor="text1"/>
        </w:rPr>
        <w:t xml:space="preserve"> the</w:t>
      </w:r>
      <w:r w:rsidR="00094D9D">
        <w:rPr>
          <w:color w:val="000000" w:themeColor="text1"/>
        </w:rPr>
        <w:t xml:space="preserve"> melons industry has made significant efforts to improve food </w:t>
      </w:r>
      <w:r w:rsidR="00094D9D">
        <w:rPr>
          <w:color w:val="000000" w:themeColor="text1"/>
        </w:rPr>
        <w:lastRenderedPageBreak/>
        <w:t>safety since 2018 and the</w:t>
      </w:r>
      <w:r w:rsidRPr="00494070">
        <w:rPr>
          <w:color w:val="000000" w:themeColor="text1"/>
        </w:rPr>
        <w:t xml:space="preserve"> majority of melon growers already participate in a FSS</w:t>
      </w:r>
      <w:r w:rsidR="00004D72">
        <w:rPr>
          <w:color w:val="000000" w:themeColor="text1"/>
        </w:rPr>
        <w:t>. We also recognise</w:t>
      </w:r>
      <w:r w:rsidRPr="00494070">
        <w:rPr>
          <w:color w:val="000000" w:themeColor="text1"/>
        </w:rPr>
        <w:t xml:space="preserve"> that</w:t>
      </w:r>
      <w:r>
        <w:rPr>
          <w:color w:val="000000" w:themeColor="text1"/>
        </w:rPr>
        <w:t>,</w:t>
      </w:r>
      <w:r w:rsidR="00FA54E0">
        <w:rPr>
          <w:color w:val="000000" w:themeColor="text1"/>
        </w:rPr>
        <w:t xml:space="preserve"> although FSS are not government-mandated</w:t>
      </w:r>
      <w:r>
        <w:rPr>
          <w:color w:val="000000" w:themeColor="text1"/>
        </w:rPr>
        <w:t>,</w:t>
      </w:r>
      <w:r w:rsidRPr="00494070">
        <w:rPr>
          <w:color w:val="000000" w:themeColor="text1"/>
        </w:rPr>
        <w:t xml:space="preserve"> they are </w:t>
      </w:r>
      <w:r>
        <w:rPr>
          <w:color w:val="000000" w:themeColor="text1"/>
        </w:rPr>
        <w:t>a requirement when</w:t>
      </w:r>
      <w:r w:rsidRPr="00494070">
        <w:rPr>
          <w:color w:val="000000" w:themeColor="text1"/>
        </w:rPr>
        <w:t xml:space="preserve"> supplying to major retailers.</w:t>
      </w:r>
      <w:r w:rsidR="00094D9D">
        <w:rPr>
          <w:color w:val="000000" w:themeColor="text1"/>
        </w:rPr>
        <w:t xml:space="preserve"> </w:t>
      </w:r>
    </w:p>
    <w:p w14:paraId="07BCD561" w14:textId="55351D21" w:rsidR="00FA54E0" w:rsidRDefault="00FA54E0" w:rsidP="007A0840">
      <w:pPr>
        <w:rPr>
          <w:color w:val="000000" w:themeColor="text1"/>
        </w:rPr>
      </w:pPr>
    </w:p>
    <w:p w14:paraId="7FFAE31A" w14:textId="6B31AC08" w:rsidR="0058381C" w:rsidRPr="00654596" w:rsidRDefault="00FA54E0" w:rsidP="007A0840">
      <w:pPr>
        <w:rPr>
          <w:color w:val="000000" w:themeColor="text1"/>
        </w:rPr>
      </w:pPr>
      <w:r>
        <w:rPr>
          <w:color w:val="000000" w:themeColor="text1"/>
          <w:lang w:bidi="ar-SA"/>
        </w:rPr>
        <w:t xml:space="preserve">Net benefits may be over-estimated here if recent measures by the melons industry in themselves reduce future </w:t>
      </w:r>
      <w:r w:rsidR="00CB26A6">
        <w:rPr>
          <w:color w:val="000000" w:themeColor="text1"/>
          <w:lang w:bidi="ar-SA"/>
        </w:rPr>
        <w:t>illness outbreaks and illness</w:t>
      </w:r>
      <w:r>
        <w:rPr>
          <w:color w:val="000000" w:themeColor="text1"/>
          <w:lang w:bidi="ar-SA"/>
        </w:rPr>
        <w:t xml:space="preserve"> costs from melons. </w:t>
      </w:r>
    </w:p>
    <w:p w14:paraId="27ADE907" w14:textId="41790ADB" w:rsidR="006D5508" w:rsidRDefault="006D5508" w:rsidP="00104CDC">
      <w:pPr>
        <w:pStyle w:val="Heading3"/>
      </w:pPr>
      <w:bookmarkStart w:id="466" w:name="_Toc85540182"/>
      <w:bookmarkStart w:id="467" w:name="_Toc85626187"/>
      <w:bookmarkStart w:id="468" w:name="_Toc85635320"/>
      <w:bookmarkStart w:id="469" w:name="_Toc97643874"/>
      <w:bookmarkStart w:id="470" w:name="_Toc97653259"/>
      <w:bookmarkStart w:id="471" w:name="_Toc97739411"/>
      <w:bookmarkStart w:id="472" w:name="_Toc97823828"/>
      <w:bookmarkStart w:id="473" w:name="_Toc97823992"/>
      <w:r>
        <w:t>Net benefit estimates over 10 years</w:t>
      </w:r>
      <w:bookmarkEnd w:id="466"/>
      <w:bookmarkEnd w:id="467"/>
      <w:bookmarkEnd w:id="468"/>
      <w:bookmarkEnd w:id="469"/>
      <w:bookmarkEnd w:id="470"/>
      <w:bookmarkEnd w:id="471"/>
      <w:bookmarkEnd w:id="472"/>
      <w:bookmarkEnd w:id="473"/>
    </w:p>
    <w:p w14:paraId="11BE8F40" w14:textId="664BBE53" w:rsidR="007A0840" w:rsidRDefault="007A0840" w:rsidP="007A0840">
      <w:pPr>
        <w:rPr>
          <w:color w:val="000000" w:themeColor="text1"/>
          <w:lang w:val="en-AU"/>
        </w:rPr>
      </w:pPr>
      <w:r w:rsidRPr="002B61B5">
        <w:rPr>
          <w:color w:val="000000" w:themeColor="text1"/>
          <w:lang w:val="en-AU"/>
        </w:rPr>
        <w:t>The expected net benefit</w:t>
      </w:r>
      <w:r>
        <w:rPr>
          <w:color w:val="000000" w:themeColor="text1"/>
          <w:lang w:val="en-AU"/>
        </w:rPr>
        <w:t>s</w:t>
      </w:r>
      <w:r w:rsidRPr="002B61B5">
        <w:rPr>
          <w:color w:val="000000" w:themeColor="text1"/>
          <w:lang w:val="en-AU"/>
        </w:rPr>
        <w:t xml:space="preserve"> over a ten</w:t>
      </w:r>
      <w:r w:rsidR="00D83A00">
        <w:rPr>
          <w:color w:val="000000" w:themeColor="text1"/>
          <w:lang w:val="en-AU"/>
        </w:rPr>
        <w:t>-</w:t>
      </w:r>
      <w:r w:rsidRPr="002B61B5">
        <w:rPr>
          <w:color w:val="000000" w:themeColor="text1"/>
          <w:lang w:val="en-AU"/>
        </w:rPr>
        <w:t>ye</w:t>
      </w:r>
      <w:r>
        <w:rPr>
          <w:color w:val="000000" w:themeColor="text1"/>
          <w:lang w:val="en-AU"/>
        </w:rPr>
        <w:t xml:space="preserve">ar period of implementing option 3 are provided in </w:t>
      </w:r>
      <w:r w:rsidRPr="002447A1">
        <w:rPr>
          <w:color w:val="000000" w:themeColor="text1"/>
          <w:lang w:val="en-AU"/>
        </w:rPr>
        <w:t>Table</w:t>
      </w:r>
      <w:r w:rsidR="00D37006" w:rsidRPr="002447A1">
        <w:rPr>
          <w:color w:val="000000" w:themeColor="text1"/>
          <w:lang w:val="en-AU"/>
        </w:rPr>
        <w:t xml:space="preserve"> </w:t>
      </w:r>
      <w:r w:rsidR="007F6F36">
        <w:rPr>
          <w:color w:val="000000" w:themeColor="text1"/>
          <w:lang w:val="en-AU"/>
        </w:rPr>
        <w:t>11</w:t>
      </w:r>
      <w:r w:rsidRPr="002447A1">
        <w:rPr>
          <w:color w:val="000000" w:themeColor="text1"/>
          <w:lang w:val="en-AU"/>
        </w:rPr>
        <w:t>.</w:t>
      </w:r>
      <w:r w:rsidRPr="00115224">
        <w:rPr>
          <w:color w:val="000000" w:themeColor="text1"/>
          <w:lang w:val="en-AU"/>
        </w:rPr>
        <w:t xml:space="preserve"> Details of these calculations and the underlying assumptions are provided in SD3.</w:t>
      </w:r>
    </w:p>
    <w:p w14:paraId="568A52C8" w14:textId="77777777" w:rsidR="007A0840" w:rsidRDefault="007A0840" w:rsidP="007A0840">
      <w:pPr>
        <w:rPr>
          <w:color w:val="000000" w:themeColor="text1"/>
          <w:lang w:val="en-AU"/>
        </w:rPr>
      </w:pPr>
    </w:p>
    <w:p w14:paraId="138A64F1" w14:textId="46B9A151" w:rsidR="00141BD9" w:rsidRDefault="00737007" w:rsidP="006C3CFA">
      <w:pPr>
        <w:rPr>
          <w:color w:val="000000" w:themeColor="text1"/>
          <w:lang w:val="en-AU"/>
        </w:rPr>
      </w:pPr>
      <w:r>
        <w:rPr>
          <w:color w:val="000000" w:themeColor="text1"/>
          <w:lang w:val="en-AU"/>
        </w:rPr>
        <w:t xml:space="preserve">FSANZ estimates that the implementation of option 3 would deliver approximately </w:t>
      </w:r>
      <w:r w:rsidR="00BA1881" w:rsidRPr="00361BDC">
        <w:rPr>
          <w:color w:val="000000" w:themeColor="text1"/>
          <w:lang w:val="en-AU"/>
        </w:rPr>
        <w:t>$</w:t>
      </w:r>
      <w:r w:rsidR="00361BDC" w:rsidRPr="00361BDC">
        <w:rPr>
          <w:color w:val="000000" w:themeColor="text1"/>
          <w:lang w:val="en-AU"/>
        </w:rPr>
        <w:t>19</w:t>
      </w:r>
      <w:r w:rsidR="00BA1881" w:rsidRPr="00361BDC">
        <w:rPr>
          <w:color w:val="000000" w:themeColor="text1"/>
          <w:lang w:val="en-AU"/>
        </w:rPr>
        <w:t>.</w:t>
      </w:r>
      <w:r w:rsidR="00361BDC">
        <w:rPr>
          <w:color w:val="000000" w:themeColor="text1"/>
          <w:lang w:val="en-AU"/>
        </w:rPr>
        <w:t>5</w:t>
      </w:r>
      <w:r w:rsidR="0093545B">
        <w:rPr>
          <w:color w:val="000000" w:themeColor="text1"/>
          <w:lang w:val="en-AU"/>
        </w:rPr>
        <w:t xml:space="preserve"> </w:t>
      </w:r>
      <w:r w:rsidRPr="0093545B">
        <w:rPr>
          <w:color w:val="000000" w:themeColor="text1"/>
          <w:lang w:val="en-AU"/>
        </w:rPr>
        <w:t>million</w:t>
      </w:r>
      <w:r w:rsidRPr="002B61B5">
        <w:rPr>
          <w:color w:val="000000" w:themeColor="text1"/>
          <w:lang w:val="en-AU"/>
        </w:rPr>
        <w:t xml:space="preserve"> in </w:t>
      </w:r>
      <w:r>
        <w:rPr>
          <w:color w:val="000000" w:themeColor="text1"/>
          <w:lang w:val="en-AU"/>
        </w:rPr>
        <w:t xml:space="preserve">net </w:t>
      </w:r>
      <w:r w:rsidRPr="002B61B5">
        <w:rPr>
          <w:color w:val="000000" w:themeColor="text1"/>
          <w:lang w:val="en-AU"/>
        </w:rPr>
        <w:t>benefits ove</w:t>
      </w:r>
      <w:r w:rsidR="00D83A00">
        <w:rPr>
          <w:color w:val="000000" w:themeColor="text1"/>
          <w:lang w:val="en-AU"/>
        </w:rPr>
        <w:t>r a ten-</w:t>
      </w:r>
      <w:r>
        <w:rPr>
          <w:color w:val="000000" w:themeColor="text1"/>
          <w:lang w:val="en-AU"/>
        </w:rPr>
        <w:t>year period</w:t>
      </w:r>
      <w:r w:rsidR="00141BD9">
        <w:rPr>
          <w:color w:val="000000" w:themeColor="text1"/>
          <w:lang w:val="en-AU"/>
        </w:rPr>
        <w:t xml:space="preserve"> over all three </w:t>
      </w:r>
      <w:r w:rsidR="00F80D1A">
        <w:rPr>
          <w:lang w:val="en-AU"/>
        </w:rPr>
        <w:t>commodity groups</w:t>
      </w:r>
      <w:r w:rsidR="00141BD9">
        <w:rPr>
          <w:color w:val="000000" w:themeColor="text1"/>
          <w:lang w:val="en-AU"/>
        </w:rPr>
        <w:t xml:space="preserve"> of berries, leafy vegetables and melons</w:t>
      </w:r>
      <w:r>
        <w:rPr>
          <w:color w:val="000000" w:themeColor="text1"/>
          <w:lang w:val="en-AU"/>
        </w:rPr>
        <w:t>.</w:t>
      </w:r>
      <w:r w:rsidR="0093545B">
        <w:rPr>
          <w:color w:val="000000" w:themeColor="text1"/>
          <w:lang w:val="en-AU"/>
        </w:rPr>
        <w:t xml:space="preserve"> </w:t>
      </w:r>
    </w:p>
    <w:p w14:paraId="75106283" w14:textId="77777777" w:rsidR="00141BD9" w:rsidRDefault="00141BD9" w:rsidP="006C3CFA">
      <w:pPr>
        <w:rPr>
          <w:color w:val="000000" w:themeColor="text1"/>
          <w:lang w:val="en-AU"/>
        </w:rPr>
      </w:pPr>
    </w:p>
    <w:p w14:paraId="659AE7DB" w14:textId="4E444DC4" w:rsidR="00141BD9" w:rsidRDefault="0093545B" w:rsidP="006C3CFA">
      <w:pPr>
        <w:rPr>
          <w:color w:val="000000" w:themeColor="text1"/>
          <w:lang w:val="en-AU"/>
        </w:rPr>
      </w:pPr>
      <w:r>
        <w:rPr>
          <w:color w:val="000000" w:themeColor="text1"/>
          <w:lang w:val="en-AU"/>
        </w:rPr>
        <w:t xml:space="preserve">This </w:t>
      </w:r>
      <w:r w:rsidR="00141BD9">
        <w:rPr>
          <w:color w:val="000000" w:themeColor="text1"/>
          <w:lang w:val="en-AU"/>
        </w:rPr>
        <w:t>estimated net benefits figure has reduced substantially since the CRIS</w:t>
      </w:r>
      <w:r w:rsidR="00B611C3">
        <w:rPr>
          <w:color w:val="000000" w:themeColor="text1"/>
          <w:lang w:val="en-AU"/>
        </w:rPr>
        <w:t>,</w:t>
      </w:r>
      <w:r w:rsidR="00141BD9">
        <w:rPr>
          <w:color w:val="000000" w:themeColor="text1"/>
          <w:lang w:val="en-AU"/>
        </w:rPr>
        <w:t xml:space="preserve"> </w:t>
      </w:r>
      <w:r w:rsidR="000E571C">
        <w:rPr>
          <w:color w:val="000000" w:themeColor="text1"/>
          <w:lang w:val="en-AU"/>
        </w:rPr>
        <w:t>because of</w:t>
      </w:r>
      <w:r w:rsidR="00141BD9">
        <w:rPr>
          <w:color w:val="000000" w:themeColor="text1"/>
          <w:lang w:val="en-AU"/>
        </w:rPr>
        <w:t xml:space="preserve"> a new and more sophisticated Cost of Illness Model and estimates produced by </w:t>
      </w:r>
      <w:r w:rsidR="008974D4">
        <w:rPr>
          <w:color w:val="000000" w:themeColor="text1"/>
          <w:lang w:val="en-AU"/>
        </w:rPr>
        <w:t>the ANU</w:t>
      </w:r>
      <w:r w:rsidR="00141BD9">
        <w:rPr>
          <w:color w:val="000000" w:themeColor="text1"/>
          <w:lang w:val="en-AU"/>
        </w:rPr>
        <w:t xml:space="preserve"> for FSANZ, as part of continually improving </w:t>
      </w:r>
      <w:r w:rsidR="00B611C3">
        <w:rPr>
          <w:color w:val="000000" w:themeColor="text1"/>
          <w:lang w:val="en-AU"/>
        </w:rPr>
        <w:t>our</w:t>
      </w:r>
      <w:r w:rsidR="00141BD9">
        <w:rPr>
          <w:color w:val="000000" w:themeColor="text1"/>
          <w:lang w:val="en-AU"/>
        </w:rPr>
        <w:t xml:space="preserve"> knowledge base.</w:t>
      </w:r>
      <w:r w:rsidR="00B611C3">
        <w:rPr>
          <w:color w:val="000000" w:themeColor="text1"/>
          <w:lang w:val="en-AU"/>
        </w:rPr>
        <w:t xml:space="preserve"> Estimated costs of </w:t>
      </w:r>
      <w:r w:rsidR="00F04746" w:rsidRPr="00CA1D69">
        <w:rPr>
          <w:i/>
          <w:color w:val="000000" w:themeColor="text1"/>
          <w:lang w:val="en-AU"/>
        </w:rPr>
        <w:t>S</w:t>
      </w:r>
      <w:r w:rsidR="000E571C" w:rsidRPr="00CA1D69">
        <w:rPr>
          <w:i/>
          <w:color w:val="000000" w:themeColor="text1"/>
          <w:lang w:val="en-AU"/>
        </w:rPr>
        <w:t>almonella</w:t>
      </w:r>
      <w:r w:rsidR="000E571C">
        <w:rPr>
          <w:color w:val="000000" w:themeColor="text1"/>
          <w:lang w:val="en-AU"/>
        </w:rPr>
        <w:t xml:space="preserve"> illness are especially lower under the </w:t>
      </w:r>
      <w:r w:rsidR="00B611C3">
        <w:rPr>
          <w:color w:val="000000" w:themeColor="text1"/>
          <w:lang w:val="en-AU"/>
        </w:rPr>
        <w:t>new</w:t>
      </w:r>
      <w:r w:rsidR="000E571C">
        <w:rPr>
          <w:color w:val="000000" w:themeColor="text1"/>
          <w:lang w:val="en-AU"/>
        </w:rPr>
        <w:t xml:space="preserve"> model. </w:t>
      </w:r>
    </w:p>
    <w:p w14:paraId="36FD36CB" w14:textId="77777777" w:rsidR="00141BD9" w:rsidRDefault="00141BD9" w:rsidP="006C3CFA">
      <w:pPr>
        <w:rPr>
          <w:color w:val="000000" w:themeColor="text1"/>
          <w:lang w:val="en-AU"/>
        </w:rPr>
      </w:pPr>
    </w:p>
    <w:p w14:paraId="21DBC022" w14:textId="05230455" w:rsidR="00737007" w:rsidRDefault="000E571C" w:rsidP="006C3CFA">
      <w:pPr>
        <w:rPr>
          <w:color w:val="000000" w:themeColor="text1"/>
          <w:lang w:val="en-AU"/>
        </w:rPr>
      </w:pPr>
      <w:r>
        <w:rPr>
          <w:color w:val="000000" w:themeColor="text1"/>
          <w:lang w:val="en-AU"/>
        </w:rPr>
        <w:t>That said, the $</w:t>
      </w:r>
      <w:r w:rsidR="00361BDC">
        <w:rPr>
          <w:color w:val="000000" w:themeColor="text1"/>
          <w:lang w:val="en-AU"/>
        </w:rPr>
        <w:t>19.5</w:t>
      </w:r>
      <w:r>
        <w:rPr>
          <w:color w:val="000000" w:themeColor="text1"/>
          <w:lang w:val="en-AU"/>
        </w:rPr>
        <w:t xml:space="preserve"> million </w:t>
      </w:r>
      <w:r w:rsidR="00737007">
        <w:rPr>
          <w:color w:val="000000" w:themeColor="text1"/>
          <w:lang w:val="en-AU"/>
        </w:rPr>
        <w:t>figure may be</w:t>
      </w:r>
      <w:r w:rsidR="00737007" w:rsidRPr="002B61B5">
        <w:rPr>
          <w:color w:val="000000" w:themeColor="text1"/>
          <w:lang w:val="en-AU"/>
        </w:rPr>
        <w:t xml:space="preserve"> </w:t>
      </w:r>
      <w:r w:rsidR="00737007">
        <w:rPr>
          <w:color w:val="000000" w:themeColor="text1"/>
          <w:lang w:val="en-AU"/>
        </w:rPr>
        <w:t xml:space="preserve">an underestimate, as FSANZ was unable to </w:t>
      </w:r>
      <w:r w:rsidR="00737007" w:rsidRPr="002B61B5">
        <w:rPr>
          <w:color w:val="000000" w:themeColor="text1"/>
          <w:lang w:val="en-AU"/>
        </w:rPr>
        <w:t xml:space="preserve">quantify </w:t>
      </w:r>
      <w:r w:rsidR="00737007">
        <w:rPr>
          <w:color w:val="000000" w:themeColor="text1"/>
          <w:lang w:val="en-AU"/>
        </w:rPr>
        <w:t xml:space="preserve">all benefits </w:t>
      </w:r>
      <w:r w:rsidR="00737007" w:rsidRPr="002B61B5">
        <w:rPr>
          <w:color w:val="000000" w:themeColor="text1"/>
          <w:lang w:val="en-AU"/>
        </w:rPr>
        <w:t>at this time</w:t>
      </w:r>
      <w:r w:rsidR="0093545B">
        <w:rPr>
          <w:color w:val="000000" w:themeColor="text1"/>
          <w:lang w:val="en-AU"/>
        </w:rPr>
        <w:t>, including direct and indirect costs of recalls</w:t>
      </w:r>
      <w:r w:rsidR="00737007" w:rsidRPr="002B61B5">
        <w:rPr>
          <w:color w:val="000000" w:themeColor="text1"/>
          <w:lang w:val="en-AU"/>
        </w:rPr>
        <w:t>.</w:t>
      </w:r>
      <w:r w:rsidR="0093545B">
        <w:rPr>
          <w:color w:val="000000" w:themeColor="text1"/>
          <w:lang w:val="en-AU"/>
        </w:rPr>
        <w:t xml:space="preserve"> </w:t>
      </w:r>
    </w:p>
    <w:p w14:paraId="0930A842" w14:textId="77777777" w:rsidR="006C3CFA" w:rsidRDefault="006C3CFA" w:rsidP="006C3CFA">
      <w:pPr>
        <w:rPr>
          <w:b/>
          <w:color w:val="000000" w:themeColor="text1"/>
          <w:lang w:val="en-AU"/>
        </w:rPr>
      </w:pPr>
    </w:p>
    <w:p w14:paraId="139695E8" w14:textId="0F42DF6A" w:rsidR="007A0840" w:rsidRPr="004F0839" w:rsidRDefault="00D37006" w:rsidP="007A0840">
      <w:pPr>
        <w:rPr>
          <w:b/>
          <w:color w:val="000000" w:themeColor="text1"/>
          <w:lang w:val="en-AU"/>
        </w:rPr>
      </w:pPr>
      <w:r w:rsidRPr="002447A1">
        <w:rPr>
          <w:b/>
          <w:color w:val="000000" w:themeColor="text1"/>
          <w:lang w:val="en-AU"/>
        </w:rPr>
        <w:t xml:space="preserve">Table </w:t>
      </w:r>
      <w:r w:rsidR="007F6F36">
        <w:rPr>
          <w:b/>
          <w:color w:val="000000" w:themeColor="text1"/>
          <w:lang w:val="en-AU"/>
        </w:rPr>
        <w:t>11</w:t>
      </w:r>
      <w:r w:rsidR="00DF44D1">
        <w:rPr>
          <w:b/>
          <w:color w:val="000000" w:themeColor="text1"/>
          <w:lang w:val="en-AU"/>
        </w:rPr>
        <w:t>.</w:t>
      </w:r>
      <w:r w:rsidR="007A0840" w:rsidRPr="004F0839">
        <w:rPr>
          <w:b/>
          <w:color w:val="000000" w:themeColor="text1"/>
          <w:lang w:val="en-AU"/>
        </w:rPr>
        <w:t xml:space="preserve"> </w:t>
      </w:r>
      <w:r w:rsidR="007A0840">
        <w:rPr>
          <w:b/>
          <w:color w:val="000000" w:themeColor="text1"/>
          <w:lang w:val="en-AU"/>
        </w:rPr>
        <w:t>Net benefit estimates over 10 years</w:t>
      </w:r>
    </w:p>
    <w:tbl>
      <w:tblPr>
        <w:tblStyle w:val="TableGrid"/>
        <w:tblW w:w="8784" w:type="dxa"/>
        <w:tblLook w:val="04A0" w:firstRow="1" w:lastRow="0" w:firstColumn="1" w:lastColumn="0" w:noHBand="0" w:noVBand="1"/>
      </w:tblPr>
      <w:tblGrid>
        <w:gridCol w:w="4815"/>
        <w:gridCol w:w="3969"/>
      </w:tblGrid>
      <w:tr w:rsidR="007A0840" w14:paraId="30D2F03D" w14:textId="77777777" w:rsidTr="006C3CFA">
        <w:tc>
          <w:tcPr>
            <w:tcW w:w="4815" w:type="dxa"/>
            <w:shd w:val="clear" w:color="auto" w:fill="8DB3E2" w:themeFill="text2" w:themeFillTint="66"/>
          </w:tcPr>
          <w:p w14:paraId="13019131" w14:textId="77777777" w:rsidR="007A0840" w:rsidRPr="004F0839" w:rsidRDefault="007A0840" w:rsidP="007A0840">
            <w:pPr>
              <w:pStyle w:val="Header"/>
              <w:rPr>
                <w:b/>
                <w:color w:val="000000" w:themeColor="text1"/>
              </w:rPr>
            </w:pPr>
            <w:r w:rsidRPr="004F0839">
              <w:rPr>
                <w:b/>
                <w:color w:val="000000" w:themeColor="text1"/>
              </w:rPr>
              <w:t>Commodity</w:t>
            </w:r>
          </w:p>
        </w:tc>
        <w:tc>
          <w:tcPr>
            <w:tcW w:w="3969" w:type="dxa"/>
            <w:shd w:val="clear" w:color="auto" w:fill="8DB3E2" w:themeFill="text2" w:themeFillTint="66"/>
          </w:tcPr>
          <w:p w14:paraId="3E2BC936" w14:textId="77777777" w:rsidR="007A0840" w:rsidRPr="004F0839" w:rsidRDefault="007A0840" w:rsidP="007A0840">
            <w:pPr>
              <w:pStyle w:val="Header"/>
              <w:rPr>
                <w:b/>
                <w:color w:val="000000" w:themeColor="text1"/>
              </w:rPr>
            </w:pPr>
            <w:r w:rsidRPr="004F0839">
              <w:rPr>
                <w:b/>
                <w:color w:val="000000" w:themeColor="text1"/>
              </w:rPr>
              <w:t>C</w:t>
            </w:r>
            <w:r>
              <w:rPr>
                <w:b/>
                <w:color w:val="000000" w:themeColor="text1"/>
              </w:rPr>
              <w:t>en</w:t>
            </w:r>
            <w:r w:rsidRPr="004F0839">
              <w:rPr>
                <w:b/>
                <w:color w:val="000000" w:themeColor="text1"/>
              </w:rPr>
              <w:t>tral business cost estimates</w:t>
            </w:r>
          </w:p>
        </w:tc>
      </w:tr>
      <w:tr w:rsidR="007A0840" w14:paraId="38B2C397" w14:textId="77777777" w:rsidTr="00737007">
        <w:tc>
          <w:tcPr>
            <w:tcW w:w="4815" w:type="dxa"/>
          </w:tcPr>
          <w:p w14:paraId="54E31AD0" w14:textId="04BDF639" w:rsidR="007A0840" w:rsidRPr="004C1A6E" w:rsidRDefault="004C1A6E" w:rsidP="004C1A6E">
            <w:pPr>
              <w:pStyle w:val="Header"/>
              <w:rPr>
                <w:color w:val="000000" w:themeColor="text1"/>
              </w:rPr>
            </w:pPr>
            <w:r w:rsidRPr="004C1A6E">
              <w:rPr>
                <w:color w:val="000000" w:themeColor="text1"/>
              </w:rPr>
              <w:t>Berries</w:t>
            </w:r>
          </w:p>
        </w:tc>
        <w:tc>
          <w:tcPr>
            <w:tcW w:w="3969" w:type="dxa"/>
          </w:tcPr>
          <w:p w14:paraId="2788730F" w14:textId="32DD935A" w:rsidR="007A0840" w:rsidRPr="00025009" w:rsidRDefault="00025009" w:rsidP="00025009">
            <w:pPr>
              <w:jc w:val="right"/>
              <w:rPr>
                <w:color w:val="000000" w:themeColor="text1"/>
              </w:rPr>
            </w:pPr>
            <w:r>
              <w:rPr>
                <w:color w:val="000000" w:themeColor="text1"/>
              </w:rPr>
              <w:t xml:space="preserve">              $</w:t>
            </w:r>
            <w:r w:rsidR="00BA1881">
              <w:rPr>
                <w:color w:val="000000" w:themeColor="text1"/>
              </w:rPr>
              <w:t xml:space="preserve"> </w:t>
            </w:r>
            <w:r w:rsidR="00BA1881" w:rsidRPr="00BA1881">
              <w:rPr>
                <w:color w:val="000000" w:themeColor="text1"/>
              </w:rPr>
              <w:t>2</w:t>
            </w:r>
            <w:r w:rsidR="00BA1881">
              <w:rPr>
                <w:color w:val="000000" w:themeColor="text1"/>
              </w:rPr>
              <w:t>,</w:t>
            </w:r>
            <w:r w:rsidR="00BA1881" w:rsidRPr="00BA1881">
              <w:rPr>
                <w:color w:val="000000" w:themeColor="text1"/>
              </w:rPr>
              <w:t>363</w:t>
            </w:r>
            <w:r w:rsidR="00BA1881">
              <w:rPr>
                <w:color w:val="000000" w:themeColor="text1"/>
              </w:rPr>
              <w:t>,</w:t>
            </w:r>
            <w:r w:rsidR="00BA1881" w:rsidRPr="00BA1881">
              <w:rPr>
                <w:color w:val="000000" w:themeColor="text1"/>
              </w:rPr>
              <w:t>158</w:t>
            </w:r>
          </w:p>
        </w:tc>
      </w:tr>
      <w:tr w:rsidR="007A0840" w14:paraId="1638FACA" w14:textId="77777777" w:rsidTr="006C3CFA">
        <w:tc>
          <w:tcPr>
            <w:tcW w:w="4815" w:type="dxa"/>
            <w:shd w:val="clear" w:color="auto" w:fill="auto"/>
          </w:tcPr>
          <w:p w14:paraId="37BADCDA" w14:textId="7362FFFC" w:rsidR="007A0840" w:rsidRPr="004C1A6E" w:rsidRDefault="004C1A6E" w:rsidP="004C1A6E">
            <w:pPr>
              <w:pStyle w:val="Header"/>
              <w:rPr>
                <w:color w:val="000000" w:themeColor="text1"/>
              </w:rPr>
            </w:pPr>
            <w:r w:rsidRPr="004C1A6E">
              <w:rPr>
                <w:color w:val="000000" w:themeColor="text1"/>
              </w:rPr>
              <w:t xml:space="preserve">Leafy vegetables </w:t>
            </w:r>
          </w:p>
        </w:tc>
        <w:tc>
          <w:tcPr>
            <w:tcW w:w="3969" w:type="dxa"/>
            <w:shd w:val="clear" w:color="auto" w:fill="auto"/>
          </w:tcPr>
          <w:p w14:paraId="16B76F64" w14:textId="06E4456A" w:rsidR="007A0840" w:rsidRPr="00025009" w:rsidRDefault="00025009" w:rsidP="00BA1881">
            <w:pPr>
              <w:jc w:val="right"/>
              <w:rPr>
                <w:rFonts w:cs="Arial"/>
                <w:color w:val="000000"/>
                <w:lang w:eastAsia="en-GB"/>
              </w:rPr>
            </w:pPr>
            <w:r w:rsidRPr="00025009">
              <w:rPr>
                <w:rFonts w:cs="Arial"/>
                <w:color w:val="000000"/>
                <w:lang w:eastAsia="en-GB"/>
              </w:rPr>
              <w:t xml:space="preserve">                   </w:t>
            </w:r>
            <w:r>
              <w:rPr>
                <w:rFonts w:cs="Arial"/>
                <w:color w:val="000000"/>
                <w:lang w:eastAsia="en-GB"/>
              </w:rPr>
              <w:t>$</w:t>
            </w:r>
            <w:r w:rsidR="00BA1881">
              <w:t xml:space="preserve"> </w:t>
            </w:r>
            <w:r w:rsidR="00BA1881">
              <w:rPr>
                <w:rFonts w:cs="Arial"/>
                <w:color w:val="000000"/>
                <w:lang w:eastAsia="en-GB"/>
              </w:rPr>
              <w:t>8,590,339</w:t>
            </w:r>
            <w:r w:rsidRPr="00025009">
              <w:rPr>
                <w:rFonts w:cs="Arial"/>
                <w:color w:val="000000"/>
                <w:lang w:eastAsia="en-GB"/>
              </w:rPr>
              <w:t xml:space="preserve"> </w:t>
            </w:r>
          </w:p>
        </w:tc>
      </w:tr>
      <w:tr w:rsidR="007A0840" w14:paraId="00867666" w14:textId="77777777" w:rsidTr="00737007">
        <w:tc>
          <w:tcPr>
            <w:tcW w:w="4815" w:type="dxa"/>
            <w:tcBorders>
              <w:bottom w:val="single" w:sz="4" w:space="0" w:color="000000"/>
            </w:tcBorders>
          </w:tcPr>
          <w:p w14:paraId="65ED9450" w14:textId="7E7F552B" w:rsidR="007A0840" w:rsidRPr="004C1A6E" w:rsidRDefault="004C1A6E" w:rsidP="004C1A6E">
            <w:pPr>
              <w:pStyle w:val="Header"/>
              <w:rPr>
                <w:color w:val="000000" w:themeColor="text1"/>
              </w:rPr>
            </w:pPr>
            <w:r w:rsidRPr="004C1A6E">
              <w:rPr>
                <w:color w:val="000000" w:themeColor="text1"/>
              </w:rPr>
              <w:t>Melons</w:t>
            </w:r>
          </w:p>
        </w:tc>
        <w:tc>
          <w:tcPr>
            <w:tcW w:w="3969" w:type="dxa"/>
            <w:tcBorders>
              <w:bottom w:val="single" w:sz="4" w:space="0" w:color="000000"/>
            </w:tcBorders>
          </w:tcPr>
          <w:p w14:paraId="665FB3ED" w14:textId="56B8167B" w:rsidR="00025009" w:rsidRPr="00025009" w:rsidRDefault="00025009" w:rsidP="00025009">
            <w:pPr>
              <w:jc w:val="right"/>
              <w:rPr>
                <w:color w:val="000000" w:themeColor="text1"/>
              </w:rPr>
            </w:pPr>
            <w:r w:rsidRPr="00025009">
              <w:rPr>
                <w:color w:val="000000" w:themeColor="text1"/>
              </w:rPr>
              <w:t xml:space="preserve">                   </w:t>
            </w:r>
            <w:r>
              <w:rPr>
                <w:color w:val="000000" w:themeColor="text1"/>
              </w:rPr>
              <w:t>$</w:t>
            </w:r>
            <w:r w:rsidR="00BA1881">
              <w:t xml:space="preserve"> </w:t>
            </w:r>
            <w:r w:rsidR="00BA1881" w:rsidRPr="00BA1881">
              <w:rPr>
                <w:color w:val="000000" w:themeColor="text1"/>
              </w:rPr>
              <w:t>8</w:t>
            </w:r>
            <w:r w:rsidR="00BA1881">
              <w:rPr>
                <w:color w:val="000000" w:themeColor="text1"/>
              </w:rPr>
              <w:t>,</w:t>
            </w:r>
            <w:r w:rsidR="00BA1881" w:rsidRPr="00BA1881">
              <w:rPr>
                <w:color w:val="000000" w:themeColor="text1"/>
              </w:rPr>
              <w:t>586</w:t>
            </w:r>
            <w:r w:rsidR="00BA1881">
              <w:rPr>
                <w:color w:val="000000" w:themeColor="text1"/>
              </w:rPr>
              <w:t>,</w:t>
            </w:r>
            <w:r w:rsidR="00BA1881" w:rsidRPr="00BA1881">
              <w:rPr>
                <w:color w:val="000000" w:themeColor="text1"/>
              </w:rPr>
              <w:t>834</w:t>
            </w:r>
          </w:p>
        </w:tc>
      </w:tr>
      <w:tr w:rsidR="007A0840" w14:paraId="55055DD6" w14:textId="77777777" w:rsidTr="00737007">
        <w:tc>
          <w:tcPr>
            <w:tcW w:w="8784" w:type="dxa"/>
            <w:gridSpan w:val="2"/>
            <w:tcBorders>
              <w:left w:val="nil"/>
              <w:bottom w:val="nil"/>
              <w:right w:val="nil"/>
            </w:tcBorders>
          </w:tcPr>
          <w:p w14:paraId="4178DEBA" w14:textId="448C1DB1" w:rsidR="007A0840" w:rsidRPr="001329B2" w:rsidRDefault="007A0840" w:rsidP="00004D72">
            <w:pPr>
              <w:jc w:val="both"/>
              <w:rPr>
                <w:sz w:val="20"/>
                <w:szCs w:val="20"/>
                <w:lang w:val="en-AU"/>
              </w:rPr>
            </w:pPr>
            <w:r>
              <w:rPr>
                <w:rFonts w:cs="Arial"/>
                <w:bCs/>
                <w:color w:val="000000"/>
                <w:sz w:val="20"/>
                <w:szCs w:val="20"/>
                <w:lang w:eastAsia="en-GB"/>
              </w:rPr>
              <w:t xml:space="preserve">Note: </w:t>
            </w:r>
            <w:r w:rsidRPr="00573044">
              <w:rPr>
                <w:rFonts w:cs="Arial"/>
                <w:bCs/>
                <w:color w:val="000000"/>
                <w:sz w:val="20"/>
                <w:szCs w:val="20"/>
                <w:lang w:eastAsia="en-GB"/>
              </w:rPr>
              <w:t>$AU late 2020 - Central efficacies at 7% discount rate</w:t>
            </w:r>
          </w:p>
        </w:tc>
      </w:tr>
    </w:tbl>
    <w:p w14:paraId="7E992C34" w14:textId="29D852A6" w:rsidR="00D7571C" w:rsidRPr="00A46B41" w:rsidRDefault="00D7571C" w:rsidP="00A46B41">
      <w:pPr>
        <w:pStyle w:val="Heading3"/>
      </w:pPr>
      <w:bookmarkStart w:id="474" w:name="_Toc97643875"/>
      <w:bookmarkStart w:id="475" w:name="_Toc97653260"/>
      <w:bookmarkStart w:id="476" w:name="_Toc97739412"/>
      <w:bookmarkStart w:id="477" w:name="_Toc97823829"/>
      <w:bookmarkStart w:id="478" w:name="_Toc97823993"/>
      <w:bookmarkStart w:id="479" w:name="_Toc77249280"/>
      <w:bookmarkStart w:id="480" w:name="_Toc71212249"/>
      <w:bookmarkStart w:id="481" w:name="_Toc71125338"/>
      <w:bookmarkStart w:id="482" w:name="_Toc71122902"/>
      <w:bookmarkStart w:id="483" w:name="_Toc71119635"/>
      <w:bookmarkStart w:id="484" w:name="_Toc71112385"/>
      <w:bookmarkStart w:id="485" w:name="_Toc71108749"/>
      <w:bookmarkStart w:id="486" w:name="_Toc71106834"/>
      <w:bookmarkStart w:id="487" w:name="_Toc85540183"/>
      <w:bookmarkStart w:id="488" w:name="_Toc85626188"/>
      <w:bookmarkStart w:id="489" w:name="_Toc85635321"/>
      <w:r w:rsidRPr="00A46B41">
        <w:t>Ability for jurisdictions to work more proactively with growers</w:t>
      </w:r>
      <w:bookmarkEnd w:id="474"/>
      <w:bookmarkEnd w:id="475"/>
      <w:bookmarkEnd w:id="476"/>
      <w:bookmarkEnd w:id="477"/>
      <w:bookmarkEnd w:id="478"/>
    </w:p>
    <w:p w14:paraId="5E3C8465" w14:textId="3DD74779" w:rsidR="00D7571C" w:rsidRPr="00A46B41" w:rsidRDefault="00A92555" w:rsidP="00654596">
      <w:bookmarkStart w:id="490" w:name="_Toc97643876"/>
      <w:bookmarkStart w:id="491" w:name="_Toc97653261"/>
      <w:r>
        <w:t xml:space="preserve">The proposed standards provide jurisdictions with a mechanism to use their legislation to check businesses are implementing measures in the standards. </w:t>
      </w:r>
      <w:r w:rsidR="00D7571C" w:rsidRPr="00A46B41">
        <w:t xml:space="preserve">Combined with the </w:t>
      </w:r>
      <w:r w:rsidR="002243E3">
        <w:t>requirement</w:t>
      </w:r>
      <w:r w:rsidR="002243E3" w:rsidRPr="00A46B41">
        <w:t xml:space="preserve"> </w:t>
      </w:r>
      <w:r w:rsidR="00D7571C" w:rsidRPr="00A46B41">
        <w:t xml:space="preserve">for businesses to </w:t>
      </w:r>
      <w:r w:rsidR="002243E3">
        <w:t>be known to</w:t>
      </w:r>
      <w:r w:rsidR="002243E3" w:rsidRPr="00A46B41">
        <w:t xml:space="preserve"> </w:t>
      </w:r>
      <w:r w:rsidR="00D7571C" w:rsidRPr="00A46B41">
        <w:t>jurisdictions</w:t>
      </w:r>
      <w:r w:rsidR="003D02EE" w:rsidRPr="00A46B41">
        <w:t>, the standards would enable jurisdictions</w:t>
      </w:r>
      <w:r w:rsidR="00D7571C" w:rsidRPr="00A46B41">
        <w:t xml:space="preserve"> to work proactively with growers</w:t>
      </w:r>
      <w:r w:rsidR="002243E3">
        <w:t xml:space="preserve"> through monitoring and non-regulatory measures</w:t>
      </w:r>
      <w:r w:rsidR="00D7571C" w:rsidRPr="00A46B41">
        <w:t xml:space="preserve"> </w:t>
      </w:r>
      <w:r w:rsidR="002243E3">
        <w:t xml:space="preserve">to better prevent </w:t>
      </w:r>
      <w:r w:rsidR="00D7571C" w:rsidRPr="00A46B41">
        <w:t>an issue and to respond quickly when there is one.</w:t>
      </w:r>
      <w:bookmarkEnd w:id="490"/>
      <w:bookmarkEnd w:id="491"/>
    </w:p>
    <w:p w14:paraId="6FBFC527" w14:textId="761CDCFC" w:rsidR="00CE13FC" w:rsidRPr="006B72A8" w:rsidRDefault="00CE13FC" w:rsidP="00104CDC">
      <w:pPr>
        <w:pStyle w:val="Heading3"/>
      </w:pPr>
      <w:bookmarkStart w:id="492" w:name="_Toc97643877"/>
      <w:bookmarkStart w:id="493" w:name="_Toc97653262"/>
      <w:bookmarkStart w:id="494" w:name="_Toc97739413"/>
      <w:bookmarkStart w:id="495" w:name="_Toc97823830"/>
      <w:bookmarkStart w:id="496" w:name="_Toc97823994"/>
      <w:r w:rsidRPr="006B72A8">
        <w:t>Increased exports</w:t>
      </w:r>
      <w:bookmarkEnd w:id="479"/>
      <w:bookmarkEnd w:id="480"/>
      <w:bookmarkEnd w:id="481"/>
      <w:bookmarkEnd w:id="482"/>
      <w:bookmarkEnd w:id="483"/>
      <w:bookmarkEnd w:id="484"/>
      <w:bookmarkEnd w:id="485"/>
      <w:bookmarkEnd w:id="486"/>
      <w:bookmarkEnd w:id="487"/>
      <w:bookmarkEnd w:id="488"/>
      <w:bookmarkEnd w:id="489"/>
      <w:bookmarkEnd w:id="492"/>
      <w:bookmarkEnd w:id="493"/>
      <w:bookmarkEnd w:id="494"/>
      <w:bookmarkEnd w:id="495"/>
      <w:bookmarkEnd w:id="496"/>
    </w:p>
    <w:p w14:paraId="2AFB51FF" w14:textId="4D0CB162" w:rsidR="00CE13FC" w:rsidRPr="00F04746" w:rsidRDefault="00CE13FC" w:rsidP="00CE13FC">
      <w:pPr>
        <w:rPr>
          <w:color w:val="000000" w:themeColor="text1"/>
          <w:lang w:val="en-AU"/>
        </w:rPr>
      </w:pPr>
      <w:r w:rsidRPr="00F04746">
        <w:rPr>
          <w:color w:val="000000" w:themeColor="text1"/>
          <w:lang w:val="en-AU"/>
        </w:rPr>
        <w:t xml:space="preserve">Potential trade impacts have been raised as an issue to examine in the </w:t>
      </w:r>
      <w:r w:rsidR="00B611C3">
        <w:rPr>
          <w:color w:val="000000" w:themeColor="text1"/>
          <w:lang w:val="en-AU"/>
        </w:rPr>
        <w:t>CBA</w:t>
      </w:r>
      <w:r w:rsidRPr="00F04746">
        <w:rPr>
          <w:color w:val="000000" w:themeColor="text1"/>
          <w:lang w:val="en-AU"/>
        </w:rPr>
        <w:t xml:space="preserve"> of regulation. Australian food is well recognised internationally for its quality and safety, creating market access in several export countries at premium pricing. The vegetable export value is projected to increase from $457</w:t>
      </w:r>
      <w:r w:rsidR="004C216C" w:rsidRPr="00F04746">
        <w:rPr>
          <w:color w:val="000000" w:themeColor="text1"/>
          <w:lang w:val="en-AU"/>
        </w:rPr>
        <w:t xml:space="preserve"> </w:t>
      </w:r>
      <w:r w:rsidRPr="00F04746">
        <w:rPr>
          <w:color w:val="000000" w:themeColor="text1"/>
          <w:lang w:val="en-AU"/>
        </w:rPr>
        <w:t>m</w:t>
      </w:r>
      <w:r w:rsidR="004C216C" w:rsidRPr="00F04746">
        <w:rPr>
          <w:color w:val="000000" w:themeColor="text1"/>
          <w:lang w:val="en-AU"/>
        </w:rPr>
        <w:t>illion (m)</w:t>
      </w:r>
      <w:r w:rsidRPr="00F04746">
        <w:rPr>
          <w:color w:val="000000" w:themeColor="text1"/>
          <w:lang w:val="en-AU"/>
        </w:rPr>
        <w:t xml:space="preserve"> to $565m between 2018</w:t>
      </w:r>
      <w:r w:rsidR="004C216C" w:rsidRPr="00F04746">
        <w:rPr>
          <w:color w:val="000000" w:themeColor="text1"/>
          <w:lang w:val="en-AU"/>
        </w:rPr>
        <w:t>–19 and 2025–</w:t>
      </w:r>
      <w:r w:rsidRPr="00F04746">
        <w:rPr>
          <w:color w:val="000000" w:themeColor="text1"/>
          <w:lang w:val="en-AU"/>
        </w:rPr>
        <w:t>26</w:t>
      </w:r>
      <w:r w:rsidR="00081D70">
        <w:rPr>
          <w:rStyle w:val="FootnoteReference"/>
          <w:color w:val="000000" w:themeColor="text1"/>
          <w:lang w:val="en-AU"/>
        </w:rPr>
        <w:footnoteReference w:id="18"/>
      </w:r>
      <w:r w:rsidR="00081D70">
        <w:rPr>
          <w:color w:val="000000" w:themeColor="text1"/>
          <w:lang w:val="en-AU"/>
        </w:rPr>
        <w:t>.</w:t>
      </w:r>
      <w:r w:rsidRPr="00F04746">
        <w:rPr>
          <w:color w:val="000000" w:themeColor="text1"/>
          <w:lang w:val="en-AU"/>
        </w:rPr>
        <w:t xml:space="preserve"> Similarly, fruit exports are projected to increase from $1</w:t>
      </w:r>
      <w:r w:rsidR="00154717" w:rsidRPr="00F04746">
        <w:rPr>
          <w:color w:val="000000" w:themeColor="text1"/>
          <w:lang w:val="en-AU"/>
        </w:rPr>
        <w:t>,</w:t>
      </w:r>
      <w:r w:rsidRPr="00F04746">
        <w:rPr>
          <w:color w:val="000000" w:themeColor="text1"/>
          <w:lang w:val="en-AU"/>
        </w:rPr>
        <w:t>493</w:t>
      </w:r>
      <w:r w:rsidR="00154717" w:rsidRPr="00F04746">
        <w:rPr>
          <w:color w:val="000000" w:themeColor="text1"/>
          <w:lang w:val="en-AU"/>
        </w:rPr>
        <w:t xml:space="preserve"> </w:t>
      </w:r>
      <w:r w:rsidRPr="00F04746">
        <w:rPr>
          <w:color w:val="000000" w:themeColor="text1"/>
          <w:lang w:val="en-AU"/>
        </w:rPr>
        <w:t>m to $1</w:t>
      </w:r>
      <w:r w:rsidR="00154717" w:rsidRPr="00F04746">
        <w:rPr>
          <w:color w:val="000000" w:themeColor="text1"/>
          <w:lang w:val="en-AU"/>
        </w:rPr>
        <w:t>,</w:t>
      </w:r>
      <w:r w:rsidRPr="00F04746">
        <w:rPr>
          <w:color w:val="000000" w:themeColor="text1"/>
          <w:lang w:val="en-AU"/>
        </w:rPr>
        <w:t>783</w:t>
      </w:r>
      <w:r w:rsidR="00154717" w:rsidRPr="00F04746">
        <w:rPr>
          <w:color w:val="000000" w:themeColor="text1"/>
          <w:lang w:val="en-AU"/>
        </w:rPr>
        <w:t xml:space="preserve"> </w:t>
      </w:r>
      <w:r w:rsidRPr="00F04746">
        <w:rPr>
          <w:color w:val="000000" w:themeColor="text1"/>
          <w:lang w:val="en-AU"/>
        </w:rPr>
        <w:t xml:space="preserve">m over the same period. </w:t>
      </w:r>
    </w:p>
    <w:p w14:paraId="06855B9D" w14:textId="77777777" w:rsidR="00CE13FC" w:rsidRDefault="00CE13FC" w:rsidP="00CE13FC">
      <w:pPr>
        <w:rPr>
          <w:lang w:val="en-AU"/>
        </w:rPr>
      </w:pPr>
    </w:p>
    <w:p w14:paraId="45183D73" w14:textId="5CC9C1EC" w:rsidR="00CE13FC" w:rsidRDefault="00CE13FC" w:rsidP="00CE13FC">
      <w:pPr>
        <w:rPr>
          <w:lang w:val="en-AU"/>
        </w:rPr>
      </w:pPr>
      <w:r>
        <w:rPr>
          <w:lang w:val="en-AU"/>
        </w:rPr>
        <w:t xml:space="preserve">However, closer analysis of specific commodities reveals that different markets can work quite differently. It is not clear that increased regulation leads </w:t>
      </w:r>
      <w:r w:rsidR="00094D9D">
        <w:rPr>
          <w:lang w:val="en-AU"/>
        </w:rPr>
        <w:t>directly to increased exports. </w:t>
      </w:r>
      <w:r>
        <w:rPr>
          <w:lang w:val="en-AU"/>
        </w:rPr>
        <w:t>The cost competitiveness of Australian producers also needs to be considered.</w:t>
      </w:r>
    </w:p>
    <w:p w14:paraId="4DFA2D15" w14:textId="77777777" w:rsidR="00CE13FC" w:rsidRDefault="00CE13FC" w:rsidP="00CE13FC">
      <w:pPr>
        <w:rPr>
          <w:lang w:val="en-AU"/>
        </w:rPr>
      </w:pPr>
    </w:p>
    <w:p w14:paraId="11A06356" w14:textId="0BB2130D" w:rsidR="00CE13FC" w:rsidRDefault="00CE13FC" w:rsidP="00CE13FC">
      <w:pPr>
        <w:rPr>
          <w:lang w:val="en-AU"/>
        </w:rPr>
      </w:pPr>
      <w:r>
        <w:rPr>
          <w:lang w:val="en-AU"/>
        </w:rPr>
        <w:lastRenderedPageBreak/>
        <w:t>Exports only account for a small (but potentially growing) percentage of berries sales value of around 3%. Leafy vegetables (Australian lettuce exports) also only generate export revenue of around 2-3% of sales value at $10-15m a year, with other leafy greens and fresh salads adding around $</w:t>
      </w:r>
      <w:r>
        <w:rPr>
          <w:color w:val="000000"/>
          <w:lang w:val="en-AU"/>
        </w:rPr>
        <w:t>5m (ABARES</w:t>
      </w:r>
      <w:r w:rsidR="000B261E">
        <w:rPr>
          <w:rStyle w:val="FootnoteReference"/>
          <w:color w:val="000000"/>
          <w:lang w:val="en-AU"/>
        </w:rPr>
        <w:footnoteReference w:id="19"/>
      </w:r>
      <w:r>
        <w:rPr>
          <w:color w:val="000000"/>
          <w:lang w:val="en-AU"/>
        </w:rPr>
        <w:t xml:space="preserve">). </w:t>
      </w:r>
      <w:r>
        <w:rPr>
          <w:lang w:val="en-AU"/>
        </w:rPr>
        <w:t xml:space="preserve">A greater proportion of melons are being exported: 20.4% of sales value. Evidence of any sort of price premium only exists for lettuces, with lower prices being received for melons and berries than many other export countries. </w:t>
      </w:r>
    </w:p>
    <w:p w14:paraId="510F9283" w14:textId="77777777" w:rsidR="00CE13FC" w:rsidRDefault="00CE13FC" w:rsidP="00CE13FC">
      <w:pPr>
        <w:rPr>
          <w:lang w:val="en-AU"/>
        </w:rPr>
      </w:pPr>
    </w:p>
    <w:p w14:paraId="5D74953D" w14:textId="77777777" w:rsidR="00CE13FC" w:rsidRDefault="00CE13FC" w:rsidP="00CE13FC">
      <w:pPr>
        <w:rPr>
          <w:lang w:val="en-AU"/>
        </w:rPr>
      </w:pPr>
      <w:r>
        <w:rPr>
          <w:lang w:val="en-AU"/>
        </w:rPr>
        <w:t xml:space="preserve">It is unlikely that trade impacts will be significant to consideration of the costs and benefits for berries and leafy vegetables. There is a strong domestic production focus for these industries and price premiums over competing export countries appear limited. </w:t>
      </w:r>
    </w:p>
    <w:p w14:paraId="5C8E2358" w14:textId="77777777" w:rsidR="00CE13FC" w:rsidRDefault="00CE13FC" w:rsidP="00CE13FC">
      <w:pPr>
        <w:rPr>
          <w:lang w:val="en-AU"/>
        </w:rPr>
      </w:pPr>
    </w:p>
    <w:p w14:paraId="35E32426" w14:textId="1E682AC1" w:rsidR="00D83A00" w:rsidRDefault="00CE13FC" w:rsidP="009613F6">
      <w:pPr>
        <w:rPr>
          <w:lang w:val="en-AU"/>
        </w:rPr>
      </w:pPr>
      <w:r>
        <w:rPr>
          <w:lang w:val="en-AU"/>
        </w:rPr>
        <w:t>There could be positive trade implications for the melon industry, which exports over 20% of domestic production values. A more extensive analysis of possible trade implications of increased food safety regulation is pro</w:t>
      </w:r>
      <w:r w:rsidR="00104CDC">
        <w:rPr>
          <w:lang w:val="en-AU"/>
        </w:rPr>
        <w:t xml:space="preserve">vided in </w:t>
      </w:r>
      <w:r w:rsidR="00104CDC" w:rsidRPr="004F2123">
        <w:rPr>
          <w:lang w:val="en-AU"/>
        </w:rPr>
        <w:t xml:space="preserve">Appendix </w:t>
      </w:r>
      <w:r w:rsidR="00F64CB7" w:rsidRPr="004F2123">
        <w:rPr>
          <w:lang w:val="en-AU"/>
        </w:rPr>
        <w:t>6</w:t>
      </w:r>
      <w:r w:rsidR="00104CDC" w:rsidRPr="004F2123">
        <w:rPr>
          <w:lang w:val="en-AU"/>
        </w:rPr>
        <w:t xml:space="preserve"> of the CBA.</w:t>
      </w:r>
    </w:p>
    <w:p w14:paraId="0B41E189" w14:textId="77777777" w:rsidR="00CE13FC" w:rsidRPr="00CE13FC" w:rsidRDefault="00CE13FC" w:rsidP="00104CDC">
      <w:pPr>
        <w:pStyle w:val="Heading3"/>
      </w:pPr>
      <w:bookmarkStart w:id="497" w:name="_Toc77249281"/>
      <w:bookmarkStart w:id="498" w:name="_Toc85540184"/>
      <w:bookmarkStart w:id="499" w:name="_Toc85626189"/>
      <w:bookmarkStart w:id="500" w:name="_Toc85635322"/>
      <w:bookmarkStart w:id="501" w:name="_Toc97643878"/>
      <w:bookmarkStart w:id="502" w:name="_Toc97653263"/>
      <w:bookmarkStart w:id="503" w:name="_Toc97739414"/>
      <w:bookmarkStart w:id="504" w:name="_Toc97823831"/>
      <w:bookmarkStart w:id="505" w:name="_Toc97823995"/>
      <w:bookmarkStart w:id="506" w:name="_Toc71212250"/>
      <w:r w:rsidRPr="00CE13FC">
        <w:t>Consumer response</w:t>
      </w:r>
      <w:bookmarkEnd w:id="497"/>
      <w:bookmarkEnd w:id="498"/>
      <w:bookmarkEnd w:id="499"/>
      <w:bookmarkEnd w:id="500"/>
      <w:bookmarkEnd w:id="501"/>
      <w:bookmarkEnd w:id="502"/>
      <w:bookmarkEnd w:id="503"/>
      <w:bookmarkEnd w:id="504"/>
      <w:bookmarkEnd w:id="505"/>
      <w:r w:rsidRPr="00CE13FC">
        <w:t xml:space="preserve"> </w:t>
      </w:r>
      <w:bookmarkEnd w:id="506"/>
    </w:p>
    <w:p w14:paraId="7976025B" w14:textId="5D063544" w:rsidR="00CE13FC" w:rsidRDefault="00CE13FC" w:rsidP="00CE13FC">
      <w:pPr>
        <w:rPr>
          <w:rFonts w:eastAsiaTheme="minorHAnsi"/>
          <w:lang w:val="en-AU"/>
        </w:rPr>
      </w:pPr>
      <w:r>
        <w:rPr>
          <w:lang w:val="en-AU"/>
        </w:rPr>
        <w:t>The proposed regulatory and non-regulatory food safety strategies have been estimated to translate into an increased consumer purchase cost and an increased demand from some consumers due to increased confidence in food safety.</w:t>
      </w:r>
      <w:r w:rsidR="00C70567">
        <w:rPr>
          <w:lang w:val="en-AU"/>
        </w:rPr>
        <w:t xml:space="preserve"> That said, purchase cost increases would negatively impact lower-income consumers the most.</w:t>
      </w:r>
    </w:p>
    <w:p w14:paraId="3F45691A" w14:textId="77777777" w:rsidR="00CE13FC" w:rsidRDefault="00CE13FC" w:rsidP="00CE13FC">
      <w:pPr>
        <w:rPr>
          <w:lang w:val="en-AU"/>
        </w:rPr>
      </w:pPr>
    </w:p>
    <w:p w14:paraId="021F3AF1" w14:textId="10A785FD" w:rsidR="006D5508" w:rsidRPr="00104CDC" w:rsidRDefault="00CE13FC" w:rsidP="007A0840">
      <w:pPr>
        <w:rPr>
          <w:lang w:val="en-AU"/>
        </w:rPr>
      </w:pPr>
      <w:r>
        <w:rPr>
          <w:lang w:val="en-AU"/>
        </w:rPr>
        <w:t xml:space="preserve">While available studies suggest that the net impact in terms of consumer demand should be relatively benign, further research is needed to offer a more definitive view. Details of the consumer research to date is provided in </w:t>
      </w:r>
      <w:r w:rsidRPr="004F2123">
        <w:rPr>
          <w:lang w:val="en-AU"/>
        </w:rPr>
        <w:t>Appendix </w:t>
      </w:r>
      <w:r w:rsidR="00F64CB7" w:rsidRPr="004F2123">
        <w:rPr>
          <w:lang w:val="en-AU"/>
        </w:rPr>
        <w:t>7</w:t>
      </w:r>
      <w:r w:rsidRPr="004F2123">
        <w:rPr>
          <w:lang w:val="en-AU"/>
        </w:rPr>
        <w:t xml:space="preserve"> of the CBA.</w:t>
      </w:r>
      <w:r>
        <w:rPr>
          <w:lang w:val="en-AU"/>
        </w:rPr>
        <w:t xml:space="preserve">  </w:t>
      </w:r>
      <w:bookmarkStart w:id="507" w:name="_Toc71106839"/>
      <w:bookmarkStart w:id="508" w:name="_Toc71106885"/>
      <w:bookmarkStart w:id="509" w:name="_Toc71108754"/>
      <w:bookmarkStart w:id="510" w:name="_Toc71108800"/>
      <w:bookmarkStart w:id="511" w:name="_Toc71108723"/>
      <w:bookmarkStart w:id="512" w:name="_Toc71212254"/>
      <w:bookmarkEnd w:id="507"/>
      <w:bookmarkEnd w:id="508"/>
      <w:bookmarkEnd w:id="509"/>
      <w:bookmarkEnd w:id="510"/>
      <w:bookmarkEnd w:id="511"/>
      <w:bookmarkEnd w:id="512"/>
    </w:p>
    <w:p w14:paraId="642FD5AA" w14:textId="60C2F115" w:rsidR="007A0840" w:rsidRPr="006D5508" w:rsidRDefault="00BF6DAE" w:rsidP="00104CDC">
      <w:pPr>
        <w:pStyle w:val="Heading3"/>
      </w:pPr>
      <w:bookmarkStart w:id="513" w:name="_Toc85540185"/>
      <w:bookmarkStart w:id="514" w:name="_Toc85626190"/>
      <w:bookmarkStart w:id="515" w:name="_Toc85635323"/>
      <w:bookmarkStart w:id="516" w:name="_Toc97643879"/>
      <w:bookmarkStart w:id="517" w:name="_Toc97653264"/>
      <w:bookmarkStart w:id="518" w:name="_Toc97739415"/>
      <w:bookmarkStart w:id="519" w:name="_Toc97823832"/>
      <w:bookmarkStart w:id="520" w:name="_Toc97823996"/>
      <w:r>
        <w:t>Non</w:t>
      </w:r>
      <w:r w:rsidR="006D5508" w:rsidRPr="006D5508">
        <w:t>-regulatory measures</w:t>
      </w:r>
      <w:bookmarkEnd w:id="513"/>
      <w:bookmarkEnd w:id="514"/>
      <w:bookmarkEnd w:id="515"/>
      <w:bookmarkEnd w:id="516"/>
      <w:bookmarkEnd w:id="517"/>
      <w:bookmarkEnd w:id="518"/>
      <w:bookmarkEnd w:id="519"/>
      <w:bookmarkEnd w:id="520"/>
    </w:p>
    <w:p w14:paraId="3546C82D" w14:textId="750E15F6" w:rsidR="003B2A0A" w:rsidRPr="009D2DA6" w:rsidRDefault="007A0840" w:rsidP="003B2A0A">
      <w:pPr>
        <w:rPr>
          <w:rFonts w:cs="Arial"/>
          <w:color w:val="000000" w:themeColor="text1"/>
        </w:rPr>
      </w:pPr>
      <w:r w:rsidRPr="009D2DA6">
        <w:rPr>
          <w:rFonts w:cs="Arial"/>
          <w:color w:val="000000" w:themeColor="text1"/>
        </w:rPr>
        <w:t>The additional non-regulatory mea</w:t>
      </w:r>
      <w:r w:rsidR="00BF6DAE" w:rsidRPr="009D2DA6">
        <w:rPr>
          <w:rFonts w:cs="Arial"/>
          <w:color w:val="000000" w:themeColor="text1"/>
        </w:rPr>
        <w:t>sures included in option 3 are described and costed below</w:t>
      </w:r>
      <w:r w:rsidR="00104CDC">
        <w:rPr>
          <w:rFonts w:cs="Arial"/>
          <w:color w:val="000000" w:themeColor="text1"/>
        </w:rPr>
        <w:t xml:space="preserve"> (Table </w:t>
      </w:r>
      <w:r w:rsidR="007F6F36">
        <w:rPr>
          <w:rFonts w:cs="Arial"/>
          <w:color w:val="000000" w:themeColor="text1"/>
        </w:rPr>
        <w:t>12</w:t>
      </w:r>
      <w:r w:rsidR="00104CDC">
        <w:rPr>
          <w:rFonts w:cs="Arial"/>
          <w:color w:val="000000" w:themeColor="text1"/>
        </w:rPr>
        <w:t>)</w:t>
      </w:r>
      <w:r w:rsidR="00BF6DAE" w:rsidRPr="009D2DA6">
        <w:rPr>
          <w:rFonts w:cs="Arial"/>
          <w:color w:val="000000" w:themeColor="text1"/>
        </w:rPr>
        <w:t>.</w:t>
      </w:r>
      <w:r w:rsidR="006A4B71" w:rsidRPr="009D2DA6">
        <w:rPr>
          <w:rFonts w:cs="Arial"/>
          <w:color w:val="000000" w:themeColor="text1"/>
        </w:rPr>
        <w:t xml:space="preserve"> </w:t>
      </w:r>
      <w:r w:rsidR="003B2A0A" w:rsidRPr="009D2DA6">
        <w:rPr>
          <w:rFonts w:cs="Arial"/>
          <w:color w:val="000000" w:themeColor="text1"/>
        </w:rPr>
        <w:t xml:space="preserve">The cost to individual businesses for reading the material, participating in webinars </w:t>
      </w:r>
      <w:r w:rsidR="00C764CF">
        <w:rPr>
          <w:rFonts w:cs="Arial"/>
          <w:color w:val="000000" w:themeColor="text1"/>
        </w:rPr>
        <w:t>and so on</w:t>
      </w:r>
      <w:r w:rsidR="003B2A0A" w:rsidRPr="009D2DA6">
        <w:rPr>
          <w:rFonts w:cs="Arial"/>
          <w:color w:val="000000" w:themeColor="text1"/>
        </w:rPr>
        <w:t xml:space="preserve"> has been included as the ‘initial costs of familiarising with new rules’. </w:t>
      </w:r>
    </w:p>
    <w:p w14:paraId="660EA74E" w14:textId="2D40F689" w:rsidR="003B2A0A" w:rsidRPr="009D2DA6" w:rsidRDefault="003B2A0A" w:rsidP="003B2A0A">
      <w:pPr>
        <w:rPr>
          <w:rFonts w:cs="Arial"/>
          <w:color w:val="000000" w:themeColor="text1"/>
        </w:rPr>
      </w:pPr>
    </w:p>
    <w:p w14:paraId="6D90F298" w14:textId="748284F1" w:rsidR="003B2A0A" w:rsidRPr="009D2DA6" w:rsidRDefault="003B2A0A" w:rsidP="007A0840">
      <w:pPr>
        <w:rPr>
          <w:rFonts w:cs="Arial"/>
          <w:color w:val="000000" w:themeColor="text1"/>
        </w:rPr>
      </w:pPr>
      <w:r w:rsidRPr="009D2DA6">
        <w:rPr>
          <w:rFonts w:cs="Arial"/>
          <w:color w:val="000000" w:themeColor="text1"/>
        </w:rPr>
        <w:t>FSANZ has also estimated costs to peak industry bodies for engagement in the non-regulatory measures and included these figures in all cost calculations.</w:t>
      </w:r>
      <w:r w:rsidR="00700687">
        <w:rPr>
          <w:rFonts w:cs="Arial"/>
          <w:color w:val="000000" w:themeColor="text1"/>
        </w:rPr>
        <w:t xml:space="preserve"> </w:t>
      </w:r>
      <w:r w:rsidRPr="009D2DA6">
        <w:rPr>
          <w:rFonts w:cs="Arial"/>
          <w:color w:val="000000" w:themeColor="text1"/>
        </w:rPr>
        <w:t>However, non-regulatory activities are not legislated and there is no mandated requirement for industry to pa</w:t>
      </w:r>
      <w:r w:rsidR="00104CDC">
        <w:rPr>
          <w:rFonts w:cs="Arial"/>
          <w:color w:val="000000" w:themeColor="text1"/>
        </w:rPr>
        <w:t xml:space="preserve">rticipate in these activities. </w:t>
      </w:r>
      <w:r w:rsidR="007F6F36">
        <w:rPr>
          <w:rFonts w:cs="Arial"/>
          <w:color w:val="000000" w:themeColor="text1"/>
        </w:rPr>
        <w:t>Industry has also indicated th</w:t>
      </w:r>
      <w:r w:rsidR="007E28E7">
        <w:rPr>
          <w:rFonts w:cs="Arial"/>
          <w:color w:val="000000" w:themeColor="text1"/>
        </w:rPr>
        <w:t xml:space="preserve">eir interest in working with government to </w:t>
      </w:r>
      <w:r w:rsidR="007F6F36">
        <w:rPr>
          <w:rFonts w:cs="Arial"/>
          <w:color w:val="000000" w:themeColor="text1"/>
        </w:rPr>
        <w:t>produce other helpful materials, including different types of media in multiple languages.</w:t>
      </w:r>
    </w:p>
    <w:p w14:paraId="3C8C266A" w14:textId="201AC083" w:rsidR="00605CF5" w:rsidRDefault="00605CF5" w:rsidP="007A0840">
      <w:pPr>
        <w:rPr>
          <w:rFonts w:cs="Arial"/>
          <w:color w:val="000000" w:themeColor="text1"/>
        </w:rPr>
      </w:pPr>
    </w:p>
    <w:p w14:paraId="471AF2E0" w14:textId="2CD7106A" w:rsidR="00BF6DAE" w:rsidRPr="00BF6DAE" w:rsidRDefault="00BF6DAE" w:rsidP="00BF6DAE">
      <w:pPr>
        <w:rPr>
          <w:b/>
        </w:rPr>
      </w:pPr>
      <w:r w:rsidRPr="002447A1">
        <w:rPr>
          <w:b/>
        </w:rPr>
        <w:t xml:space="preserve">Table </w:t>
      </w:r>
      <w:r w:rsidR="007F6F36">
        <w:rPr>
          <w:b/>
          <w:color w:val="000000" w:themeColor="text1"/>
        </w:rPr>
        <w:t>12</w:t>
      </w:r>
      <w:r w:rsidR="00DF44D1">
        <w:rPr>
          <w:b/>
          <w:color w:val="000000" w:themeColor="text1"/>
        </w:rPr>
        <w:t xml:space="preserve">. </w:t>
      </w:r>
      <w:r>
        <w:rPr>
          <w:b/>
        </w:rPr>
        <w:t>Proposed non-regulatory measures and costs</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8"/>
        <w:gridCol w:w="3627"/>
        <w:gridCol w:w="2040"/>
        <w:gridCol w:w="2107"/>
      </w:tblGrid>
      <w:tr w:rsidR="00BF6DAE" w:rsidRPr="009D2DA6" w14:paraId="2586C9E8" w14:textId="77777777" w:rsidTr="0088377D">
        <w:tc>
          <w:tcPr>
            <w:tcW w:w="1408" w:type="dxa"/>
            <w:shd w:val="clear" w:color="auto" w:fill="8DB3E2" w:themeFill="text2" w:themeFillTint="66"/>
            <w:tcMar>
              <w:top w:w="0" w:type="dxa"/>
              <w:left w:w="108" w:type="dxa"/>
              <w:bottom w:w="0" w:type="dxa"/>
              <w:right w:w="108" w:type="dxa"/>
            </w:tcMar>
            <w:hideMark/>
          </w:tcPr>
          <w:p w14:paraId="6FE46924" w14:textId="77777777" w:rsidR="00BF6DAE" w:rsidRPr="009D2DA6" w:rsidRDefault="00BF6DAE" w:rsidP="00BF6DAE">
            <w:pPr>
              <w:rPr>
                <w:rFonts w:cs="Arial"/>
                <w:b/>
                <w:bCs/>
              </w:rPr>
            </w:pPr>
            <w:r w:rsidRPr="009D2DA6">
              <w:rPr>
                <w:rFonts w:cs="Arial"/>
                <w:b/>
              </w:rPr>
              <w:t xml:space="preserve">Activity </w:t>
            </w:r>
          </w:p>
        </w:tc>
        <w:tc>
          <w:tcPr>
            <w:tcW w:w="3627" w:type="dxa"/>
            <w:shd w:val="clear" w:color="auto" w:fill="8DB3E2" w:themeFill="text2" w:themeFillTint="66"/>
            <w:tcMar>
              <w:top w:w="0" w:type="dxa"/>
              <w:left w:w="108" w:type="dxa"/>
              <w:bottom w:w="0" w:type="dxa"/>
              <w:right w:w="108" w:type="dxa"/>
            </w:tcMar>
            <w:hideMark/>
          </w:tcPr>
          <w:p w14:paraId="28A28E41" w14:textId="77777777" w:rsidR="00BF6DAE" w:rsidRPr="009D2DA6" w:rsidRDefault="00BF6DAE" w:rsidP="00BF6DAE">
            <w:pPr>
              <w:rPr>
                <w:rFonts w:cs="Arial"/>
                <w:b/>
              </w:rPr>
            </w:pPr>
            <w:r w:rsidRPr="009D2DA6">
              <w:rPr>
                <w:rFonts w:cs="Arial"/>
                <w:b/>
              </w:rPr>
              <w:t xml:space="preserve">Who </w:t>
            </w:r>
          </w:p>
        </w:tc>
        <w:tc>
          <w:tcPr>
            <w:tcW w:w="2040" w:type="dxa"/>
            <w:shd w:val="clear" w:color="auto" w:fill="8DB3E2" w:themeFill="text2" w:themeFillTint="66"/>
            <w:tcMar>
              <w:top w:w="0" w:type="dxa"/>
              <w:left w:w="108" w:type="dxa"/>
              <w:bottom w:w="0" w:type="dxa"/>
              <w:right w:w="108" w:type="dxa"/>
            </w:tcMar>
            <w:hideMark/>
          </w:tcPr>
          <w:p w14:paraId="7F3816F8" w14:textId="3FF55050" w:rsidR="00BF6DAE" w:rsidRPr="009D2DA6" w:rsidRDefault="00BF6DAE" w:rsidP="00BF6DAE">
            <w:pPr>
              <w:rPr>
                <w:rFonts w:cs="Arial"/>
                <w:b/>
              </w:rPr>
            </w:pPr>
            <w:r w:rsidRPr="009D2DA6">
              <w:rPr>
                <w:rFonts w:cs="Arial"/>
                <w:b/>
              </w:rPr>
              <w:t xml:space="preserve">Cost to </w:t>
            </w:r>
            <w:r w:rsidR="00D26508" w:rsidRPr="009D2DA6">
              <w:rPr>
                <w:rFonts w:cs="Arial"/>
                <w:b/>
              </w:rPr>
              <w:t>jurisdictions</w:t>
            </w:r>
            <w:r w:rsidR="00E645DE">
              <w:rPr>
                <w:rFonts w:cs="Arial"/>
                <w:b/>
              </w:rPr>
              <w:t xml:space="preserve"> $</w:t>
            </w:r>
          </w:p>
        </w:tc>
        <w:tc>
          <w:tcPr>
            <w:tcW w:w="2107" w:type="dxa"/>
            <w:shd w:val="clear" w:color="auto" w:fill="8DB3E2" w:themeFill="text2" w:themeFillTint="66"/>
          </w:tcPr>
          <w:p w14:paraId="25D6339D" w14:textId="319D7D8C" w:rsidR="00BF6DAE" w:rsidRPr="009D2DA6" w:rsidRDefault="00BF6DAE" w:rsidP="00BF6DAE">
            <w:pPr>
              <w:ind w:left="133"/>
              <w:rPr>
                <w:rFonts w:cs="Arial"/>
                <w:b/>
              </w:rPr>
            </w:pPr>
            <w:r w:rsidRPr="009D2DA6">
              <w:rPr>
                <w:rFonts w:cs="Arial"/>
                <w:b/>
              </w:rPr>
              <w:t xml:space="preserve">Cost to </w:t>
            </w:r>
            <w:r w:rsidR="00D26508" w:rsidRPr="009D2DA6">
              <w:rPr>
                <w:rFonts w:cs="Arial"/>
                <w:b/>
              </w:rPr>
              <w:t>industry</w:t>
            </w:r>
            <w:r w:rsidR="00D04C84">
              <w:rPr>
                <w:rFonts w:cs="Arial"/>
                <w:b/>
              </w:rPr>
              <w:t xml:space="preserve"> $</w:t>
            </w:r>
          </w:p>
        </w:tc>
      </w:tr>
      <w:tr w:rsidR="00BF6DAE" w:rsidRPr="009D2DA6" w14:paraId="009712C3" w14:textId="77777777" w:rsidTr="0088377D">
        <w:trPr>
          <w:trHeight w:val="1098"/>
        </w:trPr>
        <w:tc>
          <w:tcPr>
            <w:tcW w:w="1408" w:type="dxa"/>
            <w:tcMar>
              <w:top w:w="0" w:type="dxa"/>
              <w:left w:w="108" w:type="dxa"/>
              <w:bottom w:w="0" w:type="dxa"/>
              <w:right w:w="108" w:type="dxa"/>
            </w:tcMar>
            <w:hideMark/>
          </w:tcPr>
          <w:p w14:paraId="3EFC81C7" w14:textId="77777777" w:rsidR="00BF6DAE" w:rsidRPr="009D2DA6" w:rsidRDefault="00BF6DAE" w:rsidP="00BF6DAE">
            <w:pPr>
              <w:rPr>
                <w:rFonts w:cs="Arial"/>
                <w:lang w:val="en-AU"/>
              </w:rPr>
            </w:pPr>
            <w:r w:rsidRPr="009D2DA6">
              <w:rPr>
                <w:rFonts w:cs="Arial"/>
                <w:lang w:val="en-AU"/>
              </w:rPr>
              <w:t>Fact sheets</w:t>
            </w:r>
          </w:p>
        </w:tc>
        <w:tc>
          <w:tcPr>
            <w:tcW w:w="3627" w:type="dxa"/>
            <w:tcMar>
              <w:top w:w="0" w:type="dxa"/>
              <w:left w:w="108" w:type="dxa"/>
              <w:bottom w:w="0" w:type="dxa"/>
              <w:right w:w="108" w:type="dxa"/>
            </w:tcMar>
            <w:hideMark/>
          </w:tcPr>
          <w:p w14:paraId="780B877B" w14:textId="6B76F9DE" w:rsidR="00BF6DAE" w:rsidRPr="009D2DA6" w:rsidRDefault="00FD298C" w:rsidP="00BF6DAE">
            <w:pPr>
              <w:rPr>
                <w:rFonts w:cs="Arial"/>
                <w:lang w:val="en-AU"/>
              </w:rPr>
            </w:pPr>
            <w:r>
              <w:rPr>
                <w:rFonts w:cs="Arial"/>
                <w:lang w:val="en-AU"/>
              </w:rPr>
              <w:t>Created by FSANZ</w:t>
            </w:r>
            <w:r w:rsidR="00BF6DAE" w:rsidRPr="009D2DA6">
              <w:rPr>
                <w:rFonts w:cs="Arial"/>
                <w:lang w:val="en-AU"/>
              </w:rPr>
              <w:t xml:space="preserve"> in consultation with jurisdictions and peak industry bodies.</w:t>
            </w:r>
          </w:p>
          <w:p w14:paraId="1B7238FA" w14:textId="77777777" w:rsidR="00BF6DAE" w:rsidRPr="009D2DA6" w:rsidRDefault="00BF6DAE" w:rsidP="00BF6DAE">
            <w:pPr>
              <w:rPr>
                <w:rFonts w:cs="Arial"/>
                <w:lang w:val="en-AU"/>
              </w:rPr>
            </w:pPr>
            <w:r w:rsidRPr="009D2DA6">
              <w:rPr>
                <w:rFonts w:cs="Arial"/>
                <w:lang w:val="en-AU"/>
              </w:rPr>
              <w:t>Printed and displayed by industry.</w:t>
            </w:r>
          </w:p>
        </w:tc>
        <w:tc>
          <w:tcPr>
            <w:tcW w:w="2040" w:type="dxa"/>
            <w:tcMar>
              <w:top w:w="0" w:type="dxa"/>
              <w:left w:w="108" w:type="dxa"/>
              <w:bottom w:w="0" w:type="dxa"/>
              <w:right w:w="108" w:type="dxa"/>
            </w:tcMar>
          </w:tcPr>
          <w:p w14:paraId="080094E2" w14:textId="3B1C88E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D26508" w:rsidRPr="00E645DE">
              <w:rPr>
                <w:rFonts w:cs="Arial"/>
                <w:lang w:val="en-AU"/>
              </w:rPr>
              <w:t>631</w:t>
            </w:r>
          </w:p>
          <w:p w14:paraId="195C4F36" w14:textId="77777777" w:rsidR="00BF6DAE" w:rsidRPr="009D2DA6" w:rsidRDefault="00BF6DAE" w:rsidP="00BF6DAE">
            <w:pPr>
              <w:rPr>
                <w:rFonts w:cs="Arial"/>
                <w:lang w:val="en-AU"/>
              </w:rPr>
            </w:pPr>
          </w:p>
          <w:p w14:paraId="243D362A" w14:textId="57F5D30A" w:rsidR="00BF6DAE" w:rsidRPr="009D2DA6" w:rsidRDefault="00BF6DAE" w:rsidP="00BF6DAE">
            <w:pPr>
              <w:rPr>
                <w:rFonts w:cs="Arial"/>
                <w:lang w:val="en-AU"/>
              </w:rPr>
            </w:pPr>
          </w:p>
        </w:tc>
        <w:tc>
          <w:tcPr>
            <w:tcW w:w="2107" w:type="dxa"/>
            <w:vMerge w:val="restart"/>
          </w:tcPr>
          <w:p w14:paraId="5B53A7F9" w14:textId="5933FEED" w:rsidR="00BF6DAE" w:rsidRPr="009D2DA6" w:rsidRDefault="00BF6DAE" w:rsidP="00BF6DAE">
            <w:pPr>
              <w:ind w:left="133"/>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FB3169" w:rsidRPr="009D2DA6">
              <w:rPr>
                <w:rFonts w:cs="Arial"/>
                <w:lang w:val="en-AU"/>
              </w:rPr>
              <w:t>240</w:t>
            </w:r>
          </w:p>
          <w:p w14:paraId="3B7A251D" w14:textId="77777777" w:rsidR="00BF6DAE" w:rsidRPr="009D2DA6" w:rsidRDefault="00BF6DAE" w:rsidP="00BF6DAE">
            <w:pPr>
              <w:ind w:left="133"/>
              <w:rPr>
                <w:rFonts w:cs="Arial"/>
                <w:lang w:val="en-AU"/>
              </w:rPr>
            </w:pPr>
          </w:p>
          <w:p w14:paraId="7EB77414" w14:textId="173A87D8" w:rsidR="00BF6DAE" w:rsidRPr="009D2DA6" w:rsidRDefault="00BF6DAE" w:rsidP="00BF6DAE">
            <w:pPr>
              <w:ind w:left="133"/>
              <w:rPr>
                <w:rFonts w:cs="Arial"/>
                <w:lang w:val="en-AU"/>
              </w:rPr>
            </w:pPr>
            <w:r w:rsidRPr="009D2DA6">
              <w:rPr>
                <w:rFonts w:cs="Arial"/>
                <w:lang w:val="en-AU"/>
              </w:rPr>
              <w:t>The costs of</w:t>
            </w:r>
            <w:r w:rsidR="00FB3169" w:rsidRPr="009D2DA6">
              <w:rPr>
                <w:rFonts w:cs="Arial"/>
                <w:lang w:val="en-AU"/>
              </w:rPr>
              <w:t xml:space="preserve"> industry</w:t>
            </w:r>
            <w:r w:rsidRPr="009D2DA6">
              <w:rPr>
                <w:rFonts w:cs="Arial"/>
                <w:lang w:val="en-AU"/>
              </w:rPr>
              <w:t xml:space="preserve"> </w:t>
            </w:r>
            <w:r w:rsidR="00FB3169" w:rsidRPr="009D2DA6">
              <w:rPr>
                <w:rFonts w:cs="Arial"/>
                <w:lang w:val="en-AU"/>
              </w:rPr>
              <w:t xml:space="preserve">peak body </w:t>
            </w:r>
            <w:r w:rsidR="00FB3169" w:rsidRPr="009D2DA6">
              <w:rPr>
                <w:rFonts w:cs="Arial"/>
                <w:lang w:val="en-AU"/>
              </w:rPr>
              <w:lastRenderedPageBreak/>
              <w:t>representatives collaborating in the design of fact sheets, animations and webinars and attending f</w:t>
            </w:r>
            <w:r w:rsidR="00BD7FF0" w:rsidRPr="009D2DA6">
              <w:rPr>
                <w:rFonts w:cs="Arial"/>
                <w:lang w:val="en-AU"/>
              </w:rPr>
              <w:t>a</w:t>
            </w:r>
            <w:r w:rsidR="00FB3169" w:rsidRPr="009D2DA6">
              <w:rPr>
                <w:rFonts w:cs="Arial"/>
                <w:lang w:val="en-AU"/>
              </w:rPr>
              <w:t>ce-to-face meetings</w:t>
            </w:r>
            <w:r w:rsidRPr="009D2DA6">
              <w:rPr>
                <w:rFonts w:cs="Arial"/>
                <w:lang w:val="en-AU"/>
              </w:rPr>
              <w:t>.</w:t>
            </w:r>
          </w:p>
          <w:p w14:paraId="4B6519AE" w14:textId="244211AF" w:rsidR="00BF6DAE" w:rsidRPr="009D2DA6" w:rsidRDefault="00BF6DAE" w:rsidP="00F611C6">
            <w:pPr>
              <w:rPr>
                <w:rFonts w:cs="Arial"/>
                <w:lang w:val="en-AU"/>
              </w:rPr>
            </w:pPr>
          </w:p>
        </w:tc>
      </w:tr>
      <w:tr w:rsidR="00BF6DAE" w:rsidRPr="009D2DA6" w14:paraId="019F4026" w14:textId="77777777" w:rsidTr="0088377D">
        <w:trPr>
          <w:trHeight w:val="1401"/>
        </w:trPr>
        <w:tc>
          <w:tcPr>
            <w:tcW w:w="1408" w:type="dxa"/>
            <w:tcMar>
              <w:top w:w="0" w:type="dxa"/>
              <w:left w:w="108" w:type="dxa"/>
              <w:bottom w:w="0" w:type="dxa"/>
              <w:right w:w="108" w:type="dxa"/>
            </w:tcMar>
            <w:hideMark/>
          </w:tcPr>
          <w:p w14:paraId="3EB7818E" w14:textId="77777777" w:rsidR="00BF6DAE" w:rsidRPr="009D2DA6" w:rsidRDefault="00BF6DAE" w:rsidP="00BF6DAE">
            <w:pPr>
              <w:rPr>
                <w:rFonts w:cs="Arial"/>
                <w:lang w:val="en-AU"/>
              </w:rPr>
            </w:pPr>
            <w:r w:rsidRPr="009D2DA6">
              <w:rPr>
                <w:rFonts w:cs="Arial"/>
                <w:lang w:val="en-AU"/>
              </w:rPr>
              <w:lastRenderedPageBreak/>
              <w:t>Animations</w:t>
            </w:r>
          </w:p>
        </w:tc>
        <w:tc>
          <w:tcPr>
            <w:tcW w:w="3627" w:type="dxa"/>
            <w:tcMar>
              <w:top w:w="0" w:type="dxa"/>
              <w:left w:w="108" w:type="dxa"/>
              <w:bottom w:w="0" w:type="dxa"/>
              <w:right w:w="108" w:type="dxa"/>
            </w:tcMar>
            <w:hideMark/>
          </w:tcPr>
          <w:p w14:paraId="20F1FFB4" w14:textId="77777777" w:rsidR="00BF6DAE" w:rsidRPr="009D2DA6" w:rsidRDefault="00BF6DAE" w:rsidP="00BF6DAE">
            <w:pPr>
              <w:rPr>
                <w:rFonts w:cs="Arial"/>
                <w:lang w:val="en-AU"/>
              </w:rPr>
            </w:pPr>
            <w:r w:rsidRPr="009D2DA6">
              <w:rPr>
                <w:rFonts w:cs="Arial"/>
                <w:lang w:val="en-AU"/>
              </w:rPr>
              <w:t>Created by FSANZ  in consultation with jurisdiction and peak industry bodies.</w:t>
            </w:r>
          </w:p>
          <w:p w14:paraId="25639DD0" w14:textId="77777777"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9A9F885" w14:textId="35B0D936"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5</w:t>
            </w:r>
            <w:r w:rsidR="00E93FAA">
              <w:rPr>
                <w:rFonts w:cs="Arial"/>
                <w:lang w:val="en-AU"/>
              </w:rPr>
              <w:t>,</w:t>
            </w:r>
            <w:r w:rsidR="00D26508" w:rsidRPr="00E645DE">
              <w:rPr>
                <w:rFonts w:cs="Arial"/>
                <w:lang w:val="en-AU"/>
              </w:rPr>
              <w:t>586</w:t>
            </w:r>
          </w:p>
          <w:p w14:paraId="08AFFCDB" w14:textId="77777777" w:rsidR="00BF6DAE" w:rsidRPr="009D2DA6" w:rsidRDefault="00BF6DAE" w:rsidP="00BF6DAE">
            <w:pPr>
              <w:rPr>
                <w:rFonts w:cs="Arial"/>
                <w:lang w:val="en-AU"/>
              </w:rPr>
            </w:pPr>
          </w:p>
        </w:tc>
        <w:tc>
          <w:tcPr>
            <w:tcW w:w="2107" w:type="dxa"/>
            <w:vMerge/>
          </w:tcPr>
          <w:p w14:paraId="62841ED2" w14:textId="77777777" w:rsidR="00BF6DAE" w:rsidRPr="009D2DA6" w:rsidRDefault="00BF6DAE" w:rsidP="00BF6DAE">
            <w:pPr>
              <w:rPr>
                <w:rFonts w:cs="Arial"/>
                <w:lang w:val="en-AU"/>
              </w:rPr>
            </w:pPr>
          </w:p>
        </w:tc>
      </w:tr>
      <w:tr w:rsidR="00BF6DAE" w:rsidRPr="009D2DA6" w14:paraId="32898C32" w14:textId="77777777" w:rsidTr="0088377D">
        <w:trPr>
          <w:trHeight w:val="840"/>
        </w:trPr>
        <w:tc>
          <w:tcPr>
            <w:tcW w:w="1408" w:type="dxa"/>
            <w:tcMar>
              <w:top w:w="0" w:type="dxa"/>
              <w:left w:w="108" w:type="dxa"/>
              <w:bottom w:w="0" w:type="dxa"/>
              <w:right w:w="108" w:type="dxa"/>
            </w:tcMar>
            <w:hideMark/>
          </w:tcPr>
          <w:p w14:paraId="556CADD2" w14:textId="77777777" w:rsidR="00BF6DAE" w:rsidRPr="009D2DA6" w:rsidRDefault="00BF6DAE" w:rsidP="00BF6DAE">
            <w:pPr>
              <w:rPr>
                <w:rFonts w:cs="Arial"/>
                <w:lang w:val="en-AU"/>
              </w:rPr>
            </w:pPr>
            <w:r w:rsidRPr="009D2DA6">
              <w:rPr>
                <w:rFonts w:cs="Arial"/>
                <w:lang w:val="en-AU"/>
              </w:rPr>
              <w:t>Links to useful resources</w:t>
            </w:r>
          </w:p>
        </w:tc>
        <w:tc>
          <w:tcPr>
            <w:tcW w:w="3627" w:type="dxa"/>
            <w:tcMar>
              <w:top w:w="0" w:type="dxa"/>
              <w:left w:w="108" w:type="dxa"/>
              <w:bottom w:w="0" w:type="dxa"/>
              <w:right w:w="108" w:type="dxa"/>
            </w:tcMar>
            <w:hideMark/>
          </w:tcPr>
          <w:p w14:paraId="45553E16" w14:textId="494DC830" w:rsidR="00BF6DAE" w:rsidRPr="009D2DA6" w:rsidRDefault="00BF6DAE" w:rsidP="00BF6DAE">
            <w:pPr>
              <w:rPr>
                <w:rFonts w:cs="Arial"/>
                <w:lang w:val="en-AU"/>
              </w:rPr>
            </w:pPr>
            <w:r w:rsidRPr="009D2DA6">
              <w:rPr>
                <w:rFonts w:cs="Arial"/>
                <w:lang w:val="en-AU"/>
              </w:rPr>
              <w:t>Provided by FSANZ</w:t>
            </w:r>
            <w:r w:rsidR="003B74BB">
              <w:rPr>
                <w:rFonts w:cs="Arial"/>
                <w:lang w:val="en-AU"/>
              </w:rPr>
              <w:t>.</w:t>
            </w:r>
            <w:r w:rsidRPr="009D2DA6">
              <w:rPr>
                <w:rFonts w:cs="Arial"/>
                <w:lang w:val="en-AU"/>
              </w:rPr>
              <w:t xml:space="preserve">  </w:t>
            </w:r>
          </w:p>
          <w:p w14:paraId="76783955" w14:textId="77777777" w:rsidR="00BF6DAE" w:rsidRPr="009D2DA6" w:rsidRDefault="00BF6DAE" w:rsidP="00BF6DAE">
            <w:pPr>
              <w:rPr>
                <w:rFonts w:cs="Arial"/>
                <w:lang w:val="en-AU"/>
              </w:rPr>
            </w:pPr>
            <w:r w:rsidRPr="009D2DA6">
              <w:rPr>
                <w:rFonts w:cs="Arial"/>
                <w:lang w:val="en-AU"/>
              </w:rPr>
              <w:t>Links to information used by industry.</w:t>
            </w:r>
          </w:p>
        </w:tc>
        <w:tc>
          <w:tcPr>
            <w:tcW w:w="2040" w:type="dxa"/>
            <w:tcMar>
              <w:top w:w="0" w:type="dxa"/>
              <w:left w:w="108" w:type="dxa"/>
              <w:bottom w:w="0" w:type="dxa"/>
              <w:right w:w="108" w:type="dxa"/>
            </w:tcMar>
          </w:tcPr>
          <w:p w14:paraId="7D3C67E3" w14:textId="5AB7869E" w:rsidR="00BF6DAE" w:rsidRPr="009D2DA6" w:rsidRDefault="00BF6DAE" w:rsidP="00BF6DAE">
            <w:pPr>
              <w:rPr>
                <w:rFonts w:cs="Arial"/>
                <w:lang w:val="en-AU"/>
              </w:rPr>
            </w:pPr>
            <w:r w:rsidRPr="009D2DA6">
              <w:rPr>
                <w:rFonts w:cs="Arial"/>
                <w:lang w:val="en-AU"/>
              </w:rPr>
              <w:t xml:space="preserve">Subtotal = </w:t>
            </w:r>
            <w:r w:rsidR="00D26508" w:rsidRPr="00E645DE">
              <w:rPr>
                <w:rFonts w:cs="Arial"/>
                <w:lang w:val="en-AU"/>
              </w:rPr>
              <w:t>353</w:t>
            </w:r>
          </w:p>
          <w:p w14:paraId="116A72F8" w14:textId="77777777" w:rsidR="00BF6DAE" w:rsidRPr="009D2DA6" w:rsidRDefault="00BF6DAE" w:rsidP="00BF6DAE">
            <w:pPr>
              <w:rPr>
                <w:rFonts w:cs="Arial"/>
                <w:lang w:val="en-AU"/>
              </w:rPr>
            </w:pPr>
          </w:p>
        </w:tc>
        <w:tc>
          <w:tcPr>
            <w:tcW w:w="2107" w:type="dxa"/>
            <w:vMerge/>
          </w:tcPr>
          <w:p w14:paraId="3BC93F2E" w14:textId="77777777" w:rsidR="00BF6DAE" w:rsidRPr="009D2DA6" w:rsidRDefault="00BF6DAE" w:rsidP="00BF6DAE">
            <w:pPr>
              <w:rPr>
                <w:rFonts w:cs="Arial"/>
                <w:lang w:val="en-AU"/>
              </w:rPr>
            </w:pPr>
          </w:p>
        </w:tc>
      </w:tr>
      <w:tr w:rsidR="00BF6DAE" w:rsidRPr="009D2DA6" w14:paraId="7FCF6C7C" w14:textId="77777777" w:rsidTr="0088377D">
        <w:trPr>
          <w:trHeight w:val="2100"/>
        </w:trPr>
        <w:tc>
          <w:tcPr>
            <w:tcW w:w="1408" w:type="dxa"/>
            <w:tcMar>
              <w:top w:w="0" w:type="dxa"/>
              <w:left w:w="108" w:type="dxa"/>
              <w:bottom w:w="0" w:type="dxa"/>
              <w:right w:w="108" w:type="dxa"/>
            </w:tcMar>
            <w:hideMark/>
          </w:tcPr>
          <w:p w14:paraId="61D434C0" w14:textId="77777777" w:rsidR="00BF6DAE" w:rsidRPr="009D2DA6" w:rsidRDefault="00BF6DAE" w:rsidP="00BF6DAE">
            <w:pPr>
              <w:rPr>
                <w:rFonts w:cs="Arial"/>
                <w:lang w:val="en-AU"/>
              </w:rPr>
            </w:pPr>
            <w:r w:rsidRPr="009D2DA6">
              <w:rPr>
                <w:rFonts w:cs="Arial"/>
                <w:lang w:val="en-AU"/>
              </w:rPr>
              <w:t>Webinars</w:t>
            </w:r>
          </w:p>
        </w:tc>
        <w:tc>
          <w:tcPr>
            <w:tcW w:w="3627" w:type="dxa"/>
            <w:tcMar>
              <w:top w:w="0" w:type="dxa"/>
              <w:left w:w="108" w:type="dxa"/>
              <w:bottom w:w="0" w:type="dxa"/>
              <w:right w:w="108" w:type="dxa"/>
            </w:tcMar>
          </w:tcPr>
          <w:p w14:paraId="24F89ABE" w14:textId="77777777" w:rsidR="00BF6DAE" w:rsidRPr="009D2DA6" w:rsidRDefault="00BF6DAE" w:rsidP="00BF6DAE">
            <w:pPr>
              <w:rPr>
                <w:rFonts w:cs="Arial"/>
                <w:lang w:val="en-AU"/>
              </w:rPr>
            </w:pPr>
            <w:r w:rsidRPr="009D2DA6">
              <w:rPr>
                <w:rFonts w:cs="Arial"/>
                <w:lang w:val="en-AU"/>
              </w:rPr>
              <w:t xml:space="preserve">Prepared by FSANZ and jurisdictions and peak industry bodies. </w:t>
            </w:r>
          </w:p>
          <w:p w14:paraId="3A67945B" w14:textId="24FA40FE" w:rsidR="00BF6DAE" w:rsidRPr="009D2DA6" w:rsidRDefault="00BF6DAE" w:rsidP="00BF6DAE">
            <w:pPr>
              <w:rPr>
                <w:rFonts w:cs="Arial"/>
                <w:lang w:val="en-AU"/>
              </w:rPr>
            </w:pPr>
            <w:r w:rsidRPr="009D2DA6">
              <w:rPr>
                <w:rFonts w:cs="Arial"/>
                <w:lang w:val="en-AU"/>
              </w:rPr>
              <w:t>Delivered by FSANZ and jurisdictions and peak industry bodies.</w:t>
            </w:r>
          </w:p>
          <w:p w14:paraId="1FAE41AC" w14:textId="55B49F10"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B1A221F" w14:textId="5E95A890"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8F0C59">
              <w:rPr>
                <w:rFonts w:cs="Arial"/>
                <w:lang w:val="en-AU"/>
              </w:rPr>
              <w:t>,</w:t>
            </w:r>
            <w:r w:rsidR="00D26508" w:rsidRPr="00E645DE">
              <w:rPr>
                <w:rFonts w:cs="Arial"/>
                <w:lang w:val="en-AU"/>
              </w:rPr>
              <w:t>703</w:t>
            </w:r>
          </w:p>
          <w:p w14:paraId="349BF9C5" w14:textId="77777777" w:rsidR="00BF6DAE" w:rsidRPr="009D2DA6" w:rsidRDefault="00BF6DAE" w:rsidP="00BF6DAE">
            <w:pPr>
              <w:rPr>
                <w:rFonts w:cs="Arial"/>
                <w:lang w:val="en-AU"/>
              </w:rPr>
            </w:pPr>
          </w:p>
        </w:tc>
        <w:tc>
          <w:tcPr>
            <w:tcW w:w="2107" w:type="dxa"/>
            <w:vMerge/>
          </w:tcPr>
          <w:p w14:paraId="5EC9D3CE" w14:textId="77777777" w:rsidR="00BF6DAE" w:rsidRPr="009D2DA6" w:rsidRDefault="00BF6DAE" w:rsidP="00BF6DAE">
            <w:pPr>
              <w:rPr>
                <w:rFonts w:cs="Arial"/>
                <w:lang w:val="en-AU"/>
              </w:rPr>
            </w:pPr>
          </w:p>
        </w:tc>
      </w:tr>
      <w:tr w:rsidR="00BF6DAE" w:rsidRPr="009D2DA6" w14:paraId="4B4C4DC8" w14:textId="77777777" w:rsidTr="0088377D">
        <w:trPr>
          <w:trHeight w:val="907"/>
        </w:trPr>
        <w:tc>
          <w:tcPr>
            <w:tcW w:w="1408" w:type="dxa"/>
            <w:tcMar>
              <w:top w:w="0" w:type="dxa"/>
              <w:left w:w="108" w:type="dxa"/>
              <w:bottom w:w="0" w:type="dxa"/>
              <w:right w:w="108" w:type="dxa"/>
            </w:tcMar>
            <w:hideMark/>
          </w:tcPr>
          <w:p w14:paraId="038CB487" w14:textId="2BEB34D1" w:rsidR="00BF6DAE" w:rsidRPr="009D2DA6" w:rsidRDefault="00BF6DAE" w:rsidP="00F611C6">
            <w:pPr>
              <w:ind w:right="-111"/>
              <w:rPr>
                <w:rFonts w:cs="Arial"/>
                <w:lang w:val="en-AU"/>
              </w:rPr>
            </w:pPr>
            <w:r w:rsidRPr="009D2DA6">
              <w:rPr>
                <w:rFonts w:cs="Arial"/>
                <w:lang w:val="en-AU"/>
              </w:rPr>
              <w:t>Face</w:t>
            </w:r>
            <w:r w:rsidR="00E645DE">
              <w:rPr>
                <w:rFonts w:cs="Arial"/>
                <w:lang w:val="en-AU"/>
              </w:rPr>
              <w:t>-</w:t>
            </w:r>
            <w:r w:rsidR="00F611C6">
              <w:rPr>
                <w:rFonts w:cs="Arial"/>
                <w:lang w:val="en-AU"/>
              </w:rPr>
              <w:t>to face meetings with industry</w:t>
            </w:r>
          </w:p>
        </w:tc>
        <w:tc>
          <w:tcPr>
            <w:tcW w:w="3627" w:type="dxa"/>
            <w:tcMar>
              <w:top w:w="0" w:type="dxa"/>
              <w:left w:w="108" w:type="dxa"/>
              <w:bottom w:w="0" w:type="dxa"/>
              <w:right w:w="108" w:type="dxa"/>
            </w:tcMar>
          </w:tcPr>
          <w:p w14:paraId="593F065E" w14:textId="1C94A599" w:rsidR="00BF6DAE" w:rsidRPr="009D2DA6" w:rsidRDefault="00BF6DAE" w:rsidP="00E645DE">
            <w:pPr>
              <w:rPr>
                <w:rFonts w:cs="Arial"/>
                <w:lang w:val="en-AU"/>
              </w:rPr>
            </w:pPr>
            <w:r w:rsidRPr="009D2DA6">
              <w:rPr>
                <w:rFonts w:cs="Arial"/>
                <w:lang w:val="en-AU"/>
              </w:rPr>
              <w:t xml:space="preserve">Prepared </w:t>
            </w:r>
            <w:r w:rsidR="00E645DE">
              <w:rPr>
                <w:rFonts w:cs="Arial"/>
                <w:lang w:val="en-AU"/>
              </w:rPr>
              <w:t xml:space="preserve">and delivered </w:t>
            </w:r>
            <w:r w:rsidRPr="009D2DA6">
              <w:rPr>
                <w:rFonts w:cs="Arial"/>
                <w:lang w:val="en-AU"/>
              </w:rPr>
              <w:t>by FSANZ</w:t>
            </w:r>
            <w:r w:rsidR="00E645DE">
              <w:rPr>
                <w:rFonts w:cs="Arial"/>
                <w:lang w:val="en-AU"/>
              </w:rPr>
              <w:t>,</w:t>
            </w:r>
            <w:r w:rsidRPr="009D2DA6">
              <w:rPr>
                <w:rFonts w:cs="Arial"/>
                <w:lang w:val="en-AU"/>
              </w:rPr>
              <w:t xml:space="preserve"> jurisdictions and peak industry bodies. </w:t>
            </w:r>
          </w:p>
        </w:tc>
        <w:tc>
          <w:tcPr>
            <w:tcW w:w="2040" w:type="dxa"/>
            <w:tcMar>
              <w:top w:w="0" w:type="dxa"/>
              <w:left w:w="108" w:type="dxa"/>
              <w:bottom w:w="0" w:type="dxa"/>
              <w:right w:w="108" w:type="dxa"/>
            </w:tcMar>
          </w:tcPr>
          <w:p w14:paraId="61E419A4" w14:textId="6EE98AE9" w:rsidR="00BF6DAE" w:rsidRPr="009D2DA6" w:rsidRDefault="00BF6DAE" w:rsidP="00BF6DAE">
            <w:pPr>
              <w:rPr>
                <w:rFonts w:cs="Arial"/>
                <w:lang w:val="en-AU"/>
              </w:rPr>
            </w:pPr>
            <w:r w:rsidRPr="009D2DA6">
              <w:rPr>
                <w:rFonts w:cs="Arial"/>
                <w:lang w:val="en-AU"/>
              </w:rPr>
              <w:t xml:space="preserve">Subtotal = </w:t>
            </w:r>
            <w:r w:rsidRPr="00E645DE">
              <w:rPr>
                <w:rFonts w:cs="Arial"/>
                <w:lang w:val="en-AU"/>
              </w:rPr>
              <w:t>16,</w:t>
            </w:r>
            <w:r w:rsidR="00D26508" w:rsidRPr="00E645DE">
              <w:rPr>
                <w:rFonts w:cs="Arial"/>
                <w:lang w:val="en-AU"/>
              </w:rPr>
              <w:t>735</w:t>
            </w:r>
          </w:p>
          <w:p w14:paraId="06B88C16" w14:textId="77777777" w:rsidR="00BF6DAE" w:rsidRPr="009D2DA6" w:rsidRDefault="00BF6DAE" w:rsidP="00BF6DAE">
            <w:pPr>
              <w:rPr>
                <w:rFonts w:cs="Arial"/>
                <w:lang w:val="en-AU"/>
              </w:rPr>
            </w:pPr>
          </w:p>
        </w:tc>
        <w:tc>
          <w:tcPr>
            <w:tcW w:w="2107" w:type="dxa"/>
            <w:vMerge/>
          </w:tcPr>
          <w:p w14:paraId="70E2E3DB" w14:textId="77777777" w:rsidR="00BF6DAE" w:rsidRPr="009D2DA6" w:rsidRDefault="00BF6DAE" w:rsidP="00BF6DAE">
            <w:pPr>
              <w:rPr>
                <w:rFonts w:cs="Arial"/>
                <w:lang w:val="en-AU"/>
              </w:rPr>
            </w:pPr>
          </w:p>
        </w:tc>
      </w:tr>
      <w:tr w:rsidR="009D2DA6" w:rsidRPr="009D2DA6" w14:paraId="4F732906" w14:textId="77777777" w:rsidTr="0088377D">
        <w:trPr>
          <w:trHeight w:val="393"/>
        </w:trPr>
        <w:tc>
          <w:tcPr>
            <w:tcW w:w="5035" w:type="dxa"/>
            <w:gridSpan w:val="2"/>
            <w:tcMar>
              <w:top w:w="0" w:type="dxa"/>
              <w:left w:w="108" w:type="dxa"/>
              <w:bottom w:w="0" w:type="dxa"/>
              <w:right w:w="108" w:type="dxa"/>
            </w:tcMar>
          </w:tcPr>
          <w:p w14:paraId="4950C9FF" w14:textId="77777777" w:rsidR="00BF6DAE" w:rsidRPr="009D2DA6" w:rsidRDefault="00BF6DAE" w:rsidP="00BF6DAE">
            <w:pPr>
              <w:rPr>
                <w:rFonts w:cs="Arial"/>
                <w:lang w:val="en-AU"/>
              </w:rPr>
            </w:pPr>
          </w:p>
        </w:tc>
        <w:tc>
          <w:tcPr>
            <w:tcW w:w="2040" w:type="dxa"/>
            <w:tcMar>
              <w:top w:w="0" w:type="dxa"/>
              <w:left w:w="108" w:type="dxa"/>
              <w:bottom w:w="0" w:type="dxa"/>
              <w:right w:w="108" w:type="dxa"/>
            </w:tcMar>
          </w:tcPr>
          <w:p w14:paraId="3B621B65" w14:textId="1507E1BE" w:rsidR="00BF6DAE" w:rsidRPr="009D2DA6" w:rsidRDefault="00BF6DAE" w:rsidP="00E93FAA">
            <w:pPr>
              <w:jc w:val="right"/>
              <w:rPr>
                <w:rFonts w:cs="Arial"/>
                <w:lang w:val="en-AU"/>
              </w:rPr>
            </w:pPr>
            <w:r w:rsidRPr="009D2DA6">
              <w:rPr>
                <w:rFonts w:cs="Arial"/>
                <w:lang w:val="en-AU"/>
              </w:rPr>
              <w:t xml:space="preserve">Total = </w:t>
            </w:r>
            <w:r w:rsidR="00D26508" w:rsidRPr="009D2DA6">
              <w:rPr>
                <w:rFonts w:cs="Arial"/>
                <w:b/>
                <w:lang w:val="en-AU"/>
              </w:rPr>
              <w:t>42,007</w:t>
            </w:r>
          </w:p>
        </w:tc>
        <w:tc>
          <w:tcPr>
            <w:tcW w:w="2107" w:type="dxa"/>
          </w:tcPr>
          <w:p w14:paraId="3DC1D0C7" w14:textId="2F917640" w:rsidR="00BF6DAE" w:rsidRPr="009D2DA6" w:rsidRDefault="00E93FAA" w:rsidP="00E93FAA">
            <w:pPr>
              <w:jc w:val="right"/>
              <w:rPr>
                <w:rFonts w:cs="Arial"/>
                <w:lang w:val="en-AU"/>
              </w:rPr>
            </w:pPr>
            <w:r>
              <w:rPr>
                <w:rFonts w:cs="Arial"/>
                <w:lang w:val="en-AU"/>
              </w:rPr>
              <w:t xml:space="preserve">Total = </w:t>
            </w:r>
            <w:r w:rsidR="004C5E13">
              <w:rPr>
                <w:rFonts w:cs="Arial"/>
                <w:b/>
                <w:bCs/>
                <w:lang w:val="en-AU"/>
              </w:rPr>
              <w:t>9</w:t>
            </w:r>
            <w:r w:rsidR="00F64CB7">
              <w:rPr>
                <w:rFonts w:cs="Arial"/>
                <w:b/>
                <w:bCs/>
                <w:lang w:val="en-AU"/>
              </w:rPr>
              <w:t>,</w:t>
            </w:r>
            <w:r w:rsidR="00FB3169" w:rsidRPr="009D2DA6">
              <w:rPr>
                <w:rFonts w:cs="Arial"/>
                <w:b/>
                <w:bCs/>
                <w:lang w:val="en-AU"/>
              </w:rPr>
              <w:t>240</w:t>
            </w:r>
          </w:p>
        </w:tc>
      </w:tr>
    </w:tbl>
    <w:p w14:paraId="3D582F4A" w14:textId="538FB12E" w:rsidR="00BF6DAE" w:rsidRDefault="00BF6DAE" w:rsidP="007A0840">
      <w:pPr>
        <w:rPr>
          <w:rFonts w:cs="Arial"/>
          <w:color w:val="000000" w:themeColor="text1"/>
        </w:rPr>
      </w:pPr>
    </w:p>
    <w:p w14:paraId="783F2821" w14:textId="0DDCF5DA" w:rsidR="00BF6DAE" w:rsidRDefault="00BF6DAE" w:rsidP="007A0840">
      <w:pPr>
        <w:rPr>
          <w:rFonts w:cs="Arial"/>
          <w:color w:val="000000" w:themeColor="text1"/>
        </w:rPr>
      </w:pPr>
      <w:r w:rsidRPr="00094D9D">
        <w:rPr>
          <w:rFonts w:cs="Arial"/>
          <w:color w:val="000000" w:themeColor="text1"/>
        </w:rPr>
        <w:t xml:space="preserve">The CBA concluded that the additional non-regulatory measures could be justified if they resulted in a </w:t>
      </w:r>
      <w:r w:rsidRPr="00094D9D">
        <w:rPr>
          <w:color w:val="000000" w:themeColor="text1"/>
          <w:lang w:val="en-AU"/>
        </w:rPr>
        <w:t xml:space="preserve">reduction of illness of </w:t>
      </w:r>
      <w:r w:rsidR="00F30FF0" w:rsidRPr="00094D9D">
        <w:rPr>
          <w:color w:val="000000" w:themeColor="text1"/>
          <w:lang w:val="en-AU"/>
        </w:rPr>
        <w:t xml:space="preserve">less </w:t>
      </w:r>
      <w:r w:rsidR="00F30FF0" w:rsidRPr="00A04F35">
        <w:rPr>
          <w:color w:val="000000" w:themeColor="text1"/>
          <w:lang w:val="en-AU"/>
        </w:rPr>
        <w:t>than</w:t>
      </w:r>
      <w:r w:rsidRPr="00A04F35">
        <w:rPr>
          <w:color w:val="000000" w:themeColor="text1"/>
          <w:lang w:val="en-AU"/>
        </w:rPr>
        <w:t xml:space="preserve"> 0.</w:t>
      </w:r>
      <w:r w:rsidR="00094D9D" w:rsidRPr="00A04F35">
        <w:rPr>
          <w:color w:val="000000" w:themeColor="text1"/>
          <w:lang w:val="en-AU"/>
        </w:rPr>
        <w:t>1</w:t>
      </w:r>
      <w:r w:rsidRPr="00A04F35">
        <w:rPr>
          <w:color w:val="000000" w:themeColor="text1"/>
          <w:lang w:val="en-AU"/>
        </w:rPr>
        <w:t>%</w:t>
      </w:r>
      <w:r w:rsidR="00FB3169" w:rsidRPr="00A04F35">
        <w:rPr>
          <w:color w:val="000000" w:themeColor="text1"/>
          <w:lang w:val="en-AU"/>
        </w:rPr>
        <w:t xml:space="preserve"> over</w:t>
      </w:r>
      <w:r w:rsidR="00FB3169" w:rsidRPr="009D2DA6">
        <w:rPr>
          <w:color w:val="000000" w:themeColor="text1"/>
          <w:lang w:val="en-AU"/>
        </w:rPr>
        <w:t xml:space="preserve"> ten years</w:t>
      </w:r>
      <w:r w:rsidRPr="009D2DA6">
        <w:rPr>
          <w:color w:val="000000" w:themeColor="text1"/>
          <w:lang w:val="en-AU"/>
        </w:rPr>
        <w:t>.</w:t>
      </w:r>
      <w:r w:rsidRPr="009D2DA6">
        <w:rPr>
          <w:rFonts w:cs="Arial"/>
          <w:color w:val="000000" w:themeColor="text1"/>
        </w:rPr>
        <w:t xml:space="preserve"> Given this, option 3 (rather than option 2) is FSANZ’s preferred option.</w:t>
      </w:r>
    </w:p>
    <w:p w14:paraId="3594F343" w14:textId="01710B34" w:rsidR="00A2501B" w:rsidRPr="00A2501B" w:rsidRDefault="00A2501B" w:rsidP="00104CDC">
      <w:pPr>
        <w:pStyle w:val="Heading3"/>
      </w:pPr>
      <w:bookmarkStart w:id="521" w:name="_Toc85540186"/>
      <w:bookmarkStart w:id="522" w:name="_Toc85626191"/>
      <w:bookmarkStart w:id="523" w:name="_Toc85635324"/>
      <w:bookmarkStart w:id="524" w:name="_Toc97643880"/>
      <w:bookmarkStart w:id="525" w:name="_Toc97653265"/>
      <w:bookmarkStart w:id="526" w:name="_Toc97739416"/>
      <w:bookmarkStart w:id="527" w:name="_Toc97823833"/>
      <w:bookmarkStart w:id="528" w:name="_Toc97823997"/>
      <w:r>
        <w:t>Other i</w:t>
      </w:r>
      <w:r w:rsidRPr="00A2501B">
        <w:t>mpacts</w:t>
      </w:r>
      <w:bookmarkEnd w:id="521"/>
      <w:bookmarkEnd w:id="522"/>
      <w:bookmarkEnd w:id="523"/>
      <w:bookmarkEnd w:id="524"/>
      <w:bookmarkEnd w:id="525"/>
      <w:bookmarkEnd w:id="526"/>
      <w:bookmarkEnd w:id="527"/>
      <w:bookmarkEnd w:id="528"/>
    </w:p>
    <w:p w14:paraId="5844BF82" w14:textId="15E3DEC0" w:rsidR="00A2501B" w:rsidRPr="006C3CFA" w:rsidRDefault="00A2501B" w:rsidP="00A2501B">
      <w:pPr>
        <w:pStyle w:val="FSTableFigureHeading"/>
        <w:ind w:left="0" w:firstLine="0"/>
        <w:rPr>
          <w:rFonts w:cs="Arial"/>
          <w:color w:val="000000" w:themeColor="text1"/>
        </w:rPr>
      </w:pPr>
      <w:r w:rsidRPr="00A2501B">
        <w:rPr>
          <w:rFonts w:eastAsia="Times New Roman" w:cs="Arial"/>
          <w:b w:val="0"/>
          <w:i w:val="0"/>
          <w:color w:val="000000" w:themeColor="text1"/>
          <w:szCs w:val="24"/>
          <w:lang w:bidi="en-US"/>
        </w:rPr>
        <w:t xml:space="preserve">FSANZ has </w:t>
      </w:r>
      <w:r>
        <w:rPr>
          <w:rFonts w:eastAsia="Times New Roman" w:cs="Arial"/>
          <w:b w:val="0"/>
          <w:i w:val="0"/>
          <w:color w:val="000000" w:themeColor="text1"/>
          <w:szCs w:val="24"/>
          <w:lang w:bidi="en-US"/>
        </w:rPr>
        <w:t>identified the impacts of regulation by social group</w:t>
      </w:r>
      <w:r w:rsidR="009613F6">
        <w:rPr>
          <w:rFonts w:eastAsia="Times New Roman" w:cs="Arial"/>
          <w:b w:val="0"/>
          <w:i w:val="0"/>
          <w:color w:val="000000" w:themeColor="text1"/>
          <w:szCs w:val="24"/>
          <w:lang w:bidi="en-US"/>
        </w:rPr>
        <w:t>,</w:t>
      </w:r>
      <w:r>
        <w:rPr>
          <w:rFonts w:eastAsia="Times New Roman" w:cs="Arial"/>
          <w:b w:val="0"/>
          <w:i w:val="0"/>
          <w:color w:val="000000" w:themeColor="text1"/>
          <w:szCs w:val="24"/>
          <w:lang w:bidi="en-US"/>
        </w:rPr>
        <w:t xml:space="preserve"> provided in </w:t>
      </w:r>
      <w:r w:rsidR="002447A1">
        <w:rPr>
          <w:rFonts w:eastAsia="Times New Roman" w:cs="Arial"/>
          <w:b w:val="0"/>
          <w:i w:val="0"/>
          <w:color w:val="000000" w:themeColor="text1"/>
          <w:szCs w:val="24"/>
          <w:lang w:bidi="en-US"/>
        </w:rPr>
        <w:t>T</w:t>
      </w:r>
      <w:r>
        <w:rPr>
          <w:rFonts w:eastAsia="Times New Roman" w:cs="Arial"/>
          <w:b w:val="0"/>
          <w:i w:val="0"/>
          <w:color w:val="000000" w:themeColor="text1"/>
          <w:szCs w:val="24"/>
          <w:lang w:bidi="en-US"/>
        </w:rPr>
        <w:t xml:space="preserve">able </w:t>
      </w:r>
      <w:r w:rsidR="00F71A1C">
        <w:rPr>
          <w:rFonts w:eastAsia="Times New Roman" w:cs="Arial"/>
          <w:b w:val="0"/>
          <w:i w:val="0"/>
          <w:color w:val="000000" w:themeColor="text1"/>
          <w:szCs w:val="24"/>
          <w:lang w:bidi="en-US"/>
        </w:rPr>
        <w:t>1</w:t>
      </w:r>
      <w:r w:rsidR="00994D32">
        <w:rPr>
          <w:rFonts w:eastAsia="Times New Roman" w:cs="Arial"/>
          <w:b w:val="0"/>
          <w:i w:val="0"/>
          <w:color w:val="000000" w:themeColor="text1"/>
          <w:szCs w:val="24"/>
          <w:lang w:bidi="en-US"/>
        </w:rPr>
        <w:t>3</w:t>
      </w:r>
      <w:r>
        <w:rPr>
          <w:rFonts w:eastAsia="Times New Roman" w:cs="Arial"/>
          <w:b w:val="0"/>
          <w:i w:val="0"/>
          <w:color w:val="000000" w:themeColor="text1"/>
          <w:szCs w:val="24"/>
          <w:lang w:bidi="en-US"/>
        </w:rPr>
        <w:t>.</w:t>
      </w:r>
    </w:p>
    <w:p w14:paraId="06108640" w14:textId="6C65FA63" w:rsidR="00605CF5" w:rsidRPr="00CE64E7" w:rsidRDefault="009D2DA6" w:rsidP="00605CF5">
      <w:pPr>
        <w:pStyle w:val="FSTableFigureHeading"/>
        <w:rPr>
          <w:rFonts w:eastAsia="Times New Roman" w:cs="Times New Roman"/>
          <w:i w:val="0"/>
          <w:color w:val="000000" w:themeColor="text1"/>
          <w:szCs w:val="24"/>
          <w:lang w:val="en-AU" w:bidi="en-US"/>
        </w:rPr>
      </w:pPr>
      <w:r w:rsidRPr="002447A1">
        <w:rPr>
          <w:rFonts w:eastAsia="Times New Roman" w:cs="Times New Roman"/>
          <w:i w:val="0"/>
          <w:color w:val="000000" w:themeColor="text1"/>
          <w:szCs w:val="24"/>
          <w:lang w:val="en-AU" w:bidi="en-US"/>
        </w:rPr>
        <w:t xml:space="preserve">Table </w:t>
      </w:r>
      <w:r w:rsidR="00F71A1C">
        <w:rPr>
          <w:rFonts w:eastAsia="Times New Roman" w:cs="Times New Roman"/>
          <w:i w:val="0"/>
          <w:color w:val="000000" w:themeColor="text1"/>
          <w:szCs w:val="24"/>
          <w:lang w:val="en-AU" w:bidi="en-US"/>
        </w:rPr>
        <w:t>1</w:t>
      </w:r>
      <w:r w:rsidR="00994D32">
        <w:rPr>
          <w:rFonts w:eastAsia="Times New Roman" w:cs="Times New Roman"/>
          <w:i w:val="0"/>
          <w:color w:val="000000" w:themeColor="text1"/>
          <w:szCs w:val="24"/>
          <w:lang w:val="en-AU" w:bidi="en-US"/>
        </w:rPr>
        <w:t>3</w:t>
      </w:r>
      <w:r w:rsidR="00DF44D1">
        <w:rPr>
          <w:rFonts w:eastAsia="Times New Roman" w:cs="Times New Roman"/>
          <w:i w:val="0"/>
          <w:color w:val="000000" w:themeColor="text1"/>
          <w:szCs w:val="24"/>
          <w:lang w:val="en-AU" w:bidi="en-US"/>
        </w:rPr>
        <w:t>.</w:t>
      </w:r>
      <w:r w:rsidR="00605CF5" w:rsidRPr="00CE64E7">
        <w:rPr>
          <w:rFonts w:eastAsia="Times New Roman" w:cs="Times New Roman"/>
          <w:i w:val="0"/>
          <w:color w:val="000000" w:themeColor="text1"/>
          <w:szCs w:val="24"/>
          <w:lang w:val="en-AU" w:bidi="en-US"/>
        </w:rPr>
        <w:t xml:space="preserve"> Major impacts of regulation, by social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9"/>
        <w:gridCol w:w="6431"/>
      </w:tblGrid>
      <w:tr w:rsidR="00605CF5" w14:paraId="16D459D1" w14:textId="77777777" w:rsidTr="006C3CFA">
        <w:tc>
          <w:tcPr>
            <w:tcW w:w="2694" w:type="dxa"/>
            <w:shd w:val="clear" w:color="auto" w:fill="8DB3E2" w:themeFill="text2" w:themeFillTint="66"/>
            <w:tcMar>
              <w:top w:w="0" w:type="dxa"/>
              <w:left w:w="108" w:type="dxa"/>
              <w:bottom w:w="0" w:type="dxa"/>
              <w:right w:w="108" w:type="dxa"/>
            </w:tcMar>
            <w:hideMark/>
          </w:tcPr>
          <w:p w14:paraId="42FAEFE2" w14:textId="77777777" w:rsidR="00605CF5" w:rsidRDefault="00605CF5" w:rsidP="002D301F">
            <w:pPr>
              <w:rPr>
                <w:rFonts w:cs="Arial"/>
                <w:b/>
                <w:bCs/>
                <w:lang w:val="en-AU"/>
              </w:rPr>
            </w:pPr>
            <w:r>
              <w:rPr>
                <w:rFonts w:cs="Arial"/>
                <w:b/>
                <w:bCs/>
                <w:lang w:val="en-AU"/>
              </w:rPr>
              <w:t xml:space="preserve">Social group </w:t>
            </w:r>
          </w:p>
        </w:tc>
        <w:tc>
          <w:tcPr>
            <w:tcW w:w="6662" w:type="dxa"/>
            <w:shd w:val="clear" w:color="auto" w:fill="8DB3E2" w:themeFill="text2" w:themeFillTint="66"/>
            <w:tcMar>
              <w:top w:w="0" w:type="dxa"/>
              <w:left w:w="108" w:type="dxa"/>
              <w:bottom w:w="0" w:type="dxa"/>
              <w:right w:w="108" w:type="dxa"/>
            </w:tcMar>
            <w:hideMark/>
          </w:tcPr>
          <w:p w14:paraId="2FD19881" w14:textId="77777777" w:rsidR="00605CF5" w:rsidRDefault="00605CF5" w:rsidP="002D301F">
            <w:pPr>
              <w:ind w:firstLine="179"/>
              <w:rPr>
                <w:rFonts w:cs="Arial"/>
                <w:b/>
                <w:bCs/>
                <w:lang w:val="en-AU"/>
              </w:rPr>
            </w:pPr>
            <w:r>
              <w:rPr>
                <w:rFonts w:cs="Arial"/>
                <w:b/>
                <w:bCs/>
                <w:lang w:val="en-AU"/>
              </w:rPr>
              <w:t>Notes on impacts</w:t>
            </w:r>
          </w:p>
        </w:tc>
      </w:tr>
      <w:tr w:rsidR="00605CF5" w14:paraId="58F2B8F3" w14:textId="77777777" w:rsidTr="00D04C84">
        <w:tc>
          <w:tcPr>
            <w:tcW w:w="2694" w:type="dxa"/>
            <w:shd w:val="clear" w:color="auto" w:fill="auto"/>
            <w:tcMar>
              <w:top w:w="0" w:type="dxa"/>
              <w:left w:w="108" w:type="dxa"/>
              <w:bottom w:w="0" w:type="dxa"/>
              <w:right w:w="108" w:type="dxa"/>
            </w:tcMar>
          </w:tcPr>
          <w:p w14:paraId="6B866F4E" w14:textId="4D2A201D" w:rsidR="00605CF5" w:rsidRDefault="00605CF5" w:rsidP="002D301F">
            <w:pPr>
              <w:rPr>
                <w:rFonts w:cs="Arial"/>
                <w:b/>
                <w:bCs/>
                <w:lang w:val="en-AU"/>
              </w:rPr>
            </w:pPr>
            <w:r>
              <w:rPr>
                <w:rFonts w:cs="Arial"/>
                <w:lang w:val="en-AU"/>
              </w:rPr>
              <w:t>Primary producers</w:t>
            </w:r>
          </w:p>
          <w:p w14:paraId="1F68EF03" w14:textId="77777777" w:rsidR="00605CF5" w:rsidRDefault="00605CF5" w:rsidP="002D301F">
            <w:pPr>
              <w:rPr>
                <w:rFonts w:cs="Arial"/>
                <w:caps/>
                <w:lang w:val="en-AU"/>
              </w:rPr>
            </w:pPr>
          </w:p>
        </w:tc>
        <w:tc>
          <w:tcPr>
            <w:tcW w:w="6662" w:type="dxa"/>
            <w:shd w:val="clear" w:color="auto" w:fill="auto"/>
            <w:tcMar>
              <w:top w:w="0" w:type="dxa"/>
              <w:left w:w="108" w:type="dxa"/>
              <w:bottom w:w="0" w:type="dxa"/>
              <w:right w:w="108" w:type="dxa"/>
            </w:tcMar>
            <w:hideMark/>
          </w:tcPr>
          <w:p w14:paraId="4E09EAA5" w14:textId="4C93A06D" w:rsidR="000C6D0B" w:rsidRPr="000C6D0B" w:rsidRDefault="000C6D0B" w:rsidP="000C6D0B">
            <w:pPr>
              <w:widowControl/>
              <w:rPr>
                <w:rFonts w:cs="Arial"/>
                <w:lang w:val="en-AU"/>
              </w:rPr>
            </w:pPr>
            <w:r>
              <w:rPr>
                <w:lang w:val="en-AU"/>
              </w:rPr>
              <w:t>Costs:</w:t>
            </w:r>
          </w:p>
          <w:p w14:paraId="17A5FA51" w14:textId="2E01E977" w:rsidR="00605CF5" w:rsidRPr="000C6D0B" w:rsidRDefault="00C764CF" w:rsidP="006354B0">
            <w:pPr>
              <w:pStyle w:val="ListParagraph"/>
              <w:widowControl/>
              <w:numPr>
                <w:ilvl w:val="0"/>
                <w:numId w:val="18"/>
              </w:numPr>
              <w:ind w:left="463" w:hanging="284"/>
              <w:rPr>
                <w:rFonts w:cs="Arial"/>
                <w:lang w:val="en-AU"/>
              </w:rPr>
            </w:pPr>
            <w:r>
              <w:rPr>
                <w:lang w:val="en-AU"/>
              </w:rPr>
              <w:t>potentially increased production costs</w:t>
            </w:r>
          </w:p>
          <w:p w14:paraId="1A6643BD" w14:textId="7A8B8C72" w:rsidR="000C6D0B" w:rsidRDefault="000C6D0B" w:rsidP="000C6D0B">
            <w:pPr>
              <w:widowControl/>
              <w:rPr>
                <w:rFonts w:cs="Arial"/>
                <w:lang w:val="en-AU"/>
              </w:rPr>
            </w:pPr>
          </w:p>
          <w:p w14:paraId="5697FD4E" w14:textId="013A8E59" w:rsidR="000C6D0B" w:rsidRPr="000C6D0B" w:rsidRDefault="000C6D0B" w:rsidP="000C6D0B">
            <w:pPr>
              <w:widowControl/>
              <w:rPr>
                <w:rFonts w:cs="Arial"/>
                <w:lang w:val="en-AU"/>
              </w:rPr>
            </w:pPr>
            <w:r>
              <w:rPr>
                <w:rFonts w:cs="Arial"/>
                <w:lang w:val="en-AU"/>
              </w:rPr>
              <w:t>Benefits:</w:t>
            </w:r>
          </w:p>
          <w:p w14:paraId="5580C00E" w14:textId="78964421" w:rsidR="00605CF5" w:rsidRDefault="00C764CF" w:rsidP="006354B0">
            <w:pPr>
              <w:pStyle w:val="ListParagraph"/>
              <w:widowControl/>
              <w:numPr>
                <w:ilvl w:val="0"/>
                <w:numId w:val="18"/>
              </w:numPr>
              <w:ind w:left="463" w:hanging="284"/>
              <w:rPr>
                <w:lang w:val="en-AU"/>
              </w:rPr>
            </w:pPr>
            <w:r>
              <w:rPr>
                <w:lang w:val="en-AU"/>
              </w:rPr>
              <w:t>reduction in the risk of a food safety incident, saving costs</w:t>
            </w:r>
          </w:p>
          <w:p w14:paraId="4754AFA1" w14:textId="20F3B7B0"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16E28576" w14:textId="1FB53AB8"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 from better record keeping</w:t>
            </w:r>
          </w:p>
          <w:p w14:paraId="0B26CEC5" w14:textId="6D79CE15" w:rsidR="00605CF5" w:rsidRDefault="00C764CF" w:rsidP="006354B0">
            <w:pPr>
              <w:pStyle w:val="ListParagraph"/>
              <w:widowControl/>
              <w:numPr>
                <w:ilvl w:val="0"/>
                <w:numId w:val="18"/>
              </w:numPr>
              <w:ind w:left="463" w:hanging="284"/>
              <w:rPr>
                <w:lang w:val="en-AU"/>
              </w:rPr>
            </w:pPr>
            <w:r>
              <w:rPr>
                <w:lang w:val="en-AU"/>
              </w:rPr>
              <w:t>potential additional sales in export markets</w:t>
            </w:r>
          </w:p>
          <w:p w14:paraId="6AD7194E" w14:textId="68ED8FF3"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4091E319" w14:textId="77777777" w:rsidTr="00D04C84">
        <w:tc>
          <w:tcPr>
            <w:tcW w:w="2694" w:type="dxa"/>
            <w:shd w:val="clear" w:color="auto" w:fill="DBE5F1" w:themeFill="accent1" w:themeFillTint="33"/>
            <w:tcMar>
              <w:top w:w="0" w:type="dxa"/>
              <w:left w:w="108" w:type="dxa"/>
              <w:bottom w:w="0" w:type="dxa"/>
              <w:right w:w="108" w:type="dxa"/>
            </w:tcMar>
          </w:tcPr>
          <w:p w14:paraId="72AE269B" w14:textId="34EEE2D3" w:rsidR="00605CF5" w:rsidRDefault="00605CF5" w:rsidP="002D301F">
            <w:pPr>
              <w:rPr>
                <w:rFonts w:cs="Arial"/>
                <w:b/>
                <w:bCs/>
                <w:lang w:val="en-AU"/>
              </w:rPr>
            </w:pPr>
            <w:r>
              <w:rPr>
                <w:rFonts w:cs="Arial"/>
                <w:lang w:val="en-AU"/>
              </w:rPr>
              <w:t>Food processors</w:t>
            </w:r>
          </w:p>
          <w:p w14:paraId="1E0BEA78" w14:textId="77777777" w:rsidR="00605CF5" w:rsidRDefault="00605CF5" w:rsidP="002D301F">
            <w:pPr>
              <w:rPr>
                <w:rFonts w:cs="Arial"/>
                <w:lang w:val="en-AU"/>
              </w:rPr>
            </w:pPr>
          </w:p>
        </w:tc>
        <w:tc>
          <w:tcPr>
            <w:tcW w:w="6662" w:type="dxa"/>
            <w:shd w:val="clear" w:color="auto" w:fill="DBE5F1" w:themeFill="accent1" w:themeFillTint="33"/>
            <w:tcMar>
              <w:top w:w="0" w:type="dxa"/>
              <w:left w:w="108" w:type="dxa"/>
              <w:bottom w:w="0" w:type="dxa"/>
              <w:right w:w="108" w:type="dxa"/>
            </w:tcMar>
            <w:hideMark/>
          </w:tcPr>
          <w:p w14:paraId="52FC6AAA" w14:textId="780BC597" w:rsidR="000C6D0B" w:rsidRPr="000C6D0B" w:rsidRDefault="000C6D0B" w:rsidP="000C6D0B">
            <w:pPr>
              <w:widowControl/>
              <w:rPr>
                <w:rFonts w:cs="Arial"/>
                <w:lang w:val="en-AU"/>
              </w:rPr>
            </w:pPr>
            <w:r>
              <w:rPr>
                <w:lang w:val="en-AU"/>
              </w:rPr>
              <w:t>Costs:</w:t>
            </w:r>
          </w:p>
          <w:p w14:paraId="4A2EAF45" w14:textId="7721490D" w:rsidR="00605CF5" w:rsidRDefault="00C764CF" w:rsidP="006354B0">
            <w:pPr>
              <w:pStyle w:val="ListParagraph"/>
              <w:widowControl/>
              <w:numPr>
                <w:ilvl w:val="0"/>
                <w:numId w:val="18"/>
              </w:numPr>
              <w:ind w:left="463" w:hanging="284"/>
              <w:rPr>
                <w:rFonts w:cs="Arial"/>
                <w:lang w:val="en-AU"/>
              </w:rPr>
            </w:pPr>
            <w:r>
              <w:rPr>
                <w:lang w:val="en-AU"/>
              </w:rPr>
              <w:t>potentially increased input costs</w:t>
            </w:r>
          </w:p>
          <w:p w14:paraId="7C06D450" w14:textId="02E736D8" w:rsidR="00605CF5" w:rsidRDefault="00C764CF" w:rsidP="006354B0">
            <w:pPr>
              <w:pStyle w:val="ListParagraph"/>
              <w:widowControl/>
              <w:numPr>
                <w:ilvl w:val="0"/>
                <w:numId w:val="18"/>
              </w:numPr>
              <w:ind w:left="463" w:hanging="284"/>
              <w:rPr>
                <w:lang w:val="en-AU"/>
              </w:rPr>
            </w:pPr>
            <w:r>
              <w:rPr>
                <w:lang w:val="en-AU"/>
              </w:rPr>
              <w:t>increased production costs</w:t>
            </w:r>
          </w:p>
          <w:p w14:paraId="7B2FA2AE" w14:textId="7074630F" w:rsidR="0019655B" w:rsidRDefault="0019655B" w:rsidP="0019655B">
            <w:pPr>
              <w:widowControl/>
              <w:rPr>
                <w:lang w:val="en-AU"/>
              </w:rPr>
            </w:pPr>
          </w:p>
          <w:p w14:paraId="3C0925B8" w14:textId="667CEF32" w:rsidR="0019655B" w:rsidRPr="0019655B" w:rsidRDefault="0019655B" w:rsidP="0019655B">
            <w:pPr>
              <w:widowControl/>
              <w:rPr>
                <w:rFonts w:cs="Arial"/>
                <w:lang w:val="en-AU"/>
              </w:rPr>
            </w:pPr>
            <w:r>
              <w:rPr>
                <w:rFonts w:cs="Arial"/>
                <w:lang w:val="en-AU"/>
              </w:rPr>
              <w:t>Benefits:</w:t>
            </w:r>
          </w:p>
          <w:p w14:paraId="2D0BF0A2" w14:textId="0B7CF638" w:rsidR="00605CF5" w:rsidRDefault="00C764CF" w:rsidP="006354B0">
            <w:pPr>
              <w:pStyle w:val="ListParagraph"/>
              <w:widowControl/>
              <w:numPr>
                <w:ilvl w:val="0"/>
                <w:numId w:val="18"/>
              </w:numPr>
              <w:ind w:left="463" w:hanging="284"/>
              <w:rPr>
                <w:lang w:val="en-AU"/>
              </w:rPr>
            </w:pPr>
            <w:r>
              <w:rPr>
                <w:lang w:val="en-AU"/>
              </w:rPr>
              <w:t>reduction in the risk of a food safety incident, saving costs</w:t>
            </w:r>
          </w:p>
          <w:p w14:paraId="3E1B3C29" w14:textId="64D82C81"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35DFCB69" w14:textId="5775A677"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w:t>
            </w:r>
          </w:p>
          <w:p w14:paraId="658B3ECE" w14:textId="540701DF" w:rsidR="00605CF5" w:rsidRDefault="00C764CF" w:rsidP="006354B0">
            <w:pPr>
              <w:pStyle w:val="ListParagraph"/>
              <w:widowControl/>
              <w:numPr>
                <w:ilvl w:val="0"/>
                <w:numId w:val="18"/>
              </w:numPr>
              <w:ind w:left="463" w:hanging="284"/>
              <w:rPr>
                <w:lang w:val="en-AU"/>
              </w:rPr>
            </w:pPr>
            <w:r>
              <w:rPr>
                <w:lang w:val="en-AU"/>
              </w:rPr>
              <w:lastRenderedPageBreak/>
              <w:t>potential additional sales in export markets</w:t>
            </w:r>
          </w:p>
          <w:p w14:paraId="29F53F80" w14:textId="4130AD40"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3E9222C0" w14:textId="77777777" w:rsidTr="00D04C84">
        <w:tc>
          <w:tcPr>
            <w:tcW w:w="2694" w:type="dxa"/>
            <w:shd w:val="clear" w:color="auto" w:fill="auto"/>
            <w:tcMar>
              <w:top w:w="0" w:type="dxa"/>
              <w:left w:w="108" w:type="dxa"/>
              <w:bottom w:w="0" w:type="dxa"/>
              <w:right w:w="108" w:type="dxa"/>
            </w:tcMar>
            <w:hideMark/>
          </w:tcPr>
          <w:p w14:paraId="37C20881" w14:textId="2A2BFF12" w:rsidR="00605CF5" w:rsidRDefault="00605CF5" w:rsidP="002D301F">
            <w:pPr>
              <w:rPr>
                <w:rFonts w:cs="Arial"/>
                <w:b/>
                <w:bCs/>
                <w:lang w:val="en-AU"/>
              </w:rPr>
            </w:pPr>
            <w:r>
              <w:rPr>
                <w:rFonts w:cs="Arial"/>
                <w:lang w:val="en-AU"/>
              </w:rPr>
              <w:lastRenderedPageBreak/>
              <w:t>Food retailers</w:t>
            </w:r>
          </w:p>
        </w:tc>
        <w:tc>
          <w:tcPr>
            <w:tcW w:w="6662" w:type="dxa"/>
            <w:shd w:val="clear" w:color="auto" w:fill="auto"/>
            <w:tcMar>
              <w:top w:w="0" w:type="dxa"/>
              <w:left w:w="108" w:type="dxa"/>
              <w:bottom w:w="0" w:type="dxa"/>
              <w:right w:w="108" w:type="dxa"/>
            </w:tcMar>
            <w:hideMark/>
          </w:tcPr>
          <w:p w14:paraId="342AAB5F" w14:textId="257671E7" w:rsidR="0019655B" w:rsidRPr="0019655B" w:rsidRDefault="0019655B" w:rsidP="0019655B">
            <w:pPr>
              <w:widowControl/>
              <w:rPr>
                <w:rFonts w:cs="Arial"/>
                <w:lang w:val="en-AU"/>
              </w:rPr>
            </w:pPr>
            <w:r>
              <w:rPr>
                <w:lang w:val="en-AU"/>
              </w:rPr>
              <w:t>Costs:</w:t>
            </w:r>
          </w:p>
          <w:p w14:paraId="29CD0F36" w14:textId="630D4EF2" w:rsidR="00605CF5" w:rsidRPr="0019655B" w:rsidRDefault="00C764CF" w:rsidP="006354B0">
            <w:pPr>
              <w:pStyle w:val="ListParagraph"/>
              <w:widowControl/>
              <w:numPr>
                <w:ilvl w:val="0"/>
                <w:numId w:val="18"/>
              </w:numPr>
              <w:ind w:left="463" w:hanging="284"/>
              <w:rPr>
                <w:rFonts w:cs="Arial"/>
                <w:lang w:val="en-AU"/>
              </w:rPr>
            </w:pPr>
            <w:r>
              <w:rPr>
                <w:lang w:val="en-AU"/>
              </w:rPr>
              <w:t>potentially increased input costs</w:t>
            </w:r>
          </w:p>
          <w:p w14:paraId="109A9613" w14:textId="0CCD894A" w:rsidR="0019655B" w:rsidRDefault="0019655B" w:rsidP="0019655B">
            <w:pPr>
              <w:widowControl/>
              <w:rPr>
                <w:rFonts w:cs="Arial"/>
                <w:lang w:val="en-AU"/>
              </w:rPr>
            </w:pPr>
          </w:p>
          <w:p w14:paraId="44189281" w14:textId="37ADD709" w:rsidR="0019655B" w:rsidRPr="0019655B" w:rsidRDefault="0019655B" w:rsidP="0019655B">
            <w:pPr>
              <w:widowControl/>
              <w:rPr>
                <w:rFonts w:cs="Arial"/>
                <w:lang w:val="en-AU"/>
              </w:rPr>
            </w:pPr>
            <w:r>
              <w:rPr>
                <w:rFonts w:cs="Arial"/>
                <w:lang w:val="en-AU"/>
              </w:rPr>
              <w:t>Benefits:</w:t>
            </w:r>
          </w:p>
          <w:p w14:paraId="3ACD55FF" w14:textId="1ACAAC6B"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7268E722" w14:textId="6CAE3119"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w:t>
            </w:r>
          </w:p>
          <w:p w14:paraId="3D77F8D7" w14:textId="6656CDDB"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6F7827D8" w14:textId="77777777" w:rsidTr="00D04C84">
        <w:tc>
          <w:tcPr>
            <w:tcW w:w="2694" w:type="dxa"/>
            <w:shd w:val="clear" w:color="auto" w:fill="DBE5F1" w:themeFill="accent1" w:themeFillTint="33"/>
            <w:tcMar>
              <w:top w:w="0" w:type="dxa"/>
              <w:left w:w="108" w:type="dxa"/>
              <w:bottom w:w="0" w:type="dxa"/>
              <w:right w:w="108" w:type="dxa"/>
            </w:tcMar>
            <w:hideMark/>
          </w:tcPr>
          <w:p w14:paraId="074C0701" w14:textId="25EA85E2" w:rsidR="00605CF5" w:rsidRDefault="004C1A6E" w:rsidP="004C1A6E">
            <w:pPr>
              <w:rPr>
                <w:rFonts w:cs="Arial"/>
                <w:b/>
                <w:bCs/>
                <w:lang w:val="en-AU"/>
              </w:rPr>
            </w:pPr>
            <w:r>
              <w:rPr>
                <w:rFonts w:cs="Arial"/>
                <w:lang w:val="en-AU"/>
              </w:rPr>
              <w:t>C</w:t>
            </w:r>
            <w:r w:rsidR="00605CF5">
              <w:rPr>
                <w:rFonts w:cs="Arial"/>
                <w:lang w:val="en-AU"/>
              </w:rPr>
              <w:t>onsumers</w:t>
            </w:r>
          </w:p>
        </w:tc>
        <w:tc>
          <w:tcPr>
            <w:tcW w:w="6662" w:type="dxa"/>
            <w:shd w:val="clear" w:color="auto" w:fill="DBE5F1" w:themeFill="accent1" w:themeFillTint="33"/>
            <w:tcMar>
              <w:top w:w="0" w:type="dxa"/>
              <w:left w:w="108" w:type="dxa"/>
              <w:bottom w:w="0" w:type="dxa"/>
              <w:right w:w="108" w:type="dxa"/>
            </w:tcMar>
            <w:hideMark/>
          </w:tcPr>
          <w:p w14:paraId="5573E6DA" w14:textId="391E65AD" w:rsidR="0019655B" w:rsidRPr="0019655B" w:rsidRDefault="0019655B" w:rsidP="0019655B">
            <w:pPr>
              <w:widowControl/>
              <w:rPr>
                <w:rFonts w:cs="Arial"/>
                <w:lang w:val="en-AU"/>
              </w:rPr>
            </w:pPr>
            <w:r>
              <w:rPr>
                <w:lang w:val="en-AU"/>
              </w:rPr>
              <w:t>Costs:</w:t>
            </w:r>
          </w:p>
          <w:p w14:paraId="5B23E6CE" w14:textId="647EB35D" w:rsidR="00605CF5" w:rsidRDefault="00C764CF" w:rsidP="006354B0">
            <w:pPr>
              <w:pStyle w:val="ListParagraph"/>
              <w:widowControl/>
              <w:numPr>
                <w:ilvl w:val="0"/>
                <w:numId w:val="18"/>
              </w:numPr>
              <w:ind w:left="463" w:hanging="284"/>
              <w:rPr>
                <w:lang w:val="en-AU"/>
              </w:rPr>
            </w:pPr>
            <w:r>
              <w:rPr>
                <w:lang w:val="en-AU"/>
              </w:rPr>
              <w:t>potential increased costs of purchase</w:t>
            </w:r>
          </w:p>
          <w:p w14:paraId="6BB3D292" w14:textId="1A4D34EA" w:rsidR="0019655B" w:rsidRDefault="0019655B" w:rsidP="0019655B">
            <w:pPr>
              <w:widowControl/>
              <w:rPr>
                <w:lang w:val="en-AU"/>
              </w:rPr>
            </w:pPr>
          </w:p>
          <w:p w14:paraId="1EF3A2F1" w14:textId="6B05F04E" w:rsidR="0019655B" w:rsidRPr="0019655B" w:rsidRDefault="0019655B" w:rsidP="0019655B">
            <w:pPr>
              <w:widowControl/>
              <w:rPr>
                <w:rFonts w:cs="Arial"/>
                <w:lang w:val="en-AU"/>
              </w:rPr>
            </w:pPr>
            <w:r>
              <w:rPr>
                <w:rFonts w:cs="Arial"/>
                <w:lang w:val="en-AU"/>
              </w:rPr>
              <w:t>Benefits:</w:t>
            </w:r>
          </w:p>
          <w:p w14:paraId="6DA509DC" w14:textId="4DEB7BBD" w:rsidR="0019655B" w:rsidRPr="0019655B" w:rsidRDefault="0019655B" w:rsidP="0019655B">
            <w:pPr>
              <w:pStyle w:val="ListParagraph"/>
              <w:widowControl/>
              <w:numPr>
                <w:ilvl w:val="0"/>
                <w:numId w:val="18"/>
              </w:numPr>
              <w:ind w:left="463" w:hanging="284"/>
              <w:rPr>
                <w:rFonts w:cs="Arial"/>
                <w:lang w:val="en-AU"/>
              </w:rPr>
            </w:pPr>
            <w:r>
              <w:rPr>
                <w:lang w:val="en-AU"/>
              </w:rPr>
              <w:t>improved safety of products meaning a reduced likelihood of illness</w:t>
            </w:r>
          </w:p>
        </w:tc>
      </w:tr>
      <w:tr w:rsidR="00605CF5" w14:paraId="2F1163AA" w14:textId="77777777" w:rsidTr="00D04C84">
        <w:tc>
          <w:tcPr>
            <w:tcW w:w="2694" w:type="dxa"/>
            <w:shd w:val="clear" w:color="auto" w:fill="auto"/>
            <w:tcMar>
              <w:top w:w="0" w:type="dxa"/>
              <w:left w:w="108" w:type="dxa"/>
              <w:bottom w:w="0" w:type="dxa"/>
              <w:right w:w="108" w:type="dxa"/>
            </w:tcMar>
            <w:hideMark/>
          </w:tcPr>
          <w:p w14:paraId="6F9D6B19" w14:textId="65A1186E" w:rsidR="00605CF5" w:rsidRDefault="00605CF5" w:rsidP="002D301F">
            <w:pPr>
              <w:rPr>
                <w:rFonts w:cs="Arial"/>
                <w:b/>
                <w:bCs/>
                <w:lang w:val="en-AU"/>
              </w:rPr>
            </w:pPr>
            <w:r>
              <w:rPr>
                <w:rFonts w:cs="Arial"/>
                <w:lang w:val="en-AU"/>
              </w:rPr>
              <w:t>Government</w:t>
            </w:r>
          </w:p>
        </w:tc>
        <w:tc>
          <w:tcPr>
            <w:tcW w:w="6662" w:type="dxa"/>
            <w:shd w:val="clear" w:color="auto" w:fill="auto"/>
            <w:tcMar>
              <w:top w:w="0" w:type="dxa"/>
              <w:left w:w="108" w:type="dxa"/>
              <w:bottom w:w="0" w:type="dxa"/>
              <w:right w:w="108" w:type="dxa"/>
            </w:tcMar>
            <w:hideMark/>
          </w:tcPr>
          <w:p w14:paraId="75D7C353" w14:textId="3300DC09" w:rsidR="0019655B" w:rsidRPr="0019655B" w:rsidRDefault="0019655B" w:rsidP="0019655B">
            <w:pPr>
              <w:widowControl/>
              <w:rPr>
                <w:rFonts w:cs="Arial"/>
                <w:lang w:val="en-AU"/>
              </w:rPr>
            </w:pPr>
            <w:r>
              <w:rPr>
                <w:lang w:val="en-AU"/>
              </w:rPr>
              <w:t>Costs:</w:t>
            </w:r>
          </w:p>
          <w:p w14:paraId="526FC850" w14:textId="5AE664AF" w:rsidR="0019655B" w:rsidRPr="0019655B" w:rsidRDefault="00C764CF" w:rsidP="0019655B">
            <w:pPr>
              <w:pStyle w:val="ListParagraph"/>
              <w:widowControl/>
              <w:numPr>
                <w:ilvl w:val="0"/>
                <w:numId w:val="18"/>
              </w:numPr>
              <w:ind w:left="461" w:hanging="284"/>
              <w:rPr>
                <w:rFonts w:cs="Arial"/>
                <w:lang w:val="en-AU"/>
              </w:rPr>
            </w:pPr>
            <w:r>
              <w:rPr>
                <w:lang w:val="en-AU"/>
              </w:rPr>
              <w:t>increased implementation and enforcement cost of new regulation</w:t>
            </w:r>
          </w:p>
          <w:p w14:paraId="53B17DBE" w14:textId="5CD720DE" w:rsidR="0019655B" w:rsidRDefault="0019655B" w:rsidP="0019655B">
            <w:pPr>
              <w:widowControl/>
              <w:rPr>
                <w:rFonts w:cs="Arial"/>
                <w:lang w:val="en-AU"/>
              </w:rPr>
            </w:pPr>
          </w:p>
          <w:p w14:paraId="4414D8A8" w14:textId="75317C02" w:rsidR="0019655B" w:rsidRPr="0019655B" w:rsidRDefault="0019655B" w:rsidP="0019655B">
            <w:pPr>
              <w:widowControl/>
              <w:rPr>
                <w:rFonts w:cs="Arial"/>
                <w:lang w:val="en-AU"/>
              </w:rPr>
            </w:pPr>
            <w:r>
              <w:rPr>
                <w:rFonts w:cs="Arial"/>
                <w:lang w:val="en-AU"/>
              </w:rPr>
              <w:t>Benefits:</w:t>
            </w:r>
          </w:p>
          <w:p w14:paraId="1A47BD7A" w14:textId="09B71CE8" w:rsidR="00605CF5" w:rsidRDefault="00C764CF" w:rsidP="006354B0">
            <w:pPr>
              <w:pStyle w:val="ListParagraph"/>
              <w:widowControl/>
              <w:numPr>
                <w:ilvl w:val="0"/>
                <w:numId w:val="18"/>
              </w:numPr>
              <w:ind w:left="461" w:hanging="284"/>
              <w:rPr>
                <w:lang w:val="en-AU"/>
              </w:rPr>
            </w:pPr>
            <w:r>
              <w:rPr>
                <w:lang w:val="en-AU"/>
              </w:rPr>
              <w:t>improved capacity to effectively and efficiently manage a food safety incident, reducing costs</w:t>
            </w:r>
          </w:p>
          <w:p w14:paraId="4D3CC2FE" w14:textId="3924AD6E" w:rsidR="00605CF5" w:rsidRDefault="00C764CF" w:rsidP="006354B0">
            <w:pPr>
              <w:pStyle w:val="ListParagraph"/>
              <w:widowControl/>
              <w:numPr>
                <w:ilvl w:val="0"/>
                <w:numId w:val="18"/>
              </w:numPr>
              <w:ind w:left="461" w:hanging="284"/>
              <w:rPr>
                <w:lang w:val="en-AU"/>
              </w:rPr>
            </w:pPr>
            <w:r>
              <w:rPr>
                <w:lang w:val="en-AU"/>
              </w:rPr>
              <w:t xml:space="preserve">savings </w:t>
            </w:r>
            <w:r w:rsidR="00605CF5">
              <w:rPr>
                <w:lang w:val="en-AU"/>
              </w:rPr>
              <w:t>in health care expenditure</w:t>
            </w:r>
          </w:p>
        </w:tc>
      </w:tr>
    </w:tbl>
    <w:p w14:paraId="40D5E2F1" w14:textId="45E38FE9" w:rsidR="007A0840" w:rsidRPr="00FE0066" w:rsidRDefault="007A0840" w:rsidP="00104CDC">
      <w:pPr>
        <w:pStyle w:val="Heading3"/>
      </w:pPr>
      <w:bookmarkStart w:id="529" w:name="_Toc85540187"/>
      <w:bookmarkStart w:id="530" w:name="_Toc85626192"/>
      <w:bookmarkStart w:id="531" w:name="_Toc85635325"/>
      <w:bookmarkStart w:id="532" w:name="_Toc97643881"/>
      <w:bookmarkStart w:id="533" w:name="_Toc97653266"/>
      <w:bookmarkStart w:id="534" w:name="_Toc97739417"/>
      <w:bookmarkStart w:id="535" w:name="_Toc97823834"/>
      <w:bookmarkStart w:id="536" w:name="_Toc97823998"/>
      <w:r w:rsidRPr="00FE0066">
        <w:t>S</w:t>
      </w:r>
      <w:r w:rsidR="006D5508">
        <w:t>ummary of</w:t>
      </w:r>
      <w:r w:rsidR="006D5508" w:rsidRPr="008D07E5">
        <w:t xml:space="preserve"> the </w:t>
      </w:r>
      <w:r w:rsidR="006D5508">
        <w:t>costs and benefits</w:t>
      </w:r>
      <w:r w:rsidR="000076B4">
        <w:t xml:space="preserve"> of</w:t>
      </w:r>
      <w:r w:rsidRPr="00FE0066">
        <w:t xml:space="preserve"> option 3</w:t>
      </w:r>
      <w:bookmarkEnd w:id="529"/>
      <w:bookmarkEnd w:id="530"/>
      <w:bookmarkEnd w:id="531"/>
      <w:bookmarkEnd w:id="532"/>
      <w:bookmarkEnd w:id="533"/>
      <w:bookmarkEnd w:id="534"/>
      <w:bookmarkEnd w:id="535"/>
      <w:bookmarkEnd w:id="536"/>
    </w:p>
    <w:p w14:paraId="68701044" w14:textId="6F0ED57D" w:rsidR="007A0840" w:rsidRDefault="007A0840" w:rsidP="007A0840">
      <w:pPr>
        <w:rPr>
          <w:color w:val="000000" w:themeColor="text1"/>
        </w:rPr>
      </w:pPr>
      <w:r w:rsidRPr="00FE0066">
        <w:rPr>
          <w:color w:val="000000" w:themeColor="text1"/>
        </w:rPr>
        <w:t>If option 3 were implemented</w:t>
      </w:r>
      <w:r w:rsidR="00DE09A8">
        <w:rPr>
          <w:color w:val="000000" w:themeColor="text1"/>
        </w:rPr>
        <w:t>,</w:t>
      </w:r>
      <w:r w:rsidRPr="00FE0066">
        <w:rPr>
          <w:color w:val="000000" w:themeColor="text1"/>
        </w:rPr>
        <w:t xml:space="preserve"> the following can be expected:</w:t>
      </w:r>
    </w:p>
    <w:p w14:paraId="381F4756" w14:textId="5DB36710" w:rsidR="00506A5B" w:rsidRPr="00506A5B" w:rsidRDefault="00356EFE" w:rsidP="00DF44D1">
      <w:pPr>
        <w:pStyle w:val="FSBullet1"/>
      </w:pPr>
      <w:r w:rsidRPr="00506A5B">
        <w:t xml:space="preserve">net </w:t>
      </w:r>
      <w:r>
        <w:t>benefits for each sector, although less of a net benefit for leafy vegetables</w:t>
      </w:r>
    </w:p>
    <w:p w14:paraId="2E2CDCF1" w14:textId="5553FBE7" w:rsidR="007A0840" w:rsidRPr="00BC2491" w:rsidRDefault="00356EFE" w:rsidP="00DF44D1">
      <w:pPr>
        <w:pStyle w:val="FSBullet1"/>
        <w:rPr>
          <w:rFonts w:eastAsiaTheme="minorHAnsi" w:cstheme="minorBidi"/>
          <w:szCs w:val="22"/>
        </w:rPr>
      </w:pPr>
      <w:r>
        <w:rPr>
          <w:rFonts w:eastAsiaTheme="minorHAnsi" w:cstheme="minorBidi"/>
          <w:szCs w:val="22"/>
        </w:rPr>
        <w:t>reduced o</w:t>
      </w:r>
      <w:r w:rsidRPr="00BC2491">
        <w:rPr>
          <w:rFonts w:eastAsiaTheme="minorHAnsi" w:cstheme="minorBidi"/>
          <w:szCs w:val="22"/>
        </w:rPr>
        <w:t>utbreaks, illness, deaths, recalls and incidents</w:t>
      </w:r>
    </w:p>
    <w:p w14:paraId="0A24D408" w14:textId="50ECC0D9" w:rsidR="007A0840" w:rsidRPr="008D07E5" w:rsidRDefault="00356EFE" w:rsidP="00DF44D1">
      <w:pPr>
        <w:pStyle w:val="FSBullet1"/>
        <w:rPr>
          <w:rFonts w:eastAsiaTheme="minorHAnsi"/>
        </w:rPr>
      </w:pPr>
      <w:r>
        <w:rPr>
          <w:rFonts w:eastAsiaTheme="minorHAnsi" w:cstheme="minorBidi"/>
          <w:szCs w:val="22"/>
        </w:rPr>
        <w:t>reduced</w:t>
      </w:r>
      <w:r w:rsidRPr="00BC2491">
        <w:rPr>
          <w:rFonts w:eastAsiaTheme="minorHAnsi" w:cstheme="minorBidi"/>
          <w:szCs w:val="22"/>
        </w:rPr>
        <w:t xml:space="preserve"> </w:t>
      </w:r>
      <w:r>
        <w:rPr>
          <w:rFonts w:eastAsiaTheme="minorHAnsi" w:cstheme="minorBidi"/>
          <w:szCs w:val="22"/>
        </w:rPr>
        <w:t>annual cost of illness</w:t>
      </w:r>
    </w:p>
    <w:p w14:paraId="41E6FF83" w14:textId="7FA8B3E8" w:rsidR="007A0840" w:rsidRPr="00BC2491" w:rsidRDefault="00356EFE" w:rsidP="00DF44D1">
      <w:pPr>
        <w:pStyle w:val="FSBullet1"/>
        <w:rPr>
          <w:rFonts w:eastAsiaTheme="minorHAnsi" w:cstheme="minorBidi"/>
          <w:szCs w:val="22"/>
        </w:rPr>
      </w:pPr>
      <w:r>
        <w:rPr>
          <w:rFonts w:eastAsiaTheme="minorHAnsi"/>
          <w:szCs w:val="22"/>
        </w:rPr>
        <w:t>a</w:t>
      </w:r>
      <w:r w:rsidRPr="00BC2491">
        <w:rPr>
          <w:rFonts w:eastAsiaTheme="minorHAnsi"/>
          <w:szCs w:val="22"/>
        </w:rPr>
        <w:t xml:space="preserve"> nationally consistent set of regulatory requirements </w:t>
      </w:r>
      <w:r>
        <w:rPr>
          <w:rFonts w:eastAsiaTheme="minorHAnsi"/>
          <w:szCs w:val="22"/>
        </w:rPr>
        <w:t>for berries, leafy vegetables and</w:t>
      </w:r>
      <w:r w:rsidRPr="00BC2491">
        <w:rPr>
          <w:rFonts w:eastAsiaTheme="minorHAnsi"/>
          <w:szCs w:val="22"/>
        </w:rPr>
        <w:t xml:space="preserve"> melons</w:t>
      </w:r>
    </w:p>
    <w:p w14:paraId="55E51ECD" w14:textId="7E29502C" w:rsidR="007A0840" w:rsidRPr="00D40DEB" w:rsidRDefault="00C764CF" w:rsidP="00DF44D1">
      <w:pPr>
        <w:pStyle w:val="FSBullet1"/>
        <w:rPr>
          <w:rFonts w:eastAsiaTheme="minorHAnsi" w:cstheme="minorBidi"/>
          <w:szCs w:val="22"/>
        </w:rPr>
      </w:pPr>
      <w:r>
        <w:rPr>
          <w:rFonts w:eastAsiaTheme="minorHAnsi"/>
          <w:szCs w:val="22"/>
        </w:rPr>
        <w:t>empowerment of g</w:t>
      </w:r>
      <w:r w:rsidR="007A0840" w:rsidRPr="00BC2491">
        <w:rPr>
          <w:rFonts w:eastAsiaTheme="minorHAnsi"/>
          <w:szCs w:val="22"/>
        </w:rPr>
        <w:t>ove</w:t>
      </w:r>
      <w:r w:rsidR="007A0840">
        <w:rPr>
          <w:rFonts w:eastAsiaTheme="minorHAnsi"/>
          <w:szCs w:val="22"/>
        </w:rPr>
        <w:t xml:space="preserve">rnment food regulators </w:t>
      </w:r>
      <w:r w:rsidR="007A0840" w:rsidRPr="00BC2491">
        <w:rPr>
          <w:rFonts w:eastAsiaTheme="minorHAnsi"/>
          <w:szCs w:val="22"/>
        </w:rPr>
        <w:t>to</w:t>
      </w:r>
      <w:r w:rsidR="007A0840" w:rsidRPr="00BC2491">
        <w:rPr>
          <w:rFonts w:eastAsiaTheme="minorHAnsi" w:cstheme="minorBidi"/>
          <w:szCs w:val="22"/>
        </w:rPr>
        <w:t xml:space="preserve"> support Australia’s pri</w:t>
      </w:r>
      <w:r w:rsidR="007A0840">
        <w:rPr>
          <w:rFonts w:eastAsiaTheme="minorHAnsi" w:cstheme="minorBidi"/>
          <w:szCs w:val="22"/>
        </w:rPr>
        <w:t>mary producers and processors and</w:t>
      </w:r>
      <w:r w:rsidR="007A0840" w:rsidRPr="00BC2491">
        <w:rPr>
          <w:rFonts w:eastAsiaTheme="minorHAnsi" w:cstheme="minorBidi"/>
          <w:szCs w:val="22"/>
        </w:rPr>
        <w:t xml:space="preserve"> proactively manage food safety in these</w:t>
      </w:r>
      <w:r w:rsidR="007A0840">
        <w:rPr>
          <w:rFonts w:eastAsiaTheme="minorHAnsi" w:cstheme="minorBidi"/>
          <w:szCs w:val="22"/>
        </w:rPr>
        <w:t xml:space="preserve"> sectors on behalf of consumers</w:t>
      </w:r>
    </w:p>
    <w:p w14:paraId="51DB92FC" w14:textId="71890848" w:rsidR="007A0840" w:rsidRDefault="00356EFE" w:rsidP="00DF44D1">
      <w:pPr>
        <w:pStyle w:val="FSBullet1"/>
        <w:rPr>
          <w:rFonts w:eastAsiaTheme="minorHAnsi" w:cstheme="minorBidi"/>
          <w:szCs w:val="22"/>
        </w:rPr>
      </w:pPr>
      <w:r>
        <w:rPr>
          <w:rFonts w:eastAsiaTheme="minorHAnsi" w:cstheme="minorBidi"/>
          <w:szCs w:val="22"/>
        </w:rPr>
        <w:t>better protection of c</w:t>
      </w:r>
      <w:r w:rsidR="007A0840" w:rsidRPr="00BC2491">
        <w:rPr>
          <w:rFonts w:eastAsiaTheme="minorHAnsi" w:cstheme="minorBidi"/>
          <w:szCs w:val="22"/>
        </w:rPr>
        <w:t xml:space="preserve">onsumers </w:t>
      </w:r>
    </w:p>
    <w:p w14:paraId="6FA2B8B1" w14:textId="42C74D73" w:rsidR="007A0840" w:rsidRDefault="00356EFE" w:rsidP="00DF44D1">
      <w:pPr>
        <w:pStyle w:val="FSBullet1"/>
        <w:rPr>
          <w:rFonts w:eastAsiaTheme="minorHAnsi" w:cstheme="minorBidi"/>
          <w:szCs w:val="22"/>
        </w:rPr>
      </w:pPr>
      <w:r>
        <w:rPr>
          <w:rFonts w:eastAsiaTheme="minorHAnsi" w:cstheme="minorBidi"/>
          <w:szCs w:val="22"/>
        </w:rPr>
        <w:t xml:space="preserve">required changes in </w:t>
      </w:r>
      <w:r w:rsidR="007A0840">
        <w:rPr>
          <w:rFonts w:eastAsiaTheme="minorHAnsi" w:cstheme="minorBidi"/>
          <w:szCs w:val="22"/>
        </w:rPr>
        <w:t xml:space="preserve">industry to implement the regulation, particularly those businesses not </w:t>
      </w:r>
      <w:r w:rsidR="00382522">
        <w:rPr>
          <w:rFonts w:eastAsiaTheme="minorHAnsi" w:cstheme="minorBidi"/>
          <w:szCs w:val="22"/>
        </w:rPr>
        <w:t>currently</w:t>
      </w:r>
      <w:r w:rsidR="007A0840">
        <w:rPr>
          <w:rFonts w:eastAsiaTheme="minorHAnsi" w:cstheme="minorBidi"/>
          <w:szCs w:val="22"/>
        </w:rPr>
        <w:t xml:space="preserve"> </w:t>
      </w:r>
      <w:r w:rsidR="00382522">
        <w:rPr>
          <w:rFonts w:eastAsiaTheme="minorHAnsi" w:cstheme="minorBidi"/>
          <w:szCs w:val="22"/>
        </w:rPr>
        <w:t>invested</w:t>
      </w:r>
      <w:r w:rsidR="007A0840">
        <w:rPr>
          <w:rFonts w:eastAsiaTheme="minorHAnsi" w:cstheme="minorBidi"/>
          <w:szCs w:val="22"/>
        </w:rPr>
        <w:t xml:space="preserve"> in food safety management </w:t>
      </w:r>
    </w:p>
    <w:p w14:paraId="509454C3" w14:textId="60EE1925" w:rsidR="007A0840" w:rsidRPr="00BC2491" w:rsidRDefault="00787FE0" w:rsidP="00DF44D1">
      <w:pPr>
        <w:pStyle w:val="FSBullet1"/>
        <w:rPr>
          <w:rFonts w:eastAsiaTheme="minorHAnsi" w:cstheme="minorBidi"/>
          <w:szCs w:val="22"/>
        </w:rPr>
      </w:pPr>
      <w:r>
        <w:rPr>
          <w:rFonts w:eastAsiaTheme="minorHAnsi" w:cstheme="minorBidi"/>
          <w:szCs w:val="22"/>
        </w:rPr>
        <w:t xml:space="preserve">potential </w:t>
      </w:r>
      <w:r w:rsidR="00356EFE">
        <w:rPr>
          <w:rFonts w:eastAsiaTheme="minorHAnsi" w:cstheme="minorBidi"/>
          <w:szCs w:val="22"/>
        </w:rPr>
        <w:t>requirement</w:t>
      </w:r>
      <w:r>
        <w:rPr>
          <w:rFonts w:eastAsiaTheme="minorHAnsi" w:cstheme="minorBidi"/>
          <w:szCs w:val="22"/>
        </w:rPr>
        <w:t>s</w:t>
      </w:r>
      <w:r w:rsidR="00356EFE">
        <w:rPr>
          <w:rFonts w:eastAsiaTheme="minorHAnsi" w:cstheme="minorBidi"/>
          <w:szCs w:val="22"/>
        </w:rPr>
        <w:t xml:space="preserve"> of g</w:t>
      </w:r>
      <w:r w:rsidR="007A0840">
        <w:rPr>
          <w:rFonts w:eastAsiaTheme="minorHAnsi" w:cstheme="minorBidi"/>
          <w:szCs w:val="22"/>
        </w:rPr>
        <w:t>overnment food regulators to</w:t>
      </w:r>
      <w:r w:rsidR="007274D9">
        <w:rPr>
          <w:rFonts w:eastAsiaTheme="minorHAnsi" w:cstheme="minorBidi"/>
          <w:szCs w:val="22"/>
        </w:rPr>
        <w:t xml:space="preserve"> licence</w:t>
      </w:r>
      <w:r w:rsidR="00356EFE">
        <w:rPr>
          <w:rFonts w:eastAsiaTheme="minorHAnsi" w:cstheme="minorBidi"/>
          <w:szCs w:val="22"/>
        </w:rPr>
        <w:t>, audit/</w:t>
      </w:r>
      <w:r w:rsidR="005171E7">
        <w:rPr>
          <w:rFonts w:eastAsiaTheme="minorHAnsi" w:cstheme="minorBidi"/>
          <w:szCs w:val="22"/>
        </w:rPr>
        <w:t xml:space="preserve"> monitor </w:t>
      </w:r>
      <w:r w:rsidR="007A0840">
        <w:rPr>
          <w:rFonts w:eastAsiaTheme="minorHAnsi" w:cstheme="minorBidi"/>
          <w:szCs w:val="22"/>
        </w:rPr>
        <w:t>compliance</w:t>
      </w:r>
    </w:p>
    <w:p w14:paraId="2B98173F" w14:textId="55902A66" w:rsidR="007A0840" w:rsidRPr="00104CDC" w:rsidRDefault="00356EFE" w:rsidP="0076310B">
      <w:pPr>
        <w:pStyle w:val="FSBullet1"/>
        <w:rPr>
          <w:rFonts w:eastAsiaTheme="minorHAnsi"/>
        </w:rPr>
      </w:pPr>
      <w:r>
        <w:rPr>
          <w:rFonts w:eastAsiaTheme="minorHAnsi"/>
        </w:rPr>
        <w:t>potential a</w:t>
      </w:r>
      <w:r w:rsidR="007A0840">
        <w:rPr>
          <w:rFonts w:eastAsiaTheme="minorHAnsi"/>
        </w:rPr>
        <w:t xml:space="preserve">dditional costs </w:t>
      </w:r>
      <w:r>
        <w:rPr>
          <w:rFonts w:eastAsiaTheme="minorHAnsi"/>
        </w:rPr>
        <w:t>for</w:t>
      </w:r>
      <w:r w:rsidR="007A0840">
        <w:rPr>
          <w:rFonts w:eastAsiaTheme="minorHAnsi"/>
        </w:rPr>
        <w:t xml:space="preserve"> industry, government or consumers</w:t>
      </w:r>
      <w:r>
        <w:rPr>
          <w:rFonts w:eastAsiaTheme="minorHAnsi" w:cstheme="minorBidi"/>
          <w:szCs w:val="22"/>
        </w:rPr>
        <w:t>—h</w:t>
      </w:r>
      <w:r w:rsidR="007A0840">
        <w:rPr>
          <w:rFonts w:eastAsiaTheme="minorHAnsi"/>
        </w:rPr>
        <w:t>owever, the</w:t>
      </w:r>
      <w:r w:rsidR="0076310B">
        <w:rPr>
          <w:rFonts w:eastAsiaTheme="minorHAnsi"/>
        </w:rPr>
        <w:t>se may be offset by</w:t>
      </w:r>
      <w:r w:rsidR="007A0840">
        <w:rPr>
          <w:rFonts w:eastAsiaTheme="minorHAnsi"/>
        </w:rPr>
        <w:t xml:space="preserve"> reductions in costs associated with illness.</w:t>
      </w:r>
    </w:p>
    <w:p w14:paraId="04C08BA8" w14:textId="6B6B01C8" w:rsidR="007A0840" w:rsidRDefault="00FB6EF1" w:rsidP="00F611C6">
      <w:pPr>
        <w:pStyle w:val="Heading2"/>
      </w:pPr>
      <w:bookmarkStart w:id="537" w:name="_Toc85635326"/>
      <w:bookmarkStart w:id="538" w:name="_Toc97643882"/>
      <w:bookmarkStart w:id="539" w:name="_Toc97653267"/>
      <w:bookmarkStart w:id="540" w:name="_Toc97739418"/>
      <w:bookmarkStart w:id="541" w:name="_Toc97823835"/>
      <w:bookmarkStart w:id="542" w:name="_Toc97823999"/>
      <w:r>
        <w:t>7.6</w:t>
      </w:r>
      <w:r>
        <w:tab/>
      </w:r>
      <w:r w:rsidR="00CA5971">
        <w:t>Net benefit of o</w:t>
      </w:r>
      <w:r w:rsidR="007A0840">
        <w:t>ption 4 – Non-regulatory measures</w:t>
      </w:r>
      <w:bookmarkEnd w:id="537"/>
      <w:bookmarkEnd w:id="538"/>
      <w:bookmarkEnd w:id="539"/>
      <w:bookmarkEnd w:id="540"/>
      <w:bookmarkEnd w:id="541"/>
      <w:bookmarkEnd w:id="542"/>
    </w:p>
    <w:p w14:paraId="67AFE2EE" w14:textId="14103A3F" w:rsidR="00241C0C" w:rsidRPr="00611DA2" w:rsidRDefault="007A0840" w:rsidP="007A0840">
      <w:pPr>
        <w:rPr>
          <w:lang w:eastAsia="en-AU"/>
        </w:rPr>
      </w:pPr>
      <w:r w:rsidRPr="009370DD">
        <w:rPr>
          <w:lang w:eastAsia="en-AU"/>
        </w:rPr>
        <w:t>This option relies on self-regulation. Self-regulation can produce benefits for food safety, parti</w:t>
      </w:r>
      <w:r w:rsidR="00D81593">
        <w:rPr>
          <w:lang w:eastAsia="en-AU"/>
        </w:rPr>
        <w:t>cularly when coupled with third-</w:t>
      </w:r>
      <w:r w:rsidRPr="009370DD">
        <w:rPr>
          <w:lang w:eastAsia="en-AU"/>
        </w:rPr>
        <w:t>party audit regimes. However self-regulation is unlikely to change the behaviour of those businesses that most need to change</w:t>
      </w:r>
      <w:r w:rsidR="00DE09A8">
        <w:rPr>
          <w:lang w:eastAsia="en-AU"/>
        </w:rPr>
        <w:t>; that is,</w:t>
      </w:r>
      <w:r w:rsidRPr="009370DD">
        <w:rPr>
          <w:lang w:eastAsia="en-AU"/>
        </w:rPr>
        <w:t xml:space="preserve"> businesses that do no</w:t>
      </w:r>
      <w:r w:rsidR="00241C0C">
        <w:rPr>
          <w:lang w:eastAsia="en-AU"/>
        </w:rPr>
        <w:t xml:space="preserve">t currently </w:t>
      </w:r>
      <w:r w:rsidR="00241C0C" w:rsidRPr="009D2DA6">
        <w:rPr>
          <w:lang w:eastAsia="en-AU"/>
        </w:rPr>
        <w:t xml:space="preserve">participate in </w:t>
      </w:r>
      <w:r w:rsidR="00304AEA">
        <w:rPr>
          <w:lang w:eastAsia="en-AU"/>
        </w:rPr>
        <w:t>a FSS</w:t>
      </w:r>
      <w:r w:rsidR="00241C0C" w:rsidRPr="009D2DA6">
        <w:rPr>
          <w:lang w:eastAsia="en-AU"/>
        </w:rPr>
        <w:t>.</w:t>
      </w:r>
      <w:r w:rsidR="00611DA2" w:rsidRPr="009D2DA6">
        <w:rPr>
          <w:lang w:eastAsia="en-AU"/>
        </w:rPr>
        <w:t xml:space="preserve"> Cost and benefits of non-regulatory measures are described in option 3.</w:t>
      </w:r>
    </w:p>
    <w:p w14:paraId="4345D636" w14:textId="2B9EBB90" w:rsidR="007A0840" w:rsidRPr="00FE0066" w:rsidRDefault="007A0840" w:rsidP="00104CDC">
      <w:pPr>
        <w:pStyle w:val="Heading3"/>
      </w:pPr>
      <w:bookmarkStart w:id="543" w:name="_Toc85540189"/>
      <w:bookmarkStart w:id="544" w:name="_Toc85626194"/>
      <w:bookmarkStart w:id="545" w:name="_Toc85635327"/>
      <w:bookmarkStart w:id="546" w:name="_Toc97643883"/>
      <w:bookmarkStart w:id="547" w:name="_Toc97653268"/>
      <w:bookmarkStart w:id="548" w:name="_Toc97739419"/>
      <w:bookmarkStart w:id="549" w:name="_Toc97823836"/>
      <w:bookmarkStart w:id="550" w:name="_Toc97824000"/>
      <w:r w:rsidRPr="00FE0066">
        <w:lastRenderedPageBreak/>
        <w:t>S</w:t>
      </w:r>
      <w:r w:rsidR="006D5508">
        <w:t>ummary</w:t>
      </w:r>
      <w:r w:rsidR="006D5508" w:rsidRPr="006D5508">
        <w:t xml:space="preserve"> </w:t>
      </w:r>
      <w:r w:rsidR="006D5508" w:rsidRPr="008D07E5">
        <w:t xml:space="preserve">of the </w:t>
      </w:r>
      <w:r w:rsidR="006D5508">
        <w:t>costs and benefits of</w:t>
      </w:r>
      <w:r w:rsidRPr="00FE0066">
        <w:t xml:space="preserve"> option </w:t>
      </w:r>
      <w:r w:rsidR="00241C0C">
        <w:t>4</w:t>
      </w:r>
      <w:bookmarkEnd w:id="543"/>
      <w:bookmarkEnd w:id="544"/>
      <w:bookmarkEnd w:id="545"/>
      <w:bookmarkEnd w:id="546"/>
      <w:bookmarkEnd w:id="547"/>
      <w:bookmarkEnd w:id="548"/>
      <w:bookmarkEnd w:id="549"/>
      <w:bookmarkEnd w:id="550"/>
    </w:p>
    <w:p w14:paraId="69379C1F" w14:textId="759D2C4B" w:rsidR="007A0840" w:rsidRPr="00FE0066" w:rsidRDefault="00241C0C" w:rsidP="007A0840">
      <w:pPr>
        <w:rPr>
          <w:color w:val="000000" w:themeColor="text1"/>
        </w:rPr>
      </w:pPr>
      <w:r>
        <w:rPr>
          <w:color w:val="000000" w:themeColor="text1"/>
        </w:rPr>
        <w:t>If option 4</w:t>
      </w:r>
      <w:r w:rsidR="007A0840" w:rsidRPr="00FE0066">
        <w:rPr>
          <w:color w:val="000000" w:themeColor="text1"/>
        </w:rPr>
        <w:t xml:space="preserve"> were implemented</w:t>
      </w:r>
      <w:r w:rsidR="00DE09A8">
        <w:rPr>
          <w:color w:val="000000" w:themeColor="text1"/>
        </w:rPr>
        <w:t>,</w:t>
      </w:r>
      <w:r w:rsidR="007A0840" w:rsidRPr="00FE0066">
        <w:rPr>
          <w:color w:val="000000" w:themeColor="text1"/>
        </w:rPr>
        <w:t xml:space="preserve"> the following can be expected:</w:t>
      </w:r>
    </w:p>
    <w:p w14:paraId="5599F7A8" w14:textId="52EBF43F" w:rsidR="0076310B" w:rsidRPr="00BC2491" w:rsidRDefault="00394CF1" w:rsidP="00DF44D1">
      <w:pPr>
        <w:pStyle w:val="FSBullet1"/>
        <w:rPr>
          <w:rFonts w:eastAsiaTheme="minorHAnsi"/>
        </w:rPr>
      </w:pPr>
      <w:r>
        <w:rPr>
          <w:rFonts w:eastAsiaTheme="minorHAnsi"/>
        </w:rPr>
        <w:t>slightly reduced o</w:t>
      </w:r>
      <w:r w:rsidRPr="00BC2491">
        <w:rPr>
          <w:rFonts w:eastAsiaTheme="minorHAnsi"/>
        </w:rPr>
        <w:t>utbreaks, illness, deaths, recalls and incidents</w:t>
      </w:r>
    </w:p>
    <w:p w14:paraId="1EB117FF" w14:textId="2DC387E1" w:rsidR="0076310B" w:rsidRPr="0076310B" w:rsidRDefault="00394CF1" w:rsidP="00DF44D1">
      <w:pPr>
        <w:pStyle w:val="FSBullet1"/>
        <w:rPr>
          <w:rFonts w:eastAsiaTheme="minorHAnsi"/>
        </w:rPr>
      </w:pPr>
      <w:r>
        <w:rPr>
          <w:rFonts w:eastAsiaTheme="minorHAnsi"/>
        </w:rPr>
        <w:t>slightly reduced annual cost of illness</w:t>
      </w:r>
    </w:p>
    <w:p w14:paraId="0AF24B2F" w14:textId="53E96CE8" w:rsidR="0076310B" w:rsidRPr="008D07E5" w:rsidRDefault="00394CF1" w:rsidP="00DF44D1">
      <w:pPr>
        <w:pStyle w:val="FSBullet1"/>
        <w:rPr>
          <w:rFonts w:eastAsiaTheme="minorHAnsi"/>
        </w:rPr>
      </w:pPr>
      <w:r>
        <w:rPr>
          <w:rFonts w:eastAsiaTheme="minorHAnsi"/>
        </w:rPr>
        <w:t>minimal</w:t>
      </w:r>
      <w:r w:rsidRPr="00BC2491">
        <w:rPr>
          <w:rFonts w:eastAsiaTheme="minorHAnsi"/>
        </w:rPr>
        <w:t xml:space="preserve"> additional benefits </w:t>
      </w:r>
      <w:r>
        <w:rPr>
          <w:rFonts w:eastAsiaTheme="minorHAnsi"/>
        </w:rPr>
        <w:t>to</w:t>
      </w:r>
      <w:r w:rsidRPr="00BC2491">
        <w:rPr>
          <w:rFonts w:eastAsiaTheme="minorHAnsi"/>
        </w:rPr>
        <w:t xml:space="preserve"> food safety</w:t>
      </w:r>
      <w:r>
        <w:rPr>
          <w:rFonts w:eastAsiaTheme="minorHAnsi"/>
        </w:rPr>
        <w:t>.</w:t>
      </w:r>
    </w:p>
    <w:p w14:paraId="30F39D98" w14:textId="5E2CEB9C" w:rsidR="0076310B" w:rsidRPr="00BC2491" w:rsidRDefault="00394CF1" w:rsidP="00DF44D1">
      <w:pPr>
        <w:pStyle w:val="FSBullet1"/>
        <w:rPr>
          <w:rFonts w:eastAsiaTheme="minorHAnsi"/>
        </w:rPr>
      </w:pPr>
      <w:r>
        <w:rPr>
          <w:rFonts w:eastAsiaTheme="minorHAnsi"/>
        </w:rPr>
        <w:t>n</w:t>
      </w:r>
      <w:r w:rsidRPr="00BC2491">
        <w:rPr>
          <w:rFonts w:eastAsiaTheme="minorHAnsi"/>
        </w:rPr>
        <w:t>o nationally consistent set of regulatory requirements for berries, leafy vegetables or melons</w:t>
      </w:r>
    </w:p>
    <w:p w14:paraId="0B452498" w14:textId="165A8A0C" w:rsidR="0076310B" w:rsidRPr="00BC2491" w:rsidRDefault="00394CF1" w:rsidP="00DF44D1">
      <w:pPr>
        <w:pStyle w:val="FSBullet1"/>
        <w:rPr>
          <w:rFonts w:eastAsiaTheme="minorHAnsi"/>
        </w:rPr>
      </w:pPr>
      <w:r>
        <w:rPr>
          <w:rFonts w:eastAsiaTheme="minorHAnsi"/>
        </w:rPr>
        <w:t>minimal requirements of industry or government</w:t>
      </w:r>
    </w:p>
    <w:p w14:paraId="6A920862" w14:textId="20EBA941" w:rsidR="004C1A6E" w:rsidRPr="00F611C6" w:rsidRDefault="00394CF1" w:rsidP="00D81593">
      <w:pPr>
        <w:pStyle w:val="FSBullet1"/>
        <w:rPr>
          <w:rFonts w:eastAsiaTheme="minorHAnsi"/>
        </w:rPr>
      </w:pPr>
      <w:r>
        <w:rPr>
          <w:rFonts w:eastAsiaTheme="minorHAnsi"/>
        </w:rPr>
        <w:t>m</w:t>
      </w:r>
      <w:r w:rsidRPr="00F611C6">
        <w:rPr>
          <w:rFonts w:eastAsiaTheme="minorHAnsi"/>
        </w:rPr>
        <w:t xml:space="preserve">inimal </w:t>
      </w:r>
      <w:r w:rsidR="0076310B" w:rsidRPr="00F611C6">
        <w:rPr>
          <w:rFonts w:eastAsiaTheme="minorHAnsi"/>
        </w:rPr>
        <w:t>additional costs incurred by industry, government or consumers.</w:t>
      </w:r>
      <w:r w:rsidR="00F611C6" w:rsidRPr="00F611C6">
        <w:rPr>
          <w:rFonts w:eastAsiaTheme="minorHAnsi"/>
        </w:rPr>
        <w:t xml:space="preserve"> </w:t>
      </w:r>
    </w:p>
    <w:p w14:paraId="3DA09172" w14:textId="2E532B9D" w:rsidR="00BD4268" w:rsidRPr="00A53A53" w:rsidRDefault="00FB6EF1" w:rsidP="00F611C6">
      <w:pPr>
        <w:pStyle w:val="Heading2"/>
      </w:pPr>
      <w:bookmarkStart w:id="551" w:name="_Toc77687501"/>
      <w:bookmarkStart w:id="552" w:name="_Toc85635328"/>
      <w:bookmarkStart w:id="553" w:name="_Toc97643884"/>
      <w:bookmarkStart w:id="554" w:name="_Toc97653269"/>
      <w:bookmarkStart w:id="555" w:name="_Toc97739420"/>
      <w:bookmarkStart w:id="556" w:name="_Toc97823837"/>
      <w:bookmarkStart w:id="557" w:name="_Toc97824001"/>
      <w:r>
        <w:t>7.7</w:t>
      </w:r>
      <w:r>
        <w:tab/>
      </w:r>
      <w:r w:rsidR="00BD4268" w:rsidRPr="00A53A53">
        <w:t>Comparing the costs and benefits of the risk management options</w:t>
      </w:r>
      <w:bookmarkEnd w:id="551"/>
      <w:bookmarkEnd w:id="552"/>
      <w:bookmarkEnd w:id="553"/>
      <w:bookmarkEnd w:id="554"/>
      <w:bookmarkEnd w:id="555"/>
      <w:bookmarkEnd w:id="556"/>
      <w:bookmarkEnd w:id="557"/>
    </w:p>
    <w:p w14:paraId="3F9A5036" w14:textId="77777777" w:rsidR="00B25307" w:rsidRPr="00B25307" w:rsidRDefault="00B25307" w:rsidP="00927D2D">
      <w:pPr>
        <w:pStyle w:val="Heading3"/>
      </w:pPr>
      <w:bookmarkStart w:id="558" w:name="_Toc77249277"/>
      <w:bookmarkStart w:id="559" w:name="_Toc71212246"/>
      <w:bookmarkStart w:id="560" w:name="_Toc71125335"/>
      <w:bookmarkStart w:id="561" w:name="_Toc71122899"/>
      <w:bookmarkStart w:id="562" w:name="_Toc71119632"/>
      <w:bookmarkStart w:id="563" w:name="_Toc71112382"/>
      <w:bookmarkStart w:id="564" w:name="_Toc71108718"/>
      <w:bookmarkStart w:id="565" w:name="_Toc71108795"/>
      <w:bookmarkStart w:id="566" w:name="_Toc71108746"/>
      <w:bookmarkStart w:id="567" w:name="_Toc71106880"/>
      <w:bookmarkStart w:id="568" w:name="_Toc71106831"/>
      <w:bookmarkStart w:id="569" w:name="_Toc85540191"/>
      <w:bookmarkStart w:id="570" w:name="_Toc85626196"/>
      <w:bookmarkStart w:id="571" w:name="_Toc85635329"/>
      <w:bookmarkStart w:id="572" w:name="_Toc97643885"/>
      <w:bookmarkStart w:id="573" w:name="_Toc97653270"/>
      <w:bookmarkStart w:id="574" w:name="_Toc97739421"/>
      <w:bookmarkStart w:id="575" w:name="_Toc97823838"/>
      <w:bookmarkStart w:id="576" w:name="_Toc97824002"/>
      <w:r w:rsidRPr="00B25307">
        <w:t>Quantitative analysis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1E0402A8" w14:textId="69B49255" w:rsidR="00B25307" w:rsidRDefault="00B25307" w:rsidP="00B25307">
      <w:pPr>
        <w:rPr>
          <w:rFonts w:eastAsiaTheme="minorHAnsi"/>
          <w:lang w:val="en-AU"/>
        </w:rPr>
      </w:pPr>
      <w:r>
        <w:rPr>
          <w:lang w:val="en-AU"/>
        </w:rPr>
        <w:t>To support a comparison of the four potential options, FSANZ has undertaken some quantitative analysis. This compares the direct benefits that may be achieved from a reduction in foodborne illness, against the costs of the different options to industry and government.</w:t>
      </w:r>
    </w:p>
    <w:p w14:paraId="1AE6B51C" w14:textId="77777777" w:rsidR="00B25307" w:rsidRDefault="00B25307" w:rsidP="00B25307">
      <w:pPr>
        <w:rPr>
          <w:lang w:val="en-AU"/>
        </w:rPr>
      </w:pPr>
    </w:p>
    <w:p w14:paraId="1FBEB0FD" w14:textId="77777777" w:rsidR="00B25307" w:rsidRDefault="00B25307" w:rsidP="00B25307">
      <w:pPr>
        <w:rPr>
          <w:lang w:val="en-AU"/>
        </w:rPr>
      </w:pPr>
      <w:r>
        <w:rPr>
          <w:lang w:val="en-AU"/>
        </w:rPr>
        <w:t>Our analysis included:</w:t>
      </w:r>
    </w:p>
    <w:p w14:paraId="7198AE20" w14:textId="52706882" w:rsidR="00B25307" w:rsidRPr="00E44E96" w:rsidRDefault="00B25307" w:rsidP="006354B0">
      <w:pPr>
        <w:pStyle w:val="FSBullet"/>
        <w:numPr>
          <w:ilvl w:val="0"/>
          <w:numId w:val="19"/>
        </w:numPr>
        <w:ind w:left="567" w:hanging="567"/>
        <w:rPr>
          <w:lang w:val="en-AU"/>
        </w:rPr>
      </w:pPr>
      <w:r>
        <w:rPr>
          <w:lang w:val="en-AU"/>
        </w:rPr>
        <w:t>a comparison of the costs and benefits that are readily quantifiable (provided in this document</w:t>
      </w:r>
      <w:r w:rsidR="00DE09A8">
        <w:rPr>
          <w:lang w:val="en-AU"/>
        </w:rPr>
        <w:t>,</w:t>
      </w:r>
      <w:r>
        <w:rPr>
          <w:lang w:val="en-AU"/>
        </w:rPr>
        <w:t xml:space="preserve"> below</w:t>
      </w:r>
      <w:r w:rsidRPr="00E44E96">
        <w:rPr>
          <w:lang w:val="en-AU"/>
        </w:rPr>
        <w:t>)</w:t>
      </w:r>
    </w:p>
    <w:p w14:paraId="095D0820" w14:textId="1905DE67" w:rsidR="00B25307" w:rsidRPr="00E44E96" w:rsidRDefault="00B25307" w:rsidP="006354B0">
      <w:pPr>
        <w:pStyle w:val="FSBullet"/>
        <w:numPr>
          <w:ilvl w:val="0"/>
          <w:numId w:val="19"/>
        </w:numPr>
        <w:ind w:left="567" w:hanging="567"/>
        <w:rPr>
          <w:lang w:val="en-AU"/>
        </w:rPr>
      </w:pPr>
      <w:r w:rsidRPr="00E44E96">
        <w:rPr>
          <w:lang w:val="en-AU"/>
        </w:rPr>
        <w:t>a simplified estimation of cost of regulation to business (see Appendix 1 of the CBA)</w:t>
      </w:r>
    </w:p>
    <w:p w14:paraId="510D68E6" w14:textId="65AEE95B" w:rsidR="00B25307" w:rsidRPr="00E44E96" w:rsidRDefault="00B25307" w:rsidP="006354B0">
      <w:pPr>
        <w:pStyle w:val="FSBullet"/>
        <w:numPr>
          <w:ilvl w:val="0"/>
          <w:numId w:val="19"/>
        </w:numPr>
        <w:ind w:left="567" w:hanging="567"/>
        <w:rPr>
          <w:lang w:val="en-AU"/>
        </w:rPr>
      </w:pPr>
      <w:r w:rsidRPr="00E44E96">
        <w:rPr>
          <w:lang w:val="en-AU"/>
        </w:rPr>
        <w:t>an expert elicitation process to estimate the contribution of berries, leafy vegetables and melons to the total number of illnesses in Australia (see Appendix 2 of the CBA).</w:t>
      </w:r>
    </w:p>
    <w:p w14:paraId="0A7E1F04" w14:textId="77777777" w:rsidR="00B25307" w:rsidRPr="00E44E96" w:rsidRDefault="00B25307" w:rsidP="00B25307"/>
    <w:p w14:paraId="23789FAA" w14:textId="7D345E28" w:rsidR="00B25307" w:rsidRDefault="00490390" w:rsidP="00B25307">
      <w:pPr>
        <w:rPr>
          <w:lang w:val="en-AU"/>
        </w:rPr>
      </w:pPr>
      <w:r w:rsidRPr="00E44E96">
        <w:rPr>
          <w:lang w:val="en-AU"/>
        </w:rPr>
        <w:t>H</w:t>
      </w:r>
      <w:r w:rsidR="00B25307" w:rsidRPr="00E44E96">
        <w:rPr>
          <w:lang w:val="en-AU"/>
        </w:rPr>
        <w:t xml:space="preserve">ow these costs can be calculated, and some simplified costings are </w:t>
      </w:r>
      <w:r w:rsidR="002957D0">
        <w:rPr>
          <w:lang w:val="en-AU"/>
        </w:rPr>
        <w:t>discussed in</w:t>
      </w:r>
      <w:r w:rsidR="009E0E7D" w:rsidRPr="00E44E96">
        <w:rPr>
          <w:color w:val="000000"/>
          <w:lang w:val="en-AU"/>
        </w:rPr>
        <w:t xml:space="preserve"> the CBA</w:t>
      </w:r>
      <w:r w:rsidR="00B25307" w:rsidRPr="00E44E96">
        <w:rPr>
          <w:lang w:val="en-AU"/>
        </w:rPr>
        <w:t xml:space="preserve">. </w:t>
      </w:r>
      <w:r w:rsidRPr="00E44E96">
        <w:rPr>
          <w:lang w:val="en-AU"/>
        </w:rPr>
        <w:t>Costings for non-regulatory measures are explained in Appendix 4 of the CBA.</w:t>
      </w:r>
      <w:r>
        <w:rPr>
          <w:lang w:val="en-AU"/>
        </w:rPr>
        <w:t xml:space="preserve"> </w:t>
      </w:r>
    </w:p>
    <w:p w14:paraId="3AB73677" w14:textId="0B9D55DC" w:rsidR="00B25307" w:rsidRDefault="00B25307" w:rsidP="00BD4268">
      <w:pPr>
        <w:rPr>
          <w:lang w:val="en-AU"/>
        </w:rPr>
      </w:pPr>
    </w:p>
    <w:p w14:paraId="2B6922E5" w14:textId="5D1AFE9D" w:rsidR="00651C8E" w:rsidRDefault="00BD4268" w:rsidP="00BD4268">
      <w:pPr>
        <w:rPr>
          <w:lang w:val="en-AU"/>
        </w:rPr>
      </w:pPr>
      <w:r w:rsidRPr="0001618C">
        <w:rPr>
          <w:lang w:val="en-AU"/>
        </w:rPr>
        <w:t xml:space="preserve">Option 3 (a combination of regulation and non-regulation) provides </w:t>
      </w:r>
      <w:r w:rsidR="009F0AEB">
        <w:rPr>
          <w:lang w:val="en-AU"/>
        </w:rPr>
        <w:t>the most</w:t>
      </w:r>
      <w:r w:rsidRPr="0001618C">
        <w:rPr>
          <w:lang w:val="en-AU"/>
        </w:rPr>
        <w:t xml:space="preserve"> positive net benefit of </w:t>
      </w:r>
      <w:r w:rsidR="009F0AEB">
        <w:rPr>
          <w:lang w:val="en-AU"/>
        </w:rPr>
        <w:t>the four options considered. The net benefit of Option 3 is</w:t>
      </w:r>
      <w:r w:rsidRPr="0001618C">
        <w:rPr>
          <w:lang w:val="en-AU"/>
        </w:rPr>
        <w:t xml:space="preserve"> $</w:t>
      </w:r>
      <w:r w:rsidR="008052D5">
        <w:rPr>
          <w:lang w:val="en-AU"/>
        </w:rPr>
        <w:t>1</w:t>
      </w:r>
      <w:r w:rsidR="00396850">
        <w:rPr>
          <w:lang w:val="en-AU"/>
        </w:rPr>
        <w:t xml:space="preserve">9.5 </w:t>
      </w:r>
      <w:r w:rsidRPr="0001618C">
        <w:rPr>
          <w:lang w:val="en-AU"/>
        </w:rPr>
        <w:t>million</w:t>
      </w:r>
      <w:r w:rsidR="00396850">
        <w:rPr>
          <w:lang w:val="en-AU"/>
        </w:rPr>
        <w:t xml:space="preserve"> (over ten years)</w:t>
      </w:r>
      <w:r w:rsidRPr="0001618C">
        <w:rPr>
          <w:lang w:val="en-AU"/>
        </w:rPr>
        <w:t xml:space="preserve"> when the industry costs are balanced against likely avoided illness-related costs. </w:t>
      </w:r>
    </w:p>
    <w:p w14:paraId="4FE01039" w14:textId="77777777" w:rsidR="00917A00" w:rsidRDefault="00917A00" w:rsidP="00BD4268">
      <w:pPr>
        <w:rPr>
          <w:lang w:val="en-AU"/>
        </w:rPr>
      </w:pPr>
    </w:p>
    <w:p w14:paraId="3F45B1E2" w14:textId="0A89FC81" w:rsidR="00506A5B" w:rsidRDefault="00A35D76" w:rsidP="00BD4268">
      <w:pPr>
        <w:rPr>
          <w:lang w:val="en-AU"/>
        </w:rPr>
      </w:pPr>
      <w:r w:rsidRPr="004E4FAA">
        <w:rPr>
          <w:lang w:val="en-AU"/>
        </w:rPr>
        <w:t xml:space="preserve">Non-regulatory measures on their own are not likely to have a significant impact without regulatory status of requirements. </w:t>
      </w:r>
      <w:r w:rsidR="00651C8E" w:rsidRPr="004E4FAA">
        <w:rPr>
          <w:lang w:val="en-AU"/>
        </w:rPr>
        <w:t>Non</w:t>
      </w:r>
      <w:r w:rsidR="00EA39EC" w:rsidRPr="004E4FAA">
        <w:rPr>
          <w:lang w:val="en-AU"/>
        </w:rPr>
        <w:t>-</w:t>
      </w:r>
      <w:r w:rsidR="00651C8E" w:rsidRPr="004E4FAA">
        <w:rPr>
          <w:lang w:val="en-AU"/>
        </w:rPr>
        <w:t>regulatory measures may have a further impact on reducing foodborne illness when added to regulatory measures.</w:t>
      </w:r>
      <w:r w:rsidR="00651C8E" w:rsidRPr="00651C8E">
        <w:rPr>
          <w:lang w:val="en-AU"/>
        </w:rPr>
        <w:t xml:space="preserve"> </w:t>
      </w:r>
      <w:r w:rsidR="00483A8C">
        <w:rPr>
          <w:lang w:val="en-AU"/>
        </w:rPr>
        <w:t>A</w:t>
      </w:r>
      <w:r w:rsidR="00484F84">
        <w:rPr>
          <w:lang w:val="en-AU"/>
        </w:rPr>
        <w:t>s previously stated, a</w:t>
      </w:r>
      <w:r w:rsidR="00483A8C">
        <w:rPr>
          <w:lang w:val="en-AU"/>
        </w:rPr>
        <w:t xml:space="preserve"> reduction of less than 0.1% of cases over ten years would justify the additional small costs of non-regulatory measures.</w:t>
      </w:r>
    </w:p>
    <w:p w14:paraId="07CD6927" w14:textId="37BC96D2" w:rsidR="00BD4268" w:rsidRPr="0001618C" w:rsidRDefault="00BD4268" w:rsidP="004E4FAA">
      <w:pPr>
        <w:pStyle w:val="FSTableFigureHeading"/>
        <w:keepNext/>
        <w:spacing w:after="0"/>
        <w:ind w:left="0" w:firstLine="0"/>
        <w:rPr>
          <w:i w:val="0"/>
          <w:lang w:val="en-AU"/>
        </w:rPr>
      </w:pPr>
    </w:p>
    <w:p w14:paraId="3790D1AF" w14:textId="77777777" w:rsidR="00DE09A8" w:rsidRDefault="00DE09A8" w:rsidP="00DE09A8">
      <w:pPr>
        <w:rPr>
          <w:rFonts w:eastAsiaTheme="majorEastAsia"/>
          <w:lang w:val="en-AU" w:eastAsia="en-GB"/>
        </w:rPr>
      </w:pPr>
      <w:bookmarkStart w:id="577" w:name="_Toc78896404"/>
      <w:bookmarkStart w:id="578" w:name="_Toc85635330"/>
    </w:p>
    <w:p w14:paraId="158A2E11" w14:textId="18595EA6" w:rsidR="00723A76" w:rsidRDefault="00927D2D" w:rsidP="00927D2D">
      <w:pPr>
        <w:pStyle w:val="Heading1"/>
        <w:widowControl/>
        <w:spacing w:before="0" w:after="0"/>
        <w:ind w:left="0" w:firstLine="0"/>
        <w:rPr>
          <w:rFonts w:ascii="Arial Bold" w:eastAsiaTheme="majorEastAsia" w:hAnsi="Arial Bold" w:cstheme="majorBidi"/>
          <w:b w:val="0"/>
          <w:lang w:val="en-AU" w:eastAsia="en-GB"/>
        </w:rPr>
      </w:pPr>
      <w:bookmarkStart w:id="579" w:name="_Toc97643886"/>
      <w:bookmarkStart w:id="580" w:name="_Toc97653271"/>
      <w:bookmarkStart w:id="581" w:name="_Toc97739422"/>
      <w:bookmarkStart w:id="582" w:name="_Toc97823839"/>
      <w:bookmarkStart w:id="583" w:name="_Toc97824003"/>
      <w:r>
        <w:rPr>
          <w:rFonts w:ascii="Arial Bold" w:eastAsiaTheme="majorEastAsia" w:hAnsi="Arial Bold" w:cstheme="majorBidi"/>
          <w:b w:val="0"/>
          <w:lang w:val="en-AU" w:eastAsia="en-GB"/>
        </w:rPr>
        <w:t>8.</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best option from those considered?</w:t>
      </w:r>
      <w:bookmarkEnd w:id="577"/>
      <w:bookmarkEnd w:id="578"/>
      <w:bookmarkEnd w:id="579"/>
      <w:bookmarkEnd w:id="580"/>
      <w:bookmarkEnd w:id="581"/>
      <w:bookmarkEnd w:id="582"/>
      <w:bookmarkEnd w:id="583"/>
    </w:p>
    <w:p w14:paraId="1486064A" w14:textId="668DCAF7" w:rsidR="00E957F0" w:rsidRPr="009D2DA6" w:rsidRDefault="00FB6EF1" w:rsidP="00F611C6">
      <w:pPr>
        <w:pStyle w:val="Heading2"/>
        <w:rPr>
          <w:rFonts w:eastAsiaTheme="majorEastAsia"/>
          <w:lang w:val="en-AU" w:eastAsia="en-GB"/>
        </w:rPr>
      </w:pPr>
      <w:bookmarkStart w:id="584" w:name="_Toc85635331"/>
      <w:bookmarkStart w:id="585" w:name="_Toc97643887"/>
      <w:bookmarkStart w:id="586" w:name="_Toc97653272"/>
      <w:bookmarkStart w:id="587" w:name="_Toc97739423"/>
      <w:bookmarkStart w:id="588" w:name="_Toc97823840"/>
      <w:bookmarkStart w:id="589" w:name="_Toc97824004"/>
      <w:r>
        <w:rPr>
          <w:rFonts w:eastAsiaTheme="majorEastAsia"/>
          <w:lang w:val="en-AU" w:eastAsia="en-GB"/>
        </w:rPr>
        <w:t>8.1</w:t>
      </w:r>
      <w:r>
        <w:rPr>
          <w:rFonts w:eastAsiaTheme="majorEastAsia"/>
          <w:lang w:val="en-AU" w:eastAsia="en-GB"/>
        </w:rPr>
        <w:tab/>
      </w:r>
      <w:r w:rsidR="00E957F0" w:rsidRPr="009D2DA6">
        <w:rPr>
          <w:rFonts w:eastAsiaTheme="majorEastAsia"/>
          <w:lang w:val="en-AU" w:eastAsia="en-GB"/>
        </w:rPr>
        <w:t>Overview</w:t>
      </w:r>
      <w:bookmarkEnd w:id="584"/>
      <w:bookmarkEnd w:id="585"/>
      <w:bookmarkEnd w:id="586"/>
      <w:bookmarkEnd w:id="587"/>
      <w:bookmarkEnd w:id="588"/>
      <w:bookmarkEnd w:id="589"/>
    </w:p>
    <w:p w14:paraId="45D52B00" w14:textId="4A9DBB74" w:rsidR="00234A44" w:rsidRPr="00234A44" w:rsidRDefault="00E957F0" w:rsidP="00234A44">
      <w:pPr>
        <w:rPr>
          <w:rFonts w:eastAsiaTheme="majorEastAsia"/>
          <w:lang w:val="en-AU" w:eastAsia="en-GB" w:bidi="ar-SA"/>
        </w:rPr>
      </w:pPr>
      <w:r w:rsidRPr="009D2DA6">
        <w:rPr>
          <w:rFonts w:eastAsiaTheme="majorEastAsia"/>
          <w:lang w:val="en-AU" w:eastAsia="en-GB" w:bidi="ar-SA"/>
        </w:rPr>
        <w:t xml:space="preserve">FSANZ considered all four options and evaluated them against each other and criteria including such as the protection of public health, the need for regulation or other options, and the lightest touch approach possible. FSANZ considers that </w:t>
      </w:r>
      <w:r w:rsidR="0022784D">
        <w:rPr>
          <w:lang w:eastAsia="en-AU"/>
        </w:rPr>
        <w:t>option 3 provides the most</w:t>
      </w:r>
      <w:r w:rsidRPr="009D2DA6">
        <w:rPr>
          <w:lang w:eastAsia="en-AU"/>
        </w:rPr>
        <w:t xml:space="preserve"> cost-effective approach to reduce foodborne illness across all three horticulture sectors and is expected to </w:t>
      </w:r>
      <w:r w:rsidRPr="009D2DA6">
        <w:rPr>
          <w:rFonts w:cs="Arial"/>
        </w:rPr>
        <w:t>result in the largest net benefit to the community.</w:t>
      </w:r>
      <w:r w:rsidR="0022784D">
        <w:rPr>
          <w:rFonts w:cs="Arial"/>
        </w:rPr>
        <w:t xml:space="preserve"> </w:t>
      </w:r>
      <w:r w:rsidR="00651B0E">
        <w:rPr>
          <w:rFonts w:cs="Arial"/>
        </w:rPr>
        <w:t xml:space="preserve">Option three </w:t>
      </w:r>
      <w:r w:rsidR="001C0DB6">
        <w:rPr>
          <w:rFonts w:cs="Arial"/>
        </w:rPr>
        <w:t>i</w:t>
      </w:r>
      <w:r w:rsidR="00651B0E">
        <w:rPr>
          <w:rFonts w:cs="Arial"/>
        </w:rPr>
        <w:t xml:space="preserve">s also supported by stakeholders, </w:t>
      </w:r>
      <w:r w:rsidR="009F0AEB">
        <w:rPr>
          <w:rFonts w:cs="Arial"/>
        </w:rPr>
        <w:t>if existing FSS are recognised and the needs of small businesses are accommodated.</w:t>
      </w:r>
      <w:r w:rsidR="0022784D">
        <w:rPr>
          <w:rFonts w:cs="Arial"/>
        </w:rPr>
        <w:t xml:space="preserve"> </w:t>
      </w:r>
    </w:p>
    <w:p w14:paraId="2412935E" w14:textId="605B768C" w:rsidR="004742D6" w:rsidRPr="00234A44" w:rsidRDefault="00FB6EF1" w:rsidP="00F611C6">
      <w:pPr>
        <w:pStyle w:val="Heading2"/>
      </w:pPr>
      <w:bookmarkStart w:id="590" w:name="_Toc85635332"/>
      <w:bookmarkStart w:id="591" w:name="_Toc97643888"/>
      <w:bookmarkStart w:id="592" w:name="_Toc97653273"/>
      <w:bookmarkStart w:id="593" w:name="_Toc97739424"/>
      <w:bookmarkStart w:id="594" w:name="_Toc97823841"/>
      <w:bookmarkStart w:id="595" w:name="_Toc97824005"/>
      <w:r>
        <w:lastRenderedPageBreak/>
        <w:t>8.2</w:t>
      </w:r>
      <w:r>
        <w:tab/>
      </w:r>
      <w:r w:rsidR="004742D6" w:rsidRPr="00234A44">
        <w:t>FSANZ’s objectives</w:t>
      </w:r>
      <w:bookmarkEnd w:id="590"/>
      <w:bookmarkEnd w:id="591"/>
      <w:bookmarkEnd w:id="592"/>
      <w:bookmarkEnd w:id="593"/>
      <w:bookmarkEnd w:id="594"/>
      <w:bookmarkEnd w:id="595"/>
    </w:p>
    <w:p w14:paraId="2431E8C9" w14:textId="361806E6" w:rsidR="004742D6" w:rsidRPr="00DE09A8" w:rsidRDefault="004742D6" w:rsidP="004742D6">
      <w:pPr>
        <w:rPr>
          <w:szCs w:val="22"/>
          <w:lang w:bidi="ar-SA"/>
        </w:rPr>
      </w:pPr>
      <w:r>
        <w:t>When considering developing or varying a food s</w:t>
      </w:r>
      <w:r w:rsidRPr="00F01D83">
        <w:t>t</w:t>
      </w:r>
      <w:r>
        <w:t xml:space="preserve">andard, FSANZ is required to </w:t>
      </w:r>
      <w:r w:rsidR="00087DB0">
        <w:t xml:space="preserve">have regard </w:t>
      </w:r>
      <w:r w:rsidR="000A1B10">
        <w:t xml:space="preserve">to the statutory assessment criteria set by the </w:t>
      </w:r>
      <w:r w:rsidR="000A1B10" w:rsidRPr="00C430AE">
        <w:rPr>
          <w:i/>
        </w:rPr>
        <w:t>Food Standards Australia New Zealand Act 1991</w:t>
      </w:r>
      <w:r w:rsidR="000A1B10">
        <w:t xml:space="preserve"> (</w:t>
      </w:r>
      <w:r w:rsidR="000A1B10" w:rsidRPr="0001618C">
        <w:t>FSANZ Act)</w:t>
      </w:r>
      <w:r w:rsidR="000A1B10">
        <w:t>. These include</w:t>
      </w:r>
      <w:r w:rsidR="005613F8">
        <w:t xml:space="preserve"> </w:t>
      </w:r>
      <w:r>
        <w:t xml:space="preserve">the three primary objectives </w:t>
      </w:r>
      <w:r w:rsidR="00087DB0">
        <w:t xml:space="preserve">for food standards development that are </w:t>
      </w:r>
      <w:r>
        <w:t>set out in section 18 of th</w:t>
      </w:r>
      <w:r w:rsidR="000A1B10">
        <w:t>at Act</w:t>
      </w:r>
      <w:r w:rsidRPr="0001618C">
        <w:t>.</w:t>
      </w:r>
      <w:r>
        <w:t xml:space="preserve"> These are:</w:t>
      </w:r>
    </w:p>
    <w:p w14:paraId="29BC3F10" w14:textId="77777777" w:rsidR="004742D6" w:rsidRDefault="004742D6" w:rsidP="006354B0">
      <w:pPr>
        <w:pStyle w:val="Default"/>
        <w:numPr>
          <w:ilvl w:val="0"/>
          <w:numId w:val="17"/>
        </w:numPr>
        <w:rPr>
          <w:sz w:val="22"/>
          <w:szCs w:val="22"/>
        </w:rPr>
      </w:pPr>
      <w:r>
        <w:rPr>
          <w:sz w:val="22"/>
          <w:szCs w:val="22"/>
        </w:rPr>
        <w:t>the protection of public health and safety</w:t>
      </w:r>
    </w:p>
    <w:p w14:paraId="35CC0CB3" w14:textId="77777777" w:rsidR="004742D6" w:rsidRDefault="004742D6" w:rsidP="006354B0">
      <w:pPr>
        <w:pStyle w:val="Default"/>
        <w:numPr>
          <w:ilvl w:val="0"/>
          <w:numId w:val="17"/>
        </w:numPr>
        <w:rPr>
          <w:sz w:val="22"/>
          <w:szCs w:val="22"/>
        </w:rPr>
      </w:pPr>
      <w:r>
        <w:rPr>
          <w:sz w:val="22"/>
          <w:szCs w:val="22"/>
        </w:rPr>
        <w:t>the provision of adequate information relating to food to enable consumers to make informed choices</w:t>
      </w:r>
    </w:p>
    <w:p w14:paraId="700FF83B" w14:textId="77777777" w:rsidR="004742D6" w:rsidRDefault="004742D6" w:rsidP="006354B0">
      <w:pPr>
        <w:pStyle w:val="Default"/>
        <w:numPr>
          <w:ilvl w:val="0"/>
          <w:numId w:val="17"/>
        </w:numPr>
        <w:rPr>
          <w:sz w:val="22"/>
          <w:szCs w:val="22"/>
        </w:rPr>
      </w:pPr>
      <w:r>
        <w:rPr>
          <w:sz w:val="22"/>
          <w:szCs w:val="22"/>
        </w:rPr>
        <w:t>the prevention of misleading or deceptive conduct.</w:t>
      </w:r>
    </w:p>
    <w:p w14:paraId="2FB2DB08" w14:textId="77777777" w:rsidR="004742D6" w:rsidRDefault="004742D6" w:rsidP="004742D6"/>
    <w:p w14:paraId="7B899573" w14:textId="6DC42117" w:rsidR="004742D6" w:rsidRDefault="000A1B10" w:rsidP="004742D6">
      <w:pPr>
        <w:pStyle w:val="Default"/>
        <w:rPr>
          <w:sz w:val="22"/>
          <w:szCs w:val="22"/>
        </w:rPr>
      </w:pPr>
      <w:r>
        <w:rPr>
          <w:sz w:val="22"/>
          <w:szCs w:val="22"/>
        </w:rPr>
        <w:t xml:space="preserve">The </w:t>
      </w:r>
      <w:r w:rsidR="005613F8">
        <w:rPr>
          <w:sz w:val="22"/>
          <w:szCs w:val="22"/>
        </w:rPr>
        <w:t xml:space="preserve">objectives or </w:t>
      </w:r>
      <w:r>
        <w:rPr>
          <w:sz w:val="22"/>
          <w:szCs w:val="22"/>
        </w:rPr>
        <w:t xml:space="preserve">criteria that </w:t>
      </w:r>
      <w:r w:rsidR="004742D6">
        <w:rPr>
          <w:sz w:val="22"/>
          <w:szCs w:val="22"/>
        </w:rPr>
        <w:t xml:space="preserve">FSANZ must have regard to </w:t>
      </w:r>
      <w:r w:rsidR="005613F8">
        <w:rPr>
          <w:sz w:val="22"/>
          <w:szCs w:val="22"/>
        </w:rPr>
        <w:t xml:space="preserve">also </w:t>
      </w:r>
      <w:r>
        <w:rPr>
          <w:sz w:val="22"/>
          <w:szCs w:val="22"/>
        </w:rPr>
        <w:t xml:space="preserve">include </w:t>
      </w:r>
      <w:r w:rsidR="004742D6">
        <w:rPr>
          <w:sz w:val="22"/>
          <w:szCs w:val="22"/>
        </w:rPr>
        <w:t>the following:</w:t>
      </w:r>
    </w:p>
    <w:p w14:paraId="68374AEB" w14:textId="77777777" w:rsidR="004742D6" w:rsidRPr="00DE09A8" w:rsidRDefault="004742D6" w:rsidP="00DE09A8">
      <w:pPr>
        <w:pStyle w:val="FSBullet1"/>
      </w:pPr>
      <w:r>
        <w:t xml:space="preserve">the need for </w:t>
      </w:r>
      <w:r w:rsidRPr="00DE09A8">
        <w:t>standards to be based on risk analysis using the best available scientific evidence</w:t>
      </w:r>
    </w:p>
    <w:p w14:paraId="2C421A2D" w14:textId="77777777" w:rsidR="004742D6" w:rsidRPr="00DE09A8" w:rsidRDefault="004742D6" w:rsidP="00DE09A8">
      <w:pPr>
        <w:pStyle w:val="FSBullet1"/>
      </w:pPr>
      <w:r w:rsidRPr="00DE09A8">
        <w:t>the promotion of consistency between domestic and international food standards</w:t>
      </w:r>
    </w:p>
    <w:p w14:paraId="7EF2ED09" w14:textId="77777777" w:rsidR="004742D6" w:rsidRPr="00DE09A8" w:rsidRDefault="004742D6" w:rsidP="00DE09A8">
      <w:pPr>
        <w:pStyle w:val="FSBullet1"/>
      </w:pPr>
      <w:r w:rsidRPr="00DE09A8">
        <w:t>the desirability of an efficient and internationally competitive food industry</w:t>
      </w:r>
    </w:p>
    <w:p w14:paraId="487C776B" w14:textId="77777777" w:rsidR="004742D6" w:rsidRPr="00DE09A8" w:rsidRDefault="004742D6" w:rsidP="00DE09A8">
      <w:pPr>
        <w:pStyle w:val="FSBullet1"/>
      </w:pPr>
      <w:r w:rsidRPr="00DE09A8">
        <w:t>the promotion of fair trading in food</w:t>
      </w:r>
    </w:p>
    <w:p w14:paraId="1406A43E" w14:textId="4D1DE9FB" w:rsidR="00087DB0" w:rsidRDefault="004742D6" w:rsidP="00DE09A8">
      <w:pPr>
        <w:pStyle w:val="FSBullet1"/>
      </w:pPr>
      <w:r w:rsidRPr="00DE09A8">
        <w:t>any written policy</w:t>
      </w:r>
      <w:r>
        <w:t xml:space="preserve"> guidelines formulated by the Ministerial Council (now </w:t>
      </w:r>
      <w:r w:rsidR="00490390">
        <w:t xml:space="preserve">the </w:t>
      </w:r>
      <w:r>
        <w:t>Food Ministers’ Meeting)</w:t>
      </w:r>
      <w:r w:rsidR="00087DB0">
        <w:t>; and</w:t>
      </w:r>
    </w:p>
    <w:p w14:paraId="69FE152B" w14:textId="6FD8C31D" w:rsidR="004742D6" w:rsidRDefault="00087DB0" w:rsidP="00DE09A8">
      <w:pPr>
        <w:pStyle w:val="FSBullet1"/>
      </w:pPr>
      <w:r>
        <w:t>any othe</w:t>
      </w:r>
      <w:r w:rsidR="00A25862">
        <w:t>r relevant matter</w:t>
      </w:r>
      <w:r w:rsidR="004C6FD5">
        <w:t>.</w:t>
      </w:r>
    </w:p>
    <w:p w14:paraId="7C604909" w14:textId="637E533E" w:rsidR="004742D6" w:rsidRDefault="004742D6" w:rsidP="004742D6">
      <w:pPr>
        <w:pStyle w:val="Default"/>
        <w:rPr>
          <w:sz w:val="22"/>
          <w:szCs w:val="22"/>
        </w:rPr>
      </w:pPr>
    </w:p>
    <w:p w14:paraId="65E37CCB" w14:textId="1355B243" w:rsidR="00516A6E" w:rsidRDefault="004742D6" w:rsidP="004742D6">
      <w:r w:rsidRPr="00366851">
        <w:t xml:space="preserve">FSANZ has regard for the </w:t>
      </w:r>
      <w:hyperlink r:id="rId38" w:anchor=":~:text=Overarching%20Policy%20Guideline%20on%20Primary%20Production%20and%20Processing,food%20standards%20covering%20the%20entire%20food%20supply%20chain." w:history="1">
        <w:r w:rsidRPr="00760F12">
          <w:rPr>
            <w:rStyle w:val="Hyperlink"/>
            <w:i/>
          </w:rPr>
          <w:t>Overarching Policy Guideline on Primary Production and Processing Standards</w:t>
        </w:r>
      </w:hyperlink>
      <w:r w:rsidR="00760F12">
        <w:rPr>
          <w:rStyle w:val="FootnoteReference"/>
          <w:i/>
        </w:rPr>
        <w:footnoteReference w:id="20"/>
      </w:r>
      <w:r w:rsidRPr="00366851">
        <w:t xml:space="preserve"> (policy guideline) approved in 2006 by food ministers. The policy guideline contains high-order principles that must be conside</w:t>
      </w:r>
      <w:r>
        <w:t>red when a s</w:t>
      </w:r>
      <w:r w:rsidRPr="00366851">
        <w:t>tandard is developed</w:t>
      </w:r>
      <w:r>
        <w:t>. The guideline ensures that s</w:t>
      </w:r>
      <w:r w:rsidRPr="00366851">
        <w:t>tandards protect public health and safety and result in the development of minimal effective regulation.</w:t>
      </w:r>
      <w:r w:rsidR="00FE0611">
        <w:t xml:space="preserve"> </w:t>
      </w:r>
    </w:p>
    <w:p w14:paraId="133D870C" w14:textId="77777777" w:rsidR="00516A6E" w:rsidRDefault="00516A6E" w:rsidP="004742D6"/>
    <w:p w14:paraId="1B0720A2" w14:textId="77777777" w:rsidR="00760F12" w:rsidRDefault="00760F12" w:rsidP="00760F12">
      <w:r>
        <w:t xml:space="preserve">Throughout this proposal FSANZ has worked with jurisdictions through the </w:t>
      </w:r>
      <w:hyperlink r:id="rId39" w:history="1">
        <w:r w:rsidRPr="00A43A53">
          <w:rPr>
            <w:rStyle w:val="Hyperlink"/>
            <w:rFonts w:cs="Arial"/>
            <w:lang w:eastAsia="en-GB"/>
          </w:rPr>
          <w:t>Integrated Model for Standards Development and Consistent Implementation of Primary Production and Processing Standards</w:t>
        </w:r>
      </w:hyperlink>
      <w:r>
        <w:rPr>
          <w:rStyle w:val="FootnoteReference"/>
          <w:rFonts w:cs="Arial"/>
          <w:color w:val="3333FF"/>
          <w:u w:val="single"/>
          <w:lang w:eastAsia="en-GB"/>
        </w:rPr>
        <w:footnoteReference w:id="21"/>
      </w:r>
      <w:r>
        <w:rPr>
          <w:rStyle w:val="Hyperlink"/>
          <w:rFonts w:cs="Arial"/>
          <w:lang w:eastAsia="en-GB"/>
        </w:rPr>
        <w:t>.</w:t>
      </w:r>
      <w:r w:rsidRPr="00516A6E">
        <w:rPr>
          <w:rStyle w:val="Hyperlink"/>
          <w:rFonts w:cs="Arial"/>
          <w:color w:val="auto"/>
          <w:u w:val="none"/>
          <w:lang w:eastAsia="en-GB"/>
        </w:rPr>
        <w:t xml:space="preserve"> This model was </w:t>
      </w:r>
      <w:r>
        <w:rPr>
          <w:rStyle w:val="Hyperlink"/>
          <w:rFonts w:cs="Arial"/>
          <w:color w:val="auto"/>
          <w:u w:val="none"/>
          <w:lang w:eastAsia="en-GB"/>
        </w:rPr>
        <w:t>developed by the</w:t>
      </w:r>
      <w:r w:rsidRPr="00516A6E">
        <w:rPr>
          <w:rStyle w:val="Hyperlink"/>
          <w:rFonts w:cs="Arial"/>
          <w:color w:val="auto"/>
          <w:u w:val="none"/>
          <w:lang w:eastAsia="en-GB"/>
        </w:rPr>
        <w:t xml:space="preserve"> Food Regulation Implementation Sub-Committee</w:t>
      </w:r>
      <w:r>
        <w:rPr>
          <w:rStyle w:val="Hyperlink"/>
          <w:rFonts w:cs="Arial"/>
          <w:color w:val="auto"/>
          <w:u w:val="none"/>
          <w:lang w:eastAsia="en-GB"/>
        </w:rPr>
        <w:t xml:space="preserve"> to facilitate national consistency in implementation, provide FSANZ with advice during standard development, and </w:t>
      </w:r>
      <w:r>
        <w:t>provide tools to assist businesses to achieve compliance</w:t>
      </w:r>
      <w:r>
        <w:rPr>
          <w:rStyle w:val="Hyperlink"/>
          <w:rFonts w:cs="Arial"/>
          <w:color w:val="auto"/>
          <w:u w:val="none"/>
          <w:lang w:eastAsia="en-GB"/>
        </w:rPr>
        <w:t xml:space="preserve">. </w:t>
      </w:r>
    </w:p>
    <w:p w14:paraId="7270FE3F" w14:textId="5A49696C" w:rsidR="006C042B" w:rsidRDefault="006C042B" w:rsidP="004742D6"/>
    <w:p w14:paraId="78F2B0BF" w14:textId="66134233" w:rsidR="004742D6" w:rsidRDefault="004742D6" w:rsidP="004742D6">
      <w:r>
        <w:t xml:space="preserve">FSANZ’s risk assessment and risk management approach is consistent with the </w:t>
      </w:r>
      <w:r w:rsidRPr="004742D6">
        <w:t>Codex</w:t>
      </w:r>
      <w:r>
        <w:t xml:space="preserve"> </w:t>
      </w:r>
      <w:hyperlink r:id="rId40" w:history="1">
        <w:r w:rsidRPr="00EB7809">
          <w:rPr>
            <w:rStyle w:val="Hyperlink"/>
          </w:rPr>
          <w:t>risk analysis framework</w:t>
        </w:r>
      </w:hyperlink>
      <w:r>
        <w:t xml:space="preserve">. Further information about FSANZ’s risk management approach is described on the </w:t>
      </w:r>
      <w:hyperlink r:id="rId41" w:history="1">
        <w:r w:rsidRPr="00460A0E">
          <w:rPr>
            <w:rStyle w:val="Hyperlink"/>
          </w:rPr>
          <w:t xml:space="preserve">FSANZ </w:t>
        </w:r>
        <w:r>
          <w:rPr>
            <w:rStyle w:val="Hyperlink"/>
          </w:rPr>
          <w:t>website</w:t>
        </w:r>
      </w:hyperlink>
      <w:r>
        <w:t xml:space="preserve"> and can be found in the </w:t>
      </w:r>
      <w:hyperlink r:id="rId42" w:history="1">
        <w:r w:rsidRPr="00460A0E">
          <w:rPr>
            <w:rStyle w:val="Hyperlink"/>
          </w:rPr>
          <w:t>Risk Analysis in Food Regulation</w:t>
        </w:r>
      </w:hyperlink>
      <w:r>
        <w:t xml:space="preserve"> publication.</w:t>
      </w:r>
    </w:p>
    <w:p w14:paraId="742FB2C7" w14:textId="568F5B88" w:rsidR="002924C1" w:rsidRDefault="002924C1" w:rsidP="002924C1"/>
    <w:p w14:paraId="7B688405" w14:textId="0885D663" w:rsidR="008F7BED" w:rsidRDefault="002924C1" w:rsidP="002924C1">
      <w:r>
        <w:t xml:space="preserve">FSANZ’s risk management objectives also consider the cost of implementing any proposed risk management measures against the relative benefits achieved in terms of improved food safety outcomes. </w:t>
      </w:r>
      <w:r w:rsidR="008F7BED">
        <w:t>FSANZ also consider</w:t>
      </w:r>
      <w:r w:rsidR="001C0DB6">
        <w:t>s</w:t>
      </w:r>
      <w:r w:rsidR="008F7BED">
        <w:t xml:space="preserve"> feedback </w:t>
      </w:r>
      <w:r w:rsidR="001C0DB6">
        <w:t xml:space="preserve">provided through our </w:t>
      </w:r>
      <w:r w:rsidR="008F7BED">
        <w:t>stakeholder</w:t>
      </w:r>
      <w:r w:rsidR="001C0DB6">
        <w:t xml:space="preserve"> consultations</w:t>
      </w:r>
      <w:r w:rsidR="008F7BED">
        <w:t xml:space="preserve">. </w:t>
      </w:r>
    </w:p>
    <w:p w14:paraId="4904B7B3" w14:textId="74D98C2E" w:rsidR="005C788F" w:rsidRDefault="005C788F" w:rsidP="002924C1"/>
    <w:p w14:paraId="543332B1" w14:textId="4E1C7608" w:rsidR="002924C1" w:rsidRPr="00E01D7E" w:rsidDel="003B746E" w:rsidRDefault="005C788F" w:rsidP="002924C1">
      <w:pPr>
        <w:rPr>
          <w:szCs w:val="22"/>
        </w:rPr>
      </w:pPr>
      <w:r w:rsidRPr="00783F11">
        <w:rPr>
          <w:szCs w:val="22"/>
        </w:rPr>
        <w:t xml:space="preserve">FSANZ has considered each of these objectives </w:t>
      </w:r>
      <w:r w:rsidR="002924C1" w:rsidDel="003B746E">
        <w:t>to determine the:</w:t>
      </w:r>
    </w:p>
    <w:p w14:paraId="4B2C8771" w14:textId="77777777" w:rsidR="002924C1" w:rsidDel="003B746E" w:rsidRDefault="002924C1" w:rsidP="009150A6">
      <w:pPr>
        <w:pStyle w:val="FSBullet1"/>
      </w:pPr>
      <w:r w:rsidDel="003B746E">
        <w:t>best available options for managing food safety for berries, leafy vegetables and melons</w:t>
      </w:r>
    </w:p>
    <w:p w14:paraId="2A3CCB58" w14:textId="19A987A5" w:rsidR="002924C1" w:rsidRDefault="002924C1" w:rsidP="002924C1">
      <w:pPr>
        <w:pStyle w:val="FSBullet1"/>
      </w:pPr>
      <w:r w:rsidDel="003B746E">
        <w:t>most effective risk management measures in terms of costs and benefits to the Australian public.</w:t>
      </w:r>
    </w:p>
    <w:p w14:paraId="3E3D4EB4" w14:textId="72067216" w:rsidR="006C042B" w:rsidRPr="00D43F48" w:rsidRDefault="00FB6EF1" w:rsidP="00F611C6">
      <w:pPr>
        <w:pStyle w:val="Heading2"/>
        <w:rPr>
          <w:lang w:val="en-AU"/>
        </w:rPr>
      </w:pPr>
      <w:bookmarkStart w:id="596" w:name="_Toc85635333"/>
      <w:bookmarkStart w:id="597" w:name="_Toc97643889"/>
      <w:bookmarkStart w:id="598" w:name="_Toc97653274"/>
      <w:bookmarkStart w:id="599" w:name="_Toc97739425"/>
      <w:bookmarkStart w:id="600" w:name="_Toc97823842"/>
      <w:bookmarkStart w:id="601" w:name="_Toc97824006"/>
      <w:r>
        <w:rPr>
          <w:lang w:val="en-AU"/>
        </w:rPr>
        <w:lastRenderedPageBreak/>
        <w:t>8.3</w:t>
      </w:r>
      <w:r>
        <w:rPr>
          <w:lang w:val="en-AU"/>
        </w:rPr>
        <w:tab/>
      </w:r>
      <w:r w:rsidR="004742D6" w:rsidRPr="00D43F48">
        <w:rPr>
          <w:lang w:val="en-AU"/>
        </w:rPr>
        <w:t xml:space="preserve">Option 1 </w:t>
      </w:r>
      <w:r w:rsidR="009150A6" w:rsidRPr="00D43F48">
        <w:rPr>
          <w:lang w:val="en-AU"/>
        </w:rPr>
        <w:t>–</w:t>
      </w:r>
      <w:r w:rsidR="004742D6" w:rsidRPr="00D43F48">
        <w:rPr>
          <w:lang w:val="en-AU"/>
        </w:rPr>
        <w:t xml:space="preserve"> </w:t>
      </w:r>
      <w:r w:rsidR="00900391" w:rsidRPr="00D43F48">
        <w:rPr>
          <w:lang w:val="en-AU"/>
        </w:rPr>
        <w:t>Status quo</w:t>
      </w:r>
      <w:bookmarkEnd w:id="596"/>
      <w:bookmarkEnd w:id="597"/>
      <w:bookmarkEnd w:id="598"/>
      <w:bookmarkEnd w:id="599"/>
      <w:bookmarkEnd w:id="600"/>
      <w:bookmarkEnd w:id="601"/>
    </w:p>
    <w:p w14:paraId="6A753306" w14:textId="4168D740" w:rsidR="004742D6" w:rsidRPr="00927D2D" w:rsidRDefault="00BC2491" w:rsidP="007A071A">
      <w:pPr>
        <w:widowControl/>
        <w:contextualSpacing/>
        <w:rPr>
          <w:lang w:val="en-AU"/>
        </w:rPr>
      </w:pPr>
      <w:r>
        <w:rPr>
          <w:lang w:val="en-AU"/>
        </w:rPr>
        <w:t>FSANZ’s conclusion is that maintaining the status quo is not our preferred option. The status quo does not adequately support public health and safety objectives.</w:t>
      </w:r>
      <w:r w:rsidR="007A071A">
        <w:rPr>
          <w:lang w:val="en-AU"/>
        </w:rPr>
        <w:t xml:space="preserve"> </w:t>
      </w:r>
      <w:r w:rsidR="007A071A">
        <w:rPr>
          <w:rFonts w:eastAsiaTheme="minorHAnsi" w:cstheme="minorBidi"/>
          <w:szCs w:val="22"/>
          <w:lang w:bidi="ar-SA"/>
        </w:rPr>
        <w:t>Illness, deaths, recalls, outbreaks and</w:t>
      </w:r>
      <w:r w:rsidR="005510D0" w:rsidRPr="00BC2491">
        <w:rPr>
          <w:rFonts w:eastAsiaTheme="minorHAnsi" w:cstheme="minorBidi"/>
          <w:szCs w:val="22"/>
          <w:lang w:bidi="ar-SA"/>
        </w:rPr>
        <w:t xml:space="preserve"> incidents can be expected to contin</w:t>
      </w:r>
      <w:r w:rsidR="005510D0">
        <w:rPr>
          <w:rFonts w:eastAsiaTheme="minorHAnsi" w:cstheme="minorBidi"/>
          <w:szCs w:val="22"/>
          <w:lang w:bidi="ar-SA"/>
        </w:rPr>
        <w:t>ue at current levels</w:t>
      </w:r>
      <w:r w:rsidR="00DE09A8">
        <w:rPr>
          <w:rFonts w:eastAsiaTheme="minorHAnsi" w:cstheme="minorBidi"/>
          <w:szCs w:val="22"/>
          <w:lang w:bidi="ar-SA"/>
        </w:rPr>
        <w:t>,</w:t>
      </w:r>
      <w:r w:rsidR="007A071A">
        <w:rPr>
          <w:rFonts w:eastAsiaTheme="minorHAnsi" w:cstheme="minorBidi"/>
          <w:szCs w:val="22"/>
          <w:lang w:bidi="ar-SA"/>
        </w:rPr>
        <w:t xml:space="preserve"> </w:t>
      </w:r>
      <w:r w:rsidR="005510D0">
        <w:rPr>
          <w:rFonts w:eastAsiaTheme="minorHAnsi" w:cstheme="minorBidi"/>
          <w:szCs w:val="22"/>
          <w:lang w:bidi="ar-SA"/>
        </w:rPr>
        <w:t xml:space="preserve">with associated costs. </w:t>
      </w:r>
      <w:r w:rsidR="007A071A" w:rsidRPr="00BC2491">
        <w:rPr>
          <w:rFonts w:eastAsiaTheme="minorHAnsi" w:cs="Arial"/>
          <w:szCs w:val="22"/>
          <w:lang w:bidi="ar-SA"/>
        </w:rPr>
        <w:t>There would be no nationally consistent set of regulatory requirements for berries, leafy vegetables or melons.</w:t>
      </w:r>
      <w:r w:rsidR="007A071A">
        <w:rPr>
          <w:rFonts w:eastAsiaTheme="minorHAnsi" w:cs="Arial"/>
          <w:szCs w:val="22"/>
          <w:lang w:bidi="ar-SA"/>
        </w:rPr>
        <w:t xml:space="preserve"> This is not helpful for multi-jurisdictional businesses, exporters and export regulators. </w:t>
      </w:r>
      <w:r w:rsidR="005510D0" w:rsidRPr="00BC2491">
        <w:rPr>
          <w:rFonts w:eastAsiaTheme="minorHAnsi" w:cstheme="minorBidi"/>
          <w:szCs w:val="22"/>
          <w:lang w:bidi="ar-SA"/>
        </w:rPr>
        <w:t>Although industry FSS currently exist, these</w:t>
      </w:r>
      <w:r w:rsidR="005510D0" w:rsidRPr="00BC2491">
        <w:rPr>
          <w:rFonts w:cs="Arial"/>
        </w:rPr>
        <w:t xml:space="preserve"> only apply </w:t>
      </w:r>
      <w:r w:rsidR="005510D0">
        <w:rPr>
          <w:rFonts w:cs="Arial"/>
        </w:rPr>
        <w:t xml:space="preserve">to those businesses who sign up. </w:t>
      </w:r>
      <w:r w:rsidR="007A071A">
        <w:rPr>
          <w:rFonts w:cs="Arial"/>
        </w:rPr>
        <w:t>Lack of uptake of FSS</w:t>
      </w:r>
      <w:r w:rsidR="005510D0" w:rsidRPr="00BC2491">
        <w:rPr>
          <w:rFonts w:eastAsiaTheme="minorHAnsi" w:cstheme="minorBidi"/>
          <w:szCs w:val="22"/>
          <w:lang w:bidi="ar-SA"/>
        </w:rPr>
        <w:t xml:space="preserve"> would continue to result in the uneven playing field for industry and the potential lack of appropriate food safety management by </w:t>
      </w:r>
      <w:r w:rsidR="007A071A">
        <w:rPr>
          <w:rFonts w:eastAsiaTheme="minorHAnsi" w:cstheme="minorBidi"/>
          <w:szCs w:val="22"/>
          <w:lang w:bidi="ar-SA"/>
        </w:rPr>
        <w:t>those not participating.</w:t>
      </w:r>
      <w:r w:rsidR="007A071A">
        <w:rPr>
          <w:lang w:val="en-AU"/>
        </w:rPr>
        <w:t xml:space="preserve"> </w:t>
      </w:r>
      <w:r w:rsidR="005510D0" w:rsidRPr="00BC2491">
        <w:rPr>
          <w:rFonts w:eastAsiaTheme="minorHAnsi" w:cs="Arial"/>
          <w:szCs w:val="22"/>
          <w:lang w:bidi="ar-SA"/>
        </w:rPr>
        <w:t>Government food regulators would not be empowered to</w:t>
      </w:r>
      <w:r w:rsidR="005510D0" w:rsidRPr="00BC2491">
        <w:rPr>
          <w:rFonts w:eastAsiaTheme="minorHAnsi" w:cstheme="minorBidi"/>
          <w:szCs w:val="22"/>
          <w:lang w:bidi="ar-SA"/>
        </w:rPr>
        <w:t xml:space="preserve"> support Australia’s primary producers and processors or proactively manage food safety in these sectors on behalf of consumers.</w:t>
      </w:r>
    </w:p>
    <w:p w14:paraId="1BC26055" w14:textId="4C893965" w:rsidR="006C042B" w:rsidRPr="00D43F48" w:rsidRDefault="00FB6EF1" w:rsidP="00F611C6">
      <w:pPr>
        <w:pStyle w:val="Heading2"/>
        <w:rPr>
          <w:lang w:val="en-AU"/>
        </w:rPr>
      </w:pPr>
      <w:bookmarkStart w:id="602" w:name="_Toc85635334"/>
      <w:bookmarkStart w:id="603" w:name="_Toc97643890"/>
      <w:bookmarkStart w:id="604" w:name="_Toc97653275"/>
      <w:bookmarkStart w:id="605" w:name="_Toc97739426"/>
      <w:bookmarkStart w:id="606" w:name="_Toc97823843"/>
      <w:bookmarkStart w:id="607" w:name="_Toc97824007"/>
      <w:r>
        <w:rPr>
          <w:lang w:val="en-AU"/>
        </w:rPr>
        <w:t>8.4</w:t>
      </w:r>
      <w:r>
        <w:rPr>
          <w:lang w:val="en-AU"/>
        </w:rPr>
        <w:tab/>
      </w:r>
      <w:r w:rsidR="006C042B" w:rsidRPr="00D43F48">
        <w:rPr>
          <w:lang w:val="en-AU"/>
        </w:rPr>
        <w:t xml:space="preserve">Option 2 </w:t>
      </w:r>
      <w:r w:rsidR="009150A6" w:rsidRPr="00D43F48">
        <w:rPr>
          <w:lang w:val="en-AU"/>
        </w:rPr>
        <w:t>–</w:t>
      </w:r>
      <w:r w:rsidR="006C042B" w:rsidRPr="00D43F48">
        <w:rPr>
          <w:lang w:val="en-AU"/>
        </w:rPr>
        <w:t xml:space="preserve"> </w:t>
      </w:r>
      <w:r w:rsidR="000C36E3" w:rsidRPr="00D43F48">
        <w:rPr>
          <w:lang w:val="en-AU"/>
        </w:rPr>
        <w:t>R</w:t>
      </w:r>
      <w:r w:rsidR="00900391" w:rsidRPr="00D43F48">
        <w:rPr>
          <w:lang w:val="en-AU"/>
        </w:rPr>
        <w:t>egulatory measures</w:t>
      </w:r>
      <w:r w:rsidR="000C36E3" w:rsidRPr="00D43F48">
        <w:rPr>
          <w:lang w:val="en-AU"/>
        </w:rPr>
        <w:t xml:space="preserve"> (standalone)</w:t>
      </w:r>
      <w:bookmarkEnd w:id="602"/>
      <w:bookmarkEnd w:id="603"/>
      <w:bookmarkEnd w:id="604"/>
      <w:bookmarkEnd w:id="605"/>
      <w:bookmarkEnd w:id="606"/>
      <w:bookmarkEnd w:id="607"/>
    </w:p>
    <w:p w14:paraId="198EC5FD" w14:textId="618E05FA" w:rsidR="00D43F48" w:rsidRDefault="00BD4268" w:rsidP="000C36E3">
      <w:pPr>
        <w:pStyle w:val="Header"/>
        <w:rPr>
          <w:lang w:val="en-AU"/>
        </w:rPr>
      </w:pPr>
      <w:r>
        <w:rPr>
          <w:lang w:val="en-AU"/>
        </w:rPr>
        <w:t xml:space="preserve">FSANZ’s conclusion is that introduction of standalone standards is not our </w:t>
      </w:r>
      <w:r w:rsidRPr="009D2DA6">
        <w:rPr>
          <w:lang w:val="en-AU"/>
        </w:rPr>
        <w:t xml:space="preserve">preferred option. </w:t>
      </w:r>
      <w:r w:rsidR="00D23D15">
        <w:rPr>
          <w:lang w:val="en-AU"/>
        </w:rPr>
        <w:t>As stakeholders have signalled, r</w:t>
      </w:r>
      <w:r w:rsidRPr="009D2DA6">
        <w:rPr>
          <w:lang w:val="en-AU"/>
        </w:rPr>
        <w:t xml:space="preserve">egulatory measures are best supported by non-regulatory measures </w:t>
      </w:r>
      <w:r w:rsidR="00356EFE">
        <w:rPr>
          <w:lang w:val="en-AU"/>
        </w:rPr>
        <w:t>including</w:t>
      </w:r>
      <w:r w:rsidRPr="009D2DA6">
        <w:rPr>
          <w:lang w:val="en-AU"/>
        </w:rPr>
        <w:t xml:space="preserve"> </w:t>
      </w:r>
      <w:r w:rsidR="00611DA2" w:rsidRPr="009D2DA6">
        <w:rPr>
          <w:lang w:val="en-AU"/>
        </w:rPr>
        <w:t>fact sheets</w:t>
      </w:r>
      <w:r w:rsidR="00BB322F">
        <w:rPr>
          <w:lang w:val="en-AU"/>
        </w:rPr>
        <w:t>, animations, webinars and face-to-</w:t>
      </w:r>
      <w:r w:rsidR="00611DA2" w:rsidRPr="009D2DA6">
        <w:rPr>
          <w:lang w:val="en-AU"/>
        </w:rPr>
        <w:t xml:space="preserve">face meetings, </w:t>
      </w:r>
      <w:r w:rsidRPr="009D2DA6">
        <w:rPr>
          <w:lang w:val="en-AU"/>
        </w:rPr>
        <w:t>developed and delivered cooperatively</w:t>
      </w:r>
      <w:r>
        <w:rPr>
          <w:lang w:val="en-AU"/>
        </w:rPr>
        <w:t xml:space="preserve"> between industry and government. The additional non-regulatory measures </w:t>
      </w:r>
      <w:r w:rsidR="005510D0">
        <w:rPr>
          <w:lang w:val="en-AU"/>
        </w:rPr>
        <w:t xml:space="preserve">(proposed by option 3) </w:t>
      </w:r>
      <w:r>
        <w:rPr>
          <w:lang w:val="en-AU"/>
        </w:rPr>
        <w:t>ad</w:t>
      </w:r>
      <w:r w:rsidR="004309F7">
        <w:rPr>
          <w:lang w:val="en-AU"/>
        </w:rPr>
        <w:t xml:space="preserve">d low extra </w:t>
      </w:r>
      <w:r>
        <w:rPr>
          <w:lang w:val="en-AU"/>
        </w:rPr>
        <w:t>costs to industry</w:t>
      </w:r>
      <w:r w:rsidR="001802A0">
        <w:rPr>
          <w:lang w:val="en-AU"/>
        </w:rPr>
        <w:t xml:space="preserve">. </w:t>
      </w:r>
      <w:r w:rsidR="00E01D7E">
        <w:rPr>
          <w:lang w:val="en-AU"/>
        </w:rPr>
        <w:t>On</w:t>
      </w:r>
      <w:r w:rsidRPr="00473A98">
        <w:rPr>
          <w:lang w:val="en-AU"/>
        </w:rPr>
        <w:t xml:space="preserve">ly a minimal reduction in illness </w:t>
      </w:r>
      <w:r>
        <w:rPr>
          <w:lang w:val="en-AU"/>
        </w:rPr>
        <w:t>would need to be attributed to these additional non-regulatory</w:t>
      </w:r>
      <w:r w:rsidR="00927D2D">
        <w:rPr>
          <w:lang w:val="en-AU"/>
        </w:rPr>
        <w:t xml:space="preserve"> measures to justify the costs.</w:t>
      </w:r>
    </w:p>
    <w:p w14:paraId="7DC13E09" w14:textId="43EAA95B" w:rsidR="001370D3" w:rsidRDefault="001370D3" w:rsidP="000C36E3">
      <w:pPr>
        <w:pStyle w:val="Header"/>
        <w:rPr>
          <w:lang w:val="en-AU"/>
        </w:rPr>
      </w:pPr>
    </w:p>
    <w:p w14:paraId="1C6FEF50" w14:textId="071FEEF5" w:rsidR="001370D3" w:rsidRDefault="001370D3" w:rsidP="000C36E3">
      <w:pPr>
        <w:pStyle w:val="Header"/>
        <w:rPr>
          <w:lang w:val="en-AU"/>
        </w:rPr>
      </w:pPr>
      <w:r>
        <w:t xml:space="preserve">This option would allow regulators on </w:t>
      </w:r>
      <w:r w:rsidR="00356EFE">
        <w:t>growing and processing</w:t>
      </w:r>
      <w:r>
        <w:t xml:space="preserve"> sites in non-emergencies.</w:t>
      </w:r>
    </w:p>
    <w:p w14:paraId="1F8894BA" w14:textId="167B10F0" w:rsidR="00D43F48" w:rsidRPr="00D43F48" w:rsidRDefault="00FB6EF1" w:rsidP="00F611C6">
      <w:pPr>
        <w:pStyle w:val="Heading2"/>
        <w:rPr>
          <w:lang w:val="en-AU"/>
        </w:rPr>
      </w:pPr>
      <w:bookmarkStart w:id="608" w:name="_Toc85635335"/>
      <w:bookmarkStart w:id="609" w:name="_Toc97643891"/>
      <w:bookmarkStart w:id="610" w:name="_Toc97653276"/>
      <w:bookmarkStart w:id="611" w:name="_Toc97739427"/>
      <w:bookmarkStart w:id="612" w:name="_Toc97823844"/>
      <w:bookmarkStart w:id="613" w:name="_Toc97824008"/>
      <w:r>
        <w:rPr>
          <w:lang w:val="en-AU"/>
        </w:rPr>
        <w:t>8.5</w:t>
      </w:r>
      <w:r>
        <w:rPr>
          <w:lang w:val="en-AU"/>
        </w:rPr>
        <w:tab/>
      </w:r>
      <w:r w:rsidR="00D43F48" w:rsidRPr="00D43F48">
        <w:rPr>
          <w:lang w:val="en-AU"/>
        </w:rPr>
        <w:t>Option 3 – Regulatory and non-regulatory measures</w:t>
      </w:r>
      <w:bookmarkEnd w:id="608"/>
      <w:bookmarkEnd w:id="609"/>
      <w:bookmarkEnd w:id="610"/>
      <w:bookmarkEnd w:id="611"/>
      <w:bookmarkEnd w:id="612"/>
      <w:bookmarkEnd w:id="613"/>
    </w:p>
    <w:p w14:paraId="6C26C984" w14:textId="4EE3A4A6" w:rsidR="00F069B5" w:rsidRDefault="00D43F48" w:rsidP="00F069B5">
      <w:pPr>
        <w:autoSpaceDE w:val="0"/>
        <w:autoSpaceDN w:val="0"/>
        <w:adjustRightInd w:val="0"/>
        <w:ind w:right="-144"/>
        <w:rPr>
          <w:lang w:val="en-AU"/>
        </w:rPr>
      </w:pPr>
      <w:r>
        <w:rPr>
          <w:lang w:val="en-AU"/>
        </w:rPr>
        <w:t>After examining all available risk management options</w:t>
      </w:r>
      <w:r w:rsidR="00E32200">
        <w:rPr>
          <w:lang w:val="en-AU"/>
        </w:rPr>
        <w:t xml:space="preserve"> and considering feedback from consultation</w:t>
      </w:r>
      <w:r w:rsidR="001C0DB6">
        <w:rPr>
          <w:lang w:val="en-AU"/>
        </w:rPr>
        <w:t>s</w:t>
      </w:r>
      <w:r w:rsidR="003E6A77">
        <w:rPr>
          <w:lang w:val="en-AU"/>
        </w:rPr>
        <w:t xml:space="preserve"> (refer to section 10)</w:t>
      </w:r>
      <w:r>
        <w:rPr>
          <w:lang w:val="en-AU"/>
        </w:rPr>
        <w:t xml:space="preserve">, FSANZ’s </w:t>
      </w:r>
      <w:r w:rsidR="00596C04">
        <w:rPr>
          <w:lang w:val="en-AU"/>
        </w:rPr>
        <w:t xml:space="preserve">conclusion is that option 3 </w:t>
      </w:r>
      <w:r>
        <w:rPr>
          <w:lang w:val="en-AU"/>
        </w:rPr>
        <w:t>is our pref</w:t>
      </w:r>
      <w:r w:rsidR="0022784D">
        <w:rPr>
          <w:lang w:val="en-AU"/>
        </w:rPr>
        <w:t>erred option</w:t>
      </w:r>
      <w:r w:rsidR="000C5AC4">
        <w:rPr>
          <w:lang w:val="en-AU"/>
        </w:rPr>
        <w:t xml:space="preserve"> to reduce foodborne illness attributed to the three sectors</w:t>
      </w:r>
      <w:r w:rsidR="00D23D15">
        <w:rPr>
          <w:lang w:val="en-AU"/>
        </w:rPr>
        <w:t>.</w:t>
      </w:r>
      <w:r w:rsidR="001370D3">
        <w:rPr>
          <w:lang w:val="en-AU"/>
        </w:rPr>
        <w:t xml:space="preserve"> </w:t>
      </w:r>
      <w:r w:rsidR="001C0DB6">
        <w:t>This option is also supported by industry and government stakeholders</w:t>
      </w:r>
      <w:r w:rsidR="00D67091">
        <w:t xml:space="preserve"> for a nationally consistent approach to strengthening food safety management in these sectors</w:t>
      </w:r>
      <w:r w:rsidR="001C0DB6">
        <w:t xml:space="preserve">. </w:t>
      </w:r>
    </w:p>
    <w:p w14:paraId="159ABF6A" w14:textId="77777777" w:rsidR="00F069B5" w:rsidRDefault="00F069B5" w:rsidP="00F069B5">
      <w:pPr>
        <w:autoSpaceDE w:val="0"/>
        <w:autoSpaceDN w:val="0"/>
        <w:adjustRightInd w:val="0"/>
        <w:ind w:right="-144"/>
        <w:rPr>
          <w:lang w:val="en-AU"/>
        </w:rPr>
      </w:pPr>
    </w:p>
    <w:p w14:paraId="60D4C541" w14:textId="2E72E95E" w:rsidR="00F069B5" w:rsidRDefault="00772D68" w:rsidP="00F069B5">
      <w:pPr>
        <w:autoSpaceDE w:val="0"/>
        <w:autoSpaceDN w:val="0"/>
        <w:adjustRightInd w:val="0"/>
        <w:ind w:right="-144"/>
        <w:rPr>
          <w:rFonts w:cs="Arial"/>
          <w:color w:val="000000" w:themeColor="text1"/>
        </w:rPr>
      </w:pPr>
      <w:r w:rsidRPr="00596C04">
        <w:rPr>
          <w:rFonts w:eastAsia="Calibri"/>
          <w:color w:val="000000" w:themeColor="text1"/>
        </w:rPr>
        <w:t xml:space="preserve">FSANZ considers that, in general, </w:t>
      </w:r>
      <w:r w:rsidRPr="00596C04">
        <w:rPr>
          <w:rFonts w:cs="Arial"/>
          <w:color w:val="000000" w:themeColor="text1"/>
        </w:rPr>
        <w:t xml:space="preserve">the Australian horticulture industry </w:t>
      </w:r>
      <w:r w:rsidR="00F069B5">
        <w:rPr>
          <w:rFonts w:cs="Arial"/>
          <w:color w:val="000000" w:themeColor="text1"/>
        </w:rPr>
        <w:t xml:space="preserve">operates at </w:t>
      </w:r>
      <w:r w:rsidRPr="00596C04">
        <w:rPr>
          <w:rFonts w:cs="Arial"/>
          <w:color w:val="000000" w:themeColor="text1"/>
        </w:rPr>
        <w:t xml:space="preserve">a high level of food safety. This is supported by horticultural produce agreements and industry initiatives such as </w:t>
      </w:r>
      <w:r w:rsidR="00596C04">
        <w:rPr>
          <w:rFonts w:cs="Arial"/>
          <w:color w:val="000000" w:themeColor="text1"/>
        </w:rPr>
        <w:t xml:space="preserve">FSS. </w:t>
      </w:r>
      <w:r w:rsidRPr="00596C04">
        <w:rPr>
          <w:rFonts w:cs="Arial"/>
          <w:color w:val="000000" w:themeColor="text1"/>
        </w:rPr>
        <w:t xml:space="preserve">However, </w:t>
      </w:r>
      <w:r w:rsidR="00596C04">
        <w:rPr>
          <w:rFonts w:cs="Arial"/>
          <w:color w:val="000000" w:themeColor="text1"/>
        </w:rPr>
        <w:t xml:space="preserve">based on levels of illness, outbreaks and incidents, </w:t>
      </w:r>
      <w:r w:rsidRPr="00596C04">
        <w:rPr>
          <w:rFonts w:cs="Arial"/>
          <w:color w:val="000000" w:themeColor="text1"/>
        </w:rPr>
        <w:t>the current system needs strengthening</w:t>
      </w:r>
      <w:r w:rsidR="00DE09A8">
        <w:rPr>
          <w:rFonts w:cs="Arial"/>
          <w:color w:val="000000" w:themeColor="text1"/>
        </w:rPr>
        <w:t>—</w:t>
      </w:r>
      <w:r w:rsidR="00ED4756">
        <w:rPr>
          <w:rFonts w:cs="Arial"/>
          <w:color w:val="000000" w:themeColor="text1"/>
        </w:rPr>
        <w:t xml:space="preserve">particularly in the leafy vegetables and melons sectors. </w:t>
      </w:r>
    </w:p>
    <w:p w14:paraId="78D7CECD" w14:textId="77777777" w:rsidR="00F069B5" w:rsidRDefault="00F069B5" w:rsidP="00F069B5">
      <w:pPr>
        <w:autoSpaceDE w:val="0"/>
        <w:autoSpaceDN w:val="0"/>
        <w:adjustRightInd w:val="0"/>
        <w:ind w:right="-144"/>
        <w:rPr>
          <w:rFonts w:cs="Arial"/>
          <w:color w:val="000000" w:themeColor="text1"/>
        </w:rPr>
      </w:pPr>
    </w:p>
    <w:p w14:paraId="7710DD7D" w14:textId="537FEC95" w:rsidR="00F069B5" w:rsidRDefault="000C5AC4" w:rsidP="00F069B5">
      <w:pPr>
        <w:autoSpaceDE w:val="0"/>
        <w:autoSpaceDN w:val="0"/>
        <w:adjustRightInd w:val="0"/>
        <w:ind w:right="-144"/>
        <w:rPr>
          <w:rFonts w:eastAsia="Calibri"/>
          <w:color w:val="000000" w:themeColor="text1"/>
        </w:rPr>
      </w:pPr>
      <w:r>
        <w:rPr>
          <w:rFonts w:eastAsia="Calibri"/>
          <w:color w:val="000000" w:themeColor="text1"/>
        </w:rPr>
        <w:t>Requirements in e</w:t>
      </w:r>
      <w:r w:rsidR="00772D68" w:rsidRPr="00ED4756">
        <w:rPr>
          <w:rFonts w:eastAsia="Calibri"/>
          <w:color w:val="000000" w:themeColor="text1"/>
        </w:rPr>
        <w:t>xisting</w:t>
      </w:r>
      <w:r w:rsidR="00ED4756">
        <w:rPr>
          <w:rFonts w:eastAsia="Calibri"/>
          <w:color w:val="000000" w:themeColor="text1"/>
        </w:rPr>
        <w:t xml:space="preserve"> FSS </w:t>
      </w:r>
      <w:r w:rsidR="00772D68" w:rsidRPr="00ED4756">
        <w:rPr>
          <w:rFonts w:eastAsia="Calibri"/>
          <w:color w:val="000000" w:themeColor="text1"/>
        </w:rPr>
        <w:t xml:space="preserve">in Australia for fresh produce </w:t>
      </w:r>
      <w:r>
        <w:rPr>
          <w:rFonts w:eastAsia="Calibri"/>
          <w:color w:val="000000" w:themeColor="text1"/>
        </w:rPr>
        <w:t>align with</w:t>
      </w:r>
      <w:r w:rsidRPr="00ED4756">
        <w:rPr>
          <w:rFonts w:eastAsia="Calibri"/>
          <w:color w:val="000000" w:themeColor="text1"/>
        </w:rPr>
        <w:t xml:space="preserve"> </w:t>
      </w:r>
      <w:r w:rsidR="00772D68" w:rsidRPr="00ED4756">
        <w:rPr>
          <w:rFonts w:eastAsia="Calibri"/>
          <w:color w:val="000000" w:themeColor="text1"/>
        </w:rPr>
        <w:t xml:space="preserve">the requirements </w:t>
      </w:r>
      <w:r w:rsidR="00ED4756">
        <w:rPr>
          <w:rFonts w:eastAsia="Calibri"/>
          <w:color w:val="000000" w:themeColor="text1"/>
        </w:rPr>
        <w:t xml:space="preserve">of </w:t>
      </w:r>
      <w:r w:rsidR="00772D68" w:rsidRPr="00ED4756">
        <w:rPr>
          <w:rFonts w:eastAsia="Calibri"/>
          <w:color w:val="000000" w:themeColor="text1"/>
        </w:rPr>
        <w:t xml:space="preserve">the proposed </w:t>
      </w:r>
      <w:r w:rsidR="00ED4756">
        <w:rPr>
          <w:rFonts w:eastAsia="Calibri"/>
          <w:color w:val="000000" w:themeColor="text1"/>
        </w:rPr>
        <w:t>PPP</w:t>
      </w:r>
      <w:r w:rsidR="00772D68" w:rsidRPr="00ED4756">
        <w:rPr>
          <w:rFonts w:eastAsia="Calibri"/>
          <w:color w:val="000000" w:themeColor="text1"/>
        </w:rPr>
        <w:t xml:space="preserve"> standards. </w:t>
      </w:r>
      <w:r w:rsidR="00ED4756">
        <w:rPr>
          <w:rFonts w:eastAsia="Calibri"/>
          <w:color w:val="000000" w:themeColor="text1"/>
        </w:rPr>
        <w:t xml:space="preserve">FSANZ anticipates that there would be minimal impact for those businesses currently </w:t>
      </w:r>
      <w:r>
        <w:rPr>
          <w:rFonts w:eastAsia="Calibri"/>
          <w:color w:val="000000" w:themeColor="text1"/>
        </w:rPr>
        <w:t>complying with</w:t>
      </w:r>
      <w:r w:rsidR="00ED4756">
        <w:rPr>
          <w:rFonts w:eastAsia="Calibri"/>
          <w:color w:val="000000" w:themeColor="text1"/>
        </w:rPr>
        <w:t xml:space="preserve"> a FSS. </w:t>
      </w:r>
      <w:r w:rsidR="00772D68" w:rsidRPr="00ED4756">
        <w:rPr>
          <w:rFonts w:eastAsia="Calibri"/>
          <w:color w:val="000000" w:themeColor="text1"/>
        </w:rPr>
        <w:t>However, PPP standards</w:t>
      </w:r>
      <w:r w:rsidR="00ED4756">
        <w:rPr>
          <w:rFonts w:eastAsia="Calibri"/>
          <w:color w:val="000000" w:themeColor="text1"/>
        </w:rPr>
        <w:t xml:space="preserve"> will ensure a consistent and appropriate level of food safety management across</w:t>
      </w:r>
      <w:r w:rsidR="00772D68" w:rsidRPr="00ED4756">
        <w:rPr>
          <w:rFonts w:eastAsia="Calibri"/>
          <w:color w:val="000000" w:themeColor="text1"/>
        </w:rPr>
        <w:t xml:space="preserve"> all berry, leafy vegetable and melon businesses. </w:t>
      </w:r>
      <w:r>
        <w:t xml:space="preserve">Standards would also </w:t>
      </w:r>
      <w:r w:rsidR="00760F12">
        <w:t>enable</w:t>
      </w:r>
      <w:r>
        <w:t xml:space="preserve"> regulators</w:t>
      </w:r>
      <w:r w:rsidR="00760F12">
        <w:t xml:space="preserve"> to enter</w:t>
      </w:r>
      <w:r>
        <w:t xml:space="preserve"> growing and processing sites outside of emergency situations, </w:t>
      </w:r>
      <w:r w:rsidR="00356EFE">
        <w:t>for</w:t>
      </w:r>
      <w:r>
        <w:t xml:space="preserve"> a proactive approach. </w:t>
      </w:r>
      <w:r w:rsidR="00F069B5">
        <w:rPr>
          <w:rFonts w:eastAsia="Calibri"/>
          <w:color w:val="000000" w:themeColor="text1"/>
        </w:rPr>
        <w:t>Reductions in illnesses and outbreaks also lead to an increase in</w:t>
      </w:r>
      <w:r w:rsidR="00F069B5" w:rsidRPr="00F069B5">
        <w:rPr>
          <w:rFonts w:eastAsia="Calibri"/>
          <w:color w:val="000000" w:themeColor="text1"/>
        </w:rPr>
        <w:t xml:space="preserve"> consumer confidence and business sustainability. </w:t>
      </w:r>
    </w:p>
    <w:p w14:paraId="06B57D97" w14:textId="76CEA44E" w:rsidR="00E44E96" w:rsidRDefault="00E44E96" w:rsidP="00F069B5">
      <w:pPr>
        <w:autoSpaceDE w:val="0"/>
        <w:autoSpaceDN w:val="0"/>
        <w:adjustRightInd w:val="0"/>
        <w:ind w:right="-144"/>
        <w:rPr>
          <w:rFonts w:eastAsia="Calibri"/>
          <w:color w:val="000000" w:themeColor="text1"/>
        </w:rPr>
      </w:pPr>
    </w:p>
    <w:p w14:paraId="70824655" w14:textId="5079AB7A" w:rsidR="00E44E96" w:rsidRDefault="009B1E93" w:rsidP="00F069B5">
      <w:pPr>
        <w:autoSpaceDE w:val="0"/>
        <w:autoSpaceDN w:val="0"/>
        <w:adjustRightInd w:val="0"/>
        <w:ind w:right="-144"/>
        <w:rPr>
          <w:rFonts w:eastAsia="Calibri"/>
          <w:color w:val="000000" w:themeColor="text1"/>
        </w:rPr>
      </w:pPr>
      <w:r>
        <w:rPr>
          <w:lang w:val="en-AU"/>
        </w:rPr>
        <w:t>Net benefits would be further increased if duplication is reduced between GFSI-</w:t>
      </w:r>
      <w:r w:rsidR="00760F12">
        <w:rPr>
          <w:lang w:val="en-AU"/>
        </w:rPr>
        <w:t>benchmarked</w:t>
      </w:r>
      <w:r>
        <w:rPr>
          <w:lang w:val="en-AU"/>
        </w:rPr>
        <w:t xml:space="preserve"> </w:t>
      </w:r>
      <w:r w:rsidR="00760F12">
        <w:rPr>
          <w:lang w:val="en-AU"/>
        </w:rPr>
        <w:t>FSS</w:t>
      </w:r>
      <w:r>
        <w:rPr>
          <w:lang w:val="en-AU"/>
        </w:rPr>
        <w:t xml:space="preserve"> and proposed requirements, with jurisdictions working </w:t>
      </w:r>
      <w:r w:rsidR="00F9748A">
        <w:rPr>
          <w:lang w:val="en-AU"/>
        </w:rPr>
        <w:t>for consistent</w:t>
      </w:r>
      <w:r>
        <w:rPr>
          <w:lang w:val="en-AU"/>
        </w:rPr>
        <w:t xml:space="preserve"> implementation and adequate guidance for businesses</w:t>
      </w:r>
      <w:r w:rsidR="00F9748A">
        <w:rPr>
          <w:lang w:val="en-AU"/>
        </w:rPr>
        <w:t>,</w:t>
      </w:r>
      <w:r w:rsidR="0056562B">
        <w:rPr>
          <w:lang w:val="en-AU"/>
        </w:rPr>
        <w:t xml:space="preserve"> and assessing and accommodating the needs of smaller businesses</w:t>
      </w:r>
      <w:r>
        <w:rPr>
          <w:lang w:val="en-AU"/>
        </w:rPr>
        <w:t>.</w:t>
      </w:r>
    </w:p>
    <w:p w14:paraId="1DDF725D" w14:textId="4FED8A82" w:rsidR="00E307DC" w:rsidRDefault="00E307DC" w:rsidP="00F069B5">
      <w:pPr>
        <w:autoSpaceDE w:val="0"/>
        <w:autoSpaceDN w:val="0"/>
        <w:adjustRightInd w:val="0"/>
        <w:ind w:right="-144"/>
        <w:rPr>
          <w:rFonts w:eastAsia="Calibri"/>
          <w:color w:val="000000" w:themeColor="text1"/>
        </w:rPr>
      </w:pPr>
    </w:p>
    <w:p w14:paraId="32910463" w14:textId="77777777" w:rsidR="00E307DC" w:rsidRPr="00020579" w:rsidRDefault="00E307DC" w:rsidP="00E307DC">
      <w:pPr>
        <w:autoSpaceDE w:val="0"/>
        <w:autoSpaceDN w:val="0"/>
        <w:adjustRightInd w:val="0"/>
        <w:ind w:right="-144"/>
        <w:rPr>
          <w:rFonts w:cs="Arial"/>
        </w:rPr>
      </w:pPr>
      <w:r w:rsidRPr="00020579">
        <w:rPr>
          <w:rFonts w:eastAsia="Calibri"/>
        </w:rPr>
        <w:t xml:space="preserve">PPP standards would result in consistency and transparency for industry and government </w:t>
      </w:r>
      <w:r w:rsidRPr="00020579">
        <w:rPr>
          <w:rFonts w:cs="Arial"/>
        </w:rPr>
        <w:t>and demonstrate regul</w:t>
      </w:r>
      <w:r>
        <w:rPr>
          <w:rFonts w:cs="Arial"/>
        </w:rPr>
        <w:t xml:space="preserve">atory requirements to our </w:t>
      </w:r>
      <w:r w:rsidRPr="00020579">
        <w:rPr>
          <w:rFonts w:cs="Arial"/>
        </w:rPr>
        <w:t xml:space="preserve">trading partners. </w:t>
      </w:r>
    </w:p>
    <w:p w14:paraId="66E77BA2" w14:textId="77B449BC" w:rsidR="00E307DC" w:rsidRDefault="00E307DC" w:rsidP="00F069B5">
      <w:pPr>
        <w:autoSpaceDE w:val="0"/>
        <w:autoSpaceDN w:val="0"/>
        <w:adjustRightInd w:val="0"/>
        <w:ind w:right="-144"/>
        <w:rPr>
          <w:rFonts w:eastAsia="Calibri"/>
          <w:color w:val="000000" w:themeColor="text1"/>
        </w:rPr>
      </w:pPr>
    </w:p>
    <w:p w14:paraId="6955A5CE" w14:textId="757FF601" w:rsidR="00384D98" w:rsidRDefault="009D2DA6" w:rsidP="00F069B5">
      <w:pPr>
        <w:autoSpaceDE w:val="0"/>
        <w:autoSpaceDN w:val="0"/>
        <w:adjustRightInd w:val="0"/>
        <w:ind w:right="-144"/>
        <w:rPr>
          <w:rFonts w:eastAsia="Calibri"/>
          <w:color w:val="000000" w:themeColor="text1"/>
        </w:rPr>
      </w:pPr>
      <w:r>
        <w:rPr>
          <w:rFonts w:eastAsia="Calibri"/>
          <w:color w:val="000000" w:themeColor="text1"/>
        </w:rPr>
        <w:t xml:space="preserve">Table </w:t>
      </w:r>
      <w:r w:rsidR="00F71A1C">
        <w:rPr>
          <w:rFonts w:eastAsia="Calibri"/>
          <w:color w:val="000000" w:themeColor="text1"/>
        </w:rPr>
        <w:t>1</w:t>
      </w:r>
      <w:r w:rsidR="00484F84">
        <w:rPr>
          <w:rFonts w:eastAsia="Calibri"/>
          <w:color w:val="000000" w:themeColor="text1"/>
        </w:rPr>
        <w:t>4</w:t>
      </w:r>
      <w:r w:rsidR="00E307DC">
        <w:rPr>
          <w:rFonts w:eastAsia="Calibri"/>
          <w:color w:val="000000" w:themeColor="text1"/>
        </w:rPr>
        <w:t xml:space="preserve"> </w:t>
      </w:r>
      <w:r w:rsidR="00DE09A8">
        <w:rPr>
          <w:rFonts w:eastAsia="Calibri"/>
          <w:color w:val="000000" w:themeColor="text1"/>
        </w:rPr>
        <w:t>lists</w:t>
      </w:r>
      <w:r w:rsidR="00FC0D2E">
        <w:rPr>
          <w:rFonts w:eastAsia="Calibri"/>
          <w:color w:val="000000" w:themeColor="text1"/>
        </w:rPr>
        <w:t xml:space="preserve"> the benefits of reducing illness caused by the hazards identified by the microbiological assessment in each sector. </w:t>
      </w:r>
      <w:r w:rsidR="007B6524">
        <w:rPr>
          <w:rFonts w:eastAsia="Calibri"/>
          <w:color w:val="000000" w:themeColor="text1"/>
        </w:rPr>
        <w:t>Further detail is provided in the CBA.</w:t>
      </w:r>
    </w:p>
    <w:p w14:paraId="798B7393" w14:textId="77777777" w:rsidR="00F9748A" w:rsidRDefault="00F9748A" w:rsidP="00F9748A">
      <w:pPr>
        <w:widowControl/>
        <w:rPr>
          <w:rFonts w:eastAsia="Calibri"/>
          <w:color w:val="000000" w:themeColor="text1"/>
        </w:rPr>
      </w:pPr>
      <w:r w:rsidRPr="009D2DA6">
        <w:rPr>
          <w:rFonts w:eastAsia="Calibri"/>
          <w:color w:val="000000" w:themeColor="text1"/>
        </w:rPr>
        <w:t>Table</w:t>
      </w:r>
      <w:r>
        <w:rPr>
          <w:rFonts w:eastAsia="Calibri"/>
          <w:color w:val="000000" w:themeColor="text1"/>
        </w:rPr>
        <w:t xml:space="preserve"> 15 provides the net benefit estimates of implementing option 3 in each sector over a ten-year period. The data provided below is sourced from the CBA for the 7% discount rate (the CBA also costs out the 3% and 10% discount rates). The data provided below is for the central efficacy range of implementing option 3 (the CBA also costs out the low and high efficacy rate). Further detail is provided in the CBA.</w:t>
      </w:r>
    </w:p>
    <w:p w14:paraId="05412459" w14:textId="260315A9" w:rsidR="00C812A1" w:rsidRDefault="00C812A1" w:rsidP="00F069B5">
      <w:pPr>
        <w:autoSpaceDE w:val="0"/>
        <w:autoSpaceDN w:val="0"/>
        <w:adjustRightInd w:val="0"/>
        <w:ind w:right="-144"/>
        <w:rPr>
          <w:rFonts w:eastAsia="Calibri"/>
          <w:color w:val="000000" w:themeColor="text1"/>
        </w:rPr>
      </w:pPr>
    </w:p>
    <w:p w14:paraId="3C9D892F" w14:textId="77777777" w:rsidR="00C812A1" w:rsidRDefault="00C812A1" w:rsidP="00F069B5">
      <w:pPr>
        <w:autoSpaceDE w:val="0"/>
        <w:autoSpaceDN w:val="0"/>
        <w:adjustRightInd w:val="0"/>
        <w:ind w:right="-144"/>
        <w:rPr>
          <w:rFonts w:eastAsia="Calibri"/>
          <w:color w:val="000000" w:themeColor="text1"/>
        </w:rPr>
        <w:sectPr w:rsidR="00C812A1" w:rsidSect="0054272D">
          <w:footerReference w:type="even" r:id="rId43"/>
          <w:footerReference w:type="default" r:id="rId44"/>
          <w:headerReference w:type="first" r:id="rId45"/>
          <w:pgSz w:w="11906" w:h="16838"/>
          <w:pgMar w:top="1418" w:right="1418" w:bottom="1418" w:left="1418" w:header="709" w:footer="709" w:gutter="0"/>
          <w:pgNumType w:start="1"/>
          <w:cols w:space="708"/>
          <w:docGrid w:linePitch="360"/>
        </w:sectPr>
      </w:pPr>
    </w:p>
    <w:p w14:paraId="4CC13829" w14:textId="0C15D51E" w:rsidR="00C812A1" w:rsidRDefault="00C812A1" w:rsidP="00F069B5">
      <w:pPr>
        <w:autoSpaceDE w:val="0"/>
        <w:autoSpaceDN w:val="0"/>
        <w:adjustRightInd w:val="0"/>
        <w:ind w:right="-144"/>
        <w:rPr>
          <w:rFonts w:eastAsia="Calibri"/>
          <w:color w:val="000000" w:themeColor="text1"/>
        </w:rPr>
      </w:pPr>
    </w:p>
    <w:p w14:paraId="29DAF8F8" w14:textId="54B3D619" w:rsidR="00E87B22" w:rsidRPr="00FB361F" w:rsidRDefault="001B7E6A" w:rsidP="00D04C84">
      <w:pPr>
        <w:keepNext/>
        <w:ind w:left="-142"/>
        <w:rPr>
          <w:b/>
          <w:i/>
          <w:lang w:val="en-AU"/>
        </w:rPr>
      </w:pPr>
      <w:r w:rsidRPr="009D2DA6">
        <w:rPr>
          <w:b/>
          <w:lang w:val="en-AU"/>
        </w:rPr>
        <w:t xml:space="preserve">Table </w:t>
      </w:r>
      <w:r w:rsidR="00484F84">
        <w:rPr>
          <w:b/>
          <w:lang w:val="en-AU"/>
        </w:rPr>
        <w:t>14</w:t>
      </w:r>
      <w:r w:rsidR="009150A6">
        <w:rPr>
          <w:b/>
          <w:lang w:val="en-AU"/>
        </w:rPr>
        <w:t xml:space="preserve">. </w:t>
      </w:r>
      <w:r w:rsidR="00E87B22" w:rsidRPr="009D2DA6">
        <w:rPr>
          <w:b/>
          <w:lang w:val="en-AU"/>
        </w:rPr>
        <w:t>Benefits of reducing illnesses and their associated annual costs across</w:t>
      </w:r>
      <w:r w:rsidR="00E87B22" w:rsidRPr="00E307DC">
        <w:rPr>
          <w:b/>
          <w:lang w:val="en-AU"/>
        </w:rPr>
        <w:t xml:space="preserve"> Australia after implementation of option 3</w:t>
      </w:r>
    </w:p>
    <w:tbl>
      <w:tblPr>
        <w:tblStyle w:val="TableGrid5"/>
        <w:tblW w:w="14769" w:type="dxa"/>
        <w:tblInd w:w="-147" w:type="dxa"/>
        <w:tblLayout w:type="fixed"/>
        <w:tblLook w:val="04A0" w:firstRow="1" w:lastRow="0" w:firstColumn="1" w:lastColumn="0" w:noHBand="0" w:noVBand="1"/>
      </w:tblPr>
      <w:tblGrid>
        <w:gridCol w:w="1135"/>
        <w:gridCol w:w="1527"/>
        <w:gridCol w:w="1473"/>
        <w:gridCol w:w="1647"/>
        <w:gridCol w:w="1526"/>
        <w:gridCol w:w="1680"/>
        <w:gridCol w:w="7"/>
        <w:gridCol w:w="1793"/>
        <w:gridCol w:w="7"/>
        <w:gridCol w:w="2033"/>
        <w:gridCol w:w="7"/>
        <w:gridCol w:w="1927"/>
        <w:gridCol w:w="7"/>
      </w:tblGrid>
      <w:tr w:rsidR="00393B07" w:rsidRPr="00927D2D" w14:paraId="33EB2163" w14:textId="77777777" w:rsidTr="00251127">
        <w:tc>
          <w:tcPr>
            <w:tcW w:w="1135" w:type="dxa"/>
            <w:vMerge w:val="restart"/>
            <w:shd w:val="clear" w:color="auto" w:fill="8DB3E2" w:themeFill="text2" w:themeFillTint="66"/>
          </w:tcPr>
          <w:p w14:paraId="1C268D32" w14:textId="716FFD91" w:rsidR="00393B07" w:rsidRPr="008972C9" w:rsidRDefault="00393B07" w:rsidP="00034779">
            <w:pPr>
              <w:ind w:right="-111"/>
              <w:rPr>
                <w:b/>
                <w:sz w:val="18"/>
                <w:szCs w:val="20"/>
              </w:rPr>
            </w:pPr>
            <w:r w:rsidRPr="008972C9">
              <w:rPr>
                <w:b/>
                <w:sz w:val="18"/>
                <w:szCs w:val="20"/>
              </w:rPr>
              <w:t>Commodity</w:t>
            </w:r>
          </w:p>
        </w:tc>
        <w:tc>
          <w:tcPr>
            <w:tcW w:w="7860" w:type="dxa"/>
            <w:gridSpan w:val="6"/>
            <w:shd w:val="clear" w:color="auto" w:fill="8DB3E2" w:themeFill="text2" w:themeFillTint="66"/>
            <w:vAlign w:val="center"/>
          </w:tcPr>
          <w:p w14:paraId="3BDEC845" w14:textId="67CD0A93" w:rsidR="00393B07" w:rsidRPr="00927D2D" w:rsidRDefault="00393B07" w:rsidP="00251127">
            <w:pPr>
              <w:jc w:val="center"/>
              <w:rPr>
                <w:b/>
                <w:sz w:val="20"/>
                <w:szCs w:val="20"/>
              </w:rPr>
            </w:pPr>
            <w:r>
              <w:rPr>
                <w:b/>
                <w:sz w:val="20"/>
                <w:szCs w:val="20"/>
              </w:rPr>
              <w:t>Pathogens contributing to foodborne illness</w:t>
            </w:r>
          </w:p>
        </w:tc>
        <w:tc>
          <w:tcPr>
            <w:tcW w:w="1800" w:type="dxa"/>
            <w:gridSpan w:val="2"/>
            <w:shd w:val="clear" w:color="auto" w:fill="8DB3E2" w:themeFill="text2" w:themeFillTint="66"/>
          </w:tcPr>
          <w:p w14:paraId="57567F94" w14:textId="77777777" w:rsidR="00393B07" w:rsidRPr="00927D2D" w:rsidRDefault="00393B07" w:rsidP="002D301F">
            <w:pPr>
              <w:rPr>
                <w:b/>
                <w:sz w:val="20"/>
                <w:szCs w:val="20"/>
              </w:rPr>
            </w:pPr>
            <w:r>
              <w:rPr>
                <w:b/>
                <w:sz w:val="20"/>
                <w:szCs w:val="20"/>
              </w:rPr>
              <w:t xml:space="preserve">Total illness </w:t>
            </w:r>
          </w:p>
          <w:p w14:paraId="2C693206" w14:textId="77777777" w:rsidR="00393B07" w:rsidRPr="00927D2D" w:rsidRDefault="00393B07" w:rsidP="002D301F">
            <w:pPr>
              <w:rPr>
                <w:b/>
                <w:sz w:val="20"/>
                <w:szCs w:val="20"/>
              </w:rPr>
            </w:pPr>
            <w:r w:rsidRPr="00927D2D">
              <w:rPr>
                <w:b/>
                <w:sz w:val="20"/>
                <w:szCs w:val="20"/>
              </w:rPr>
              <w:t>cost</w:t>
            </w:r>
            <w:r>
              <w:rPr>
                <w:b/>
                <w:sz w:val="20"/>
                <w:szCs w:val="20"/>
              </w:rPr>
              <w:t>/year</w:t>
            </w:r>
          </w:p>
          <w:p w14:paraId="6CB5C4AC" w14:textId="77777777" w:rsidR="00393B07" w:rsidRDefault="00393B07" w:rsidP="002D301F">
            <w:pPr>
              <w:rPr>
                <w:b/>
                <w:sz w:val="20"/>
                <w:szCs w:val="20"/>
              </w:rPr>
            </w:pPr>
          </w:p>
        </w:tc>
        <w:tc>
          <w:tcPr>
            <w:tcW w:w="2040" w:type="dxa"/>
            <w:gridSpan w:val="2"/>
            <w:shd w:val="clear" w:color="auto" w:fill="8DB3E2" w:themeFill="text2" w:themeFillTint="66"/>
          </w:tcPr>
          <w:p w14:paraId="1446F0E0" w14:textId="16BE2C96" w:rsidR="00393B07" w:rsidRPr="00927D2D" w:rsidRDefault="00393B07" w:rsidP="008972C9">
            <w:pPr>
              <w:ind w:left="-111"/>
              <w:rPr>
                <w:b/>
                <w:sz w:val="20"/>
                <w:szCs w:val="20"/>
              </w:rPr>
            </w:pPr>
            <w:r w:rsidRPr="00927D2D">
              <w:rPr>
                <w:b/>
                <w:sz w:val="20"/>
                <w:szCs w:val="20"/>
              </w:rPr>
              <w:t>Plausible range</w:t>
            </w:r>
            <w:r w:rsidRPr="00927D2D">
              <w:rPr>
                <w:sz w:val="20"/>
                <w:szCs w:val="20"/>
              </w:rPr>
              <w:t xml:space="preserve"> in estimated illness cost savings per year </w:t>
            </w:r>
            <w:r w:rsidRPr="00927D2D">
              <w:rPr>
                <w:b/>
                <w:sz w:val="20"/>
                <w:szCs w:val="20"/>
              </w:rPr>
              <w:t>benefits</w:t>
            </w:r>
          </w:p>
        </w:tc>
        <w:tc>
          <w:tcPr>
            <w:tcW w:w="1934" w:type="dxa"/>
            <w:gridSpan w:val="2"/>
            <w:shd w:val="clear" w:color="auto" w:fill="8DB3E2" w:themeFill="text2" w:themeFillTint="66"/>
          </w:tcPr>
          <w:p w14:paraId="0093748E" w14:textId="18F8EDFE" w:rsidR="00393B07" w:rsidRPr="00927D2D" w:rsidRDefault="00393B07" w:rsidP="002D301F">
            <w:pPr>
              <w:rPr>
                <w:b/>
                <w:sz w:val="20"/>
                <w:szCs w:val="20"/>
              </w:rPr>
            </w:pPr>
            <w:r w:rsidRPr="00927D2D">
              <w:rPr>
                <w:b/>
                <w:sz w:val="20"/>
                <w:szCs w:val="20"/>
              </w:rPr>
              <w:t>Base</w:t>
            </w:r>
            <w:r w:rsidRPr="00927D2D">
              <w:rPr>
                <w:sz w:val="20"/>
                <w:szCs w:val="20"/>
              </w:rPr>
              <w:t xml:space="preserve"> estimate of illness cost savings per year </w:t>
            </w:r>
            <w:r w:rsidRPr="00927D2D">
              <w:rPr>
                <w:b/>
                <w:sz w:val="20"/>
                <w:szCs w:val="20"/>
              </w:rPr>
              <w:t>benefits</w:t>
            </w:r>
          </w:p>
        </w:tc>
      </w:tr>
      <w:tr w:rsidR="00393B07" w:rsidRPr="00927D2D" w14:paraId="7A80D9FA" w14:textId="77777777" w:rsidTr="00C812A1">
        <w:trPr>
          <w:gridAfter w:val="1"/>
          <w:wAfter w:w="7" w:type="dxa"/>
        </w:trPr>
        <w:tc>
          <w:tcPr>
            <w:tcW w:w="1135" w:type="dxa"/>
            <w:vMerge/>
            <w:shd w:val="clear" w:color="auto" w:fill="C6D9F1" w:themeFill="text2" w:themeFillTint="33"/>
          </w:tcPr>
          <w:p w14:paraId="508E18A3" w14:textId="38D596E6" w:rsidR="00393B07" w:rsidRPr="00927D2D" w:rsidRDefault="00393B07" w:rsidP="00AE259D">
            <w:pPr>
              <w:ind w:right="-111"/>
              <w:rPr>
                <w:b/>
                <w:sz w:val="20"/>
                <w:szCs w:val="20"/>
              </w:rPr>
            </w:pPr>
          </w:p>
        </w:tc>
        <w:tc>
          <w:tcPr>
            <w:tcW w:w="1527" w:type="dxa"/>
            <w:shd w:val="clear" w:color="auto" w:fill="8DB3E2" w:themeFill="text2" w:themeFillTint="66"/>
          </w:tcPr>
          <w:p w14:paraId="7653F72F" w14:textId="3FA83B2E" w:rsidR="00393B07" w:rsidRPr="00927D2D" w:rsidRDefault="00393B07" w:rsidP="00927D2D">
            <w:pPr>
              <w:ind w:hanging="106"/>
              <w:rPr>
                <w:b/>
                <w:sz w:val="20"/>
                <w:szCs w:val="20"/>
              </w:rPr>
            </w:pPr>
            <w:r w:rsidRPr="00393B07">
              <w:rPr>
                <w:b/>
                <w:i/>
                <w:sz w:val="20"/>
                <w:szCs w:val="20"/>
              </w:rPr>
              <w:t>Listeria</w:t>
            </w:r>
            <w:r w:rsidRPr="00927D2D">
              <w:rPr>
                <w:b/>
                <w:sz w:val="20"/>
                <w:szCs w:val="20"/>
              </w:rPr>
              <w:t xml:space="preserve"> </w:t>
            </w:r>
          </w:p>
          <w:p w14:paraId="4B542174" w14:textId="52648C41" w:rsidR="00393B07" w:rsidRPr="00927D2D" w:rsidRDefault="00393B07" w:rsidP="00251127">
            <w:pPr>
              <w:keepNext/>
              <w:ind w:left="-106"/>
              <w:rPr>
                <w:b/>
                <w:sz w:val="20"/>
                <w:szCs w:val="20"/>
              </w:rPr>
            </w:pPr>
            <w:r w:rsidRPr="00927D2D">
              <w:rPr>
                <w:b/>
                <w:sz w:val="20"/>
                <w:szCs w:val="20"/>
              </w:rPr>
              <w:t xml:space="preserve"> cost</w:t>
            </w:r>
            <w:r w:rsidR="00251127">
              <w:rPr>
                <w:b/>
                <w:sz w:val="20"/>
                <w:szCs w:val="20"/>
              </w:rPr>
              <w:t>/year</w:t>
            </w:r>
          </w:p>
        </w:tc>
        <w:tc>
          <w:tcPr>
            <w:tcW w:w="1473" w:type="dxa"/>
            <w:shd w:val="clear" w:color="auto" w:fill="8DB3E2" w:themeFill="text2" w:themeFillTint="66"/>
          </w:tcPr>
          <w:p w14:paraId="05C2C706" w14:textId="77777777" w:rsidR="00393B07" w:rsidRDefault="00393B07" w:rsidP="002D301F">
            <w:pPr>
              <w:rPr>
                <w:b/>
                <w:sz w:val="20"/>
                <w:szCs w:val="20"/>
              </w:rPr>
            </w:pPr>
            <w:r>
              <w:rPr>
                <w:b/>
                <w:sz w:val="20"/>
                <w:szCs w:val="20"/>
              </w:rPr>
              <w:t>STEC</w:t>
            </w:r>
          </w:p>
          <w:p w14:paraId="6F774F64" w14:textId="31588472" w:rsidR="00393B07" w:rsidRPr="00927D2D" w:rsidRDefault="00393B07" w:rsidP="00251127">
            <w:pPr>
              <w:ind w:hanging="104"/>
              <w:rPr>
                <w:b/>
                <w:sz w:val="20"/>
                <w:szCs w:val="20"/>
              </w:rPr>
            </w:pPr>
            <w:r w:rsidRPr="00927D2D">
              <w:rPr>
                <w:b/>
                <w:sz w:val="20"/>
                <w:szCs w:val="20"/>
              </w:rPr>
              <w:t>cost</w:t>
            </w:r>
            <w:r>
              <w:rPr>
                <w:b/>
                <w:sz w:val="20"/>
                <w:szCs w:val="20"/>
              </w:rPr>
              <w:t>/year</w:t>
            </w:r>
            <w:r w:rsidRPr="00927D2D">
              <w:rPr>
                <w:b/>
                <w:sz w:val="20"/>
                <w:szCs w:val="20"/>
              </w:rPr>
              <w:t xml:space="preserve"> </w:t>
            </w:r>
          </w:p>
        </w:tc>
        <w:tc>
          <w:tcPr>
            <w:tcW w:w="1647" w:type="dxa"/>
            <w:shd w:val="clear" w:color="auto" w:fill="8DB3E2" w:themeFill="text2" w:themeFillTint="66"/>
          </w:tcPr>
          <w:p w14:paraId="4F2D9DEC" w14:textId="77777777" w:rsidR="00393B07" w:rsidRPr="00927D2D" w:rsidRDefault="00393B07" w:rsidP="00927D2D">
            <w:pPr>
              <w:ind w:right="-107" w:hanging="111"/>
              <w:rPr>
                <w:b/>
                <w:i/>
                <w:sz w:val="20"/>
                <w:szCs w:val="20"/>
              </w:rPr>
            </w:pPr>
            <w:r w:rsidRPr="00927D2D">
              <w:rPr>
                <w:b/>
                <w:i/>
                <w:sz w:val="20"/>
                <w:szCs w:val="20"/>
              </w:rPr>
              <w:t>Salmonella</w:t>
            </w:r>
          </w:p>
          <w:p w14:paraId="193E499C" w14:textId="2D9F31DE"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526" w:type="dxa"/>
            <w:shd w:val="clear" w:color="auto" w:fill="8DB3E2" w:themeFill="text2" w:themeFillTint="66"/>
          </w:tcPr>
          <w:p w14:paraId="059AA105" w14:textId="490AA6AC" w:rsidR="00393B07" w:rsidRPr="00927D2D" w:rsidRDefault="00393B07" w:rsidP="00927D2D">
            <w:pPr>
              <w:ind w:hanging="109"/>
              <w:rPr>
                <w:b/>
                <w:sz w:val="20"/>
                <w:szCs w:val="20"/>
              </w:rPr>
            </w:pPr>
            <w:r>
              <w:rPr>
                <w:b/>
                <w:sz w:val="20"/>
                <w:szCs w:val="20"/>
              </w:rPr>
              <w:t xml:space="preserve"> </w:t>
            </w:r>
            <w:r w:rsidRPr="00927D2D">
              <w:rPr>
                <w:b/>
                <w:sz w:val="20"/>
                <w:szCs w:val="20"/>
              </w:rPr>
              <w:t>Norovirus</w:t>
            </w:r>
          </w:p>
          <w:p w14:paraId="1676CEA3" w14:textId="0C1AF2CB"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680" w:type="dxa"/>
            <w:shd w:val="clear" w:color="auto" w:fill="8DB3E2" w:themeFill="text2" w:themeFillTint="66"/>
          </w:tcPr>
          <w:p w14:paraId="66E1F677" w14:textId="7C1A794C" w:rsidR="00393B07" w:rsidRPr="00927D2D" w:rsidRDefault="00393B07" w:rsidP="002D301F">
            <w:pPr>
              <w:rPr>
                <w:b/>
                <w:sz w:val="20"/>
                <w:szCs w:val="20"/>
              </w:rPr>
            </w:pPr>
            <w:r w:rsidRPr="00927D2D">
              <w:rPr>
                <w:b/>
                <w:sz w:val="20"/>
                <w:szCs w:val="20"/>
              </w:rPr>
              <w:t>Hep</w:t>
            </w:r>
            <w:r w:rsidR="00402B23">
              <w:rPr>
                <w:b/>
                <w:sz w:val="20"/>
                <w:szCs w:val="20"/>
              </w:rPr>
              <w:t>atitis</w:t>
            </w:r>
            <w:r w:rsidRPr="00927D2D">
              <w:rPr>
                <w:b/>
                <w:sz w:val="20"/>
                <w:szCs w:val="20"/>
              </w:rPr>
              <w:t xml:space="preserve"> A</w:t>
            </w:r>
          </w:p>
          <w:p w14:paraId="3BCD6618" w14:textId="577457A2" w:rsidR="00393B07" w:rsidRPr="00927D2D" w:rsidRDefault="00393B07" w:rsidP="00251127">
            <w:pPr>
              <w:ind w:left="-107"/>
              <w:rPr>
                <w:b/>
                <w:sz w:val="20"/>
                <w:szCs w:val="20"/>
              </w:rPr>
            </w:pPr>
            <w:r w:rsidRPr="00927D2D">
              <w:rPr>
                <w:b/>
                <w:sz w:val="20"/>
                <w:szCs w:val="20"/>
              </w:rPr>
              <w:t>cost</w:t>
            </w:r>
            <w:r>
              <w:rPr>
                <w:b/>
                <w:sz w:val="20"/>
                <w:szCs w:val="20"/>
              </w:rPr>
              <w:t>/year</w:t>
            </w:r>
            <w:r w:rsidRPr="00927D2D">
              <w:rPr>
                <w:b/>
                <w:sz w:val="20"/>
                <w:szCs w:val="20"/>
              </w:rPr>
              <w:t xml:space="preserve"> </w:t>
            </w:r>
          </w:p>
        </w:tc>
        <w:tc>
          <w:tcPr>
            <w:tcW w:w="1800" w:type="dxa"/>
            <w:gridSpan w:val="2"/>
            <w:shd w:val="clear" w:color="auto" w:fill="C6D9F1" w:themeFill="text2" w:themeFillTint="33"/>
          </w:tcPr>
          <w:p w14:paraId="33BE9059" w14:textId="77777777" w:rsidR="00393B07" w:rsidRPr="00927D2D" w:rsidRDefault="00393B07" w:rsidP="002D301F">
            <w:pPr>
              <w:rPr>
                <w:b/>
                <w:sz w:val="20"/>
                <w:szCs w:val="20"/>
              </w:rPr>
            </w:pPr>
          </w:p>
        </w:tc>
        <w:tc>
          <w:tcPr>
            <w:tcW w:w="2040" w:type="dxa"/>
            <w:gridSpan w:val="2"/>
            <w:shd w:val="clear" w:color="auto" w:fill="C6D9F1" w:themeFill="text2" w:themeFillTint="33"/>
          </w:tcPr>
          <w:p w14:paraId="30B47BAD" w14:textId="6A48BA79" w:rsidR="00393B07" w:rsidRPr="00927D2D" w:rsidRDefault="00393B07" w:rsidP="008972C9">
            <w:pPr>
              <w:ind w:left="-111"/>
              <w:rPr>
                <w:sz w:val="20"/>
                <w:szCs w:val="20"/>
              </w:rPr>
            </w:pPr>
          </w:p>
        </w:tc>
        <w:tc>
          <w:tcPr>
            <w:tcW w:w="1934" w:type="dxa"/>
            <w:gridSpan w:val="2"/>
            <w:shd w:val="clear" w:color="auto" w:fill="C6D9F1" w:themeFill="text2" w:themeFillTint="33"/>
          </w:tcPr>
          <w:p w14:paraId="16F9716B" w14:textId="145C556A" w:rsidR="00393B07" w:rsidRPr="00927D2D" w:rsidRDefault="00393B07" w:rsidP="002D301F">
            <w:pPr>
              <w:rPr>
                <w:b/>
                <w:sz w:val="20"/>
                <w:szCs w:val="20"/>
              </w:rPr>
            </w:pPr>
          </w:p>
        </w:tc>
      </w:tr>
      <w:tr w:rsidR="009A38AA" w:rsidRPr="00927D2D" w14:paraId="27275BFE" w14:textId="77777777" w:rsidTr="00C812A1">
        <w:trPr>
          <w:gridAfter w:val="1"/>
          <w:wAfter w:w="7" w:type="dxa"/>
        </w:trPr>
        <w:tc>
          <w:tcPr>
            <w:tcW w:w="1135" w:type="dxa"/>
            <w:shd w:val="clear" w:color="auto" w:fill="auto"/>
          </w:tcPr>
          <w:p w14:paraId="3C37504B" w14:textId="77777777" w:rsidR="009A38AA" w:rsidRPr="004C1A6E" w:rsidRDefault="009A38AA" w:rsidP="009A38AA">
            <w:pPr>
              <w:ind w:left="-107" w:right="-104" w:firstLine="2"/>
              <w:rPr>
                <w:sz w:val="20"/>
                <w:szCs w:val="20"/>
              </w:rPr>
            </w:pPr>
            <w:r w:rsidRPr="004C1A6E">
              <w:rPr>
                <w:sz w:val="20"/>
                <w:szCs w:val="20"/>
              </w:rPr>
              <w:t>Berries</w:t>
            </w:r>
          </w:p>
        </w:tc>
        <w:tc>
          <w:tcPr>
            <w:tcW w:w="1527" w:type="dxa"/>
            <w:shd w:val="clear" w:color="auto" w:fill="auto"/>
          </w:tcPr>
          <w:p w14:paraId="31102C7B" w14:textId="1475998C" w:rsidR="009A38AA" w:rsidRPr="008972C9" w:rsidRDefault="009A38AA" w:rsidP="009A38AA">
            <w:pPr>
              <w:ind w:left="-107" w:right="-104" w:firstLine="2"/>
              <w:rPr>
                <w:sz w:val="20"/>
                <w:szCs w:val="20"/>
              </w:rPr>
            </w:pPr>
            <w:r w:rsidRPr="007D19B9">
              <w:t>Not applicable</w:t>
            </w:r>
          </w:p>
        </w:tc>
        <w:tc>
          <w:tcPr>
            <w:tcW w:w="1473" w:type="dxa"/>
            <w:shd w:val="clear" w:color="auto" w:fill="auto"/>
          </w:tcPr>
          <w:p w14:paraId="001DA44A" w14:textId="2B9504AD" w:rsidR="009A38AA" w:rsidRPr="001A3142" w:rsidRDefault="009A38AA" w:rsidP="009A38AA">
            <w:r w:rsidRPr="001A3142">
              <w:t>$</w:t>
            </w:r>
            <w:r w:rsidR="0098182D">
              <w:t>178,050</w:t>
            </w:r>
          </w:p>
          <w:p w14:paraId="0C345106" w14:textId="77777777" w:rsidR="009A38AA" w:rsidRPr="001A3142" w:rsidRDefault="009A38AA" w:rsidP="009A38AA"/>
          <w:p w14:paraId="4E15181D" w14:textId="77777777" w:rsidR="009A38AA" w:rsidRPr="00E750CC" w:rsidRDefault="009A38AA" w:rsidP="009A38AA">
            <w:r w:rsidRPr="00E750CC">
              <w:t>*41 est. cases p.a.</w:t>
            </w:r>
          </w:p>
          <w:p w14:paraId="093AA43B" w14:textId="1A4AFCF3" w:rsidR="009A38AA" w:rsidRPr="008972C9" w:rsidRDefault="009A38AA" w:rsidP="009A38AA">
            <w:pPr>
              <w:ind w:left="-107" w:right="-104" w:firstLine="2"/>
              <w:rPr>
                <w:sz w:val="20"/>
                <w:szCs w:val="20"/>
              </w:rPr>
            </w:pPr>
            <w:r w:rsidRPr="00E750CC">
              <w:t>*</w:t>
            </w:r>
            <w:r w:rsidRPr="00A272DA">
              <w:rPr>
                <w:b/>
              </w:rPr>
              <w:t xml:space="preserve">Eight </w:t>
            </w:r>
            <w:r w:rsidRPr="00A272DA">
              <w:t>times as many as reported</w:t>
            </w:r>
          </w:p>
        </w:tc>
        <w:tc>
          <w:tcPr>
            <w:tcW w:w="1647" w:type="dxa"/>
            <w:shd w:val="clear" w:color="auto" w:fill="auto"/>
          </w:tcPr>
          <w:p w14:paraId="29BB1DA3" w14:textId="4DBC25F2" w:rsidR="009A38AA" w:rsidRPr="008972C9" w:rsidRDefault="009A38AA" w:rsidP="009A38AA">
            <w:pPr>
              <w:ind w:left="-107" w:right="-104" w:firstLine="2"/>
              <w:rPr>
                <w:sz w:val="20"/>
                <w:szCs w:val="20"/>
              </w:rPr>
            </w:pPr>
            <w:r w:rsidRPr="007D19B9">
              <w:t>Not applicable</w:t>
            </w:r>
          </w:p>
        </w:tc>
        <w:tc>
          <w:tcPr>
            <w:tcW w:w="1526" w:type="dxa"/>
            <w:shd w:val="clear" w:color="auto" w:fill="auto"/>
          </w:tcPr>
          <w:p w14:paraId="518A3196" w14:textId="120CAF7B" w:rsidR="009A38AA" w:rsidRPr="00D55E91" w:rsidRDefault="009A38AA" w:rsidP="009A38AA">
            <w:r>
              <w:t>$4</w:t>
            </w:r>
            <w:r w:rsidR="0067277C">
              <w:t>,262,190</w:t>
            </w:r>
            <w:r w:rsidRPr="00D55E91">
              <w:t xml:space="preserve"> </w:t>
            </w:r>
          </w:p>
          <w:p w14:paraId="3D9D278D" w14:textId="77777777" w:rsidR="009A38AA" w:rsidRPr="001A3142" w:rsidRDefault="009A38AA" w:rsidP="009A38AA"/>
          <w:p w14:paraId="510320D1" w14:textId="77777777" w:rsidR="009A38AA" w:rsidRPr="00E750CC" w:rsidRDefault="009A38AA" w:rsidP="009A38AA"/>
          <w:p w14:paraId="000ECE8B" w14:textId="77777777" w:rsidR="009A38AA" w:rsidRPr="00E750CC" w:rsidRDefault="009A38AA" w:rsidP="009A38AA">
            <w:r w:rsidRPr="00E750CC">
              <w:t>*10,763 est. cases p.a.</w:t>
            </w:r>
          </w:p>
          <w:p w14:paraId="53164B17" w14:textId="77777777" w:rsidR="009A38AA" w:rsidRPr="00E750CC" w:rsidRDefault="009A38AA" w:rsidP="009A38AA">
            <w:r w:rsidRPr="00E750CC">
              <w:t xml:space="preserve">* </w:t>
            </w:r>
            <w:r w:rsidRPr="00A272DA">
              <w:rPr>
                <w:b/>
              </w:rPr>
              <w:t>Much more</w:t>
            </w:r>
            <w:r w:rsidRPr="00A272DA">
              <w:t xml:space="preserve"> than reported</w:t>
            </w:r>
          </w:p>
          <w:p w14:paraId="46DE3D4D" w14:textId="46089007" w:rsidR="009A38AA" w:rsidRPr="008972C9" w:rsidRDefault="009A38AA" w:rsidP="009A38AA">
            <w:pPr>
              <w:ind w:left="-107" w:right="-104" w:firstLine="2"/>
              <w:rPr>
                <w:sz w:val="20"/>
                <w:szCs w:val="20"/>
              </w:rPr>
            </w:pPr>
          </w:p>
        </w:tc>
        <w:tc>
          <w:tcPr>
            <w:tcW w:w="1680" w:type="dxa"/>
            <w:shd w:val="clear" w:color="auto" w:fill="auto"/>
          </w:tcPr>
          <w:p w14:paraId="023BFB92" w14:textId="77777777" w:rsidR="009A38AA" w:rsidRPr="001A3142" w:rsidRDefault="009A38AA" w:rsidP="009A38AA">
            <w:r w:rsidRPr="001A3142">
              <w:t xml:space="preserve"> $0 </w:t>
            </w:r>
          </w:p>
          <w:p w14:paraId="522ECED4" w14:textId="77777777" w:rsidR="009A38AA" w:rsidRPr="001A3142" w:rsidRDefault="009A38AA" w:rsidP="009A38AA"/>
          <w:p w14:paraId="66A38A65" w14:textId="68C17D19" w:rsidR="009A38AA" w:rsidRPr="008972C9" w:rsidRDefault="009A38AA" w:rsidP="009A38AA">
            <w:pPr>
              <w:ind w:left="-107" w:right="-104" w:firstLine="2"/>
              <w:rPr>
                <w:sz w:val="20"/>
                <w:szCs w:val="20"/>
              </w:rPr>
            </w:pPr>
            <w:r w:rsidRPr="00E750CC">
              <w:t>*Around five reported p.a., but almost all originate from imports</w:t>
            </w:r>
          </w:p>
        </w:tc>
        <w:tc>
          <w:tcPr>
            <w:tcW w:w="1800" w:type="dxa"/>
            <w:gridSpan w:val="2"/>
            <w:shd w:val="clear" w:color="auto" w:fill="auto"/>
          </w:tcPr>
          <w:p w14:paraId="61E91001" w14:textId="6BC49FDF" w:rsidR="009A38AA" w:rsidRPr="00D55E91" w:rsidRDefault="009A38AA" w:rsidP="009A38AA">
            <w:r w:rsidRPr="00D55E91">
              <w:t xml:space="preserve"> $4,</w:t>
            </w:r>
            <w:r w:rsidR="0067277C">
              <w:t>440,240</w:t>
            </w:r>
            <w:r w:rsidRPr="00D55E91">
              <w:t xml:space="preserve"> </w:t>
            </w:r>
          </w:p>
          <w:p w14:paraId="4517F418" w14:textId="77777777" w:rsidR="009A38AA" w:rsidRPr="001A3142" w:rsidRDefault="009A38AA" w:rsidP="009A38AA"/>
          <w:p w14:paraId="622E5FA2" w14:textId="77777777" w:rsidR="009A38AA" w:rsidRPr="008972C9" w:rsidRDefault="009A38AA" w:rsidP="009A38AA">
            <w:pPr>
              <w:ind w:left="-107" w:right="-104" w:firstLine="2"/>
              <w:rPr>
                <w:sz w:val="20"/>
                <w:szCs w:val="20"/>
              </w:rPr>
            </w:pPr>
          </w:p>
        </w:tc>
        <w:tc>
          <w:tcPr>
            <w:tcW w:w="2040" w:type="dxa"/>
            <w:gridSpan w:val="2"/>
            <w:shd w:val="clear" w:color="auto" w:fill="auto"/>
          </w:tcPr>
          <w:p w14:paraId="42FC0E9E" w14:textId="77777777" w:rsidR="009A38AA" w:rsidRPr="00B964A7" w:rsidRDefault="009A38AA" w:rsidP="009A38AA">
            <w:r>
              <w:t>$0.2m to $2</w:t>
            </w:r>
            <w:r w:rsidRPr="00B964A7">
              <w:t>.2m</w:t>
            </w:r>
          </w:p>
          <w:p w14:paraId="5AC98B54" w14:textId="77777777" w:rsidR="009A38AA" w:rsidRPr="00E7217A" w:rsidRDefault="009A38AA" w:rsidP="009A38AA">
            <w:r w:rsidRPr="00B964A7">
              <w:t xml:space="preserve">based on 5% to 50% </w:t>
            </w:r>
            <w:r w:rsidRPr="007D19B9">
              <w:t>efficacy</w:t>
            </w:r>
          </w:p>
          <w:p w14:paraId="17534CA6" w14:textId="77777777" w:rsidR="009A38AA" w:rsidRPr="008972C9" w:rsidRDefault="009A38AA" w:rsidP="009A38AA">
            <w:pPr>
              <w:ind w:left="-107" w:right="-104" w:firstLine="2"/>
              <w:rPr>
                <w:sz w:val="20"/>
                <w:szCs w:val="20"/>
              </w:rPr>
            </w:pPr>
          </w:p>
        </w:tc>
        <w:tc>
          <w:tcPr>
            <w:tcW w:w="1934" w:type="dxa"/>
            <w:gridSpan w:val="2"/>
            <w:shd w:val="clear" w:color="auto" w:fill="auto"/>
          </w:tcPr>
          <w:p w14:paraId="04FD2EE7" w14:textId="77777777" w:rsidR="009A38AA" w:rsidRPr="001A3142" w:rsidRDefault="009A38AA" w:rsidP="009A38AA">
            <w:r>
              <w:t>$</w:t>
            </w:r>
            <w:r w:rsidRPr="001A3142">
              <w:t>0</w:t>
            </w:r>
            <w:r>
              <w:t>.7</w:t>
            </w:r>
            <w:r w:rsidRPr="001A3142">
              <w:t>m</w:t>
            </w:r>
          </w:p>
          <w:p w14:paraId="0E066A44" w14:textId="7FFD1554" w:rsidR="009A38AA" w:rsidRPr="008972C9" w:rsidRDefault="009A38AA" w:rsidP="009A38AA">
            <w:pPr>
              <w:ind w:left="-107" w:right="-104" w:firstLine="2"/>
              <w:rPr>
                <w:sz w:val="20"/>
                <w:szCs w:val="20"/>
              </w:rPr>
            </w:pPr>
            <w:r w:rsidRPr="00B964A7">
              <w:t xml:space="preserve">based on 15% </w:t>
            </w:r>
            <w:r w:rsidRPr="007D19B9">
              <w:t>efficacy</w:t>
            </w:r>
          </w:p>
        </w:tc>
      </w:tr>
      <w:tr w:rsidR="009A38AA" w:rsidRPr="00927D2D" w14:paraId="072C26E1" w14:textId="77777777" w:rsidTr="00C812A1">
        <w:trPr>
          <w:gridAfter w:val="1"/>
          <w:wAfter w:w="7" w:type="dxa"/>
        </w:trPr>
        <w:tc>
          <w:tcPr>
            <w:tcW w:w="1135" w:type="dxa"/>
            <w:shd w:val="clear" w:color="auto" w:fill="auto"/>
          </w:tcPr>
          <w:p w14:paraId="2C00D5F9" w14:textId="79DDC439" w:rsidR="009A38AA" w:rsidRPr="004C1A6E" w:rsidRDefault="009A38AA" w:rsidP="009A38AA">
            <w:pPr>
              <w:ind w:left="-107" w:right="-104" w:firstLine="2"/>
              <w:rPr>
                <w:sz w:val="20"/>
                <w:szCs w:val="20"/>
              </w:rPr>
            </w:pPr>
            <w:r w:rsidRPr="004C1A6E">
              <w:rPr>
                <w:sz w:val="20"/>
                <w:szCs w:val="20"/>
              </w:rPr>
              <w:t>Leafy vegetables</w:t>
            </w:r>
          </w:p>
        </w:tc>
        <w:tc>
          <w:tcPr>
            <w:tcW w:w="1527" w:type="dxa"/>
            <w:shd w:val="clear" w:color="auto" w:fill="auto"/>
          </w:tcPr>
          <w:p w14:paraId="4031EA05" w14:textId="1A52E538" w:rsidR="009A38AA" w:rsidRPr="00D55E91" w:rsidRDefault="009A38AA" w:rsidP="009A38AA">
            <w:r w:rsidRPr="00090B06">
              <w:t>$</w:t>
            </w:r>
            <w:r w:rsidR="00393DDE">
              <w:t>4,135,969</w:t>
            </w:r>
          </w:p>
          <w:p w14:paraId="55EB8BD8" w14:textId="77777777" w:rsidR="009A38AA" w:rsidRPr="00090B06" w:rsidRDefault="009A38AA" w:rsidP="009A38AA"/>
          <w:p w14:paraId="4860C8FE" w14:textId="77777777" w:rsidR="009A38AA" w:rsidRPr="00090B06" w:rsidRDefault="009A38AA" w:rsidP="009A38AA"/>
          <w:p w14:paraId="440B84DA" w14:textId="77777777" w:rsidR="009A38AA" w:rsidRPr="00090B06" w:rsidRDefault="009A38AA" w:rsidP="009A38AA">
            <w:r w:rsidRPr="00090B06">
              <w:t>*Five est. acute cases p.a.</w:t>
            </w:r>
          </w:p>
          <w:p w14:paraId="36CFCA51" w14:textId="08F46B1A" w:rsidR="009A38AA" w:rsidRPr="008972C9" w:rsidRDefault="009A38AA" w:rsidP="009A38AA">
            <w:pPr>
              <w:ind w:left="-107" w:right="-104" w:firstLine="2"/>
              <w:rPr>
                <w:sz w:val="20"/>
                <w:szCs w:val="20"/>
              </w:rPr>
            </w:pPr>
            <w:r w:rsidRPr="00090B06">
              <w:t>*</w:t>
            </w:r>
            <w:r w:rsidRPr="00090B06">
              <w:rPr>
                <w:b/>
              </w:rPr>
              <w:t>As many</w:t>
            </w:r>
            <w:r w:rsidRPr="00090B06">
              <w:t xml:space="preserve"> as reported</w:t>
            </w:r>
          </w:p>
        </w:tc>
        <w:tc>
          <w:tcPr>
            <w:tcW w:w="1473" w:type="dxa"/>
            <w:shd w:val="clear" w:color="auto" w:fill="auto"/>
          </w:tcPr>
          <w:p w14:paraId="36B14A47" w14:textId="272B6E34" w:rsidR="009A38AA" w:rsidRPr="00090B06" w:rsidRDefault="00393DDE" w:rsidP="009A38AA">
            <w:r>
              <w:t>$890,24</w:t>
            </w:r>
            <w:r w:rsidR="009A38AA" w:rsidRPr="00090B06">
              <w:t>8</w:t>
            </w:r>
          </w:p>
          <w:p w14:paraId="4A7B5B10" w14:textId="77777777" w:rsidR="009A38AA" w:rsidRPr="00090B06" w:rsidRDefault="009A38AA" w:rsidP="009A38AA"/>
          <w:p w14:paraId="79614369" w14:textId="77777777" w:rsidR="009A38AA" w:rsidRPr="00090B06" w:rsidRDefault="009A38AA" w:rsidP="009A38AA">
            <w:r w:rsidRPr="00090B06">
              <w:t>*206 est. cases p.a.</w:t>
            </w:r>
          </w:p>
          <w:p w14:paraId="5A21348D" w14:textId="236401BE" w:rsidR="009A38AA" w:rsidRPr="008972C9" w:rsidRDefault="009A38AA" w:rsidP="009A38AA">
            <w:pPr>
              <w:ind w:left="-107" w:right="-104" w:firstLine="2"/>
              <w:rPr>
                <w:sz w:val="20"/>
                <w:szCs w:val="20"/>
              </w:rPr>
            </w:pPr>
            <w:r w:rsidRPr="00090B06">
              <w:t>*</w:t>
            </w:r>
            <w:r w:rsidRPr="00090B06">
              <w:rPr>
                <w:b/>
              </w:rPr>
              <w:t xml:space="preserve">Eight </w:t>
            </w:r>
            <w:r w:rsidRPr="00090B06">
              <w:t>times as many as reported</w:t>
            </w:r>
          </w:p>
        </w:tc>
        <w:tc>
          <w:tcPr>
            <w:tcW w:w="1647" w:type="dxa"/>
            <w:shd w:val="clear" w:color="auto" w:fill="auto"/>
          </w:tcPr>
          <w:p w14:paraId="73743E72" w14:textId="22DEA2AE" w:rsidR="009A38AA" w:rsidRPr="00D55E91" w:rsidRDefault="009A38AA" w:rsidP="009A38AA">
            <w:r w:rsidRPr="00090B06">
              <w:t>$</w:t>
            </w:r>
            <w:r w:rsidRPr="00D55E91">
              <w:t>4,2</w:t>
            </w:r>
            <w:r w:rsidR="00714125">
              <w:t>68</w:t>
            </w:r>
            <w:r w:rsidRPr="00D55E91">
              <w:t>,</w:t>
            </w:r>
            <w:r w:rsidR="00714125">
              <w:t>864</w:t>
            </w:r>
          </w:p>
          <w:p w14:paraId="4D8C84B0" w14:textId="77777777" w:rsidR="009A38AA" w:rsidRPr="00090B06" w:rsidRDefault="009A38AA" w:rsidP="009A38AA"/>
          <w:p w14:paraId="22CB35B9" w14:textId="77777777" w:rsidR="009A38AA" w:rsidRPr="00090B06" w:rsidRDefault="009A38AA" w:rsidP="009A38AA"/>
          <w:p w14:paraId="68D8AF41" w14:textId="77777777" w:rsidR="009A38AA" w:rsidRPr="00090B06" w:rsidRDefault="009A38AA" w:rsidP="009A38AA">
            <w:r w:rsidRPr="00090B06">
              <w:t>*1,881 est. cases p.a.</w:t>
            </w:r>
          </w:p>
          <w:p w14:paraId="375F79C1" w14:textId="5BC84187" w:rsidR="009A38AA" w:rsidRPr="008972C9" w:rsidRDefault="009A38AA" w:rsidP="009A38AA">
            <w:pPr>
              <w:ind w:left="-107" w:right="-104" w:firstLine="2"/>
              <w:rPr>
                <w:sz w:val="20"/>
                <w:szCs w:val="20"/>
              </w:rPr>
            </w:pPr>
            <w:r w:rsidRPr="00090B06">
              <w:t>*</w:t>
            </w:r>
            <w:r w:rsidRPr="00090B06">
              <w:rPr>
                <w:b/>
              </w:rPr>
              <w:t xml:space="preserve">Seven </w:t>
            </w:r>
            <w:r w:rsidRPr="00090B06">
              <w:t>times as many as reported</w:t>
            </w:r>
          </w:p>
        </w:tc>
        <w:tc>
          <w:tcPr>
            <w:tcW w:w="1526" w:type="dxa"/>
            <w:shd w:val="clear" w:color="auto" w:fill="auto"/>
          </w:tcPr>
          <w:p w14:paraId="64CEA213" w14:textId="4A98EC47" w:rsidR="009A38AA" w:rsidRPr="00A56465" w:rsidRDefault="009A38AA" w:rsidP="009A38AA">
            <w:pPr>
              <w:ind w:left="-107" w:right="-104" w:firstLine="2"/>
              <w:rPr>
                <w:sz w:val="20"/>
                <w:szCs w:val="20"/>
              </w:rPr>
            </w:pPr>
            <w:r w:rsidRPr="00090B06">
              <w:t>Not applicable</w:t>
            </w:r>
          </w:p>
        </w:tc>
        <w:tc>
          <w:tcPr>
            <w:tcW w:w="1680" w:type="dxa"/>
            <w:shd w:val="clear" w:color="auto" w:fill="auto"/>
          </w:tcPr>
          <w:p w14:paraId="662C9F3F" w14:textId="79D6C10C" w:rsidR="009A38AA" w:rsidRPr="00A56465" w:rsidRDefault="009A38AA" w:rsidP="009A38AA">
            <w:pPr>
              <w:ind w:left="-107" w:right="-104" w:firstLine="2"/>
              <w:rPr>
                <w:sz w:val="20"/>
                <w:szCs w:val="20"/>
              </w:rPr>
            </w:pPr>
            <w:r w:rsidRPr="00090B06">
              <w:t>Not applicable</w:t>
            </w:r>
          </w:p>
        </w:tc>
        <w:tc>
          <w:tcPr>
            <w:tcW w:w="1800" w:type="dxa"/>
            <w:gridSpan w:val="2"/>
            <w:shd w:val="clear" w:color="auto" w:fill="auto"/>
          </w:tcPr>
          <w:p w14:paraId="3EB8F194" w14:textId="287A6E7F" w:rsidR="009A38AA" w:rsidRPr="00C0126D" w:rsidRDefault="009A38AA" w:rsidP="009A38AA">
            <w:r w:rsidRPr="00090B06">
              <w:t>$</w:t>
            </w:r>
            <w:r w:rsidR="003022CF">
              <w:t>9,295</w:t>
            </w:r>
            <w:r w:rsidRPr="00C0126D">
              <w:t>,</w:t>
            </w:r>
            <w:r w:rsidR="003022CF">
              <w:t>081</w:t>
            </w:r>
          </w:p>
          <w:p w14:paraId="58189D4C" w14:textId="77777777" w:rsidR="009A38AA" w:rsidRPr="00090B06" w:rsidRDefault="009A38AA" w:rsidP="009A38AA"/>
          <w:p w14:paraId="435740FB" w14:textId="77777777" w:rsidR="009A38AA" w:rsidRPr="00090B06" w:rsidRDefault="009A38AA" w:rsidP="009A38AA"/>
          <w:p w14:paraId="3A3BCD65" w14:textId="77777777" w:rsidR="009A38AA" w:rsidRPr="008972C9" w:rsidRDefault="009A38AA" w:rsidP="009A38AA">
            <w:pPr>
              <w:ind w:left="-107" w:right="-104" w:firstLine="2"/>
              <w:rPr>
                <w:sz w:val="20"/>
                <w:szCs w:val="20"/>
              </w:rPr>
            </w:pPr>
          </w:p>
        </w:tc>
        <w:tc>
          <w:tcPr>
            <w:tcW w:w="2040" w:type="dxa"/>
            <w:gridSpan w:val="2"/>
            <w:shd w:val="clear" w:color="auto" w:fill="auto"/>
          </w:tcPr>
          <w:p w14:paraId="01169227" w14:textId="3D8B2B2C" w:rsidR="009A38AA" w:rsidRPr="00090B06" w:rsidRDefault="003022CF" w:rsidP="009A38AA">
            <w:r>
              <w:t>$0.9m to $6.5</w:t>
            </w:r>
            <w:r w:rsidR="009A38AA" w:rsidRPr="00090B06">
              <w:t>m</w:t>
            </w:r>
          </w:p>
          <w:p w14:paraId="59F1950B" w14:textId="77777777" w:rsidR="009A38AA" w:rsidRPr="00090B06" w:rsidRDefault="009A38AA" w:rsidP="009A38AA">
            <w:r w:rsidRPr="00090B06">
              <w:t xml:space="preserve"> </w:t>
            </w:r>
          </w:p>
          <w:p w14:paraId="20428CF4" w14:textId="23EFADA7" w:rsidR="009A38AA" w:rsidRPr="008972C9" w:rsidRDefault="009A38AA" w:rsidP="009A38AA">
            <w:pPr>
              <w:ind w:left="-107" w:right="-104" w:firstLine="2"/>
              <w:rPr>
                <w:sz w:val="20"/>
                <w:szCs w:val="20"/>
              </w:rPr>
            </w:pPr>
            <w:r>
              <w:t>based on 10% to 70% efficacy</w:t>
            </w:r>
          </w:p>
        </w:tc>
        <w:tc>
          <w:tcPr>
            <w:tcW w:w="1934" w:type="dxa"/>
            <w:gridSpan w:val="2"/>
            <w:shd w:val="clear" w:color="auto" w:fill="auto"/>
          </w:tcPr>
          <w:p w14:paraId="4F225A6A" w14:textId="63F3C994" w:rsidR="009A38AA" w:rsidRPr="00090B06" w:rsidRDefault="009A38AA" w:rsidP="009A38AA">
            <w:r>
              <w:t>$3</w:t>
            </w:r>
            <w:r w:rsidR="0073505F">
              <w:t>.</w:t>
            </w:r>
            <w:r w:rsidR="007F283C">
              <w:t>7</w:t>
            </w:r>
            <w:r w:rsidRPr="00090B06">
              <w:t xml:space="preserve">m </w:t>
            </w:r>
          </w:p>
          <w:p w14:paraId="387F4FFB" w14:textId="73F36BB9" w:rsidR="009A38AA" w:rsidRPr="008972C9" w:rsidRDefault="009A38AA" w:rsidP="009A38AA">
            <w:pPr>
              <w:ind w:left="-107" w:right="-104" w:firstLine="2"/>
              <w:rPr>
                <w:sz w:val="20"/>
                <w:szCs w:val="20"/>
              </w:rPr>
            </w:pPr>
            <w:r w:rsidRPr="00090B06">
              <w:t>based on 40% efficacy</w:t>
            </w:r>
          </w:p>
        </w:tc>
      </w:tr>
      <w:tr w:rsidR="009A38AA" w:rsidRPr="00927D2D" w14:paraId="45D615A1" w14:textId="77777777" w:rsidTr="00C812A1">
        <w:trPr>
          <w:gridAfter w:val="1"/>
          <w:wAfter w:w="7" w:type="dxa"/>
        </w:trPr>
        <w:tc>
          <w:tcPr>
            <w:tcW w:w="1135" w:type="dxa"/>
            <w:shd w:val="clear" w:color="auto" w:fill="auto"/>
          </w:tcPr>
          <w:p w14:paraId="43DC3F49" w14:textId="77777777" w:rsidR="009A38AA" w:rsidRPr="004C1A6E" w:rsidRDefault="009A38AA" w:rsidP="009A38AA">
            <w:pPr>
              <w:ind w:left="-107" w:right="-104" w:firstLine="2"/>
              <w:rPr>
                <w:sz w:val="20"/>
                <w:szCs w:val="20"/>
              </w:rPr>
            </w:pPr>
            <w:r w:rsidRPr="004C1A6E">
              <w:rPr>
                <w:sz w:val="20"/>
                <w:szCs w:val="20"/>
              </w:rPr>
              <w:t>Melons</w:t>
            </w:r>
          </w:p>
        </w:tc>
        <w:tc>
          <w:tcPr>
            <w:tcW w:w="1527" w:type="dxa"/>
            <w:shd w:val="clear" w:color="auto" w:fill="auto"/>
          </w:tcPr>
          <w:p w14:paraId="16346BA8" w14:textId="3F671850" w:rsidR="009A38AA" w:rsidRDefault="009A38AA" w:rsidP="009A38AA">
            <w:r w:rsidRPr="00E750CC">
              <w:t>$</w:t>
            </w:r>
            <w:r w:rsidR="00606DFA">
              <w:t>4,797,724</w:t>
            </w:r>
          </w:p>
          <w:p w14:paraId="7412D41C" w14:textId="77777777" w:rsidR="009A38AA" w:rsidRPr="00E750CC" w:rsidRDefault="009A38AA" w:rsidP="009A38AA"/>
          <w:p w14:paraId="11602C56" w14:textId="77777777" w:rsidR="009A38AA" w:rsidRPr="00E750CC" w:rsidRDefault="009A38AA" w:rsidP="009A38AA"/>
          <w:p w14:paraId="3191A3F4" w14:textId="77777777" w:rsidR="009A38AA" w:rsidRPr="00B964A7" w:rsidRDefault="009A38AA" w:rsidP="009A38AA">
            <w:r w:rsidRPr="00B964A7">
              <w:t xml:space="preserve">*Six est. acute cases p.a. </w:t>
            </w:r>
          </w:p>
          <w:p w14:paraId="256E0A3B" w14:textId="3B4B90C5" w:rsidR="009A38AA" w:rsidRPr="008972C9" w:rsidRDefault="009A38AA" w:rsidP="009A38AA">
            <w:pPr>
              <w:ind w:left="-107" w:right="-104" w:firstLine="2"/>
              <w:rPr>
                <w:sz w:val="20"/>
                <w:szCs w:val="20"/>
              </w:rPr>
            </w:pPr>
            <w:r w:rsidRPr="00E7217A">
              <w:t xml:space="preserve">* </w:t>
            </w:r>
            <w:r w:rsidRPr="00D55E91">
              <w:t>As many</w:t>
            </w:r>
            <w:r w:rsidRPr="001A3142">
              <w:t xml:space="preserve"> as reported</w:t>
            </w:r>
          </w:p>
        </w:tc>
        <w:tc>
          <w:tcPr>
            <w:tcW w:w="1473" w:type="dxa"/>
            <w:shd w:val="clear" w:color="auto" w:fill="auto"/>
          </w:tcPr>
          <w:p w14:paraId="098B5047" w14:textId="0CDCE7D5" w:rsidR="009A38AA" w:rsidRPr="008972C9" w:rsidRDefault="009A38AA" w:rsidP="009A38AA">
            <w:pPr>
              <w:ind w:left="-107" w:right="-104" w:firstLine="2"/>
              <w:rPr>
                <w:sz w:val="20"/>
                <w:szCs w:val="20"/>
              </w:rPr>
            </w:pPr>
            <w:r w:rsidRPr="007D19B9">
              <w:t>Not applicable</w:t>
            </w:r>
          </w:p>
        </w:tc>
        <w:tc>
          <w:tcPr>
            <w:tcW w:w="1647" w:type="dxa"/>
            <w:shd w:val="clear" w:color="auto" w:fill="auto"/>
          </w:tcPr>
          <w:p w14:paraId="25D005D5" w14:textId="7C491B4C" w:rsidR="009A38AA" w:rsidRDefault="009A38AA" w:rsidP="009A38AA">
            <w:r w:rsidRPr="00E750CC">
              <w:t>$</w:t>
            </w:r>
            <w:r>
              <w:t>2,2</w:t>
            </w:r>
            <w:r w:rsidR="004305E9">
              <w:t>59</w:t>
            </w:r>
            <w:r>
              <w:t>,</w:t>
            </w:r>
            <w:r w:rsidR="004305E9">
              <w:t>987</w:t>
            </w:r>
          </w:p>
          <w:p w14:paraId="387C7FBD" w14:textId="77777777" w:rsidR="009A38AA" w:rsidRPr="00E750CC" w:rsidRDefault="009A38AA" w:rsidP="009A38AA"/>
          <w:p w14:paraId="1B3D5AD1" w14:textId="77777777" w:rsidR="009A38AA" w:rsidRPr="00E750CC" w:rsidRDefault="009A38AA" w:rsidP="009A38AA"/>
          <w:p w14:paraId="1BD1BFA5" w14:textId="77777777" w:rsidR="009A38AA" w:rsidRPr="00B964A7" w:rsidRDefault="009A38AA" w:rsidP="009A38AA">
            <w:r w:rsidRPr="00B964A7">
              <w:t>*996 est. cases p.a.</w:t>
            </w:r>
          </w:p>
          <w:p w14:paraId="0C32CE17" w14:textId="58B1EDDD" w:rsidR="009A38AA" w:rsidRPr="008972C9" w:rsidRDefault="009A38AA" w:rsidP="009A38AA">
            <w:pPr>
              <w:ind w:left="-107" w:right="-104" w:firstLine="2"/>
              <w:rPr>
                <w:sz w:val="20"/>
                <w:szCs w:val="20"/>
              </w:rPr>
            </w:pPr>
            <w:r w:rsidRPr="00B964A7">
              <w:t>*</w:t>
            </w:r>
            <w:r w:rsidRPr="00D55E91">
              <w:t>Seven</w:t>
            </w:r>
            <w:r w:rsidRPr="00A272DA">
              <w:t xml:space="preserve"> times as many as reported</w:t>
            </w:r>
          </w:p>
        </w:tc>
        <w:tc>
          <w:tcPr>
            <w:tcW w:w="1526" w:type="dxa"/>
            <w:shd w:val="clear" w:color="auto" w:fill="auto"/>
          </w:tcPr>
          <w:p w14:paraId="1419008E" w14:textId="213DBEEB" w:rsidR="009A38AA" w:rsidRPr="00A56465" w:rsidRDefault="009A38AA" w:rsidP="009A38AA">
            <w:pPr>
              <w:ind w:left="-107" w:right="-104" w:firstLine="2"/>
              <w:rPr>
                <w:sz w:val="20"/>
                <w:szCs w:val="20"/>
              </w:rPr>
            </w:pPr>
            <w:r w:rsidRPr="007D19B9">
              <w:t>Not applicable</w:t>
            </w:r>
          </w:p>
        </w:tc>
        <w:tc>
          <w:tcPr>
            <w:tcW w:w="1680" w:type="dxa"/>
            <w:shd w:val="clear" w:color="auto" w:fill="auto"/>
          </w:tcPr>
          <w:p w14:paraId="1E3703E8" w14:textId="0C252312" w:rsidR="009A38AA" w:rsidRPr="008972C9" w:rsidRDefault="009A38AA" w:rsidP="009A38AA">
            <w:pPr>
              <w:ind w:left="-107" w:right="-104" w:firstLine="2"/>
              <w:rPr>
                <w:sz w:val="20"/>
                <w:szCs w:val="20"/>
              </w:rPr>
            </w:pPr>
            <w:r w:rsidRPr="007D19B9">
              <w:t>Not applicable</w:t>
            </w:r>
          </w:p>
        </w:tc>
        <w:tc>
          <w:tcPr>
            <w:tcW w:w="1800" w:type="dxa"/>
            <w:gridSpan w:val="2"/>
            <w:shd w:val="clear" w:color="auto" w:fill="auto"/>
          </w:tcPr>
          <w:p w14:paraId="07BF324C" w14:textId="2F782105" w:rsidR="009A38AA" w:rsidRPr="00C0126D" w:rsidRDefault="009A38AA" w:rsidP="009A38AA">
            <w:r w:rsidRPr="001A3142">
              <w:t>$</w:t>
            </w:r>
            <w:r w:rsidR="00930B4D">
              <w:t>7,05</w:t>
            </w:r>
            <w:r w:rsidRPr="00C0126D">
              <w:t>7,</w:t>
            </w:r>
            <w:r w:rsidR="00930B4D">
              <w:t>711</w:t>
            </w:r>
          </w:p>
          <w:p w14:paraId="4CF94F65" w14:textId="77777777" w:rsidR="009A38AA" w:rsidRPr="001A3142" w:rsidRDefault="009A38AA" w:rsidP="009A38AA"/>
          <w:p w14:paraId="1367C1F7" w14:textId="77777777" w:rsidR="009A38AA" w:rsidRPr="001A3142" w:rsidRDefault="009A38AA" w:rsidP="009A38AA"/>
          <w:p w14:paraId="14C19AD8" w14:textId="77777777" w:rsidR="009A38AA" w:rsidRPr="008972C9" w:rsidRDefault="009A38AA" w:rsidP="009A38AA">
            <w:pPr>
              <w:ind w:left="-107" w:right="-104" w:firstLine="2"/>
              <w:rPr>
                <w:sz w:val="20"/>
                <w:szCs w:val="20"/>
              </w:rPr>
            </w:pPr>
          </w:p>
        </w:tc>
        <w:tc>
          <w:tcPr>
            <w:tcW w:w="2040" w:type="dxa"/>
            <w:gridSpan w:val="2"/>
            <w:shd w:val="clear" w:color="auto" w:fill="auto"/>
          </w:tcPr>
          <w:p w14:paraId="34F687C2" w14:textId="1B957AB0" w:rsidR="009A38AA" w:rsidRPr="00B964A7" w:rsidRDefault="00EC0546" w:rsidP="009A38AA">
            <w:r>
              <w:t>$0.7</w:t>
            </w:r>
            <w:r w:rsidR="009A38AA">
              <w:t>m to $</w:t>
            </w:r>
            <w:r w:rsidR="009A38AA" w:rsidRPr="00B964A7">
              <w:t>3</w:t>
            </w:r>
            <w:r>
              <w:t>.5</w:t>
            </w:r>
            <w:r w:rsidR="009A38AA" w:rsidRPr="00B964A7">
              <w:t>m</w:t>
            </w:r>
          </w:p>
          <w:p w14:paraId="4AA4F9C7" w14:textId="70C2FB22" w:rsidR="009A38AA" w:rsidRPr="008972C9" w:rsidRDefault="009A38AA" w:rsidP="009A38AA">
            <w:pPr>
              <w:ind w:left="-107" w:right="-104" w:firstLine="2"/>
              <w:rPr>
                <w:sz w:val="20"/>
                <w:szCs w:val="20"/>
              </w:rPr>
            </w:pPr>
            <w:r w:rsidRPr="00B964A7">
              <w:t>based on 10% to 50% Efficacy</w:t>
            </w:r>
          </w:p>
        </w:tc>
        <w:tc>
          <w:tcPr>
            <w:tcW w:w="1934" w:type="dxa"/>
            <w:gridSpan w:val="2"/>
            <w:shd w:val="clear" w:color="auto" w:fill="auto"/>
          </w:tcPr>
          <w:p w14:paraId="61F5A0F8" w14:textId="401EFC79" w:rsidR="009A38AA" w:rsidRPr="00B964A7" w:rsidRDefault="00EC0546" w:rsidP="009A38AA">
            <w:r>
              <w:t>$1.4</w:t>
            </w:r>
            <w:r w:rsidR="009A38AA" w:rsidRPr="00B964A7">
              <w:t xml:space="preserve">m </w:t>
            </w:r>
          </w:p>
          <w:p w14:paraId="7D266AA4" w14:textId="272D3266" w:rsidR="009A38AA" w:rsidRPr="008972C9" w:rsidRDefault="009A38AA" w:rsidP="009A38AA">
            <w:pPr>
              <w:ind w:left="-107" w:right="-104" w:firstLine="2"/>
              <w:rPr>
                <w:sz w:val="20"/>
                <w:szCs w:val="20"/>
              </w:rPr>
            </w:pPr>
            <w:r w:rsidRPr="00B964A7">
              <w:t>based on 20% Efficacy</w:t>
            </w:r>
          </w:p>
        </w:tc>
      </w:tr>
    </w:tbl>
    <w:p w14:paraId="28E6C398" w14:textId="280F6F60" w:rsidR="00C778AD" w:rsidRPr="00624464" w:rsidRDefault="00BB7061" w:rsidP="00C778AD">
      <w:pPr>
        <w:rPr>
          <w:sz w:val="20"/>
        </w:rPr>
      </w:pPr>
      <w:r w:rsidRPr="00BB7061">
        <w:rPr>
          <w:sz w:val="20"/>
          <w:lang w:eastAsia="en-AU"/>
        </w:rPr>
        <w:t>NA = not applicable</w:t>
      </w:r>
      <w:r w:rsidR="00D55BB0">
        <w:rPr>
          <w:sz w:val="20"/>
          <w:lang w:eastAsia="en-AU"/>
        </w:rPr>
        <w:t>, E</w:t>
      </w:r>
      <w:r w:rsidR="006C3CFA">
        <w:rPr>
          <w:sz w:val="20"/>
          <w:lang w:eastAsia="en-AU"/>
        </w:rPr>
        <w:t>st. = established</w:t>
      </w:r>
      <w:r w:rsidR="00C778AD">
        <w:rPr>
          <w:sz w:val="20"/>
          <w:lang w:eastAsia="en-AU"/>
        </w:rPr>
        <w:t xml:space="preserve">, STEC </w:t>
      </w:r>
      <w:r w:rsidR="00C778AD">
        <w:rPr>
          <w:sz w:val="20"/>
        </w:rPr>
        <w:t xml:space="preserve">= </w:t>
      </w:r>
      <w:proofErr w:type="spellStart"/>
      <w:r w:rsidR="00C778AD">
        <w:rPr>
          <w:sz w:val="20"/>
        </w:rPr>
        <w:t>shiga</w:t>
      </w:r>
      <w:proofErr w:type="spellEnd"/>
      <w:r w:rsidR="00C778AD">
        <w:rPr>
          <w:sz w:val="20"/>
        </w:rPr>
        <w:t xml:space="preserve"> toxin-producing </w:t>
      </w:r>
      <w:r w:rsidR="00C778AD" w:rsidRPr="00624464">
        <w:rPr>
          <w:i/>
          <w:sz w:val="20"/>
        </w:rPr>
        <w:t>E. coli</w:t>
      </w:r>
      <w:r w:rsidR="00C778AD">
        <w:rPr>
          <w:sz w:val="20"/>
        </w:rPr>
        <w:t>.</w:t>
      </w:r>
    </w:p>
    <w:p w14:paraId="78C67BA8" w14:textId="3A41963D" w:rsidR="00384D98" w:rsidRDefault="00384D98" w:rsidP="00C812A1">
      <w:pPr>
        <w:pStyle w:val="Header"/>
        <w:rPr>
          <w:rFonts w:eastAsia="Calibri"/>
          <w:color w:val="000000" w:themeColor="text1"/>
        </w:rPr>
      </w:pPr>
    </w:p>
    <w:p w14:paraId="37B8D634" w14:textId="77777777" w:rsidR="00C812A1" w:rsidRDefault="00C812A1" w:rsidP="00020579">
      <w:pPr>
        <w:autoSpaceDE w:val="0"/>
        <w:autoSpaceDN w:val="0"/>
        <w:adjustRightInd w:val="0"/>
        <w:ind w:right="-144"/>
        <w:rPr>
          <w:rFonts w:eastAsia="Calibri"/>
          <w:color w:val="000000" w:themeColor="text1"/>
        </w:rPr>
        <w:sectPr w:rsidR="00C812A1" w:rsidSect="00C812A1">
          <w:pgSz w:w="16838" w:h="11906" w:orient="landscape"/>
          <w:pgMar w:top="1418" w:right="1418" w:bottom="1418" w:left="1418" w:header="709" w:footer="709" w:gutter="0"/>
          <w:cols w:space="708"/>
          <w:docGrid w:linePitch="360"/>
        </w:sectPr>
      </w:pPr>
    </w:p>
    <w:tbl>
      <w:tblPr>
        <w:tblW w:w="9072" w:type="dxa"/>
        <w:jc w:val="center"/>
        <w:tblLook w:val="04A0" w:firstRow="1" w:lastRow="0" w:firstColumn="1" w:lastColumn="0" w:noHBand="0" w:noVBand="1"/>
      </w:tblPr>
      <w:tblGrid>
        <w:gridCol w:w="2977"/>
        <w:gridCol w:w="2126"/>
        <w:gridCol w:w="1984"/>
        <w:gridCol w:w="1985"/>
      </w:tblGrid>
      <w:tr w:rsidR="00B347B9" w:rsidRPr="00151B80" w14:paraId="040EE34C" w14:textId="77777777" w:rsidTr="00DE09A8">
        <w:trPr>
          <w:trHeight w:val="435"/>
          <w:jc w:val="center"/>
        </w:trPr>
        <w:tc>
          <w:tcPr>
            <w:tcW w:w="9072" w:type="dxa"/>
            <w:gridSpan w:val="4"/>
            <w:tcBorders>
              <w:top w:val="nil"/>
              <w:bottom w:val="single" w:sz="4" w:space="0" w:color="auto"/>
            </w:tcBorders>
            <w:shd w:val="clear" w:color="auto" w:fill="auto"/>
            <w:noWrap/>
            <w:vAlign w:val="bottom"/>
            <w:hideMark/>
          </w:tcPr>
          <w:p w14:paraId="0CDFE2DD" w14:textId="666CEC2C" w:rsidR="00B347B9" w:rsidRPr="00151B80" w:rsidRDefault="00B347B9" w:rsidP="009150A6">
            <w:pPr>
              <w:keepNext/>
              <w:rPr>
                <w:rFonts w:cs="Arial"/>
                <w:lang w:eastAsia="en-GB"/>
              </w:rPr>
            </w:pPr>
            <w:r w:rsidRPr="009D2DA6">
              <w:rPr>
                <w:rFonts w:cs="Arial"/>
                <w:b/>
                <w:bCs/>
                <w:color w:val="000000"/>
                <w:lang w:eastAsia="en-GB"/>
              </w:rPr>
              <w:lastRenderedPageBreak/>
              <w:t xml:space="preserve">Table </w:t>
            </w:r>
            <w:r w:rsidR="00484F84">
              <w:rPr>
                <w:rFonts w:cs="Arial"/>
                <w:b/>
                <w:bCs/>
                <w:color w:val="000000"/>
                <w:lang w:eastAsia="en-GB"/>
              </w:rPr>
              <w:t>15</w:t>
            </w:r>
            <w:r w:rsidR="009150A6">
              <w:rPr>
                <w:rFonts w:cs="Arial"/>
                <w:b/>
                <w:bCs/>
                <w:color w:val="000000"/>
                <w:lang w:eastAsia="en-GB"/>
              </w:rPr>
              <w:t xml:space="preserve">. </w:t>
            </w:r>
            <w:r w:rsidRPr="009D2DA6">
              <w:rPr>
                <w:rFonts w:cs="Arial"/>
                <w:b/>
                <w:bCs/>
                <w:color w:val="000000"/>
                <w:lang w:eastAsia="en-GB"/>
              </w:rPr>
              <w:t xml:space="preserve">Net </w:t>
            </w:r>
            <w:r w:rsidR="008972C9" w:rsidRPr="009D2DA6">
              <w:rPr>
                <w:rFonts w:cs="Arial"/>
                <w:b/>
                <w:bCs/>
                <w:color w:val="000000"/>
                <w:lang w:eastAsia="en-GB"/>
              </w:rPr>
              <w:t>benefit e</w:t>
            </w:r>
            <w:r w:rsidRPr="009D2DA6">
              <w:rPr>
                <w:rFonts w:cs="Arial"/>
                <w:b/>
                <w:bCs/>
                <w:color w:val="000000"/>
                <w:lang w:eastAsia="en-GB"/>
              </w:rPr>
              <w:t>stimates over 10 years:</w:t>
            </w:r>
            <w:r w:rsidR="009150A6">
              <w:rPr>
                <w:rFonts w:cs="Arial"/>
                <w:b/>
                <w:bCs/>
                <w:color w:val="000000"/>
                <w:lang w:eastAsia="en-GB"/>
              </w:rPr>
              <w:t xml:space="preserve"> </w:t>
            </w:r>
            <w:r w:rsidRPr="009D2DA6">
              <w:rPr>
                <w:rFonts w:cs="Arial"/>
                <w:b/>
                <w:lang w:eastAsia="en-GB"/>
              </w:rPr>
              <w:t>7% p</w:t>
            </w:r>
            <w:r w:rsidR="00BB7061">
              <w:rPr>
                <w:rFonts w:cs="Arial"/>
                <w:b/>
                <w:lang w:eastAsia="en-GB"/>
              </w:rPr>
              <w:t>er annum</w:t>
            </w:r>
            <w:r w:rsidRPr="009D2DA6">
              <w:rPr>
                <w:rFonts w:cs="Arial"/>
                <w:b/>
                <w:lang w:eastAsia="en-GB"/>
              </w:rPr>
              <w:t xml:space="preserve"> discount rate</w:t>
            </w:r>
          </w:p>
        </w:tc>
      </w:tr>
      <w:tr w:rsidR="00B347B9" w:rsidRPr="009150A6" w14:paraId="3CFCACD6" w14:textId="77777777" w:rsidTr="003B2D2D">
        <w:trPr>
          <w:trHeight w:val="615"/>
          <w:jc w:val="center"/>
        </w:trPr>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1202E256" w14:textId="4C0DA281" w:rsidR="00B347B9" w:rsidRPr="009150A6" w:rsidRDefault="00B347B9" w:rsidP="006C3CFA">
            <w:pPr>
              <w:rPr>
                <w:rFonts w:cs="Arial"/>
                <w:b/>
                <w:color w:val="000000"/>
                <w:lang w:eastAsia="en-GB"/>
              </w:rPr>
            </w:pPr>
            <w:r w:rsidRPr="009150A6">
              <w:rPr>
                <w:rFonts w:cs="Arial"/>
                <w:b/>
                <w:color w:val="000000"/>
                <w:lang w:eastAsia="en-GB"/>
              </w:rPr>
              <w:t xml:space="preserve">Costs to benefit ratios over 10 years </w:t>
            </w:r>
            <w:r w:rsidR="00BB7061">
              <w:rPr>
                <w:rFonts w:cs="Arial"/>
                <w:b/>
                <w:color w:val="000000"/>
                <w:lang w:eastAsia="en-GB"/>
              </w:rPr>
              <w:t>(net present value)</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13B1C780" w14:textId="47FAF85E" w:rsidR="00B347B9" w:rsidRPr="009150A6" w:rsidRDefault="00B347B9" w:rsidP="006C3CFA">
            <w:pPr>
              <w:ind w:left="-110" w:firstLine="110"/>
              <w:rPr>
                <w:rFonts w:cs="Arial"/>
                <w:b/>
                <w:color w:val="000000"/>
                <w:lang w:eastAsia="en-GB"/>
              </w:rPr>
            </w:pPr>
            <w:r w:rsidRPr="009150A6">
              <w:rPr>
                <w:rFonts w:cs="Arial"/>
                <w:b/>
                <w:color w:val="000000"/>
                <w:lang w:eastAsia="en-GB"/>
              </w:rPr>
              <w:t>Central business costs $</w:t>
            </w:r>
            <w:r w:rsidRPr="009150A6">
              <w:rPr>
                <w:rFonts w:cs="Arial"/>
                <w:b/>
                <w:bCs/>
                <w:color w:val="000000"/>
                <w:lang w:eastAsia="en-GB"/>
              </w:rPr>
              <w:t xml:space="preserve"> minus 50%</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263F2D34" w14:textId="41A58C47" w:rsidR="00B347B9" w:rsidRPr="009150A6" w:rsidRDefault="00B347B9" w:rsidP="006C3CFA">
            <w:pPr>
              <w:ind w:right="-105"/>
              <w:rPr>
                <w:rFonts w:cs="Arial"/>
                <w:b/>
                <w:color w:val="000000"/>
                <w:lang w:eastAsia="en-GB"/>
              </w:rPr>
            </w:pPr>
            <w:r w:rsidRPr="009150A6">
              <w:rPr>
                <w:rFonts w:cs="Arial"/>
                <w:b/>
                <w:color w:val="000000"/>
                <w:lang w:eastAsia="en-GB"/>
              </w:rPr>
              <w:t>Central business costs $</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60B5E41A" w14:textId="77777777" w:rsidR="00B347B9" w:rsidRPr="009150A6" w:rsidRDefault="00B347B9" w:rsidP="006C3CFA">
            <w:pPr>
              <w:ind w:left="-111"/>
              <w:rPr>
                <w:rFonts w:cs="Arial"/>
                <w:b/>
                <w:color w:val="000000"/>
                <w:lang w:eastAsia="en-GB"/>
              </w:rPr>
            </w:pPr>
            <w:r w:rsidRPr="009150A6">
              <w:rPr>
                <w:rFonts w:cs="Arial"/>
                <w:b/>
                <w:color w:val="000000"/>
                <w:lang w:eastAsia="en-GB"/>
              </w:rPr>
              <w:t xml:space="preserve">Central business costs $ </w:t>
            </w:r>
            <w:r w:rsidRPr="009150A6">
              <w:rPr>
                <w:rFonts w:cs="Arial"/>
                <w:b/>
                <w:bCs/>
                <w:color w:val="000000"/>
                <w:lang w:eastAsia="en-GB"/>
              </w:rPr>
              <w:t>plus 50%</w:t>
            </w:r>
          </w:p>
        </w:tc>
      </w:tr>
      <w:tr w:rsidR="00D3161B" w:rsidRPr="0059299A" w14:paraId="1D7D202D" w14:textId="77777777" w:rsidTr="006C3CFA">
        <w:trPr>
          <w:trHeight w:val="563"/>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5D17" w14:textId="0E5B7059" w:rsidR="00D3161B" w:rsidRPr="004C1A6E" w:rsidRDefault="00D3161B" w:rsidP="00D3161B">
            <w:pPr>
              <w:rPr>
                <w:rFonts w:cs="Arial"/>
                <w:color w:val="000000"/>
                <w:lang w:eastAsia="en-GB"/>
              </w:rPr>
            </w:pPr>
            <w:r w:rsidRPr="004C1A6E">
              <w:rPr>
                <w:rFonts w:cs="Arial"/>
                <w:color w:val="000000"/>
                <w:lang w:eastAsia="en-GB"/>
              </w:rPr>
              <w:t>Berries</w:t>
            </w:r>
          </w:p>
          <w:p w14:paraId="0FFEF92C" w14:textId="290507DB" w:rsidR="00D3161B" w:rsidRPr="004C1A6E" w:rsidRDefault="00D3161B" w:rsidP="00D3161B">
            <w:pPr>
              <w:rPr>
                <w:rFonts w:cs="Arial"/>
                <w:color w:val="000000"/>
                <w:lang w:eastAsia="en-GB"/>
              </w:rPr>
            </w:pPr>
            <w:r w:rsidRPr="004C1A6E">
              <w:rPr>
                <w:rFonts w:cs="Arial"/>
                <w:color w:val="000000"/>
                <w:lang w:eastAsia="en-GB"/>
              </w:rPr>
              <w:t>At central efficacy =15%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CD20" w14:textId="0CE87EB1" w:rsidR="00D3161B" w:rsidRPr="00D3161B" w:rsidRDefault="00D3161B" w:rsidP="00D3161B">
            <w:pPr>
              <w:jc w:val="right"/>
              <w:rPr>
                <w:rFonts w:cs="Arial"/>
                <w:color w:val="000000"/>
                <w:lang w:eastAsia="en-GB"/>
              </w:rPr>
            </w:pPr>
            <w:r w:rsidRPr="00D3161B">
              <w:rPr>
                <w:rFonts w:cs="Arial"/>
                <w:color w:val="000000"/>
                <w:lang w:eastAsia="en-GB"/>
              </w:rPr>
              <w:t xml:space="preserve">            3,520,558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0AAE" w14:textId="13B38F81" w:rsidR="00D3161B" w:rsidRPr="00D3161B" w:rsidRDefault="00D3161B" w:rsidP="00D3161B">
            <w:pPr>
              <w:jc w:val="right"/>
              <w:rPr>
                <w:rFonts w:cs="Arial"/>
                <w:color w:val="000000"/>
                <w:lang w:eastAsia="en-GB"/>
              </w:rPr>
            </w:pPr>
            <w:r w:rsidRPr="00D3161B">
              <w:rPr>
                <w:rFonts w:cs="Arial"/>
                <w:color w:val="000000"/>
                <w:lang w:eastAsia="en-GB"/>
              </w:rPr>
              <w:t xml:space="preserve">         2,363,158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AF0B" w14:textId="70EE051A" w:rsidR="00D3161B" w:rsidRPr="00D3161B" w:rsidRDefault="00D3161B" w:rsidP="00D3161B">
            <w:pPr>
              <w:jc w:val="right"/>
              <w:rPr>
                <w:rFonts w:cs="Arial"/>
                <w:color w:val="000000"/>
                <w:lang w:eastAsia="en-GB"/>
              </w:rPr>
            </w:pPr>
            <w:r w:rsidRPr="00D3161B">
              <w:rPr>
                <w:rFonts w:cs="Arial"/>
                <w:color w:val="000000"/>
                <w:lang w:eastAsia="en-GB"/>
              </w:rPr>
              <w:t xml:space="preserve">         1,205,758 </w:t>
            </w:r>
          </w:p>
        </w:tc>
      </w:tr>
      <w:tr w:rsidR="00D3161B" w:rsidRPr="0059299A" w14:paraId="3B009F4C" w14:textId="77777777" w:rsidTr="006C3CFA">
        <w:trPr>
          <w:trHeight w:val="557"/>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1678" w14:textId="77777777" w:rsidR="00D3161B" w:rsidRPr="004C1A6E" w:rsidRDefault="00D3161B" w:rsidP="00D3161B">
            <w:pPr>
              <w:rPr>
                <w:rFonts w:cs="Arial"/>
                <w:color w:val="000000"/>
                <w:lang w:eastAsia="en-GB"/>
              </w:rPr>
            </w:pPr>
            <w:r w:rsidRPr="004C1A6E">
              <w:rPr>
                <w:rFonts w:cs="Arial"/>
                <w:color w:val="000000"/>
                <w:lang w:eastAsia="en-GB"/>
              </w:rPr>
              <w:t>Leafy vegetables</w:t>
            </w:r>
          </w:p>
          <w:p w14:paraId="680DF7C3" w14:textId="3527CDC9" w:rsidR="00D3161B" w:rsidRPr="004C1A6E" w:rsidRDefault="00D3161B" w:rsidP="00D3161B">
            <w:pPr>
              <w:rPr>
                <w:rFonts w:cs="Arial"/>
                <w:color w:val="000000"/>
                <w:lang w:eastAsia="en-GB"/>
              </w:rPr>
            </w:pPr>
            <w:r w:rsidRPr="004C1A6E">
              <w:rPr>
                <w:rFonts w:cs="Arial"/>
                <w:color w:val="000000"/>
                <w:lang w:eastAsia="en-GB"/>
              </w:rPr>
              <w:t>At central efficacy = 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D94A" w14:textId="1013A47D" w:rsidR="00D3161B" w:rsidRPr="00D3161B" w:rsidRDefault="00D3161B" w:rsidP="00D3161B">
            <w:pPr>
              <w:jc w:val="right"/>
              <w:rPr>
                <w:rFonts w:cs="Arial"/>
                <w:color w:val="000000"/>
                <w:lang w:eastAsia="en-GB"/>
              </w:rPr>
            </w:pPr>
            <w:r w:rsidRPr="00D3161B">
              <w:rPr>
                <w:rFonts w:cs="Arial"/>
                <w:color w:val="000000"/>
                <w:lang w:eastAsia="en-GB"/>
              </w:rPr>
              <w:t>17,352,122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E9D7" w14:textId="1C424692" w:rsidR="00D3161B" w:rsidRPr="00D3161B" w:rsidRDefault="00D3161B" w:rsidP="00D3161B">
            <w:pPr>
              <w:jc w:val="right"/>
              <w:rPr>
                <w:rFonts w:cs="Arial"/>
                <w:color w:val="000000"/>
                <w:lang w:eastAsia="en-GB"/>
              </w:rPr>
            </w:pPr>
            <w:r w:rsidRPr="00D3161B">
              <w:rPr>
                <w:rFonts w:cs="Arial"/>
                <w:color w:val="000000"/>
                <w:lang w:eastAsia="en-GB"/>
              </w:rPr>
              <w:t>8,590,339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9D9E" w14:textId="7098D109" w:rsidR="00D3161B" w:rsidRPr="00D3161B" w:rsidRDefault="00D3161B" w:rsidP="00D3161B">
            <w:pPr>
              <w:jc w:val="right"/>
              <w:rPr>
                <w:rFonts w:cs="Arial"/>
                <w:color w:val="000000"/>
                <w:lang w:eastAsia="en-GB"/>
              </w:rPr>
            </w:pPr>
            <w:r w:rsidRPr="00D3161B">
              <w:rPr>
                <w:rFonts w:cs="Arial"/>
                <w:color w:val="000000"/>
                <w:lang w:eastAsia="en-GB"/>
              </w:rPr>
              <w:t>-171,444</w:t>
            </w:r>
          </w:p>
        </w:tc>
      </w:tr>
      <w:tr w:rsidR="00D3161B" w:rsidRPr="0059299A" w14:paraId="3399EB28" w14:textId="77777777" w:rsidTr="006C3CFA">
        <w:trPr>
          <w:trHeight w:val="551"/>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0BD7" w14:textId="77777777" w:rsidR="00D3161B" w:rsidRPr="004C1A6E" w:rsidRDefault="00D3161B" w:rsidP="00D3161B">
            <w:pPr>
              <w:rPr>
                <w:rFonts w:cs="Arial"/>
                <w:color w:val="000000"/>
                <w:lang w:eastAsia="en-GB"/>
              </w:rPr>
            </w:pPr>
            <w:r w:rsidRPr="004C1A6E">
              <w:rPr>
                <w:rFonts w:cs="Arial"/>
                <w:color w:val="000000"/>
                <w:lang w:eastAsia="en-GB"/>
              </w:rPr>
              <w:t>Melons</w:t>
            </w:r>
          </w:p>
          <w:p w14:paraId="4311AD8C" w14:textId="731F9BC1" w:rsidR="00D3161B" w:rsidRPr="004C1A6E" w:rsidRDefault="00D3161B" w:rsidP="00D3161B">
            <w:pPr>
              <w:rPr>
                <w:rFonts w:cs="Arial"/>
                <w:color w:val="000000"/>
                <w:lang w:eastAsia="en-GB"/>
              </w:rPr>
            </w:pPr>
            <w:r w:rsidRPr="004C1A6E">
              <w:rPr>
                <w:rFonts w:cs="Arial"/>
                <w:color w:val="000000"/>
                <w:lang w:eastAsia="en-GB"/>
              </w:rPr>
              <w:t>At central efficacy = 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4BF" w14:textId="38E8AC4F" w:rsidR="00D3161B" w:rsidRPr="00D3161B" w:rsidRDefault="00D3161B" w:rsidP="00D3161B">
            <w:pPr>
              <w:jc w:val="right"/>
              <w:rPr>
                <w:rFonts w:cs="Arial"/>
                <w:color w:val="000000"/>
                <w:lang w:eastAsia="en-GB"/>
              </w:rPr>
            </w:pPr>
            <w:r w:rsidRPr="00D3161B">
              <w:rPr>
                <w:rFonts w:cs="Arial"/>
                <w:color w:val="000000"/>
                <w:lang w:eastAsia="en-GB"/>
              </w:rPr>
              <w:t>9,250,458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B18B" w14:textId="66C4DD3A" w:rsidR="00D3161B" w:rsidRPr="00D3161B" w:rsidRDefault="00D3161B" w:rsidP="00D3161B">
            <w:pPr>
              <w:jc w:val="right"/>
              <w:rPr>
                <w:rFonts w:cs="Arial"/>
                <w:color w:val="000000"/>
                <w:lang w:eastAsia="en-GB"/>
              </w:rPr>
            </w:pPr>
            <w:r w:rsidRPr="00D3161B">
              <w:rPr>
                <w:rFonts w:cs="Arial"/>
                <w:color w:val="000000"/>
                <w:lang w:eastAsia="en-GB"/>
              </w:rPr>
              <w:t>8,586,834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F725" w14:textId="10337811" w:rsidR="00D3161B" w:rsidRPr="00D3161B" w:rsidRDefault="00D3161B" w:rsidP="00D3161B">
            <w:pPr>
              <w:jc w:val="right"/>
              <w:rPr>
                <w:rFonts w:cs="Arial"/>
                <w:color w:val="000000"/>
                <w:lang w:eastAsia="en-GB"/>
              </w:rPr>
            </w:pPr>
            <w:r w:rsidRPr="00D3161B">
              <w:rPr>
                <w:rFonts w:cs="Arial"/>
                <w:color w:val="000000"/>
                <w:lang w:eastAsia="en-GB"/>
              </w:rPr>
              <w:t>7,923,211</w:t>
            </w:r>
          </w:p>
        </w:tc>
      </w:tr>
    </w:tbl>
    <w:p w14:paraId="2B9551B8" w14:textId="77777777" w:rsidR="006C3CFA" w:rsidRDefault="006C3CFA" w:rsidP="006C3CFA">
      <w:pPr>
        <w:autoSpaceDE w:val="0"/>
        <w:autoSpaceDN w:val="0"/>
        <w:adjustRightInd w:val="0"/>
        <w:ind w:right="-144"/>
        <w:rPr>
          <w:rFonts w:cs="Arial"/>
          <w:i/>
          <w:color w:val="000000"/>
          <w:lang w:eastAsia="en-GB"/>
        </w:rPr>
      </w:pPr>
    </w:p>
    <w:p w14:paraId="523BB02B" w14:textId="1D60150C" w:rsidR="006C3CFA" w:rsidRPr="00737007" w:rsidRDefault="006C3CFA" w:rsidP="006C3CFA">
      <w:pPr>
        <w:autoSpaceDE w:val="0"/>
        <w:autoSpaceDN w:val="0"/>
        <w:adjustRightInd w:val="0"/>
        <w:ind w:right="-144"/>
        <w:rPr>
          <w:rFonts w:eastAsia="Calibri"/>
          <w:color w:val="000000" w:themeColor="text1"/>
        </w:rPr>
      </w:pPr>
      <w:r w:rsidRPr="009D2DA6">
        <w:rPr>
          <w:rFonts w:eastAsia="Calibri"/>
          <w:color w:val="000000" w:themeColor="text1"/>
        </w:rPr>
        <w:t xml:space="preserve">Table </w:t>
      </w:r>
      <w:r w:rsidR="00484F84">
        <w:rPr>
          <w:rFonts w:eastAsia="Calibri"/>
          <w:color w:val="000000" w:themeColor="text1"/>
        </w:rPr>
        <w:t>16</w:t>
      </w:r>
      <w:r w:rsidRPr="009D2DA6">
        <w:rPr>
          <w:rFonts w:eastAsia="Calibri"/>
          <w:color w:val="000000" w:themeColor="text1"/>
        </w:rPr>
        <w:t xml:space="preserve"> provides the estimated cost-benefit ratios of implementing option 3 at the central</w:t>
      </w:r>
      <w:r w:rsidRPr="000D290A">
        <w:rPr>
          <w:rFonts w:eastAsia="Calibri"/>
          <w:color w:val="000000" w:themeColor="text1"/>
        </w:rPr>
        <w:t xml:space="preserve"> efficacy range. The CBA also provides</w:t>
      </w:r>
      <w:r>
        <w:rPr>
          <w:rFonts w:eastAsia="Calibri"/>
          <w:color w:val="000000" w:themeColor="text1"/>
        </w:rPr>
        <w:t xml:space="preserve"> the cost-benefit ratios at the worst case efficacy range. </w:t>
      </w:r>
      <w:r w:rsidRPr="000D290A">
        <w:rPr>
          <w:rFonts w:eastAsia="Calibri"/>
          <w:color w:val="000000" w:themeColor="text1"/>
        </w:rPr>
        <w:t xml:space="preserve"> </w:t>
      </w:r>
    </w:p>
    <w:p w14:paraId="56E246D9" w14:textId="77777777" w:rsidR="006C3CFA" w:rsidRDefault="006C3CFA" w:rsidP="006C3CFA">
      <w:pPr>
        <w:widowControl/>
        <w:rPr>
          <w:b/>
          <w:lang w:val="en-AU"/>
        </w:rPr>
      </w:pPr>
      <w:r>
        <w:rPr>
          <w:b/>
          <w:lang w:val="en-AU"/>
        </w:rPr>
        <w:t xml:space="preserve"> </w:t>
      </w:r>
    </w:p>
    <w:p w14:paraId="41C4DBE2" w14:textId="77777777" w:rsidR="006C3CFA" w:rsidRDefault="006C3CFA" w:rsidP="006C3CFA">
      <w:pPr>
        <w:autoSpaceDE w:val="0"/>
        <w:autoSpaceDN w:val="0"/>
        <w:adjustRightInd w:val="0"/>
        <w:ind w:right="-144"/>
        <w:rPr>
          <w:rFonts w:cs="Arial"/>
        </w:rPr>
      </w:pPr>
      <w:r w:rsidRPr="00020579">
        <w:rPr>
          <w:lang w:eastAsia="en-AU"/>
        </w:rPr>
        <w:t>Option 3 provides a cost-effective approach to reduce foodborne illness across all t</w:t>
      </w:r>
      <w:r>
        <w:rPr>
          <w:lang w:eastAsia="en-AU"/>
        </w:rPr>
        <w:t xml:space="preserve">hree horticulture sectors and is expected to </w:t>
      </w:r>
      <w:r w:rsidRPr="00020579">
        <w:rPr>
          <w:rFonts w:cs="Arial"/>
        </w:rPr>
        <w:t>result in the largest net benefit to the community.</w:t>
      </w:r>
    </w:p>
    <w:p w14:paraId="76AA165E" w14:textId="77777777" w:rsidR="00F9748A" w:rsidRDefault="00F9748A" w:rsidP="006C3CFA">
      <w:pPr>
        <w:autoSpaceDE w:val="0"/>
        <w:autoSpaceDN w:val="0"/>
        <w:adjustRightInd w:val="0"/>
        <w:ind w:right="-144"/>
        <w:rPr>
          <w:rFonts w:cs="Arial"/>
        </w:rPr>
      </w:pPr>
    </w:p>
    <w:p w14:paraId="07E9FBB6" w14:textId="13AC3034" w:rsidR="00A84D96" w:rsidRPr="009F14CE" w:rsidRDefault="009D2DA6" w:rsidP="0016093E">
      <w:pPr>
        <w:pStyle w:val="FSTableFigureHeading"/>
        <w:keepNext/>
        <w:rPr>
          <w:lang w:val="en-AU"/>
        </w:rPr>
      </w:pPr>
      <w:r w:rsidRPr="009D2DA6">
        <w:rPr>
          <w:rFonts w:eastAsia="Times New Roman" w:cs="Arial"/>
          <w:i w:val="0"/>
          <w:color w:val="000000"/>
          <w:szCs w:val="24"/>
          <w:lang w:eastAsia="en-GB" w:bidi="en-US"/>
        </w:rPr>
        <w:t>T</w:t>
      </w:r>
      <w:r w:rsidR="007B6524" w:rsidRPr="009D2DA6">
        <w:rPr>
          <w:rFonts w:eastAsia="Times New Roman" w:cs="Arial"/>
          <w:i w:val="0"/>
          <w:color w:val="000000"/>
          <w:szCs w:val="24"/>
          <w:lang w:eastAsia="en-GB" w:bidi="en-US"/>
        </w:rPr>
        <w:t>able</w:t>
      </w:r>
      <w:r w:rsidR="007B6524">
        <w:rPr>
          <w:rFonts w:eastAsia="Times New Roman" w:cs="Arial"/>
          <w:i w:val="0"/>
          <w:color w:val="000000"/>
          <w:szCs w:val="24"/>
          <w:lang w:eastAsia="en-GB" w:bidi="en-US"/>
        </w:rPr>
        <w:t xml:space="preserve"> </w:t>
      </w:r>
      <w:r w:rsidR="00484F84">
        <w:rPr>
          <w:rFonts w:eastAsia="Times New Roman" w:cs="Arial"/>
          <w:bCs/>
          <w:i w:val="0"/>
          <w:color w:val="000000"/>
          <w:szCs w:val="24"/>
          <w:lang w:eastAsia="en-GB" w:bidi="en-US"/>
        </w:rPr>
        <w:t>16</w:t>
      </w:r>
      <w:r w:rsidR="009150A6">
        <w:rPr>
          <w:rFonts w:eastAsia="Times New Roman" w:cs="Arial"/>
          <w:bCs/>
          <w:i w:val="0"/>
          <w:color w:val="000000"/>
          <w:szCs w:val="24"/>
          <w:lang w:eastAsia="en-GB" w:bidi="en-US"/>
        </w:rPr>
        <w:t>.</w:t>
      </w:r>
      <w:r w:rsidR="00384D98" w:rsidRPr="009D2DA6">
        <w:rPr>
          <w:lang w:val="en-AU"/>
        </w:rPr>
        <w:t xml:space="preserve"> </w:t>
      </w:r>
      <w:r w:rsidR="00384D98" w:rsidRPr="009D2DA6">
        <w:rPr>
          <w:rFonts w:eastAsia="Times New Roman" w:cs="Arial"/>
          <w:bCs/>
          <w:i w:val="0"/>
          <w:color w:val="000000"/>
          <w:szCs w:val="24"/>
          <w:lang w:eastAsia="en-GB" w:bidi="en-US"/>
        </w:rPr>
        <w:t>Cost-benefit ratios for implementing option 3</w:t>
      </w:r>
    </w:p>
    <w:tbl>
      <w:tblPr>
        <w:tblStyle w:val="TableGrid5"/>
        <w:tblW w:w="9209" w:type="dxa"/>
        <w:tblLook w:val="04A0" w:firstRow="1" w:lastRow="0" w:firstColumn="1" w:lastColumn="0" w:noHBand="0" w:noVBand="1"/>
      </w:tblPr>
      <w:tblGrid>
        <w:gridCol w:w="3355"/>
        <w:gridCol w:w="5854"/>
      </w:tblGrid>
      <w:tr w:rsidR="000D290A" w:rsidRPr="009F14CE" w14:paraId="2512C032" w14:textId="77777777" w:rsidTr="00251127">
        <w:tc>
          <w:tcPr>
            <w:tcW w:w="3355" w:type="dxa"/>
            <w:shd w:val="clear" w:color="auto" w:fill="8DB3E2" w:themeFill="text2" w:themeFillTint="66"/>
          </w:tcPr>
          <w:p w14:paraId="23F44640" w14:textId="02405AC4" w:rsidR="000D290A" w:rsidRPr="009F14CE" w:rsidRDefault="00251127" w:rsidP="002D301F">
            <w:pPr>
              <w:ind w:right="303"/>
              <w:rPr>
                <w:b/>
              </w:rPr>
            </w:pPr>
            <w:r>
              <w:rPr>
                <w:b/>
              </w:rPr>
              <w:t>Commodity group</w:t>
            </w:r>
          </w:p>
        </w:tc>
        <w:tc>
          <w:tcPr>
            <w:tcW w:w="5854" w:type="dxa"/>
            <w:shd w:val="clear" w:color="auto" w:fill="8DB3E2" w:themeFill="text2" w:themeFillTint="66"/>
          </w:tcPr>
          <w:p w14:paraId="12A75058" w14:textId="2487CE47" w:rsidR="000D290A" w:rsidRPr="00251127" w:rsidRDefault="000D290A" w:rsidP="002D301F">
            <w:pPr>
              <w:rPr>
                <w:b/>
              </w:rPr>
            </w:pPr>
            <w:r w:rsidRPr="00F24F7D">
              <w:rPr>
                <w:b/>
              </w:rPr>
              <w:t xml:space="preserve">Central efficacy </w:t>
            </w:r>
            <w:proofErr w:type="spellStart"/>
            <w:r w:rsidRPr="00F24F7D">
              <w:rPr>
                <w:b/>
              </w:rPr>
              <w:t>range</w:t>
            </w:r>
            <w:r w:rsidRPr="003E24C1">
              <w:rPr>
                <w:b/>
                <w:vertAlign w:val="superscript"/>
              </w:rPr>
              <w:t>a</w:t>
            </w:r>
            <w:proofErr w:type="spellEnd"/>
            <w:r w:rsidR="00251127">
              <w:rPr>
                <w:b/>
              </w:rPr>
              <w:t xml:space="preserve"> </w:t>
            </w:r>
          </w:p>
        </w:tc>
      </w:tr>
      <w:tr w:rsidR="000D290A" w:rsidRPr="009F14CE" w14:paraId="619010C8" w14:textId="77777777" w:rsidTr="00251127">
        <w:tc>
          <w:tcPr>
            <w:tcW w:w="3355" w:type="dxa"/>
            <w:shd w:val="clear" w:color="auto" w:fill="auto"/>
          </w:tcPr>
          <w:p w14:paraId="5B63F2B0" w14:textId="77777777" w:rsidR="000D290A" w:rsidRPr="00AE259D" w:rsidRDefault="000D290A" w:rsidP="002D301F">
            <w:pPr>
              <w:ind w:right="303"/>
            </w:pPr>
            <w:r w:rsidRPr="00AE259D">
              <w:t>Berries</w:t>
            </w:r>
          </w:p>
          <w:p w14:paraId="24623071" w14:textId="495BD952" w:rsidR="000D290A" w:rsidRPr="00AE259D" w:rsidRDefault="000D290A" w:rsidP="002D301F">
            <w:pPr>
              <w:ind w:right="303"/>
            </w:pPr>
            <w:r w:rsidRPr="00AE259D">
              <w:t>Harvest</w:t>
            </w:r>
            <w:r w:rsidR="00D22C6A">
              <w:t xml:space="preserve"> and packing season assumed as 21</w:t>
            </w:r>
            <w:r w:rsidRPr="00AE259D">
              <w:t>0 days a year</w:t>
            </w:r>
            <w:r w:rsidR="00BB7061" w:rsidRPr="00AE259D">
              <w:t>.</w:t>
            </w:r>
          </w:p>
        </w:tc>
        <w:tc>
          <w:tcPr>
            <w:tcW w:w="5854" w:type="dxa"/>
            <w:shd w:val="clear" w:color="auto" w:fill="auto"/>
          </w:tcPr>
          <w:p w14:paraId="12E31A44" w14:textId="7F106EE9" w:rsidR="00F21664" w:rsidRPr="0059299A" w:rsidRDefault="00F21664" w:rsidP="00F21664">
            <w:r>
              <w:t xml:space="preserve">Central estimate = </w:t>
            </w:r>
            <w:r w:rsidR="00D22C6A">
              <w:t>$0.</w:t>
            </w:r>
            <w:r>
              <w:t>5</w:t>
            </w:r>
            <w:r w:rsidR="000D290A" w:rsidRPr="009F14CE">
              <w:t xml:space="preserve"> Costs to $1 </w:t>
            </w:r>
            <w:r w:rsidR="000D290A">
              <w:t>b</w:t>
            </w:r>
            <w:r w:rsidR="000D290A" w:rsidRPr="00F24F7D">
              <w:t>enefit</w:t>
            </w:r>
            <w:r w:rsidR="00BB7061">
              <w:t>.</w:t>
            </w:r>
          </w:p>
          <w:p w14:paraId="66FFA61B" w14:textId="253CAD0D" w:rsidR="00F21664" w:rsidRDefault="00F21664" w:rsidP="002D301F"/>
          <w:p w14:paraId="65E9251B" w14:textId="0C68F271" w:rsidR="000D290A" w:rsidRPr="00F24F7D" w:rsidRDefault="00F21664" w:rsidP="002D301F">
            <w:pPr>
              <w:rPr>
                <w:highlight w:val="yellow"/>
              </w:rPr>
            </w:pPr>
            <w:r>
              <w:t xml:space="preserve">Range = </w:t>
            </w:r>
            <w:r w:rsidR="00D3161B">
              <w:t>$0.2 to $0.7</w:t>
            </w:r>
            <w:r w:rsidR="000D290A" w:rsidRPr="00F24F7D">
              <w:t xml:space="preserve"> </w:t>
            </w:r>
            <w:r w:rsidR="000D290A" w:rsidRPr="009F14CE">
              <w:t xml:space="preserve">Costs to $1 </w:t>
            </w:r>
            <w:r w:rsidR="000D290A">
              <w:t>b</w:t>
            </w:r>
            <w:r w:rsidR="000D290A" w:rsidRPr="00F24F7D">
              <w:t>enefit</w:t>
            </w:r>
            <w:r w:rsidR="00BB7061">
              <w:t>.</w:t>
            </w:r>
            <w:r w:rsidR="000D290A" w:rsidRPr="00F24F7D">
              <w:t xml:space="preserve">  </w:t>
            </w:r>
          </w:p>
          <w:p w14:paraId="525905B8" w14:textId="77777777" w:rsidR="007410E8" w:rsidRDefault="007410E8" w:rsidP="002D301F"/>
          <w:p w14:paraId="367158C1" w14:textId="5C54F3BC" w:rsidR="000D290A" w:rsidRPr="009F14CE" w:rsidRDefault="000D290A" w:rsidP="002D301F">
            <w:r w:rsidRPr="009F14CE">
              <w:t xml:space="preserve">Assumed </w:t>
            </w:r>
            <w:r>
              <w:t>e</w:t>
            </w:r>
            <w:r w:rsidRPr="00F24F7D">
              <w:t>fficacy</w:t>
            </w:r>
            <w:r w:rsidRPr="009F14CE">
              <w:t xml:space="preserve"> = </w:t>
            </w:r>
            <w:r w:rsidRPr="00F24F7D">
              <w:t>15%</w:t>
            </w:r>
            <w:r w:rsidR="00BB7061">
              <w:t>.</w:t>
            </w:r>
          </w:p>
        </w:tc>
      </w:tr>
      <w:tr w:rsidR="000D290A" w:rsidRPr="00F24F7D" w14:paraId="5632054A" w14:textId="77777777" w:rsidTr="00251127">
        <w:tc>
          <w:tcPr>
            <w:tcW w:w="3355" w:type="dxa"/>
            <w:shd w:val="clear" w:color="auto" w:fill="auto"/>
          </w:tcPr>
          <w:p w14:paraId="6EE0ADBB" w14:textId="77777777" w:rsidR="000D290A" w:rsidRPr="00AE259D" w:rsidRDefault="000D290A" w:rsidP="002D301F">
            <w:pPr>
              <w:ind w:right="303"/>
            </w:pPr>
            <w:r w:rsidRPr="00AE259D">
              <w:t>Leafy vegetables</w:t>
            </w:r>
          </w:p>
          <w:p w14:paraId="3C75E069" w14:textId="600E1461" w:rsidR="000D290A" w:rsidRPr="00AE259D" w:rsidRDefault="000D290A" w:rsidP="002D301F">
            <w:pPr>
              <w:ind w:right="303"/>
            </w:pPr>
            <w:r w:rsidRPr="00AE259D">
              <w:t>Almost all-year round harvest and packing season assumed of 310 days a year</w:t>
            </w:r>
            <w:r w:rsidR="00BB7061" w:rsidRPr="00AE259D">
              <w:t>.</w:t>
            </w:r>
            <w:r w:rsidRPr="00AE259D">
              <w:t xml:space="preserve"> </w:t>
            </w:r>
          </w:p>
        </w:tc>
        <w:tc>
          <w:tcPr>
            <w:tcW w:w="5854" w:type="dxa"/>
            <w:shd w:val="clear" w:color="auto" w:fill="auto"/>
          </w:tcPr>
          <w:p w14:paraId="535497E5" w14:textId="21EC62B3" w:rsidR="00F21664" w:rsidRPr="0059299A" w:rsidRDefault="00D3161B" w:rsidP="00F21664">
            <w:r>
              <w:t>Central estimate = $0.7</w:t>
            </w:r>
            <w:r w:rsidR="000D290A" w:rsidRPr="0059299A">
              <w:t xml:space="preserve"> Costs to $1 benefit</w:t>
            </w:r>
            <w:r w:rsidR="00BB7061">
              <w:t>.</w:t>
            </w:r>
          </w:p>
          <w:p w14:paraId="6D7C3714" w14:textId="174370FA" w:rsidR="00F21664" w:rsidRDefault="00F21664" w:rsidP="002D301F"/>
          <w:p w14:paraId="397DC6E5" w14:textId="437F7838" w:rsidR="004A6176" w:rsidRDefault="00F21664" w:rsidP="002D301F">
            <w:r>
              <w:t xml:space="preserve">Range = </w:t>
            </w:r>
            <w:r w:rsidR="00D22C6A">
              <w:t>$0.</w:t>
            </w:r>
            <w:r w:rsidR="00D3161B">
              <w:t>3</w:t>
            </w:r>
            <w:r w:rsidR="00D22C6A">
              <w:t xml:space="preserve"> to $1.</w:t>
            </w:r>
            <w:r w:rsidR="00D3161B">
              <w:t>0</w:t>
            </w:r>
            <w:r>
              <w:t xml:space="preserve"> </w:t>
            </w:r>
            <w:r w:rsidR="000D290A" w:rsidRPr="0059299A">
              <w:t>Costs to $1 benefit</w:t>
            </w:r>
            <w:r w:rsidR="00BB7061">
              <w:t>.</w:t>
            </w:r>
          </w:p>
          <w:p w14:paraId="5EA1C116" w14:textId="77777777" w:rsidR="007410E8" w:rsidRDefault="007410E8" w:rsidP="002D301F"/>
          <w:p w14:paraId="5457EF0F" w14:textId="14B3509E" w:rsidR="000D290A" w:rsidRDefault="00E9536D" w:rsidP="004A6176">
            <w:r>
              <w:t>Assumed efficacy = 40% since</w:t>
            </w:r>
            <w:r w:rsidR="000D290A" w:rsidRPr="0059299A">
              <w:t xml:space="preserve"> large</w:t>
            </w:r>
            <w:r>
              <w:t>r</w:t>
            </w:r>
            <w:r w:rsidR="000D290A" w:rsidRPr="0059299A">
              <w:t xml:space="preserve"> numbers of businesses are not on a food safety scheme</w:t>
            </w:r>
            <w:r w:rsidR="00BB7061">
              <w:t>.</w:t>
            </w:r>
            <w:r w:rsidR="00D22C6A">
              <w:t xml:space="preserve"> </w:t>
            </w:r>
          </w:p>
          <w:p w14:paraId="60B842BB" w14:textId="5F0EC2E7" w:rsidR="000D290A" w:rsidRPr="0059299A" w:rsidRDefault="000D290A" w:rsidP="002D301F"/>
        </w:tc>
      </w:tr>
      <w:tr w:rsidR="000D290A" w:rsidRPr="009F14CE" w14:paraId="3474BA45" w14:textId="77777777" w:rsidTr="00251127">
        <w:tc>
          <w:tcPr>
            <w:tcW w:w="3355" w:type="dxa"/>
            <w:tcBorders>
              <w:bottom w:val="single" w:sz="4" w:space="0" w:color="auto"/>
            </w:tcBorders>
            <w:shd w:val="clear" w:color="auto" w:fill="auto"/>
          </w:tcPr>
          <w:p w14:paraId="5801C3F8" w14:textId="77777777" w:rsidR="000D290A" w:rsidRPr="00AE259D" w:rsidRDefault="000D290A" w:rsidP="002D301F">
            <w:pPr>
              <w:ind w:right="303"/>
            </w:pPr>
            <w:r w:rsidRPr="00AE259D">
              <w:t>Melons</w:t>
            </w:r>
          </w:p>
          <w:p w14:paraId="56C7E3FF" w14:textId="361B4742" w:rsidR="000D290A" w:rsidRPr="00AE259D" w:rsidRDefault="000D290A" w:rsidP="002D301F">
            <w:pPr>
              <w:ind w:right="303"/>
            </w:pPr>
            <w:r w:rsidRPr="00AE259D">
              <w:t>Harvest and packing season assumed as 60 days a year</w:t>
            </w:r>
            <w:r w:rsidR="00BB7061" w:rsidRPr="00AE259D">
              <w:t>.</w:t>
            </w:r>
          </w:p>
        </w:tc>
        <w:tc>
          <w:tcPr>
            <w:tcW w:w="5854" w:type="dxa"/>
            <w:tcBorders>
              <w:bottom w:val="single" w:sz="4" w:space="0" w:color="auto"/>
            </w:tcBorders>
            <w:shd w:val="clear" w:color="auto" w:fill="auto"/>
          </w:tcPr>
          <w:p w14:paraId="5E8AE156" w14:textId="44FB2172" w:rsidR="00F21664" w:rsidRPr="0059299A" w:rsidRDefault="00F21664" w:rsidP="00F21664">
            <w:r>
              <w:t>Central estimate =</w:t>
            </w:r>
            <w:r w:rsidR="00D3161B">
              <w:t xml:space="preserve"> $0.1</w:t>
            </w:r>
            <w:r w:rsidR="000D290A" w:rsidRPr="0059299A">
              <w:t xml:space="preserve"> </w:t>
            </w:r>
            <w:r w:rsidRPr="0059299A">
              <w:t>Costs to $1 benefit</w:t>
            </w:r>
            <w:r>
              <w:t>.</w:t>
            </w:r>
          </w:p>
          <w:p w14:paraId="582C18F4" w14:textId="75B7A57E" w:rsidR="00F21664" w:rsidRDefault="00F21664" w:rsidP="002D301F"/>
          <w:p w14:paraId="4D82A4D9" w14:textId="1D18297E" w:rsidR="000D290A" w:rsidRPr="0059299A" w:rsidRDefault="00F21664" w:rsidP="002D301F">
            <w:r>
              <w:t xml:space="preserve">Range = </w:t>
            </w:r>
            <w:r w:rsidR="00D22C6A">
              <w:t>$0.1 to $0.2</w:t>
            </w:r>
            <w:r w:rsidR="000D290A" w:rsidRPr="0059299A">
              <w:t xml:space="preserve"> Costs to $1 benefit</w:t>
            </w:r>
            <w:r w:rsidR="00BB7061">
              <w:t>.</w:t>
            </w:r>
            <w:r w:rsidR="000D290A" w:rsidRPr="0059299A">
              <w:t xml:space="preserve">  </w:t>
            </w:r>
          </w:p>
          <w:p w14:paraId="7C91D726" w14:textId="77777777" w:rsidR="007410E8" w:rsidRDefault="007410E8" w:rsidP="002D301F"/>
          <w:p w14:paraId="41FA0078" w14:textId="022ED2F8" w:rsidR="000D290A" w:rsidRPr="0059299A" w:rsidRDefault="000D290A" w:rsidP="002D301F">
            <w:r w:rsidRPr="0059299A">
              <w:t>Assumed efficacy = 20%</w:t>
            </w:r>
            <w:r w:rsidR="00BB7061">
              <w:t>.</w:t>
            </w:r>
          </w:p>
        </w:tc>
      </w:tr>
      <w:tr w:rsidR="000D290A" w:rsidRPr="009F14CE" w14:paraId="3DD8FA8C" w14:textId="77777777" w:rsidTr="008972C9">
        <w:tc>
          <w:tcPr>
            <w:tcW w:w="9209" w:type="dxa"/>
            <w:gridSpan w:val="2"/>
            <w:tcBorders>
              <w:left w:val="nil"/>
              <w:bottom w:val="nil"/>
              <w:right w:val="nil"/>
            </w:tcBorders>
            <w:shd w:val="clear" w:color="auto" w:fill="auto"/>
          </w:tcPr>
          <w:p w14:paraId="40F6243C" w14:textId="35BD3977" w:rsidR="000D290A" w:rsidRPr="00FD3EDB" w:rsidRDefault="000D290A" w:rsidP="00FD3EDB">
            <w:pPr>
              <w:rPr>
                <w:sz w:val="20"/>
              </w:rPr>
            </w:pPr>
            <w:r w:rsidRPr="00960374">
              <w:rPr>
                <w:sz w:val="20"/>
              </w:rPr>
              <w:t>a. Based on the central prediction of effectiveness (efficacy) of option 3 to reduce Australian annual foodborne illnesses originating in the growing, harvesting or initial processing of each commodity. Central business costs +/-50%</w:t>
            </w:r>
            <w:r w:rsidR="00BB7061">
              <w:rPr>
                <w:sz w:val="20"/>
              </w:rPr>
              <w:t>.</w:t>
            </w:r>
          </w:p>
        </w:tc>
      </w:tr>
    </w:tbl>
    <w:p w14:paraId="3B2C60F0" w14:textId="2598BB85" w:rsidR="00F55798" w:rsidRPr="00D43F48" w:rsidRDefault="00CB47EA" w:rsidP="00F611C6">
      <w:pPr>
        <w:pStyle w:val="Heading2"/>
        <w:rPr>
          <w:lang w:val="en-AU"/>
        </w:rPr>
      </w:pPr>
      <w:bookmarkStart w:id="614" w:name="_Toc85635336"/>
      <w:bookmarkStart w:id="615" w:name="_Toc97643892"/>
      <w:bookmarkStart w:id="616" w:name="_Toc97653277"/>
      <w:bookmarkStart w:id="617" w:name="_Toc97739428"/>
      <w:bookmarkStart w:id="618" w:name="_Toc97823845"/>
      <w:bookmarkStart w:id="619" w:name="_Toc97824009"/>
      <w:r>
        <w:rPr>
          <w:lang w:val="en-AU"/>
        </w:rPr>
        <w:t>8.6</w:t>
      </w:r>
      <w:r>
        <w:rPr>
          <w:lang w:val="en-AU"/>
        </w:rPr>
        <w:tab/>
      </w:r>
      <w:r w:rsidR="006C042B" w:rsidRPr="00D43F48">
        <w:rPr>
          <w:lang w:val="en-AU"/>
        </w:rPr>
        <w:t xml:space="preserve">Option 4 - </w:t>
      </w:r>
      <w:r w:rsidR="000C36E3" w:rsidRPr="00D43F48">
        <w:rPr>
          <w:lang w:val="en-AU"/>
        </w:rPr>
        <w:t>N</w:t>
      </w:r>
      <w:r w:rsidR="00900391" w:rsidRPr="00D43F48">
        <w:rPr>
          <w:lang w:val="en-AU"/>
        </w:rPr>
        <w:t>on-regulatory measures</w:t>
      </w:r>
      <w:r w:rsidR="000C36E3" w:rsidRPr="00D43F48">
        <w:rPr>
          <w:lang w:val="en-AU"/>
        </w:rPr>
        <w:t xml:space="preserve"> (standalone)</w:t>
      </w:r>
      <w:bookmarkEnd w:id="614"/>
      <w:bookmarkEnd w:id="615"/>
      <w:bookmarkEnd w:id="616"/>
      <w:bookmarkEnd w:id="617"/>
      <w:bookmarkEnd w:id="618"/>
      <w:bookmarkEnd w:id="619"/>
    </w:p>
    <w:p w14:paraId="3F70AC0A" w14:textId="46FCDD74" w:rsidR="00F55798" w:rsidRPr="00F55798" w:rsidRDefault="00F55798" w:rsidP="00F55798">
      <w:r>
        <w:t xml:space="preserve">The Office of Best Practice Regulation (OBPR) </w:t>
      </w:r>
      <w:r w:rsidR="00FC7B5D">
        <w:t>reference</w:t>
      </w:r>
      <w:r>
        <w:t xml:space="preserve"> document ‘</w:t>
      </w:r>
      <w:hyperlink r:id="rId46" w:history="1">
        <w:r w:rsidRPr="00A551D8">
          <w:rPr>
            <w:rStyle w:val="Hyperlink"/>
            <w:i/>
            <w:lang w:val="en-AU"/>
          </w:rPr>
          <w:t>Regulatory Impact Analysis Guide for Ministers’ Meetings and National Standard Setting Bodies</w:t>
        </w:r>
      </w:hyperlink>
      <w:r w:rsidRPr="00A551D8">
        <w:rPr>
          <w:lang w:val="en-AU"/>
        </w:rPr>
        <w:t>,</w:t>
      </w:r>
      <w:r w:rsidR="00FC7B5D">
        <w:rPr>
          <w:lang w:val="en-AU"/>
        </w:rPr>
        <w:t xml:space="preserve"> includes the following guidance</w:t>
      </w:r>
      <w:r w:rsidR="00CB47EA">
        <w:rPr>
          <w:lang w:val="en-AU"/>
        </w:rPr>
        <w:t xml:space="preserve"> on self-regulation</w:t>
      </w:r>
      <w:r w:rsidR="00FC7B5D">
        <w:rPr>
          <w:lang w:val="en-AU"/>
        </w:rPr>
        <w:t>.</w:t>
      </w:r>
    </w:p>
    <w:p w14:paraId="7B2C25F9" w14:textId="08733CC3" w:rsidR="00F55798" w:rsidRPr="00A67A7A" w:rsidRDefault="00F55798" w:rsidP="00251127">
      <w:pPr>
        <w:pStyle w:val="BodyText"/>
        <w:keepNext/>
        <w:ind w:left="240" w:right="430"/>
        <w:rPr>
          <w:b/>
          <w:i/>
        </w:rPr>
      </w:pPr>
      <w:r w:rsidRPr="00A67A7A">
        <w:rPr>
          <w:b/>
          <w:i/>
        </w:rPr>
        <w:t>Self-regulation</w:t>
      </w:r>
    </w:p>
    <w:p w14:paraId="67B9B119" w14:textId="77777777" w:rsidR="00F55798" w:rsidRPr="00F55798" w:rsidRDefault="00F55798" w:rsidP="00251127">
      <w:pPr>
        <w:pStyle w:val="BodyText"/>
        <w:ind w:left="240" w:right="430"/>
        <w:rPr>
          <w:i/>
        </w:rPr>
      </w:pPr>
      <w:r w:rsidRPr="00F55798">
        <w:rPr>
          <w:i/>
        </w:rPr>
        <w:t>Self-regulation may consist of industry-written rules and codes of conduct enforced by the industry itself. Where industry participants understand and appreciate the need for self-regulation, this can be a good option.</w:t>
      </w:r>
    </w:p>
    <w:p w14:paraId="59CBFECC" w14:textId="77777777" w:rsidR="00F55798" w:rsidRPr="00F55798" w:rsidRDefault="00F55798" w:rsidP="00251127">
      <w:pPr>
        <w:pStyle w:val="BodyText"/>
        <w:ind w:left="240" w:right="430"/>
        <w:rPr>
          <w:i/>
        </w:rPr>
      </w:pPr>
      <w:r w:rsidRPr="00F55798">
        <w:rPr>
          <w:i/>
        </w:rPr>
        <w:lastRenderedPageBreak/>
        <w:t>Any red tape resulting from self-regulation is usually minimal and often administered sympathetically by the industry. Self-regulation is a good option where the consequences of market failure are low and the market is likely to move towards an optimal outcome by itself.</w:t>
      </w:r>
    </w:p>
    <w:p w14:paraId="00B95985" w14:textId="22E58AA7" w:rsidR="00FC7B5D" w:rsidRPr="00FC7B5D" w:rsidRDefault="00F55798" w:rsidP="00251127">
      <w:pPr>
        <w:pStyle w:val="BodyText"/>
        <w:ind w:left="240" w:right="430"/>
        <w:rPr>
          <w:i/>
        </w:rPr>
      </w:pPr>
      <w:r w:rsidRPr="00F55798">
        <w:rPr>
          <w:i/>
        </w:rPr>
        <w:t>Self-regulation is not a viable option if an industry has no incentive to comply with its own rules. In some cases, self-regulation may create public concern, where, for example, perceived conflicts of interest could threaten safety, such as in food-handling, healthcare or aviation. Self-regulation should be approached carefully where previous attempts to achieve compliance or penal</w:t>
      </w:r>
      <w:r w:rsidR="00FC7B5D">
        <w:rPr>
          <w:i/>
        </w:rPr>
        <w:t>ise non-compliance have failed.</w:t>
      </w:r>
    </w:p>
    <w:p w14:paraId="66903D93" w14:textId="77777777" w:rsidR="00FD3EDB" w:rsidRDefault="00FD3EDB" w:rsidP="00F55798">
      <w:pPr>
        <w:pStyle w:val="FSBullet"/>
        <w:numPr>
          <w:ilvl w:val="0"/>
          <w:numId w:val="0"/>
        </w:numPr>
        <w:rPr>
          <w:szCs w:val="24"/>
          <w:lang w:bidi="en-US"/>
        </w:rPr>
      </w:pPr>
    </w:p>
    <w:p w14:paraId="65645DDE" w14:textId="7F107969" w:rsidR="00F55798" w:rsidRPr="00F55798" w:rsidRDefault="00F55798" w:rsidP="00F55798">
      <w:pPr>
        <w:pStyle w:val="FSBullet"/>
        <w:numPr>
          <w:ilvl w:val="0"/>
          <w:numId w:val="0"/>
        </w:numPr>
        <w:rPr>
          <w:szCs w:val="24"/>
          <w:lang w:bidi="en-US"/>
        </w:rPr>
      </w:pPr>
      <w:r w:rsidRPr="00F55798">
        <w:rPr>
          <w:szCs w:val="24"/>
          <w:lang w:bidi="en-US"/>
        </w:rPr>
        <w:t>FSANZ assessed option 4 against the</w:t>
      </w:r>
      <w:r w:rsidR="007A5171">
        <w:rPr>
          <w:szCs w:val="24"/>
          <w:lang w:bidi="en-US"/>
        </w:rPr>
        <w:t xml:space="preserve"> above criteria and came to the</w:t>
      </w:r>
      <w:r w:rsidRPr="00F55798">
        <w:rPr>
          <w:szCs w:val="24"/>
          <w:lang w:bidi="en-US"/>
        </w:rPr>
        <w:t xml:space="preserve"> conclusion that self-regulation alone </w:t>
      </w:r>
      <w:r w:rsidR="00FC7B5D" w:rsidRPr="00602919">
        <w:rPr>
          <w:lang w:val="en-AU"/>
        </w:rPr>
        <w:t>does not align with government guidel</w:t>
      </w:r>
      <w:r w:rsidR="00FC7B5D">
        <w:rPr>
          <w:lang w:val="en-AU"/>
        </w:rPr>
        <w:t xml:space="preserve">ines and </w:t>
      </w:r>
      <w:r w:rsidRPr="00F55798">
        <w:rPr>
          <w:szCs w:val="24"/>
          <w:lang w:bidi="en-US"/>
        </w:rPr>
        <w:t xml:space="preserve">would not provide appropriate food safety management. </w:t>
      </w:r>
    </w:p>
    <w:p w14:paraId="567201B6" w14:textId="77777777" w:rsidR="00F55798" w:rsidRPr="00F55798" w:rsidRDefault="00F55798" w:rsidP="00F55798">
      <w:pPr>
        <w:pStyle w:val="FSBullet"/>
        <w:numPr>
          <w:ilvl w:val="0"/>
          <w:numId w:val="0"/>
        </w:numPr>
        <w:rPr>
          <w:szCs w:val="24"/>
          <w:lang w:bidi="en-US"/>
        </w:rPr>
      </w:pPr>
    </w:p>
    <w:p w14:paraId="6EB88AD1" w14:textId="226D849B" w:rsidR="00F55798" w:rsidRDefault="00F55798" w:rsidP="00F55798">
      <w:r>
        <w:t xml:space="preserve">Self-regulation is recommended where the consequences of market failure </w:t>
      </w:r>
      <w:r w:rsidR="00394CF1">
        <w:t>are low risk. Outbreaks of food</w:t>
      </w:r>
      <w:r>
        <w:t>borne disease have resulted in illness and deaths, wh</w:t>
      </w:r>
      <w:r w:rsidR="00383A6A">
        <w:t>ich cannot be considered as low-</w:t>
      </w:r>
      <w:r>
        <w:t>risk consequences.</w:t>
      </w:r>
    </w:p>
    <w:p w14:paraId="38B25CC0" w14:textId="77777777" w:rsidR="00F55798" w:rsidRDefault="00F55798" w:rsidP="00F55798"/>
    <w:p w14:paraId="2D9D1016" w14:textId="4751456C" w:rsidR="00F55798" w:rsidRPr="000B1CB1" w:rsidRDefault="00F55798" w:rsidP="00F55798">
      <w:r>
        <w:t>FSANZ acknowledges that many industry bodies are working hard to optimise food safety outcomes through self-regulation, including the requirements of major retailers. FSANZ acknowledges the horticulture industries’ continued</w:t>
      </w:r>
      <w:r w:rsidRPr="009957E2">
        <w:t xml:space="preserve"> invest</w:t>
      </w:r>
      <w:r>
        <w:t>ment in self</w:t>
      </w:r>
      <w:r w:rsidRPr="009957E2">
        <w:t>-regulatory activities</w:t>
      </w:r>
      <w:r>
        <w:t xml:space="preserve"> and the ongoing role they play in improving food safety</w:t>
      </w:r>
      <w:r w:rsidR="00394CF1">
        <w:t xml:space="preserve"> (see section 6.4).</w:t>
      </w:r>
    </w:p>
    <w:p w14:paraId="7D7EE9C4" w14:textId="77777777" w:rsidR="00F55798" w:rsidRDefault="00F55798" w:rsidP="00F55798"/>
    <w:p w14:paraId="08DAF2E0" w14:textId="166C08E4" w:rsidR="00F55798" w:rsidRPr="00BF546A" w:rsidRDefault="00F55798" w:rsidP="00F55798">
      <w:r>
        <w:t>However</w:t>
      </w:r>
      <w:r w:rsidR="00394CF1">
        <w:t>,</w:t>
      </w:r>
      <w:r>
        <w:t xml:space="preserve"> there is no industry-wide requirement to participate in these food safety measures or any schemes. </w:t>
      </w:r>
      <w:r w:rsidRPr="00C345BC">
        <w:t>B</w:t>
      </w:r>
      <w:r>
        <w:t>usinesses</w:t>
      </w:r>
      <w:r w:rsidRPr="00C345BC">
        <w:t xml:space="preserve"> </w:t>
      </w:r>
      <w:r>
        <w:t xml:space="preserve">not covered by </w:t>
      </w:r>
      <w:r w:rsidR="009A579C">
        <w:t xml:space="preserve">a </w:t>
      </w:r>
      <w:r>
        <w:t>FSS</w:t>
      </w:r>
      <w:r w:rsidRPr="00C345BC">
        <w:t xml:space="preserve"> are often not members of </w:t>
      </w:r>
      <w:r>
        <w:t xml:space="preserve">any </w:t>
      </w:r>
      <w:r w:rsidRPr="00C345BC">
        <w:t>industry</w:t>
      </w:r>
      <w:r>
        <w:t xml:space="preserve"> organisations, and </w:t>
      </w:r>
      <w:r w:rsidR="00394CF1">
        <w:t>have</w:t>
      </w:r>
      <w:r>
        <w:t xml:space="preserve"> highly varied</w:t>
      </w:r>
      <w:r w:rsidRPr="00C345BC">
        <w:t xml:space="preserve"> language</w:t>
      </w:r>
      <w:r>
        <w:t>,</w:t>
      </w:r>
      <w:r w:rsidRPr="00C345BC">
        <w:t xml:space="preserve"> </w:t>
      </w:r>
      <w:r w:rsidRPr="00FD4678">
        <w:t>back</w:t>
      </w:r>
      <w:r>
        <w:t xml:space="preserve">ground, literacy, education, </w:t>
      </w:r>
      <w:r w:rsidRPr="00FD4678">
        <w:t>knowledge and motivation in terms of food safety. There is no indication that self-regulation can work for busi</w:t>
      </w:r>
      <w:r>
        <w:t xml:space="preserve">nesses that currently sit outside the self-regulation framework. There are </w:t>
      </w:r>
      <w:r w:rsidRPr="00FD4678">
        <w:t xml:space="preserve">insufficient incentives </w:t>
      </w:r>
      <w:r>
        <w:t>for these businesses to become involved in formal schemes and no sanctions for not becoming</w:t>
      </w:r>
      <w:r w:rsidRPr="00FD4678">
        <w:t xml:space="preserve"> </w:t>
      </w:r>
      <w:r w:rsidRPr="00BF546A">
        <w:t>involved.</w:t>
      </w:r>
    </w:p>
    <w:p w14:paraId="52A439CA" w14:textId="77777777" w:rsidR="00F55798" w:rsidRDefault="00F55798" w:rsidP="00F55798"/>
    <w:p w14:paraId="0149DFFD" w14:textId="6AC2B306" w:rsidR="00F55798" w:rsidRPr="00EF44F6" w:rsidRDefault="00F55798" w:rsidP="00F55798">
      <w:r w:rsidRPr="00F55798">
        <w:t xml:space="preserve">FSANZ also notes that foodborne illness outbreaks involving horticultural produce have occurred in businesses with a FSS in place. This suggests that non-regulatory measures alone may not be the most effective </w:t>
      </w:r>
      <w:r w:rsidR="00394CF1">
        <w:t>way</w:t>
      </w:r>
      <w:r w:rsidRPr="00F55798">
        <w:t xml:space="preserve"> to address food safety risk</w:t>
      </w:r>
      <w:r w:rsidR="00394CF1">
        <w:t>s</w:t>
      </w:r>
      <w:r w:rsidRPr="00F55798">
        <w:t>.</w:t>
      </w:r>
    </w:p>
    <w:p w14:paraId="0A22AC14" w14:textId="77777777" w:rsidR="00F55798" w:rsidRPr="004135E2" w:rsidRDefault="00F55798" w:rsidP="00F55798"/>
    <w:p w14:paraId="6582C112" w14:textId="3A4CDD9A" w:rsidR="00C67665" w:rsidRDefault="00F55798" w:rsidP="00BD4268">
      <w:r w:rsidRPr="00F55798">
        <w:t>The OBPR has specifically provided the example of ‘food handling’ as an activity where self-regulation may create public concern due to the perception that conflicts of interest could threaten safety. Self-regulation should be considered cautiously in the food safety space.</w:t>
      </w:r>
    </w:p>
    <w:p w14:paraId="31DE3630" w14:textId="13C5430A" w:rsidR="00FC7B5D" w:rsidRDefault="00FC7B5D" w:rsidP="00BD4268"/>
    <w:p w14:paraId="410CBDF7" w14:textId="0A6783DE" w:rsidR="00B7576D" w:rsidRDefault="00FC7B5D" w:rsidP="00FD3EDB">
      <w:pPr>
        <w:pStyle w:val="Header"/>
      </w:pPr>
      <w:r w:rsidRPr="00602919">
        <w:rPr>
          <w:lang w:val="en-AU"/>
        </w:rPr>
        <w:t xml:space="preserve">FSANZ’s conclusion is that non-regulatory measures (in the absence of any regulatory measures) are not our preferred option. </w:t>
      </w:r>
      <w:r>
        <w:rPr>
          <w:lang w:val="en-AU"/>
        </w:rPr>
        <w:t>P</w:t>
      </w:r>
      <w:r w:rsidRPr="00602919">
        <w:rPr>
          <w:lang w:val="en-AU"/>
        </w:rPr>
        <w:t xml:space="preserve">articipation in non-regulated food safety activities </w:t>
      </w:r>
      <w:r>
        <w:rPr>
          <w:lang w:val="en-AU"/>
        </w:rPr>
        <w:t>are</w:t>
      </w:r>
      <w:r w:rsidRPr="00602919">
        <w:rPr>
          <w:lang w:val="en-AU"/>
        </w:rPr>
        <w:t xml:space="preserve"> ‘voluntary’ </w:t>
      </w:r>
      <w:r>
        <w:rPr>
          <w:lang w:val="en-AU"/>
        </w:rPr>
        <w:t>and</w:t>
      </w:r>
      <w:r w:rsidRPr="00602919">
        <w:rPr>
          <w:lang w:val="en-AU"/>
        </w:rPr>
        <w:t xml:space="preserve"> unlikely to result in appropriate food safety management across the entire sector.</w:t>
      </w:r>
      <w:r>
        <w:rPr>
          <w:lang w:val="en-AU"/>
        </w:rPr>
        <w:t xml:space="preserve"> </w:t>
      </w:r>
      <w:r w:rsidRPr="00602919">
        <w:rPr>
          <w:lang w:eastAsia="en-AU"/>
        </w:rPr>
        <w:t>It is assu</w:t>
      </w:r>
      <w:r>
        <w:rPr>
          <w:lang w:eastAsia="en-AU"/>
        </w:rPr>
        <w:t>med that, in the absence of supporting regulation (as outlined in option 3),</w:t>
      </w:r>
      <w:r w:rsidRPr="00602919">
        <w:rPr>
          <w:lang w:eastAsia="en-AU"/>
        </w:rPr>
        <w:t xml:space="preserve"> the </w:t>
      </w:r>
      <w:r>
        <w:rPr>
          <w:lang w:eastAsia="en-AU"/>
        </w:rPr>
        <w:t xml:space="preserve">effects of these </w:t>
      </w:r>
      <w:r w:rsidRPr="00602919">
        <w:rPr>
          <w:lang w:eastAsia="en-AU"/>
        </w:rPr>
        <w:t>n</w:t>
      </w:r>
      <w:r>
        <w:rPr>
          <w:lang w:eastAsia="en-AU"/>
        </w:rPr>
        <w:t xml:space="preserve">on-regulatory tools to reduce food safety </w:t>
      </w:r>
      <w:r w:rsidRPr="00602919">
        <w:rPr>
          <w:lang w:eastAsia="en-AU"/>
        </w:rPr>
        <w:t xml:space="preserve">will be significantly </w:t>
      </w:r>
      <w:r>
        <w:rPr>
          <w:lang w:eastAsia="en-AU"/>
        </w:rPr>
        <w:t>reduced.</w:t>
      </w:r>
      <w:r w:rsidRPr="006A08AF">
        <w:t xml:space="preserve"> </w:t>
      </w:r>
      <w:r>
        <w:t>FSANZ’s position is that non-regulatory activities sho</w:t>
      </w:r>
      <w:r w:rsidR="00FD4381">
        <w:t>uld be supported by regulation.</w:t>
      </w:r>
      <w:r w:rsidR="00B7576D">
        <w:br w:type="page"/>
      </w:r>
    </w:p>
    <w:p w14:paraId="4B6A4F92" w14:textId="113E6F99" w:rsidR="00D70888" w:rsidRPr="00EA3917"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620" w:name="_Toc85635337"/>
      <w:bookmarkStart w:id="621" w:name="_Toc97643893"/>
      <w:bookmarkStart w:id="622" w:name="_Toc97653278"/>
      <w:bookmarkStart w:id="623" w:name="_Toc97739429"/>
      <w:bookmarkStart w:id="624" w:name="_Toc97823846"/>
      <w:bookmarkStart w:id="625" w:name="_Toc97824010"/>
      <w:r>
        <w:rPr>
          <w:rFonts w:ascii="Arial Bold" w:eastAsiaTheme="majorEastAsia" w:hAnsi="Arial Bold" w:cstheme="majorBidi"/>
          <w:b w:val="0"/>
          <w:lang w:val="en-AU" w:eastAsia="en-GB"/>
        </w:rPr>
        <w:lastRenderedPageBreak/>
        <w:t xml:space="preserve">9. </w:t>
      </w:r>
      <w:r w:rsidR="00D70888">
        <w:rPr>
          <w:rFonts w:ascii="Arial Bold" w:eastAsiaTheme="majorEastAsia" w:hAnsi="Arial Bold" w:cstheme="majorBidi"/>
          <w:b w:val="0"/>
          <w:lang w:val="en-AU" w:eastAsia="en-GB"/>
        </w:rPr>
        <w:t>Case studies</w:t>
      </w:r>
      <w:bookmarkEnd w:id="620"/>
      <w:bookmarkEnd w:id="621"/>
      <w:bookmarkEnd w:id="622"/>
      <w:bookmarkEnd w:id="623"/>
      <w:bookmarkEnd w:id="624"/>
      <w:bookmarkEnd w:id="625"/>
      <w:r w:rsidR="00D70888">
        <w:rPr>
          <w:rFonts w:ascii="Arial Bold" w:eastAsiaTheme="majorEastAsia" w:hAnsi="Arial Bold" w:cstheme="majorBidi"/>
          <w:b w:val="0"/>
          <w:lang w:val="en-AU" w:eastAsia="en-GB"/>
        </w:rPr>
        <w:t xml:space="preserve"> </w:t>
      </w:r>
    </w:p>
    <w:p w14:paraId="487B83AF" w14:textId="64BDB91A" w:rsidR="00D70888" w:rsidRDefault="00D70888" w:rsidP="00D70888">
      <w:pPr>
        <w:rPr>
          <w:b/>
        </w:rPr>
      </w:pPr>
    </w:p>
    <w:p w14:paraId="45779CC7" w14:textId="0CD1A87D" w:rsidR="00D70888" w:rsidRPr="009D2DA6" w:rsidRDefault="00D70888" w:rsidP="00D70888">
      <w:r w:rsidRPr="009D2DA6">
        <w:t xml:space="preserve">Three case studies are provided to </w:t>
      </w:r>
      <w:r w:rsidR="00AE3F9F">
        <w:t>illustrate</w:t>
      </w:r>
      <w:r w:rsidRPr="009D2DA6">
        <w:t>:</w:t>
      </w:r>
    </w:p>
    <w:p w14:paraId="18C64DB8" w14:textId="3CD2E74D" w:rsidR="00D70888" w:rsidRPr="009D2DA6" w:rsidRDefault="00D70888" w:rsidP="009150A6">
      <w:pPr>
        <w:pStyle w:val="FSBullet1"/>
      </w:pPr>
      <w:r w:rsidRPr="009D2DA6">
        <w:t>the implications of the proposed standards</w:t>
      </w:r>
    </w:p>
    <w:p w14:paraId="0AA05401" w14:textId="4E1BB685" w:rsidR="00D70888" w:rsidRPr="009D2DA6" w:rsidRDefault="00AE3F9F" w:rsidP="009150A6">
      <w:pPr>
        <w:pStyle w:val="FSBullet1"/>
      </w:pPr>
      <w:r>
        <w:t>what changes are</w:t>
      </w:r>
      <w:r w:rsidR="00D70888" w:rsidRPr="009D2DA6">
        <w:t xml:space="preserve"> need</w:t>
      </w:r>
      <w:r>
        <w:t xml:space="preserve">ed for </w:t>
      </w:r>
      <w:r w:rsidR="00D70888" w:rsidRPr="009D2DA6">
        <w:t>business</w:t>
      </w:r>
      <w:r>
        <w:t>es</w:t>
      </w:r>
    </w:p>
    <w:p w14:paraId="55D55498" w14:textId="7797CC59" w:rsidR="00744F3E" w:rsidRDefault="00D70888" w:rsidP="00F00CF6">
      <w:pPr>
        <w:pStyle w:val="FSBullet1"/>
      </w:pPr>
      <w:r w:rsidRPr="009D2DA6">
        <w:t>the likely costs for a range of different business types and sizes.</w:t>
      </w:r>
    </w:p>
    <w:p w14:paraId="44C6468D" w14:textId="77777777" w:rsidR="00F96B94" w:rsidRDefault="00F96B94" w:rsidP="00F00CF6"/>
    <w:p w14:paraId="3D0297E6" w14:textId="53022808" w:rsidR="00F96B94" w:rsidRDefault="00D70888" w:rsidP="00F00CF6">
      <w:r w:rsidRPr="009D2DA6">
        <w:t>Individual cost estimates for a wider range of scenarios are provided and explained in further detail in the CBA.</w:t>
      </w:r>
      <w:r>
        <w:t xml:space="preserve"> </w:t>
      </w:r>
      <w:r w:rsidR="000073C5" w:rsidRPr="00A53736">
        <w:t xml:space="preserve">Jurisdictions will work with industry to </w:t>
      </w:r>
      <w:r w:rsidR="00A53736" w:rsidRPr="00A53736">
        <w:t xml:space="preserve">support uptake of the standards and </w:t>
      </w:r>
      <w:r w:rsidR="000073C5" w:rsidRPr="00A53736">
        <w:t xml:space="preserve">reduce unnecessary </w:t>
      </w:r>
      <w:r w:rsidR="00A53736" w:rsidRPr="00A53736">
        <w:t xml:space="preserve">duplication </w:t>
      </w:r>
      <w:r w:rsidR="00A53736">
        <w:t xml:space="preserve">and administration </w:t>
      </w:r>
      <w:r w:rsidR="00A53736" w:rsidRPr="00A53736">
        <w:t>where appropriate</w:t>
      </w:r>
      <w:r w:rsidR="000073C5" w:rsidRPr="00A53736">
        <w:t>.</w:t>
      </w:r>
      <w:r w:rsidR="000073C5">
        <w:t xml:space="preserve"> </w:t>
      </w:r>
      <w:r w:rsidR="00A53736">
        <w:t xml:space="preserve">Implementation </w:t>
      </w:r>
      <w:r w:rsidR="000073C5">
        <w:t xml:space="preserve">is </w:t>
      </w:r>
      <w:r w:rsidR="00A53736">
        <w:t>the responsibility of state and territory regulators</w:t>
      </w:r>
      <w:r w:rsidR="00F96B94">
        <w:t xml:space="preserve"> and may or may not include licencing, registration and auditing / monitoring requirements included in the case studies below:</w:t>
      </w:r>
    </w:p>
    <w:p w14:paraId="4C72CF23" w14:textId="4D30E4E0" w:rsidR="00B7576D" w:rsidRPr="00B7576D" w:rsidRDefault="00F96B94" w:rsidP="00B7576D">
      <w:r>
        <w:rPr>
          <w:noProof/>
          <w:lang w:eastAsia="en-GB" w:bidi="ar-SA"/>
        </w:rPr>
        <mc:AlternateContent>
          <mc:Choice Requires="wpg">
            <w:drawing>
              <wp:anchor distT="0" distB="0" distL="228600" distR="228600" simplePos="0" relativeHeight="251658242" behindDoc="0" locked="0" layoutInCell="1" allowOverlap="1" wp14:anchorId="34F4791C" wp14:editId="17A106E0">
                <wp:simplePos x="0" y="0"/>
                <wp:positionH relativeFrom="margin">
                  <wp:align>left</wp:align>
                </wp:positionH>
                <wp:positionV relativeFrom="page">
                  <wp:posOffset>3136331</wp:posOffset>
                </wp:positionV>
                <wp:extent cx="6003925" cy="6296627"/>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6003925" cy="6296627"/>
                          <a:chOff x="0" y="-1"/>
                          <a:chExt cx="2580450" cy="5688738"/>
                        </a:xfrm>
                      </wpg:grpSpPr>
                      <wps:wsp>
                        <wps:cNvPr id="4" name="Text Box 4"/>
                        <wps:cNvSpPr txBox="1"/>
                        <wps:spPr>
                          <a:xfrm>
                            <a:off x="190482" y="2"/>
                            <a:ext cx="2389968" cy="568873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E48EA0C" w14:textId="77777777" w:rsidR="009C063E" w:rsidRDefault="009C063E" w:rsidP="00D70888">
                              <w:pPr>
                                <w:rPr>
                                  <w:color w:val="595959" w:themeColor="text1" w:themeTint="A6"/>
                                  <w:sz w:val="20"/>
                                  <w:szCs w:val="20"/>
                                </w:rPr>
                              </w:pPr>
                            </w:p>
                            <w:p w14:paraId="6E47917E" w14:textId="77777777" w:rsidR="009C063E" w:rsidRPr="009D2DA6" w:rsidRDefault="009C063E" w:rsidP="00D70888">
                              <w:r w:rsidRPr="009D2DA6">
                                <w:t xml:space="preserve">Nick owns a small farm growing highbush blueberries in Tasmania. Nick sells his produce to wholesalers at the local markets. His annual aggregated turnover is $60,000 per annum. </w:t>
                              </w:r>
                            </w:p>
                            <w:p w14:paraId="4AA58562" w14:textId="77777777" w:rsidR="009C063E" w:rsidRPr="009D2DA6" w:rsidRDefault="009C063E" w:rsidP="00D70888"/>
                            <w:p w14:paraId="4AFAEF1F" w14:textId="77777777" w:rsidR="009C063E" w:rsidRPr="009D2DA6" w:rsidRDefault="009C063E" w:rsidP="00D70888">
                              <w:r w:rsidRPr="009D2DA6">
                                <w:t>Nick has not signed up to a food safety scheme, but he is committed to food safety. He has already adopted a range of food safety measures on the berry farm, including:</w:t>
                              </w:r>
                            </w:p>
                            <w:p w14:paraId="17B44F08" w14:textId="77777777" w:rsidR="009C063E" w:rsidRDefault="009C063E" w:rsidP="006354B0">
                              <w:pPr>
                                <w:pStyle w:val="ListParagraph"/>
                                <w:widowControl/>
                                <w:numPr>
                                  <w:ilvl w:val="0"/>
                                  <w:numId w:val="27"/>
                                </w:numPr>
                              </w:pPr>
                              <w:r w:rsidRPr="009D2DA6">
                                <w:t>high quality water</w:t>
                              </w:r>
                            </w:p>
                            <w:p w14:paraId="7B48A66B" w14:textId="77777777" w:rsidR="009C063E" w:rsidRPr="009D2DA6" w:rsidRDefault="009C063E" w:rsidP="006354B0">
                              <w:pPr>
                                <w:pStyle w:val="ListParagraph"/>
                                <w:widowControl/>
                                <w:numPr>
                                  <w:ilvl w:val="0"/>
                                  <w:numId w:val="27"/>
                                </w:numPr>
                              </w:pPr>
                              <w:r>
                                <w:t>high quality soil and fertilisers</w:t>
                              </w:r>
                              <w:r w:rsidRPr="009D2DA6">
                                <w:t xml:space="preserve"> </w:t>
                              </w:r>
                            </w:p>
                            <w:p w14:paraId="2D253FC6" w14:textId="77777777" w:rsidR="009C063E" w:rsidRPr="009D2DA6" w:rsidRDefault="009C063E" w:rsidP="006354B0">
                              <w:pPr>
                                <w:pStyle w:val="ListParagraph"/>
                                <w:widowControl/>
                                <w:numPr>
                                  <w:ilvl w:val="0"/>
                                  <w:numId w:val="27"/>
                                </w:numPr>
                              </w:pPr>
                              <w:r w:rsidRPr="009D2DA6">
                                <w:t>clean premises and equipment</w:t>
                              </w:r>
                            </w:p>
                            <w:p w14:paraId="090C4DCC" w14:textId="77777777" w:rsidR="009C063E" w:rsidRPr="009D2DA6" w:rsidRDefault="009C063E" w:rsidP="006354B0">
                              <w:pPr>
                                <w:pStyle w:val="ListParagraph"/>
                                <w:widowControl/>
                                <w:numPr>
                                  <w:ilvl w:val="0"/>
                                  <w:numId w:val="27"/>
                                </w:numPr>
                              </w:pPr>
                              <w:r w:rsidRPr="009D2DA6">
                                <w:t>food safety skills and knowledge</w:t>
                              </w:r>
                            </w:p>
                            <w:p w14:paraId="38114DCC" w14:textId="77777777" w:rsidR="009C063E" w:rsidRPr="009D2DA6" w:rsidRDefault="009C063E" w:rsidP="006354B0">
                              <w:pPr>
                                <w:pStyle w:val="ListParagraph"/>
                                <w:widowControl/>
                                <w:numPr>
                                  <w:ilvl w:val="0"/>
                                  <w:numId w:val="27"/>
                                </w:numPr>
                              </w:pPr>
                              <w:r w:rsidRPr="009D2DA6">
                                <w:t>personal hygiene</w:t>
                              </w:r>
                            </w:p>
                            <w:p w14:paraId="0AE257EA" w14:textId="77777777" w:rsidR="009C063E" w:rsidRPr="009D2DA6" w:rsidRDefault="009C063E" w:rsidP="006354B0">
                              <w:pPr>
                                <w:pStyle w:val="ListParagraph"/>
                                <w:widowControl/>
                                <w:numPr>
                                  <w:ilvl w:val="0"/>
                                  <w:numId w:val="27"/>
                                </w:numPr>
                              </w:pPr>
                              <w:r w:rsidRPr="009D2DA6">
                                <w:t>removal from sale of unacceptable berries.</w:t>
                              </w:r>
                            </w:p>
                            <w:p w14:paraId="28536674" w14:textId="77777777" w:rsidR="009C063E" w:rsidRPr="009D2DA6" w:rsidRDefault="009C063E" w:rsidP="00D70888"/>
                            <w:p w14:paraId="228E3DB2" w14:textId="77777777" w:rsidR="009C063E" w:rsidRPr="009D2DA6" w:rsidRDefault="009C063E" w:rsidP="00D70888">
                              <w:r w:rsidRPr="009D2DA6">
                                <w:t>Nick has looked at the proposed standard and the guidance document for berries. He has decided all he needs to do to meet the new requirements is to:</w:t>
                              </w:r>
                            </w:p>
                            <w:p w14:paraId="45E18911" w14:textId="77777777" w:rsidR="009C063E" w:rsidRPr="009D2DA6" w:rsidRDefault="009C063E"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7"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78541BE0" w14:textId="77777777" w:rsidR="009C063E" w:rsidRPr="009D2DA6" w:rsidRDefault="009C063E" w:rsidP="006354B0">
                              <w:pPr>
                                <w:pStyle w:val="ListParagraph"/>
                                <w:widowControl/>
                                <w:numPr>
                                  <w:ilvl w:val="0"/>
                                  <w:numId w:val="28"/>
                                </w:numPr>
                              </w:pPr>
                              <w:r w:rsidRPr="009D2DA6">
                                <w:t>improve traceability by keeping better records of the wholesalers he sells his berries to [$100pa].</w:t>
                              </w:r>
                            </w:p>
                            <w:p w14:paraId="4DBE6440" w14:textId="77777777" w:rsidR="009C063E" w:rsidRPr="009D2DA6" w:rsidRDefault="009C063E" w:rsidP="00D70888"/>
                            <w:p w14:paraId="1C18B91A" w14:textId="77777777" w:rsidR="009C063E" w:rsidRPr="009D2DA6" w:rsidRDefault="009C063E"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7B81E9B7" w14:textId="77777777" w:rsidR="009C063E" w:rsidRPr="009D2DA6" w:rsidRDefault="009C063E" w:rsidP="00D70888"/>
                            <w:p w14:paraId="41F0186D" w14:textId="77777777" w:rsidR="009C063E" w:rsidRPr="00FD4381" w:rsidRDefault="009C063E"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 name="Rectangle 3"/>
                        <wps:cNvSpPr/>
                        <wps:spPr>
                          <a:xfrm>
                            <a:off x="0" y="-1"/>
                            <a:ext cx="194048" cy="568873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194039" y="272817"/>
                            <a:ext cx="2191230" cy="56475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5ECAF" w14:textId="77777777" w:rsidR="009C063E" w:rsidRPr="00FD4381" w:rsidRDefault="009C063E" w:rsidP="00FD4381">
                              <w:pPr>
                                <w:jc w:val="center"/>
                                <w:rPr>
                                  <w:b/>
                                </w:rPr>
                              </w:pPr>
                              <w:r w:rsidRPr="00446B68">
                                <w:rPr>
                                  <w:b/>
                                </w:rPr>
                                <w:t>Case</w:t>
                              </w:r>
                              <w:r>
                                <w:rPr>
                                  <w:b/>
                                </w:rPr>
                                <w:t xml:space="preserve"> study 1 – Micro berry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F4791C" id="Group 1" o:spid="_x0000_s1026" style="position:absolute;margin-left:0;margin-top:246.95pt;width:472.75pt;height:495.8pt;z-index:251658242;mso-wrap-distance-left:18pt;mso-wrap-distance-right:18pt;mso-position-horizontal:left;mso-position-horizontal-relative:margin;mso-position-vertical-relative:page" coordorigin="" coordsize="25804,5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">
                <v:shapetype id="_x0000_t202" coordsize="21600,21600" o:spt="202" path="m,l,21600r21600,l21600,xe">
                  <v:stroke joinstyle="miter"/>
                  <v:path gradientshapeok="t" o:connecttype="rect"/>
                </v:shapetype>
                <v:shape id="Text Box 4" o:spid="_x0000_s1027" type="#_x0000_t202" style="position:absolute;left:1904;width:23900;height:56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vxAAAANoAAAAPAAAAZHJzL2Rvd25yZXYueG1sRI9PawIx&#10;FMTvBb9DeIXeNFtp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A75Ri/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1E48EA0C" w14:textId="77777777" w:rsidR="009C063E" w:rsidRDefault="009C063E" w:rsidP="00D70888">
                        <w:pPr>
                          <w:rPr>
                            <w:color w:val="595959" w:themeColor="text1" w:themeTint="A6"/>
                            <w:sz w:val="20"/>
                            <w:szCs w:val="20"/>
                          </w:rPr>
                        </w:pPr>
                      </w:p>
                      <w:p w14:paraId="6E47917E" w14:textId="77777777" w:rsidR="009C063E" w:rsidRPr="009D2DA6" w:rsidRDefault="009C063E" w:rsidP="00D70888">
                        <w:r w:rsidRPr="009D2DA6">
                          <w:t xml:space="preserve">Nick owns a small farm growing highbush blueberries in Tasmania. Nick sells his produce to wholesalers at the local markets. His annual aggregated turnover is $60,000 per annum. </w:t>
                        </w:r>
                      </w:p>
                      <w:p w14:paraId="4AA58562" w14:textId="77777777" w:rsidR="009C063E" w:rsidRPr="009D2DA6" w:rsidRDefault="009C063E" w:rsidP="00D70888"/>
                      <w:p w14:paraId="4AFAEF1F" w14:textId="77777777" w:rsidR="009C063E" w:rsidRPr="009D2DA6" w:rsidRDefault="009C063E" w:rsidP="00D70888">
                        <w:r w:rsidRPr="009D2DA6">
                          <w:t>Nick has not signed up to a food safety scheme, but he is committed to food safety. He has already adopted a range of food safety measures on the berry farm, including:</w:t>
                        </w:r>
                      </w:p>
                      <w:p w14:paraId="17B44F08" w14:textId="77777777" w:rsidR="009C063E" w:rsidRDefault="009C063E" w:rsidP="006354B0">
                        <w:pPr>
                          <w:pStyle w:val="ListParagraph"/>
                          <w:widowControl/>
                          <w:numPr>
                            <w:ilvl w:val="0"/>
                            <w:numId w:val="27"/>
                          </w:numPr>
                        </w:pPr>
                        <w:r w:rsidRPr="009D2DA6">
                          <w:t>high quality water</w:t>
                        </w:r>
                      </w:p>
                      <w:p w14:paraId="7B48A66B" w14:textId="77777777" w:rsidR="009C063E" w:rsidRPr="009D2DA6" w:rsidRDefault="009C063E" w:rsidP="006354B0">
                        <w:pPr>
                          <w:pStyle w:val="ListParagraph"/>
                          <w:widowControl/>
                          <w:numPr>
                            <w:ilvl w:val="0"/>
                            <w:numId w:val="27"/>
                          </w:numPr>
                        </w:pPr>
                        <w:r>
                          <w:t>high quality soil and fertilisers</w:t>
                        </w:r>
                        <w:r w:rsidRPr="009D2DA6">
                          <w:t xml:space="preserve"> </w:t>
                        </w:r>
                      </w:p>
                      <w:p w14:paraId="2D253FC6" w14:textId="77777777" w:rsidR="009C063E" w:rsidRPr="009D2DA6" w:rsidRDefault="009C063E" w:rsidP="006354B0">
                        <w:pPr>
                          <w:pStyle w:val="ListParagraph"/>
                          <w:widowControl/>
                          <w:numPr>
                            <w:ilvl w:val="0"/>
                            <w:numId w:val="27"/>
                          </w:numPr>
                        </w:pPr>
                        <w:r w:rsidRPr="009D2DA6">
                          <w:t>clean premises and equipment</w:t>
                        </w:r>
                      </w:p>
                      <w:p w14:paraId="090C4DCC" w14:textId="77777777" w:rsidR="009C063E" w:rsidRPr="009D2DA6" w:rsidRDefault="009C063E" w:rsidP="006354B0">
                        <w:pPr>
                          <w:pStyle w:val="ListParagraph"/>
                          <w:widowControl/>
                          <w:numPr>
                            <w:ilvl w:val="0"/>
                            <w:numId w:val="27"/>
                          </w:numPr>
                        </w:pPr>
                        <w:r w:rsidRPr="009D2DA6">
                          <w:t>food safety skills and knowledge</w:t>
                        </w:r>
                      </w:p>
                      <w:p w14:paraId="38114DCC" w14:textId="77777777" w:rsidR="009C063E" w:rsidRPr="009D2DA6" w:rsidRDefault="009C063E" w:rsidP="006354B0">
                        <w:pPr>
                          <w:pStyle w:val="ListParagraph"/>
                          <w:widowControl/>
                          <w:numPr>
                            <w:ilvl w:val="0"/>
                            <w:numId w:val="27"/>
                          </w:numPr>
                        </w:pPr>
                        <w:r w:rsidRPr="009D2DA6">
                          <w:t>personal hygiene</w:t>
                        </w:r>
                      </w:p>
                      <w:p w14:paraId="0AE257EA" w14:textId="77777777" w:rsidR="009C063E" w:rsidRPr="009D2DA6" w:rsidRDefault="009C063E" w:rsidP="006354B0">
                        <w:pPr>
                          <w:pStyle w:val="ListParagraph"/>
                          <w:widowControl/>
                          <w:numPr>
                            <w:ilvl w:val="0"/>
                            <w:numId w:val="27"/>
                          </w:numPr>
                        </w:pPr>
                        <w:r w:rsidRPr="009D2DA6">
                          <w:t>removal from sale of unacceptable berries.</w:t>
                        </w:r>
                      </w:p>
                      <w:p w14:paraId="28536674" w14:textId="77777777" w:rsidR="009C063E" w:rsidRPr="009D2DA6" w:rsidRDefault="009C063E" w:rsidP="00D70888"/>
                      <w:p w14:paraId="228E3DB2" w14:textId="77777777" w:rsidR="009C063E" w:rsidRPr="009D2DA6" w:rsidRDefault="009C063E" w:rsidP="00D70888">
                        <w:r w:rsidRPr="009D2DA6">
                          <w:t>Nick has looked at the proposed standard and the guidance document for berries. He has decided all he needs to do to meet the new requirements is to:</w:t>
                        </w:r>
                      </w:p>
                      <w:p w14:paraId="45E18911" w14:textId="77777777" w:rsidR="009C063E" w:rsidRPr="009D2DA6" w:rsidRDefault="009C063E"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54"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78541BE0" w14:textId="77777777" w:rsidR="009C063E" w:rsidRPr="009D2DA6" w:rsidRDefault="009C063E" w:rsidP="006354B0">
                        <w:pPr>
                          <w:pStyle w:val="ListParagraph"/>
                          <w:widowControl/>
                          <w:numPr>
                            <w:ilvl w:val="0"/>
                            <w:numId w:val="28"/>
                          </w:numPr>
                        </w:pPr>
                        <w:r w:rsidRPr="009D2DA6">
                          <w:t>improve traceability by keeping better records of the wholesalers he sells his berries to [$100pa].</w:t>
                        </w:r>
                      </w:p>
                      <w:p w14:paraId="4DBE6440" w14:textId="77777777" w:rsidR="009C063E" w:rsidRPr="009D2DA6" w:rsidRDefault="009C063E" w:rsidP="00D70888"/>
                      <w:p w14:paraId="1C18B91A" w14:textId="77777777" w:rsidR="009C063E" w:rsidRPr="009D2DA6" w:rsidRDefault="009C063E"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7B81E9B7" w14:textId="77777777" w:rsidR="009C063E" w:rsidRPr="009D2DA6" w:rsidRDefault="009C063E" w:rsidP="00D70888"/>
                      <w:p w14:paraId="41F0186D" w14:textId="77777777" w:rsidR="009C063E" w:rsidRPr="00FD4381" w:rsidRDefault="009C063E"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v:textbox>
                </v:shape>
                <v:rect id="Rectangle 3" o:spid="_x0000_s1028" style="position:absolute;width:1940;height:5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1940;top:2728;width:21912;height:5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" adj="18816" fillcolor="#4f81bd [3204]" stroked="f" strokeweight="2pt">
                  <v:textbox inset="28.8pt,0,14.4pt,0">
                    <w:txbxContent>
                      <w:p w14:paraId="32E5ECAF" w14:textId="77777777" w:rsidR="009C063E" w:rsidRPr="00FD4381" w:rsidRDefault="009C063E" w:rsidP="00FD4381">
                        <w:pPr>
                          <w:jc w:val="center"/>
                          <w:rPr>
                            <w:b/>
                          </w:rPr>
                        </w:pPr>
                        <w:r w:rsidRPr="00446B68">
                          <w:rPr>
                            <w:b/>
                          </w:rPr>
                          <w:t>Case</w:t>
                        </w:r>
                        <w:r>
                          <w:rPr>
                            <w:b/>
                          </w:rPr>
                          <w:t xml:space="preserve"> study 1 – Micro berry business</w:t>
                        </w:r>
                      </w:p>
                    </w:txbxContent>
                  </v:textbox>
                </v:shape>
                <w10:wrap type="square" anchorx="margin" anchory="page"/>
              </v:group>
            </w:pict>
          </mc:Fallback>
        </mc:AlternateContent>
      </w:r>
      <w:r w:rsidR="00B7576D">
        <w:rPr>
          <w:color w:val="FF0000"/>
          <w:lang w:val="en-AU"/>
        </w:rPr>
        <w:br w:type="page"/>
      </w:r>
    </w:p>
    <w:p w14:paraId="4274FFD3" w14:textId="77777777" w:rsidR="00714177" w:rsidRDefault="00714177">
      <w:pPr>
        <w:widowControl/>
        <w:rPr>
          <w:color w:val="FF0000"/>
          <w:lang w:val="en-AU"/>
        </w:rPr>
      </w:pPr>
    </w:p>
    <w:tbl>
      <w:tblPr>
        <w:tblStyle w:val="TableGrid"/>
        <w:tblpPr w:leftFromText="180" w:rightFromText="180" w:vertAnchor="text" w:horzAnchor="margin" w:tblpY="16"/>
        <w:tblW w:w="9351" w:type="dxa"/>
        <w:tblLook w:val="04A0" w:firstRow="1" w:lastRow="0" w:firstColumn="1" w:lastColumn="0" w:noHBand="0" w:noVBand="1"/>
      </w:tblPr>
      <w:tblGrid>
        <w:gridCol w:w="846"/>
        <w:gridCol w:w="8505"/>
      </w:tblGrid>
      <w:tr w:rsidR="008C4814" w:rsidRPr="0016093E" w14:paraId="3E1B2A67" w14:textId="77777777" w:rsidTr="008C4814">
        <w:tc>
          <w:tcPr>
            <w:tcW w:w="846" w:type="dxa"/>
            <w:vMerge w:val="restart"/>
            <w:tcBorders>
              <w:right w:val="nil"/>
            </w:tcBorders>
            <w:shd w:val="clear" w:color="auto" w:fill="1F497D" w:themeFill="text2"/>
          </w:tcPr>
          <w:p w14:paraId="48ED60FF" w14:textId="7C3F1A20"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55AF0288" w14:textId="77777777" w:rsidR="008C4814" w:rsidRDefault="008C4814" w:rsidP="008C4814"/>
          <w:p w14:paraId="36010AD3" w14:textId="77777777" w:rsidR="008C4814" w:rsidRDefault="008C4814" w:rsidP="008C4814">
            <w:r>
              <w:rPr>
                <w:noProof/>
                <w:lang w:eastAsia="en-GB" w:bidi="ar-SA"/>
              </w:rPr>
              <mc:AlternateContent>
                <mc:Choice Requires="wps">
                  <w:drawing>
                    <wp:anchor distT="0" distB="0" distL="114300" distR="114300" simplePos="0" relativeHeight="251658241" behindDoc="0" locked="0" layoutInCell="1" allowOverlap="1" wp14:anchorId="395F1713" wp14:editId="1004FDA3">
                      <wp:simplePos x="0" y="0"/>
                      <wp:positionH relativeFrom="column">
                        <wp:posOffset>-65405</wp:posOffset>
                      </wp:positionH>
                      <wp:positionV relativeFrom="paragraph">
                        <wp:posOffset>39370</wp:posOffset>
                      </wp:positionV>
                      <wp:extent cx="4941570" cy="539115"/>
                      <wp:effectExtent l="0" t="0" r="0" b="0"/>
                      <wp:wrapSquare wrapText="bothSides"/>
                      <wp:docPr id="26"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16146" w14:textId="77777777" w:rsidR="009C063E" w:rsidRDefault="009C063E" w:rsidP="008C4814">
                                  <w:pPr>
                                    <w:jc w:val="center"/>
                                    <w:rPr>
                                      <w:b/>
                                    </w:rPr>
                                  </w:pPr>
                                </w:p>
                                <w:p w14:paraId="286DA98D" w14:textId="77777777" w:rsidR="009C063E" w:rsidRPr="00FD4381" w:rsidRDefault="009C063E" w:rsidP="008C4814">
                                  <w:pPr>
                                    <w:jc w:val="center"/>
                                    <w:rPr>
                                      <w:b/>
                                    </w:rPr>
                                  </w:pPr>
                                  <w:r w:rsidRPr="00446B68">
                                    <w:rPr>
                                      <w:b/>
                                    </w:rPr>
                                    <w:t>Case study 2</w:t>
                                  </w:r>
                                  <w:r>
                                    <w:rPr>
                                      <w:b/>
                                    </w:rPr>
                                    <w:t xml:space="preserve"> – Small leafy vegetable business</w:t>
                                  </w:r>
                                </w:p>
                                <w:p w14:paraId="120E4803" w14:textId="77777777" w:rsidR="009C063E" w:rsidRDefault="009C063E" w:rsidP="008C4814"/>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1713" id="Pentagon 4" o:spid="_x0000_s1030" type="#_x0000_t15" style="position:absolute;margin-left:-5.15pt;margin-top:3.1pt;width:389.1pt;height:4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" adj="20422" fillcolor="#4f81bd [3204]" stroked="f" strokeweight="2pt">
                      <v:textbox inset="28.8pt,0,14.4pt,0">
                        <w:txbxContent>
                          <w:p w14:paraId="53316146" w14:textId="77777777" w:rsidR="009C063E" w:rsidRDefault="009C063E" w:rsidP="008C4814">
                            <w:pPr>
                              <w:jc w:val="center"/>
                              <w:rPr>
                                <w:b/>
                              </w:rPr>
                            </w:pPr>
                          </w:p>
                          <w:p w14:paraId="286DA98D" w14:textId="77777777" w:rsidR="009C063E" w:rsidRPr="00FD4381" w:rsidRDefault="009C063E" w:rsidP="008C4814">
                            <w:pPr>
                              <w:jc w:val="center"/>
                              <w:rPr>
                                <w:b/>
                              </w:rPr>
                            </w:pPr>
                            <w:r w:rsidRPr="00446B68">
                              <w:rPr>
                                <w:b/>
                              </w:rPr>
                              <w:t>Case study 2</w:t>
                            </w:r>
                            <w:r>
                              <w:rPr>
                                <w:b/>
                              </w:rPr>
                              <w:t xml:space="preserve"> – Small leafy vegetable business</w:t>
                            </w:r>
                          </w:p>
                          <w:p w14:paraId="120E4803" w14:textId="77777777" w:rsidR="009C063E" w:rsidRDefault="009C063E" w:rsidP="008C4814"/>
                        </w:txbxContent>
                      </v:textbox>
                      <w10:wrap type="square"/>
                    </v:shape>
                  </w:pict>
                </mc:Fallback>
              </mc:AlternateContent>
            </w:r>
          </w:p>
          <w:p w14:paraId="61091E50" w14:textId="77777777" w:rsidR="008C4814" w:rsidRDefault="008C4814" w:rsidP="008C4814"/>
          <w:p w14:paraId="35DCBEDA" w14:textId="77777777" w:rsidR="008C4814" w:rsidRDefault="008C4814" w:rsidP="008C4814"/>
          <w:p w14:paraId="7092783A" w14:textId="77777777" w:rsidR="008C4814" w:rsidRPr="009D2DA6" w:rsidRDefault="008C4814" w:rsidP="008C4814"/>
        </w:tc>
      </w:tr>
      <w:tr w:rsidR="008C4814" w:rsidRPr="0016093E" w14:paraId="3687889E" w14:textId="77777777" w:rsidTr="008C4814">
        <w:tc>
          <w:tcPr>
            <w:tcW w:w="846" w:type="dxa"/>
            <w:vMerge/>
            <w:tcBorders>
              <w:bottom w:val="nil"/>
              <w:right w:val="nil"/>
            </w:tcBorders>
            <w:shd w:val="clear" w:color="auto" w:fill="1F497D" w:themeFill="text2"/>
          </w:tcPr>
          <w:p w14:paraId="33368976" w14:textId="77777777"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4E4437C0" w14:textId="77777777" w:rsidR="008C4814" w:rsidRDefault="008C4814" w:rsidP="008C4814"/>
          <w:p w14:paraId="2A1BB052" w14:textId="4C290820" w:rsidR="008C4814" w:rsidRPr="009D2DA6" w:rsidRDefault="008C4814" w:rsidP="008C4814">
            <w:r w:rsidRPr="009D2DA6">
              <w:t xml:space="preserve">Jasper runs a small farm in </w:t>
            </w:r>
            <w:r w:rsidR="00E6081B">
              <w:t xml:space="preserve">New South Wales </w:t>
            </w:r>
            <w:r w:rsidRPr="009D2DA6">
              <w:t>that grows salad leafy vegetables. His harvested produce is trimmed and sorted on farm for sale to restaurants. His annual aggregated turnover is $200,000 per annum and he employs two farm hands.</w:t>
            </w:r>
          </w:p>
          <w:p w14:paraId="0347FF07" w14:textId="77777777" w:rsidR="008C4814" w:rsidRPr="009D2DA6" w:rsidRDefault="008C4814" w:rsidP="008C4814"/>
          <w:p w14:paraId="7C0F5CB9" w14:textId="77777777" w:rsidR="008C4814" w:rsidRPr="009D2DA6" w:rsidRDefault="008C4814" w:rsidP="008C4814">
            <w:r w:rsidRPr="009D2DA6">
              <w:t>Jasper has not considered any food safety risks associated with horticultural produce and has not invested in food safety.</w:t>
            </w:r>
          </w:p>
          <w:p w14:paraId="7465135A" w14:textId="77777777" w:rsidR="008C4814" w:rsidRPr="009D2DA6" w:rsidRDefault="008C4814" w:rsidP="008C4814"/>
          <w:p w14:paraId="64A4550F" w14:textId="77777777" w:rsidR="008C4814" w:rsidRPr="009D2DA6" w:rsidRDefault="008C4814" w:rsidP="008C4814">
            <w:r w:rsidRPr="009D2DA6">
              <w:t>Jasper reviews the proposed standard and compliance plan for leafy vegetables. He realises he will need to make significant changes in his business and improve the food safety knowledge and skills of himself and his two employees. He will need to:</w:t>
            </w:r>
          </w:p>
          <w:p w14:paraId="0F6019E9" w14:textId="77777777" w:rsidR="008C4814" w:rsidRPr="009D2DA6" w:rsidRDefault="008C4814" w:rsidP="006354B0">
            <w:pPr>
              <w:pStyle w:val="ListParagraph"/>
              <w:widowControl/>
              <w:numPr>
                <w:ilvl w:val="0"/>
                <w:numId w:val="27"/>
              </w:numPr>
            </w:pPr>
            <w:r w:rsidRPr="009D2DA6">
              <w:t>become familiar with food safety and the new standard [$480 upfront]</w:t>
            </w:r>
          </w:p>
          <w:p w14:paraId="74CEC3FA" w14:textId="77777777" w:rsidR="008C4814" w:rsidRPr="009D2DA6" w:rsidRDefault="008C4814" w:rsidP="006354B0">
            <w:pPr>
              <w:pStyle w:val="ListParagraph"/>
              <w:widowControl/>
              <w:numPr>
                <w:ilvl w:val="0"/>
                <w:numId w:val="27"/>
              </w:numPr>
            </w:pPr>
            <w:r w:rsidRPr="009D2DA6">
              <w:t>create a food safety management statement $1520 in the first year &amp; $1120 in subsequent years.]</w:t>
            </w:r>
          </w:p>
          <w:p w14:paraId="3B4140D6" w14:textId="77777777" w:rsidR="008C4814" w:rsidRPr="009D2DA6" w:rsidRDefault="008C4814" w:rsidP="006354B0">
            <w:pPr>
              <w:pStyle w:val="ListParagraph"/>
              <w:widowControl/>
              <w:numPr>
                <w:ilvl w:val="0"/>
                <w:numId w:val="27"/>
              </w:numPr>
            </w:pPr>
            <w:r w:rsidRPr="009D2DA6">
              <w:t>improve traceability [$100pa]</w:t>
            </w:r>
          </w:p>
          <w:p w14:paraId="516124B0" w14:textId="77777777" w:rsidR="008C4814" w:rsidRPr="009D2DA6" w:rsidRDefault="008C4814" w:rsidP="006354B0">
            <w:pPr>
              <w:pStyle w:val="ListParagraph"/>
              <w:widowControl/>
              <w:numPr>
                <w:ilvl w:val="0"/>
                <w:numId w:val="27"/>
              </w:numPr>
            </w:pPr>
            <w:r w:rsidRPr="009D2DA6">
              <w:t>source seeds and seedlings from suppliers who have implemented programs to assure the microbiological safety of the product [$120pa]</w:t>
            </w:r>
          </w:p>
          <w:p w14:paraId="4429B7EC" w14:textId="54F414C2" w:rsidR="008C4814" w:rsidRPr="009D2DA6" w:rsidRDefault="008C4814" w:rsidP="008262B7">
            <w:pPr>
              <w:pStyle w:val="ListParagraph"/>
              <w:widowControl/>
              <w:numPr>
                <w:ilvl w:val="0"/>
                <w:numId w:val="27"/>
              </w:numPr>
            </w:pPr>
            <w:r w:rsidRPr="009D2DA6">
              <w:t>cease using untreated manures and swap to products of suitable microbiological quality [$120 upfront &amp; $200pa - $320 in the first year &amp; $200 in subsequent years.]</w:t>
            </w:r>
          </w:p>
          <w:p w14:paraId="0F81AADC" w14:textId="77777777" w:rsidR="008C4814" w:rsidRPr="009D2DA6" w:rsidRDefault="008C4814" w:rsidP="006354B0">
            <w:pPr>
              <w:pStyle w:val="ListParagraph"/>
              <w:widowControl/>
              <w:numPr>
                <w:ilvl w:val="0"/>
                <w:numId w:val="27"/>
              </w:numPr>
            </w:pPr>
            <w:r w:rsidRPr="009D2DA6">
              <w:t>start treating dam water before spraying it onto leafy vegetables [$400 upfront &amp; $200pa]</w:t>
            </w:r>
          </w:p>
          <w:p w14:paraId="7C847064" w14:textId="333A6B34" w:rsidR="008C4814" w:rsidRPr="009D2DA6" w:rsidRDefault="008C4814" w:rsidP="006354B0">
            <w:pPr>
              <w:pStyle w:val="ListParagraph"/>
              <w:widowControl/>
              <w:numPr>
                <w:ilvl w:val="0"/>
                <w:numId w:val="27"/>
              </w:numPr>
            </w:pPr>
            <w:r w:rsidRPr="009D2DA6">
              <w:rPr>
                <w:rFonts w:cs="Arial"/>
                <w:color w:val="000000"/>
                <w:lang w:eastAsia="en-GB"/>
              </w:rPr>
              <w:t>adjust production to better mitigate the effects of weather events</w:t>
            </w:r>
            <w:r w:rsidRPr="009D2DA6">
              <w:t xml:space="preserve"> [$480pa]</w:t>
            </w:r>
          </w:p>
          <w:p w14:paraId="7FD8AE8D" w14:textId="77777777" w:rsidR="008C4814" w:rsidRPr="009D2DA6" w:rsidRDefault="008C4814" w:rsidP="006354B0">
            <w:pPr>
              <w:pStyle w:val="ListParagraph"/>
              <w:widowControl/>
              <w:numPr>
                <w:ilvl w:val="0"/>
                <w:numId w:val="27"/>
              </w:numPr>
            </w:pPr>
            <w:r w:rsidRPr="009D2DA6">
              <w:t>better maintain the premises and equipment [$668pa]</w:t>
            </w:r>
          </w:p>
          <w:p w14:paraId="36AD4BBD" w14:textId="7868AA7D" w:rsidR="008C4814" w:rsidRPr="009D2DA6" w:rsidRDefault="008C4814" w:rsidP="006354B0">
            <w:pPr>
              <w:pStyle w:val="ListParagraph"/>
              <w:widowControl/>
              <w:numPr>
                <w:ilvl w:val="0"/>
                <w:numId w:val="27"/>
              </w:numPr>
            </w:pPr>
            <w:r w:rsidRPr="009D2DA6">
              <w:t>clean the premises and equipment [$2</w:t>
            </w:r>
            <w:r w:rsidR="007D5CB8">
              <w:t>,</w:t>
            </w:r>
            <w:r w:rsidRPr="009D2DA6">
              <w:t>267pa]</w:t>
            </w:r>
          </w:p>
          <w:p w14:paraId="313F5685" w14:textId="71B72841" w:rsidR="008C4814" w:rsidRPr="009D2DA6" w:rsidRDefault="008C4814" w:rsidP="006354B0">
            <w:pPr>
              <w:pStyle w:val="ListParagraph"/>
              <w:widowControl/>
              <w:numPr>
                <w:ilvl w:val="0"/>
                <w:numId w:val="27"/>
              </w:numPr>
            </w:pPr>
            <w:r w:rsidRPr="009D2DA6">
              <w:t>wash and sanitise produce [$4</w:t>
            </w:r>
            <w:r w:rsidR="000F0352">
              <w:t>,</w:t>
            </w:r>
            <w:r w:rsidRPr="009D2DA6">
              <w:t>333pa]</w:t>
            </w:r>
          </w:p>
          <w:p w14:paraId="65E70362" w14:textId="77777777" w:rsidR="008C4814" w:rsidRPr="009D2DA6" w:rsidRDefault="008C4814" w:rsidP="006354B0">
            <w:pPr>
              <w:pStyle w:val="ListParagraph"/>
              <w:widowControl/>
              <w:numPr>
                <w:ilvl w:val="0"/>
                <w:numId w:val="27"/>
              </w:numPr>
            </w:pPr>
            <w:r w:rsidRPr="009D2DA6">
              <w:t>control animal pests [$960pa]</w:t>
            </w:r>
          </w:p>
          <w:p w14:paraId="6A79A2FC" w14:textId="77777777" w:rsidR="008C4814" w:rsidRPr="009D2DA6" w:rsidRDefault="008C4814" w:rsidP="006354B0">
            <w:pPr>
              <w:pStyle w:val="ListParagraph"/>
              <w:widowControl/>
              <w:numPr>
                <w:ilvl w:val="0"/>
                <w:numId w:val="27"/>
              </w:numPr>
            </w:pPr>
            <w:r w:rsidRPr="009D2DA6">
              <w:t>develop food safety skills and knowledge, including on-going training [$345pa]</w:t>
            </w:r>
          </w:p>
          <w:p w14:paraId="576E9C53" w14:textId="77777777" w:rsidR="008C4814" w:rsidRPr="009D2DA6" w:rsidRDefault="008C4814" w:rsidP="006354B0">
            <w:pPr>
              <w:pStyle w:val="ListParagraph"/>
              <w:widowControl/>
              <w:numPr>
                <w:ilvl w:val="0"/>
                <w:numId w:val="27"/>
              </w:numPr>
            </w:pPr>
            <w:r w:rsidRPr="009D2DA6">
              <w:t>improve hygiene practices [$200pa].</w:t>
            </w:r>
          </w:p>
          <w:p w14:paraId="497002E1" w14:textId="77777777" w:rsidR="008C4814" w:rsidRDefault="008C4814" w:rsidP="008C4814"/>
          <w:p w14:paraId="692B4CB3" w14:textId="40633E8C" w:rsidR="008C4814" w:rsidRPr="009D2DA6" w:rsidRDefault="008C4814" w:rsidP="008C4814">
            <w:r w:rsidRPr="009D2DA6">
              <w:t xml:space="preserve">Jasper will also need to factor in government licencing ($654pa) and audit </w:t>
            </w:r>
            <w:r w:rsidR="00744F3E">
              <w:t xml:space="preserve">costs </w:t>
            </w:r>
            <w:r w:rsidRPr="009D2DA6">
              <w:t>($885pa).</w:t>
            </w:r>
            <w:r w:rsidR="00744F3E">
              <w:t xml:space="preserve"> Jasper’s audit costs may reduce if alternative monitoring and audit arrangements are agreed by NSW DPI.</w:t>
            </w:r>
          </w:p>
          <w:p w14:paraId="3D2A5C80" w14:textId="77777777" w:rsidR="008C4814" w:rsidRPr="009D2DA6" w:rsidRDefault="008C4814" w:rsidP="008C4814"/>
          <w:p w14:paraId="1D2B5C70" w14:textId="77777777" w:rsidR="008C4814" w:rsidRPr="009D2DA6" w:rsidRDefault="008C4814" w:rsidP="008C4814">
            <w:r w:rsidRPr="009D2DA6">
              <w:t>Based on FSANZ estimates, it will cost Jasper a total of $13,933 in the first year and $12,533 each subsequent year to shift from zero food safety compliance to ongoing full compliance with the proposed standard. In the first year, these costs equate to 7% of his annual $200,000 turnover and 6.3% in subsequent years.</w:t>
            </w:r>
          </w:p>
          <w:p w14:paraId="23860889" w14:textId="77777777" w:rsidR="008C4814" w:rsidRPr="009D2DA6" w:rsidRDefault="008C4814" w:rsidP="008C4814"/>
          <w:p w14:paraId="0B1AB91D" w14:textId="3B7EE80B" w:rsidR="008C4814" w:rsidRDefault="008C4814" w:rsidP="008C4814">
            <w:r w:rsidRPr="009D2DA6">
              <w:t xml:space="preserve">Jasper realises it will take him 6 months to become compliant. He contacts the </w:t>
            </w:r>
            <w:hyperlink r:id="rId55" w:history="1">
              <w:r w:rsidRPr="009D2DA6">
                <w:rPr>
                  <w:rStyle w:val="Hyperlink"/>
                </w:rPr>
                <w:t>NSW Department of Primary I</w:t>
              </w:r>
            </w:hyperlink>
            <w:r w:rsidRPr="009D2DA6">
              <w:rPr>
                <w:rStyle w:val="Hyperlink"/>
              </w:rPr>
              <w:t>ndustries</w:t>
            </w:r>
            <w:r w:rsidRPr="009D2DA6">
              <w:t xml:space="preserve"> (DPI) seeking food safety advice and to discuss his concerns about implementation. The NSW DPI advises him that the proposed national standard will be phased in over </w:t>
            </w:r>
            <w:r w:rsidR="00CF224A">
              <w:t>2.5 years</w:t>
            </w:r>
            <w:r w:rsidRPr="009D2DA6">
              <w:t xml:space="preserve"> and that they will work with businesses to help them become compliant. They also discuss the approval process of Jasper’s food safety management statement, licencing and auditing arrangements.</w:t>
            </w:r>
          </w:p>
          <w:p w14:paraId="68022D0F" w14:textId="3F67C5C4" w:rsidR="00EB5CDA" w:rsidRPr="00577A5A" w:rsidRDefault="00EB5CDA" w:rsidP="008C4814"/>
        </w:tc>
      </w:tr>
      <w:tr w:rsidR="00C857AE" w:rsidRPr="0016093E" w14:paraId="39EFA378" w14:textId="77777777" w:rsidTr="008C4814">
        <w:tc>
          <w:tcPr>
            <w:tcW w:w="846" w:type="dxa"/>
            <w:tcBorders>
              <w:top w:val="nil"/>
              <w:right w:val="nil"/>
            </w:tcBorders>
            <w:shd w:val="clear" w:color="auto" w:fill="1F497D" w:themeFill="text2"/>
          </w:tcPr>
          <w:p w14:paraId="0890EC05" w14:textId="0C552547" w:rsidR="00C857AE" w:rsidRPr="0016093E" w:rsidRDefault="00C857AE" w:rsidP="008C4814">
            <w:pPr>
              <w:widowControl/>
              <w:rPr>
                <w:lang w:val="en-AU"/>
              </w:rPr>
            </w:pPr>
          </w:p>
        </w:tc>
        <w:tc>
          <w:tcPr>
            <w:tcW w:w="8505" w:type="dxa"/>
            <w:tcBorders>
              <w:top w:val="nil"/>
              <w:left w:val="nil"/>
              <w:bottom w:val="nil"/>
              <w:right w:val="nil"/>
            </w:tcBorders>
            <w:shd w:val="clear" w:color="auto" w:fill="EEECE1" w:themeFill="background2"/>
          </w:tcPr>
          <w:p w14:paraId="3ABB2E65" w14:textId="4B174C2A" w:rsidR="00C857AE" w:rsidRPr="0016093E" w:rsidRDefault="00C857AE" w:rsidP="008C4814">
            <w:pPr>
              <w:widowControl/>
              <w:rPr>
                <w:lang w:val="en-AU"/>
              </w:rPr>
            </w:pPr>
          </w:p>
        </w:tc>
      </w:tr>
    </w:tbl>
    <w:p w14:paraId="48DFCEFA" w14:textId="57D1C597" w:rsidR="00EA3917" w:rsidRPr="00577A5A" w:rsidRDefault="00EB5CDA" w:rsidP="00577A5A">
      <w:pPr>
        <w:widowControl/>
        <w:rPr>
          <w:color w:val="FF0000"/>
          <w:lang w:val="en-AU"/>
        </w:rPr>
      </w:pPr>
      <w:r>
        <w:rPr>
          <w:noProof/>
          <w:lang w:eastAsia="en-GB" w:bidi="ar-SA"/>
        </w:rPr>
        <mc:AlternateContent>
          <mc:Choice Requires="wpg">
            <w:drawing>
              <wp:anchor distT="0" distB="0" distL="228600" distR="228600" simplePos="0" relativeHeight="251658240" behindDoc="0" locked="0" layoutInCell="1" allowOverlap="1" wp14:anchorId="1253B756" wp14:editId="00009049">
                <wp:simplePos x="0" y="0"/>
                <wp:positionH relativeFrom="margin">
                  <wp:posOffset>-3216</wp:posOffset>
                </wp:positionH>
                <wp:positionV relativeFrom="margin">
                  <wp:posOffset>-12663</wp:posOffset>
                </wp:positionV>
                <wp:extent cx="5940425" cy="5776595"/>
                <wp:effectExtent l="0" t="0" r="3175" b="0"/>
                <wp:wrapSquare wrapText="bothSides"/>
                <wp:docPr id="27" name="Group 27"/>
                <wp:cNvGraphicFramePr/>
                <a:graphic xmlns:a="http://schemas.openxmlformats.org/drawingml/2006/main">
                  <a:graphicData uri="http://schemas.microsoft.com/office/word/2010/wordprocessingGroup">
                    <wpg:wgp>
                      <wpg:cNvGrpSpPr/>
                      <wpg:grpSpPr>
                        <a:xfrm>
                          <a:off x="0" y="0"/>
                          <a:ext cx="5940425" cy="5776595"/>
                          <a:chOff x="0" y="0"/>
                          <a:chExt cx="6309090" cy="5260540"/>
                        </a:xfrm>
                      </wpg:grpSpPr>
                      <wps:wsp>
                        <wps:cNvPr id="28" name="Text Box 28"/>
                        <wps:cNvSpPr txBox="1"/>
                        <wps:spPr>
                          <a:xfrm>
                            <a:off x="492916" y="0"/>
                            <a:ext cx="5816174" cy="526054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34B7DA" w14:textId="77777777" w:rsidR="009C063E" w:rsidRDefault="009C063E" w:rsidP="00BF1B63">
                              <w:pPr>
                                <w:shd w:val="clear" w:color="auto" w:fill="EEECE1" w:themeFill="background2"/>
                              </w:pPr>
                            </w:p>
                            <w:p w14:paraId="37B04C4C" w14:textId="77777777" w:rsidR="009C063E" w:rsidRPr="009D2DA6" w:rsidRDefault="009C063E" w:rsidP="00C56243"/>
                            <w:p w14:paraId="016BC78B" w14:textId="77777777" w:rsidR="009C063E" w:rsidRPr="009D2DA6" w:rsidRDefault="009C063E" w:rsidP="00C56243">
                              <w:r w:rsidRPr="009D2DA6">
                                <w:t>Grace owns and manages a large business in Queensland which produces watermelons. The average aggregated annual turnover of the farm is $12 million.</w:t>
                              </w:r>
                            </w:p>
                            <w:p w14:paraId="1ED2E15C" w14:textId="77777777" w:rsidR="009C063E" w:rsidRPr="009D2DA6" w:rsidRDefault="009C063E" w:rsidP="00C56243"/>
                            <w:p w14:paraId="1B1C534D" w14:textId="77777777" w:rsidR="009C063E" w:rsidRPr="009D2DA6" w:rsidRDefault="009C063E"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9C063E" w:rsidRPr="009D2DA6" w:rsidRDefault="009C063E" w:rsidP="00C56243"/>
                            <w:p w14:paraId="2F4E458B" w14:textId="77777777" w:rsidR="009C063E" w:rsidRPr="009D2DA6" w:rsidRDefault="009C063E"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9C063E" w:rsidRPr="009D2DA6" w:rsidRDefault="009C063E" w:rsidP="00C56243"/>
                            <w:p w14:paraId="5EAA66AF" w14:textId="77777777" w:rsidR="009C063E" w:rsidRPr="009D2DA6" w:rsidRDefault="009C063E" w:rsidP="00C56243">
                              <w:r w:rsidRPr="009D2DA6">
                                <w:t xml:space="preserve">Grace contacts </w:t>
                              </w:r>
                              <w:hyperlink r:id="rId56"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9C063E" w:rsidRPr="009D2DA6" w:rsidRDefault="009C063E" w:rsidP="006354B0">
                              <w:pPr>
                                <w:pStyle w:val="ListParagraph"/>
                                <w:widowControl/>
                                <w:numPr>
                                  <w:ilvl w:val="0"/>
                                  <w:numId w:val="27"/>
                                </w:numPr>
                                <w:ind w:firstLine="0"/>
                              </w:pPr>
                              <w:r w:rsidRPr="009D2DA6">
                                <w:t>how they currently manage of the impact of weather events</w:t>
                              </w:r>
                            </w:p>
                            <w:p w14:paraId="02E7B246" w14:textId="77777777" w:rsidR="009C063E" w:rsidRPr="009D2DA6" w:rsidRDefault="009C063E" w:rsidP="006354B0">
                              <w:pPr>
                                <w:pStyle w:val="ListParagraph"/>
                                <w:widowControl/>
                                <w:numPr>
                                  <w:ilvl w:val="0"/>
                                  <w:numId w:val="27"/>
                                </w:numPr>
                                <w:ind w:firstLine="0"/>
                              </w:pPr>
                              <w:r w:rsidRPr="009D2DA6">
                                <w:t>how food safety skills are taught and maintained.</w:t>
                              </w:r>
                            </w:p>
                            <w:p w14:paraId="0DAEE6F9" w14:textId="77777777" w:rsidR="009C063E" w:rsidRPr="009D2DA6" w:rsidRDefault="009C063E" w:rsidP="00C56243"/>
                            <w:p w14:paraId="09DF9323" w14:textId="1A1A6A0B" w:rsidR="009C063E" w:rsidRDefault="009C063E" w:rsidP="00C56243">
                              <w:r w:rsidRPr="009D2DA6">
                                <w:t>Based on FSANZ’s estimates, Grace calculates that it will cost her an additional $3,104 in the first year to fully comply, which is 0.03% of her 12M annual turnover. This figure includes licencin</w:t>
                              </w:r>
                              <w:r>
                                <w:t xml:space="preserve">g ($654pa). </w:t>
                              </w:r>
                              <w:r w:rsidRPr="009D2DA6">
                                <w:t>Grace has factored in 8 hours of staff time to update her FSMS.  In subsequent years, licencing</w:t>
                              </w:r>
                              <w:r w:rsidRPr="00744F3E">
                                <w:t xml:space="preserve"> and</w:t>
                              </w:r>
                              <w:r w:rsidRPr="009D2DA6">
                                <w:t xml:space="preserve"> maintaining the FSMS will equate to $2,704 or 0.02% of annual turnover.</w:t>
                              </w:r>
                            </w:p>
                            <w:p w14:paraId="611C646E" w14:textId="77777777" w:rsidR="009C063E" w:rsidRDefault="009C063E" w:rsidP="00C56243">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9" name="Rectangle 3"/>
                        <wps:cNvSpPr/>
                        <wps:spPr>
                          <a:xfrm>
                            <a:off x="0" y="0"/>
                            <a:ext cx="508121" cy="52605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Pentagon 4"/>
                        <wps:cNvSpPr/>
                        <wps:spPr>
                          <a:xfrm>
                            <a:off x="508121" y="367395"/>
                            <a:ext cx="5159846" cy="636798"/>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33FF9" w14:textId="0B0F30CC" w:rsidR="009C063E" w:rsidRPr="00FD4381" w:rsidRDefault="009C063E" w:rsidP="00FD4381">
                              <w:pPr>
                                <w:jc w:val="center"/>
                                <w:rPr>
                                  <w:b/>
                                </w:rPr>
                              </w:pPr>
                              <w:r w:rsidRPr="00446B68">
                                <w:rPr>
                                  <w:b/>
                                </w:rPr>
                                <w:t>Case study 3</w:t>
                              </w:r>
                              <w:r>
                                <w:rPr>
                                  <w:b/>
                                </w:rPr>
                                <w:t xml:space="preserve"> – Large melon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53B756" id="Group 27" o:spid="_x0000_s1031" style="position:absolute;margin-left:-.25pt;margin-top:-1pt;width:467.75pt;height:454.85pt;z-index:251658240;mso-wrap-distance-left:18pt;mso-wrap-distance-right:18pt;mso-position-horizontal-relative:margin;mso-position-vertical-relative:margin" coordsize="63090,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">
                <v:shape id="Text Box 28" o:spid="_x0000_s1032" type="#_x0000_t202" style="position:absolute;left:4929;width:58161;height:5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C34B7DA" w14:textId="77777777" w:rsidR="009C063E" w:rsidRDefault="009C063E" w:rsidP="00BF1B63">
                        <w:pPr>
                          <w:shd w:val="clear" w:color="auto" w:fill="EEECE1" w:themeFill="background2"/>
                        </w:pPr>
                      </w:p>
                      <w:p w14:paraId="37B04C4C" w14:textId="77777777" w:rsidR="009C063E" w:rsidRPr="009D2DA6" w:rsidRDefault="009C063E" w:rsidP="00C56243"/>
                      <w:p w14:paraId="016BC78B" w14:textId="77777777" w:rsidR="009C063E" w:rsidRPr="009D2DA6" w:rsidRDefault="009C063E" w:rsidP="00C56243">
                        <w:r w:rsidRPr="009D2DA6">
                          <w:t>Grace owns and manages a large business in Queensland which produces watermelons. The average aggregated annual turnover of the farm is $12 million.</w:t>
                        </w:r>
                      </w:p>
                      <w:p w14:paraId="1ED2E15C" w14:textId="77777777" w:rsidR="009C063E" w:rsidRPr="009D2DA6" w:rsidRDefault="009C063E" w:rsidP="00C56243"/>
                      <w:p w14:paraId="1B1C534D" w14:textId="77777777" w:rsidR="009C063E" w:rsidRPr="009D2DA6" w:rsidRDefault="009C063E"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9C063E" w:rsidRPr="009D2DA6" w:rsidRDefault="009C063E" w:rsidP="00C56243"/>
                      <w:p w14:paraId="2F4E458B" w14:textId="77777777" w:rsidR="009C063E" w:rsidRPr="009D2DA6" w:rsidRDefault="009C063E"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9C063E" w:rsidRPr="009D2DA6" w:rsidRDefault="009C063E" w:rsidP="00C56243"/>
                      <w:p w14:paraId="5EAA66AF" w14:textId="77777777" w:rsidR="009C063E" w:rsidRPr="009D2DA6" w:rsidRDefault="009C063E" w:rsidP="00C56243">
                        <w:r w:rsidRPr="009D2DA6">
                          <w:t xml:space="preserve">Grace contacts </w:t>
                        </w:r>
                        <w:hyperlink r:id="rId57"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9C063E" w:rsidRPr="009D2DA6" w:rsidRDefault="009C063E" w:rsidP="006354B0">
                        <w:pPr>
                          <w:pStyle w:val="ListParagraph"/>
                          <w:widowControl/>
                          <w:numPr>
                            <w:ilvl w:val="0"/>
                            <w:numId w:val="27"/>
                          </w:numPr>
                          <w:ind w:firstLine="0"/>
                        </w:pPr>
                        <w:r w:rsidRPr="009D2DA6">
                          <w:t>how they currently manage of the impact of weather events</w:t>
                        </w:r>
                      </w:p>
                      <w:p w14:paraId="02E7B246" w14:textId="77777777" w:rsidR="009C063E" w:rsidRPr="009D2DA6" w:rsidRDefault="009C063E" w:rsidP="006354B0">
                        <w:pPr>
                          <w:pStyle w:val="ListParagraph"/>
                          <w:widowControl/>
                          <w:numPr>
                            <w:ilvl w:val="0"/>
                            <w:numId w:val="27"/>
                          </w:numPr>
                          <w:ind w:firstLine="0"/>
                        </w:pPr>
                        <w:r w:rsidRPr="009D2DA6">
                          <w:t>how food safety skills are taught and maintained.</w:t>
                        </w:r>
                      </w:p>
                      <w:p w14:paraId="0DAEE6F9" w14:textId="77777777" w:rsidR="009C063E" w:rsidRPr="009D2DA6" w:rsidRDefault="009C063E" w:rsidP="00C56243"/>
                      <w:p w14:paraId="09DF9323" w14:textId="1A1A6A0B" w:rsidR="009C063E" w:rsidRDefault="009C063E" w:rsidP="00C56243">
                        <w:r w:rsidRPr="009D2DA6">
                          <w:t>Based on FSANZ’s estimates, Grace calculates that it will cost her an additional $3,104 in the first year to fully comply, which is 0.03% of her 12M annual turnover. This figure includes licencin</w:t>
                        </w:r>
                        <w:r>
                          <w:t xml:space="preserve">g ($654pa). </w:t>
                        </w:r>
                        <w:r w:rsidRPr="009D2DA6">
                          <w:t>Grace has factored in 8 hours of staff time to update her FSMS.  In subsequent years, licencing</w:t>
                        </w:r>
                        <w:r w:rsidRPr="00744F3E">
                          <w:t xml:space="preserve"> and</w:t>
                        </w:r>
                        <w:r w:rsidRPr="009D2DA6">
                          <w:t xml:space="preserve"> maintaining the FSMS will equate to $2,704 or 0.02% of annual turnover.</w:t>
                        </w:r>
                      </w:p>
                      <w:p w14:paraId="611C646E" w14:textId="77777777" w:rsidR="009C063E" w:rsidRDefault="009C063E" w:rsidP="00C56243">
                        <w:pPr>
                          <w:rPr>
                            <w:color w:val="595959" w:themeColor="text1" w:themeTint="A6"/>
                            <w:sz w:val="20"/>
                            <w:szCs w:val="20"/>
                          </w:rPr>
                        </w:pPr>
                      </w:p>
                    </w:txbxContent>
                  </v:textbox>
                </v:shape>
                <v:rect id="Rectangle 3" o:spid="_x0000_s1033" style="position:absolute;width:5081;height:5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" fillcolor="#1f497d [3215]" stroked="f" strokeweight="2pt"/>
                <v:shape id="_x0000_s1034" type="#_x0000_t15" style="position:absolute;left:5081;top:3673;width:51598;height:6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" adj="20267" fillcolor="#4f81bd [3204]" stroked="f" strokeweight="2pt">
                  <v:textbox inset="28.8pt,0,14.4pt,0">
                    <w:txbxContent>
                      <w:p w14:paraId="1F833FF9" w14:textId="0B0F30CC" w:rsidR="009C063E" w:rsidRPr="00FD4381" w:rsidRDefault="009C063E" w:rsidP="00FD4381">
                        <w:pPr>
                          <w:jc w:val="center"/>
                          <w:rPr>
                            <w:b/>
                          </w:rPr>
                        </w:pPr>
                        <w:r w:rsidRPr="00446B68">
                          <w:rPr>
                            <w:b/>
                          </w:rPr>
                          <w:t>Case study 3</w:t>
                        </w:r>
                        <w:r>
                          <w:rPr>
                            <w:b/>
                          </w:rPr>
                          <w:t xml:space="preserve"> – Large melon business</w:t>
                        </w:r>
                      </w:p>
                    </w:txbxContent>
                  </v:textbox>
                </v:shape>
                <w10:wrap type="square" anchorx="margin" anchory="margin"/>
              </v:group>
            </w:pict>
          </mc:Fallback>
        </mc:AlternateContent>
      </w:r>
    </w:p>
    <w:p w14:paraId="07F53604" w14:textId="46EB11EA" w:rsidR="00EA3917" w:rsidRPr="004772F6" w:rsidRDefault="00EA3917" w:rsidP="00FC7B5D">
      <w:pPr>
        <w:pStyle w:val="Header"/>
        <w:rPr>
          <w:color w:val="FF0000"/>
          <w:lang w:val="en-AU"/>
        </w:rPr>
      </w:pPr>
    </w:p>
    <w:p w14:paraId="5D436EF4" w14:textId="15587D59" w:rsidR="00F11059" w:rsidRDefault="00F11059" w:rsidP="00C56243">
      <w:pPr>
        <w:widowControl/>
        <w:ind w:left="-993"/>
      </w:pPr>
      <w:r>
        <w:br w:type="page"/>
      </w:r>
    </w:p>
    <w:p w14:paraId="17E5D02E" w14:textId="5C2EFCF9" w:rsidR="00AB697C" w:rsidRPr="00AE259D" w:rsidRDefault="00AB697C" w:rsidP="00AB697C">
      <w:pPr>
        <w:pStyle w:val="Heading1"/>
        <w:widowControl/>
        <w:spacing w:before="0" w:after="0"/>
        <w:ind w:left="0" w:firstLine="0"/>
        <w:rPr>
          <w:rFonts w:ascii="Arial Bold" w:eastAsiaTheme="majorEastAsia" w:hAnsi="Arial Bold" w:cstheme="majorBidi"/>
          <w:b w:val="0"/>
          <w:lang w:val="en-AU" w:eastAsia="en-GB"/>
        </w:rPr>
      </w:pPr>
      <w:bookmarkStart w:id="626" w:name="_Toc85635347"/>
      <w:bookmarkStart w:id="627" w:name="_Toc97643894"/>
      <w:bookmarkStart w:id="628" w:name="_Toc97653279"/>
      <w:bookmarkStart w:id="629" w:name="_Toc97739430"/>
      <w:bookmarkStart w:id="630" w:name="_Toc97823847"/>
      <w:bookmarkStart w:id="631" w:name="_Toc97824011"/>
      <w:bookmarkStart w:id="632" w:name="_Toc78896405"/>
      <w:bookmarkStart w:id="633" w:name="_Toc85635338"/>
      <w:r>
        <w:rPr>
          <w:rFonts w:ascii="Arial Bold" w:eastAsiaTheme="majorEastAsia" w:hAnsi="Arial Bold" w:cstheme="majorBidi"/>
          <w:b w:val="0"/>
          <w:lang w:val="en-AU" w:eastAsia="en-GB"/>
        </w:rPr>
        <w:lastRenderedPageBreak/>
        <w:t>10.</w:t>
      </w:r>
      <w:r>
        <w:rPr>
          <w:rFonts w:ascii="Arial Bold" w:eastAsiaTheme="majorEastAsia" w:hAnsi="Arial Bold" w:cstheme="majorBidi"/>
          <w:b w:val="0"/>
          <w:lang w:val="en-AU" w:eastAsia="en-GB"/>
        </w:rPr>
        <w:tab/>
      </w:r>
      <w:r w:rsidRPr="00DD5CAB">
        <w:rPr>
          <w:rFonts w:ascii="Arial Bold" w:eastAsiaTheme="majorEastAsia" w:hAnsi="Arial Bold" w:cstheme="majorBidi"/>
          <w:b w:val="0"/>
          <w:lang w:val="en-AU" w:eastAsia="en-GB"/>
        </w:rPr>
        <w:t>Who was consulted and how was their feedback incorporated?</w:t>
      </w:r>
      <w:bookmarkEnd w:id="626"/>
      <w:bookmarkEnd w:id="627"/>
      <w:bookmarkEnd w:id="628"/>
      <w:bookmarkEnd w:id="629"/>
      <w:bookmarkEnd w:id="630"/>
      <w:bookmarkEnd w:id="631"/>
    </w:p>
    <w:p w14:paraId="24A8DD36" w14:textId="77777777" w:rsidR="00AB697C" w:rsidRPr="00214D6B" w:rsidRDefault="00AB697C" w:rsidP="00AB697C">
      <w:pPr>
        <w:pStyle w:val="Heading2"/>
      </w:pPr>
      <w:bookmarkStart w:id="634" w:name="_Toc97643895"/>
      <w:bookmarkStart w:id="635" w:name="_Toc97653280"/>
      <w:bookmarkStart w:id="636" w:name="_Toc97739431"/>
      <w:bookmarkStart w:id="637" w:name="_Toc97823848"/>
      <w:bookmarkStart w:id="638" w:name="_Toc97824012"/>
      <w:bookmarkStart w:id="639" w:name="_Toc85635348"/>
      <w:r>
        <w:t>10.1</w:t>
      </w:r>
      <w:r>
        <w:tab/>
        <w:t xml:space="preserve">  </w:t>
      </w:r>
      <w:r w:rsidRPr="00214D6B">
        <w:t>Overview</w:t>
      </w:r>
      <w:bookmarkEnd w:id="634"/>
      <w:bookmarkEnd w:id="635"/>
      <w:bookmarkEnd w:id="636"/>
      <w:bookmarkEnd w:id="637"/>
      <w:bookmarkEnd w:id="638"/>
    </w:p>
    <w:p w14:paraId="7D3B3702" w14:textId="77777777" w:rsidR="00AB697C" w:rsidRPr="00214D6B" w:rsidRDefault="00AB697C" w:rsidP="00AB697C">
      <w:r w:rsidRPr="00214D6B">
        <w:t>FSANZ has engaged stakeholders through:</w:t>
      </w:r>
    </w:p>
    <w:p w14:paraId="63BA321F" w14:textId="77777777" w:rsidR="00AB697C" w:rsidRPr="00214D6B" w:rsidRDefault="00AB697C" w:rsidP="00AB697C">
      <w:pPr>
        <w:pStyle w:val="FSBullet1"/>
      </w:pPr>
      <w:r>
        <w:t>a h</w:t>
      </w:r>
      <w:r w:rsidRPr="00214D6B">
        <w:t>orticulture and food safety workshop</w:t>
      </w:r>
      <w:r>
        <w:t>,</w:t>
      </w:r>
      <w:r w:rsidRPr="00214D6B">
        <w:t xml:space="preserve"> discussing Chapter 3 and 4 of the Code with industry representatives, states and territories</w:t>
      </w:r>
    </w:p>
    <w:p w14:paraId="02A9075C" w14:textId="77777777" w:rsidR="00FD298C" w:rsidRDefault="00AB697C" w:rsidP="00FD298C">
      <w:pPr>
        <w:pStyle w:val="FSBullet1"/>
      </w:pPr>
      <w:r>
        <w:t>v</w:t>
      </w:r>
      <w:r w:rsidRPr="00214D6B">
        <w:t>isits to berry, leafy vegetable and melon farms</w:t>
      </w:r>
      <w:r w:rsidR="00BB1CFD">
        <w:t>, although</w:t>
      </w:r>
      <w:r w:rsidR="002D6589">
        <w:t xml:space="preserve"> numbers of</w:t>
      </w:r>
      <w:r w:rsidR="00BB1CFD">
        <w:t xml:space="preserve"> visits were limited due to COVID-19 restrictions</w:t>
      </w:r>
    </w:p>
    <w:p w14:paraId="3CDDD7FC" w14:textId="502E5675" w:rsidR="00FD298C" w:rsidRDefault="00FD298C" w:rsidP="00FD298C">
      <w:pPr>
        <w:pStyle w:val="FSBullet1"/>
      </w:pPr>
      <w:r>
        <w:t>expert consultation (microbiological review)</w:t>
      </w:r>
    </w:p>
    <w:p w14:paraId="1CB7B9BF" w14:textId="7150989B" w:rsidR="00FD298C" w:rsidRPr="00FD298C" w:rsidRDefault="00FD298C" w:rsidP="00FD298C">
      <w:pPr>
        <w:pStyle w:val="FSBullet1"/>
      </w:pPr>
      <w:r>
        <w:t>OBPR</w:t>
      </w:r>
    </w:p>
    <w:p w14:paraId="20B95E8F" w14:textId="27C3CF08" w:rsidR="00AB697C" w:rsidRPr="00214D6B" w:rsidRDefault="00AB697C" w:rsidP="00AB697C">
      <w:pPr>
        <w:pStyle w:val="FSBullet1"/>
      </w:pPr>
      <w:r>
        <w:t>t</w:t>
      </w:r>
      <w:r w:rsidRPr="00214D6B">
        <w:t xml:space="preserve">he </w:t>
      </w:r>
      <w:r>
        <w:t>H</w:t>
      </w:r>
      <w:r w:rsidR="00A92C8A">
        <w:t>orticulture Implementation Working Group (H</w:t>
      </w:r>
      <w:r>
        <w:t>IWG</w:t>
      </w:r>
      <w:r w:rsidR="00A92C8A">
        <w:t>)</w:t>
      </w:r>
      <w:r>
        <w:t>,</w:t>
      </w:r>
      <w:r w:rsidRPr="00214D6B">
        <w:t xml:space="preserve"> which includes food regulators from each state and territory </w:t>
      </w:r>
    </w:p>
    <w:p w14:paraId="026D6866" w14:textId="77777777" w:rsidR="00AB697C" w:rsidRPr="00214D6B" w:rsidRDefault="00AB697C" w:rsidP="00AB697C">
      <w:pPr>
        <w:pStyle w:val="FSBullet1"/>
      </w:pPr>
      <w:r>
        <w:t>a</w:t>
      </w:r>
      <w:r w:rsidRPr="00214D6B">
        <w:t xml:space="preserve"> Standards Development Advisor</w:t>
      </w:r>
      <w:r>
        <w:t>y</w:t>
      </w:r>
      <w:r w:rsidRPr="00214D6B">
        <w:t xml:space="preserve"> </w:t>
      </w:r>
      <w:r>
        <w:t>Group (SDAG),</w:t>
      </w:r>
      <w:r w:rsidRPr="00214D6B">
        <w:t xml:space="preserve"> which includes industry representatives and food regulators from each state and territory</w:t>
      </w:r>
    </w:p>
    <w:p w14:paraId="3A4AB95E" w14:textId="77777777" w:rsidR="00AB697C" w:rsidRPr="00214D6B" w:rsidRDefault="00AB697C" w:rsidP="00AB697C">
      <w:pPr>
        <w:pStyle w:val="FSBullet1"/>
      </w:pPr>
      <w:r>
        <w:t>p</w:t>
      </w:r>
      <w:r w:rsidRPr="00214D6B">
        <w:t>ublic consultation through the 1</w:t>
      </w:r>
      <w:r w:rsidRPr="00214D6B">
        <w:rPr>
          <w:vertAlign w:val="superscript"/>
        </w:rPr>
        <w:t>st</w:t>
      </w:r>
      <w:r w:rsidRPr="00214D6B">
        <w:t xml:space="preserve"> </w:t>
      </w:r>
      <w:r>
        <w:t>and 2</w:t>
      </w:r>
      <w:r w:rsidRPr="00AB697C">
        <w:rPr>
          <w:vertAlign w:val="superscript"/>
        </w:rPr>
        <w:t>nd</w:t>
      </w:r>
      <w:r>
        <w:t xml:space="preserve"> </w:t>
      </w:r>
      <w:r w:rsidRPr="00214D6B">
        <w:t>call</w:t>
      </w:r>
      <w:r>
        <w:t>s</w:t>
      </w:r>
      <w:r w:rsidRPr="00214D6B">
        <w:t xml:space="preserve"> for submissions</w:t>
      </w:r>
    </w:p>
    <w:p w14:paraId="5FB61A59" w14:textId="44E2478C" w:rsidR="00AB697C" w:rsidRPr="00214D6B" w:rsidRDefault="00AB697C" w:rsidP="00AB697C">
      <w:pPr>
        <w:pStyle w:val="FSBullet1"/>
      </w:pPr>
      <w:r w:rsidRPr="00214D6B">
        <w:t>public survey</w:t>
      </w:r>
      <w:r w:rsidR="00BB1CFD">
        <w:t>s</w:t>
      </w:r>
      <w:r>
        <w:t>.</w:t>
      </w:r>
    </w:p>
    <w:p w14:paraId="681DB8F2" w14:textId="77777777" w:rsidR="00AB697C" w:rsidRPr="00214D6B" w:rsidRDefault="00AB697C" w:rsidP="00AB697C"/>
    <w:p w14:paraId="5B39CD1F" w14:textId="62070D6B" w:rsidR="00AB697C" w:rsidRDefault="00AB697C" w:rsidP="00AB697C">
      <w:r w:rsidRPr="00214D6B">
        <w:t>Feedback provided included the need for food safety regulation in these sectors and concerns about food safety regulation and the burden (inc</w:t>
      </w:r>
      <w:r>
        <w:t>luding</w:t>
      </w:r>
      <w:r w:rsidRPr="00214D6B">
        <w:t xml:space="preserve"> costs) it may place on industry</w:t>
      </w:r>
      <w:r w:rsidR="002D6589">
        <w:t>,</w:t>
      </w:r>
      <w:r w:rsidRPr="00214D6B">
        <w:t xml:space="preserve"> particularly for small and emerging businesses. FSANZ </w:t>
      </w:r>
      <w:r>
        <w:t xml:space="preserve">has </w:t>
      </w:r>
      <w:r w:rsidRPr="00214D6B">
        <w:t xml:space="preserve">considered all feedback </w:t>
      </w:r>
      <w:r>
        <w:t>to shape</w:t>
      </w:r>
      <w:r w:rsidRPr="00214D6B">
        <w:t xml:space="preserve"> the propos</w:t>
      </w:r>
      <w:r>
        <w:t>ed options to best balance the</w:t>
      </w:r>
      <w:r w:rsidRPr="00214D6B">
        <w:t xml:space="preserve"> opinions</w:t>
      </w:r>
      <w:r>
        <w:t xml:space="preserve"> and evidence provided</w:t>
      </w:r>
      <w:r w:rsidRPr="00214D6B">
        <w:t xml:space="preserve">. </w:t>
      </w:r>
    </w:p>
    <w:p w14:paraId="64B233AB" w14:textId="78A6B54F" w:rsidR="00AB697C" w:rsidRPr="00061C9A" w:rsidRDefault="00BB1CFD" w:rsidP="00AB697C">
      <w:pPr>
        <w:pStyle w:val="Heading2"/>
      </w:pPr>
      <w:bookmarkStart w:id="640" w:name="_Toc76382375"/>
      <w:bookmarkStart w:id="641" w:name="_Toc76570502"/>
      <w:bookmarkStart w:id="642" w:name="_Toc77687523"/>
      <w:bookmarkStart w:id="643" w:name="_Toc78896409"/>
      <w:bookmarkStart w:id="644" w:name="_Toc85635350"/>
      <w:bookmarkStart w:id="645" w:name="_Toc97643896"/>
      <w:bookmarkStart w:id="646" w:name="_Toc97653281"/>
      <w:bookmarkStart w:id="647" w:name="_Toc97739432"/>
      <w:bookmarkStart w:id="648" w:name="_Toc97823849"/>
      <w:bookmarkStart w:id="649" w:name="_Toc97824013"/>
      <w:r>
        <w:t>10</w:t>
      </w:r>
      <w:r w:rsidR="00AB697C">
        <w:t>.2</w:t>
      </w:r>
      <w:r w:rsidR="00AB697C">
        <w:tab/>
        <w:t xml:space="preserve">  </w:t>
      </w:r>
      <w:r w:rsidR="00AB697C" w:rsidRPr="00061C9A">
        <w:t>Horticulture and food safety workshop</w:t>
      </w:r>
      <w:bookmarkEnd w:id="640"/>
      <w:bookmarkEnd w:id="641"/>
      <w:bookmarkEnd w:id="642"/>
      <w:bookmarkEnd w:id="643"/>
      <w:bookmarkEnd w:id="644"/>
      <w:bookmarkEnd w:id="645"/>
      <w:bookmarkEnd w:id="646"/>
      <w:bookmarkEnd w:id="647"/>
      <w:bookmarkEnd w:id="648"/>
      <w:bookmarkEnd w:id="649"/>
    </w:p>
    <w:p w14:paraId="23751771" w14:textId="77777777" w:rsidR="00AB697C" w:rsidRDefault="00AB697C" w:rsidP="00AB697C">
      <w:r>
        <w:t xml:space="preserve">FSANZ held a face-to-face Horticulture and Food Safety Management </w:t>
      </w:r>
      <w:r w:rsidRPr="00657E25">
        <w:t>Workshop</w:t>
      </w:r>
      <w:r>
        <w:t xml:space="preserve"> on 31 January and 1 February 2019. This workshop covered the review of Chapters 3 and 4 of the Code. The objectives of the workshop were to clarify the scope of the review and explore effective risk management options in relation to horticulture and food service food safety management. The workshop was attended by representatives of industry and jurisdictions.</w:t>
      </w:r>
    </w:p>
    <w:p w14:paraId="5E11083D" w14:textId="77777777" w:rsidR="00AB697C" w:rsidRDefault="00AB697C" w:rsidP="00AB697C"/>
    <w:p w14:paraId="4F6AC5C6" w14:textId="0F75809B" w:rsidR="00BB1CFD" w:rsidRDefault="00AB697C" w:rsidP="00AB697C">
      <w:r>
        <w:t>General agreement on the scope, risk management options and challenges to implementation were the key outcomes of the workshop. The discussion highlighted that there were significant differences in the regulatory systems of different jurisdictions. There were consistent views for a collaborative model using existing mechanisms. The overall outcome was to provide a well-defined food safety system that is enforceable, clearly understandable and compatible with the existing food safety system that will encourage compliance by all businesses. The discussion points of the workshop were consolidated in an information paper and informed commencement of Proposal P1052.</w:t>
      </w:r>
    </w:p>
    <w:p w14:paraId="474D96B5" w14:textId="33BACD3A" w:rsidR="00BB1CFD" w:rsidRPr="00061C9A" w:rsidRDefault="00BB1CFD" w:rsidP="00BB1CFD">
      <w:pPr>
        <w:pStyle w:val="Heading2"/>
      </w:pPr>
      <w:bookmarkStart w:id="650" w:name="_Toc76382376"/>
      <w:bookmarkStart w:id="651" w:name="_Toc76570504"/>
      <w:bookmarkStart w:id="652" w:name="_Toc77687525"/>
      <w:bookmarkStart w:id="653" w:name="_Toc78896411"/>
      <w:bookmarkStart w:id="654" w:name="_Toc85635352"/>
      <w:bookmarkStart w:id="655" w:name="_Toc97643897"/>
      <w:bookmarkStart w:id="656" w:name="_Toc97653282"/>
      <w:bookmarkStart w:id="657" w:name="_Toc97739433"/>
      <w:bookmarkStart w:id="658" w:name="_Toc97823850"/>
      <w:bookmarkStart w:id="659" w:name="_Toc97824014"/>
      <w:r>
        <w:t>10.3</w:t>
      </w:r>
      <w:r>
        <w:tab/>
        <w:t xml:space="preserve">  </w:t>
      </w:r>
      <w:r w:rsidRPr="00061C9A">
        <w:t>Industry visits</w:t>
      </w:r>
      <w:bookmarkEnd w:id="650"/>
      <w:bookmarkEnd w:id="651"/>
      <w:bookmarkEnd w:id="652"/>
      <w:bookmarkEnd w:id="653"/>
      <w:bookmarkEnd w:id="654"/>
      <w:bookmarkEnd w:id="655"/>
      <w:bookmarkEnd w:id="656"/>
      <w:bookmarkEnd w:id="657"/>
      <w:bookmarkEnd w:id="658"/>
      <w:bookmarkEnd w:id="659"/>
    </w:p>
    <w:p w14:paraId="49EF7476" w14:textId="35CBDCF5" w:rsidR="00BB1CFD" w:rsidRDefault="00BB1CFD" w:rsidP="00BB1CFD">
      <w:r>
        <w:t xml:space="preserve">FSANZ </w:t>
      </w:r>
      <w:r w:rsidRPr="0005278B">
        <w:t>visited</w:t>
      </w:r>
      <w:r>
        <w:t xml:space="preserve"> producers and processors of identified horticulture products in N</w:t>
      </w:r>
      <w:r w:rsidR="00E6081B">
        <w:t xml:space="preserve">ew </w:t>
      </w:r>
      <w:r>
        <w:t>S</w:t>
      </w:r>
      <w:r w:rsidR="00E6081B">
        <w:t xml:space="preserve">outh </w:t>
      </w:r>
      <w:r>
        <w:t>W</w:t>
      </w:r>
      <w:r w:rsidR="00E6081B">
        <w:t>ales</w:t>
      </w:r>
      <w:r>
        <w:t xml:space="preserve"> and Victoria between late 2019 and early 2020. The purpose of the visits was to establish relationships with stakeholders, and for FSANZ officers to gain a greater understanding of the production of berries, leafy vegetables and melons and the food safety practices in these sectors, to support our assessment work. State government and industry representatives also accompanied FSANZ and participated in consultation. </w:t>
      </w:r>
    </w:p>
    <w:p w14:paraId="0253B6E7" w14:textId="77777777" w:rsidR="00BB1CFD" w:rsidRDefault="00BB1CFD" w:rsidP="00BB1CFD"/>
    <w:p w14:paraId="609C5BD6" w14:textId="77777777" w:rsidR="00BB1CFD" w:rsidRDefault="00BB1CFD" w:rsidP="00BB1CFD">
      <w:r>
        <w:t xml:space="preserve">Unfortunately COVID-19 restrictions have limited the ability of FSANZ </w:t>
      </w:r>
      <w:r w:rsidRPr="009734E3">
        <w:t>officers</w:t>
      </w:r>
      <w:r>
        <w:t xml:space="preserve"> to visit and get as much observational experience of growing and packing operations as was hoped. The limited visits that FSANZ has made include:</w:t>
      </w:r>
    </w:p>
    <w:p w14:paraId="697C091E" w14:textId="77777777" w:rsidR="00BB1CFD" w:rsidRDefault="00BB1CFD" w:rsidP="00BB1CFD"/>
    <w:p w14:paraId="5676B5B7" w14:textId="77777777" w:rsidR="00BB1CFD" w:rsidRDefault="00BB1CFD" w:rsidP="00BB1CFD">
      <w:pPr>
        <w:pStyle w:val="ListParagraph"/>
        <w:numPr>
          <w:ilvl w:val="0"/>
          <w:numId w:val="39"/>
        </w:numPr>
      </w:pPr>
      <w:r>
        <w:t xml:space="preserve">one onsite visit to a strawberry farm and distributor in Victoria. While onsite, FSANZ observed the growing sites (open field, protected cultivation systems and hydroponics), harvesting, and the activities of the packing shed. </w:t>
      </w:r>
    </w:p>
    <w:p w14:paraId="232603F3" w14:textId="77777777" w:rsidR="00BB1CFD" w:rsidRDefault="00BB1CFD" w:rsidP="00BB1CFD"/>
    <w:p w14:paraId="04724C49" w14:textId="44E41CCC" w:rsidR="00BB1CFD" w:rsidRDefault="00BB1CFD" w:rsidP="00BB1CFD">
      <w:pPr>
        <w:pStyle w:val="ListParagraph"/>
        <w:numPr>
          <w:ilvl w:val="0"/>
          <w:numId w:val="39"/>
        </w:numPr>
      </w:pPr>
      <w:r w:rsidRPr="009734E3">
        <w:t xml:space="preserve">onsite visits to three leafy vegetable farms in Victoria. </w:t>
      </w:r>
      <w:r>
        <w:t>While</w:t>
      </w:r>
      <w:r w:rsidRPr="009734E3">
        <w:t xml:space="preserve"> onsite, FSANZ observed the growing sites (open field, protected cultivation systems and hydroponics), harvesting</w:t>
      </w:r>
      <w:r>
        <w:t>,</w:t>
      </w:r>
      <w:r w:rsidRPr="009734E3">
        <w:t xml:space="preserve"> and the activities of the packing shed. </w:t>
      </w:r>
    </w:p>
    <w:p w14:paraId="0309D55C" w14:textId="77777777" w:rsidR="00BB1CFD" w:rsidRDefault="00BB1CFD" w:rsidP="002E39FB">
      <w:pPr>
        <w:pStyle w:val="ListParagraph"/>
      </w:pPr>
    </w:p>
    <w:p w14:paraId="64D649B9" w14:textId="296993AD" w:rsidR="00AD4E3E" w:rsidRDefault="00BB1CFD" w:rsidP="002E39FB">
      <w:pPr>
        <w:pStyle w:val="ListParagraph"/>
        <w:numPr>
          <w:ilvl w:val="0"/>
          <w:numId w:val="39"/>
        </w:numPr>
      </w:pPr>
      <w:r w:rsidRPr="00BB1CFD">
        <w:t>one</w:t>
      </w:r>
      <w:r w:rsidRPr="003F5586">
        <w:rPr>
          <w:color w:val="000000" w:themeColor="text1"/>
        </w:rPr>
        <w:t xml:space="preserve"> onsite visit to a melon farm in </w:t>
      </w:r>
      <w:r w:rsidR="00E6081B">
        <w:t>New South Wales</w:t>
      </w:r>
      <w:r w:rsidRPr="003F5586">
        <w:rPr>
          <w:color w:val="000000" w:themeColor="text1"/>
        </w:rPr>
        <w:t>. Whil</w:t>
      </w:r>
      <w:r>
        <w:rPr>
          <w:color w:val="000000" w:themeColor="text1"/>
        </w:rPr>
        <w:t>e</w:t>
      </w:r>
      <w:r w:rsidRPr="003F5586">
        <w:rPr>
          <w:color w:val="000000" w:themeColor="text1"/>
        </w:rPr>
        <w:t xml:space="preserve"> onsite</w:t>
      </w:r>
      <w:r>
        <w:rPr>
          <w:color w:val="000000" w:themeColor="text1"/>
        </w:rPr>
        <w:t>,</w:t>
      </w:r>
      <w:r w:rsidRPr="003F5586">
        <w:rPr>
          <w:color w:val="000000" w:themeColor="text1"/>
        </w:rPr>
        <w:t xml:space="preserve"> FSANZ observed the growing sites, harvesting</w:t>
      </w:r>
      <w:r>
        <w:rPr>
          <w:color w:val="000000" w:themeColor="text1"/>
        </w:rPr>
        <w:t>,</w:t>
      </w:r>
      <w:r w:rsidRPr="003F5586">
        <w:rPr>
          <w:color w:val="000000" w:themeColor="text1"/>
        </w:rPr>
        <w:t xml:space="preserve"> and the activities of the packing shed. </w:t>
      </w:r>
    </w:p>
    <w:p w14:paraId="3A2D9F62" w14:textId="25C82140" w:rsidR="00AD4E3E" w:rsidRPr="00061C9A" w:rsidRDefault="00AD4E3E" w:rsidP="00AD4E3E">
      <w:pPr>
        <w:pStyle w:val="Heading2"/>
      </w:pPr>
      <w:bookmarkStart w:id="660" w:name="_Toc76382377"/>
      <w:bookmarkStart w:id="661" w:name="_Toc76570505"/>
      <w:bookmarkStart w:id="662" w:name="_Toc77687526"/>
      <w:bookmarkStart w:id="663" w:name="_Toc78896412"/>
      <w:bookmarkStart w:id="664" w:name="_Toc85635353"/>
      <w:bookmarkStart w:id="665" w:name="_Toc97643898"/>
      <w:bookmarkStart w:id="666" w:name="_Toc97653283"/>
      <w:bookmarkStart w:id="667" w:name="_Toc97739434"/>
      <w:bookmarkStart w:id="668" w:name="_Toc97823851"/>
      <w:bookmarkStart w:id="669" w:name="_Toc97824015"/>
      <w:r>
        <w:t>10.4</w:t>
      </w:r>
      <w:r>
        <w:tab/>
        <w:t xml:space="preserve">  </w:t>
      </w:r>
      <w:r w:rsidRPr="00061C9A">
        <w:t>Horticulture Implementation Working Group</w:t>
      </w:r>
      <w:bookmarkEnd w:id="660"/>
      <w:bookmarkEnd w:id="661"/>
      <w:bookmarkEnd w:id="662"/>
      <w:bookmarkEnd w:id="663"/>
      <w:bookmarkEnd w:id="664"/>
      <w:bookmarkEnd w:id="665"/>
      <w:bookmarkEnd w:id="666"/>
      <w:bookmarkEnd w:id="667"/>
      <w:bookmarkEnd w:id="668"/>
      <w:bookmarkEnd w:id="669"/>
    </w:p>
    <w:p w14:paraId="358DDC66" w14:textId="1B670536" w:rsidR="00AB697C" w:rsidRDefault="00AD4E3E" w:rsidP="00AB697C">
      <w:r>
        <w:rPr>
          <w:lang w:val="en-AU"/>
        </w:rPr>
        <w:t>Implementation of any s</w:t>
      </w:r>
      <w:r w:rsidRPr="00172912">
        <w:rPr>
          <w:lang w:val="en-AU"/>
        </w:rPr>
        <w:t xml:space="preserve">tandard is the responsibility of the state and territory government jurisdictions. </w:t>
      </w:r>
      <w:r w:rsidDel="00C67665">
        <w:rPr>
          <w:lang w:val="en-AU"/>
        </w:rPr>
        <w:t xml:space="preserve">The </w:t>
      </w:r>
      <w:r w:rsidRPr="00172912" w:rsidDel="00C67665">
        <w:rPr>
          <w:lang w:val="en-AU"/>
        </w:rPr>
        <w:t xml:space="preserve">HIWG </w:t>
      </w:r>
      <w:r w:rsidR="005B22E3">
        <w:rPr>
          <w:lang w:val="en-AU"/>
        </w:rPr>
        <w:t xml:space="preserve">was </w:t>
      </w:r>
      <w:r w:rsidRPr="00172912" w:rsidDel="00C67665">
        <w:rPr>
          <w:lang w:val="en-AU"/>
        </w:rPr>
        <w:t>established by ISFR to ensure any amendments to the Code are consistently implemented at the national level.</w:t>
      </w:r>
      <w:r w:rsidDel="00C67665">
        <w:rPr>
          <w:lang w:val="en-AU"/>
        </w:rPr>
        <w:t xml:space="preserve"> </w:t>
      </w:r>
      <w:r>
        <w:rPr>
          <w:lang w:val="en-AU"/>
        </w:rPr>
        <w:t>The HIWG met multiple times during the P1052 project.</w:t>
      </w:r>
    </w:p>
    <w:p w14:paraId="281FE8D0" w14:textId="61D37807" w:rsidR="00BB1CFD" w:rsidRPr="00061C9A" w:rsidRDefault="00BB1CFD" w:rsidP="00BB1CFD">
      <w:pPr>
        <w:pStyle w:val="Heading2"/>
      </w:pPr>
      <w:bookmarkStart w:id="670" w:name="_Toc76382378"/>
      <w:bookmarkStart w:id="671" w:name="_Toc76570506"/>
      <w:bookmarkStart w:id="672" w:name="_Toc77687527"/>
      <w:bookmarkStart w:id="673" w:name="_Toc78896413"/>
      <w:bookmarkStart w:id="674" w:name="_Toc85635354"/>
      <w:bookmarkStart w:id="675" w:name="_Toc97643899"/>
      <w:bookmarkStart w:id="676" w:name="_Toc97653284"/>
      <w:bookmarkStart w:id="677" w:name="_Toc97739435"/>
      <w:bookmarkStart w:id="678" w:name="_Toc97823852"/>
      <w:bookmarkStart w:id="679" w:name="_Toc97824016"/>
      <w:r>
        <w:t>10.</w:t>
      </w:r>
      <w:r w:rsidR="00AD4E3E">
        <w:t>5</w:t>
      </w:r>
      <w:r>
        <w:tab/>
        <w:t xml:space="preserve">  </w:t>
      </w:r>
      <w:r w:rsidRPr="00061C9A">
        <w:t>Horticulture Standards Development Advisory Group</w:t>
      </w:r>
      <w:bookmarkEnd w:id="670"/>
      <w:bookmarkEnd w:id="671"/>
      <w:bookmarkEnd w:id="672"/>
      <w:bookmarkEnd w:id="673"/>
      <w:bookmarkEnd w:id="674"/>
      <w:bookmarkEnd w:id="675"/>
      <w:bookmarkEnd w:id="676"/>
      <w:bookmarkEnd w:id="677"/>
      <w:bookmarkEnd w:id="678"/>
      <w:bookmarkEnd w:id="679"/>
    </w:p>
    <w:p w14:paraId="6B33459B" w14:textId="03F88AAB" w:rsidR="00BB1CFD" w:rsidRDefault="00BB1CFD" w:rsidP="00BB1CFD">
      <w:r>
        <w:t>FSANZ held targeted consultations with industry and jurisdictions to understand industry practices and constraints through the Horticulture SDAG, established in early 2020. Group members are from both government and industry. The Horticulture SDAG assists FSANZ in developing any primary production and processing requirements for horticulture through the provision of scientific, technical, regulatory, cost and benefit analysis advice.</w:t>
      </w:r>
    </w:p>
    <w:p w14:paraId="590D0396" w14:textId="041DF141" w:rsidR="00CF6B5E" w:rsidRDefault="00CF6B5E" w:rsidP="00CF6B5E"/>
    <w:p w14:paraId="28C1B37F" w14:textId="70EC761E" w:rsidR="00BB1CFD" w:rsidRDefault="00BB1CFD" w:rsidP="00BB1CFD">
      <w:pPr>
        <w:spacing w:after="150"/>
      </w:pPr>
      <w:r>
        <w:t>As a result of feedback provided through the Horticulture SDAG, FSANZ</w:t>
      </w:r>
      <w:r w:rsidRPr="00210EAD">
        <w:t xml:space="preserve"> amended </w:t>
      </w:r>
      <w:r>
        <w:t xml:space="preserve">the name of proposal P1052 from </w:t>
      </w:r>
      <w:r w:rsidRPr="0017262E">
        <w:rPr>
          <w:i/>
        </w:rPr>
        <w:t xml:space="preserve">PPP </w:t>
      </w:r>
      <w:r w:rsidRPr="00210EAD">
        <w:rPr>
          <w:i/>
        </w:rPr>
        <w:t>Requirement</w:t>
      </w:r>
      <w:r w:rsidRPr="0017262E">
        <w:rPr>
          <w:i/>
        </w:rPr>
        <w:t>s for High-risk Horticulture</w:t>
      </w:r>
      <w:r>
        <w:t xml:space="preserve">, to </w:t>
      </w:r>
      <w:r w:rsidRPr="0017262E">
        <w:rPr>
          <w:i/>
        </w:rPr>
        <w:t>PPP</w:t>
      </w:r>
      <w:r w:rsidRPr="00210EAD">
        <w:rPr>
          <w:i/>
        </w:rPr>
        <w:t xml:space="preserve"> Requirements for Horticulture (Berries, Leafy Vegetables and Melons)</w:t>
      </w:r>
      <w:r w:rsidRPr="0017262E">
        <w:rPr>
          <w:i/>
        </w:rPr>
        <w:t>.</w:t>
      </w:r>
      <w:r>
        <w:t xml:space="preserve"> The title of the proposal was updated </w:t>
      </w:r>
      <w:r w:rsidRPr="00210EAD">
        <w:t>to remove any misinterpretation of the term ‘high-risk’, in association with these horticulture products.</w:t>
      </w:r>
    </w:p>
    <w:p w14:paraId="2A0FE5FB" w14:textId="77777777" w:rsidR="00BB1CFD" w:rsidRPr="004915D1" w:rsidRDefault="00BB1CFD" w:rsidP="00BB1CFD">
      <w:pPr>
        <w:spacing w:after="150"/>
      </w:pPr>
      <w:r>
        <w:t>In addition, FSANZ has held discussions with individual members of the Horticulture SDAG to receive feedback and gather information relating to specific member issues.</w:t>
      </w:r>
    </w:p>
    <w:p w14:paraId="4430CB4C" w14:textId="1F39CF07" w:rsidR="00D225BA" w:rsidRDefault="005D279B" w:rsidP="00BB1CFD">
      <w:r>
        <w:t>FSANZ held two</w:t>
      </w:r>
      <w:r w:rsidR="00BB1CFD">
        <w:t xml:space="preserve"> SDAG </w:t>
      </w:r>
      <w:r w:rsidR="00D12610">
        <w:t>meetings</w:t>
      </w:r>
      <w:r w:rsidR="00BB1CFD">
        <w:t xml:space="preserve"> where stakeholders could raise their concerns and suggestion</w:t>
      </w:r>
      <w:r w:rsidR="00072DFC">
        <w:t xml:space="preserve">s about the proposed options. </w:t>
      </w:r>
      <w:r>
        <w:t xml:space="preserve">This </w:t>
      </w:r>
      <w:r w:rsidR="00072DFC">
        <w:t>included</w:t>
      </w:r>
      <w:r w:rsidR="00BB1CFD">
        <w:t xml:space="preserve"> one SDAG webinar towards the end of the second consultation round in February 2022. Jurisdictions are </w:t>
      </w:r>
      <w:r w:rsidR="00D12610">
        <w:t xml:space="preserve">now </w:t>
      </w:r>
      <w:r w:rsidR="00BB1CFD">
        <w:t xml:space="preserve">leading </w:t>
      </w:r>
      <w:r>
        <w:t xml:space="preserve">meetings </w:t>
      </w:r>
      <w:r w:rsidR="00BB1CFD">
        <w:t>with industry around how proposed requirements</w:t>
      </w:r>
      <w:r>
        <w:t>, if gazetted,</w:t>
      </w:r>
      <w:r w:rsidR="00BB1CFD">
        <w:t xml:space="preserve"> would be implemented</w:t>
      </w:r>
      <w:r w:rsidR="00D12610">
        <w:t>, including to understand how industry food safety schemes operate and possible recognition options</w:t>
      </w:r>
      <w:r w:rsidR="00BB1CFD">
        <w:t>.</w:t>
      </w:r>
    </w:p>
    <w:p w14:paraId="5BCD959F" w14:textId="1A01452C" w:rsidR="00D225BA" w:rsidRPr="00061C9A" w:rsidRDefault="00D225BA" w:rsidP="00D225BA">
      <w:pPr>
        <w:pStyle w:val="Heading2"/>
      </w:pPr>
      <w:bookmarkStart w:id="680" w:name="_Toc76382380"/>
      <w:bookmarkStart w:id="681" w:name="_Toc76570508"/>
      <w:bookmarkStart w:id="682" w:name="_Toc77687529"/>
      <w:bookmarkStart w:id="683" w:name="_Toc78896415"/>
      <w:bookmarkStart w:id="684" w:name="_Toc85635356"/>
      <w:bookmarkStart w:id="685" w:name="_Toc97643900"/>
      <w:bookmarkStart w:id="686" w:name="_Toc97653285"/>
      <w:bookmarkStart w:id="687" w:name="_Toc97739436"/>
      <w:bookmarkStart w:id="688" w:name="_Toc97823853"/>
      <w:bookmarkStart w:id="689" w:name="_Toc97824017"/>
      <w:r>
        <w:t>10.6</w:t>
      </w:r>
      <w:r>
        <w:tab/>
        <w:t xml:space="preserve">  </w:t>
      </w:r>
      <w:r w:rsidRPr="00061C9A">
        <w:t>Targeted consultation survey</w:t>
      </w:r>
      <w:bookmarkEnd w:id="680"/>
      <w:bookmarkEnd w:id="681"/>
      <w:bookmarkEnd w:id="682"/>
      <w:bookmarkEnd w:id="683"/>
      <w:bookmarkEnd w:id="684"/>
      <w:bookmarkEnd w:id="685"/>
      <w:bookmarkEnd w:id="686"/>
      <w:bookmarkEnd w:id="687"/>
      <w:bookmarkEnd w:id="688"/>
      <w:bookmarkEnd w:id="689"/>
    </w:p>
    <w:p w14:paraId="78F1E394" w14:textId="77777777" w:rsidR="00D225BA" w:rsidRDefault="00D225BA" w:rsidP="00D225BA">
      <w:r>
        <w:t>To inform work on this proposal, FSANZ invited berry, leafy vegetable and melon producers and processors to participate in a survey. The purpose of the survey was to learn more about the business operations of these stakeholders, their food safety culture and the cost associated with managing food safety. The survey was open from 17 December 2020 to 31 January 2021.</w:t>
      </w:r>
    </w:p>
    <w:p w14:paraId="72B49767" w14:textId="77777777" w:rsidR="00D225BA" w:rsidRDefault="00D225BA" w:rsidP="00D225BA"/>
    <w:p w14:paraId="62D97F64" w14:textId="6A8B9CCC" w:rsidR="00BB1CFD" w:rsidRDefault="00D225BA" w:rsidP="00AB697C">
      <w:r>
        <w:t xml:space="preserve">There were 33 responses from a range of individuals representing industry, horticulture producers and processors. The respondents were primarily representing medium-large size business, dominated by berries, followed by leafy vegetables and melons. A range of activities including growing, packing and processing were conducted by the businesses </w:t>
      </w:r>
      <w:r>
        <w:lastRenderedPageBreak/>
        <w:t>surveyed.</w:t>
      </w:r>
      <w:r w:rsidR="00593FFF">
        <w:t xml:space="preserve"> T</w:t>
      </w:r>
      <w:r>
        <w:t xml:space="preserve">he </w:t>
      </w:r>
      <w:r w:rsidR="00593FFF">
        <w:t xml:space="preserve">survey </w:t>
      </w:r>
      <w:r>
        <w:t>findings guided the risk management options.</w:t>
      </w:r>
    </w:p>
    <w:p w14:paraId="66703BE4" w14:textId="234884A2" w:rsidR="00AB697C" w:rsidRDefault="00D225BA" w:rsidP="00AB697C">
      <w:pPr>
        <w:pStyle w:val="Heading2"/>
      </w:pPr>
      <w:bookmarkStart w:id="690" w:name="_Toc97643901"/>
      <w:bookmarkStart w:id="691" w:name="_Toc97653286"/>
      <w:bookmarkStart w:id="692" w:name="_Toc97739437"/>
      <w:bookmarkStart w:id="693" w:name="_Toc97824018"/>
      <w:bookmarkStart w:id="694" w:name="_Toc97823854"/>
      <w:r>
        <w:t>10.7</w:t>
      </w:r>
      <w:r w:rsidR="00654596">
        <w:tab/>
      </w:r>
      <w:r w:rsidR="00654596">
        <w:tab/>
        <w:t>Public c</w:t>
      </w:r>
      <w:r w:rsidR="00AD4E3E">
        <w:t>onsultation</w:t>
      </w:r>
      <w:bookmarkEnd w:id="690"/>
      <w:bookmarkEnd w:id="691"/>
      <w:bookmarkEnd w:id="692"/>
      <w:bookmarkEnd w:id="693"/>
      <w:r w:rsidR="00AD4E3E">
        <w:t xml:space="preserve"> </w:t>
      </w:r>
      <w:bookmarkEnd w:id="694"/>
    </w:p>
    <w:p w14:paraId="6870C080" w14:textId="69385135" w:rsidR="00AD4E3E" w:rsidRDefault="00AD4E3E" w:rsidP="00AD4E3E">
      <w:pPr>
        <w:rPr>
          <w:lang w:bidi="ar-SA"/>
        </w:rPr>
      </w:pPr>
      <w:r>
        <w:rPr>
          <w:lang w:bidi="ar-SA"/>
        </w:rPr>
        <w:t>During the 2</w:t>
      </w:r>
      <w:r w:rsidRPr="00AD4E3E">
        <w:rPr>
          <w:vertAlign w:val="superscript"/>
          <w:lang w:bidi="ar-SA"/>
        </w:rPr>
        <w:t>nd</w:t>
      </w:r>
      <w:r>
        <w:rPr>
          <w:lang w:bidi="ar-SA"/>
        </w:rPr>
        <w:t xml:space="preserve"> Call for Submissions from November 2021 to February 2022, FSANZ sought further public feedback on the propos</w:t>
      </w:r>
      <w:r w:rsidR="00FD7562">
        <w:rPr>
          <w:lang w:bidi="ar-SA"/>
        </w:rPr>
        <w:t>ed measures</w:t>
      </w:r>
      <w:r>
        <w:rPr>
          <w:lang w:bidi="ar-SA"/>
        </w:rPr>
        <w:t>.</w:t>
      </w:r>
      <w:r w:rsidR="00D225BA" w:rsidDel="00EE5FBC">
        <w:rPr>
          <w:lang w:bidi="ar-SA"/>
        </w:rPr>
        <w:t xml:space="preserve"> </w:t>
      </w:r>
      <w:r w:rsidR="00EE5FBC">
        <w:t xml:space="preserve">We also </w:t>
      </w:r>
      <w:r w:rsidR="00D225BA">
        <w:t>included questions on the proposed options and evidence to inform further refinement of costs and benefits.</w:t>
      </w:r>
      <w:r w:rsidR="00484AC8">
        <w:t xml:space="preserve"> S</w:t>
      </w:r>
      <w:r w:rsidR="00CC278C">
        <w:t>ubmissions were received from 32</w:t>
      </w:r>
      <w:r w:rsidR="00484AC8">
        <w:t xml:space="preserve"> stakeholders</w:t>
      </w:r>
      <w:r w:rsidR="00484AC8" w:rsidDel="00FD7562">
        <w:t xml:space="preserve"> </w:t>
      </w:r>
      <w:r w:rsidR="00484AC8">
        <w:t>from government</w:t>
      </w:r>
      <w:r w:rsidR="00FD7562">
        <w:t>,</w:t>
      </w:r>
      <w:r w:rsidR="00484AC8">
        <w:t xml:space="preserve"> industry, peak bodies or individu</w:t>
      </w:r>
      <w:r w:rsidR="00A72E93">
        <w:t xml:space="preserve">als. </w:t>
      </w:r>
      <w:r w:rsidR="00FD7562">
        <w:t>A summary of the subm</w:t>
      </w:r>
      <w:r w:rsidR="002A32B0">
        <w:t>issions and FSANZ’s responses are</w:t>
      </w:r>
      <w:r w:rsidR="00FD7562">
        <w:t xml:space="preserve"> provided in our Approval Report.</w:t>
      </w:r>
    </w:p>
    <w:p w14:paraId="7CC4DCC4" w14:textId="77777777" w:rsidR="00EE5FBC" w:rsidRDefault="00EE5FBC" w:rsidP="00EE5FBC"/>
    <w:p w14:paraId="207E7FC3" w14:textId="77777777" w:rsidR="002E39FB" w:rsidRDefault="00EE5FBC" w:rsidP="00EE5FBC">
      <w:r w:rsidRPr="00EE5FBC">
        <w:t xml:space="preserve">Overall, there was majority support for introducing regulation (i.e. standards) and supporting them with guidance and materials to ensure safe production of these commodities. Government submitters strongly supported regulatory measures, while industry support was conditional on the basis that implementation should recognise their commercial food safety schemes. </w:t>
      </w:r>
    </w:p>
    <w:p w14:paraId="4FBCE8E4" w14:textId="77777777" w:rsidR="002E39FB" w:rsidRDefault="002E39FB" w:rsidP="00EE5FBC"/>
    <w:p w14:paraId="0D3A0B3D" w14:textId="77777777" w:rsidR="002E39FB" w:rsidRDefault="00EE5FBC" w:rsidP="00EE5FBC">
      <w:r w:rsidRPr="00EE5FBC">
        <w:t>Some industry and grower representatives were opposed to any regulation. Several submissions were concerned about the impact on small businesses. Costs and additional burden</w:t>
      </w:r>
      <w:r w:rsidR="002E39FB">
        <w:t>s</w:t>
      </w:r>
      <w:r w:rsidRPr="00EE5FBC">
        <w:t xml:space="preserve"> associated with implementation were raised in most industry submissions. </w:t>
      </w:r>
    </w:p>
    <w:p w14:paraId="72E2D06F" w14:textId="77777777" w:rsidR="002E39FB" w:rsidRDefault="002E39FB" w:rsidP="00EE5FBC"/>
    <w:p w14:paraId="54F6955E" w14:textId="77777777" w:rsidR="002E39FB" w:rsidRDefault="00EE5FBC" w:rsidP="00EE5FBC">
      <w:r w:rsidRPr="00EE5FBC">
        <w:t xml:space="preserve">State and territory jurisdictions submitted </w:t>
      </w:r>
      <w:r w:rsidR="002E39FB">
        <w:t xml:space="preserve">that </w:t>
      </w:r>
      <w:r w:rsidRPr="00EE5FBC">
        <w:t xml:space="preserve">they sought to work with industry on alternative compliance approaches including a recognition model and real-time data monitoring. </w:t>
      </w:r>
    </w:p>
    <w:p w14:paraId="7276669A" w14:textId="77777777" w:rsidR="002E39FB" w:rsidRDefault="002E39FB" w:rsidP="00EE5FBC"/>
    <w:p w14:paraId="7D22A5EC" w14:textId="0AB37023" w:rsidR="00EE5FBC" w:rsidRDefault="00EE5FBC" w:rsidP="00EE5FBC">
      <w:pPr>
        <w:rPr>
          <w:rFonts w:ascii="Calibri" w:hAnsi="Calibri"/>
          <w:szCs w:val="22"/>
          <w:lang w:bidi="ar-SA"/>
        </w:rPr>
      </w:pPr>
      <w:r w:rsidRPr="00EE5FBC">
        <w:t>There was strong agreement on the need for non-regulatory measures</w:t>
      </w:r>
      <w:r w:rsidR="002A59BD">
        <w:t>,</w:t>
      </w:r>
      <w:r w:rsidRPr="00EE5FBC">
        <w:t xml:space="preserve"> particularly guidance </w:t>
      </w:r>
      <w:r w:rsidR="002A59BD">
        <w:t>on</w:t>
      </w:r>
      <w:r w:rsidRPr="00EE5FBC">
        <w:t xml:space="preserve"> food safety in horticulture and supporting materials; these were particularly important for small business</w:t>
      </w:r>
      <w:r w:rsidR="002A59BD">
        <w:t>es</w:t>
      </w:r>
      <w:r w:rsidRPr="00EE5FBC">
        <w:t>. Submissions commented on the scope of standards and some amendments to specific requirements were agreed (e.g. definitions, traceability and soil inputs). Stakeholders requested the transition period be extended</w:t>
      </w:r>
      <w:r>
        <w:t>.</w:t>
      </w:r>
    </w:p>
    <w:p w14:paraId="2987314A" w14:textId="18970974" w:rsidR="00AD4E3E" w:rsidRPr="00AD4E3E" w:rsidRDefault="00AD4E3E" w:rsidP="00AB697C"/>
    <w:p w14:paraId="3895CDE8" w14:textId="6B5F4806" w:rsidR="00AB697C" w:rsidRDefault="005B7E7C" w:rsidP="002E39FB">
      <w:pPr>
        <w:widowControl/>
        <w:rPr>
          <w:lang w:val="en-AU"/>
        </w:rPr>
      </w:pPr>
      <w:r>
        <w:rPr>
          <w:lang w:val="en-AU"/>
        </w:rPr>
        <w:t>Some submissions provided</w:t>
      </w:r>
      <w:r w:rsidR="00394B72">
        <w:rPr>
          <w:lang w:val="en-AU"/>
        </w:rPr>
        <w:t xml:space="preserve"> information on costs and benefits, including market values of different industries, financial impacts of food safety outbreaks to industry, updates on numbers of growers and primary producers, updated audit costings and other matters. </w:t>
      </w:r>
    </w:p>
    <w:p w14:paraId="28E658B1" w14:textId="77777777" w:rsidR="00896B5C" w:rsidRDefault="00896B5C" w:rsidP="002E39FB">
      <w:pPr>
        <w:widowControl/>
      </w:pPr>
    </w:p>
    <w:bookmarkEnd w:id="639"/>
    <w:p w14:paraId="7D4816B5" w14:textId="7F0DD3DE" w:rsidR="006573A1" w:rsidRDefault="00AD4E3E" w:rsidP="00AD4E3E">
      <w:r>
        <w:t>FSANZ acknowledges the time taken by individuals and organisations to make submissions and contribute information and advice on this proposal. All comments</w:t>
      </w:r>
      <w:r w:rsidR="00287954">
        <w:t xml:space="preserve"> were</w:t>
      </w:r>
      <w:r>
        <w:t xml:space="preserve"> valued and contribute</w:t>
      </w:r>
      <w:r w:rsidR="00287954">
        <w:t>d</w:t>
      </w:r>
      <w:r>
        <w:t xml:space="preserve"> to the rigour of our assessment.</w:t>
      </w:r>
    </w:p>
    <w:p w14:paraId="05D233DC" w14:textId="32C62535" w:rsidR="006573A1" w:rsidRDefault="00654596" w:rsidP="006573A1">
      <w:pPr>
        <w:pStyle w:val="Heading2"/>
      </w:pPr>
      <w:bookmarkStart w:id="695" w:name="_Toc97643902"/>
      <w:bookmarkStart w:id="696" w:name="_Toc97653287"/>
      <w:bookmarkStart w:id="697" w:name="_Toc97739438"/>
      <w:bookmarkStart w:id="698" w:name="_Toc97823855"/>
      <w:bookmarkStart w:id="699" w:name="_Toc97824019"/>
      <w:r>
        <w:t>10.</w:t>
      </w:r>
      <w:r w:rsidR="00FE28E8">
        <w:t>8</w:t>
      </w:r>
      <w:r>
        <w:tab/>
      </w:r>
      <w:r>
        <w:tab/>
      </w:r>
      <w:r w:rsidR="006573A1">
        <w:t xml:space="preserve">Main changes following </w:t>
      </w:r>
      <w:r w:rsidR="00CB2E31">
        <w:t xml:space="preserve">public </w:t>
      </w:r>
      <w:r w:rsidR="006573A1">
        <w:t>consultation</w:t>
      </w:r>
      <w:r w:rsidR="00CB2E31">
        <w:t xml:space="preserve"> and stakeholder feedback</w:t>
      </w:r>
      <w:bookmarkEnd w:id="695"/>
      <w:bookmarkEnd w:id="696"/>
      <w:bookmarkEnd w:id="697"/>
      <w:bookmarkEnd w:id="698"/>
      <w:bookmarkEnd w:id="699"/>
    </w:p>
    <w:p w14:paraId="7B1D3FC4" w14:textId="6D9DA674" w:rsidR="006573A1" w:rsidRDefault="006573A1" w:rsidP="00AB697C">
      <w:r>
        <w:t>After considering stakeholder feedback, FSANZ has made the following main changes to the proposals</w:t>
      </w:r>
      <w:r w:rsidR="000D48BA">
        <w:t xml:space="preserve"> since the 2</w:t>
      </w:r>
      <w:r w:rsidR="000D48BA" w:rsidRPr="000D48BA">
        <w:rPr>
          <w:vertAlign w:val="superscript"/>
        </w:rPr>
        <w:t>nd</w:t>
      </w:r>
      <w:r w:rsidR="000D48BA">
        <w:t xml:space="preserve"> consultation round</w:t>
      </w:r>
      <w:r>
        <w:t>:</w:t>
      </w:r>
    </w:p>
    <w:p w14:paraId="1487860F" w14:textId="715A4C8B" w:rsidR="006573A1" w:rsidRDefault="006573A1" w:rsidP="00AB697C"/>
    <w:p w14:paraId="358821F5" w14:textId="2B4D6454" w:rsidR="006573A1" w:rsidRPr="006573A1" w:rsidRDefault="006573A1" w:rsidP="006573A1">
      <w:pPr>
        <w:pStyle w:val="ListParagraph"/>
        <w:widowControl/>
        <w:numPr>
          <w:ilvl w:val="0"/>
          <w:numId w:val="37"/>
        </w:numPr>
        <w:contextualSpacing w:val="0"/>
      </w:pPr>
      <w:r w:rsidRPr="006573A1">
        <w:t>extend</w:t>
      </w:r>
      <w:r w:rsidR="005761C1">
        <w:t xml:space="preserve">ed </w:t>
      </w:r>
      <w:r w:rsidRPr="006573A1">
        <w:t>the transition period for implementation of the proposed PPP Standard to 2.5 years after new legislation is gazetted</w:t>
      </w:r>
      <w:r w:rsidR="008C7E08">
        <w:t xml:space="preserve"> (instead of 18 months)</w:t>
      </w:r>
    </w:p>
    <w:p w14:paraId="7BFBE999" w14:textId="2FE8596C" w:rsidR="006573A1" w:rsidRPr="006573A1" w:rsidRDefault="006573A1" w:rsidP="006573A1">
      <w:pPr>
        <w:pStyle w:val="ListParagraph"/>
        <w:widowControl/>
        <w:numPr>
          <w:ilvl w:val="0"/>
          <w:numId w:val="37"/>
        </w:numPr>
        <w:contextualSpacing w:val="0"/>
      </w:pPr>
      <w:r w:rsidRPr="006573A1">
        <w:t>improv</w:t>
      </w:r>
      <w:r w:rsidR="005761C1">
        <w:t>ed definitions: </w:t>
      </w:r>
      <w:r w:rsidRPr="006573A1">
        <w:t>remov</w:t>
      </w:r>
      <w:r w:rsidR="005761C1">
        <w:t>ed</w:t>
      </w:r>
      <w:r w:rsidRPr="006573A1">
        <w:t xml:space="preserve"> chopping and add</w:t>
      </w:r>
      <w:r w:rsidR="005761C1">
        <w:t>ed</w:t>
      </w:r>
      <w:r w:rsidRPr="006573A1">
        <w:t xml:space="preserve"> storage to definitions of primary processor &amp; primary processing activities</w:t>
      </w:r>
      <w:r>
        <w:t xml:space="preserve">, and </w:t>
      </w:r>
      <w:r w:rsidRPr="006573A1">
        <w:t>amend</w:t>
      </w:r>
      <w:r w:rsidR="005761C1">
        <w:t>ed</w:t>
      </w:r>
      <w:r w:rsidRPr="006573A1">
        <w:t xml:space="preserve"> the berry definition to provide clarity and consistency with some other definitions (levies)</w:t>
      </w:r>
    </w:p>
    <w:p w14:paraId="0A3D90EA" w14:textId="2AA0AE9F" w:rsidR="006573A1" w:rsidRDefault="005761C1" w:rsidP="006573A1">
      <w:pPr>
        <w:pStyle w:val="ListParagraph"/>
        <w:widowControl/>
        <w:numPr>
          <w:ilvl w:val="0"/>
          <w:numId w:val="41"/>
        </w:numPr>
        <w:contextualSpacing w:val="0"/>
      </w:pPr>
      <w:r>
        <w:t>added</w:t>
      </w:r>
      <w:r w:rsidR="006573A1" w:rsidRPr="006573A1">
        <w:t xml:space="preserve"> soil, soil amendments and fertilisers to the input clause for berries to capture (straw)berries grown close to ground</w:t>
      </w:r>
      <w:r w:rsidR="000D48BA">
        <w:t>.</w:t>
      </w:r>
    </w:p>
    <w:p w14:paraId="7157CBD9" w14:textId="0B81ECE3" w:rsidR="00EF4288" w:rsidRDefault="005B7E7C" w:rsidP="006573A1">
      <w:pPr>
        <w:pStyle w:val="ListParagraph"/>
        <w:widowControl/>
        <w:numPr>
          <w:ilvl w:val="0"/>
          <w:numId w:val="41"/>
        </w:numPr>
        <w:contextualSpacing w:val="0"/>
      </w:pPr>
      <w:r>
        <w:t>strengthened the</w:t>
      </w:r>
      <w:r w:rsidR="00EF4288">
        <w:t xml:space="preserve"> traceability clause for berries to include traceability to the growing site</w:t>
      </w:r>
      <w:r>
        <w:t>.</w:t>
      </w:r>
      <w:r w:rsidR="00EF4288">
        <w:t xml:space="preserve"> </w:t>
      </w:r>
    </w:p>
    <w:p w14:paraId="78E3B600" w14:textId="35BA9292" w:rsidR="000D48BA" w:rsidRDefault="000D48BA" w:rsidP="000D48BA">
      <w:pPr>
        <w:widowControl/>
      </w:pPr>
    </w:p>
    <w:p w14:paraId="5EF89FED" w14:textId="407B49C5" w:rsidR="000D48BA" w:rsidRDefault="002E39FB" w:rsidP="000D48BA">
      <w:pPr>
        <w:widowControl/>
      </w:pPr>
      <w:r>
        <w:rPr>
          <w:lang w:val="en-AU"/>
        </w:rPr>
        <w:lastRenderedPageBreak/>
        <w:t>We have assessed the information provided on costs and benefits, and incorporated relevant information into our final costings presented in this report. That includes remodelling</w:t>
      </w:r>
      <w:r w:rsidR="00AB1B7C">
        <w:t xml:space="preserve"> </w:t>
      </w:r>
      <w:r w:rsidR="000D48BA">
        <w:t>certain costs, benefits and business number estimates based on evidence-backed stakeholder feedback, including:</w:t>
      </w:r>
    </w:p>
    <w:p w14:paraId="45495DAC" w14:textId="6C1AA309" w:rsidR="000D48BA" w:rsidRDefault="002E39FB" w:rsidP="000D48BA">
      <w:pPr>
        <w:pStyle w:val="ListParagraph"/>
        <w:widowControl/>
        <w:numPr>
          <w:ilvl w:val="0"/>
          <w:numId w:val="37"/>
        </w:numPr>
        <w:contextualSpacing w:val="0"/>
      </w:pPr>
      <w:r>
        <w:t>now estimating 640</w:t>
      </w:r>
      <w:r w:rsidR="000D48BA">
        <w:t xml:space="preserve"> leafy vegetable businesses in Australia</w:t>
      </w:r>
    </w:p>
    <w:p w14:paraId="43FAF9F4" w14:textId="35107EBE" w:rsidR="000D48BA" w:rsidRDefault="002E39FB" w:rsidP="000D48BA">
      <w:pPr>
        <w:pStyle w:val="ListParagraph"/>
        <w:widowControl/>
        <w:numPr>
          <w:ilvl w:val="0"/>
          <w:numId w:val="37"/>
        </w:numPr>
        <w:contextualSpacing w:val="0"/>
      </w:pPr>
      <w:r>
        <w:t>now estimating 320</w:t>
      </w:r>
      <w:r w:rsidR="000D48BA">
        <w:t xml:space="preserve"> leafy vegetable businesses on </w:t>
      </w:r>
      <w:r w:rsidR="009A579C">
        <w:t xml:space="preserve">a </w:t>
      </w:r>
      <w:r w:rsidR="000D48BA">
        <w:t>FSS</w:t>
      </w:r>
    </w:p>
    <w:p w14:paraId="3A0DF658" w14:textId="3F604B43" w:rsidR="002E39FB" w:rsidRDefault="002E39FB" w:rsidP="000D48BA">
      <w:pPr>
        <w:pStyle w:val="ListParagraph"/>
        <w:widowControl/>
        <w:numPr>
          <w:ilvl w:val="0"/>
          <w:numId w:val="37"/>
        </w:numPr>
        <w:contextualSpacing w:val="0"/>
      </w:pPr>
      <w:r>
        <w:t>now assuming 210 annual harvest days for berries</w:t>
      </w:r>
    </w:p>
    <w:p w14:paraId="2ED71F95" w14:textId="2BDF0E6C" w:rsidR="000D48BA" w:rsidRDefault="000D48BA" w:rsidP="000D48BA">
      <w:pPr>
        <w:pStyle w:val="ListParagraph"/>
        <w:widowControl/>
        <w:numPr>
          <w:ilvl w:val="0"/>
          <w:numId w:val="37"/>
        </w:numPr>
        <w:contextualSpacing w:val="0"/>
      </w:pPr>
      <w:r>
        <w:t>incorporating costs of added</w:t>
      </w:r>
      <w:r w:rsidRPr="006573A1">
        <w:t xml:space="preserve"> soil, soil amendments and fertilisers</w:t>
      </w:r>
      <w:r>
        <w:t xml:space="preserve"> for berries businesses</w:t>
      </w:r>
    </w:p>
    <w:p w14:paraId="2FF0C62D" w14:textId="564BFD7E" w:rsidR="000D48BA" w:rsidRDefault="000D48BA" w:rsidP="000D48BA">
      <w:pPr>
        <w:pStyle w:val="ListParagraph"/>
        <w:widowControl/>
        <w:numPr>
          <w:ilvl w:val="0"/>
          <w:numId w:val="37"/>
        </w:numPr>
        <w:contextualSpacing w:val="0"/>
      </w:pPr>
      <w:r>
        <w:t>accou</w:t>
      </w:r>
      <w:r w:rsidR="00FC7899">
        <w:t>nting for reduced costs of food</w:t>
      </w:r>
      <w:r>
        <w:t>borne illness under the more sophisticated ANU model.</w:t>
      </w:r>
      <w:r w:rsidR="00654596">
        <w:br/>
      </w:r>
    </w:p>
    <w:p w14:paraId="1A6D14BC" w14:textId="01F85C12" w:rsidR="00AB697C" w:rsidRPr="000D48BA" w:rsidRDefault="00AB697C" w:rsidP="000D48BA">
      <w:pPr>
        <w:pStyle w:val="ListParagraph"/>
        <w:widowControl/>
        <w:ind w:left="360"/>
        <w:contextualSpacing w:val="0"/>
      </w:pPr>
      <w:r w:rsidRPr="000D48BA">
        <w:rPr>
          <w:rFonts w:ascii="Calibri" w:hAnsi="Calibri" w:cs="Calibri"/>
          <w:color w:val="000000"/>
          <w:sz w:val="24"/>
          <w:lang w:eastAsia="en-GB" w:bidi="ar-SA"/>
        </w:rPr>
        <w:t xml:space="preserve"> </w:t>
      </w:r>
    </w:p>
    <w:p w14:paraId="1375C3F1" w14:textId="7E829864" w:rsidR="00BB1173" w:rsidRPr="008972C9" w:rsidRDefault="00D225BA" w:rsidP="008972C9">
      <w:pPr>
        <w:pStyle w:val="Heading1"/>
        <w:widowControl/>
        <w:spacing w:before="0" w:after="0"/>
        <w:ind w:left="0" w:firstLine="0"/>
        <w:rPr>
          <w:rFonts w:ascii="Arial Bold" w:eastAsiaTheme="majorEastAsia" w:hAnsi="Arial Bold" w:cstheme="majorBidi"/>
          <w:b w:val="0"/>
          <w:lang w:val="en-AU" w:eastAsia="en-GB"/>
        </w:rPr>
      </w:pPr>
      <w:bookmarkStart w:id="700" w:name="_Toc97643903"/>
      <w:bookmarkStart w:id="701" w:name="_Toc97653288"/>
      <w:bookmarkStart w:id="702" w:name="_Toc97739439"/>
      <w:bookmarkStart w:id="703" w:name="_Toc97823856"/>
      <w:bookmarkStart w:id="704" w:name="_Toc97824020"/>
      <w:r>
        <w:rPr>
          <w:rFonts w:ascii="Arial Bold" w:eastAsiaTheme="majorEastAsia" w:hAnsi="Arial Bold" w:cstheme="majorBidi"/>
          <w:b w:val="0"/>
          <w:lang w:val="en-AU" w:eastAsia="en-GB"/>
        </w:rPr>
        <w:t>11</w:t>
      </w:r>
      <w:r w:rsidR="008972C9">
        <w:rPr>
          <w:rFonts w:ascii="Arial Bold" w:eastAsiaTheme="majorEastAsia" w:hAnsi="Arial Bold" w:cstheme="majorBidi"/>
          <w:b w:val="0"/>
          <w:lang w:val="en-AU" w:eastAsia="en-GB"/>
        </w:rPr>
        <w:t xml:space="preserve">. </w:t>
      </w:r>
      <w:r w:rsidR="00DD5CAB" w:rsidRPr="00DD5CAB">
        <w:rPr>
          <w:rFonts w:ascii="Arial Bold" w:eastAsiaTheme="majorEastAsia" w:hAnsi="Arial Bold" w:cstheme="majorBidi"/>
          <w:b w:val="0"/>
          <w:lang w:val="en-AU" w:eastAsia="en-GB"/>
        </w:rPr>
        <w:t>How will the chosen option be implemented and evaluated</w:t>
      </w:r>
      <w:bookmarkEnd w:id="632"/>
      <w:r w:rsidR="008972C9">
        <w:rPr>
          <w:rFonts w:ascii="Arial Bold" w:eastAsiaTheme="majorEastAsia" w:hAnsi="Arial Bold" w:cstheme="majorBidi"/>
          <w:b w:val="0"/>
          <w:lang w:val="en-AU" w:eastAsia="en-GB"/>
        </w:rPr>
        <w:t>?</w:t>
      </w:r>
      <w:bookmarkEnd w:id="633"/>
      <w:bookmarkEnd w:id="700"/>
      <w:bookmarkEnd w:id="701"/>
      <w:bookmarkEnd w:id="702"/>
      <w:bookmarkEnd w:id="703"/>
      <w:bookmarkEnd w:id="704"/>
      <w:r w:rsidR="00DD5CAB" w:rsidRPr="00DD5CAB">
        <w:rPr>
          <w:rFonts w:ascii="Arial Bold" w:eastAsiaTheme="majorEastAsia" w:hAnsi="Arial Bold" w:cstheme="majorBidi"/>
          <w:b w:val="0"/>
          <w:lang w:val="en-AU" w:eastAsia="en-GB"/>
        </w:rPr>
        <w:t xml:space="preserve"> </w:t>
      </w:r>
    </w:p>
    <w:p w14:paraId="140FAE3E" w14:textId="29FB277E" w:rsidR="00C84D17" w:rsidRPr="009D2DA6" w:rsidRDefault="00D225BA" w:rsidP="00F611C6">
      <w:pPr>
        <w:pStyle w:val="Heading2"/>
      </w:pPr>
      <w:bookmarkStart w:id="705" w:name="_Toc97739440"/>
      <w:bookmarkStart w:id="706" w:name="_Toc97823857"/>
      <w:bookmarkStart w:id="707" w:name="_Toc97824021"/>
      <w:bookmarkStart w:id="708" w:name="_Toc78896407"/>
      <w:r>
        <w:t>11</w:t>
      </w:r>
      <w:r w:rsidR="00CB47EA">
        <w:t>.1</w:t>
      </w:r>
      <w:r w:rsidR="00CB47EA">
        <w:tab/>
        <w:t xml:space="preserve">  </w:t>
      </w:r>
      <w:bookmarkStart w:id="709" w:name="_Toc85635339"/>
      <w:bookmarkStart w:id="710" w:name="_Toc97643904"/>
      <w:bookmarkStart w:id="711" w:name="_Toc97653289"/>
      <w:r w:rsidR="00C84D17" w:rsidRPr="009D2DA6">
        <w:t>Overview</w:t>
      </w:r>
      <w:bookmarkEnd w:id="705"/>
      <w:bookmarkEnd w:id="706"/>
      <w:bookmarkEnd w:id="707"/>
      <w:bookmarkEnd w:id="709"/>
      <w:bookmarkEnd w:id="710"/>
      <w:bookmarkEnd w:id="711"/>
    </w:p>
    <w:p w14:paraId="12BF5132" w14:textId="74DA329B" w:rsidR="00B62977" w:rsidRDefault="00C84D17" w:rsidP="00E24546">
      <w:pPr>
        <w:rPr>
          <w:rFonts w:cs="Arial"/>
          <w:lang w:eastAsia="en-GB"/>
        </w:rPr>
      </w:pPr>
      <w:r w:rsidRPr="009D2DA6">
        <w:rPr>
          <w:lang w:val="en-AU"/>
        </w:rPr>
        <w:t xml:space="preserve">Implementation of the proposed standards is the responsibility of the states and territories. </w:t>
      </w:r>
      <w:r w:rsidR="00E24546" w:rsidRPr="00411BA8">
        <w:rPr>
          <w:lang w:val="en-AU"/>
        </w:rPr>
        <w:t>The Implementation Sub-Committee for Food Regulation (ISFR) facilitates the consistent national implementation of standards by developing agreed implementation approaches and compliance materials</w:t>
      </w:r>
      <w:r w:rsidR="00E24546">
        <w:rPr>
          <w:lang w:val="en-AU"/>
        </w:rPr>
        <w:t xml:space="preserve">. </w:t>
      </w:r>
      <w:r w:rsidR="00E24546">
        <w:t>A</w:t>
      </w:r>
      <w:r w:rsidR="00A92C8A">
        <w:t>n</w:t>
      </w:r>
      <w:r w:rsidR="00E24546" w:rsidRPr="003A31F6">
        <w:rPr>
          <w:rFonts w:cs="Arial"/>
          <w:lang w:eastAsia="en-GB"/>
        </w:rPr>
        <w:t xml:space="preserve"> </w:t>
      </w:r>
      <w:r w:rsidR="00A92C8A">
        <w:rPr>
          <w:rFonts w:cs="Arial"/>
          <w:lang w:eastAsia="en-GB"/>
        </w:rPr>
        <w:t>i</w:t>
      </w:r>
      <w:r w:rsidR="00E24546" w:rsidRPr="003A31F6">
        <w:rPr>
          <w:rFonts w:cs="Arial"/>
          <w:lang w:eastAsia="en-GB"/>
        </w:rPr>
        <w:t xml:space="preserve">mplementation </w:t>
      </w:r>
      <w:r w:rsidR="00A92C8A" w:rsidRPr="003A31F6">
        <w:rPr>
          <w:rFonts w:cs="Arial"/>
          <w:lang w:eastAsia="en-GB"/>
        </w:rPr>
        <w:t>working g</w:t>
      </w:r>
      <w:r w:rsidR="00E24546" w:rsidRPr="003A31F6">
        <w:rPr>
          <w:rFonts w:cs="Arial"/>
          <w:lang w:eastAsia="en-GB"/>
        </w:rPr>
        <w:t xml:space="preserve">roup (HIWG) was established by </w:t>
      </w:r>
      <w:r w:rsidR="00E24546" w:rsidRPr="00BD49EA">
        <w:t>ISFR</w:t>
      </w:r>
      <w:r w:rsidR="00E24546" w:rsidRPr="003A31F6">
        <w:rPr>
          <w:rFonts w:cs="Arial"/>
          <w:lang w:eastAsia="en-GB"/>
        </w:rPr>
        <w:t xml:space="preserve"> for this purpose. </w:t>
      </w:r>
    </w:p>
    <w:p w14:paraId="3C9771A9" w14:textId="77777777" w:rsidR="00B62977" w:rsidRDefault="00B62977" w:rsidP="00E24546">
      <w:pPr>
        <w:rPr>
          <w:rFonts w:cs="Arial"/>
          <w:lang w:eastAsia="en-GB"/>
        </w:rPr>
      </w:pPr>
    </w:p>
    <w:p w14:paraId="1E956B60" w14:textId="04360AAE" w:rsidR="00E24546" w:rsidRDefault="00E24546" w:rsidP="00BB1173">
      <w:pPr>
        <w:rPr>
          <w:lang w:val="en-AU"/>
        </w:rPr>
      </w:pPr>
      <w:r w:rsidRPr="003A31F6">
        <w:rPr>
          <w:rFonts w:cs="Arial"/>
          <w:lang w:eastAsia="en-GB"/>
        </w:rPr>
        <w:t>The HIWG consists of state and territory government</w:t>
      </w:r>
      <w:r>
        <w:rPr>
          <w:rFonts w:cs="Arial"/>
          <w:lang w:eastAsia="en-GB"/>
        </w:rPr>
        <w:t xml:space="preserve"> representatives</w:t>
      </w:r>
      <w:r w:rsidRPr="003A31F6">
        <w:rPr>
          <w:rFonts w:cs="Arial"/>
          <w:lang w:eastAsia="en-GB"/>
        </w:rPr>
        <w:t xml:space="preserve">, </w:t>
      </w:r>
      <w:r w:rsidR="00E77BCC">
        <w:rPr>
          <w:rFonts w:cs="Arial"/>
          <w:lang w:eastAsia="en-GB"/>
        </w:rPr>
        <w:t>DAWE</w:t>
      </w:r>
      <w:r w:rsidRPr="003A31F6">
        <w:rPr>
          <w:rFonts w:cs="Arial"/>
          <w:lang w:eastAsia="en-GB"/>
        </w:rPr>
        <w:t xml:space="preserve"> and FSANZ. They are using the </w:t>
      </w:r>
      <w:r w:rsidR="00A43A53">
        <w:rPr>
          <w:rFonts w:cs="Arial"/>
          <w:lang w:eastAsia="en-GB"/>
        </w:rPr>
        <w:t>Integrated Model</w:t>
      </w:r>
      <w:r w:rsidR="00E77BCC">
        <w:rPr>
          <w:rFonts w:cs="Arial"/>
          <w:lang w:eastAsia="en-GB"/>
        </w:rPr>
        <w:t xml:space="preserve"> (see section 8.2) </w:t>
      </w:r>
      <w:r w:rsidRPr="003A31F6">
        <w:rPr>
          <w:rFonts w:cs="Arial"/>
          <w:lang w:eastAsia="en-GB"/>
        </w:rPr>
        <w:t xml:space="preserve">to develop a range of tools to assist businesses and regulators understand how a </w:t>
      </w:r>
      <w:r w:rsidR="00E77BCC">
        <w:rPr>
          <w:rFonts w:cs="Arial"/>
          <w:lang w:eastAsia="en-GB"/>
        </w:rPr>
        <w:t>PPP</w:t>
      </w:r>
      <w:r w:rsidRPr="003A31F6">
        <w:rPr>
          <w:rFonts w:cs="Arial"/>
          <w:lang w:eastAsia="en-GB"/>
        </w:rPr>
        <w:t xml:space="preserve"> standard would be implemented. </w:t>
      </w:r>
      <w:r>
        <w:rPr>
          <w:rFonts w:cs="Arial"/>
          <w:lang w:eastAsia="en-GB"/>
        </w:rPr>
        <w:t xml:space="preserve">Other </w:t>
      </w:r>
      <w:r w:rsidR="00E77BCC">
        <w:rPr>
          <w:rFonts w:cs="Arial"/>
          <w:lang w:eastAsia="en-GB"/>
        </w:rPr>
        <w:t>PPP</w:t>
      </w:r>
      <w:r>
        <w:rPr>
          <w:rFonts w:cs="Arial"/>
          <w:lang w:eastAsia="en-GB"/>
        </w:rPr>
        <w:t xml:space="preserve"> standards have also used the Integrated Model</w:t>
      </w:r>
      <w:r w:rsidR="00E77BCC">
        <w:rPr>
          <w:rFonts w:cs="Arial"/>
          <w:lang w:eastAsia="en-GB"/>
        </w:rPr>
        <w:t xml:space="preserve"> for national consistency</w:t>
      </w:r>
      <w:r>
        <w:rPr>
          <w:rFonts w:cs="Arial"/>
          <w:lang w:eastAsia="en-GB"/>
        </w:rPr>
        <w:t xml:space="preserve">. </w:t>
      </w:r>
    </w:p>
    <w:p w14:paraId="05A0FBD8" w14:textId="507AD020" w:rsidR="00682754" w:rsidRDefault="009B166B" w:rsidP="00D8372C">
      <w:pPr>
        <w:pStyle w:val="Heading2"/>
      </w:pPr>
      <w:bookmarkStart w:id="712" w:name="_Toc97739441"/>
      <w:bookmarkStart w:id="713" w:name="_Toc97823858"/>
      <w:bookmarkStart w:id="714" w:name="_Toc97824022"/>
      <w:r>
        <w:t>11.2</w:t>
      </w:r>
      <w:r w:rsidR="00A92C8A">
        <w:tab/>
      </w:r>
      <w:r>
        <w:tab/>
      </w:r>
      <w:r w:rsidR="00682754">
        <w:t>Compliance framework</w:t>
      </w:r>
      <w:bookmarkEnd w:id="712"/>
      <w:bookmarkEnd w:id="713"/>
      <w:bookmarkEnd w:id="714"/>
    </w:p>
    <w:p w14:paraId="62246269" w14:textId="77C16EC3" w:rsidR="00B62977" w:rsidRDefault="00E24546" w:rsidP="00BB1173">
      <w:pPr>
        <w:rPr>
          <w:lang w:val="en-AU"/>
        </w:rPr>
      </w:pPr>
      <w:r>
        <w:t xml:space="preserve">The HIWG </w:t>
      </w:r>
      <w:r>
        <w:rPr>
          <w:lang w:val="en-AU"/>
        </w:rPr>
        <w:t>d</w:t>
      </w:r>
      <w:r w:rsidR="00A92C8A">
        <w:rPr>
          <w:lang w:val="en-AU"/>
        </w:rPr>
        <w:t>rafted</w:t>
      </w:r>
      <w:r>
        <w:rPr>
          <w:lang w:val="en-AU"/>
        </w:rPr>
        <w:t xml:space="preserve"> </w:t>
      </w:r>
      <w:r w:rsidR="000A5396">
        <w:rPr>
          <w:lang w:val="en-AU"/>
        </w:rPr>
        <w:t>c</w:t>
      </w:r>
      <w:r w:rsidR="000A5396" w:rsidRPr="009D2DA6">
        <w:rPr>
          <w:lang w:val="en-AU"/>
        </w:rPr>
        <w:t xml:space="preserve">ompliance plans </w:t>
      </w:r>
      <w:r w:rsidR="00A92C8A">
        <w:rPr>
          <w:lang w:val="en-AU"/>
        </w:rPr>
        <w:t xml:space="preserve">and guidance </w:t>
      </w:r>
      <w:r w:rsidR="00682754">
        <w:rPr>
          <w:lang w:val="en-AU"/>
        </w:rPr>
        <w:t>to facilitate</w:t>
      </w:r>
      <w:r>
        <w:rPr>
          <w:lang w:val="en-AU"/>
        </w:rPr>
        <w:t xml:space="preserve"> </w:t>
      </w:r>
      <w:r w:rsidR="00634027">
        <w:rPr>
          <w:lang w:val="en-AU"/>
        </w:rPr>
        <w:t xml:space="preserve">consistent </w:t>
      </w:r>
      <w:r>
        <w:rPr>
          <w:lang w:val="en-AU"/>
        </w:rPr>
        <w:t xml:space="preserve">implementation </w:t>
      </w:r>
      <w:r w:rsidR="00A92C8A">
        <w:rPr>
          <w:lang w:val="en-AU"/>
        </w:rPr>
        <w:t xml:space="preserve">of the standards across jurisdictions </w:t>
      </w:r>
      <w:r w:rsidR="002D7D34">
        <w:rPr>
          <w:lang w:val="en-AU"/>
        </w:rPr>
        <w:t>(see Table 17</w:t>
      </w:r>
      <w:r>
        <w:rPr>
          <w:lang w:val="en-AU"/>
        </w:rPr>
        <w:t xml:space="preserve"> for an example)</w:t>
      </w:r>
      <w:r w:rsidR="00A92C8A">
        <w:rPr>
          <w:lang w:val="en-AU"/>
        </w:rPr>
        <w:t xml:space="preserve">. </w:t>
      </w:r>
    </w:p>
    <w:p w14:paraId="5C1CC742" w14:textId="77777777" w:rsidR="00B62977" w:rsidRDefault="00B62977" w:rsidP="00BB1173">
      <w:pPr>
        <w:rPr>
          <w:lang w:val="en-AU"/>
        </w:rPr>
      </w:pPr>
    </w:p>
    <w:p w14:paraId="77193C0C" w14:textId="6CB50EBB" w:rsidR="00354532" w:rsidRDefault="00A92C8A" w:rsidP="00305EE9">
      <w:pPr>
        <w:rPr>
          <w:lang w:val="en-AU"/>
        </w:rPr>
      </w:pPr>
      <w:r>
        <w:rPr>
          <w:lang w:val="en-AU"/>
        </w:rPr>
        <w:t xml:space="preserve">These </w:t>
      </w:r>
      <w:r w:rsidR="00E77BCC">
        <w:rPr>
          <w:lang w:val="en-AU"/>
        </w:rPr>
        <w:t xml:space="preserve">documents </w:t>
      </w:r>
      <w:r w:rsidR="00896B5C">
        <w:rPr>
          <w:lang w:val="en-AU"/>
        </w:rPr>
        <w:t xml:space="preserve">will be refined </w:t>
      </w:r>
      <w:r w:rsidR="00E77BCC">
        <w:rPr>
          <w:lang w:val="en-AU"/>
        </w:rPr>
        <w:t xml:space="preserve">and other guidance </w:t>
      </w:r>
      <w:r w:rsidR="00896B5C">
        <w:rPr>
          <w:lang w:val="en-AU"/>
        </w:rPr>
        <w:t xml:space="preserve">developed </w:t>
      </w:r>
      <w:r w:rsidR="00E24546">
        <w:rPr>
          <w:lang w:val="en-AU"/>
        </w:rPr>
        <w:t>during the transition period</w:t>
      </w:r>
      <w:r w:rsidR="00304C9D">
        <w:rPr>
          <w:lang w:val="en-AU"/>
        </w:rPr>
        <w:t>.</w:t>
      </w:r>
      <w:r w:rsidR="00ED3845">
        <w:rPr>
          <w:lang w:val="en-AU"/>
        </w:rPr>
        <w:t xml:space="preserve"> </w:t>
      </w:r>
      <w:r w:rsidR="00E24546">
        <w:rPr>
          <w:lang w:val="en-AU"/>
        </w:rPr>
        <w:t>J</w:t>
      </w:r>
      <w:r w:rsidR="00ED3845">
        <w:rPr>
          <w:lang w:val="en-AU"/>
        </w:rPr>
        <w:t>urisdictions noted in submissions their commitment to work with industry</w:t>
      </w:r>
      <w:r w:rsidR="00682754">
        <w:rPr>
          <w:lang w:val="en-AU"/>
        </w:rPr>
        <w:t xml:space="preserve"> and scheme owners</w:t>
      </w:r>
      <w:r w:rsidR="00ED3845">
        <w:rPr>
          <w:lang w:val="en-AU"/>
        </w:rPr>
        <w:t xml:space="preserve"> on a recognition model that considers </w:t>
      </w:r>
      <w:r w:rsidR="00E77BCC">
        <w:rPr>
          <w:lang w:val="en-AU"/>
        </w:rPr>
        <w:t>FSS</w:t>
      </w:r>
      <w:r w:rsidR="007D5E48">
        <w:rPr>
          <w:lang w:val="en-AU"/>
        </w:rPr>
        <w:t xml:space="preserve"> as a means of demonstrating compliance</w:t>
      </w:r>
      <w:r w:rsidR="00ED3845">
        <w:rPr>
          <w:lang w:val="en-AU"/>
        </w:rPr>
        <w:t>.</w:t>
      </w:r>
      <w:r w:rsidR="00A16158">
        <w:rPr>
          <w:lang w:val="en-AU"/>
        </w:rPr>
        <w:t xml:space="preserve"> This </w:t>
      </w:r>
      <w:r w:rsidR="00E24546">
        <w:rPr>
          <w:lang w:val="en-AU"/>
        </w:rPr>
        <w:t xml:space="preserve">model </w:t>
      </w:r>
      <w:r w:rsidR="00896B5C">
        <w:rPr>
          <w:lang w:val="en-AU"/>
        </w:rPr>
        <w:t>may</w:t>
      </w:r>
      <w:r w:rsidR="00A16158">
        <w:rPr>
          <w:lang w:val="en-AU"/>
        </w:rPr>
        <w:t xml:space="preserve"> include approval</w:t>
      </w:r>
      <w:r w:rsidR="00E24546">
        <w:rPr>
          <w:lang w:val="en-AU"/>
        </w:rPr>
        <w:t xml:space="preserve"> processes</w:t>
      </w:r>
      <w:r w:rsidR="00A16158">
        <w:rPr>
          <w:lang w:val="en-AU"/>
        </w:rPr>
        <w:t>, ongoing monitoring and response to</w:t>
      </w:r>
      <w:r w:rsidR="00E24546">
        <w:rPr>
          <w:lang w:val="en-AU"/>
        </w:rPr>
        <w:t xml:space="preserve"> food safety issues</w:t>
      </w:r>
      <w:r w:rsidR="00A16158">
        <w:rPr>
          <w:lang w:val="en-AU"/>
        </w:rPr>
        <w:t>.</w:t>
      </w:r>
      <w:r w:rsidR="00682754">
        <w:rPr>
          <w:lang w:val="en-AU"/>
        </w:rPr>
        <w:t xml:space="preserve"> Jurisdictions have also committed to support small businesses and those not already on </w:t>
      </w:r>
      <w:r w:rsidR="00E77BCC">
        <w:rPr>
          <w:lang w:val="en-AU"/>
        </w:rPr>
        <w:t>a FSS</w:t>
      </w:r>
      <w:r w:rsidR="00682754">
        <w:rPr>
          <w:lang w:val="en-AU"/>
        </w:rPr>
        <w:t xml:space="preserve"> to understand their food safety risks and comply with the standards. </w:t>
      </w:r>
      <w:bookmarkEnd w:id="708"/>
    </w:p>
    <w:p w14:paraId="6DE80657" w14:textId="77777777" w:rsidR="008D58CE" w:rsidRPr="009D2DA6" w:rsidRDefault="008D58CE" w:rsidP="00305EE9"/>
    <w:p w14:paraId="1A534A3B" w14:textId="0ECD80C0" w:rsidR="0072494E" w:rsidRPr="00214D6B" w:rsidRDefault="0072494E" w:rsidP="009150A6">
      <w:pPr>
        <w:keepNext/>
        <w:rPr>
          <w:b/>
          <w:bCs/>
          <w:sz w:val="20"/>
          <w:szCs w:val="20"/>
          <w:lang w:val="en-US"/>
        </w:rPr>
      </w:pPr>
      <w:r w:rsidRPr="00214D6B">
        <w:rPr>
          <w:rFonts w:cs="Arial"/>
          <w:b/>
          <w:bCs/>
          <w:color w:val="000000"/>
          <w:lang w:eastAsia="en-GB"/>
        </w:rPr>
        <w:t xml:space="preserve">Table </w:t>
      </w:r>
      <w:r w:rsidR="002D7D34">
        <w:rPr>
          <w:rFonts w:cs="Arial"/>
          <w:b/>
          <w:bCs/>
          <w:color w:val="000000"/>
          <w:lang w:eastAsia="en-GB"/>
        </w:rPr>
        <w:t>17</w:t>
      </w:r>
      <w:r w:rsidR="009150A6">
        <w:rPr>
          <w:rFonts w:cs="Arial"/>
          <w:b/>
          <w:bCs/>
          <w:color w:val="000000"/>
          <w:lang w:eastAsia="en-GB"/>
        </w:rPr>
        <w:t xml:space="preserve">. </w:t>
      </w:r>
      <w:r w:rsidRPr="00214D6B">
        <w:rPr>
          <w:b/>
          <w:lang w:val="en-AU"/>
        </w:rPr>
        <w:t>Exam</w:t>
      </w:r>
      <w:bookmarkStart w:id="715" w:name="_Toc77255607"/>
      <w:r w:rsidR="00290785" w:rsidRPr="00214D6B">
        <w:rPr>
          <w:b/>
          <w:lang w:val="en-AU"/>
        </w:rPr>
        <w:t xml:space="preserve">ple of a compliance requirement. </w:t>
      </w:r>
      <w:r w:rsidR="00290785" w:rsidRPr="00214D6B">
        <w:rPr>
          <w:b/>
        </w:rPr>
        <w:t>M</w:t>
      </w:r>
      <w:r w:rsidRPr="00214D6B">
        <w:rPr>
          <w:b/>
        </w:rPr>
        <w:t>elons:</w:t>
      </w:r>
      <w:r w:rsidRPr="00214D6B">
        <w:rPr>
          <w:b/>
          <w:bCs/>
          <w:sz w:val="20"/>
          <w:szCs w:val="20"/>
          <w:lang w:val="en-US"/>
        </w:rPr>
        <w:t xml:space="preserve"> </w:t>
      </w:r>
      <w:r w:rsidRPr="00214D6B">
        <w:rPr>
          <w:b/>
        </w:rPr>
        <w:t>Plan B Horticulture primary processing</w:t>
      </w:r>
      <w:bookmarkEnd w:id="715"/>
      <w:r w:rsidRPr="00214D6B">
        <w:rPr>
          <w:b/>
          <w:sz w:val="20"/>
          <w:szCs w:val="20"/>
          <w:lang w:val="en-US"/>
        </w:rPr>
        <w:t xml:space="preserve"> </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5" w:type="dxa"/>
          <w:right w:w="45" w:type="dxa"/>
        </w:tblCellMar>
        <w:tblLook w:val="01E0" w:firstRow="1" w:lastRow="1" w:firstColumn="1" w:lastColumn="1" w:noHBand="0" w:noVBand="0"/>
      </w:tblPr>
      <w:tblGrid>
        <w:gridCol w:w="3541"/>
        <w:gridCol w:w="3119"/>
        <w:gridCol w:w="2693"/>
      </w:tblGrid>
      <w:tr w:rsidR="0072494E" w:rsidRPr="00214D6B" w14:paraId="0DB36620" w14:textId="77777777" w:rsidTr="0072494E">
        <w:tc>
          <w:tcPr>
            <w:tcW w:w="3541" w:type="dxa"/>
            <w:shd w:val="clear" w:color="auto" w:fill="C6D9F1" w:themeFill="text2" w:themeFillTint="33"/>
          </w:tcPr>
          <w:p w14:paraId="03DEEA78" w14:textId="1B1A9E6B" w:rsidR="0072494E" w:rsidRPr="00214D6B" w:rsidRDefault="0072494E" w:rsidP="0072494E">
            <w:pPr>
              <w:rPr>
                <w:b/>
              </w:rPr>
            </w:pPr>
            <w:r w:rsidRPr="00214D6B">
              <w:rPr>
                <w:b/>
              </w:rPr>
              <w:t xml:space="preserve">Compliance requirement </w:t>
            </w:r>
            <w:r w:rsidR="008B53E3">
              <w:rPr>
                <w:b/>
              </w:rPr>
              <w:t>–</w:t>
            </w:r>
            <w:r w:rsidRPr="00214D6B">
              <w:rPr>
                <w:b/>
              </w:rPr>
              <w:t xml:space="preserve"> Industry</w:t>
            </w:r>
          </w:p>
        </w:tc>
        <w:tc>
          <w:tcPr>
            <w:tcW w:w="3119" w:type="dxa"/>
            <w:shd w:val="clear" w:color="auto" w:fill="C6D9F1" w:themeFill="text2" w:themeFillTint="33"/>
          </w:tcPr>
          <w:p w14:paraId="19D5BA97" w14:textId="21A0405F" w:rsidR="0072494E" w:rsidRPr="00214D6B" w:rsidRDefault="0072494E" w:rsidP="0072494E">
            <w:pPr>
              <w:rPr>
                <w:b/>
              </w:rPr>
            </w:pPr>
            <w:r w:rsidRPr="00214D6B">
              <w:rPr>
                <w:b/>
              </w:rPr>
              <w:t xml:space="preserve">Monitoring requirements </w:t>
            </w:r>
            <w:r w:rsidR="002412D1">
              <w:rPr>
                <w:b/>
              </w:rPr>
              <w:t>–</w:t>
            </w:r>
            <w:r w:rsidRPr="00214D6B">
              <w:rPr>
                <w:b/>
              </w:rPr>
              <w:t xml:space="preserve"> Industry</w:t>
            </w:r>
          </w:p>
        </w:tc>
        <w:tc>
          <w:tcPr>
            <w:tcW w:w="2693" w:type="dxa"/>
            <w:shd w:val="clear" w:color="auto" w:fill="C6D9F1" w:themeFill="text2" w:themeFillTint="33"/>
          </w:tcPr>
          <w:p w14:paraId="3763E0CA" w14:textId="18600460" w:rsidR="0072494E" w:rsidRPr="00214D6B" w:rsidRDefault="0072494E" w:rsidP="0072494E">
            <w:pPr>
              <w:rPr>
                <w:b/>
              </w:rPr>
            </w:pPr>
            <w:r w:rsidRPr="00214D6B">
              <w:rPr>
                <w:b/>
              </w:rPr>
              <w:t>Monitoring requirements - Government</w:t>
            </w:r>
          </w:p>
        </w:tc>
      </w:tr>
      <w:tr w:rsidR="0026010A" w:rsidRPr="00522FE6" w14:paraId="1D35EF18" w14:textId="77777777" w:rsidTr="0072494E">
        <w:tc>
          <w:tcPr>
            <w:tcW w:w="3541" w:type="dxa"/>
          </w:tcPr>
          <w:p w14:paraId="6F4D3061" w14:textId="2A95E78D" w:rsidR="0026010A" w:rsidRPr="00AE259D" w:rsidRDefault="0026010A" w:rsidP="0072494E">
            <w:r w:rsidRPr="00AE259D">
              <w:t>Inputs Water</w:t>
            </w:r>
            <w:r w:rsidR="00C3325D" w:rsidRPr="00AE259D">
              <w:t xml:space="preserve"> (post-harvest</w:t>
            </w:r>
            <w:r w:rsidRPr="00AE259D">
              <w:t>)</w:t>
            </w:r>
            <w:r w:rsidR="00AE259D">
              <w:br/>
            </w:r>
          </w:p>
          <w:p w14:paraId="7F45D938" w14:textId="06392F67" w:rsidR="0026010A" w:rsidRPr="00214D6B" w:rsidRDefault="0026010A" w:rsidP="0072494E">
            <w:pPr>
              <w:spacing w:after="120"/>
            </w:pPr>
            <w:r w:rsidRPr="00214D6B">
              <w:t>Outcome – Chemical, physical and microbiological hazards associated with inputs are appropriately managed during primary processing so that melons are not made unacceptable.</w:t>
            </w:r>
          </w:p>
          <w:p w14:paraId="35AB2D69" w14:textId="66AA1CED" w:rsidR="0026010A" w:rsidRPr="00214D6B" w:rsidRDefault="00C3325D" w:rsidP="00C3325D">
            <w:pPr>
              <w:widowControl/>
            </w:pPr>
            <w:r w:rsidRPr="00214D6B">
              <w:lastRenderedPageBreak/>
              <w:t xml:space="preserve">- </w:t>
            </w:r>
            <w:r w:rsidR="0026010A" w:rsidRPr="00214D6B">
              <w:t>Sanitisation chemicals used are appropriate as food grade sanitisers.</w:t>
            </w:r>
          </w:p>
          <w:p w14:paraId="46C21732" w14:textId="77777777" w:rsidR="00C3325D" w:rsidRPr="00214D6B" w:rsidRDefault="00C3325D" w:rsidP="0072494E">
            <w:pPr>
              <w:widowControl/>
            </w:pPr>
          </w:p>
          <w:p w14:paraId="02F9D690" w14:textId="16149A08" w:rsidR="0026010A" w:rsidRPr="00214D6B" w:rsidRDefault="00C3325D" w:rsidP="0072494E">
            <w:pPr>
              <w:widowControl/>
              <w:autoSpaceDE w:val="0"/>
              <w:autoSpaceDN w:val="0"/>
              <w:adjustRightInd w:val="0"/>
              <w:spacing w:after="120"/>
            </w:pPr>
            <w:r w:rsidRPr="00214D6B">
              <w:t xml:space="preserve">- </w:t>
            </w:r>
            <w:r w:rsidR="0026010A" w:rsidRPr="00214D6B">
              <w:t xml:space="preserve">Water sources: if non-potable water is used, it is frequently tested so that it is shown to be equivalent to potable water. In all instances use of potable water is preferred for primary processing operations. </w:t>
            </w:r>
          </w:p>
        </w:tc>
        <w:tc>
          <w:tcPr>
            <w:tcW w:w="3119" w:type="dxa"/>
          </w:tcPr>
          <w:p w14:paraId="45A8F561" w14:textId="77777777" w:rsidR="0026010A" w:rsidRPr="00214D6B" w:rsidRDefault="0026010A" w:rsidP="0072494E">
            <w:r w:rsidRPr="00214D6B">
              <w:lastRenderedPageBreak/>
              <w:t xml:space="preserve">- Potable (drinking quality) water is used to process horticulture produce, or records are maintained of the treatment of non-potable water, to ensure it is not a source of contamination for processed horticulture produce. </w:t>
            </w:r>
          </w:p>
          <w:p w14:paraId="7DDA6460" w14:textId="77777777" w:rsidR="0026010A" w:rsidRPr="00214D6B" w:rsidRDefault="0026010A" w:rsidP="0072494E"/>
          <w:p w14:paraId="3E49BB6C" w14:textId="77777777" w:rsidR="0026010A" w:rsidRPr="00214D6B" w:rsidRDefault="0026010A" w:rsidP="0072494E">
            <w:r w:rsidRPr="00214D6B">
              <w:t xml:space="preserve">- Business may need to demonstrate compliance to the relevant jurisdictional </w:t>
            </w:r>
            <w:r w:rsidRPr="00214D6B">
              <w:rPr>
                <w:i/>
              </w:rPr>
              <w:t>Safe Drinking Water Act.</w:t>
            </w:r>
          </w:p>
          <w:p w14:paraId="2DA80483" w14:textId="77777777" w:rsidR="0026010A" w:rsidRPr="00214D6B" w:rsidRDefault="0026010A" w:rsidP="0072494E"/>
          <w:p w14:paraId="21C1ED1C" w14:textId="77777777" w:rsidR="0026010A" w:rsidRPr="00214D6B" w:rsidRDefault="0026010A" w:rsidP="0072494E"/>
        </w:tc>
        <w:tc>
          <w:tcPr>
            <w:tcW w:w="2693" w:type="dxa"/>
          </w:tcPr>
          <w:p w14:paraId="27B204A5" w14:textId="094DA740" w:rsidR="0026010A" w:rsidRPr="00214D6B" w:rsidRDefault="0026010A" w:rsidP="0072494E">
            <w:r w:rsidRPr="00214D6B">
              <w:lastRenderedPageBreak/>
              <w:t xml:space="preserve">The business has evidence in its food safety management statement </w:t>
            </w:r>
            <w:r w:rsidR="00C3325D" w:rsidRPr="00214D6B">
              <w:t xml:space="preserve">(FSMS) </w:t>
            </w:r>
            <w:r w:rsidRPr="00214D6B">
              <w:t>to inform where:</w:t>
            </w:r>
          </w:p>
          <w:p w14:paraId="7368EDA1" w14:textId="77777777" w:rsidR="0026010A" w:rsidRPr="00214D6B" w:rsidRDefault="0026010A" w:rsidP="0072494E"/>
          <w:p w14:paraId="1B712277" w14:textId="77777777" w:rsidR="0026010A" w:rsidRPr="00214D6B" w:rsidRDefault="0026010A" w:rsidP="0072494E">
            <w:r w:rsidRPr="00214D6B">
              <w:t xml:space="preserve">- Control measures (if applied) have been implemented and are monitored (e.g. sanitiser </w:t>
            </w:r>
            <w:r w:rsidRPr="00214D6B">
              <w:lastRenderedPageBreak/>
              <w:t xml:space="preserve">concentration logs). </w:t>
            </w:r>
          </w:p>
          <w:p w14:paraId="5E43F523" w14:textId="77777777" w:rsidR="0026010A" w:rsidRPr="00214D6B" w:rsidRDefault="0026010A" w:rsidP="0072494E"/>
          <w:p w14:paraId="70202B9C" w14:textId="77777777" w:rsidR="0026010A" w:rsidRPr="00214D6B" w:rsidRDefault="0026010A" w:rsidP="0072494E"/>
        </w:tc>
      </w:tr>
    </w:tbl>
    <w:p w14:paraId="096A7D2D" w14:textId="20574BEF" w:rsidR="00682754" w:rsidRDefault="00E77BCC" w:rsidP="00682754">
      <w:pPr>
        <w:pStyle w:val="ISCbulleted"/>
        <w:tabs>
          <w:tab w:val="clear" w:pos="360"/>
        </w:tabs>
        <w:spacing w:after="0"/>
        <w:ind w:left="0" w:firstLine="0"/>
        <w:rPr>
          <w:rFonts w:ascii="Arial" w:eastAsia="Times New Roman" w:hAnsi="Arial" w:cs="Arial"/>
          <w:color w:val="000000" w:themeColor="text1"/>
          <w:sz w:val="22"/>
          <w:lang w:eastAsia="en-US" w:bidi="en-US"/>
        </w:rPr>
      </w:pPr>
      <w:r>
        <w:rPr>
          <w:rFonts w:ascii="Arial" w:eastAsia="Times New Roman" w:hAnsi="Arial" w:cs="Arial"/>
          <w:color w:val="000000" w:themeColor="text1"/>
          <w:sz w:val="22"/>
          <w:lang w:eastAsia="en-US" w:bidi="en-US"/>
        </w:rPr>
        <w:lastRenderedPageBreak/>
        <w:br/>
      </w:r>
      <w:r w:rsidR="00B62977">
        <w:rPr>
          <w:rFonts w:ascii="Arial" w:eastAsia="Times New Roman" w:hAnsi="Arial" w:cs="Arial"/>
          <w:color w:val="000000" w:themeColor="text1"/>
          <w:sz w:val="22"/>
          <w:lang w:eastAsia="en-US" w:bidi="en-US"/>
        </w:rPr>
        <w:t xml:space="preserve">Government </w:t>
      </w:r>
      <w:r w:rsidR="00F553C6" w:rsidDel="00E24546">
        <w:rPr>
          <w:rFonts w:ascii="Arial" w:eastAsia="Times New Roman" w:hAnsi="Arial" w:cs="Arial"/>
          <w:color w:val="000000" w:themeColor="text1"/>
          <w:sz w:val="22"/>
          <w:lang w:eastAsia="en-US" w:bidi="en-US"/>
        </w:rPr>
        <w:t xml:space="preserve">and </w:t>
      </w:r>
      <w:r w:rsidR="008B53E3" w:rsidRPr="008B53E3" w:rsidDel="00E24546">
        <w:rPr>
          <w:rFonts w:ascii="Arial" w:eastAsia="Times New Roman" w:hAnsi="Arial" w:cs="Arial"/>
          <w:color w:val="000000" w:themeColor="text1"/>
          <w:sz w:val="22"/>
          <w:lang w:eastAsia="en-US" w:bidi="en-US"/>
        </w:rPr>
        <w:t xml:space="preserve">industry </w:t>
      </w:r>
      <w:bookmarkStart w:id="716" w:name="_Toc78896406"/>
      <w:bookmarkStart w:id="717" w:name="_Toc85635345"/>
      <w:r w:rsidR="00A37B5C" w:rsidDel="004A47E8">
        <w:rPr>
          <w:rFonts w:ascii="Arial" w:eastAsia="Times New Roman" w:hAnsi="Arial" w:cs="Arial"/>
          <w:color w:val="000000" w:themeColor="text1"/>
          <w:sz w:val="22"/>
          <w:lang w:eastAsia="en-US" w:bidi="en-US"/>
        </w:rPr>
        <w:t xml:space="preserve">stakeholders </w:t>
      </w:r>
      <w:r w:rsidR="00B62977">
        <w:rPr>
          <w:rFonts w:ascii="Arial" w:eastAsia="Times New Roman" w:hAnsi="Arial" w:cs="Arial"/>
          <w:color w:val="000000" w:themeColor="text1"/>
          <w:sz w:val="22"/>
          <w:lang w:eastAsia="en-US" w:bidi="en-US"/>
        </w:rPr>
        <w:t>that responded to the consultation</w:t>
      </w:r>
      <w:r w:rsidR="00634027" w:rsidRPr="00634027">
        <w:rPr>
          <w:rFonts w:ascii="Arial" w:eastAsia="Times New Roman" w:hAnsi="Arial" w:cs="Arial"/>
          <w:color w:val="000000" w:themeColor="text1"/>
          <w:sz w:val="22"/>
          <w:lang w:eastAsia="en-US" w:bidi="en-US"/>
        </w:rPr>
        <w:t xml:space="preserve"> </w:t>
      </w:r>
      <w:r w:rsidR="00682754">
        <w:rPr>
          <w:rFonts w:ascii="Arial" w:eastAsia="Times New Roman" w:hAnsi="Arial" w:cs="Arial"/>
          <w:color w:val="000000" w:themeColor="text1"/>
          <w:sz w:val="22"/>
          <w:lang w:eastAsia="en-US" w:bidi="en-US"/>
        </w:rPr>
        <w:t>are strongly supportive of</w:t>
      </w:r>
      <w:r w:rsidR="00634027" w:rsidRPr="00634027">
        <w:rPr>
          <w:rFonts w:ascii="Arial" w:eastAsia="Times New Roman" w:hAnsi="Arial" w:cs="Arial"/>
          <w:color w:val="000000" w:themeColor="text1"/>
          <w:sz w:val="22"/>
          <w:lang w:eastAsia="en-US" w:bidi="en-US"/>
        </w:rPr>
        <w:t xml:space="preserve"> national non-regulatory measures to support the standards and improve food safety culture. </w:t>
      </w:r>
      <w:r w:rsidR="008B53E3" w:rsidRPr="008B53E3">
        <w:rPr>
          <w:rFonts w:ascii="Arial" w:eastAsia="Times New Roman" w:hAnsi="Arial" w:cs="Arial"/>
          <w:color w:val="000000" w:themeColor="text1"/>
          <w:sz w:val="22"/>
          <w:lang w:eastAsia="en-US" w:bidi="en-US"/>
        </w:rPr>
        <w:t xml:space="preserve">Industry has indicated willingness to assist in preparation of targeted </w:t>
      </w:r>
      <w:r w:rsidR="00B81727">
        <w:rPr>
          <w:rFonts w:ascii="Arial" w:eastAsia="Times New Roman" w:hAnsi="Arial" w:cs="Arial"/>
          <w:color w:val="000000" w:themeColor="text1"/>
          <w:sz w:val="22"/>
          <w:lang w:eastAsia="en-US" w:bidi="en-US"/>
        </w:rPr>
        <w:t xml:space="preserve">educational resources, </w:t>
      </w:r>
      <w:r w:rsidR="008B53E3" w:rsidRPr="008B53E3">
        <w:rPr>
          <w:rFonts w:ascii="Arial" w:eastAsia="Times New Roman" w:hAnsi="Arial" w:cs="Arial"/>
          <w:color w:val="000000" w:themeColor="text1"/>
          <w:sz w:val="22"/>
          <w:lang w:eastAsia="en-US" w:bidi="en-US"/>
        </w:rPr>
        <w:t>especially in languages other than English</w:t>
      </w:r>
      <w:r w:rsidR="00B81727">
        <w:rPr>
          <w:rFonts w:ascii="Arial" w:eastAsia="Times New Roman" w:hAnsi="Arial" w:cs="Arial"/>
          <w:color w:val="000000" w:themeColor="text1"/>
          <w:sz w:val="22"/>
          <w:lang w:eastAsia="en-US" w:bidi="en-US"/>
        </w:rPr>
        <w:t>. T</w:t>
      </w:r>
      <w:r w:rsidR="008B53E3" w:rsidRPr="008B53E3">
        <w:rPr>
          <w:rFonts w:ascii="Arial" w:eastAsia="Times New Roman" w:hAnsi="Arial" w:cs="Arial"/>
          <w:color w:val="000000" w:themeColor="text1"/>
          <w:sz w:val="22"/>
          <w:lang w:eastAsia="en-US" w:bidi="en-US"/>
        </w:rPr>
        <w:t>he melon</w:t>
      </w:r>
      <w:r w:rsidR="00B81727">
        <w:rPr>
          <w:rFonts w:ascii="Arial" w:eastAsia="Times New Roman" w:hAnsi="Arial" w:cs="Arial"/>
          <w:color w:val="000000" w:themeColor="text1"/>
          <w:sz w:val="22"/>
          <w:lang w:eastAsia="en-US" w:bidi="en-US"/>
        </w:rPr>
        <w:t>s</w:t>
      </w:r>
      <w:r w:rsidR="008B53E3" w:rsidRPr="008B53E3">
        <w:rPr>
          <w:rFonts w:ascii="Arial" w:eastAsia="Times New Roman" w:hAnsi="Arial" w:cs="Arial"/>
          <w:color w:val="000000" w:themeColor="text1"/>
          <w:sz w:val="22"/>
          <w:lang w:eastAsia="en-US" w:bidi="en-US"/>
        </w:rPr>
        <w:t xml:space="preserve"> industry has extended an offer for regulators to observe some on-farm GFSI-FSS audits. </w:t>
      </w:r>
    </w:p>
    <w:p w14:paraId="65314203" w14:textId="0AAA29B9" w:rsidR="00A92C8A" w:rsidRDefault="00A92C8A" w:rsidP="00A92C8A">
      <w:pPr>
        <w:pStyle w:val="Heading2"/>
        <w:rPr>
          <w:lang w:eastAsia="en-GB"/>
        </w:rPr>
      </w:pPr>
      <w:bookmarkStart w:id="718" w:name="_Toc97739442"/>
      <w:bookmarkStart w:id="719" w:name="_Toc97823859"/>
      <w:bookmarkStart w:id="720" w:name="_Toc97824023"/>
      <w:bookmarkEnd w:id="716"/>
      <w:bookmarkEnd w:id="717"/>
      <w:r>
        <w:t>11.</w:t>
      </w:r>
      <w:r w:rsidRPr="00B62977">
        <w:t>3</w:t>
      </w:r>
      <w:r w:rsidRPr="00B62977">
        <w:tab/>
        <w:t xml:space="preserve"> </w:t>
      </w:r>
      <w:r w:rsidRPr="00D8372C" w:rsidDel="00634027">
        <w:t xml:space="preserve"> </w:t>
      </w:r>
      <w:r w:rsidRPr="00D8372C">
        <w:t>Transition period and review</w:t>
      </w:r>
      <w:bookmarkEnd w:id="718"/>
      <w:bookmarkEnd w:id="719"/>
      <w:bookmarkEnd w:id="720"/>
      <w:r>
        <w:rPr>
          <w:lang w:eastAsia="en-GB"/>
        </w:rPr>
        <w:t xml:space="preserve"> </w:t>
      </w:r>
    </w:p>
    <w:p w14:paraId="369F247E" w14:textId="6A28C798" w:rsidR="00BB1173" w:rsidRDefault="00950910" w:rsidP="000A5396">
      <w:pPr>
        <w:spacing w:before="240"/>
        <w:rPr>
          <w:rFonts w:cs="Arial"/>
          <w:lang w:eastAsia="en-GB"/>
        </w:rPr>
      </w:pPr>
      <w:r>
        <w:rPr>
          <w:rFonts w:cs="Arial"/>
          <w:lang w:eastAsia="en-GB"/>
        </w:rPr>
        <w:t xml:space="preserve">A 2.5 year </w:t>
      </w:r>
      <w:r w:rsidR="00C67665" w:rsidRPr="004B2881">
        <w:rPr>
          <w:rFonts w:cs="Arial"/>
          <w:lang w:eastAsia="en-GB"/>
        </w:rPr>
        <w:t xml:space="preserve">implementation period is </w:t>
      </w:r>
      <w:r w:rsidR="008D58CE">
        <w:rPr>
          <w:rFonts w:cs="Arial"/>
          <w:lang w:eastAsia="en-GB"/>
        </w:rPr>
        <w:t>proposed</w:t>
      </w:r>
      <w:r w:rsidR="008D58CE" w:rsidRPr="004B2881">
        <w:rPr>
          <w:rFonts w:cs="Arial"/>
          <w:lang w:eastAsia="en-GB"/>
        </w:rPr>
        <w:t xml:space="preserve"> </w:t>
      </w:r>
      <w:r w:rsidR="00C67665" w:rsidRPr="004B2881">
        <w:rPr>
          <w:rFonts w:cs="Arial"/>
          <w:lang w:eastAsia="en-GB"/>
        </w:rPr>
        <w:t xml:space="preserve">from the date </w:t>
      </w:r>
      <w:r w:rsidR="005613F8">
        <w:rPr>
          <w:rFonts w:cs="Arial"/>
          <w:lang w:eastAsia="en-GB"/>
        </w:rPr>
        <w:t xml:space="preserve">the approved draft </w:t>
      </w:r>
      <w:r>
        <w:rPr>
          <w:rFonts w:cs="Arial"/>
          <w:lang w:eastAsia="en-GB"/>
        </w:rPr>
        <w:t xml:space="preserve">PPP </w:t>
      </w:r>
      <w:r w:rsidR="00C67665" w:rsidRPr="004B2881">
        <w:rPr>
          <w:rFonts w:cs="Arial"/>
          <w:lang w:eastAsia="en-GB"/>
        </w:rPr>
        <w:t xml:space="preserve">standards </w:t>
      </w:r>
      <w:r w:rsidR="008D58CE">
        <w:rPr>
          <w:rFonts w:cs="Arial"/>
          <w:lang w:eastAsia="en-GB"/>
        </w:rPr>
        <w:t>would be</w:t>
      </w:r>
      <w:r w:rsidR="008D58CE" w:rsidRPr="004B2881">
        <w:rPr>
          <w:rFonts w:cs="Arial"/>
          <w:lang w:eastAsia="en-GB"/>
        </w:rPr>
        <w:t xml:space="preserve"> </w:t>
      </w:r>
      <w:r w:rsidR="00C67665" w:rsidRPr="004B2881">
        <w:rPr>
          <w:rFonts w:cs="Arial"/>
          <w:lang w:eastAsia="en-GB"/>
        </w:rPr>
        <w:t>gazetted and registered as a legislative instrument</w:t>
      </w:r>
      <w:r w:rsidR="005613F8">
        <w:rPr>
          <w:rFonts w:cs="Arial"/>
          <w:lang w:eastAsia="en-GB"/>
        </w:rPr>
        <w:t xml:space="preserve"> (if endorsed by the Food Ministers Meeting)</w:t>
      </w:r>
      <w:r w:rsidR="00C67665" w:rsidRPr="004B2881">
        <w:rPr>
          <w:rFonts w:cs="Arial"/>
          <w:lang w:eastAsia="en-GB"/>
        </w:rPr>
        <w:t xml:space="preserve">. This period </w:t>
      </w:r>
      <w:r w:rsidR="008D58CE">
        <w:rPr>
          <w:rFonts w:cs="Arial"/>
          <w:lang w:eastAsia="en-GB"/>
        </w:rPr>
        <w:t xml:space="preserve">would </w:t>
      </w:r>
      <w:r>
        <w:rPr>
          <w:rFonts w:cs="Arial"/>
          <w:lang w:eastAsia="en-GB"/>
        </w:rPr>
        <w:t xml:space="preserve">give </w:t>
      </w:r>
      <w:r w:rsidR="00C67665" w:rsidRPr="004B2881">
        <w:rPr>
          <w:rFonts w:cs="Arial"/>
          <w:lang w:eastAsia="en-GB"/>
        </w:rPr>
        <w:t xml:space="preserve">industry and government authorities time to put measures in place to meet the </w:t>
      </w:r>
      <w:r w:rsidR="00A20352" w:rsidRPr="004B2881">
        <w:rPr>
          <w:rFonts w:cs="Arial"/>
          <w:lang w:eastAsia="en-GB"/>
        </w:rPr>
        <w:t>standard</w:t>
      </w:r>
      <w:r w:rsidR="00A20352">
        <w:rPr>
          <w:rFonts w:cs="Arial"/>
          <w:lang w:eastAsia="en-GB"/>
        </w:rPr>
        <w:t>’s</w:t>
      </w:r>
      <w:r w:rsidR="00A20352" w:rsidRPr="004B2881">
        <w:rPr>
          <w:rFonts w:cs="Arial"/>
          <w:lang w:eastAsia="en-GB"/>
        </w:rPr>
        <w:t xml:space="preserve"> </w:t>
      </w:r>
      <w:r w:rsidR="00C67665" w:rsidRPr="004B2881">
        <w:rPr>
          <w:rFonts w:cs="Arial"/>
          <w:lang w:eastAsia="en-GB"/>
        </w:rPr>
        <w:t>requirements</w:t>
      </w:r>
      <w:r w:rsidR="00ED3845">
        <w:rPr>
          <w:rFonts w:cs="Arial"/>
          <w:lang w:eastAsia="en-GB"/>
        </w:rPr>
        <w:t>, including development of a recognition model for food safety schemes</w:t>
      </w:r>
      <w:r w:rsidR="00C67665" w:rsidRPr="004B2881">
        <w:rPr>
          <w:rFonts w:cs="Arial"/>
          <w:lang w:eastAsia="en-GB"/>
        </w:rPr>
        <w:t>. State and territory government</w:t>
      </w:r>
      <w:r w:rsidR="00C67665">
        <w:rPr>
          <w:rFonts w:cs="Arial"/>
          <w:lang w:eastAsia="en-GB"/>
        </w:rPr>
        <w:t>s</w:t>
      </w:r>
      <w:r w:rsidR="008D58CE">
        <w:rPr>
          <w:rFonts w:cs="Arial"/>
          <w:lang w:eastAsia="en-GB"/>
        </w:rPr>
        <w:t xml:space="preserve"> </w:t>
      </w:r>
      <w:r>
        <w:rPr>
          <w:rFonts w:cs="Arial"/>
          <w:lang w:eastAsia="en-GB"/>
        </w:rPr>
        <w:t xml:space="preserve">will </w:t>
      </w:r>
      <w:r w:rsidR="00C67665" w:rsidRPr="004B2881">
        <w:rPr>
          <w:rFonts w:cs="Arial"/>
          <w:lang w:eastAsia="en-GB"/>
        </w:rPr>
        <w:t xml:space="preserve">work with industry to </w:t>
      </w:r>
      <w:r w:rsidR="00A92C8A">
        <w:rPr>
          <w:rFonts w:cs="Arial"/>
          <w:lang w:eastAsia="en-GB"/>
        </w:rPr>
        <w:t>support them</w:t>
      </w:r>
      <w:r w:rsidR="00A92C8A" w:rsidRPr="004B2881">
        <w:rPr>
          <w:rFonts w:cs="Arial"/>
          <w:lang w:eastAsia="en-GB"/>
        </w:rPr>
        <w:t xml:space="preserve"> </w:t>
      </w:r>
      <w:r w:rsidR="00C67665" w:rsidRPr="004B2881">
        <w:rPr>
          <w:rFonts w:cs="Arial"/>
          <w:lang w:eastAsia="en-GB"/>
        </w:rPr>
        <w:t>in the transition</w:t>
      </w:r>
      <w:r w:rsidR="00C67665">
        <w:rPr>
          <w:rFonts w:cs="Arial"/>
          <w:lang w:eastAsia="en-GB"/>
        </w:rPr>
        <w:t>.</w:t>
      </w:r>
    </w:p>
    <w:p w14:paraId="4BC7DA58" w14:textId="77777777" w:rsidR="00634027" w:rsidRDefault="00634027" w:rsidP="00023BEC">
      <w:pPr>
        <w:ind w:right="-2"/>
        <w:rPr>
          <w:lang w:val="en-AU"/>
        </w:rPr>
      </w:pPr>
      <w:bookmarkStart w:id="721" w:name="_Toc85635346"/>
      <w:bookmarkStart w:id="722" w:name="_Toc97643911"/>
      <w:bookmarkStart w:id="723" w:name="_Toc97653296"/>
    </w:p>
    <w:bookmarkEnd w:id="721"/>
    <w:bookmarkEnd w:id="722"/>
    <w:bookmarkEnd w:id="723"/>
    <w:p w14:paraId="45FD6982" w14:textId="3355A6DD" w:rsidR="00AE259D" w:rsidRDefault="00A45872" w:rsidP="00023BEC">
      <w:pPr>
        <w:ind w:right="-2"/>
        <w:rPr>
          <w:rFonts w:ascii="Arial Bold" w:eastAsiaTheme="majorEastAsia" w:hAnsi="Arial Bold" w:cstheme="majorBidi"/>
          <w:bCs/>
          <w:sz w:val="36"/>
          <w:szCs w:val="28"/>
          <w:lang w:val="en-AU" w:eastAsia="en-GB" w:bidi="ar-SA"/>
        </w:rPr>
      </w:pPr>
      <w:r>
        <w:rPr>
          <w:lang w:val="en-AU"/>
        </w:rPr>
        <w:t xml:space="preserve">FSANZ periodically reviews standards. </w:t>
      </w:r>
      <w:r w:rsidR="00082A4A">
        <w:rPr>
          <w:lang w:val="en-AU"/>
        </w:rPr>
        <w:t>States and territories would be responsible for any review of implement</w:t>
      </w:r>
      <w:r w:rsidR="00AE259D">
        <w:rPr>
          <w:lang w:val="en-AU"/>
        </w:rPr>
        <w:t>ation and compliance materials.</w:t>
      </w:r>
    </w:p>
    <w:sectPr w:rsidR="00AE259D" w:rsidSect="00C812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9380" w14:textId="77777777" w:rsidR="002104AC" w:rsidRDefault="002104AC">
      <w:r>
        <w:separator/>
      </w:r>
    </w:p>
  </w:endnote>
  <w:endnote w:type="continuationSeparator" w:id="0">
    <w:p w14:paraId="6AB54A44" w14:textId="77777777" w:rsidR="002104AC" w:rsidRDefault="002104AC">
      <w:r>
        <w:continuationSeparator/>
      </w:r>
    </w:p>
  </w:endnote>
  <w:endnote w:type="continuationNotice" w:id="1">
    <w:p w14:paraId="37BE1696" w14:textId="77777777" w:rsidR="002104AC" w:rsidRDefault="0021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9A5D" w14:textId="53A06EE5" w:rsidR="009C063E" w:rsidRDefault="009C063E" w:rsidP="003669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3C8C30A" w14:textId="77777777" w:rsidR="009C063E" w:rsidRDefault="009C063E" w:rsidP="00D6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25DB" w14:textId="5EF68002" w:rsidR="009C063E" w:rsidRDefault="009C063E" w:rsidP="00D975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E368D">
      <w:rPr>
        <w:rStyle w:val="PageNumber"/>
        <w:noProof/>
      </w:rPr>
      <w:t>36</w:t>
    </w:r>
    <w:r>
      <w:rPr>
        <w:rStyle w:val="PageNumber"/>
      </w:rPr>
      <w:fldChar w:fldCharType="end"/>
    </w:r>
  </w:p>
  <w:p w14:paraId="4E4707DE" w14:textId="77777777" w:rsidR="009C063E" w:rsidRDefault="009C063E" w:rsidP="00D67D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FF76" w14:textId="77777777" w:rsidR="002104AC" w:rsidRDefault="002104AC">
      <w:r>
        <w:separator/>
      </w:r>
    </w:p>
  </w:footnote>
  <w:footnote w:type="continuationSeparator" w:id="0">
    <w:p w14:paraId="094F6E7E" w14:textId="77777777" w:rsidR="002104AC" w:rsidRDefault="002104AC">
      <w:r>
        <w:continuationSeparator/>
      </w:r>
    </w:p>
  </w:footnote>
  <w:footnote w:type="continuationNotice" w:id="1">
    <w:p w14:paraId="2DE46988" w14:textId="77777777" w:rsidR="002104AC" w:rsidRDefault="002104AC"/>
  </w:footnote>
  <w:footnote w:id="2">
    <w:p w14:paraId="3F89DF2B" w14:textId="77777777" w:rsidR="009C063E" w:rsidRPr="008A20F9" w:rsidRDefault="009C063E" w:rsidP="001662D5">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67F20261" w14:textId="60AD54CD" w:rsidR="009C063E" w:rsidRPr="006D186D" w:rsidRDefault="009C063E">
      <w:pPr>
        <w:pStyle w:val="FootnoteText"/>
        <w:rPr>
          <w:lang w:val="en-AU"/>
        </w:rPr>
      </w:pPr>
      <w:r>
        <w:rPr>
          <w:rStyle w:val="FootnoteReference"/>
        </w:rPr>
        <w:footnoteRef/>
      </w:r>
      <w:r>
        <w:t xml:space="preserve"> </w:t>
      </w:r>
      <w:r>
        <w:rPr>
          <w:sz w:val="18"/>
          <w:szCs w:val="18"/>
        </w:rPr>
        <w:t>This Cost of Illness report</w:t>
      </w:r>
      <w:r w:rsidRPr="00BB46C3">
        <w:rPr>
          <w:sz w:val="18"/>
          <w:szCs w:val="18"/>
        </w:rPr>
        <w:t xml:space="preserve"> looks at the range of costs associated with </w:t>
      </w:r>
      <w:r>
        <w:rPr>
          <w:sz w:val="18"/>
          <w:szCs w:val="18"/>
        </w:rPr>
        <w:t xml:space="preserve">numerous different types of </w:t>
      </w:r>
      <w:r w:rsidRPr="00BB46C3">
        <w:rPr>
          <w:sz w:val="18"/>
          <w:szCs w:val="18"/>
        </w:rPr>
        <w:t xml:space="preserve">foodborne illnesses, including but not limited to treatment and medical costs, lost work hours, and willingness to pay to avoid discomfort caused by illness. See: </w:t>
      </w:r>
      <w:r w:rsidRPr="00BB46C3">
        <w:rPr>
          <w:sz w:val="18"/>
          <w:szCs w:val="18"/>
          <w:highlight w:val="yellow"/>
        </w:rPr>
        <w:t>&lt;</w:t>
      </w:r>
      <w:r>
        <w:rPr>
          <w:sz w:val="18"/>
          <w:szCs w:val="18"/>
          <w:highlight w:val="yellow"/>
        </w:rPr>
        <w:t xml:space="preserve">public web </w:t>
      </w:r>
      <w:r w:rsidRPr="00BB46C3">
        <w:rPr>
          <w:sz w:val="18"/>
          <w:szCs w:val="18"/>
          <w:highlight w:val="yellow"/>
        </w:rPr>
        <w:t>link to come&gt;</w:t>
      </w:r>
    </w:p>
  </w:footnote>
  <w:footnote w:id="4">
    <w:p w14:paraId="61CB4D31" w14:textId="5E4795B7" w:rsidR="009C063E" w:rsidRPr="00D4259D" w:rsidRDefault="009C063E">
      <w:pPr>
        <w:pStyle w:val="FootnoteText"/>
        <w:rPr>
          <w:sz w:val="18"/>
          <w:szCs w:val="18"/>
          <w:lang w:val="en-AU"/>
        </w:rPr>
      </w:pPr>
      <w:r>
        <w:rPr>
          <w:rStyle w:val="FootnoteReference"/>
        </w:rPr>
        <w:footnoteRef/>
      </w:r>
      <w:r>
        <w:t xml:space="preserve"> </w:t>
      </w:r>
      <w:r w:rsidRPr="00792DD1">
        <w:rPr>
          <w:sz w:val="18"/>
          <w:szCs w:val="18"/>
        </w:rPr>
        <w:t>Astridge K, McPherson M, Knope K, Gregory J, Kardamanidis K, Bell E, Kirk M (2011) Foodborne disease outbreaks in Australia 2001-2009. Food Australia 63:44–50</w:t>
      </w:r>
    </w:p>
  </w:footnote>
  <w:footnote w:id="5">
    <w:p w14:paraId="49685610" w14:textId="77777777" w:rsidR="009C063E" w:rsidRPr="008852C0" w:rsidRDefault="009C063E" w:rsidP="008F1894">
      <w:pPr>
        <w:pStyle w:val="FootnoteText"/>
        <w:rPr>
          <w:lang w:val="en-AU"/>
        </w:rPr>
      </w:pPr>
      <w:r>
        <w:rPr>
          <w:rStyle w:val="FootnoteReference"/>
        </w:rPr>
        <w:footnoteRef/>
      </w:r>
      <w:r>
        <w:t xml:space="preserve"> </w:t>
      </w:r>
      <w:hyperlink r:id="rId2" w:history="1">
        <w:r w:rsidRPr="008852C0">
          <w:rPr>
            <w:rStyle w:val="Hyperlink"/>
            <w:sz w:val="16"/>
            <w:szCs w:val="16"/>
          </w:rPr>
          <w:t>https://foodregulation.gov.au/internet/fr/publishing.nsf/Content/ISFR</w:t>
        </w:r>
      </w:hyperlink>
      <w:r>
        <w:t xml:space="preserve"> </w:t>
      </w:r>
    </w:p>
  </w:footnote>
  <w:footnote w:id="6">
    <w:p w14:paraId="6C79EC2E" w14:textId="77777777" w:rsidR="009C063E" w:rsidRDefault="009C063E" w:rsidP="00943486">
      <w:pPr>
        <w:pStyle w:val="FootnoteText"/>
        <w:rPr>
          <w:lang w:val="en-AU"/>
        </w:rPr>
      </w:pPr>
      <w:r>
        <w:rPr>
          <w:rStyle w:val="FootnoteReference"/>
        </w:rPr>
        <w:footnoteRef/>
      </w:r>
      <w:r>
        <w:t xml:space="preserve"> The GFSMR requires a food safety management statement to be approved by the relevant state or territory government food regulator and engages potential ongoing verification activities, accrues licencing fees etc. </w:t>
      </w:r>
    </w:p>
  </w:footnote>
  <w:footnote w:id="7">
    <w:p w14:paraId="7F5503CA" w14:textId="5AE4E416" w:rsidR="009C063E" w:rsidRPr="00CA1D69" w:rsidRDefault="009C063E">
      <w:pPr>
        <w:pStyle w:val="FootnoteText"/>
        <w:rPr>
          <w:lang w:val="en-AU"/>
        </w:rPr>
      </w:pPr>
      <w:r>
        <w:rPr>
          <w:rStyle w:val="FootnoteReference"/>
        </w:rPr>
        <w:footnoteRef/>
      </w:r>
      <w:r>
        <w:t xml:space="preserve"> </w:t>
      </w:r>
      <w:r>
        <w:rPr>
          <w:lang w:val="en-AU"/>
        </w:rPr>
        <w:t>ABS Stats: 71210DO004_201920 Agricultural Commodities, Australia–2019-20</w:t>
      </w:r>
    </w:p>
  </w:footnote>
  <w:footnote w:id="8">
    <w:p w14:paraId="526D5530" w14:textId="77777777" w:rsidR="009C063E" w:rsidRPr="003E1F7E" w:rsidRDefault="009C063E" w:rsidP="00057BF4">
      <w:pPr>
        <w:pStyle w:val="FootnoteText"/>
        <w:rPr>
          <w:lang w:val="en-AU"/>
        </w:rPr>
      </w:pPr>
      <w:r w:rsidRPr="003E1F7E">
        <w:rPr>
          <w:rStyle w:val="FootnoteReference"/>
          <w:szCs w:val="18"/>
        </w:rPr>
        <w:footnoteRef/>
      </w:r>
      <w:r w:rsidRPr="003E1F7E">
        <w:rPr>
          <w:szCs w:val="18"/>
        </w:rPr>
        <w:t xml:space="preserve"> Available at </w:t>
      </w:r>
      <w:hyperlink r:id="rId3" w:history="1">
        <w:r w:rsidRPr="003E1F7E">
          <w:rPr>
            <w:rStyle w:val="Hyperlink"/>
            <w:szCs w:val="18"/>
          </w:rPr>
          <w:t>https://farmersmarkets.org.au/</w:t>
        </w:r>
      </w:hyperlink>
    </w:p>
  </w:footnote>
  <w:footnote w:id="9">
    <w:p w14:paraId="4769FC3C" w14:textId="77777777" w:rsidR="009C063E" w:rsidRPr="00DA4248" w:rsidRDefault="009C063E" w:rsidP="00057BF4">
      <w:pPr>
        <w:pStyle w:val="FootnoteText"/>
        <w:rPr>
          <w:szCs w:val="18"/>
        </w:rPr>
      </w:pPr>
      <w:r w:rsidRPr="00A64582">
        <w:rPr>
          <w:rStyle w:val="FootnoteReference"/>
          <w:szCs w:val="18"/>
        </w:rPr>
        <w:footnoteRef/>
      </w:r>
      <w:r w:rsidRPr="00A64582">
        <w:rPr>
          <w:szCs w:val="18"/>
        </w:rPr>
        <w:t xml:space="preserve"> </w:t>
      </w:r>
      <w:hyperlink r:id="rId4" w:history="1">
        <w:r w:rsidRPr="002F7BE1">
          <w:rPr>
            <w:rStyle w:val="Hyperlink"/>
            <w:szCs w:val="18"/>
          </w:rPr>
          <w:t>https://fpsc-anz.com/</w:t>
        </w:r>
      </w:hyperlink>
    </w:p>
  </w:footnote>
  <w:footnote w:id="10">
    <w:p w14:paraId="457C2E24" w14:textId="5802FF9C" w:rsidR="009C063E" w:rsidRPr="00F47C17" w:rsidRDefault="009C063E">
      <w:pPr>
        <w:pStyle w:val="FootnoteText"/>
        <w:rPr>
          <w:lang w:val="en-AU"/>
        </w:rPr>
      </w:pPr>
      <w:r>
        <w:rPr>
          <w:rStyle w:val="FootnoteReference"/>
        </w:rPr>
        <w:footnoteRef/>
      </w:r>
      <w:r>
        <w:t xml:space="preserve"> </w:t>
      </w:r>
      <w:hyperlink r:id="rId5" w:history="1">
        <w:r>
          <w:rPr>
            <w:rStyle w:val="Hyperlink"/>
          </w:rPr>
          <w:t>Melon food safety toolbox: practical resources for implementing best practice (nsw.gov.au)</w:t>
        </w:r>
      </w:hyperlink>
    </w:p>
  </w:footnote>
  <w:footnote w:id="11">
    <w:p w14:paraId="18921318" w14:textId="77777777" w:rsidR="009C063E" w:rsidRPr="009A059B" w:rsidRDefault="009C063E"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6" w:tooltip="Biosecurity Act 2015" w:history="1">
        <w:r w:rsidRPr="009A059B">
          <w:rPr>
            <w:rStyle w:val="Hyperlink"/>
            <w:sz w:val="18"/>
            <w:szCs w:val="18"/>
            <w:lang w:val="en-AU"/>
          </w:rPr>
          <w:t>https://www.legislation.gov.au/Series/C2015A00061</w:t>
        </w:r>
      </w:hyperlink>
      <w:r w:rsidRPr="009A059B">
        <w:rPr>
          <w:sz w:val="18"/>
          <w:szCs w:val="18"/>
          <w:lang w:val="en-AU"/>
        </w:rPr>
        <w:t xml:space="preserve"> </w:t>
      </w:r>
    </w:p>
  </w:footnote>
  <w:footnote w:id="12">
    <w:p w14:paraId="36F332BF" w14:textId="77777777" w:rsidR="009C063E" w:rsidRPr="009A059B" w:rsidRDefault="009C063E"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7" w:tooltip="Imported Food Control Act 1992" w:history="1">
        <w:r w:rsidRPr="009A059B">
          <w:rPr>
            <w:rStyle w:val="Hyperlink"/>
            <w:sz w:val="18"/>
            <w:szCs w:val="18"/>
            <w:lang w:val="en-AU"/>
          </w:rPr>
          <w:t>https://www.legislation.gov.au/Series/C2004A04512</w:t>
        </w:r>
      </w:hyperlink>
      <w:r w:rsidRPr="009A059B">
        <w:rPr>
          <w:sz w:val="18"/>
          <w:szCs w:val="18"/>
          <w:lang w:val="en-AU"/>
        </w:rPr>
        <w:t xml:space="preserve"> </w:t>
      </w:r>
    </w:p>
  </w:footnote>
  <w:footnote w:id="13">
    <w:p w14:paraId="2AEE979D" w14:textId="77777777" w:rsidR="009C063E" w:rsidRPr="009A059B" w:rsidRDefault="009C063E"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Pr>
          <w:sz w:val="18"/>
          <w:szCs w:val="18"/>
          <w:lang w:val="en-AU"/>
        </w:rPr>
        <w:t xml:space="preserve"> </w:t>
      </w:r>
      <w:hyperlink r:id="rId8" w:history="1">
        <w:r w:rsidRPr="00537DE3">
          <w:rPr>
            <w:rStyle w:val="Hyperlink"/>
            <w:sz w:val="18"/>
            <w:szCs w:val="18"/>
            <w:lang w:val="en-AU"/>
          </w:rPr>
          <w:t>https://www.legislation.gov.au/Details/F2019L01006</w:t>
        </w:r>
      </w:hyperlink>
    </w:p>
  </w:footnote>
  <w:footnote w:id="14">
    <w:p w14:paraId="1E3B2DCA" w14:textId="796F0C1D" w:rsidR="009C063E" w:rsidRDefault="009C063E" w:rsidP="003B1362">
      <w:pPr>
        <w:pStyle w:val="FootnoteText"/>
        <w:rPr>
          <w:sz w:val="18"/>
          <w:szCs w:val="18"/>
          <w:lang w:val="en-AU"/>
        </w:rPr>
      </w:pPr>
      <w:r>
        <w:rPr>
          <w:sz w:val="18"/>
          <w:szCs w:val="18"/>
          <w:vertAlign w:val="superscript"/>
          <w:lang w:val="en-AU"/>
        </w:rPr>
        <w:t xml:space="preserve">12 </w:t>
      </w:r>
      <w:r>
        <w:rPr>
          <w:sz w:val="18"/>
          <w:szCs w:val="18"/>
          <w:lang w:val="en-AU"/>
        </w:rPr>
        <w:t xml:space="preserve">Available at </w:t>
      </w:r>
      <w:hyperlink r:id="rId9" w:history="1">
        <w:r w:rsidRPr="00A679C5">
          <w:rPr>
            <w:rStyle w:val="Hyperlink"/>
            <w:sz w:val="18"/>
            <w:szCs w:val="18"/>
            <w:lang w:val="en-AU"/>
          </w:rPr>
          <w:t>https://www.awe.gov.au/biosecurity-trade/import/goods/food/inspection-compliance/inspection-scheme</w:t>
        </w:r>
      </w:hyperlink>
    </w:p>
    <w:p w14:paraId="5F586A5C" w14:textId="77777777" w:rsidR="009C063E" w:rsidRPr="009A059B" w:rsidRDefault="009C063E" w:rsidP="003B1362">
      <w:pPr>
        <w:pStyle w:val="FootnoteText"/>
        <w:rPr>
          <w:sz w:val="18"/>
          <w:szCs w:val="18"/>
          <w:lang w:val="en-AU"/>
        </w:rPr>
      </w:pPr>
    </w:p>
  </w:footnote>
  <w:footnote w:id="15">
    <w:p w14:paraId="5DF52C4D" w14:textId="77777777" w:rsidR="009C063E" w:rsidRPr="009A059B" w:rsidRDefault="009C063E"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CF51CB">
        <w:t xml:space="preserve"> </w:t>
      </w:r>
      <w:hyperlink r:id="rId10" w:history="1">
        <w:r w:rsidRPr="002A4E4A">
          <w:rPr>
            <w:rStyle w:val="Hyperlink"/>
            <w:sz w:val="18"/>
            <w:szCs w:val="18"/>
            <w:lang w:val="en-AU"/>
          </w:rPr>
          <w:t>https://www.legislation.gov.au/Details/F2019L01233</w:t>
        </w:r>
      </w:hyperlink>
      <w:r>
        <w:rPr>
          <w:sz w:val="18"/>
          <w:szCs w:val="18"/>
          <w:lang w:val="en-AU"/>
        </w:rPr>
        <w:t xml:space="preserve"> </w:t>
      </w:r>
      <w:r w:rsidRPr="009A059B">
        <w:rPr>
          <w:sz w:val="18"/>
          <w:szCs w:val="18"/>
          <w:lang w:val="en-AU"/>
        </w:rPr>
        <w:t xml:space="preserve"> </w:t>
      </w:r>
    </w:p>
  </w:footnote>
  <w:footnote w:id="16">
    <w:p w14:paraId="588E65AE" w14:textId="77777777" w:rsidR="009C063E" w:rsidRPr="009A059B" w:rsidRDefault="009C063E"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1" w:tooltip="Department of Agriculture" w:history="1">
        <w:r w:rsidRPr="009A059B">
          <w:rPr>
            <w:rStyle w:val="Hyperlink"/>
            <w:sz w:val="18"/>
            <w:szCs w:val="18"/>
            <w:lang w:val="en-AU"/>
          </w:rPr>
          <w:t>http://www.agriculture.gov.au/import</w:t>
        </w:r>
      </w:hyperlink>
      <w:r w:rsidRPr="009A059B">
        <w:rPr>
          <w:sz w:val="18"/>
          <w:szCs w:val="18"/>
          <w:lang w:val="en-AU"/>
        </w:rPr>
        <w:t xml:space="preserve"> </w:t>
      </w:r>
    </w:p>
  </w:footnote>
  <w:footnote w:id="17">
    <w:p w14:paraId="377481AD" w14:textId="77777777" w:rsidR="009C063E" w:rsidRPr="002E0A45" w:rsidRDefault="009C063E" w:rsidP="00677DBB">
      <w:pPr>
        <w:pStyle w:val="FootnoteText"/>
        <w:rPr>
          <w:lang w:val="en-AU"/>
        </w:rPr>
      </w:pPr>
      <w:r>
        <w:rPr>
          <w:rStyle w:val="FootnoteReference"/>
        </w:rPr>
        <w:footnoteRef/>
      </w:r>
      <w:r>
        <w:t xml:space="preserve"> </w:t>
      </w:r>
      <w:r>
        <w:rPr>
          <w:lang w:val="en-AU"/>
        </w:rPr>
        <w:t xml:space="preserve">See: </w:t>
      </w:r>
      <w:hyperlink r:id="rId12" w:history="1">
        <w:r>
          <w:rPr>
            <w:rStyle w:val="Hyperlink"/>
          </w:rPr>
          <w:t>FSMA Final Rule on Produce Safety | FDA</w:t>
        </w:r>
      </w:hyperlink>
    </w:p>
  </w:footnote>
  <w:footnote w:id="18">
    <w:p w14:paraId="04B0AA33" w14:textId="57C798A2" w:rsidR="009C063E" w:rsidRPr="00081D70" w:rsidRDefault="009C063E">
      <w:pPr>
        <w:pStyle w:val="FootnoteText"/>
        <w:rPr>
          <w:lang w:val="en-AU"/>
        </w:rPr>
      </w:pPr>
      <w:r>
        <w:rPr>
          <w:rStyle w:val="FootnoteReference"/>
        </w:rPr>
        <w:footnoteRef/>
      </w:r>
      <w:r>
        <w:t xml:space="preserve"> </w:t>
      </w:r>
      <w:r>
        <w:rPr>
          <w:lang w:val="en-AU"/>
        </w:rPr>
        <w:t xml:space="preserve">     </w:t>
      </w:r>
      <w:r w:rsidRPr="00081D70">
        <w:rPr>
          <w:rFonts w:eastAsiaTheme="minorHAnsi" w:cstheme="minorBidi"/>
          <w:sz w:val="16"/>
          <w:szCs w:val="16"/>
          <w:lang w:bidi="ar-SA"/>
        </w:rPr>
        <w:t xml:space="preserve">Australian Bureau of Agricultural and Resource Economics and Sciences (2019) Agricultural commodities and trade data. </w:t>
      </w:r>
      <w:r>
        <w:rPr>
          <w:rFonts w:eastAsiaTheme="minorHAnsi" w:cstheme="minorBidi"/>
          <w:sz w:val="16"/>
          <w:szCs w:val="16"/>
          <w:lang w:bidi="ar-SA"/>
        </w:rPr>
        <w:t xml:space="preserve"> </w:t>
      </w:r>
      <w:r w:rsidRPr="00081D70">
        <w:rPr>
          <w:rFonts w:eastAsiaTheme="minorHAnsi" w:cstheme="minorBidi"/>
          <w:sz w:val="16"/>
          <w:szCs w:val="16"/>
          <w:lang w:bidi="ar-SA"/>
        </w:rPr>
        <w:t>2019: Rural Commodities - Horticulture.</w:t>
      </w:r>
      <w:r w:rsidRPr="000B261E">
        <w:rPr>
          <w:sz w:val="16"/>
          <w:szCs w:val="16"/>
        </w:rPr>
        <w:t xml:space="preserve"> </w:t>
      </w:r>
      <w:r>
        <w:rPr>
          <w:sz w:val="16"/>
          <w:szCs w:val="16"/>
        </w:rPr>
        <w:t xml:space="preserve"> </w:t>
      </w:r>
    </w:p>
  </w:footnote>
  <w:footnote w:id="19">
    <w:p w14:paraId="60AEF33E" w14:textId="77F64C77" w:rsidR="009C063E" w:rsidRPr="00DE463B" w:rsidRDefault="009C063E" w:rsidP="000B261E">
      <w:pPr>
        <w:pStyle w:val="CitaviBibliographyEntry"/>
        <w:ind w:right="-144"/>
      </w:pPr>
      <w:r>
        <w:rPr>
          <w:rStyle w:val="FootnoteReference"/>
        </w:rPr>
        <w:footnoteRef/>
      </w:r>
      <w:r>
        <w:t xml:space="preserve">    </w:t>
      </w:r>
      <w:r w:rsidRPr="000B261E">
        <w:rPr>
          <w:sz w:val="16"/>
          <w:szCs w:val="16"/>
        </w:rPr>
        <w:t>Australian Bureau of Agricultural and Resource Economics and Sciences (2019) Agricultural co</w:t>
      </w:r>
      <w:r>
        <w:rPr>
          <w:sz w:val="16"/>
          <w:szCs w:val="16"/>
        </w:rPr>
        <w:t xml:space="preserve">mmodities and trade data. 2019: </w:t>
      </w:r>
      <w:r w:rsidRPr="000B261E">
        <w:rPr>
          <w:sz w:val="16"/>
          <w:szCs w:val="16"/>
        </w:rPr>
        <w:t xml:space="preserve">Rural Commodities - Horticulture. </w:t>
      </w:r>
      <w:r>
        <w:rPr>
          <w:sz w:val="16"/>
          <w:szCs w:val="16"/>
        </w:rPr>
        <w:t xml:space="preserve"> </w:t>
      </w:r>
      <w:r w:rsidRPr="000B261E">
        <w:rPr>
          <w:sz w:val="16"/>
          <w:szCs w:val="16"/>
        </w:rPr>
        <w:t>https://www.agriculture.gov.au/sites/default/files/documents/ACS2019_HorticultureTables_v1.0.0.xlsx. Accessed 9 November 2020</w:t>
      </w:r>
    </w:p>
    <w:p w14:paraId="49918A0D" w14:textId="4EDAB182" w:rsidR="009C063E" w:rsidRPr="000B261E" w:rsidRDefault="009C063E">
      <w:pPr>
        <w:pStyle w:val="FootnoteText"/>
        <w:rPr>
          <w:lang w:val="en-AU"/>
        </w:rPr>
      </w:pPr>
    </w:p>
  </w:footnote>
  <w:footnote w:id="20">
    <w:p w14:paraId="59A45E60" w14:textId="7DB8419D" w:rsidR="009C063E" w:rsidRPr="00760F12" w:rsidRDefault="009C063E">
      <w:pPr>
        <w:pStyle w:val="FootnoteText"/>
        <w:rPr>
          <w:lang w:val="en-AU"/>
        </w:rPr>
      </w:pPr>
      <w:r>
        <w:rPr>
          <w:rStyle w:val="FootnoteReference"/>
        </w:rPr>
        <w:footnoteRef/>
      </w:r>
      <w:r>
        <w:t xml:space="preserve"> </w:t>
      </w:r>
      <w:hyperlink r:id="rId13" w:anchor=":~:text=Overarching%20Policy%20Guideline%20on%20Primary%20Production%20and%20Processing,food%20standards%20covering%20the%20entire%20food%20supply%20chain." w:history="1">
        <w:r w:rsidRPr="00760F12">
          <w:rPr>
            <w:rStyle w:val="Hyperlink"/>
            <w:sz w:val="16"/>
          </w:rPr>
          <w:t>Forum-Policy Guideline-Primary Production and Processing Standards.pdf (foodregulation.gov.au)</w:t>
        </w:r>
      </w:hyperlink>
    </w:p>
  </w:footnote>
  <w:footnote w:id="21">
    <w:p w14:paraId="7B7BA1F7" w14:textId="77777777" w:rsidR="009C063E" w:rsidRPr="00FE0611" w:rsidRDefault="009C063E" w:rsidP="00760F12">
      <w:pPr>
        <w:pStyle w:val="FootnoteText"/>
        <w:rPr>
          <w:lang w:val="en-AU"/>
        </w:rPr>
      </w:pPr>
      <w:r>
        <w:rPr>
          <w:rStyle w:val="FootnoteReference"/>
        </w:rPr>
        <w:footnoteRef/>
      </w:r>
      <w:r>
        <w:t xml:space="preserve"> </w:t>
      </w:r>
      <w:hyperlink r:id="rId14" w:history="1">
        <w:r w:rsidRPr="008852C0">
          <w:rPr>
            <w:rStyle w:val="Hyperlink"/>
            <w:sz w:val="16"/>
            <w:szCs w:val="16"/>
          </w:rPr>
          <w:t>https://foodregulation.gov.au/internet/fr/publishing.nsf/Content/ISFR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0504" w14:textId="33C46D6B" w:rsidR="009C063E" w:rsidRDefault="009C063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55"/>
    <w:multiLevelType w:val="hybridMultilevel"/>
    <w:tmpl w:val="B5C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6F46"/>
    <w:multiLevelType w:val="hybridMultilevel"/>
    <w:tmpl w:val="21C04B8C"/>
    <w:lvl w:ilvl="0" w:tplc="50345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2058"/>
    <w:multiLevelType w:val="hybridMultilevel"/>
    <w:tmpl w:val="37EE000E"/>
    <w:lvl w:ilvl="0" w:tplc="F97A6A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AF2135"/>
    <w:multiLevelType w:val="hybridMultilevel"/>
    <w:tmpl w:val="62FE3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8A31A3"/>
    <w:multiLevelType w:val="hybridMultilevel"/>
    <w:tmpl w:val="0B3AF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A0DAF"/>
    <w:multiLevelType w:val="hybridMultilevel"/>
    <w:tmpl w:val="A684BDDC"/>
    <w:lvl w:ilvl="0" w:tplc="168ECA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D0CC0"/>
    <w:multiLevelType w:val="hybridMultilevel"/>
    <w:tmpl w:val="B07E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D2EF1"/>
    <w:multiLevelType w:val="hybridMultilevel"/>
    <w:tmpl w:val="2722C8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D3C0A"/>
    <w:multiLevelType w:val="hybridMultilevel"/>
    <w:tmpl w:val="965E1516"/>
    <w:lvl w:ilvl="0" w:tplc="859406E0">
      <w:start w:val="1"/>
      <w:numFmt w:val="decimal"/>
      <w:lvlText w:val="%1."/>
      <w:lvlJc w:val="left"/>
      <w:pPr>
        <w:ind w:left="460" w:hanging="360"/>
      </w:pPr>
      <w:rPr>
        <w:rFonts w:cs="Times New Roman" w:hint="default"/>
        <w:sz w:val="48"/>
      </w:rPr>
    </w:lvl>
    <w:lvl w:ilvl="1" w:tplc="0C090019" w:tentative="1">
      <w:start w:val="1"/>
      <w:numFmt w:val="lowerLetter"/>
      <w:lvlText w:val="%2."/>
      <w:lvlJc w:val="left"/>
      <w:pPr>
        <w:ind w:left="1180" w:hanging="360"/>
      </w:pPr>
      <w:rPr>
        <w:rFonts w:cs="Times New Roman"/>
      </w:rPr>
    </w:lvl>
    <w:lvl w:ilvl="2" w:tplc="0C09001B" w:tentative="1">
      <w:start w:val="1"/>
      <w:numFmt w:val="lowerRoman"/>
      <w:lvlText w:val="%3."/>
      <w:lvlJc w:val="right"/>
      <w:pPr>
        <w:ind w:left="1900" w:hanging="180"/>
      </w:pPr>
      <w:rPr>
        <w:rFonts w:cs="Times New Roman"/>
      </w:rPr>
    </w:lvl>
    <w:lvl w:ilvl="3" w:tplc="0C09000F" w:tentative="1">
      <w:start w:val="1"/>
      <w:numFmt w:val="decimal"/>
      <w:lvlText w:val="%4."/>
      <w:lvlJc w:val="left"/>
      <w:pPr>
        <w:ind w:left="2620" w:hanging="360"/>
      </w:pPr>
      <w:rPr>
        <w:rFonts w:cs="Times New Roman"/>
      </w:rPr>
    </w:lvl>
    <w:lvl w:ilvl="4" w:tplc="0C090019" w:tentative="1">
      <w:start w:val="1"/>
      <w:numFmt w:val="lowerLetter"/>
      <w:lvlText w:val="%5."/>
      <w:lvlJc w:val="left"/>
      <w:pPr>
        <w:ind w:left="3340" w:hanging="360"/>
      </w:pPr>
      <w:rPr>
        <w:rFonts w:cs="Times New Roman"/>
      </w:rPr>
    </w:lvl>
    <w:lvl w:ilvl="5" w:tplc="0C09001B" w:tentative="1">
      <w:start w:val="1"/>
      <w:numFmt w:val="lowerRoman"/>
      <w:lvlText w:val="%6."/>
      <w:lvlJc w:val="right"/>
      <w:pPr>
        <w:ind w:left="4060" w:hanging="180"/>
      </w:pPr>
      <w:rPr>
        <w:rFonts w:cs="Times New Roman"/>
      </w:rPr>
    </w:lvl>
    <w:lvl w:ilvl="6" w:tplc="0C09000F" w:tentative="1">
      <w:start w:val="1"/>
      <w:numFmt w:val="decimal"/>
      <w:lvlText w:val="%7."/>
      <w:lvlJc w:val="left"/>
      <w:pPr>
        <w:ind w:left="4780" w:hanging="360"/>
      </w:pPr>
      <w:rPr>
        <w:rFonts w:cs="Times New Roman"/>
      </w:rPr>
    </w:lvl>
    <w:lvl w:ilvl="7" w:tplc="0C090019" w:tentative="1">
      <w:start w:val="1"/>
      <w:numFmt w:val="lowerLetter"/>
      <w:lvlText w:val="%8."/>
      <w:lvlJc w:val="left"/>
      <w:pPr>
        <w:ind w:left="5500" w:hanging="360"/>
      </w:pPr>
      <w:rPr>
        <w:rFonts w:cs="Times New Roman"/>
      </w:rPr>
    </w:lvl>
    <w:lvl w:ilvl="8" w:tplc="0C09001B" w:tentative="1">
      <w:start w:val="1"/>
      <w:numFmt w:val="lowerRoman"/>
      <w:lvlText w:val="%9."/>
      <w:lvlJc w:val="right"/>
      <w:pPr>
        <w:ind w:left="6220" w:hanging="180"/>
      </w:pPr>
      <w:rPr>
        <w:rFonts w:cs="Times New Roman"/>
      </w:rPr>
    </w:lvl>
  </w:abstractNum>
  <w:abstractNum w:abstractNumId="9" w15:restartNumberingAfterBreak="0">
    <w:nsid w:val="15EC2EB7"/>
    <w:multiLevelType w:val="hybridMultilevel"/>
    <w:tmpl w:val="CD0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91AB2"/>
    <w:multiLevelType w:val="hybridMultilevel"/>
    <w:tmpl w:val="84BCC52C"/>
    <w:lvl w:ilvl="0" w:tplc="A5761CF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163BF"/>
    <w:multiLevelType w:val="hybridMultilevel"/>
    <w:tmpl w:val="3208B73C"/>
    <w:lvl w:ilvl="0" w:tplc="3D7086E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3F2735"/>
    <w:multiLevelType w:val="hybridMultilevel"/>
    <w:tmpl w:val="245C31C6"/>
    <w:lvl w:ilvl="0" w:tplc="557CC7E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F80A10"/>
    <w:multiLevelType w:val="hybridMultilevel"/>
    <w:tmpl w:val="7FD813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95C757C"/>
    <w:multiLevelType w:val="hybridMultilevel"/>
    <w:tmpl w:val="C3D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D2A87"/>
    <w:multiLevelType w:val="hybridMultilevel"/>
    <w:tmpl w:val="622C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D930CC8"/>
    <w:multiLevelType w:val="hybridMultilevel"/>
    <w:tmpl w:val="03AA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E2E86"/>
    <w:multiLevelType w:val="hybridMultilevel"/>
    <w:tmpl w:val="3D88E148"/>
    <w:lvl w:ilvl="0" w:tplc="724E8E3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45220"/>
    <w:multiLevelType w:val="hybridMultilevel"/>
    <w:tmpl w:val="4F0E2FE0"/>
    <w:lvl w:ilvl="0" w:tplc="1456AF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01760"/>
    <w:multiLevelType w:val="hybridMultilevel"/>
    <w:tmpl w:val="41B069C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A97EDE"/>
    <w:multiLevelType w:val="hybridMultilevel"/>
    <w:tmpl w:val="A7A6F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2D3032"/>
    <w:multiLevelType w:val="multilevel"/>
    <w:tmpl w:val="AF4C96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C908CB"/>
    <w:multiLevelType w:val="hybridMultilevel"/>
    <w:tmpl w:val="A8A89DF2"/>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95967"/>
    <w:multiLevelType w:val="hybridMultilevel"/>
    <w:tmpl w:val="6E70581E"/>
    <w:lvl w:ilvl="0" w:tplc="A120D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275C8"/>
    <w:multiLevelType w:val="hybridMultilevel"/>
    <w:tmpl w:val="2EB6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9679E"/>
    <w:multiLevelType w:val="singleLevel"/>
    <w:tmpl w:val="090A07F8"/>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4CBD36CE"/>
    <w:multiLevelType w:val="hybridMultilevel"/>
    <w:tmpl w:val="7FA69D36"/>
    <w:lvl w:ilvl="0" w:tplc="0388B4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D8A5F7F"/>
    <w:multiLevelType w:val="multilevel"/>
    <w:tmpl w:val="8F2CF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A43CE"/>
    <w:multiLevelType w:val="hybridMultilevel"/>
    <w:tmpl w:val="FDF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74686"/>
    <w:multiLevelType w:val="hybridMultilevel"/>
    <w:tmpl w:val="7D2A10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2C64D47"/>
    <w:multiLevelType w:val="hybridMultilevel"/>
    <w:tmpl w:val="3F5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93855"/>
    <w:multiLevelType w:val="hybridMultilevel"/>
    <w:tmpl w:val="3CE0BD5E"/>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36F0B"/>
    <w:multiLevelType w:val="hybridMultilevel"/>
    <w:tmpl w:val="8B385362"/>
    <w:lvl w:ilvl="0" w:tplc="315AC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9C62BC"/>
    <w:multiLevelType w:val="hybridMultilevel"/>
    <w:tmpl w:val="3D2C49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5" w15:restartNumberingAfterBreak="0">
    <w:nsid w:val="5F6B6825"/>
    <w:multiLevelType w:val="hybridMultilevel"/>
    <w:tmpl w:val="EF2C142A"/>
    <w:lvl w:ilvl="0" w:tplc="5CC2F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81ADC"/>
    <w:multiLevelType w:val="hybridMultilevel"/>
    <w:tmpl w:val="DAD814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AF02CD"/>
    <w:multiLevelType w:val="hybridMultilevel"/>
    <w:tmpl w:val="2D2C5ACC"/>
    <w:lvl w:ilvl="0" w:tplc="CA4ECEF2">
      <w:start w:val="1"/>
      <w:numFmt w:val="bullet"/>
      <w:pStyle w:val="FSBullet"/>
      <w:lvlText w:val=""/>
      <w:lvlJc w:val="left"/>
      <w:pPr>
        <w:tabs>
          <w:tab w:val="num" w:pos="85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0281A"/>
    <w:multiLevelType w:val="hybridMultilevel"/>
    <w:tmpl w:val="F1DE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E47F70"/>
    <w:multiLevelType w:val="hybridMultilevel"/>
    <w:tmpl w:val="A1C0C1BE"/>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E254C2"/>
    <w:multiLevelType w:val="hybridMultilevel"/>
    <w:tmpl w:val="BAF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62D43"/>
    <w:multiLevelType w:val="hybridMultilevel"/>
    <w:tmpl w:val="58A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B2A08"/>
    <w:multiLevelType w:val="hybridMultilevel"/>
    <w:tmpl w:val="20F48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604006"/>
    <w:multiLevelType w:val="hybridMultilevel"/>
    <w:tmpl w:val="CF2413A6"/>
    <w:lvl w:ilvl="0" w:tplc="6464A9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9240A4"/>
    <w:multiLevelType w:val="hybridMultilevel"/>
    <w:tmpl w:val="4C221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E70278"/>
    <w:multiLevelType w:val="hybridMultilevel"/>
    <w:tmpl w:val="480C5430"/>
    <w:lvl w:ilvl="0" w:tplc="86FCDE6A">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num w:numId="1" w16cid:durableId="1460411794">
    <w:abstractNumId w:val="13"/>
  </w:num>
  <w:num w:numId="2" w16cid:durableId="1158234074">
    <w:abstractNumId w:val="41"/>
  </w:num>
  <w:num w:numId="3" w16cid:durableId="1847475319">
    <w:abstractNumId w:val="9"/>
  </w:num>
  <w:num w:numId="4" w16cid:durableId="1802918130">
    <w:abstractNumId w:val="31"/>
  </w:num>
  <w:num w:numId="5" w16cid:durableId="885221032">
    <w:abstractNumId w:val="39"/>
  </w:num>
  <w:num w:numId="6" w16cid:durableId="1486360384">
    <w:abstractNumId w:val="37"/>
  </w:num>
  <w:num w:numId="7" w16cid:durableId="310717809">
    <w:abstractNumId w:val="25"/>
  </w:num>
  <w:num w:numId="8" w16cid:durableId="65108671">
    <w:abstractNumId w:val="33"/>
  </w:num>
  <w:num w:numId="9" w16cid:durableId="699672883">
    <w:abstractNumId w:val="1"/>
  </w:num>
  <w:num w:numId="10" w16cid:durableId="2006668457">
    <w:abstractNumId w:val="2"/>
  </w:num>
  <w:num w:numId="11" w16cid:durableId="236092140">
    <w:abstractNumId w:val="35"/>
  </w:num>
  <w:num w:numId="12" w16cid:durableId="1158158750">
    <w:abstractNumId w:val="32"/>
  </w:num>
  <w:num w:numId="13" w16cid:durableId="1126972044">
    <w:abstractNumId w:val="43"/>
  </w:num>
  <w:num w:numId="14" w16cid:durableId="1765685000">
    <w:abstractNumId w:val="23"/>
  </w:num>
  <w:num w:numId="15" w16cid:durableId="1312128225">
    <w:abstractNumId w:val="18"/>
  </w:num>
  <w:num w:numId="16" w16cid:durableId="141310941">
    <w:abstractNumId w:val="4"/>
  </w:num>
  <w:num w:numId="17" w16cid:durableId="422456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352200">
    <w:abstractNumId w:val="11"/>
  </w:num>
  <w:num w:numId="19" w16cid:durableId="1061832902">
    <w:abstractNumId w:val="39"/>
  </w:num>
  <w:num w:numId="20" w16cid:durableId="1359621430">
    <w:abstractNumId w:val="26"/>
  </w:num>
  <w:num w:numId="21" w16cid:durableId="262887438">
    <w:abstractNumId w:val="36"/>
  </w:num>
  <w:num w:numId="22" w16cid:durableId="537358966">
    <w:abstractNumId w:val="22"/>
  </w:num>
  <w:num w:numId="23" w16cid:durableId="1505435848">
    <w:abstractNumId w:val="16"/>
  </w:num>
  <w:num w:numId="24" w16cid:durableId="586115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143342">
    <w:abstractNumId w:val="34"/>
  </w:num>
  <w:num w:numId="26" w16cid:durableId="1679694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5503290">
    <w:abstractNumId w:val="40"/>
  </w:num>
  <w:num w:numId="28" w16cid:durableId="140931090">
    <w:abstractNumId w:val="15"/>
  </w:num>
  <w:num w:numId="29" w16cid:durableId="313918139">
    <w:abstractNumId w:val="29"/>
  </w:num>
  <w:num w:numId="30" w16cid:durableId="2116292327">
    <w:abstractNumId w:val="14"/>
  </w:num>
  <w:num w:numId="31" w16cid:durableId="304437636">
    <w:abstractNumId w:val="27"/>
  </w:num>
  <w:num w:numId="32" w16cid:durableId="1526670117">
    <w:abstractNumId w:val="44"/>
  </w:num>
  <w:num w:numId="33" w16cid:durableId="1036924745">
    <w:abstractNumId w:val="8"/>
  </w:num>
  <w:num w:numId="34" w16cid:durableId="1473331781">
    <w:abstractNumId w:val="13"/>
  </w:num>
  <w:num w:numId="35" w16cid:durableId="1878734269">
    <w:abstractNumId w:val="42"/>
  </w:num>
  <w:num w:numId="36" w16cid:durableId="1421098125">
    <w:abstractNumId w:val="10"/>
  </w:num>
  <w:num w:numId="37" w16cid:durableId="1178810683">
    <w:abstractNumId w:val="21"/>
  </w:num>
  <w:num w:numId="38" w16cid:durableId="1465193674">
    <w:abstractNumId w:val="19"/>
  </w:num>
  <w:num w:numId="39" w16cid:durableId="1613707969">
    <w:abstractNumId w:val="38"/>
  </w:num>
  <w:num w:numId="40" w16cid:durableId="2114545520">
    <w:abstractNumId w:val="5"/>
  </w:num>
  <w:num w:numId="41" w16cid:durableId="644624213">
    <w:abstractNumId w:val="3"/>
  </w:num>
  <w:num w:numId="42" w16cid:durableId="1314408669">
    <w:abstractNumId w:val="6"/>
  </w:num>
  <w:num w:numId="43" w16cid:durableId="1013803157">
    <w:abstractNumId w:val="26"/>
  </w:num>
  <w:num w:numId="44" w16cid:durableId="1335643687">
    <w:abstractNumId w:val="7"/>
  </w:num>
  <w:num w:numId="45" w16cid:durableId="1830558662">
    <w:abstractNumId w:val="0"/>
  </w:num>
  <w:num w:numId="46" w16cid:durableId="1478182992">
    <w:abstractNumId w:val="30"/>
  </w:num>
  <w:num w:numId="47" w16cid:durableId="2143620287">
    <w:abstractNumId w:val="17"/>
  </w:num>
  <w:num w:numId="48" w16cid:durableId="703362365">
    <w:abstractNumId w:val="24"/>
  </w:num>
  <w:num w:numId="49" w16cid:durableId="22803116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AB"/>
    <w:rsid w:val="00000DE3"/>
    <w:rsid w:val="00001CF2"/>
    <w:rsid w:val="0000247B"/>
    <w:rsid w:val="00004512"/>
    <w:rsid w:val="0000469B"/>
    <w:rsid w:val="00004D72"/>
    <w:rsid w:val="00006AD1"/>
    <w:rsid w:val="00006E94"/>
    <w:rsid w:val="0000723B"/>
    <w:rsid w:val="000072AD"/>
    <w:rsid w:val="000073C5"/>
    <w:rsid w:val="000076B4"/>
    <w:rsid w:val="000106DF"/>
    <w:rsid w:val="00010A21"/>
    <w:rsid w:val="00010D3A"/>
    <w:rsid w:val="0001160F"/>
    <w:rsid w:val="00012F27"/>
    <w:rsid w:val="000140CC"/>
    <w:rsid w:val="00016D6A"/>
    <w:rsid w:val="00016D6C"/>
    <w:rsid w:val="00020579"/>
    <w:rsid w:val="0002136F"/>
    <w:rsid w:val="000223DD"/>
    <w:rsid w:val="000228C9"/>
    <w:rsid w:val="000229EE"/>
    <w:rsid w:val="00023BEC"/>
    <w:rsid w:val="00025009"/>
    <w:rsid w:val="000266A9"/>
    <w:rsid w:val="00027EE9"/>
    <w:rsid w:val="00030537"/>
    <w:rsid w:val="00032BA3"/>
    <w:rsid w:val="00032D90"/>
    <w:rsid w:val="000346FD"/>
    <w:rsid w:val="00034779"/>
    <w:rsid w:val="00034CF7"/>
    <w:rsid w:val="00034DE2"/>
    <w:rsid w:val="0003529B"/>
    <w:rsid w:val="0003558D"/>
    <w:rsid w:val="00035FF3"/>
    <w:rsid w:val="000367AA"/>
    <w:rsid w:val="00036825"/>
    <w:rsid w:val="00036A2B"/>
    <w:rsid w:val="00037514"/>
    <w:rsid w:val="000375FC"/>
    <w:rsid w:val="00040B1A"/>
    <w:rsid w:val="00040F00"/>
    <w:rsid w:val="00041939"/>
    <w:rsid w:val="0004285B"/>
    <w:rsid w:val="00042BC0"/>
    <w:rsid w:val="00042F20"/>
    <w:rsid w:val="000442ED"/>
    <w:rsid w:val="000445AC"/>
    <w:rsid w:val="00045729"/>
    <w:rsid w:val="0004659E"/>
    <w:rsid w:val="000468BE"/>
    <w:rsid w:val="00046B13"/>
    <w:rsid w:val="0004722E"/>
    <w:rsid w:val="0004727F"/>
    <w:rsid w:val="0004750B"/>
    <w:rsid w:val="0005003E"/>
    <w:rsid w:val="00050AF2"/>
    <w:rsid w:val="00050D3C"/>
    <w:rsid w:val="00051021"/>
    <w:rsid w:val="000519B8"/>
    <w:rsid w:val="00051ED9"/>
    <w:rsid w:val="00052B76"/>
    <w:rsid w:val="00053F0B"/>
    <w:rsid w:val="0005651B"/>
    <w:rsid w:val="0005685C"/>
    <w:rsid w:val="000570EE"/>
    <w:rsid w:val="00057181"/>
    <w:rsid w:val="00057BF4"/>
    <w:rsid w:val="00060075"/>
    <w:rsid w:val="00061C9A"/>
    <w:rsid w:val="00062468"/>
    <w:rsid w:val="00063DD7"/>
    <w:rsid w:val="0006473A"/>
    <w:rsid w:val="00064B2D"/>
    <w:rsid w:val="00064E34"/>
    <w:rsid w:val="00065CA1"/>
    <w:rsid w:val="00065D6C"/>
    <w:rsid w:val="00065F1F"/>
    <w:rsid w:val="00066EA4"/>
    <w:rsid w:val="0007118A"/>
    <w:rsid w:val="00071D82"/>
    <w:rsid w:val="00072DFC"/>
    <w:rsid w:val="00073073"/>
    <w:rsid w:val="000738D0"/>
    <w:rsid w:val="00075565"/>
    <w:rsid w:val="00076D33"/>
    <w:rsid w:val="00077468"/>
    <w:rsid w:val="0007763C"/>
    <w:rsid w:val="000803FC"/>
    <w:rsid w:val="00081D70"/>
    <w:rsid w:val="00081E93"/>
    <w:rsid w:val="0008209C"/>
    <w:rsid w:val="00082267"/>
    <w:rsid w:val="00082A4A"/>
    <w:rsid w:val="00082CFA"/>
    <w:rsid w:val="00083DED"/>
    <w:rsid w:val="000854A2"/>
    <w:rsid w:val="000866F0"/>
    <w:rsid w:val="00086CA6"/>
    <w:rsid w:val="00087DB0"/>
    <w:rsid w:val="00090C64"/>
    <w:rsid w:val="000913E9"/>
    <w:rsid w:val="00092CDA"/>
    <w:rsid w:val="0009337C"/>
    <w:rsid w:val="00094233"/>
    <w:rsid w:val="00094D9D"/>
    <w:rsid w:val="00096866"/>
    <w:rsid w:val="000A059B"/>
    <w:rsid w:val="000A16E7"/>
    <w:rsid w:val="000A1B10"/>
    <w:rsid w:val="000A1E7B"/>
    <w:rsid w:val="000A1F6A"/>
    <w:rsid w:val="000A27E9"/>
    <w:rsid w:val="000A3D8B"/>
    <w:rsid w:val="000A4404"/>
    <w:rsid w:val="000A5396"/>
    <w:rsid w:val="000A5DF8"/>
    <w:rsid w:val="000A6D53"/>
    <w:rsid w:val="000A6D6F"/>
    <w:rsid w:val="000B14EC"/>
    <w:rsid w:val="000B18C5"/>
    <w:rsid w:val="000B261E"/>
    <w:rsid w:val="000B3FA7"/>
    <w:rsid w:val="000B6AF2"/>
    <w:rsid w:val="000B6EE3"/>
    <w:rsid w:val="000C0B58"/>
    <w:rsid w:val="000C12BF"/>
    <w:rsid w:val="000C234A"/>
    <w:rsid w:val="000C2F15"/>
    <w:rsid w:val="000C36E3"/>
    <w:rsid w:val="000C5AC4"/>
    <w:rsid w:val="000C6397"/>
    <w:rsid w:val="000C660F"/>
    <w:rsid w:val="000C66F6"/>
    <w:rsid w:val="000C691C"/>
    <w:rsid w:val="000C6D0B"/>
    <w:rsid w:val="000C76C5"/>
    <w:rsid w:val="000C7D0D"/>
    <w:rsid w:val="000D07AD"/>
    <w:rsid w:val="000D290A"/>
    <w:rsid w:val="000D2BAD"/>
    <w:rsid w:val="000D48BA"/>
    <w:rsid w:val="000D4BC9"/>
    <w:rsid w:val="000D57EE"/>
    <w:rsid w:val="000D68FE"/>
    <w:rsid w:val="000D6FD4"/>
    <w:rsid w:val="000D71A9"/>
    <w:rsid w:val="000E0AE4"/>
    <w:rsid w:val="000E15A4"/>
    <w:rsid w:val="000E2358"/>
    <w:rsid w:val="000E3489"/>
    <w:rsid w:val="000E3557"/>
    <w:rsid w:val="000E3DBC"/>
    <w:rsid w:val="000E4C80"/>
    <w:rsid w:val="000E571C"/>
    <w:rsid w:val="000E5ACB"/>
    <w:rsid w:val="000E71BF"/>
    <w:rsid w:val="000E7299"/>
    <w:rsid w:val="000F0352"/>
    <w:rsid w:val="000F1826"/>
    <w:rsid w:val="000F2DD6"/>
    <w:rsid w:val="000F4DC0"/>
    <w:rsid w:val="000F5DE2"/>
    <w:rsid w:val="000F67A3"/>
    <w:rsid w:val="000F7F5A"/>
    <w:rsid w:val="00100361"/>
    <w:rsid w:val="00101355"/>
    <w:rsid w:val="0010311B"/>
    <w:rsid w:val="001031E5"/>
    <w:rsid w:val="00103997"/>
    <w:rsid w:val="00104CDC"/>
    <w:rsid w:val="00105A85"/>
    <w:rsid w:val="0011034B"/>
    <w:rsid w:val="00110E24"/>
    <w:rsid w:val="00110F38"/>
    <w:rsid w:val="001116C4"/>
    <w:rsid w:val="001133D1"/>
    <w:rsid w:val="00113750"/>
    <w:rsid w:val="00113CD7"/>
    <w:rsid w:val="00113CE3"/>
    <w:rsid w:val="0011441A"/>
    <w:rsid w:val="00114E9D"/>
    <w:rsid w:val="00115134"/>
    <w:rsid w:val="0011565D"/>
    <w:rsid w:val="00115728"/>
    <w:rsid w:val="001169D7"/>
    <w:rsid w:val="00117522"/>
    <w:rsid w:val="0011774D"/>
    <w:rsid w:val="00120D5C"/>
    <w:rsid w:val="00121467"/>
    <w:rsid w:val="00123AB7"/>
    <w:rsid w:val="0012565D"/>
    <w:rsid w:val="00125AB6"/>
    <w:rsid w:val="001269AF"/>
    <w:rsid w:val="00127547"/>
    <w:rsid w:val="00127CF7"/>
    <w:rsid w:val="00130E06"/>
    <w:rsid w:val="00132209"/>
    <w:rsid w:val="00132871"/>
    <w:rsid w:val="00134948"/>
    <w:rsid w:val="001352AD"/>
    <w:rsid w:val="00135342"/>
    <w:rsid w:val="00135686"/>
    <w:rsid w:val="001370D3"/>
    <w:rsid w:val="00140112"/>
    <w:rsid w:val="0014168F"/>
    <w:rsid w:val="0014194A"/>
    <w:rsid w:val="00141BD9"/>
    <w:rsid w:val="0014300E"/>
    <w:rsid w:val="00143A46"/>
    <w:rsid w:val="00144636"/>
    <w:rsid w:val="001452F2"/>
    <w:rsid w:val="0014530F"/>
    <w:rsid w:val="00146DF5"/>
    <w:rsid w:val="0014739F"/>
    <w:rsid w:val="00147536"/>
    <w:rsid w:val="00147994"/>
    <w:rsid w:val="001479D1"/>
    <w:rsid w:val="00151F15"/>
    <w:rsid w:val="00152851"/>
    <w:rsid w:val="00153035"/>
    <w:rsid w:val="001542D8"/>
    <w:rsid w:val="00154717"/>
    <w:rsid w:val="00154A0B"/>
    <w:rsid w:val="001563B7"/>
    <w:rsid w:val="00157600"/>
    <w:rsid w:val="00157A50"/>
    <w:rsid w:val="0016093E"/>
    <w:rsid w:val="00161643"/>
    <w:rsid w:val="001638B0"/>
    <w:rsid w:val="00163EC5"/>
    <w:rsid w:val="0016486C"/>
    <w:rsid w:val="00164DB7"/>
    <w:rsid w:val="001656EC"/>
    <w:rsid w:val="001661C7"/>
    <w:rsid w:val="001662D5"/>
    <w:rsid w:val="001704AD"/>
    <w:rsid w:val="001710B6"/>
    <w:rsid w:val="0017168B"/>
    <w:rsid w:val="00172573"/>
    <w:rsid w:val="00173FCD"/>
    <w:rsid w:val="0017495A"/>
    <w:rsid w:val="0017516C"/>
    <w:rsid w:val="00175AF8"/>
    <w:rsid w:val="00176178"/>
    <w:rsid w:val="00176FF4"/>
    <w:rsid w:val="001802A0"/>
    <w:rsid w:val="00180AF1"/>
    <w:rsid w:val="00180C41"/>
    <w:rsid w:val="00181E4C"/>
    <w:rsid w:val="00182102"/>
    <w:rsid w:val="00182BF4"/>
    <w:rsid w:val="00182C4C"/>
    <w:rsid w:val="00183AAA"/>
    <w:rsid w:val="0018434D"/>
    <w:rsid w:val="00184E6F"/>
    <w:rsid w:val="00185626"/>
    <w:rsid w:val="00185E20"/>
    <w:rsid w:val="00185ED2"/>
    <w:rsid w:val="0019045D"/>
    <w:rsid w:val="00190752"/>
    <w:rsid w:val="00192015"/>
    <w:rsid w:val="00193FD9"/>
    <w:rsid w:val="001942E4"/>
    <w:rsid w:val="0019523D"/>
    <w:rsid w:val="00195826"/>
    <w:rsid w:val="00196387"/>
    <w:rsid w:val="0019655B"/>
    <w:rsid w:val="00196B4F"/>
    <w:rsid w:val="00196C71"/>
    <w:rsid w:val="00197D8D"/>
    <w:rsid w:val="001A0F58"/>
    <w:rsid w:val="001A1A75"/>
    <w:rsid w:val="001A1F8C"/>
    <w:rsid w:val="001A1FCA"/>
    <w:rsid w:val="001A269D"/>
    <w:rsid w:val="001A50DE"/>
    <w:rsid w:val="001A5483"/>
    <w:rsid w:val="001A5C72"/>
    <w:rsid w:val="001A7E9A"/>
    <w:rsid w:val="001B1E15"/>
    <w:rsid w:val="001B2A50"/>
    <w:rsid w:val="001B2D57"/>
    <w:rsid w:val="001B4383"/>
    <w:rsid w:val="001B451B"/>
    <w:rsid w:val="001B5139"/>
    <w:rsid w:val="001B6345"/>
    <w:rsid w:val="001B710D"/>
    <w:rsid w:val="001B7E6A"/>
    <w:rsid w:val="001C02E5"/>
    <w:rsid w:val="001C07DA"/>
    <w:rsid w:val="001C0DB6"/>
    <w:rsid w:val="001C2268"/>
    <w:rsid w:val="001C27A3"/>
    <w:rsid w:val="001C3A8E"/>
    <w:rsid w:val="001C3DF5"/>
    <w:rsid w:val="001C3F9B"/>
    <w:rsid w:val="001C4EC5"/>
    <w:rsid w:val="001C51E9"/>
    <w:rsid w:val="001C5295"/>
    <w:rsid w:val="001C5D93"/>
    <w:rsid w:val="001C6EE1"/>
    <w:rsid w:val="001D04EE"/>
    <w:rsid w:val="001D0A51"/>
    <w:rsid w:val="001D0B1D"/>
    <w:rsid w:val="001D13A5"/>
    <w:rsid w:val="001D3389"/>
    <w:rsid w:val="001D3E04"/>
    <w:rsid w:val="001D43C6"/>
    <w:rsid w:val="001D5625"/>
    <w:rsid w:val="001D70A4"/>
    <w:rsid w:val="001D7150"/>
    <w:rsid w:val="001E01A1"/>
    <w:rsid w:val="001E0666"/>
    <w:rsid w:val="001E09FA"/>
    <w:rsid w:val="001E202C"/>
    <w:rsid w:val="001E2348"/>
    <w:rsid w:val="001E3F64"/>
    <w:rsid w:val="001E455B"/>
    <w:rsid w:val="001E4942"/>
    <w:rsid w:val="001E4DFD"/>
    <w:rsid w:val="001E598D"/>
    <w:rsid w:val="001E674F"/>
    <w:rsid w:val="001E77B7"/>
    <w:rsid w:val="001E7B34"/>
    <w:rsid w:val="001F0768"/>
    <w:rsid w:val="001F0CCB"/>
    <w:rsid w:val="001F1AD9"/>
    <w:rsid w:val="001F1F87"/>
    <w:rsid w:val="001F34A0"/>
    <w:rsid w:val="001F4289"/>
    <w:rsid w:val="001F4343"/>
    <w:rsid w:val="001F53B8"/>
    <w:rsid w:val="001F5CF7"/>
    <w:rsid w:val="001F734F"/>
    <w:rsid w:val="001F740E"/>
    <w:rsid w:val="00200D4B"/>
    <w:rsid w:val="00201FBF"/>
    <w:rsid w:val="002031CC"/>
    <w:rsid w:val="00203540"/>
    <w:rsid w:val="002048D0"/>
    <w:rsid w:val="00205393"/>
    <w:rsid w:val="00205D8C"/>
    <w:rsid w:val="002062C5"/>
    <w:rsid w:val="00206509"/>
    <w:rsid w:val="002065D5"/>
    <w:rsid w:val="002074AB"/>
    <w:rsid w:val="002104AC"/>
    <w:rsid w:val="002109B9"/>
    <w:rsid w:val="0021146C"/>
    <w:rsid w:val="00212FDB"/>
    <w:rsid w:val="0021327D"/>
    <w:rsid w:val="00214D6B"/>
    <w:rsid w:val="0021612B"/>
    <w:rsid w:val="0021662A"/>
    <w:rsid w:val="00216AAD"/>
    <w:rsid w:val="00217B21"/>
    <w:rsid w:val="0022083A"/>
    <w:rsid w:val="002212C8"/>
    <w:rsid w:val="00221C97"/>
    <w:rsid w:val="00221D07"/>
    <w:rsid w:val="00221F12"/>
    <w:rsid w:val="002233FF"/>
    <w:rsid w:val="00223404"/>
    <w:rsid w:val="002237FC"/>
    <w:rsid w:val="002243E3"/>
    <w:rsid w:val="002248CE"/>
    <w:rsid w:val="00227777"/>
    <w:rsid w:val="0022784D"/>
    <w:rsid w:val="00227E4A"/>
    <w:rsid w:val="00227F98"/>
    <w:rsid w:val="002308FB"/>
    <w:rsid w:val="002319C2"/>
    <w:rsid w:val="002329AA"/>
    <w:rsid w:val="00234A44"/>
    <w:rsid w:val="00234D35"/>
    <w:rsid w:val="00235AEF"/>
    <w:rsid w:val="0023695D"/>
    <w:rsid w:val="002409D1"/>
    <w:rsid w:val="00240C73"/>
    <w:rsid w:val="002412D1"/>
    <w:rsid w:val="00241C0C"/>
    <w:rsid w:val="00242FA7"/>
    <w:rsid w:val="00243D7C"/>
    <w:rsid w:val="00244118"/>
    <w:rsid w:val="002447A1"/>
    <w:rsid w:val="00244FBD"/>
    <w:rsid w:val="0024582E"/>
    <w:rsid w:val="00245C56"/>
    <w:rsid w:val="0024695A"/>
    <w:rsid w:val="002477A0"/>
    <w:rsid w:val="00247CF7"/>
    <w:rsid w:val="00250860"/>
    <w:rsid w:val="00250A67"/>
    <w:rsid w:val="00251127"/>
    <w:rsid w:val="0025172E"/>
    <w:rsid w:val="00251878"/>
    <w:rsid w:val="0025198D"/>
    <w:rsid w:val="00252DD4"/>
    <w:rsid w:val="00253F5E"/>
    <w:rsid w:val="00254588"/>
    <w:rsid w:val="002547EF"/>
    <w:rsid w:val="00255156"/>
    <w:rsid w:val="002555EA"/>
    <w:rsid w:val="00255CA6"/>
    <w:rsid w:val="00256D65"/>
    <w:rsid w:val="0026010A"/>
    <w:rsid w:val="00260571"/>
    <w:rsid w:val="00260A94"/>
    <w:rsid w:val="002616E8"/>
    <w:rsid w:val="0026286D"/>
    <w:rsid w:val="00263396"/>
    <w:rsid w:val="00263445"/>
    <w:rsid w:val="0026436D"/>
    <w:rsid w:val="00264731"/>
    <w:rsid w:val="00264904"/>
    <w:rsid w:val="0026498A"/>
    <w:rsid w:val="0026559C"/>
    <w:rsid w:val="002660CF"/>
    <w:rsid w:val="002660DE"/>
    <w:rsid w:val="002665CC"/>
    <w:rsid w:val="00271F00"/>
    <w:rsid w:val="0027325C"/>
    <w:rsid w:val="00273A80"/>
    <w:rsid w:val="00274448"/>
    <w:rsid w:val="0027612B"/>
    <w:rsid w:val="002811A2"/>
    <w:rsid w:val="00281433"/>
    <w:rsid w:val="002818B6"/>
    <w:rsid w:val="002825DA"/>
    <w:rsid w:val="002836A1"/>
    <w:rsid w:val="00285342"/>
    <w:rsid w:val="0028541E"/>
    <w:rsid w:val="00285ADE"/>
    <w:rsid w:val="002866AD"/>
    <w:rsid w:val="002868F9"/>
    <w:rsid w:val="00286B3B"/>
    <w:rsid w:val="00287954"/>
    <w:rsid w:val="00290785"/>
    <w:rsid w:val="00291C7A"/>
    <w:rsid w:val="0029204E"/>
    <w:rsid w:val="002924C1"/>
    <w:rsid w:val="002944C9"/>
    <w:rsid w:val="002957D0"/>
    <w:rsid w:val="0029631C"/>
    <w:rsid w:val="002A0194"/>
    <w:rsid w:val="002A1704"/>
    <w:rsid w:val="002A26FF"/>
    <w:rsid w:val="002A32B0"/>
    <w:rsid w:val="002A3300"/>
    <w:rsid w:val="002A3314"/>
    <w:rsid w:val="002A3619"/>
    <w:rsid w:val="002A4681"/>
    <w:rsid w:val="002A4E4C"/>
    <w:rsid w:val="002A555C"/>
    <w:rsid w:val="002A59BD"/>
    <w:rsid w:val="002A5F8B"/>
    <w:rsid w:val="002A6F54"/>
    <w:rsid w:val="002A7F6C"/>
    <w:rsid w:val="002B0462"/>
    <w:rsid w:val="002B076D"/>
    <w:rsid w:val="002B0F9F"/>
    <w:rsid w:val="002B2442"/>
    <w:rsid w:val="002B2B08"/>
    <w:rsid w:val="002B2FED"/>
    <w:rsid w:val="002B4512"/>
    <w:rsid w:val="002B6B52"/>
    <w:rsid w:val="002B6F5B"/>
    <w:rsid w:val="002B6FC0"/>
    <w:rsid w:val="002C06E5"/>
    <w:rsid w:val="002C1032"/>
    <w:rsid w:val="002C1857"/>
    <w:rsid w:val="002C1E42"/>
    <w:rsid w:val="002C26AA"/>
    <w:rsid w:val="002C3767"/>
    <w:rsid w:val="002C487B"/>
    <w:rsid w:val="002C5FAA"/>
    <w:rsid w:val="002D301F"/>
    <w:rsid w:val="002D475D"/>
    <w:rsid w:val="002D5090"/>
    <w:rsid w:val="002D52F1"/>
    <w:rsid w:val="002D6244"/>
    <w:rsid w:val="002D6589"/>
    <w:rsid w:val="002D6809"/>
    <w:rsid w:val="002D7D34"/>
    <w:rsid w:val="002E0A45"/>
    <w:rsid w:val="002E20CB"/>
    <w:rsid w:val="002E2181"/>
    <w:rsid w:val="002E2AA7"/>
    <w:rsid w:val="002E39FB"/>
    <w:rsid w:val="002E4770"/>
    <w:rsid w:val="002E59FB"/>
    <w:rsid w:val="002E5B11"/>
    <w:rsid w:val="002E5BE2"/>
    <w:rsid w:val="002E5CCA"/>
    <w:rsid w:val="002F043F"/>
    <w:rsid w:val="002F061B"/>
    <w:rsid w:val="002F09B9"/>
    <w:rsid w:val="002F10A8"/>
    <w:rsid w:val="002F1BFF"/>
    <w:rsid w:val="002F2286"/>
    <w:rsid w:val="002F277E"/>
    <w:rsid w:val="002F3520"/>
    <w:rsid w:val="002F44A5"/>
    <w:rsid w:val="002F4C93"/>
    <w:rsid w:val="002F5025"/>
    <w:rsid w:val="002F5784"/>
    <w:rsid w:val="002F5A1C"/>
    <w:rsid w:val="002F6488"/>
    <w:rsid w:val="002F7B24"/>
    <w:rsid w:val="002F7E62"/>
    <w:rsid w:val="00301793"/>
    <w:rsid w:val="00301869"/>
    <w:rsid w:val="00301E15"/>
    <w:rsid w:val="003022CF"/>
    <w:rsid w:val="00304708"/>
    <w:rsid w:val="00304AEA"/>
    <w:rsid w:val="00304C9D"/>
    <w:rsid w:val="00305932"/>
    <w:rsid w:val="00305EE9"/>
    <w:rsid w:val="003069F6"/>
    <w:rsid w:val="00306F54"/>
    <w:rsid w:val="003072C7"/>
    <w:rsid w:val="00307458"/>
    <w:rsid w:val="00307A84"/>
    <w:rsid w:val="00307BC3"/>
    <w:rsid w:val="00310B14"/>
    <w:rsid w:val="00311256"/>
    <w:rsid w:val="00312595"/>
    <w:rsid w:val="00312BD7"/>
    <w:rsid w:val="00312CF5"/>
    <w:rsid w:val="00312D8C"/>
    <w:rsid w:val="0031535A"/>
    <w:rsid w:val="0031784D"/>
    <w:rsid w:val="00317CF9"/>
    <w:rsid w:val="00320839"/>
    <w:rsid w:val="003213F9"/>
    <w:rsid w:val="003234D8"/>
    <w:rsid w:val="00323504"/>
    <w:rsid w:val="00323919"/>
    <w:rsid w:val="00323DBF"/>
    <w:rsid w:val="003247E0"/>
    <w:rsid w:val="00326D85"/>
    <w:rsid w:val="00330548"/>
    <w:rsid w:val="003307DE"/>
    <w:rsid w:val="003309A8"/>
    <w:rsid w:val="0033105B"/>
    <w:rsid w:val="003319B1"/>
    <w:rsid w:val="00331B3F"/>
    <w:rsid w:val="003320DB"/>
    <w:rsid w:val="00332738"/>
    <w:rsid w:val="00332B12"/>
    <w:rsid w:val="003330AD"/>
    <w:rsid w:val="0033410F"/>
    <w:rsid w:val="00334622"/>
    <w:rsid w:val="00334BF8"/>
    <w:rsid w:val="003359E8"/>
    <w:rsid w:val="00336FB8"/>
    <w:rsid w:val="00341C87"/>
    <w:rsid w:val="0034259C"/>
    <w:rsid w:val="00344E4D"/>
    <w:rsid w:val="00345A21"/>
    <w:rsid w:val="003464DD"/>
    <w:rsid w:val="00346958"/>
    <w:rsid w:val="0034736C"/>
    <w:rsid w:val="003511DF"/>
    <w:rsid w:val="00351656"/>
    <w:rsid w:val="00351B07"/>
    <w:rsid w:val="00352CF2"/>
    <w:rsid w:val="00353F78"/>
    <w:rsid w:val="00354450"/>
    <w:rsid w:val="00354532"/>
    <w:rsid w:val="00356EFE"/>
    <w:rsid w:val="00357372"/>
    <w:rsid w:val="003603EF"/>
    <w:rsid w:val="003616DD"/>
    <w:rsid w:val="00361BDC"/>
    <w:rsid w:val="0036211E"/>
    <w:rsid w:val="00362AC1"/>
    <w:rsid w:val="00363313"/>
    <w:rsid w:val="0036410A"/>
    <w:rsid w:val="00364841"/>
    <w:rsid w:val="0036489D"/>
    <w:rsid w:val="0036628F"/>
    <w:rsid w:val="00366998"/>
    <w:rsid w:val="00371B29"/>
    <w:rsid w:val="003724CE"/>
    <w:rsid w:val="00372B4D"/>
    <w:rsid w:val="00372F55"/>
    <w:rsid w:val="00373BAF"/>
    <w:rsid w:val="00373CD4"/>
    <w:rsid w:val="00374BE5"/>
    <w:rsid w:val="00375603"/>
    <w:rsid w:val="00375BB0"/>
    <w:rsid w:val="0037656B"/>
    <w:rsid w:val="00376714"/>
    <w:rsid w:val="00380603"/>
    <w:rsid w:val="003809F7"/>
    <w:rsid w:val="00380D96"/>
    <w:rsid w:val="0038176E"/>
    <w:rsid w:val="003818F0"/>
    <w:rsid w:val="00382522"/>
    <w:rsid w:val="00383A6A"/>
    <w:rsid w:val="00384298"/>
    <w:rsid w:val="00384D98"/>
    <w:rsid w:val="003866C1"/>
    <w:rsid w:val="00386B4B"/>
    <w:rsid w:val="0038776E"/>
    <w:rsid w:val="003879FA"/>
    <w:rsid w:val="003906AC"/>
    <w:rsid w:val="00391769"/>
    <w:rsid w:val="0039182E"/>
    <w:rsid w:val="00391C84"/>
    <w:rsid w:val="00391F46"/>
    <w:rsid w:val="0039246F"/>
    <w:rsid w:val="003938FC"/>
    <w:rsid w:val="00393B07"/>
    <w:rsid w:val="00393DDE"/>
    <w:rsid w:val="0039480B"/>
    <w:rsid w:val="00394B72"/>
    <w:rsid w:val="00394CF1"/>
    <w:rsid w:val="003953A7"/>
    <w:rsid w:val="003953E1"/>
    <w:rsid w:val="003956B3"/>
    <w:rsid w:val="00396850"/>
    <w:rsid w:val="003968ED"/>
    <w:rsid w:val="003A06D5"/>
    <w:rsid w:val="003A0C99"/>
    <w:rsid w:val="003A31F6"/>
    <w:rsid w:val="003A3494"/>
    <w:rsid w:val="003A3566"/>
    <w:rsid w:val="003A4A13"/>
    <w:rsid w:val="003A4B3A"/>
    <w:rsid w:val="003A5B84"/>
    <w:rsid w:val="003A68BE"/>
    <w:rsid w:val="003B0209"/>
    <w:rsid w:val="003B1362"/>
    <w:rsid w:val="003B1805"/>
    <w:rsid w:val="003B2A0A"/>
    <w:rsid w:val="003B2D2D"/>
    <w:rsid w:val="003B3C9D"/>
    <w:rsid w:val="003B3D03"/>
    <w:rsid w:val="003B4679"/>
    <w:rsid w:val="003B5391"/>
    <w:rsid w:val="003B6BE9"/>
    <w:rsid w:val="003B746E"/>
    <w:rsid w:val="003B74BB"/>
    <w:rsid w:val="003B78E0"/>
    <w:rsid w:val="003B7FA3"/>
    <w:rsid w:val="003C15E8"/>
    <w:rsid w:val="003C1786"/>
    <w:rsid w:val="003C1CD6"/>
    <w:rsid w:val="003C24CB"/>
    <w:rsid w:val="003C2A91"/>
    <w:rsid w:val="003C4969"/>
    <w:rsid w:val="003C66E1"/>
    <w:rsid w:val="003C67D8"/>
    <w:rsid w:val="003C76AC"/>
    <w:rsid w:val="003D02EE"/>
    <w:rsid w:val="003D0613"/>
    <w:rsid w:val="003D2E7B"/>
    <w:rsid w:val="003D2EA8"/>
    <w:rsid w:val="003D40A4"/>
    <w:rsid w:val="003D4EA8"/>
    <w:rsid w:val="003D566C"/>
    <w:rsid w:val="003D5A9B"/>
    <w:rsid w:val="003D702C"/>
    <w:rsid w:val="003E1F65"/>
    <w:rsid w:val="003E1FF2"/>
    <w:rsid w:val="003E2564"/>
    <w:rsid w:val="003E2CC0"/>
    <w:rsid w:val="003E41D5"/>
    <w:rsid w:val="003E422F"/>
    <w:rsid w:val="003E46BA"/>
    <w:rsid w:val="003E531F"/>
    <w:rsid w:val="003E586E"/>
    <w:rsid w:val="003E5C25"/>
    <w:rsid w:val="003E5DF5"/>
    <w:rsid w:val="003E6A77"/>
    <w:rsid w:val="003E72E1"/>
    <w:rsid w:val="003E7D22"/>
    <w:rsid w:val="003F0ED2"/>
    <w:rsid w:val="003F1EED"/>
    <w:rsid w:val="003F20AF"/>
    <w:rsid w:val="003F2138"/>
    <w:rsid w:val="003F74C1"/>
    <w:rsid w:val="003F7731"/>
    <w:rsid w:val="004000F6"/>
    <w:rsid w:val="00400488"/>
    <w:rsid w:val="00400CE3"/>
    <w:rsid w:val="004018D1"/>
    <w:rsid w:val="00402AF0"/>
    <w:rsid w:val="00402B23"/>
    <w:rsid w:val="00402E77"/>
    <w:rsid w:val="004042B2"/>
    <w:rsid w:val="00405B1A"/>
    <w:rsid w:val="00406420"/>
    <w:rsid w:val="00410C1B"/>
    <w:rsid w:val="00410C76"/>
    <w:rsid w:val="00410CE3"/>
    <w:rsid w:val="00411907"/>
    <w:rsid w:val="00411BA8"/>
    <w:rsid w:val="004128E7"/>
    <w:rsid w:val="00413CA8"/>
    <w:rsid w:val="00414209"/>
    <w:rsid w:val="00415269"/>
    <w:rsid w:val="00415704"/>
    <w:rsid w:val="00415963"/>
    <w:rsid w:val="00416DD0"/>
    <w:rsid w:val="00417EE3"/>
    <w:rsid w:val="004205B9"/>
    <w:rsid w:val="004207EB"/>
    <w:rsid w:val="00421762"/>
    <w:rsid w:val="00421C3B"/>
    <w:rsid w:val="00422909"/>
    <w:rsid w:val="00423DF6"/>
    <w:rsid w:val="004241E9"/>
    <w:rsid w:val="0042636B"/>
    <w:rsid w:val="004274EE"/>
    <w:rsid w:val="00427CE0"/>
    <w:rsid w:val="004305E9"/>
    <w:rsid w:val="004309F7"/>
    <w:rsid w:val="00431775"/>
    <w:rsid w:val="00432BFC"/>
    <w:rsid w:val="00433EC3"/>
    <w:rsid w:val="00433FD7"/>
    <w:rsid w:val="00434163"/>
    <w:rsid w:val="00434659"/>
    <w:rsid w:val="00437276"/>
    <w:rsid w:val="0043774C"/>
    <w:rsid w:val="00440D64"/>
    <w:rsid w:val="004414FD"/>
    <w:rsid w:val="00441B97"/>
    <w:rsid w:val="00442363"/>
    <w:rsid w:val="00442F72"/>
    <w:rsid w:val="00444100"/>
    <w:rsid w:val="004469F5"/>
    <w:rsid w:val="00453991"/>
    <w:rsid w:val="0045405A"/>
    <w:rsid w:val="0045426E"/>
    <w:rsid w:val="00455269"/>
    <w:rsid w:val="004553E1"/>
    <w:rsid w:val="00456B54"/>
    <w:rsid w:val="00456EC3"/>
    <w:rsid w:val="00456EFF"/>
    <w:rsid w:val="0045780D"/>
    <w:rsid w:val="00457F1C"/>
    <w:rsid w:val="004607CE"/>
    <w:rsid w:val="004607DF"/>
    <w:rsid w:val="00461A8B"/>
    <w:rsid w:val="00461B22"/>
    <w:rsid w:val="00462FDE"/>
    <w:rsid w:val="00464643"/>
    <w:rsid w:val="0046511F"/>
    <w:rsid w:val="00465BF8"/>
    <w:rsid w:val="00466DC8"/>
    <w:rsid w:val="00470703"/>
    <w:rsid w:val="00470730"/>
    <w:rsid w:val="00471E8E"/>
    <w:rsid w:val="004725A2"/>
    <w:rsid w:val="00472A53"/>
    <w:rsid w:val="00473721"/>
    <w:rsid w:val="00473A19"/>
    <w:rsid w:val="00473A6C"/>
    <w:rsid w:val="004742D6"/>
    <w:rsid w:val="004745A4"/>
    <w:rsid w:val="00474BB6"/>
    <w:rsid w:val="0047664F"/>
    <w:rsid w:val="004772F6"/>
    <w:rsid w:val="0048246F"/>
    <w:rsid w:val="00482809"/>
    <w:rsid w:val="00483A8C"/>
    <w:rsid w:val="0048474A"/>
    <w:rsid w:val="00484982"/>
    <w:rsid w:val="00484AC8"/>
    <w:rsid w:val="00484F84"/>
    <w:rsid w:val="004855A5"/>
    <w:rsid w:val="00485A74"/>
    <w:rsid w:val="00486793"/>
    <w:rsid w:val="00486A42"/>
    <w:rsid w:val="00487BED"/>
    <w:rsid w:val="004900A0"/>
    <w:rsid w:val="00490390"/>
    <w:rsid w:val="0049040F"/>
    <w:rsid w:val="00492904"/>
    <w:rsid w:val="00492ED4"/>
    <w:rsid w:val="0049553D"/>
    <w:rsid w:val="00496718"/>
    <w:rsid w:val="00496E7A"/>
    <w:rsid w:val="004971D5"/>
    <w:rsid w:val="004A133B"/>
    <w:rsid w:val="004A15DD"/>
    <w:rsid w:val="004A2037"/>
    <w:rsid w:val="004A2843"/>
    <w:rsid w:val="004A3807"/>
    <w:rsid w:val="004A3C6C"/>
    <w:rsid w:val="004A47E8"/>
    <w:rsid w:val="004A6176"/>
    <w:rsid w:val="004A6CC8"/>
    <w:rsid w:val="004B069C"/>
    <w:rsid w:val="004B2FFE"/>
    <w:rsid w:val="004B32E6"/>
    <w:rsid w:val="004B37CE"/>
    <w:rsid w:val="004B528E"/>
    <w:rsid w:val="004B570D"/>
    <w:rsid w:val="004B5FE6"/>
    <w:rsid w:val="004B6869"/>
    <w:rsid w:val="004B7970"/>
    <w:rsid w:val="004B7A61"/>
    <w:rsid w:val="004C02CB"/>
    <w:rsid w:val="004C1A6E"/>
    <w:rsid w:val="004C216C"/>
    <w:rsid w:val="004C2B7A"/>
    <w:rsid w:val="004C2CE7"/>
    <w:rsid w:val="004C2E6A"/>
    <w:rsid w:val="004C2ECA"/>
    <w:rsid w:val="004C3D77"/>
    <w:rsid w:val="004C45AD"/>
    <w:rsid w:val="004C57FA"/>
    <w:rsid w:val="004C5E13"/>
    <w:rsid w:val="004C6E3C"/>
    <w:rsid w:val="004C6FD5"/>
    <w:rsid w:val="004C74C8"/>
    <w:rsid w:val="004D0907"/>
    <w:rsid w:val="004D2BAA"/>
    <w:rsid w:val="004D35A9"/>
    <w:rsid w:val="004D4C91"/>
    <w:rsid w:val="004D4E48"/>
    <w:rsid w:val="004D50E0"/>
    <w:rsid w:val="004D51DA"/>
    <w:rsid w:val="004D5854"/>
    <w:rsid w:val="004D6087"/>
    <w:rsid w:val="004D65DB"/>
    <w:rsid w:val="004D7726"/>
    <w:rsid w:val="004E4FAA"/>
    <w:rsid w:val="004E55E1"/>
    <w:rsid w:val="004E5790"/>
    <w:rsid w:val="004E664B"/>
    <w:rsid w:val="004F12D6"/>
    <w:rsid w:val="004F14AB"/>
    <w:rsid w:val="004F2123"/>
    <w:rsid w:val="004F239F"/>
    <w:rsid w:val="004F2DCA"/>
    <w:rsid w:val="004F3AA1"/>
    <w:rsid w:val="004F4F98"/>
    <w:rsid w:val="004F518F"/>
    <w:rsid w:val="004F5705"/>
    <w:rsid w:val="004F69F6"/>
    <w:rsid w:val="004F7071"/>
    <w:rsid w:val="004F79AC"/>
    <w:rsid w:val="0050091E"/>
    <w:rsid w:val="00500BB9"/>
    <w:rsid w:val="005016BF"/>
    <w:rsid w:val="005017CF"/>
    <w:rsid w:val="00501847"/>
    <w:rsid w:val="00501C29"/>
    <w:rsid w:val="00501D62"/>
    <w:rsid w:val="005025FC"/>
    <w:rsid w:val="0050262F"/>
    <w:rsid w:val="005037D5"/>
    <w:rsid w:val="005053FC"/>
    <w:rsid w:val="00506A5B"/>
    <w:rsid w:val="00512473"/>
    <w:rsid w:val="005148E8"/>
    <w:rsid w:val="00516A6E"/>
    <w:rsid w:val="005171E7"/>
    <w:rsid w:val="00517412"/>
    <w:rsid w:val="00517A49"/>
    <w:rsid w:val="00517E07"/>
    <w:rsid w:val="005207D8"/>
    <w:rsid w:val="00521AA6"/>
    <w:rsid w:val="00521C4F"/>
    <w:rsid w:val="00522FE6"/>
    <w:rsid w:val="00523027"/>
    <w:rsid w:val="00525177"/>
    <w:rsid w:val="0052573B"/>
    <w:rsid w:val="0052605C"/>
    <w:rsid w:val="00526098"/>
    <w:rsid w:val="00526CBE"/>
    <w:rsid w:val="0052743C"/>
    <w:rsid w:val="00530A49"/>
    <w:rsid w:val="00530F77"/>
    <w:rsid w:val="00531203"/>
    <w:rsid w:val="00532585"/>
    <w:rsid w:val="005335DC"/>
    <w:rsid w:val="00533FFC"/>
    <w:rsid w:val="00534049"/>
    <w:rsid w:val="005342D9"/>
    <w:rsid w:val="0053464E"/>
    <w:rsid w:val="00535D20"/>
    <w:rsid w:val="005363E7"/>
    <w:rsid w:val="00537B59"/>
    <w:rsid w:val="00537D4E"/>
    <w:rsid w:val="00540BDC"/>
    <w:rsid w:val="00540F0E"/>
    <w:rsid w:val="00542360"/>
    <w:rsid w:val="0054272D"/>
    <w:rsid w:val="00545CF9"/>
    <w:rsid w:val="00547248"/>
    <w:rsid w:val="00550092"/>
    <w:rsid w:val="00550E0C"/>
    <w:rsid w:val="00550E5C"/>
    <w:rsid w:val="005510D0"/>
    <w:rsid w:val="0055128A"/>
    <w:rsid w:val="00552A8E"/>
    <w:rsid w:val="00561142"/>
    <w:rsid w:val="005613F8"/>
    <w:rsid w:val="00561502"/>
    <w:rsid w:val="00561B9D"/>
    <w:rsid w:val="0056215C"/>
    <w:rsid w:val="005624FC"/>
    <w:rsid w:val="00562917"/>
    <w:rsid w:val="00562CB8"/>
    <w:rsid w:val="00562EB1"/>
    <w:rsid w:val="00564CE1"/>
    <w:rsid w:val="0056562B"/>
    <w:rsid w:val="0056574E"/>
    <w:rsid w:val="00565757"/>
    <w:rsid w:val="00565B9C"/>
    <w:rsid w:val="005665BA"/>
    <w:rsid w:val="00566A04"/>
    <w:rsid w:val="00567E81"/>
    <w:rsid w:val="005702F1"/>
    <w:rsid w:val="005704AA"/>
    <w:rsid w:val="00571290"/>
    <w:rsid w:val="00571E3B"/>
    <w:rsid w:val="0057230D"/>
    <w:rsid w:val="00572E86"/>
    <w:rsid w:val="005739DE"/>
    <w:rsid w:val="00575421"/>
    <w:rsid w:val="00575C45"/>
    <w:rsid w:val="0057615C"/>
    <w:rsid w:val="005761C1"/>
    <w:rsid w:val="00576FAA"/>
    <w:rsid w:val="00577A5A"/>
    <w:rsid w:val="00577F85"/>
    <w:rsid w:val="00580386"/>
    <w:rsid w:val="005804D7"/>
    <w:rsid w:val="005809F5"/>
    <w:rsid w:val="00581AAF"/>
    <w:rsid w:val="00581D59"/>
    <w:rsid w:val="00581F0E"/>
    <w:rsid w:val="0058381C"/>
    <w:rsid w:val="00584969"/>
    <w:rsid w:val="00585FCD"/>
    <w:rsid w:val="00586228"/>
    <w:rsid w:val="00586562"/>
    <w:rsid w:val="0058687D"/>
    <w:rsid w:val="00586D47"/>
    <w:rsid w:val="00587A00"/>
    <w:rsid w:val="0059027D"/>
    <w:rsid w:val="00590F3E"/>
    <w:rsid w:val="00591878"/>
    <w:rsid w:val="00591E7D"/>
    <w:rsid w:val="00592B35"/>
    <w:rsid w:val="005932BE"/>
    <w:rsid w:val="00593FFF"/>
    <w:rsid w:val="0059495F"/>
    <w:rsid w:val="00594AEE"/>
    <w:rsid w:val="00595575"/>
    <w:rsid w:val="00596C04"/>
    <w:rsid w:val="005A04D3"/>
    <w:rsid w:val="005A1290"/>
    <w:rsid w:val="005A1D97"/>
    <w:rsid w:val="005A2772"/>
    <w:rsid w:val="005A3283"/>
    <w:rsid w:val="005A36A7"/>
    <w:rsid w:val="005A3999"/>
    <w:rsid w:val="005A39B1"/>
    <w:rsid w:val="005A3C7F"/>
    <w:rsid w:val="005A4E8E"/>
    <w:rsid w:val="005A58F3"/>
    <w:rsid w:val="005A5A09"/>
    <w:rsid w:val="005A5A33"/>
    <w:rsid w:val="005A7030"/>
    <w:rsid w:val="005A7D5F"/>
    <w:rsid w:val="005A7FD3"/>
    <w:rsid w:val="005B06A3"/>
    <w:rsid w:val="005B1C5A"/>
    <w:rsid w:val="005B1E23"/>
    <w:rsid w:val="005B22E3"/>
    <w:rsid w:val="005B6AF4"/>
    <w:rsid w:val="005B7A73"/>
    <w:rsid w:val="005B7E7C"/>
    <w:rsid w:val="005B7F9E"/>
    <w:rsid w:val="005C0427"/>
    <w:rsid w:val="005C04CB"/>
    <w:rsid w:val="005C07C5"/>
    <w:rsid w:val="005C1603"/>
    <w:rsid w:val="005C26A1"/>
    <w:rsid w:val="005C2990"/>
    <w:rsid w:val="005C3545"/>
    <w:rsid w:val="005C444D"/>
    <w:rsid w:val="005C690B"/>
    <w:rsid w:val="005C69BE"/>
    <w:rsid w:val="005C7092"/>
    <w:rsid w:val="005C788F"/>
    <w:rsid w:val="005C7F92"/>
    <w:rsid w:val="005D0D3B"/>
    <w:rsid w:val="005D16AD"/>
    <w:rsid w:val="005D279B"/>
    <w:rsid w:val="005D2997"/>
    <w:rsid w:val="005D2CA1"/>
    <w:rsid w:val="005D72E1"/>
    <w:rsid w:val="005E28B6"/>
    <w:rsid w:val="005E3DD9"/>
    <w:rsid w:val="005E43BB"/>
    <w:rsid w:val="005E46C3"/>
    <w:rsid w:val="005E5B9F"/>
    <w:rsid w:val="005E6E16"/>
    <w:rsid w:val="005F048A"/>
    <w:rsid w:val="005F1323"/>
    <w:rsid w:val="005F21CA"/>
    <w:rsid w:val="005F31B7"/>
    <w:rsid w:val="005F31BC"/>
    <w:rsid w:val="005F3EE5"/>
    <w:rsid w:val="005F400E"/>
    <w:rsid w:val="005F5A48"/>
    <w:rsid w:val="005F5CD0"/>
    <w:rsid w:val="005F7342"/>
    <w:rsid w:val="005F77A9"/>
    <w:rsid w:val="005F7C1E"/>
    <w:rsid w:val="006003C8"/>
    <w:rsid w:val="006004D6"/>
    <w:rsid w:val="00603A08"/>
    <w:rsid w:val="00603A43"/>
    <w:rsid w:val="00604B40"/>
    <w:rsid w:val="00604DBB"/>
    <w:rsid w:val="00605C0B"/>
    <w:rsid w:val="00605CF5"/>
    <w:rsid w:val="00605E82"/>
    <w:rsid w:val="00606DFA"/>
    <w:rsid w:val="00607239"/>
    <w:rsid w:val="00610A3C"/>
    <w:rsid w:val="006111A3"/>
    <w:rsid w:val="00611901"/>
    <w:rsid w:val="00611DA2"/>
    <w:rsid w:val="00612584"/>
    <w:rsid w:val="0061335C"/>
    <w:rsid w:val="00614550"/>
    <w:rsid w:val="00616034"/>
    <w:rsid w:val="006202AF"/>
    <w:rsid w:val="00623166"/>
    <w:rsid w:val="00624464"/>
    <w:rsid w:val="006262CC"/>
    <w:rsid w:val="006263CC"/>
    <w:rsid w:val="0062782E"/>
    <w:rsid w:val="00627A3B"/>
    <w:rsid w:val="00627B2E"/>
    <w:rsid w:val="00627C2A"/>
    <w:rsid w:val="00627F48"/>
    <w:rsid w:val="006306E7"/>
    <w:rsid w:val="00630C23"/>
    <w:rsid w:val="006322F1"/>
    <w:rsid w:val="00632E1D"/>
    <w:rsid w:val="00633FC8"/>
    <w:rsid w:val="00634027"/>
    <w:rsid w:val="00634A02"/>
    <w:rsid w:val="0063514F"/>
    <w:rsid w:val="006354B0"/>
    <w:rsid w:val="00636608"/>
    <w:rsid w:val="006401CE"/>
    <w:rsid w:val="006439BF"/>
    <w:rsid w:val="00644388"/>
    <w:rsid w:val="00644667"/>
    <w:rsid w:val="0064558F"/>
    <w:rsid w:val="006460AB"/>
    <w:rsid w:val="006464F9"/>
    <w:rsid w:val="0064684F"/>
    <w:rsid w:val="00651B0E"/>
    <w:rsid w:val="00651C8E"/>
    <w:rsid w:val="00652169"/>
    <w:rsid w:val="00652550"/>
    <w:rsid w:val="00652861"/>
    <w:rsid w:val="00654596"/>
    <w:rsid w:val="00655BA5"/>
    <w:rsid w:val="006573A1"/>
    <w:rsid w:val="0065747C"/>
    <w:rsid w:val="00657AFA"/>
    <w:rsid w:val="00657F34"/>
    <w:rsid w:val="00660736"/>
    <w:rsid w:val="00660F1E"/>
    <w:rsid w:val="00662822"/>
    <w:rsid w:val="00663FCF"/>
    <w:rsid w:val="00664257"/>
    <w:rsid w:val="006652A2"/>
    <w:rsid w:val="00665368"/>
    <w:rsid w:val="006654F1"/>
    <w:rsid w:val="00665611"/>
    <w:rsid w:val="00667344"/>
    <w:rsid w:val="0067000E"/>
    <w:rsid w:val="0067046E"/>
    <w:rsid w:val="0067077F"/>
    <w:rsid w:val="0067277C"/>
    <w:rsid w:val="00675423"/>
    <w:rsid w:val="0067605F"/>
    <w:rsid w:val="00676CD8"/>
    <w:rsid w:val="00676EBB"/>
    <w:rsid w:val="00677DBB"/>
    <w:rsid w:val="00680F49"/>
    <w:rsid w:val="00682754"/>
    <w:rsid w:val="006829D0"/>
    <w:rsid w:val="00682AAF"/>
    <w:rsid w:val="006857D8"/>
    <w:rsid w:val="00685C8A"/>
    <w:rsid w:val="00690206"/>
    <w:rsid w:val="00690635"/>
    <w:rsid w:val="00690B90"/>
    <w:rsid w:val="006919CD"/>
    <w:rsid w:val="00692A09"/>
    <w:rsid w:val="006937FF"/>
    <w:rsid w:val="006943F2"/>
    <w:rsid w:val="00694AC7"/>
    <w:rsid w:val="00694D1D"/>
    <w:rsid w:val="006950ED"/>
    <w:rsid w:val="00695508"/>
    <w:rsid w:val="006965D9"/>
    <w:rsid w:val="006A2349"/>
    <w:rsid w:val="006A23F9"/>
    <w:rsid w:val="006A3576"/>
    <w:rsid w:val="006A3710"/>
    <w:rsid w:val="006A3F1D"/>
    <w:rsid w:val="006A3F4D"/>
    <w:rsid w:val="006A4478"/>
    <w:rsid w:val="006A48A7"/>
    <w:rsid w:val="006A4B71"/>
    <w:rsid w:val="006A7336"/>
    <w:rsid w:val="006B00A7"/>
    <w:rsid w:val="006B066F"/>
    <w:rsid w:val="006B140F"/>
    <w:rsid w:val="006B2261"/>
    <w:rsid w:val="006B2BC5"/>
    <w:rsid w:val="006B3436"/>
    <w:rsid w:val="006B3BE4"/>
    <w:rsid w:val="006B4021"/>
    <w:rsid w:val="006B4BA1"/>
    <w:rsid w:val="006B5564"/>
    <w:rsid w:val="006B5EBE"/>
    <w:rsid w:val="006B6BC0"/>
    <w:rsid w:val="006B72A8"/>
    <w:rsid w:val="006B7A94"/>
    <w:rsid w:val="006C042B"/>
    <w:rsid w:val="006C332D"/>
    <w:rsid w:val="006C3C6C"/>
    <w:rsid w:val="006C3CFA"/>
    <w:rsid w:val="006C51B7"/>
    <w:rsid w:val="006C52F1"/>
    <w:rsid w:val="006C5416"/>
    <w:rsid w:val="006C5BE4"/>
    <w:rsid w:val="006C5CF5"/>
    <w:rsid w:val="006D0571"/>
    <w:rsid w:val="006D10BB"/>
    <w:rsid w:val="006D186D"/>
    <w:rsid w:val="006D18EC"/>
    <w:rsid w:val="006D22A6"/>
    <w:rsid w:val="006D288B"/>
    <w:rsid w:val="006D291D"/>
    <w:rsid w:val="006D3F17"/>
    <w:rsid w:val="006D5417"/>
    <w:rsid w:val="006D5508"/>
    <w:rsid w:val="006D5E2D"/>
    <w:rsid w:val="006D64C7"/>
    <w:rsid w:val="006D6BF4"/>
    <w:rsid w:val="006D7F49"/>
    <w:rsid w:val="006E0AA8"/>
    <w:rsid w:val="006E286B"/>
    <w:rsid w:val="006E345F"/>
    <w:rsid w:val="006E368D"/>
    <w:rsid w:val="006E531F"/>
    <w:rsid w:val="006E6B11"/>
    <w:rsid w:val="006E70E2"/>
    <w:rsid w:val="006E713A"/>
    <w:rsid w:val="006E7B34"/>
    <w:rsid w:val="006F1AB7"/>
    <w:rsid w:val="006F4A82"/>
    <w:rsid w:val="006F5BDA"/>
    <w:rsid w:val="006F63ED"/>
    <w:rsid w:val="006F67CB"/>
    <w:rsid w:val="006F7109"/>
    <w:rsid w:val="00700687"/>
    <w:rsid w:val="0070373B"/>
    <w:rsid w:val="007038C9"/>
    <w:rsid w:val="007047F9"/>
    <w:rsid w:val="00704C53"/>
    <w:rsid w:val="007054AD"/>
    <w:rsid w:val="00705C4D"/>
    <w:rsid w:val="00706AC9"/>
    <w:rsid w:val="007114E6"/>
    <w:rsid w:val="007117C7"/>
    <w:rsid w:val="00711BA5"/>
    <w:rsid w:val="00714125"/>
    <w:rsid w:val="00714177"/>
    <w:rsid w:val="0071460F"/>
    <w:rsid w:val="00714C11"/>
    <w:rsid w:val="00715CD6"/>
    <w:rsid w:val="00715ECE"/>
    <w:rsid w:val="00716986"/>
    <w:rsid w:val="00717003"/>
    <w:rsid w:val="007172D3"/>
    <w:rsid w:val="00720851"/>
    <w:rsid w:val="00720907"/>
    <w:rsid w:val="00722D6D"/>
    <w:rsid w:val="00723A76"/>
    <w:rsid w:val="00723FC3"/>
    <w:rsid w:val="0072494E"/>
    <w:rsid w:val="00724FA4"/>
    <w:rsid w:val="00725E67"/>
    <w:rsid w:val="00726761"/>
    <w:rsid w:val="00726EA0"/>
    <w:rsid w:val="0072704B"/>
    <w:rsid w:val="007274D9"/>
    <w:rsid w:val="00730003"/>
    <w:rsid w:val="007307BB"/>
    <w:rsid w:val="00730800"/>
    <w:rsid w:val="0073328E"/>
    <w:rsid w:val="0073505F"/>
    <w:rsid w:val="00737007"/>
    <w:rsid w:val="007410AE"/>
    <w:rsid w:val="007410E8"/>
    <w:rsid w:val="00741614"/>
    <w:rsid w:val="00741B6B"/>
    <w:rsid w:val="00742144"/>
    <w:rsid w:val="00744F3E"/>
    <w:rsid w:val="00745D4A"/>
    <w:rsid w:val="00746F02"/>
    <w:rsid w:val="007472CA"/>
    <w:rsid w:val="0075165A"/>
    <w:rsid w:val="007516F9"/>
    <w:rsid w:val="00751B94"/>
    <w:rsid w:val="007532DD"/>
    <w:rsid w:val="00754314"/>
    <w:rsid w:val="007546D2"/>
    <w:rsid w:val="0075590E"/>
    <w:rsid w:val="00756237"/>
    <w:rsid w:val="00757077"/>
    <w:rsid w:val="007602AA"/>
    <w:rsid w:val="00760F12"/>
    <w:rsid w:val="0076139D"/>
    <w:rsid w:val="007613F1"/>
    <w:rsid w:val="0076310B"/>
    <w:rsid w:val="00763281"/>
    <w:rsid w:val="00763B66"/>
    <w:rsid w:val="00764E2C"/>
    <w:rsid w:val="00764E8A"/>
    <w:rsid w:val="00764EA4"/>
    <w:rsid w:val="007652EF"/>
    <w:rsid w:val="00766869"/>
    <w:rsid w:val="00766963"/>
    <w:rsid w:val="00770418"/>
    <w:rsid w:val="00770C34"/>
    <w:rsid w:val="00772BDC"/>
    <w:rsid w:val="00772D68"/>
    <w:rsid w:val="00772F0A"/>
    <w:rsid w:val="0077427C"/>
    <w:rsid w:val="00774C7A"/>
    <w:rsid w:val="00774ED4"/>
    <w:rsid w:val="007770F3"/>
    <w:rsid w:val="00777551"/>
    <w:rsid w:val="00780792"/>
    <w:rsid w:val="00780934"/>
    <w:rsid w:val="00780E3A"/>
    <w:rsid w:val="00781A8D"/>
    <w:rsid w:val="007847A4"/>
    <w:rsid w:val="0078485E"/>
    <w:rsid w:val="007862A4"/>
    <w:rsid w:val="007875C5"/>
    <w:rsid w:val="00787FE0"/>
    <w:rsid w:val="00790118"/>
    <w:rsid w:val="00792687"/>
    <w:rsid w:val="00792DD1"/>
    <w:rsid w:val="00793054"/>
    <w:rsid w:val="007938A1"/>
    <w:rsid w:val="007945D5"/>
    <w:rsid w:val="00795593"/>
    <w:rsid w:val="00795A93"/>
    <w:rsid w:val="00796562"/>
    <w:rsid w:val="00797102"/>
    <w:rsid w:val="007976FF"/>
    <w:rsid w:val="00797E66"/>
    <w:rsid w:val="007A071A"/>
    <w:rsid w:val="007A0840"/>
    <w:rsid w:val="007A2FF0"/>
    <w:rsid w:val="007A39F2"/>
    <w:rsid w:val="007A44B4"/>
    <w:rsid w:val="007A4D86"/>
    <w:rsid w:val="007A5171"/>
    <w:rsid w:val="007A5FD6"/>
    <w:rsid w:val="007A64EF"/>
    <w:rsid w:val="007A6F90"/>
    <w:rsid w:val="007A7209"/>
    <w:rsid w:val="007A7346"/>
    <w:rsid w:val="007A7D3D"/>
    <w:rsid w:val="007B08D5"/>
    <w:rsid w:val="007B0D19"/>
    <w:rsid w:val="007B0D23"/>
    <w:rsid w:val="007B1247"/>
    <w:rsid w:val="007B225D"/>
    <w:rsid w:val="007B2532"/>
    <w:rsid w:val="007B4044"/>
    <w:rsid w:val="007B436A"/>
    <w:rsid w:val="007B5A41"/>
    <w:rsid w:val="007B6524"/>
    <w:rsid w:val="007B7A65"/>
    <w:rsid w:val="007C026D"/>
    <w:rsid w:val="007C034C"/>
    <w:rsid w:val="007C174F"/>
    <w:rsid w:val="007C1806"/>
    <w:rsid w:val="007C1C64"/>
    <w:rsid w:val="007C2318"/>
    <w:rsid w:val="007C3411"/>
    <w:rsid w:val="007C37CA"/>
    <w:rsid w:val="007C4911"/>
    <w:rsid w:val="007C4D07"/>
    <w:rsid w:val="007C5104"/>
    <w:rsid w:val="007C6BEA"/>
    <w:rsid w:val="007C76A8"/>
    <w:rsid w:val="007C7974"/>
    <w:rsid w:val="007D03EA"/>
    <w:rsid w:val="007D09F8"/>
    <w:rsid w:val="007D0FEA"/>
    <w:rsid w:val="007D1361"/>
    <w:rsid w:val="007D159B"/>
    <w:rsid w:val="007D18C6"/>
    <w:rsid w:val="007D3C27"/>
    <w:rsid w:val="007D5CAF"/>
    <w:rsid w:val="007D5CB8"/>
    <w:rsid w:val="007D5E48"/>
    <w:rsid w:val="007D5F3F"/>
    <w:rsid w:val="007D6438"/>
    <w:rsid w:val="007D75F9"/>
    <w:rsid w:val="007E1199"/>
    <w:rsid w:val="007E147E"/>
    <w:rsid w:val="007E1579"/>
    <w:rsid w:val="007E1A49"/>
    <w:rsid w:val="007E28E7"/>
    <w:rsid w:val="007E2B4B"/>
    <w:rsid w:val="007E48BC"/>
    <w:rsid w:val="007E48C7"/>
    <w:rsid w:val="007E4EED"/>
    <w:rsid w:val="007E4F72"/>
    <w:rsid w:val="007E548D"/>
    <w:rsid w:val="007E6D85"/>
    <w:rsid w:val="007E75E7"/>
    <w:rsid w:val="007E79F7"/>
    <w:rsid w:val="007F0B74"/>
    <w:rsid w:val="007F1960"/>
    <w:rsid w:val="007F1B7C"/>
    <w:rsid w:val="007F283C"/>
    <w:rsid w:val="007F3630"/>
    <w:rsid w:val="007F3FCD"/>
    <w:rsid w:val="007F55AF"/>
    <w:rsid w:val="007F5C92"/>
    <w:rsid w:val="007F6B86"/>
    <w:rsid w:val="007F6C82"/>
    <w:rsid w:val="007F6F36"/>
    <w:rsid w:val="007F744B"/>
    <w:rsid w:val="00800625"/>
    <w:rsid w:val="00800731"/>
    <w:rsid w:val="00801DC4"/>
    <w:rsid w:val="00801FDE"/>
    <w:rsid w:val="008049B5"/>
    <w:rsid w:val="008052D5"/>
    <w:rsid w:val="00805D1A"/>
    <w:rsid w:val="00807379"/>
    <w:rsid w:val="00807559"/>
    <w:rsid w:val="008076DB"/>
    <w:rsid w:val="008078F3"/>
    <w:rsid w:val="00812911"/>
    <w:rsid w:val="00814190"/>
    <w:rsid w:val="00814E4C"/>
    <w:rsid w:val="00817DAA"/>
    <w:rsid w:val="00821202"/>
    <w:rsid w:val="0082364A"/>
    <w:rsid w:val="008262B7"/>
    <w:rsid w:val="008263E5"/>
    <w:rsid w:val="008267CC"/>
    <w:rsid w:val="00826BF9"/>
    <w:rsid w:val="00827D82"/>
    <w:rsid w:val="00830250"/>
    <w:rsid w:val="008307F3"/>
    <w:rsid w:val="00830DAE"/>
    <w:rsid w:val="00830E35"/>
    <w:rsid w:val="0083127C"/>
    <w:rsid w:val="008312E2"/>
    <w:rsid w:val="0083138D"/>
    <w:rsid w:val="008333CA"/>
    <w:rsid w:val="008338DE"/>
    <w:rsid w:val="00836E8D"/>
    <w:rsid w:val="00837758"/>
    <w:rsid w:val="0084009E"/>
    <w:rsid w:val="00840F0A"/>
    <w:rsid w:val="00843A37"/>
    <w:rsid w:val="008450BC"/>
    <w:rsid w:val="008453ED"/>
    <w:rsid w:val="00850A00"/>
    <w:rsid w:val="008518E4"/>
    <w:rsid w:val="0085334B"/>
    <w:rsid w:val="008535F6"/>
    <w:rsid w:val="00853F10"/>
    <w:rsid w:val="00854A9F"/>
    <w:rsid w:val="00855E29"/>
    <w:rsid w:val="00855F1E"/>
    <w:rsid w:val="00856594"/>
    <w:rsid w:val="00856B58"/>
    <w:rsid w:val="00860235"/>
    <w:rsid w:val="008611DE"/>
    <w:rsid w:val="0086275D"/>
    <w:rsid w:val="00862918"/>
    <w:rsid w:val="0086325A"/>
    <w:rsid w:val="00863C25"/>
    <w:rsid w:val="00865632"/>
    <w:rsid w:val="00865AE4"/>
    <w:rsid w:val="00865B41"/>
    <w:rsid w:val="00870163"/>
    <w:rsid w:val="00870214"/>
    <w:rsid w:val="008712A4"/>
    <w:rsid w:val="0087172A"/>
    <w:rsid w:val="00872A49"/>
    <w:rsid w:val="00872C7D"/>
    <w:rsid w:val="008744B2"/>
    <w:rsid w:val="008749F1"/>
    <w:rsid w:val="00876DA9"/>
    <w:rsid w:val="00877366"/>
    <w:rsid w:val="00880E78"/>
    <w:rsid w:val="00881293"/>
    <w:rsid w:val="0088156C"/>
    <w:rsid w:val="00881B9F"/>
    <w:rsid w:val="0088377D"/>
    <w:rsid w:val="008838FC"/>
    <w:rsid w:val="00883AF2"/>
    <w:rsid w:val="0088545A"/>
    <w:rsid w:val="00885894"/>
    <w:rsid w:val="00885A6B"/>
    <w:rsid w:val="00885C51"/>
    <w:rsid w:val="00885E73"/>
    <w:rsid w:val="00885EB0"/>
    <w:rsid w:val="00887295"/>
    <w:rsid w:val="00890D71"/>
    <w:rsid w:val="00891879"/>
    <w:rsid w:val="00891F4B"/>
    <w:rsid w:val="0089264A"/>
    <w:rsid w:val="0089268F"/>
    <w:rsid w:val="00893F1F"/>
    <w:rsid w:val="00894A69"/>
    <w:rsid w:val="008957E1"/>
    <w:rsid w:val="00896B5C"/>
    <w:rsid w:val="00896B85"/>
    <w:rsid w:val="008972C9"/>
    <w:rsid w:val="008974D4"/>
    <w:rsid w:val="008976E9"/>
    <w:rsid w:val="00897C5C"/>
    <w:rsid w:val="008A0FAA"/>
    <w:rsid w:val="008A1698"/>
    <w:rsid w:val="008A22BE"/>
    <w:rsid w:val="008A36E4"/>
    <w:rsid w:val="008A3A03"/>
    <w:rsid w:val="008A3BB5"/>
    <w:rsid w:val="008A5FB3"/>
    <w:rsid w:val="008A6403"/>
    <w:rsid w:val="008A6B91"/>
    <w:rsid w:val="008A6B9B"/>
    <w:rsid w:val="008A6E56"/>
    <w:rsid w:val="008A70D8"/>
    <w:rsid w:val="008A758E"/>
    <w:rsid w:val="008A7603"/>
    <w:rsid w:val="008B0687"/>
    <w:rsid w:val="008B0AC9"/>
    <w:rsid w:val="008B13C3"/>
    <w:rsid w:val="008B1ED7"/>
    <w:rsid w:val="008B2B8B"/>
    <w:rsid w:val="008B3EDC"/>
    <w:rsid w:val="008B3F2A"/>
    <w:rsid w:val="008B4743"/>
    <w:rsid w:val="008B53E3"/>
    <w:rsid w:val="008B6CE4"/>
    <w:rsid w:val="008B7D15"/>
    <w:rsid w:val="008C01EC"/>
    <w:rsid w:val="008C09DF"/>
    <w:rsid w:val="008C0C43"/>
    <w:rsid w:val="008C1427"/>
    <w:rsid w:val="008C1B36"/>
    <w:rsid w:val="008C30A6"/>
    <w:rsid w:val="008C469A"/>
    <w:rsid w:val="008C4765"/>
    <w:rsid w:val="008C4814"/>
    <w:rsid w:val="008C69B0"/>
    <w:rsid w:val="008C7DFD"/>
    <w:rsid w:val="008C7E08"/>
    <w:rsid w:val="008D0102"/>
    <w:rsid w:val="008D06C6"/>
    <w:rsid w:val="008D1575"/>
    <w:rsid w:val="008D1EF7"/>
    <w:rsid w:val="008D2724"/>
    <w:rsid w:val="008D318C"/>
    <w:rsid w:val="008D33DD"/>
    <w:rsid w:val="008D3519"/>
    <w:rsid w:val="008D41AB"/>
    <w:rsid w:val="008D4B3E"/>
    <w:rsid w:val="008D58CE"/>
    <w:rsid w:val="008D6957"/>
    <w:rsid w:val="008D6D5E"/>
    <w:rsid w:val="008D6D7D"/>
    <w:rsid w:val="008D6F42"/>
    <w:rsid w:val="008E2F40"/>
    <w:rsid w:val="008E2FFC"/>
    <w:rsid w:val="008E4912"/>
    <w:rsid w:val="008E4E6A"/>
    <w:rsid w:val="008E520B"/>
    <w:rsid w:val="008E5774"/>
    <w:rsid w:val="008E5A8A"/>
    <w:rsid w:val="008E5E7A"/>
    <w:rsid w:val="008E5F18"/>
    <w:rsid w:val="008E6250"/>
    <w:rsid w:val="008E766E"/>
    <w:rsid w:val="008E7A89"/>
    <w:rsid w:val="008E7E25"/>
    <w:rsid w:val="008F0083"/>
    <w:rsid w:val="008F0C59"/>
    <w:rsid w:val="008F16E1"/>
    <w:rsid w:val="008F1894"/>
    <w:rsid w:val="008F1D7D"/>
    <w:rsid w:val="008F4DFD"/>
    <w:rsid w:val="008F4EBB"/>
    <w:rsid w:val="008F52A1"/>
    <w:rsid w:val="008F538B"/>
    <w:rsid w:val="008F559D"/>
    <w:rsid w:val="008F7B68"/>
    <w:rsid w:val="008F7BED"/>
    <w:rsid w:val="00900391"/>
    <w:rsid w:val="009005B5"/>
    <w:rsid w:val="00901ACF"/>
    <w:rsid w:val="00902028"/>
    <w:rsid w:val="0090288A"/>
    <w:rsid w:val="00902AF6"/>
    <w:rsid w:val="00903F54"/>
    <w:rsid w:val="009040B7"/>
    <w:rsid w:val="00904625"/>
    <w:rsid w:val="00904793"/>
    <w:rsid w:val="00905359"/>
    <w:rsid w:val="00907339"/>
    <w:rsid w:val="009076F8"/>
    <w:rsid w:val="0090789B"/>
    <w:rsid w:val="00907D08"/>
    <w:rsid w:val="00910E4F"/>
    <w:rsid w:val="009115B1"/>
    <w:rsid w:val="0091180B"/>
    <w:rsid w:val="009119E4"/>
    <w:rsid w:val="00911EF9"/>
    <w:rsid w:val="00912990"/>
    <w:rsid w:val="00912A1D"/>
    <w:rsid w:val="00913B8A"/>
    <w:rsid w:val="0091487F"/>
    <w:rsid w:val="00914A3B"/>
    <w:rsid w:val="009150A6"/>
    <w:rsid w:val="00916A6C"/>
    <w:rsid w:val="00917A00"/>
    <w:rsid w:val="00920249"/>
    <w:rsid w:val="00920AA0"/>
    <w:rsid w:val="00921197"/>
    <w:rsid w:val="00922D1D"/>
    <w:rsid w:val="009245E6"/>
    <w:rsid w:val="00924C80"/>
    <w:rsid w:val="00924F5A"/>
    <w:rsid w:val="00924F67"/>
    <w:rsid w:val="009272F5"/>
    <w:rsid w:val="00927D2D"/>
    <w:rsid w:val="00930787"/>
    <w:rsid w:val="00930B4D"/>
    <w:rsid w:val="00931198"/>
    <w:rsid w:val="009328BB"/>
    <w:rsid w:val="00932E68"/>
    <w:rsid w:val="00932F14"/>
    <w:rsid w:val="00935178"/>
    <w:rsid w:val="0093545B"/>
    <w:rsid w:val="00935E34"/>
    <w:rsid w:val="00936066"/>
    <w:rsid w:val="00936381"/>
    <w:rsid w:val="00936474"/>
    <w:rsid w:val="009371A8"/>
    <w:rsid w:val="00941537"/>
    <w:rsid w:val="0094247F"/>
    <w:rsid w:val="00942D60"/>
    <w:rsid w:val="00943486"/>
    <w:rsid w:val="00943499"/>
    <w:rsid w:val="009446FB"/>
    <w:rsid w:val="00944CBF"/>
    <w:rsid w:val="00944FE9"/>
    <w:rsid w:val="0094649B"/>
    <w:rsid w:val="0094680C"/>
    <w:rsid w:val="009470A0"/>
    <w:rsid w:val="00947DE9"/>
    <w:rsid w:val="00950910"/>
    <w:rsid w:val="009513B9"/>
    <w:rsid w:val="009519B3"/>
    <w:rsid w:val="00953F95"/>
    <w:rsid w:val="00954045"/>
    <w:rsid w:val="009560A3"/>
    <w:rsid w:val="009566B6"/>
    <w:rsid w:val="0095680B"/>
    <w:rsid w:val="00956E45"/>
    <w:rsid w:val="0095706C"/>
    <w:rsid w:val="0096005D"/>
    <w:rsid w:val="00960F52"/>
    <w:rsid w:val="00960F5D"/>
    <w:rsid w:val="009613F6"/>
    <w:rsid w:val="00961420"/>
    <w:rsid w:val="00962087"/>
    <w:rsid w:val="009623A6"/>
    <w:rsid w:val="009628D3"/>
    <w:rsid w:val="00962D44"/>
    <w:rsid w:val="0096344C"/>
    <w:rsid w:val="00963763"/>
    <w:rsid w:val="00963C5B"/>
    <w:rsid w:val="00964B1E"/>
    <w:rsid w:val="0096523B"/>
    <w:rsid w:val="009668BE"/>
    <w:rsid w:val="00966EE3"/>
    <w:rsid w:val="009726D7"/>
    <w:rsid w:val="00972C64"/>
    <w:rsid w:val="00972D06"/>
    <w:rsid w:val="00974D7B"/>
    <w:rsid w:val="00976D20"/>
    <w:rsid w:val="009770EC"/>
    <w:rsid w:val="009774A5"/>
    <w:rsid w:val="00980477"/>
    <w:rsid w:val="0098182D"/>
    <w:rsid w:val="0098209C"/>
    <w:rsid w:val="009822E9"/>
    <w:rsid w:val="00982638"/>
    <w:rsid w:val="00982921"/>
    <w:rsid w:val="00982FB0"/>
    <w:rsid w:val="0098387D"/>
    <w:rsid w:val="00984036"/>
    <w:rsid w:val="00984688"/>
    <w:rsid w:val="009847FF"/>
    <w:rsid w:val="0098530B"/>
    <w:rsid w:val="0098595B"/>
    <w:rsid w:val="00985BBD"/>
    <w:rsid w:val="009860C3"/>
    <w:rsid w:val="009865A5"/>
    <w:rsid w:val="00987A05"/>
    <w:rsid w:val="0099017D"/>
    <w:rsid w:val="00990184"/>
    <w:rsid w:val="009909A1"/>
    <w:rsid w:val="00991A97"/>
    <w:rsid w:val="009920BC"/>
    <w:rsid w:val="009926FC"/>
    <w:rsid w:val="00992C16"/>
    <w:rsid w:val="0099359B"/>
    <w:rsid w:val="00994D32"/>
    <w:rsid w:val="00995DDD"/>
    <w:rsid w:val="009979D0"/>
    <w:rsid w:val="00997CA1"/>
    <w:rsid w:val="009A1160"/>
    <w:rsid w:val="009A18A1"/>
    <w:rsid w:val="009A2D07"/>
    <w:rsid w:val="009A31FD"/>
    <w:rsid w:val="009A33DC"/>
    <w:rsid w:val="009A3479"/>
    <w:rsid w:val="009A37C4"/>
    <w:rsid w:val="009A38AA"/>
    <w:rsid w:val="009A391C"/>
    <w:rsid w:val="009A3A5A"/>
    <w:rsid w:val="009A4360"/>
    <w:rsid w:val="009A4D7D"/>
    <w:rsid w:val="009A4DE2"/>
    <w:rsid w:val="009A4DF4"/>
    <w:rsid w:val="009A50F2"/>
    <w:rsid w:val="009A547C"/>
    <w:rsid w:val="009A5679"/>
    <w:rsid w:val="009A579C"/>
    <w:rsid w:val="009A7EA1"/>
    <w:rsid w:val="009B01A7"/>
    <w:rsid w:val="009B0220"/>
    <w:rsid w:val="009B0843"/>
    <w:rsid w:val="009B166B"/>
    <w:rsid w:val="009B1E93"/>
    <w:rsid w:val="009B244F"/>
    <w:rsid w:val="009B53E7"/>
    <w:rsid w:val="009B5736"/>
    <w:rsid w:val="009B5B70"/>
    <w:rsid w:val="009B79A3"/>
    <w:rsid w:val="009B7B60"/>
    <w:rsid w:val="009C063E"/>
    <w:rsid w:val="009C0BD7"/>
    <w:rsid w:val="009C117B"/>
    <w:rsid w:val="009C21F9"/>
    <w:rsid w:val="009C3690"/>
    <w:rsid w:val="009C3990"/>
    <w:rsid w:val="009C475B"/>
    <w:rsid w:val="009C5744"/>
    <w:rsid w:val="009C60E7"/>
    <w:rsid w:val="009C7C7B"/>
    <w:rsid w:val="009D0C97"/>
    <w:rsid w:val="009D1550"/>
    <w:rsid w:val="009D1F36"/>
    <w:rsid w:val="009D2A08"/>
    <w:rsid w:val="009D2CCC"/>
    <w:rsid w:val="009D2DA6"/>
    <w:rsid w:val="009D2EA1"/>
    <w:rsid w:val="009D2FD4"/>
    <w:rsid w:val="009D5366"/>
    <w:rsid w:val="009D59EC"/>
    <w:rsid w:val="009D791C"/>
    <w:rsid w:val="009E0A61"/>
    <w:rsid w:val="009E0E7D"/>
    <w:rsid w:val="009E212A"/>
    <w:rsid w:val="009E21FD"/>
    <w:rsid w:val="009E3010"/>
    <w:rsid w:val="009E4057"/>
    <w:rsid w:val="009E4147"/>
    <w:rsid w:val="009E447B"/>
    <w:rsid w:val="009E4D4A"/>
    <w:rsid w:val="009E634B"/>
    <w:rsid w:val="009E67A5"/>
    <w:rsid w:val="009E67BE"/>
    <w:rsid w:val="009E688B"/>
    <w:rsid w:val="009E6E22"/>
    <w:rsid w:val="009E71A6"/>
    <w:rsid w:val="009E7288"/>
    <w:rsid w:val="009E74D5"/>
    <w:rsid w:val="009E7BEF"/>
    <w:rsid w:val="009F007E"/>
    <w:rsid w:val="009F0985"/>
    <w:rsid w:val="009F0AEB"/>
    <w:rsid w:val="009F15AF"/>
    <w:rsid w:val="009F1F2A"/>
    <w:rsid w:val="009F29B6"/>
    <w:rsid w:val="009F34AB"/>
    <w:rsid w:val="009F3B89"/>
    <w:rsid w:val="009F495D"/>
    <w:rsid w:val="009F7065"/>
    <w:rsid w:val="00A0062B"/>
    <w:rsid w:val="00A00AE9"/>
    <w:rsid w:val="00A011B9"/>
    <w:rsid w:val="00A03DB4"/>
    <w:rsid w:val="00A04F35"/>
    <w:rsid w:val="00A054B9"/>
    <w:rsid w:val="00A05C5C"/>
    <w:rsid w:val="00A1007F"/>
    <w:rsid w:val="00A1125C"/>
    <w:rsid w:val="00A11B86"/>
    <w:rsid w:val="00A120BD"/>
    <w:rsid w:val="00A12A9C"/>
    <w:rsid w:val="00A12EB8"/>
    <w:rsid w:val="00A12FF5"/>
    <w:rsid w:val="00A13B00"/>
    <w:rsid w:val="00A13E38"/>
    <w:rsid w:val="00A14EDD"/>
    <w:rsid w:val="00A151FB"/>
    <w:rsid w:val="00A159EB"/>
    <w:rsid w:val="00A15E3D"/>
    <w:rsid w:val="00A16158"/>
    <w:rsid w:val="00A1638A"/>
    <w:rsid w:val="00A1687D"/>
    <w:rsid w:val="00A20352"/>
    <w:rsid w:val="00A20F60"/>
    <w:rsid w:val="00A22381"/>
    <w:rsid w:val="00A23A14"/>
    <w:rsid w:val="00A24FCC"/>
    <w:rsid w:val="00A2501B"/>
    <w:rsid w:val="00A25674"/>
    <w:rsid w:val="00A25794"/>
    <w:rsid w:val="00A257BA"/>
    <w:rsid w:val="00A25862"/>
    <w:rsid w:val="00A26874"/>
    <w:rsid w:val="00A275E5"/>
    <w:rsid w:val="00A318ED"/>
    <w:rsid w:val="00A31B66"/>
    <w:rsid w:val="00A31EBC"/>
    <w:rsid w:val="00A32218"/>
    <w:rsid w:val="00A32851"/>
    <w:rsid w:val="00A331C9"/>
    <w:rsid w:val="00A331F9"/>
    <w:rsid w:val="00A33D89"/>
    <w:rsid w:val="00A35D76"/>
    <w:rsid w:val="00A36127"/>
    <w:rsid w:val="00A369BE"/>
    <w:rsid w:val="00A37475"/>
    <w:rsid w:val="00A37B5C"/>
    <w:rsid w:val="00A37C6A"/>
    <w:rsid w:val="00A40B3F"/>
    <w:rsid w:val="00A4175D"/>
    <w:rsid w:val="00A421E6"/>
    <w:rsid w:val="00A43A53"/>
    <w:rsid w:val="00A44080"/>
    <w:rsid w:val="00A45872"/>
    <w:rsid w:val="00A45CE5"/>
    <w:rsid w:val="00A465FC"/>
    <w:rsid w:val="00A46B41"/>
    <w:rsid w:val="00A477AA"/>
    <w:rsid w:val="00A50845"/>
    <w:rsid w:val="00A50CFA"/>
    <w:rsid w:val="00A51505"/>
    <w:rsid w:val="00A53736"/>
    <w:rsid w:val="00A53A53"/>
    <w:rsid w:val="00A55F6A"/>
    <w:rsid w:val="00A56465"/>
    <w:rsid w:val="00A56605"/>
    <w:rsid w:val="00A56DC7"/>
    <w:rsid w:val="00A57ED1"/>
    <w:rsid w:val="00A604CF"/>
    <w:rsid w:val="00A6098A"/>
    <w:rsid w:val="00A6104A"/>
    <w:rsid w:val="00A61C3B"/>
    <w:rsid w:val="00A61D4C"/>
    <w:rsid w:val="00A62C05"/>
    <w:rsid w:val="00A63476"/>
    <w:rsid w:val="00A6402A"/>
    <w:rsid w:val="00A64234"/>
    <w:rsid w:val="00A64BF7"/>
    <w:rsid w:val="00A703E4"/>
    <w:rsid w:val="00A70E0C"/>
    <w:rsid w:val="00A7132B"/>
    <w:rsid w:val="00A7241E"/>
    <w:rsid w:val="00A72E93"/>
    <w:rsid w:val="00A733CD"/>
    <w:rsid w:val="00A73E0A"/>
    <w:rsid w:val="00A73E8E"/>
    <w:rsid w:val="00A742D6"/>
    <w:rsid w:val="00A74B01"/>
    <w:rsid w:val="00A74FD1"/>
    <w:rsid w:val="00A75594"/>
    <w:rsid w:val="00A75A6C"/>
    <w:rsid w:val="00A76463"/>
    <w:rsid w:val="00A76D7C"/>
    <w:rsid w:val="00A77BFA"/>
    <w:rsid w:val="00A84A58"/>
    <w:rsid w:val="00A84D96"/>
    <w:rsid w:val="00A853B9"/>
    <w:rsid w:val="00A8584C"/>
    <w:rsid w:val="00A8589F"/>
    <w:rsid w:val="00A85B49"/>
    <w:rsid w:val="00A878A0"/>
    <w:rsid w:val="00A87E96"/>
    <w:rsid w:val="00A90E35"/>
    <w:rsid w:val="00A912A1"/>
    <w:rsid w:val="00A92555"/>
    <w:rsid w:val="00A926D9"/>
    <w:rsid w:val="00A92C8A"/>
    <w:rsid w:val="00A93186"/>
    <w:rsid w:val="00A93CEB"/>
    <w:rsid w:val="00A93CFA"/>
    <w:rsid w:val="00A942BA"/>
    <w:rsid w:val="00A944BB"/>
    <w:rsid w:val="00A9564B"/>
    <w:rsid w:val="00A9594A"/>
    <w:rsid w:val="00A96623"/>
    <w:rsid w:val="00AA0891"/>
    <w:rsid w:val="00AA11A6"/>
    <w:rsid w:val="00AA19E4"/>
    <w:rsid w:val="00AA251E"/>
    <w:rsid w:val="00AA35C6"/>
    <w:rsid w:val="00AA36F2"/>
    <w:rsid w:val="00AA4D3C"/>
    <w:rsid w:val="00AA53FC"/>
    <w:rsid w:val="00AA6981"/>
    <w:rsid w:val="00AA7F1D"/>
    <w:rsid w:val="00AB0E8A"/>
    <w:rsid w:val="00AB1B7C"/>
    <w:rsid w:val="00AB3CCB"/>
    <w:rsid w:val="00AB4BF6"/>
    <w:rsid w:val="00AB5036"/>
    <w:rsid w:val="00AB51D3"/>
    <w:rsid w:val="00AB67CA"/>
    <w:rsid w:val="00AB697C"/>
    <w:rsid w:val="00AB69D6"/>
    <w:rsid w:val="00AB6E1B"/>
    <w:rsid w:val="00AB71AF"/>
    <w:rsid w:val="00AB7203"/>
    <w:rsid w:val="00AB7C69"/>
    <w:rsid w:val="00AB7D57"/>
    <w:rsid w:val="00AC2779"/>
    <w:rsid w:val="00AC3A35"/>
    <w:rsid w:val="00AC4D2B"/>
    <w:rsid w:val="00AC56D5"/>
    <w:rsid w:val="00AC5DC5"/>
    <w:rsid w:val="00AD01FD"/>
    <w:rsid w:val="00AD0CD9"/>
    <w:rsid w:val="00AD1C8D"/>
    <w:rsid w:val="00AD2592"/>
    <w:rsid w:val="00AD4E3E"/>
    <w:rsid w:val="00AD5356"/>
    <w:rsid w:val="00AE0E2D"/>
    <w:rsid w:val="00AE259D"/>
    <w:rsid w:val="00AE25BD"/>
    <w:rsid w:val="00AE2603"/>
    <w:rsid w:val="00AE2E56"/>
    <w:rsid w:val="00AE3F9F"/>
    <w:rsid w:val="00AE7622"/>
    <w:rsid w:val="00AF058E"/>
    <w:rsid w:val="00AF06FC"/>
    <w:rsid w:val="00AF09EE"/>
    <w:rsid w:val="00AF0B7D"/>
    <w:rsid w:val="00AF15F0"/>
    <w:rsid w:val="00AF174D"/>
    <w:rsid w:val="00AF211A"/>
    <w:rsid w:val="00AF3391"/>
    <w:rsid w:val="00AF3850"/>
    <w:rsid w:val="00AF387F"/>
    <w:rsid w:val="00AF4433"/>
    <w:rsid w:val="00AF49C3"/>
    <w:rsid w:val="00AF6BBE"/>
    <w:rsid w:val="00AF6F57"/>
    <w:rsid w:val="00B00E7F"/>
    <w:rsid w:val="00B0100A"/>
    <w:rsid w:val="00B01BF7"/>
    <w:rsid w:val="00B0393A"/>
    <w:rsid w:val="00B03E08"/>
    <w:rsid w:val="00B03E64"/>
    <w:rsid w:val="00B0450B"/>
    <w:rsid w:val="00B04F09"/>
    <w:rsid w:val="00B053C8"/>
    <w:rsid w:val="00B0614B"/>
    <w:rsid w:val="00B062E9"/>
    <w:rsid w:val="00B066FA"/>
    <w:rsid w:val="00B1097D"/>
    <w:rsid w:val="00B10C50"/>
    <w:rsid w:val="00B10EED"/>
    <w:rsid w:val="00B1100A"/>
    <w:rsid w:val="00B114DC"/>
    <w:rsid w:val="00B12F1E"/>
    <w:rsid w:val="00B1468F"/>
    <w:rsid w:val="00B14BBE"/>
    <w:rsid w:val="00B16D9A"/>
    <w:rsid w:val="00B173DA"/>
    <w:rsid w:val="00B174D1"/>
    <w:rsid w:val="00B17720"/>
    <w:rsid w:val="00B1790E"/>
    <w:rsid w:val="00B20A0D"/>
    <w:rsid w:val="00B20D04"/>
    <w:rsid w:val="00B21DCC"/>
    <w:rsid w:val="00B21DED"/>
    <w:rsid w:val="00B23305"/>
    <w:rsid w:val="00B24135"/>
    <w:rsid w:val="00B2426B"/>
    <w:rsid w:val="00B25307"/>
    <w:rsid w:val="00B25F37"/>
    <w:rsid w:val="00B30189"/>
    <w:rsid w:val="00B32DD8"/>
    <w:rsid w:val="00B334E5"/>
    <w:rsid w:val="00B33604"/>
    <w:rsid w:val="00B3428C"/>
    <w:rsid w:val="00B347B9"/>
    <w:rsid w:val="00B35698"/>
    <w:rsid w:val="00B365FA"/>
    <w:rsid w:val="00B37BF0"/>
    <w:rsid w:val="00B405D8"/>
    <w:rsid w:val="00B42361"/>
    <w:rsid w:val="00B427E2"/>
    <w:rsid w:val="00B43443"/>
    <w:rsid w:val="00B43B22"/>
    <w:rsid w:val="00B43D73"/>
    <w:rsid w:val="00B44422"/>
    <w:rsid w:val="00B4539C"/>
    <w:rsid w:val="00B458BD"/>
    <w:rsid w:val="00B46EA0"/>
    <w:rsid w:val="00B50E47"/>
    <w:rsid w:val="00B52E0E"/>
    <w:rsid w:val="00B54285"/>
    <w:rsid w:val="00B57551"/>
    <w:rsid w:val="00B5759E"/>
    <w:rsid w:val="00B611C3"/>
    <w:rsid w:val="00B62977"/>
    <w:rsid w:val="00B63062"/>
    <w:rsid w:val="00B63F62"/>
    <w:rsid w:val="00B65564"/>
    <w:rsid w:val="00B65CDD"/>
    <w:rsid w:val="00B70C8D"/>
    <w:rsid w:val="00B710C8"/>
    <w:rsid w:val="00B711A8"/>
    <w:rsid w:val="00B7176C"/>
    <w:rsid w:val="00B731D3"/>
    <w:rsid w:val="00B73703"/>
    <w:rsid w:val="00B73728"/>
    <w:rsid w:val="00B75415"/>
    <w:rsid w:val="00B7576D"/>
    <w:rsid w:val="00B76163"/>
    <w:rsid w:val="00B7652E"/>
    <w:rsid w:val="00B769E4"/>
    <w:rsid w:val="00B76B8A"/>
    <w:rsid w:val="00B80E3B"/>
    <w:rsid w:val="00B81727"/>
    <w:rsid w:val="00B839A3"/>
    <w:rsid w:val="00B84527"/>
    <w:rsid w:val="00B85DC3"/>
    <w:rsid w:val="00B85F78"/>
    <w:rsid w:val="00B902BD"/>
    <w:rsid w:val="00B914BD"/>
    <w:rsid w:val="00B9496E"/>
    <w:rsid w:val="00B95660"/>
    <w:rsid w:val="00B975C1"/>
    <w:rsid w:val="00B9786C"/>
    <w:rsid w:val="00B97BE1"/>
    <w:rsid w:val="00BA0DFA"/>
    <w:rsid w:val="00BA1171"/>
    <w:rsid w:val="00BA1881"/>
    <w:rsid w:val="00BA1903"/>
    <w:rsid w:val="00BA24E2"/>
    <w:rsid w:val="00BA271F"/>
    <w:rsid w:val="00BA4932"/>
    <w:rsid w:val="00BA5327"/>
    <w:rsid w:val="00BA5672"/>
    <w:rsid w:val="00BA642C"/>
    <w:rsid w:val="00BA6557"/>
    <w:rsid w:val="00BA6E99"/>
    <w:rsid w:val="00BB1173"/>
    <w:rsid w:val="00BB1CFD"/>
    <w:rsid w:val="00BB322F"/>
    <w:rsid w:val="00BB368D"/>
    <w:rsid w:val="00BB46C3"/>
    <w:rsid w:val="00BB5232"/>
    <w:rsid w:val="00BB647B"/>
    <w:rsid w:val="00BB7061"/>
    <w:rsid w:val="00BB7103"/>
    <w:rsid w:val="00BB72B7"/>
    <w:rsid w:val="00BC0408"/>
    <w:rsid w:val="00BC15BA"/>
    <w:rsid w:val="00BC19C6"/>
    <w:rsid w:val="00BC2491"/>
    <w:rsid w:val="00BC39AD"/>
    <w:rsid w:val="00BC6C3D"/>
    <w:rsid w:val="00BD115B"/>
    <w:rsid w:val="00BD1EE5"/>
    <w:rsid w:val="00BD20BC"/>
    <w:rsid w:val="00BD299C"/>
    <w:rsid w:val="00BD2A39"/>
    <w:rsid w:val="00BD2E80"/>
    <w:rsid w:val="00BD380C"/>
    <w:rsid w:val="00BD4268"/>
    <w:rsid w:val="00BD6B9B"/>
    <w:rsid w:val="00BD7C85"/>
    <w:rsid w:val="00BD7F4C"/>
    <w:rsid w:val="00BD7FF0"/>
    <w:rsid w:val="00BE037A"/>
    <w:rsid w:val="00BE0399"/>
    <w:rsid w:val="00BE03BF"/>
    <w:rsid w:val="00BE11B8"/>
    <w:rsid w:val="00BE1BC9"/>
    <w:rsid w:val="00BE1CB8"/>
    <w:rsid w:val="00BE2052"/>
    <w:rsid w:val="00BE2A4E"/>
    <w:rsid w:val="00BE44FA"/>
    <w:rsid w:val="00BE462E"/>
    <w:rsid w:val="00BE4FF3"/>
    <w:rsid w:val="00BE5920"/>
    <w:rsid w:val="00BE5E71"/>
    <w:rsid w:val="00BE615F"/>
    <w:rsid w:val="00BE6ECE"/>
    <w:rsid w:val="00BE73EC"/>
    <w:rsid w:val="00BE7E77"/>
    <w:rsid w:val="00BF00BA"/>
    <w:rsid w:val="00BF10A0"/>
    <w:rsid w:val="00BF1B63"/>
    <w:rsid w:val="00BF2E55"/>
    <w:rsid w:val="00BF54A2"/>
    <w:rsid w:val="00BF6626"/>
    <w:rsid w:val="00BF6DAE"/>
    <w:rsid w:val="00BF7A46"/>
    <w:rsid w:val="00BF7FF0"/>
    <w:rsid w:val="00C0057F"/>
    <w:rsid w:val="00C014F5"/>
    <w:rsid w:val="00C01557"/>
    <w:rsid w:val="00C015A2"/>
    <w:rsid w:val="00C01912"/>
    <w:rsid w:val="00C01ED9"/>
    <w:rsid w:val="00C03181"/>
    <w:rsid w:val="00C04970"/>
    <w:rsid w:val="00C057F4"/>
    <w:rsid w:val="00C066BD"/>
    <w:rsid w:val="00C07605"/>
    <w:rsid w:val="00C11607"/>
    <w:rsid w:val="00C12502"/>
    <w:rsid w:val="00C12EE5"/>
    <w:rsid w:val="00C133C9"/>
    <w:rsid w:val="00C1692A"/>
    <w:rsid w:val="00C175A5"/>
    <w:rsid w:val="00C17C9D"/>
    <w:rsid w:val="00C17D9E"/>
    <w:rsid w:val="00C20C04"/>
    <w:rsid w:val="00C22A8A"/>
    <w:rsid w:val="00C2463B"/>
    <w:rsid w:val="00C25083"/>
    <w:rsid w:val="00C25226"/>
    <w:rsid w:val="00C25498"/>
    <w:rsid w:val="00C25A0D"/>
    <w:rsid w:val="00C26D78"/>
    <w:rsid w:val="00C302A5"/>
    <w:rsid w:val="00C32615"/>
    <w:rsid w:val="00C32E05"/>
    <w:rsid w:val="00C3325D"/>
    <w:rsid w:val="00C33D39"/>
    <w:rsid w:val="00C35D17"/>
    <w:rsid w:val="00C36578"/>
    <w:rsid w:val="00C36BC3"/>
    <w:rsid w:val="00C37695"/>
    <w:rsid w:val="00C40AA5"/>
    <w:rsid w:val="00C4234E"/>
    <w:rsid w:val="00C4621E"/>
    <w:rsid w:val="00C46F70"/>
    <w:rsid w:val="00C476D0"/>
    <w:rsid w:val="00C500B9"/>
    <w:rsid w:val="00C53363"/>
    <w:rsid w:val="00C55CCD"/>
    <w:rsid w:val="00C56243"/>
    <w:rsid w:val="00C56A43"/>
    <w:rsid w:val="00C602CA"/>
    <w:rsid w:val="00C60541"/>
    <w:rsid w:val="00C60D2B"/>
    <w:rsid w:val="00C61472"/>
    <w:rsid w:val="00C61A8D"/>
    <w:rsid w:val="00C61AC1"/>
    <w:rsid w:val="00C63519"/>
    <w:rsid w:val="00C64970"/>
    <w:rsid w:val="00C67665"/>
    <w:rsid w:val="00C70567"/>
    <w:rsid w:val="00C72261"/>
    <w:rsid w:val="00C73FF3"/>
    <w:rsid w:val="00C740BF"/>
    <w:rsid w:val="00C741BC"/>
    <w:rsid w:val="00C74742"/>
    <w:rsid w:val="00C764CF"/>
    <w:rsid w:val="00C778AD"/>
    <w:rsid w:val="00C77ABB"/>
    <w:rsid w:val="00C8083E"/>
    <w:rsid w:val="00C811C6"/>
    <w:rsid w:val="00C812A1"/>
    <w:rsid w:val="00C836E3"/>
    <w:rsid w:val="00C84D17"/>
    <w:rsid w:val="00C857AE"/>
    <w:rsid w:val="00C857D1"/>
    <w:rsid w:val="00C85CB8"/>
    <w:rsid w:val="00C86577"/>
    <w:rsid w:val="00C86D9F"/>
    <w:rsid w:val="00C87355"/>
    <w:rsid w:val="00C87F7A"/>
    <w:rsid w:val="00C90A4E"/>
    <w:rsid w:val="00C90FD5"/>
    <w:rsid w:val="00C91C91"/>
    <w:rsid w:val="00C92E07"/>
    <w:rsid w:val="00C95DD1"/>
    <w:rsid w:val="00C964E6"/>
    <w:rsid w:val="00C96868"/>
    <w:rsid w:val="00C96BDA"/>
    <w:rsid w:val="00C97A2C"/>
    <w:rsid w:val="00CA0416"/>
    <w:rsid w:val="00CA0F66"/>
    <w:rsid w:val="00CA1BDE"/>
    <w:rsid w:val="00CA1D69"/>
    <w:rsid w:val="00CA2B0F"/>
    <w:rsid w:val="00CA2BCF"/>
    <w:rsid w:val="00CA31C0"/>
    <w:rsid w:val="00CA39E1"/>
    <w:rsid w:val="00CA4C27"/>
    <w:rsid w:val="00CA5971"/>
    <w:rsid w:val="00CA641D"/>
    <w:rsid w:val="00CB0333"/>
    <w:rsid w:val="00CB26A6"/>
    <w:rsid w:val="00CB2E31"/>
    <w:rsid w:val="00CB3688"/>
    <w:rsid w:val="00CB3D72"/>
    <w:rsid w:val="00CB47EA"/>
    <w:rsid w:val="00CB6D02"/>
    <w:rsid w:val="00CC15AD"/>
    <w:rsid w:val="00CC2109"/>
    <w:rsid w:val="00CC278C"/>
    <w:rsid w:val="00CC2DE7"/>
    <w:rsid w:val="00CC4267"/>
    <w:rsid w:val="00CC4835"/>
    <w:rsid w:val="00CC55F8"/>
    <w:rsid w:val="00CC560B"/>
    <w:rsid w:val="00CC62DD"/>
    <w:rsid w:val="00CC75E2"/>
    <w:rsid w:val="00CC7E83"/>
    <w:rsid w:val="00CD02B6"/>
    <w:rsid w:val="00CD0CBD"/>
    <w:rsid w:val="00CD2217"/>
    <w:rsid w:val="00CD2544"/>
    <w:rsid w:val="00CD41BB"/>
    <w:rsid w:val="00CD46EB"/>
    <w:rsid w:val="00CD5EB1"/>
    <w:rsid w:val="00CD6F15"/>
    <w:rsid w:val="00CD7C20"/>
    <w:rsid w:val="00CD7EBF"/>
    <w:rsid w:val="00CE0633"/>
    <w:rsid w:val="00CE13FC"/>
    <w:rsid w:val="00CE1B2B"/>
    <w:rsid w:val="00CE2C09"/>
    <w:rsid w:val="00CE3F7F"/>
    <w:rsid w:val="00CE47DB"/>
    <w:rsid w:val="00CE4E59"/>
    <w:rsid w:val="00CE4EFA"/>
    <w:rsid w:val="00CE4F57"/>
    <w:rsid w:val="00CE546E"/>
    <w:rsid w:val="00CE64E7"/>
    <w:rsid w:val="00CE76AA"/>
    <w:rsid w:val="00CE78F8"/>
    <w:rsid w:val="00CF0545"/>
    <w:rsid w:val="00CF0F8C"/>
    <w:rsid w:val="00CF1611"/>
    <w:rsid w:val="00CF224A"/>
    <w:rsid w:val="00CF2792"/>
    <w:rsid w:val="00CF3843"/>
    <w:rsid w:val="00CF538F"/>
    <w:rsid w:val="00CF6382"/>
    <w:rsid w:val="00CF6B5E"/>
    <w:rsid w:val="00CF75D4"/>
    <w:rsid w:val="00D034AA"/>
    <w:rsid w:val="00D043B0"/>
    <w:rsid w:val="00D04C84"/>
    <w:rsid w:val="00D04D18"/>
    <w:rsid w:val="00D052C0"/>
    <w:rsid w:val="00D052C5"/>
    <w:rsid w:val="00D055A2"/>
    <w:rsid w:val="00D056F1"/>
    <w:rsid w:val="00D07B1D"/>
    <w:rsid w:val="00D10D6B"/>
    <w:rsid w:val="00D11152"/>
    <w:rsid w:val="00D11171"/>
    <w:rsid w:val="00D11B7D"/>
    <w:rsid w:val="00D125ED"/>
    <w:rsid w:val="00D12610"/>
    <w:rsid w:val="00D13200"/>
    <w:rsid w:val="00D13609"/>
    <w:rsid w:val="00D14031"/>
    <w:rsid w:val="00D14072"/>
    <w:rsid w:val="00D14EC8"/>
    <w:rsid w:val="00D15CBC"/>
    <w:rsid w:val="00D15EFF"/>
    <w:rsid w:val="00D169FB"/>
    <w:rsid w:val="00D174C3"/>
    <w:rsid w:val="00D225BA"/>
    <w:rsid w:val="00D22C6A"/>
    <w:rsid w:val="00D22E81"/>
    <w:rsid w:val="00D22F3C"/>
    <w:rsid w:val="00D235A0"/>
    <w:rsid w:val="00D23D15"/>
    <w:rsid w:val="00D23DB6"/>
    <w:rsid w:val="00D24052"/>
    <w:rsid w:val="00D25641"/>
    <w:rsid w:val="00D25AD0"/>
    <w:rsid w:val="00D26508"/>
    <w:rsid w:val="00D274FC"/>
    <w:rsid w:val="00D275AA"/>
    <w:rsid w:val="00D27853"/>
    <w:rsid w:val="00D27C68"/>
    <w:rsid w:val="00D3161B"/>
    <w:rsid w:val="00D32404"/>
    <w:rsid w:val="00D33DD5"/>
    <w:rsid w:val="00D35369"/>
    <w:rsid w:val="00D35FDD"/>
    <w:rsid w:val="00D360B6"/>
    <w:rsid w:val="00D37006"/>
    <w:rsid w:val="00D37B49"/>
    <w:rsid w:val="00D419B5"/>
    <w:rsid w:val="00D41E69"/>
    <w:rsid w:val="00D4259D"/>
    <w:rsid w:val="00D42697"/>
    <w:rsid w:val="00D42A3B"/>
    <w:rsid w:val="00D42E0D"/>
    <w:rsid w:val="00D43F48"/>
    <w:rsid w:val="00D43FE6"/>
    <w:rsid w:val="00D444EA"/>
    <w:rsid w:val="00D44977"/>
    <w:rsid w:val="00D449EA"/>
    <w:rsid w:val="00D45D2F"/>
    <w:rsid w:val="00D4617F"/>
    <w:rsid w:val="00D46F33"/>
    <w:rsid w:val="00D4784D"/>
    <w:rsid w:val="00D51A95"/>
    <w:rsid w:val="00D5454E"/>
    <w:rsid w:val="00D554AB"/>
    <w:rsid w:val="00D55BB0"/>
    <w:rsid w:val="00D561FE"/>
    <w:rsid w:val="00D56753"/>
    <w:rsid w:val="00D57FFC"/>
    <w:rsid w:val="00D60568"/>
    <w:rsid w:val="00D60FB5"/>
    <w:rsid w:val="00D615D8"/>
    <w:rsid w:val="00D62426"/>
    <w:rsid w:val="00D62BC2"/>
    <w:rsid w:val="00D65855"/>
    <w:rsid w:val="00D664A9"/>
    <w:rsid w:val="00D67091"/>
    <w:rsid w:val="00D67D8A"/>
    <w:rsid w:val="00D70888"/>
    <w:rsid w:val="00D70A86"/>
    <w:rsid w:val="00D70C7A"/>
    <w:rsid w:val="00D70CEA"/>
    <w:rsid w:val="00D70F0D"/>
    <w:rsid w:val="00D72617"/>
    <w:rsid w:val="00D72B2B"/>
    <w:rsid w:val="00D72F4A"/>
    <w:rsid w:val="00D74925"/>
    <w:rsid w:val="00D7492E"/>
    <w:rsid w:val="00D7571C"/>
    <w:rsid w:val="00D761B2"/>
    <w:rsid w:val="00D7674F"/>
    <w:rsid w:val="00D767C6"/>
    <w:rsid w:val="00D76948"/>
    <w:rsid w:val="00D774FF"/>
    <w:rsid w:val="00D81593"/>
    <w:rsid w:val="00D81D38"/>
    <w:rsid w:val="00D82237"/>
    <w:rsid w:val="00D8372C"/>
    <w:rsid w:val="00D83A00"/>
    <w:rsid w:val="00D83E64"/>
    <w:rsid w:val="00D85573"/>
    <w:rsid w:val="00D857DF"/>
    <w:rsid w:val="00D85AE6"/>
    <w:rsid w:val="00D8706E"/>
    <w:rsid w:val="00D87C95"/>
    <w:rsid w:val="00D90B3A"/>
    <w:rsid w:val="00D91356"/>
    <w:rsid w:val="00D93759"/>
    <w:rsid w:val="00D940C7"/>
    <w:rsid w:val="00D9542A"/>
    <w:rsid w:val="00D95ACE"/>
    <w:rsid w:val="00D9620E"/>
    <w:rsid w:val="00D96AFD"/>
    <w:rsid w:val="00D97401"/>
    <w:rsid w:val="00D975ED"/>
    <w:rsid w:val="00D97C46"/>
    <w:rsid w:val="00D97D06"/>
    <w:rsid w:val="00D97E2E"/>
    <w:rsid w:val="00DA0B56"/>
    <w:rsid w:val="00DA10A8"/>
    <w:rsid w:val="00DA1202"/>
    <w:rsid w:val="00DA14F7"/>
    <w:rsid w:val="00DA2FCC"/>
    <w:rsid w:val="00DA34BF"/>
    <w:rsid w:val="00DA39CD"/>
    <w:rsid w:val="00DA5249"/>
    <w:rsid w:val="00DA59DC"/>
    <w:rsid w:val="00DA5B8E"/>
    <w:rsid w:val="00DA666D"/>
    <w:rsid w:val="00DA6D27"/>
    <w:rsid w:val="00DA7834"/>
    <w:rsid w:val="00DA7ECA"/>
    <w:rsid w:val="00DB02E2"/>
    <w:rsid w:val="00DB090B"/>
    <w:rsid w:val="00DB1C6D"/>
    <w:rsid w:val="00DB1E08"/>
    <w:rsid w:val="00DB25AC"/>
    <w:rsid w:val="00DB2973"/>
    <w:rsid w:val="00DB2D57"/>
    <w:rsid w:val="00DB35F1"/>
    <w:rsid w:val="00DB4122"/>
    <w:rsid w:val="00DB4C49"/>
    <w:rsid w:val="00DB551C"/>
    <w:rsid w:val="00DB5829"/>
    <w:rsid w:val="00DB5B66"/>
    <w:rsid w:val="00DB5BD6"/>
    <w:rsid w:val="00DB7222"/>
    <w:rsid w:val="00DB73ED"/>
    <w:rsid w:val="00DC003F"/>
    <w:rsid w:val="00DC0091"/>
    <w:rsid w:val="00DC03AB"/>
    <w:rsid w:val="00DC05CC"/>
    <w:rsid w:val="00DC06DA"/>
    <w:rsid w:val="00DC11E2"/>
    <w:rsid w:val="00DC1B56"/>
    <w:rsid w:val="00DC2129"/>
    <w:rsid w:val="00DC26DB"/>
    <w:rsid w:val="00DC28F0"/>
    <w:rsid w:val="00DC3C8F"/>
    <w:rsid w:val="00DC4369"/>
    <w:rsid w:val="00DC4793"/>
    <w:rsid w:val="00DC4DE3"/>
    <w:rsid w:val="00DC6570"/>
    <w:rsid w:val="00DC7F49"/>
    <w:rsid w:val="00DD0732"/>
    <w:rsid w:val="00DD10D0"/>
    <w:rsid w:val="00DD1998"/>
    <w:rsid w:val="00DD1CAA"/>
    <w:rsid w:val="00DD303A"/>
    <w:rsid w:val="00DD3C26"/>
    <w:rsid w:val="00DD3C5E"/>
    <w:rsid w:val="00DD5339"/>
    <w:rsid w:val="00DD5CAB"/>
    <w:rsid w:val="00DD66CA"/>
    <w:rsid w:val="00DD6885"/>
    <w:rsid w:val="00DD7107"/>
    <w:rsid w:val="00DE0304"/>
    <w:rsid w:val="00DE09A8"/>
    <w:rsid w:val="00DE277C"/>
    <w:rsid w:val="00DE3FDE"/>
    <w:rsid w:val="00DE4694"/>
    <w:rsid w:val="00DE5066"/>
    <w:rsid w:val="00DE74B5"/>
    <w:rsid w:val="00DF1A44"/>
    <w:rsid w:val="00DF1EFA"/>
    <w:rsid w:val="00DF2142"/>
    <w:rsid w:val="00DF25C3"/>
    <w:rsid w:val="00DF2A13"/>
    <w:rsid w:val="00DF36CF"/>
    <w:rsid w:val="00DF44D1"/>
    <w:rsid w:val="00DF46CB"/>
    <w:rsid w:val="00DF47AA"/>
    <w:rsid w:val="00DF4C04"/>
    <w:rsid w:val="00DF6FC3"/>
    <w:rsid w:val="00DF7840"/>
    <w:rsid w:val="00E002A0"/>
    <w:rsid w:val="00E01A13"/>
    <w:rsid w:val="00E01D35"/>
    <w:rsid w:val="00E01D7E"/>
    <w:rsid w:val="00E01F55"/>
    <w:rsid w:val="00E020EC"/>
    <w:rsid w:val="00E024DD"/>
    <w:rsid w:val="00E02B75"/>
    <w:rsid w:val="00E04062"/>
    <w:rsid w:val="00E04A0B"/>
    <w:rsid w:val="00E05F48"/>
    <w:rsid w:val="00E063C6"/>
    <w:rsid w:val="00E065FD"/>
    <w:rsid w:val="00E06637"/>
    <w:rsid w:val="00E066BA"/>
    <w:rsid w:val="00E11559"/>
    <w:rsid w:val="00E13B14"/>
    <w:rsid w:val="00E1447A"/>
    <w:rsid w:val="00E1468A"/>
    <w:rsid w:val="00E14A05"/>
    <w:rsid w:val="00E1550E"/>
    <w:rsid w:val="00E15C1C"/>
    <w:rsid w:val="00E15C45"/>
    <w:rsid w:val="00E16830"/>
    <w:rsid w:val="00E17C69"/>
    <w:rsid w:val="00E2003B"/>
    <w:rsid w:val="00E203C2"/>
    <w:rsid w:val="00E21D96"/>
    <w:rsid w:val="00E21EC4"/>
    <w:rsid w:val="00E2343E"/>
    <w:rsid w:val="00E239AF"/>
    <w:rsid w:val="00E23F05"/>
    <w:rsid w:val="00E242A5"/>
    <w:rsid w:val="00E24546"/>
    <w:rsid w:val="00E2512D"/>
    <w:rsid w:val="00E27894"/>
    <w:rsid w:val="00E279D8"/>
    <w:rsid w:val="00E307DC"/>
    <w:rsid w:val="00E30A65"/>
    <w:rsid w:val="00E317A6"/>
    <w:rsid w:val="00E319B1"/>
    <w:rsid w:val="00E319C2"/>
    <w:rsid w:val="00E31CA0"/>
    <w:rsid w:val="00E31F2A"/>
    <w:rsid w:val="00E32200"/>
    <w:rsid w:val="00E327D1"/>
    <w:rsid w:val="00E363A0"/>
    <w:rsid w:val="00E36C72"/>
    <w:rsid w:val="00E3759A"/>
    <w:rsid w:val="00E40519"/>
    <w:rsid w:val="00E4080C"/>
    <w:rsid w:val="00E44582"/>
    <w:rsid w:val="00E44E0D"/>
    <w:rsid w:val="00E44E96"/>
    <w:rsid w:val="00E47A06"/>
    <w:rsid w:val="00E502C3"/>
    <w:rsid w:val="00E531E2"/>
    <w:rsid w:val="00E53720"/>
    <w:rsid w:val="00E53993"/>
    <w:rsid w:val="00E53A1C"/>
    <w:rsid w:val="00E53C85"/>
    <w:rsid w:val="00E540E2"/>
    <w:rsid w:val="00E5492F"/>
    <w:rsid w:val="00E55103"/>
    <w:rsid w:val="00E55617"/>
    <w:rsid w:val="00E556B3"/>
    <w:rsid w:val="00E55729"/>
    <w:rsid w:val="00E557D4"/>
    <w:rsid w:val="00E56BEA"/>
    <w:rsid w:val="00E578E5"/>
    <w:rsid w:val="00E60473"/>
    <w:rsid w:val="00E60535"/>
    <w:rsid w:val="00E6081B"/>
    <w:rsid w:val="00E60A80"/>
    <w:rsid w:val="00E62DEF"/>
    <w:rsid w:val="00E63CB4"/>
    <w:rsid w:val="00E64256"/>
    <w:rsid w:val="00E643E1"/>
    <w:rsid w:val="00E645DE"/>
    <w:rsid w:val="00E647A1"/>
    <w:rsid w:val="00E6509E"/>
    <w:rsid w:val="00E65DF8"/>
    <w:rsid w:val="00E67256"/>
    <w:rsid w:val="00E7000F"/>
    <w:rsid w:val="00E70275"/>
    <w:rsid w:val="00E70941"/>
    <w:rsid w:val="00E70A86"/>
    <w:rsid w:val="00E71EDF"/>
    <w:rsid w:val="00E73702"/>
    <w:rsid w:val="00E73BF5"/>
    <w:rsid w:val="00E746E6"/>
    <w:rsid w:val="00E748AB"/>
    <w:rsid w:val="00E75B68"/>
    <w:rsid w:val="00E777EC"/>
    <w:rsid w:val="00E7783C"/>
    <w:rsid w:val="00E77BCC"/>
    <w:rsid w:val="00E77D3E"/>
    <w:rsid w:val="00E80FCD"/>
    <w:rsid w:val="00E813CA"/>
    <w:rsid w:val="00E818AC"/>
    <w:rsid w:val="00E840BF"/>
    <w:rsid w:val="00E84C03"/>
    <w:rsid w:val="00E85B50"/>
    <w:rsid w:val="00E86D15"/>
    <w:rsid w:val="00E872E8"/>
    <w:rsid w:val="00E87B22"/>
    <w:rsid w:val="00E90565"/>
    <w:rsid w:val="00E91352"/>
    <w:rsid w:val="00E91775"/>
    <w:rsid w:val="00E91E0B"/>
    <w:rsid w:val="00E92113"/>
    <w:rsid w:val="00E93FAA"/>
    <w:rsid w:val="00E9444E"/>
    <w:rsid w:val="00E9536D"/>
    <w:rsid w:val="00E954F4"/>
    <w:rsid w:val="00E957F0"/>
    <w:rsid w:val="00E967C1"/>
    <w:rsid w:val="00E9742A"/>
    <w:rsid w:val="00EA0D52"/>
    <w:rsid w:val="00EA112F"/>
    <w:rsid w:val="00EA29F6"/>
    <w:rsid w:val="00EA3917"/>
    <w:rsid w:val="00EA39EC"/>
    <w:rsid w:val="00EA4219"/>
    <w:rsid w:val="00EA7573"/>
    <w:rsid w:val="00EA7820"/>
    <w:rsid w:val="00EA7F2F"/>
    <w:rsid w:val="00EB0C18"/>
    <w:rsid w:val="00EB1468"/>
    <w:rsid w:val="00EB1E26"/>
    <w:rsid w:val="00EB2834"/>
    <w:rsid w:val="00EB31BC"/>
    <w:rsid w:val="00EB3B0F"/>
    <w:rsid w:val="00EB4107"/>
    <w:rsid w:val="00EB47F9"/>
    <w:rsid w:val="00EB4B85"/>
    <w:rsid w:val="00EB5CDA"/>
    <w:rsid w:val="00EB5DF3"/>
    <w:rsid w:val="00EB7035"/>
    <w:rsid w:val="00EC00DE"/>
    <w:rsid w:val="00EC0546"/>
    <w:rsid w:val="00EC09F1"/>
    <w:rsid w:val="00EC0E7C"/>
    <w:rsid w:val="00EC1178"/>
    <w:rsid w:val="00EC2C84"/>
    <w:rsid w:val="00EC30E1"/>
    <w:rsid w:val="00EC3CD9"/>
    <w:rsid w:val="00EC42C8"/>
    <w:rsid w:val="00EC54A9"/>
    <w:rsid w:val="00ED14BA"/>
    <w:rsid w:val="00ED172A"/>
    <w:rsid w:val="00ED2BEB"/>
    <w:rsid w:val="00ED2C0E"/>
    <w:rsid w:val="00ED2EF4"/>
    <w:rsid w:val="00ED35D0"/>
    <w:rsid w:val="00ED3845"/>
    <w:rsid w:val="00ED3BFE"/>
    <w:rsid w:val="00ED4756"/>
    <w:rsid w:val="00ED7653"/>
    <w:rsid w:val="00ED7D2A"/>
    <w:rsid w:val="00EE0427"/>
    <w:rsid w:val="00EE0D24"/>
    <w:rsid w:val="00EE1828"/>
    <w:rsid w:val="00EE1C60"/>
    <w:rsid w:val="00EE29E8"/>
    <w:rsid w:val="00EE3914"/>
    <w:rsid w:val="00EE4F6C"/>
    <w:rsid w:val="00EE5DE9"/>
    <w:rsid w:val="00EE5E27"/>
    <w:rsid w:val="00EE5FBC"/>
    <w:rsid w:val="00EE73B0"/>
    <w:rsid w:val="00EF0CD2"/>
    <w:rsid w:val="00EF1312"/>
    <w:rsid w:val="00EF29C3"/>
    <w:rsid w:val="00EF3CB0"/>
    <w:rsid w:val="00EF4288"/>
    <w:rsid w:val="00EF72F5"/>
    <w:rsid w:val="00EF749A"/>
    <w:rsid w:val="00EF7CCA"/>
    <w:rsid w:val="00F000F7"/>
    <w:rsid w:val="00F008A5"/>
    <w:rsid w:val="00F00CF6"/>
    <w:rsid w:val="00F02F57"/>
    <w:rsid w:val="00F04746"/>
    <w:rsid w:val="00F06714"/>
    <w:rsid w:val="00F069B5"/>
    <w:rsid w:val="00F102AE"/>
    <w:rsid w:val="00F10501"/>
    <w:rsid w:val="00F11059"/>
    <w:rsid w:val="00F11B36"/>
    <w:rsid w:val="00F11F6C"/>
    <w:rsid w:val="00F12ECF"/>
    <w:rsid w:val="00F14BEC"/>
    <w:rsid w:val="00F14EE0"/>
    <w:rsid w:val="00F1530C"/>
    <w:rsid w:val="00F15E9D"/>
    <w:rsid w:val="00F15F5D"/>
    <w:rsid w:val="00F17F0B"/>
    <w:rsid w:val="00F20185"/>
    <w:rsid w:val="00F20233"/>
    <w:rsid w:val="00F21664"/>
    <w:rsid w:val="00F2237A"/>
    <w:rsid w:val="00F225C5"/>
    <w:rsid w:val="00F2276E"/>
    <w:rsid w:val="00F22A7B"/>
    <w:rsid w:val="00F22C53"/>
    <w:rsid w:val="00F233A1"/>
    <w:rsid w:val="00F244BB"/>
    <w:rsid w:val="00F2454C"/>
    <w:rsid w:val="00F2587A"/>
    <w:rsid w:val="00F25E6B"/>
    <w:rsid w:val="00F26ABC"/>
    <w:rsid w:val="00F27FE1"/>
    <w:rsid w:val="00F30FF0"/>
    <w:rsid w:val="00F319FD"/>
    <w:rsid w:val="00F32B28"/>
    <w:rsid w:val="00F33A78"/>
    <w:rsid w:val="00F33D53"/>
    <w:rsid w:val="00F3609F"/>
    <w:rsid w:val="00F3715D"/>
    <w:rsid w:val="00F37D04"/>
    <w:rsid w:val="00F412FA"/>
    <w:rsid w:val="00F4144C"/>
    <w:rsid w:val="00F414F1"/>
    <w:rsid w:val="00F41F05"/>
    <w:rsid w:val="00F420C8"/>
    <w:rsid w:val="00F42A4C"/>
    <w:rsid w:val="00F44139"/>
    <w:rsid w:val="00F4416B"/>
    <w:rsid w:val="00F44540"/>
    <w:rsid w:val="00F455C4"/>
    <w:rsid w:val="00F47C17"/>
    <w:rsid w:val="00F5056C"/>
    <w:rsid w:val="00F505B2"/>
    <w:rsid w:val="00F5095E"/>
    <w:rsid w:val="00F51875"/>
    <w:rsid w:val="00F51E58"/>
    <w:rsid w:val="00F51F41"/>
    <w:rsid w:val="00F529EE"/>
    <w:rsid w:val="00F53CE0"/>
    <w:rsid w:val="00F53F28"/>
    <w:rsid w:val="00F54B39"/>
    <w:rsid w:val="00F553C6"/>
    <w:rsid w:val="00F55798"/>
    <w:rsid w:val="00F566C6"/>
    <w:rsid w:val="00F576D5"/>
    <w:rsid w:val="00F604DE"/>
    <w:rsid w:val="00F60AD7"/>
    <w:rsid w:val="00F611C6"/>
    <w:rsid w:val="00F6150E"/>
    <w:rsid w:val="00F61980"/>
    <w:rsid w:val="00F6269B"/>
    <w:rsid w:val="00F628F9"/>
    <w:rsid w:val="00F6454D"/>
    <w:rsid w:val="00F64CB7"/>
    <w:rsid w:val="00F64D39"/>
    <w:rsid w:val="00F655ED"/>
    <w:rsid w:val="00F65838"/>
    <w:rsid w:val="00F66C8D"/>
    <w:rsid w:val="00F679CD"/>
    <w:rsid w:val="00F67A6B"/>
    <w:rsid w:val="00F67CFE"/>
    <w:rsid w:val="00F70FD8"/>
    <w:rsid w:val="00F71920"/>
    <w:rsid w:val="00F71A1C"/>
    <w:rsid w:val="00F71B87"/>
    <w:rsid w:val="00F74353"/>
    <w:rsid w:val="00F74B5F"/>
    <w:rsid w:val="00F757EF"/>
    <w:rsid w:val="00F80293"/>
    <w:rsid w:val="00F8049C"/>
    <w:rsid w:val="00F80C5F"/>
    <w:rsid w:val="00F80D1A"/>
    <w:rsid w:val="00F81F17"/>
    <w:rsid w:val="00F829BB"/>
    <w:rsid w:val="00F83D5E"/>
    <w:rsid w:val="00F84380"/>
    <w:rsid w:val="00F85427"/>
    <w:rsid w:val="00F866A0"/>
    <w:rsid w:val="00F87A18"/>
    <w:rsid w:val="00F87E3D"/>
    <w:rsid w:val="00F87EAC"/>
    <w:rsid w:val="00F901AD"/>
    <w:rsid w:val="00F90488"/>
    <w:rsid w:val="00F924B6"/>
    <w:rsid w:val="00F928BF"/>
    <w:rsid w:val="00F931BC"/>
    <w:rsid w:val="00F935C7"/>
    <w:rsid w:val="00F938F0"/>
    <w:rsid w:val="00F9440D"/>
    <w:rsid w:val="00F9530C"/>
    <w:rsid w:val="00F95823"/>
    <w:rsid w:val="00F96B94"/>
    <w:rsid w:val="00F9748A"/>
    <w:rsid w:val="00F97C46"/>
    <w:rsid w:val="00FA01B2"/>
    <w:rsid w:val="00FA05DB"/>
    <w:rsid w:val="00FA0BF8"/>
    <w:rsid w:val="00FA0DDB"/>
    <w:rsid w:val="00FA1C98"/>
    <w:rsid w:val="00FA2F91"/>
    <w:rsid w:val="00FA54E0"/>
    <w:rsid w:val="00FA6D1F"/>
    <w:rsid w:val="00FA6FD7"/>
    <w:rsid w:val="00FB0972"/>
    <w:rsid w:val="00FB0FB1"/>
    <w:rsid w:val="00FB1151"/>
    <w:rsid w:val="00FB29E4"/>
    <w:rsid w:val="00FB2D85"/>
    <w:rsid w:val="00FB3169"/>
    <w:rsid w:val="00FB43AB"/>
    <w:rsid w:val="00FB48D5"/>
    <w:rsid w:val="00FB4B30"/>
    <w:rsid w:val="00FB4DCB"/>
    <w:rsid w:val="00FB4E3B"/>
    <w:rsid w:val="00FB4E61"/>
    <w:rsid w:val="00FB5BC5"/>
    <w:rsid w:val="00FB6EE4"/>
    <w:rsid w:val="00FB6EF1"/>
    <w:rsid w:val="00FB731F"/>
    <w:rsid w:val="00FB73A5"/>
    <w:rsid w:val="00FB7512"/>
    <w:rsid w:val="00FC0D2E"/>
    <w:rsid w:val="00FC29E6"/>
    <w:rsid w:val="00FC2EC9"/>
    <w:rsid w:val="00FC30BC"/>
    <w:rsid w:val="00FC37E0"/>
    <w:rsid w:val="00FC3B6A"/>
    <w:rsid w:val="00FC451E"/>
    <w:rsid w:val="00FC47F6"/>
    <w:rsid w:val="00FC6310"/>
    <w:rsid w:val="00FC6544"/>
    <w:rsid w:val="00FC7899"/>
    <w:rsid w:val="00FC79EC"/>
    <w:rsid w:val="00FC7B5D"/>
    <w:rsid w:val="00FD03BB"/>
    <w:rsid w:val="00FD0A12"/>
    <w:rsid w:val="00FD1206"/>
    <w:rsid w:val="00FD1340"/>
    <w:rsid w:val="00FD298C"/>
    <w:rsid w:val="00FD2B8E"/>
    <w:rsid w:val="00FD3EDB"/>
    <w:rsid w:val="00FD4381"/>
    <w:rsid w:val="00FD4943"/>
    <w:rsid w:val="00FD4D40"/>
    <w:rsid w:val="00FD4ED0"/>
    <w:rsid w:val="00FD5951"/>
    <w:rsid w:val="00FD63D6"/>
    <w:rsid w:val="00FD6DAF"/>
    <w:rsid w:val="00FD71E8"/>
    <w:rsid w:val="00FD73D3"/>
    <w:rsid w:val="00FD7547"/>
    <w:rsid w:val="00FD7562"/>
    <w:rsid w:val="00FD77D9"/>
    <w:rsid w:val="00FE0611"/>
    <w:rsid w:val="00FE0C34"/>
    <w:rsid w:val="00FE13C8"/>
    <w:rsid w:val="00FE1857"/>
    <w:rsid w:val="00FE19F2"/>
    <w:rsid w:val="00FE1EBB"/>
    <w:rsid w:val="00FE250C"/>
    <w:rsid w:val="00FE2524"/>
    <w:rsid w:val="00FE28E8"/>
    <w:rsid w:val="00FE2CE6"/>
    <w:rsid w:val="00FE4543"/>
    <w:rsid w:val="00FE6DE9"/>
    <w:rsid w:val="00FE7205"/>
    <w:rsid w:val="00FF11F3"/>
    <w:rsid w:val="00FF17FE"/>
    <w:rsid w:val="00FF288D"/>
    <w:rsid w:val="00FF3230"/>
    <w:rsid w:val="00FF32E2"/>
    <w:rsid w:val="00FF3A11"/>
    <w:rsid w:val="00FF44B6"/>
    <w:rsid w:val="00FF57AF"/>
    <w:rsid w:val="00FF5B16"/>
    <w:rsid w:val="00FF5F5C"/>
    <w:rsid w:val="00FF65A2"/>
    <w:rsid w:val="00FF6948"/>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D91B9"/>
  <w15:docId w15:val="{B93C6154-EB45-4A55-BAD0-7205548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611C6"/>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DB551C"/>
    <w:pPr>
      <w:keepNext/>
      <w:spacing w:before="240" w:after="240"/>
      <w:outlineLvl w:val="2"/>
    </w:pPr>
    <w:rPr>
      <w:b/>
      <w:bCs/>
      <w:color w:val="000000" w:themeColor="text1"/>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611C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1D35"/>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A90E35"/>
    <w:pPr>
      <w:tabs>
        <w:tab w:val="left" w:pos="709"/>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ind w:left="1287" w:hanging="360"/>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aliases w:val="List Paragraph1,List Paragraph11,L,Bulleted Para,NFP GP Bulleted List,FooterText,numbered,Paragraphe de liste1,Bulletr List Paragraph,列出段落,列出段落1,List Paragraph2,List Paragraph21,Listeafsnit1,Parágrafo da Lista1,リスト段落1,CV t,Bullet point,列"/>
    <w:basedOn w:val="Normal"/>
    <w:link w:val="ListParagraphChar"/>
    <w:uiPriority w:val="34"/>
    <w:qFormat/>
    <w:rsid w:val="00DD5CAB"/>
    <w:pPr>
      <w:ind w:left="720"/>
      <w:contextualSpacing/>
    </w:pPr>
  </w:style>
  <w:style w:type="paragraph" w:styleId="CommentSubject">
    <w:name w:val="annotation subject"/>
    <w:basedOn w:val="CommentText"/>
    <w:next w:val="CommentText"/>
    <w:link w:val="CommentSubjectChar"/>
    <w:semiHidden/>
    <w:unhideWhenUsed/>
    <w:rsid w:val="00DD5CAB"/>
    <w:rPr>
      <w:b/>
      <w:bCs/>
    </w:rPr>
  </w:style>
  <w:style w:type="character" w:customStyle="1" w:styleId="CommentSubjectChar">
    <w:name w:val="Comment Subject Char"/>
    <w:basedOn w:val="CommentTextChar"/>
    <w:link w:val="CommentSubject"/>
    <w:semiHidden/>
    <w:rsid w:val="00DD5CAB"/>
    <w:rPr>
      <w:rFonts w:ascii="Arial" w:hAnsi="Arial"/>
      <w:b/>
      <w:bCs/>
      <w:lang w:eastAsia="en-US" w:bidi="en-US"/>
    </w:rPr>
  </w:style>
  <w:style w:type="character" w:customStyle="1" w:styleId="FootnoteTextChar">
    <w:name w:val="Footnote Text Char"/>
    <w:aliases w:val="FSFootnote Text Char,Footnotes Text Char,FSFootnotes Text Char"/>
    <w:basedOn w:val="DefaultParagraphFont"/>
    <w:link w:val="FootnoteText"/>
    <w:rsid w:val="001662D5"/>
    <w:rPr>
      <w:rFonts w:ascii="Arial" w:hAnsi="Arial"/>
      <w:lang w:eastAsia="en-US" w:bidi="en-US"/>
    </w:rPr>
  </w:style>
  <w:style w:type="table" w:styleId="ListTable4-Accent4">
    <w:name w:val="List Table 4 Accent 4"/>
    <w:basedOn w:val="TableNormal"/>
    <w:uiPriority w:val="49"/>
    <w:rsid w:val="005804D7"/>
    <w:rPr>
      <w:rFonts w:ascii="Arial" w:eastAsiaTheme="minorHAnsi" w:hAnsi="Arial" w:cs="Arial"/>
      <w:sz w:val="22"/>
      <w:szCs w:val="22"/>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5804D7"/>
    <w:pPr>
      <w:autoSpaceDE w:val="0"/>
      <w:autoSpaceDN w:val="0"/>
      <w:adjustRightInd w:val="0"/>
    </w:pPr>
    <w:rPr>
      <w:rFonts w:ascii="Arial" w:eastAsiaTheme="minorHAnsi" w:hAnsi="Arial" w:cs="Arial"/>
      <w:color w:val="000000"/>
      <w:sz w:val="24"/>
      <w:szCs w:val="24"/>
      <w:lang w:eastAsia="en-US"/>
    </w:rPr>
  </w:style>
  <w:style w:type="paragraph" w:customStyle="1" w:styleId="FSBullet">
    <w:name w:val="FS Bullet"/>
    <w:basedOn w:val="Normal"/>
    <w:next w:val="Normal"/>
    <w:qFormat/>
    <w:rsid w:val="005E46C3"/>
    <w:pPr>
      <w:widowControl/>
      <w:numPr>
        <w:numId w:val="6"/>
      </w:numPr>
    </w:pPr>
    <w:rPr>
      <w:szCs w:val="20"/>
      <w:lang w:bidi="ar-SA"/>
    </w:rPr>
  </w:style>
  <w:style w:type="paragraph" w:customStyle="1" w:styleId="FSTableFigureHeading">
    <w:name w:val="FSTable/Figure Heading"/>
    <w:basedOn w:val="Normal"/>
    <w:uiPriority w:val="7"/>
    <w:qFormat/>
    <w:rsid w:val="00AD01FD"/>
    <w:pPr>
      <w:widowControl/>
      <w:spacing w:before="120" w:after="120"/>
      <w:ind w:left="1134" w:hanging="1134"/>
    </w:pPr>
    <w:rPr>
      <w:rFonts w:eastAsiaTheme="minorHAnsi" w:cstheme="minorBidi"/>
      <w:b/>
      <w:i/>
      <w:szCs w:val="22"/>
      <w:lang w:bidi="ar-SA"/>
    </w:rPr>
  </w:style>
  <w:style w:type="paragraph" w:styleId="BodyText">
    <w:name w:val="Body Text"/>
    <w:basedOn w:val="Normal"/>
    <w:link w:val="BodyTextChar"/>
    <w:uiPriority w:val="99"/>
    <w:rsid w:val="00F55798"/>
    <w:pPr>
      <w:widowControl/>
      <w:spacing w:before="180" w:after="120" w:line="280" w:lineRule="atLeast"/>
    </w:pPr>
    <w:rPr>
      <w:sz w:val="20"/>
      <w:szCs w:val="20"/>
      <w:lang w:val="en-AU" w:eastAsia="en-AU" w:bidi="ar-SA"/>
    </w:rPr>
  </w:style>
  <w:style w:type="character" w:customStyle="1" w:styleId="BodyTextChar">
    <w:name w:val="Body Text Char"/>
    <w:basedOn w:val="DefaultParagraphFont"/>
    <w:link w:val="BodyText"/>
    <w:uiPriority w:val="99"/>
    <w:rsid w:val="00F55798"/>
    <w:rPr>
      <w:rFonts w:ascii="Arial" w:hAnsi="Arial"/>
      <w:lang w:val="en-AU" w:eastAsia="en-AU"/>
    </w:rPr>
  </w:style>
  <w:style w:type="paragraph" w:customStyle="1" w:styleId="ISCbulleted">
    <w:name w:val="ISC bulleted"/>
    <w:basedOn w:val="Normal"/>
    <w:rsid w:val="00DA5249"/>
    <w:pPr>
      <w:widowControl/>
      <w:tabs>
        <w:tab w:val="num" w:pos="360"/>
      </w:tabs>
      <w:spacing w:after="120"/>
      <w:ind w:left="360" w:hanging="360"/>
    </w:pPr>
    <w:rPr>
      <w:rFonts w:ascii="Times New Roman" w:eastAsiaTheme="minorHAnsi" w:hAnsi="Times New Roman"/>
      <w:sz w:val="24"/>
      <w:lang w:eastAsia="en-AU" w:bidi="ar-SA"/>
    </w:rPr>
  </w:style>
  <w:style w:type="table" w:customStyle="1" w:styleId="TableGrid5">
    <w:name w:val="Table Grid5"/>
    <w:basedOn w:val="TableNormal"/>
    <w:next w:val="TableGrid"/>
    <w:uiPriority w:val="59"/>
    <w:rsid w:val="00384D9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C4369"/>
    <w:rPr>
      <w:rFonts w:ascii="Times New Roman" w:hAnsi="Times New Roman" w:cstheme="minorBidi"/>
    </w:rPr>
  </w:style>
  <w:style w:type="paragraph" w:styleId="NoSpacing">
    <w:name w:val="No Spacing"/>
    <w:link w:val="NoSpacingChar"/>
    <w:uiPriority w:val="1"/>
    <w:qFormat/>
    <w:rsid w:val="00DC4369"/>
    <w:pPr>
      <w:widowControl w:val="0"/>
    </w:pPr>
    <w:rPr>
      <w:rFonts w:ascii="Times New Roman" w:hAnsi="Times New Roman" w:cstheme="minorBidi"/>
    </w:rPr>
  </w:style>
  <w:style w:type="paragraph" w:customStyle="1" w:styleId="CitaviBibliographyEntry">
    <w:name w:val="Citavi Bibliography Entry"/>
    <w:basedOn w:val="Normal"/>
    <w:link w:val="CitaviBibliographyEntryChar"/>
    <w:rsid w:val="000B261E"/>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0B261E"/>
    <w:rPr>
      <w:rFonts w:ascii="Arial" w:eastAsiaTheme="minorHAnsi" w:hAnsi="Arial" w:cstheme="minorBidi"/>
      <w:sz w:val="22"/>
      <w:szCs w:val="22"/>
      <w:lang w:eastAsia="en-US"/>
    </w:rPr>
  </w:style>
  <w:style w:type="character" w:customStyle="1" w:styleId="ListParagraphChar">
    <w:name w:val="List Paragraph Char"/>
    <w:aliases w:val="List Paragraph1 Char,List Paragraph11 Char,L Char,Bulleted Para Char,NFP GP Bulleted List Char,FooterText Char,numbered Char,Paragraphe de liste1 Char,Bulletr List Paragraph Char,列出段落 Char,列出段落1 Char,List Paragraph2 Char,リスト段落1 Char"/>
    <w:link w:val="ListParagraph"/>
    <w:uiPriority w:val="34"/>
    <w:qFormat/>
    <w:locked/>
    <w:rsid w:val="003A5B84"/>
    <w:rPr>
      <w:rFonts w:ascii="Arial" w:hAnsi="Arial"/>
      <w:sz w:val="22"/>
      <w:szCs w:val="24"/>
      <w:lang w:eastAsia="en-US" w:bidi="en-US"/>
    </w:rPr>
  </w:style>
  <w:style w:type="paragraph" w:styleId="NormalWeb">
    <w:name w:val="Normal (Web)"/>
    <w:basedOn w:val="Normal"/>
    <w:uiPriority w:val="99"/>
    <w:semiHidden/>
    <w:unhideWhenUsed/>
    <w:rsid w:val="00DA39CD"/>
    <w:pPr>
      <w:widowControl/>
      <w:spacing w:before="100" w:beforeAutospacing="1" w:after="100" w:afterAutospacing="1"/>
    </w:pPr>
    <w:rPr>
      <w:rFonts w:ascii="Times New Roman" w:eastAsiaTheme="minorHAnsi" w:hAnsi="Times New Roman"/>
      <w:sz w:val="24"/>
      <w:lang w:eastAsia="en-GB" w:bidi="ar-SA"/>
    </w:rPr>
  </w:style>
  <w:style w:type="paragraph" w:styleId="EndnoteText">
    <w:name w:val="endnote text"/>
    <w:basedOn w:val="Normal"/>
    <w:link w:val="EndnoteTextChar"/>
    <w:semiHidden/>
    <w:unhideWhenUsed/>
    <w:rsid w:val="00DF47AA"/>
    <w:rPr>
      <w:sz w:val="20"/>
      <w:szCs w:val="20"/>
    </w:rPr>
  </w:style>
  <w:style w:type="character" w:customStyle="1" w:styleId="EndnoteTextChar">
    <w:name w:val="Endnote Text Char"/>
    <w:basedOn w:val="DefaultParagraphFont"/>
    <w:link w:val="EndnoteText"/>
    <w:semiHidden/>
    <w:rsid w:val="00DF47AA"/>
    <w:rPr>
      <w:rFonts w:ascii="Arial" w:hAnsi="Arial"/>
      <w:lang w:eastAsia="en-US" w:bidi="en-US"/>
    </w:rPr>
  </w:style>
  <w:style w:type="character" w:styleId="EndnoteReference">
    <w:name w:val="endnote reference"/>
    <w:basedOn w:val="DefaultParagraphFont"/>
    <w:semiHidden/>
    <w:unhideWhenUsed/>
    <w:rsid w:val="00DF4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750">
      <w:bodyDiv w:val="1"/>
      <w:marLeft w:val="0"/>
      <w:marRight w:val="0"/>
      <w:marTop w:val="0"/>
      <w:marBottom w:val="0"/>
      <w:divBdr>
        <w:top w:val="none" w:sz="0" w:space="0" w:color="auto"/>
        <w:left w:val="none" w:sz="0" w:space="0" w:color="auto"/>
        <w:bottom w:val="none" w:sz="0" w:space="0" w:color="auto"/>
        <w:right w:val="none" w:sz="0" w:space="0" w:color="auto"/>
      </w:divBdr>
    </w:div>
    <w:div w:id="84501541">
      <w:bodyDiv w:val="1"/>
      <w:marLeft w:val="0"/>
      <w:marRight w:val="0"/>
      <w:marTop w:val="0"/>
      <w:marBottom w:val="0"/>
      <w:divBdr>
        <w:top w:val="none" w:sz="0" w:space="0" w:color="auto"/>
        <w:left w:val="none" w:sz="0" w:space="0" w:color="auto"/>
        <w:bottom w:val="none" w:sz="0" w:space="0" w:color="auto"/>
        <w:right w:val="none" w:sz="0" w:space="0" w:color="auto"/>
      </w:divBdr>
    </w:div>
    <w:div w:id="183642677">
      <w:bodyDiv w:val="1"/>
      <w:marLeft w:val="0"/>
      <w:marRight w:val="0"/>
      <w:marTop w:val="0"/>
      <w:marBottom w:val="0"/>
      <w:divBdr>
        <w:top w:val="none" w:sz="0" w:space="0" w:color="auto"/>
        <w:left w:val="none" w:sz="0" w:space="0" w:color="auto"/>
        <w:bottom w:val="none" w:sz="0" w:space="0" w:color="auto"/>
        <w:right w:val="none" w:sz="0" w:space="0" w:color="auto"/>
      </w:divBdr>
    </w:div>
    <w:div w:id="189924624">
      <w:bodyDiv w:val="1"/>
      <w:marLeft w:val="0"/>
      <w:marRight w:val="0"/>
      <w:marTop w:val="0"/>
      <w:marBottom w:val="0"/>
      <w:divBdr>
        <w:top w:val="none" w:sz="0" w:space="0" w:color="auto"/>
        <w:left w:val="none" w:sz="0" w:space="0" w:color="auto"/>
        <w:bottom w:val="none" w:sz="0" w:space="0" w:color="auto"/>
        <w:right w:val="none" w:sz="0" w:space="0" w:color="auto"/>
      </w:divBdr>
    </w:div>
    <w:div w:id="215747214">
      <w:bodyDiv w:val="1"/>
      <w:marLeft w:val="0"/>
      <w:marRight w:val="0"/>
      <w:marTop w:val="0"/>
      <w:marBottom w:val="0"/>
      <w:divBdr>
        <w:top w:val="none" w:sz="0" w:space="0" w:color="auto"/>
        <w:left w:val="none" w:sz="0" w:space="0" w:color="auto"/>
        <w:bottom w:val="none" w:sz="0" w:space="0" w:color="auto"/>
        <w:right w:val="none" w:sz="0" w:space="0" w:color="auto"/>
      </w:divBdr>
    </w:div>
    <w:div w:id="293021413">
      <w:bodyDiv w:val="1"/>
      <w:marLeft w:val="0"/>
      <w:marRight w:val="0"/>
      <w:marTop w:val="0"/>
      <w:marBottom w:val="0"/>
      <w:divBdr>
        <w:top w:val="none" w:sz="0" w:space="0" w:color="auto"/>
        <w:left w:val="none" w:sz="0" w:space="0" w:color="auto"/>
        <w:bottom w:val="none" w:sz="0" w:space="0" w:color="auto"/>
        <w:right w:val="none" w:sz="0" w:space="0" w:color="auto"/>
      </w:divBdr>
    </w:div>
    <w:div w:id="338972187">
      <w:bodyDiv w:val="1"/>
      <w:marLeft w:val="0"/>
      <w:marRight w:val="0"/>
      <w:marTop w:val="0"/>
      <w:marBottom w:val="0"/>
      <w:divBdr>
        <w:top w:val="none" w:sz="0" w:space="0" w:color="auto"/>
        <w:left w:val="none" w:sz="0" w:space="0" w:color="auto"/>
        <w:bottom w:val="none" w:sz="0" w:space="0" w:color="auto"/>
        <w:right w:val="none" w:sz="0" w:space="0" w:color="auto"/>
      </w:divBdr>
    </w:div>
    <w:div w:id="349529367">
      <w:bodyDiv w:val="1"/>
      <w:marLeft w:val="0"/>
      <w:marRight w:val="0"/>
      <w:marTop w:val="0"/>
      <w:marBottom w:val="0"/>
      <w:divBdr>
        <w:top w:val="none" w:sz="0" w:space="0" w:color="auto"/>
        <w:left w:val="none" w:sz="0" w:space="0" w:color="auto"/>
        <w:bottom w:val="none" w:sz="0" w:space="0" w:color="auto"/>
        <w:right w:val="none" w:sz="0" w:space="0" w:color="auto"/>
      </w:divBdr>
    </w:div>
    <w:div w:id="390158942">
      <w:bodyDiv w:val="1"/>
      <w:marLeft w:val="0"/>
      <w:marRight w:val="0"/>
      <w:marTop w:val="0"/>
      <w:marBottom w:val="0"/>
      <w:divBdr>
        <w:top w:val="none" w:sz="0" w:space="0" w:color="auto"/>
        <w:left w:val="none" w:sz="0" w:space="0" w:color="auto"/>
        <w:bottom w:val="none" w:sz="0" w:space="0" w:color="auto"/>
        <w:right w:val="none" w:sz="0" w:space="0" w:color="auto"/>
      </w:divBdr>
    </w:div>
    <w:div w:id="414211558">
      <w:bodyDiv w:val="1"/>
      <w:marLeft w:val="0"/>
      <w:marRight w:val="0"/>
      <w:marTop w:val="0"/>
      <w:marBottom w:val="0"/>
      <w:divBdr>
        <w:top w:val="none" w:sz="0" w:space="0" w:color="auto"/>
        <w:left w:val="none" w:sz="0" w:space="0" w:color="auto"/>
        <w:bottom w:val="none" w:sz="0" w:space="0" w:color="auto"/>
        <w:right w:val="none" w:sz="0" w:space="0" w:color="auto"/>
      </w:divBdr>
    </w:div>
    <w:div w:id="424307070">
      <w:bodyDiv w:val="1"/>
      <w:marLeft w:val="0"/>
      <w:marRight w:val="0"/>
      <w:marTop w:val="0"/>
      <w:marBottom w:val="0"/>
      <w:divBdr>
        <w:top w:val="none" w:sz="0" w:space="0" w:color="auto"/>
        <w:left w:val="none" w:sz="0" w:space="0" w:color="auto"/>
        <w:bottom w:val="none" w:sz="0" w:space="0" w:color="auto"/>
        <w:right w:val="none" w:sz="0" w:space="0" w:color="auto"/>
      </w:divBdr>
    </w:div>
    <w:div w:id="510948765">
      <w:bodyDiv w:val="1"/>
      <w:marLeft w:val="0"/>
      <w:marRight w:val="0"/>
      <w:marTop w:val="0"/>
      <w:marBottom w:val="0"/>
      <w:divBdr>
        <w:top w:val="none" w:sz="0" w:space="0" w:color="auto"/>
        <w:left w:val="none" w:sz="0" w:space="0" w:color="auto"/>
        <w:bottom w:val="none" w:sz="0" w:space="0" w:color="auto"/>
        <w:right w:val="none" w:sz="0" w:space="0" w:color="auto"/>
      </w:divBdr>
    </w:div>
    <w:div w:id="51492128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99214753">
      <w:bodyDiv w:val="1"/>
      <w:marLeft w:val="0"/>
      <w:marRight w:val="0"/>
      <w:marTop w:val="0"/>
      <w:marBottom w:val="0"/>
      <w:divBdr>
        <w:top w:val="none" w:sz="0" w:space="0" w:color="auto"/>
        <w:left w:val="none" w:sz="0" w:space="0" w:color="auto"/>
        <w:bottom w:val="none" w:sz="0" w:space="0" w:color="auto"/>
        <w:right w:val="none" w:sz="0" w:space="0" w:color="auto"/>
      </w:divBdr>
    </w:div>
    <w:div w:id="656879959">
      <w:bodyDiv w:val="1"/>
      <w:marLeft w:val="0"/>
      <w:marRight w:val="0"/>
      <w:marTop w:val="0"/>
      <w:marBottom w:val="0"/>
      <w:divBdr>
        <w:top w:val="none" w:sz="0" w:space="0" w:color="auto"/>
        <w:left w:val="none" w:sz="0" w:space="0" w:color="auto"/>
        <w:bottom w:val="none" w:sz="0" w:space="0" w:color="auto"/>
        <w:right w:val="none" w:sz="0" w:space="0" w:color="auto"/>
      </w:divBdr>
    </w:div>
    <w:div w:id="672729443">
      <w:bodyDiv w:val="1"/>
      <w:marLeft w:val="0"/>
      <w:marRight w:val="0"/>
      <w:marTop w:val="0"/>
      <w:marBottom w:val="0"/>
      <w:divBdr>
        <w:top w:val="none" w:sz="0" w:space="0" w:color="auto"/>
        <w:left w:val="none" w:sz="0" w:space="0" w:color="auto"/>
        <w:bottom w:val="none" w:sz="0" w:space="0" w:color="auto"/>
        <w:right w:val="none" w:sz="0" w:space="0" w:color="auto"/>
      </w:divBdr>
    </w:div>
    <w:div w:id="723067862">
      <w:bodyDiv w:val="1"/>
      <w:marLeft w:val="0"/>
      <w:marRight w:val="0"/>
      <w:marTop w:val="0"/>
      <w:marBottom w:val="0"/>
      <w:divBdr>
        <w:top w:val="none" w:sz="0" w:space="0" w:color="auto"/>
        <w:left w:val="none" w:sz="0" w:space="0" w:color="auto"/>
        <w:bottom w:val="none" w:sz="0" w:space="0" w:color="auto"/>
        <w:right w:val="none" w:sz="0" w:space="0" w:color="auto"/>
      </w:divBdr>
    </w:div>
    <w:div w:id="727344045">
      <w:bodyDiv w:val="1"/>
      <w:marLeft w:val="0"/>
      <w:marRight w:val="0"/>
      <w:marTop w:val="0"/>
      <w:marBottom w:val="0"/>
      <w:divBdr>
        <w:top w:val="none" w:sz="0" w:space="0" w:color="auto"/>
        <w:left w:val="none" w:sz="0" w:space="0" w:color="auto"/>
        <w:bottom w:val="none" w:sz="0" w:space="0" w:color="auto"/>
        <w:right w:val="none" w:sz="0" w:space="0" w:color="auto"/>
      </w:divBdr>
    </w:div>
    <w:div w:id="771820496">
      <w:bodyDiv w:val="1"/>
      <w:marLeft w:val="0"/>
      <w:marRight w:val="0"/>
      <w:marTop w:val="0"/>
      <w:marBottom w:val="0"/>
      <w:divBdr>
        <w:top w:val="none" w:sz="0" w:space="0" w:color="auto"/>
        <w:left w:val="none" w:sz="0" w:space="0" w:color="auto"/>
        <w:bottom w:val="none" w:sz="0" w:space="0" w:color="auto"/>
        <w:right w:val="none" w:sz="0" w:space="0" w:color="auto"/>
      </w:divBdr>
    </w:div>
    <w:div w:id="798959674">
      <w:bodyDiv w:val="1"/>
      <w:marLeft w:val="0"/>
      <w:marRight w:val="0"/>
      <w:marTop w:val="0"/>
      <w:marBottom w:val="0"/>
      <w:divBdr>
        <w:top w:val="none" w:sz="0" w:space="0" w:color="auto"/>
        <w:left w:val="none" w:sz="0" w:space="0" w:color="auto"/>
        <w:bottom w:val="none" w:sz="0" w:space="0" w:color="auto"/>
        <w:right w:val="none" w:sz="0" w:space="0" w:color="auto"/>
      </w:divBdr>
    </w:div>
    <w:div w:id="811024153">
      <w:bodyDiv w:val="1"/>
      <w:marLeft w:val="0"/>
      <w:marRight w:val="0"/>
      <w:marTop w:val="0"/>
      <w:marBottom w:val="0"/>
      <w:divBdr>
        <w:top w:val="none" w:sz="0" w:space="0" w:color="auto"/>
        <w:left w:val="none" w:sz="0" w:space="0" w:color="auto"/>
        <w:bottom w:val="none" w:sz="0" w:space="0" w:color="auto"/>
        <w:right w:val="none" w:sz="0" w:space="0" w:color="auto"/>
      </w:divBdr>
    </w:div>
    <w:div w:id="827332490">
      <w:bodyDiv w:val="1"/>
      <w:marLeft w:val="0"/>
      <w:marRight w:val="0"/>
      <w:marTop w:val="0"/>
      <w:marBottom w:val="0"/>
      <w:divBdr>
        <w:top w:val="none" w:sz="0" w:space="0" w:color="auto"/>
        <w:left w:val="none" w:sz="0" w:space="0" w:color="auto"/>
        <w:bottom w:val="none" w:sz="0" w:space="0" w:color="auto"/>
        <w:right w:val="none" w:sz="0" w:space="0" w:color="auto"/>
      </w:divBdr>
    </w:div>
    <w:div w:id="831405998">
      <w:bodyDiv w:val="1"/>
      <w:marLeft w:val="0"/>
      <w:marRight w:val="0"/>
      <w:marTop w:val="0"/>
      <w:marBottom w:val="0"/>
      <w:divBdr>
        <w:top w:val="none" w:sz="0" w:space="0" w:color="auto"/>
        <w:left w:val="none" w:sz="0" w:space="0" w:color="auto"/>
        <w:bottom w:val="none" w:sz="0" w:space="0" w:color="auto"/>
        <w:right w:val="none" w:sz="0" w:space="0" w:color="auto"/>
      </w:divBdr>
    </w:div>
    <w:div w:id="833685809">
      <w:bodyDiv w:val="1"/>
      <w:marLeft w:val="0"/>
      <w:marRight w:val="0"/>
      <w:marTop w:val="0"/>
      <w:marBottom w:val="0"/>
      <w:divBdr>
        <w:top w:val="none" w:sz="0" w:space="0" w:color="auto"/>
        <w:left w:val="none" w:sz="0" w:space="0" w:color="auto"/>
        <w:bottom w:val="none" w:sz="0" w:space="0" w:color="auto"/>
        <w:right w:val="none" w:sz="0" w:space="0" w:color="auto"/>
      </w:divBdr>
    </w:div>
    <w:div w:id="885483005">
      <w:bodyDiv w:val="1"/>
      <w:marLeft w:val="0"/>
      <w:marRight w:val="0"/>
      <w:marTop w:val="0"/>
      <w:marBottom w:val="0"/>
      <w:divBdr>
        <w:top w:val="none" w:sz="0" w:space="0" w:color="auto"/>
        <w:left w:val="none" w:sz="0" w:space="0" w:color="auto"/>
        <w:bottom w:val="none" w:sz="0" w:space="0" w:color="auto"/>
        <w:right w:val="none" w:sz="0" w:space="0" w:color="auto"/>
      </w:divBdr>
    </w:div>
    <w:div w:id="887299455">
      <w:bodyDiv w:val="1"/>
      <w:marLeft w:val="0"/>
      <w:marRight w:val="0"/>
      <w:marTop w:val="0"/>
      <w:marBottom w:val="0"/>
      <w:divBdr>
        <w:top w:val="none" w:sz="0" w:space="0" w:color="auto"/>
        <w:left w:val="none" w:sz="0" w:space="0" w:color="auto"/>
        <w:bottom w:val="none" w:sz="0" w:space="0" w:color="auto"/>
        <w:right w:val="none" w:sz="0" w:space="0" w:color="auto"/>
      </w:divBdr>
    </w:div>
    <w:div w:id="919369275">
      <w:bodyDiv w:val="1"/>
      <w:marLeft w:val="0"/>
      <w:marRight w:val="0"/>
      <w:marTop w:val="0"/>
      <w:marBottom w:val="0"/>
      <w:divBdr>
        <w:top w:val="none" w:sz="0" w:space="0" w:color="auto"/>
        <w:left w:val="none" w:sz="0" w:space="0" w:color="auto"/>
        <w:bottom w:val="none" w:sz="0" w:space="0" w:color="auto"/>
        <w:right w:val="none" w:sz="0" w:space="0" w:color="auto"/>
      </w:divBdr>
    </w:div>
    <w:div w:id="965426057">
      <w:bodyDiv w:val="1"/>
      <w:marLeft w:val="0"/>
      <w:marRight w:val="0"/>
      <w:marTop w:val="0"/>
      <w:marBottom w:val="0"/>
      <w:divBdr>
        <w:top w:val="none" w:sz="0" w:space="0" w:color="auto"/>
        <w:left w:val="none" w:sz="0" w:space="0" w:color="auto"/>
        <w:bottom w:val="none" w:sz="0" w:space="0" w:color="auto"/>
        <w:right w:val="none" w:sz="0" w:space="0" w:color="auto"/>
      </w:divBdr>
    </w:div>
    <w:div w:id="976959273">
      <w:bodyDiv w:val="1"/>
      <w:marLeft w:val="0"/>
      <w:marRight w:val="0"/>
      <w:marTop w:val="0"/>
      <w:marBottom w:val="0"/>
      <w:divBdr>
        <w:top w:val="none" w:sz="0" w:space="0" w:color="auto"/>
        <w:left w:val="none" w:sz="0" w:space="0" w:color="auto"/>
        <w:bottom w:val="none" w:sz="0" w:space="0" w:color="auto"/>
        <w:right w:val="none" w:sz="0" w:space="0" w:color="auto"/>
      </w:divBdr>
    </w:div>
    <w:div w:id="1017998914">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112823414">
      <w:bodyDiv w:val="1"/>
      <w:marLeft w:val="0"/>
      <w:marRight w:val="0"/>
      <w:marTop w:val="0"/>
      <w:marBottom w:val="0"/>
      <w:divBdr>
        <w:top w:val="none" w:sz="0" w:space="0" w:color="auto"/>
        <w:left w:val="none" w:sz="0" w:space="0" w:color="auto"/>
        <w:bottom w:val="none" w:sz="0" w:space="0" w:color="auto"/>
        <w:right w:val="none" w:sz="0" w:space="0" w:color="auto"/>
      </w:divBdr>
    </w:div>
    <w:div w:id="1122768175">
      <w:bodyDiv w:val="1"/>
      <w:marLeft w:val="0"/>
      <w:marRight w:val="0"/>
      <w:marTop w:val="0"/>
      <w:marBottom w:val="0"/>
      <w:divBdr>
        <w:top w:val="none" w:sz="0" w:space="0" w:color="auto"/>
        <w:left w:val="none" w:sz="0" w:space="0" w:color="auto"/>
        <w:bottom w:val="none" w:sz="0" w:space="0" w:color="auto"/>
        <w:right w:val="none" w:sz="0" w:space="0" w:color="auto"/>
      </w:divBdr>
    </w:div>
    <w:div w:id="1260218013">
      <w:bodyDiv w:val="1"/>
      <w:marLeft w:val="0"/>
      <w:marRight w:val="0"/>
      <w:marTop w:val="0"/>
      <w:marBottom w:val="0"/>
      <w:divBdr>
        <w:top w:val="none" w:sz="0" w:space="0" w:color="auto"/>
        <w:left w:val="none" w:sz="0" w:space="0" w:color="auto"/>
        <w:bottom w:val="none" w:sz="0" w:space="0" w:color="auto"/>
        <w:right w:val="none" w:sz="0" w:space="0" w:color="auto"/>
      </w:divBdr>
    </w:div>
    <w:div w:id="1311013909">
      <w:bodyDiv w:val="1"/>
      <w:marLeft w:val="0"/>
      <w:marRight w:val="0"/>
      <w:marTop w:val="0"/>
      <w:marBottom w:val="0"/>
      <w:divBdr>
        <w:top w:val="none" w:sz="0" w:space="0" w:color="auto"/>
        <w:left w:val="none" w:sz="0" w:space="0" w:color="auto"/>
        <w:bottom w:val="none" w:sz="0" w:space="0" w:color="auto"/>
        <w:right w:val="none" w:sz="0" w:space="0" w:color="auto"/>
      </w:divBdr>
    </w:div>
    <w:div w:id="1393043262">
      <w:bodyDiv w:val="1"/>
      <w:marLeft w:val="0"/>
      <w:marRight w:val="0"/>
      <w:marTop w:val="0"/>
      <w:marBottom w:val="0"/>
      <w:divBdr>
        <w:top w:val="none" w:sz="0" w:space="0" w:color="auto"/>
        <w:left w:val="none" w:sz="0" w:space="0" w:color="auto"/>
        <w:bottom w:val="none" w:sz="0" w:space="0" w:color="auto"/>
        <w:right w:val="none" w:sz="0" w:space="0" w:color="auto"/>
      </w:divBdr>
    </w:div>
    <w:div w:id="1420253658">
      <w:bodyDiv w:val="1"/>
      <w:marLeft w:val="0"/>
      <w:marRight w:val="0"/>
      <w:marTop w:val="0"/>
      <w:marBottom w:val="0"/>
      <w:divBdr>
        <w:top w:val="none" w:sz="0" w:space="0" w:color="auto"/>
        <w:left w:val="none" w:sz="0" w:space="0" w:color="auto"/>
        <w:bottom w:val="none" w:sz="0" w:space="0" w:color="auto"/>
        <w:right w:val="none" w:sz="0" w:space="0" w:color="auto"/>
      </w:divBdr>
    </w:div>
    <w:div w:id="1430813172">
      <w:bodyDiv w:val="1"/>
      <w:marLeft w:val="0"/>
      <w:marRight w:val="0"/>
      <w:marTop w:val="0"/>
      <w:marBottom w:val="0"/>
      <w:divBdr>
        <w:top w:val="none" w:sz="0" w:space="0" w:color="auto"/>
        <w:left w:val="none" w:sz="0" w:space="0" w:color="auto"/>
        <w:bottom w:val="none" w:sz="0" w:space="0" w:color="auto"/>
        <w:right w:val="none" w:sz="0" w:space="0" w:color="auto"/>
      </w:divBdr>
    </w:div>
    <w:div w:id="1522550982">
      <w:bodyDiv w:val="1"/>
      <w:marLeft w:val="0"/>
      <w:marRight w:val="0"/>
      <w:marTop w:val="0"/>
      <w:marBottom w:val="0"/>
      <w:divBdr>
        <w:top w:val="none" w:sz="0" w:space="0" w:color="auto"/>
        <w:left w:val="none" w:sz="0" w:space="0" w:color="auto"/>
        <w:bottom w:val="none" w:sz="0" w:space="0" w:color="auto"/>
        <w:right w:val="none" w:sz="0" w:space="0" w:color="auto"/>
      </w:divBdr>
    </w:div>
    <w:div w:id="160026059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3536156">
      <w:bodyDiv w:val="1"/>
      <w:marLeft w:val="0"/>
      <w:marRight w:val="0"/>
      <w:marTop w:val="0"/>
      <w:marBottom w:val="0"/>
      <w:divBdr>
        <w:top w:val="none" w:sz="0" w:space="0" w:color="auto"/>
        <w:left w:val="none" w:sz="0" w:space="0" w:color="auto"/>
        <w:bottom w:val="none" w:sz="0" w:space="0" w:color="auto"/>
        <w:right w:val="none" w:sz="0" w:space="0" w:color="auto"/>
      </w:divBdr>
    </w:div>
    <w:div w:id="1651716887">
      <w:bodyDiv w:val="1"/>
      <w:marLeft w:val="0"/>
      <w:marRight w:val="0"/>
      <w:marTop w:val="0"/>
      <w:marBottom w:val="0"/>
      <w:divBdr>
        <w:top w:val="none" w:sz="0" w:space="0" w:color="auto"/>
        <w:left w:val="none" w:sz="0" w:space="0" w:color="auto"/>
        <w:bottom w:val="none" w:sz="0" w:space="0" w:color="auto"/>
        <w:right w:val="none" w:sz="0" w:space="0" w:color="auto"/>
      </w:divBdr>
    </w:div>
    <w:div w:id="1684283879">
      <w:bodyDiv w:val="1"/>
      <w:marLeft w:val="0"/>
      <w:marRight w:val="0"/>
      <w:marTop w:val="0"/>
      <w:marBottom w:val="0"/>
      <w:divBdr>
        <w:top w:val="none" w:sz="0" w:space="0" w:color="auto"/>
        <w:left w:val="none" w:sz="0" w:space="0" w:color="auto"/>
        <w:bottom w:val="none" w:sz="0" w:space="0" w:color="auto"/>
        <w:right w:val="none" w:sz="0" w:space="0" w:color="auto"/>
      </w:divBdr>
    </w:div>
    <w:div w:id="1688746735">
      <w:bodyDiv w:val="1"/>
      <w:marLeft w:val="0"/>
      <w:marRight w:val="0"/>
      <w:marTop w:val="0"/>
      <w:marBottom w:val="0"/>
      <w:divBdr>
        <w:top w:val="none" w:sz="0" w:space="0" w:color="auto"/>
        <w:left w:val="none" w:sz="0" w:space="0" w:color="auto"/>
        <w:bottom w:val="none" w:sz="0" w:space="0" w:color="auto"/>
        <w:right w:val="none" w:sz="0" w:space="0" w:color="auto"/>
      </w:divBdr>
    </w:div>
    <w:div w:id="1738548142">
      <w:bodyDiv w:val="1"/>
      <w:marLeft w:val="0"/>
      <w:marRight w:val="0"/>
      <w:marTop w:val="0"/>
      <w:marBottom w:val="0"/>
      <w:divBdr>
        <w:top w:val="none" w:sz="0" w:space="0" w:color="auto"/>
        <w:left w:val="none" w:sz="0" w:space="0" w:color="auto"/>
        <w:bottom w:val="none" w:sz="0" w:space="0" w:color="auto"/>
        <w:right w:val="none" w:sz="0" w:space="0" w:color="auto"/>
      </w:divBdr>
    </w:div>
    <w:div w:id="1814130260">
      <w:bodyDiv w:val="1"/>
      <w:marLeft w:val="0"/>
      <w:marRight w:val="0"/>
      <w:marTop w:val="0"/>
      <w:marBottom w:val="0"/>
      <w:divBdr>
        <w:top w:val="none" w:sz="0" w:space="0" w:color="auto"/>
        <w:left w:val="none" w:sz="0" w:space="0" w:color="auto"/>
        <w:bottom w:val="none" w:sz="0" w:space="0" w:color="auto"/>
        <w:right w:val="none" w:sz="0" w:space="0" w:color="auto"/>
      </w:divBdr>
    </w:div>
    <w:div w:id="1884363522">
      <w:bodyDiv w:val="1"/>
      <w:marLeft w:val="0"/>
      <w:marRight w:val="0"/>
      <w:marTop w:val="0"/>
      <w:marBottom w:val="0"/>
      <w:divBdr>
        <w:top w:val="none" w:sz="0" w:space="0" w:color="auto"/>
        <w:left w:val="none" w:sz="0" w:space="0" w:color="auto"/>
        <w:bottom w:val="none" w:sz="0" w:space="0" w:color="auto"/>
        <w:right w:val="none" w:sz="0" w:space="0" w:color="auto"/>
      </w:divBdr>
    </w:div>
    <w:div w:id="1908685797">
      <w:bodyDiv w:val="1"/>
      <w:marLeft w:val="0"/>
      <w:marRight w:val="0"/>
      <w:marTop w:val="0"/>
      <w:marBottom w:val="0"/>
      <w:divBdr>
        <w:top w:val="none" w:sz="0" w:space="0" w:color="auto"/>
        <w:left w:val="none" w:sz="0" w:space="0" w:color="auto"/>
        <w:bottom w:val="none" w:sz="0" w:space="0" w:color="auto"/>
        <w:right w:val="none" w:sz="0" w:space="0" w:color="auto"/>
      </w:divBdr>
    </w:div>
    <w:div w:id="1958681021">
      <w:bodyDiv w:val="1"/>
      <w:marLeft w:val="0"/>
      <w:marRight w:val="0"/>
      <w:marTop w:val="0"/>
      <w:marBottom w:val="0"/>
      <w:divBdr>
        <w:top w:val="none" w:sz="0" w:space="0" w:color="auto"/>
        <w:left w:val="none" w:sz="0" w:space="0" w:color="auto"/>
        <w:bottom w:val="none" w:sz="0" w:space="0" w:color="auto"/>
        <w:right w:val="none" w:sz="0" w:space="0" w:color="auto"/>
      </w:divBdr>
    </w:div>
    <w:div w:id="1997033631">
      <w:bodyDiv w:val="1"/>
      <w:marLeft w:val="0"/>
      <w:marRight w:val="0"/>
      <w:marTop w:val="0"/>
      <w:marBottom w:val="0"/>
      <w:divBdr>
        <w:top w:val="none" w:sz="0" w:space="0" w:color="auto"/>
        <w:left w:val="none" w:sz="0" w:space="0" w:color="auto"/>
        <w:bottom w:val="none" w:sz="0" w:space="0" w:color="auto"/>
        <w:right w:val="none" w:sz="0" w:space="0" w:color="auto"/>
      </w:divBdr>
    </w:div>
    <w:div w:id="2001688990">
      <w:bodyDiv w:val="1"/>
      <w:marLeft w:val="0"/>
      <w:marRight w:val="0"/>
      <w:marTop w:val="0"/>
      <w:marBottom w:val="0"/>
      <w:divBdr>
        <w:top w:val="none" w:sz="0" w:space="0" w:color="auto"/>
        <w:left w:val="none" w:sz="0" w:space="0" w:color="auto"/>
        <w:bottom w:val="none" w:sz="0" w:space="0" w:color="auto"/>
        <w:right w:val="none" w:sz="0" w:space="0" w:color="auto"/>
      </w:divBdr>
    </w:div>
    <w:div w:id="2050377166">
      <w:bodyDiv w:val="1"/>
      <w:marLeft w:val="0"/>
      <w:marRight w:val="0"/>
      <w:marTop w:val="0"/>
      <w:marBottom w:val="0"/>
      <w:divBdr>
        <w:top w:val="none" w:sz="0" w:space="0" w:color="auto"/>
        <w:left w:val="none" w:sz="0" w:space="0" w:color="auto"/>
        <w:bottom w:val="none" w:sz="0" w:space="0" w:color="auto"/>
        <w:right w:val="none" w:sz="0" w:space="0" w:color="auto"/>
      </w:divBdr>
    </w:div>
    <w:div w:id="21122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oodstandards.gov.au/foodsafety/standards/Pages/Food-Safety-Standards-(Chapter-3).aspx" TargetMode="External"/><Relationship Id="rId26" Type="http://schemas.openxmlformats.org/officeDocument/2006/relationships/hyperlink" Target="https://www.foodstandards.gov.au/code/proposals/Documents/SD2%20FINAL_2nd%20CFS%20Micro%20RA%20P1052%20with%20appendices_ref%20unlinked.pdf" TargetMode="External"/><Relationship Id="rId39" Type="http://schemas.openxmlformats.org/officeDocument/2006/relationships/hyperlink" Target="https://foodregulation.gov.au/internet/fr/publishing.nsf/Content/ISFR" TargetMode="External"/><Relationship Id="rId21" Type="http://schemas.openxmlformats.org/officeDocument/2006/relationships/image" Target="media/image2.png"/><Relationship Id="rId34" Type="http://schemas.openxmlformats.org/officeDocument/2006/relationships/hyperlink" Target="http://www.fao.org/fao-who-codexalimentarius/sh-proxy/en/?lnk=1&amp;url=https%253A%252F%252Fworkspace.fao.org%252Fsites%252Fcodex%252FStandards%252FCXC%2B53-2003%252FCXC_053e.pdf" TargetMode="External"/><Relationship Id="rId42" Type="http://schemas.openxmlformats.org/officeDocument/2006/relationships/hyperlink" Target="https://www.foodstandards.gov.au/publications/riskanalysisfoodregulation/Pages/default.aspx" TargetMode="External"/><Relationship Id="rId47" Type="http://schemas.openxmlformats.org/officeDocument/2006/relationships/hyperlink" Target="https://dpipwe.tas.gov.au/" TargetMode="External"/><Relationship Id="rId55" Type="http://schemas.openxmlformats.org/officeDocument/2006/relationships/hyperlink" Target="https://www.dpi.nsw.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fao.org/fao-who-codexalimentarius/sh-proxy/en/?lnk=1&amp;url=https%253A%252F%252Fworkspace.fao.org%252Fsites%252Fcodex%252FStandards%252FCXC%2B53-2003%252FCXC_053e.pdf" TargetMode="External"/><Relationship Id="rId29" Type="http://schemas.openxmlformats.org/officeDocument/2006/relationships/hyperlink" Target="https://foodregulation.gov.au/internet/fr/publishing.nsf/Content/ISFR" TargetMode="External"/><Relationship Id="rId11" Type="http://schemas.openxmlformats.org/officeDocument/2006/relationships/footnotes" Target="footnotes.xml"/><Relationship Id="rId24" Type="http://schemas.openxmlformats.org/officeDocument/2006/relationships/hyperlink" Target="https://www.foodstandards.gov.au/code/proposals/Pages/proposalp1015primary5412.aspx" TargetMode="External"/><Relationship Id="rId32" Type="http://schemas.openxmlformats.org/officeDocument/2006/relationships/hyperlink" Target="https://www.foodstandards.gov.au/code/proposals/Documents/SD1%20The%20current%20food%20reg.%20non-reg..docx" TargetMode="External"/><Relationship Id="rId37" Type="http://schemas.openxmlformats.org/officeDocument/2006/relationships/hyperlink" Target="http://fsanzapps/proposals/P1052/Shared%20Documents/Working%20folder/Cost%20Benefit%20Assessment/Costings%20for%20CfS%20and%20RIS/TQA%20Final%20Report%20July%202011.pdf" TargetMode="External"/><Relationship Id="rId40" Type="http://schemas.openxmlformats.org/officeDocument/2006/relationships/hyperlink" Target="https://www.who.int/foodsafety/publications/micro/riskanalysis06.pdf" TargetMode="External"/><Relationship Id="rId45"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foodstandards.gov.au/code/proposals/Documents/SD2%20FINAL_2nd%20CFS%20Micro%20RA%20P1052%20with%20appendices_ref%20unlinked.pdf" TargetMode="External"/><Relationship Id="rId31" Type="http://schemas.openxmlformats.org/officeDocument/2006/relationships/hyperlink" Target="https://www.foodstandards.gov.au/code/proposals/Documents/SD1%20The%20current%20food%20reg.%20non-reg..doc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proposals/Pages/proposalp1015primary5412.aspx" TargetMode="External"/><Relationship Id="rId22" Type="http://schemas.openxmlformats.org/officeDocument/2006/relationships/hyperlink" Target="https://pmc.gov.au/resource-centre/regulation/regulatory-impact-analysis-guide-ministers-meetings-national-standard-setting-bodies" TargetMode="External"/><Relationship Id="rId27" Type="http://schemas.openxmlformats.org/officeDocument/2006/relationships/hyperlink" Target="https://www.foodstandards.gov.au/code/proposals/Documents/SD1%20The%20current%20food%20reg.%20non-reg..docx" TargetMode="External"/><Relationship Id="rId30" Type="http://schemas.openxmlformats.org/officeDocument/2006/relationships/hyperlink" Target="https://www.foodstandards.gov.au/code/proposals/Documents/SD1%20The%20current%20food%20reg.%20non-reg..docx" TargetMode="External"/><Relationship Id="rId35" Type="http://schemas.openxmlformats.org/officeDocument/2006/relationships/hyperlink" Target="https://www.legislation.gov.au/Details/F2012C00777" TargetMode="External"/><Relationship Id="rId43" Type="http://schemas.openxmlformats.org/officeDocument/2006/relationships/footer" Target="footer1.xml"/><Relationship Id="rId56" Type="http://schemas.openxmlformats.org/officeDocument/2006/relationships/hyperlink" Target="https://www.safefood.qld.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au/Details/F2012L00023" TargetMode="External"/><Relationship Id="rId25" Type="http://schemas.openxmlformats.org/officeDocument/2006/relationships/hyperlink" Target="https://www.foodstandards.gov.au/code/proposals/Documents/SD2%20FINAL_2nd%20CFS%20Micro%20RA%20P1052%20with%20appendices_ref%20unlinked.pdf" TargetMode="External"/><Relationship Id="rId33" Type="http://schemas.openxmlformats.org/officeDocument/2006/relationships/hyperlink" Target="https://www.foodstandards.gov.au/code/proposals/Documents/SD2%20FINAL_2nd%20CFS%20Micro%20RA%20P1052%20with%20appendices_ref%20unlinked.pdf" TargetMode="External"/><Relationship Id="rId38" Type="http://schemas.openxmlformats.org/officeDocument/2006/relationships/hyperlink" Target="https://foodregulation.gov.au/internet/fr/publishing.nsf/Content/82214CF4D400CCBFCA25800C007FED1B/$File/Forum-Policy%20Guideline-Primary%20Production%20and%20Processing%20Standards.pdf" TargetMode="External"/><Relationship Id="rId46" Type="http://schemas.openxmlformats.org/officeDocument/2006/relationships/hyperlink" Target="https://obpr.pmc.gov.au/resources/guidance-impact-analysis/regulatory-impact-analysis-guide-ministers-meetings-and-national" TargetMode="External"/><Relationship Id="rId59" Type="http://schemas.openxmlformats.org/officeDocument/2006/relationships/theme" Target="theme/theme1.xml"/><Relationship Id="rId20" Type="http://schemas.openxmlformats.org/officeDocument/2006/relationships/hyperlink" Target="https://www.foodstandards.gov.au/foodsafety/standards/Pages/Primary-Production-and-Processing-(PPP)-Standards-(Chapter-4).aspx" TargetMode="External"/><Relationship Id="rId41" Type="http://schemas.openxmlformats.org/officeDocument/2006/relationships/hyperlink" Target="https://www.foodstandards.gov.au/science/riskanalysis/riskmanagement/Pages/Risk-management.aspx" TargetMode="External"/><Relationship Id="rId54" Type="http://schemas.openxmlformats.org/officeDocument/2006/relationships/hyperlink" Target="https://dpipwe.ta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oodstandards.gov.au/code/proposals/Pages/P1052.aspx" TargetMode="External"/><Relationship Id="rId23" Type="http://schemas.openxmlformats.org/officeDocument/2006/relationships/hyperlink" Target="https://www1.health.gov.au/internet/main/publishing.nsf/Content/E829FA59A59677C0CA257D6A007D2C97/$File/Foodborne-Illness-Australia-circa-2010.pdf" TargetMode="External"/><Relationship Id="rId28" Type="http://schemas.openxmlformats.org/officeDocument/2006/relationships/hyperlink" Target="https://foodregulation.gov.au/internet/fr/publishing.nsf/content/home" TargetMode="External"/><Relationship Id="rId36" Type="http://schemas.openxmlformats.org/officeDocument/2006/relationships/hyperlink" Target="https://www.legislation.gov.au/Details/F2012C00777" TargetMode="External"/><Relationship Id="rId57" Type="http://schemas.openxmlformats.org/officeDocument/2006/relationships/hyperlink" Target="https://www.safefood.qld.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9L01006" TargetMode="External"/><Relationship Id="rId13" Type="http://schemas.openxmlformats.org/officeDocument/2006/relationships/hyperlink" Target="https://foodregulation.gov.au/internet/fr/publishing.nsf/Content/82214CF4D400CCBFCA25800C007FED1B/$File/Forum-Policy%20Guideline-Primary%20Production%20and%20Processing%20Standards.pdf" TargetMode="External"/><Relationship Id="rId3" Type="http://schemas.openxmlformats.org/officeDocument/2006/relationships/hyperlink" Target="https://farmersmarkets.org.au/" TargetMode="External"/><Relationship Id="rId7" Type="http://schemas.openxmlformats.org/officeDocument/2006/relationships/hyperlink" Target="https://www.legislation.gov.au/Series/C2004A04512" TargetMode="External"/><Relationship Id="rId12" Type="http://schemas.openxmlformats.org/officeDocument/2006/relationships/hyperlink" Target="https://www.fda.gov/food/food-safety-modernization-act-fsma/fsma-final-rule-produce-safety" TargetMode="External"/><Relationship Id="rId2" Type="http://schemas.openxmlformats.org/officeDocument/2006/relationships/hyperlink" Target="https://foodregulation.gov.au/internet/fr/publishing.nsf/Content/ISFR" TargetMode="External"/><Relationship Id="rId1" Type="http://schemas.openxmlformats.org/officeDocument/2006/relationships/hyperlink" Target="https://foodregulation.gov.au/internet/fr/publishing.nsf/Content/strategies" TargetMode="External"/><Relationship Id="rId6" Type="http://schemas.openxmlformats.org/officeDocument/2006/relationships/hyperlink" Target="https://www.legislation.gov.au/Series/C2015A00061" TargetMode="External"/><Relationship Id="rId11" Type="http://schemas.openxmlformats.org/officeDocument/2006/relationships/hyperlink" Target="http://www.agriculture.gov.au/import" TargetMode="External"/><Relationship Id="rId5" Type="http://schemas.openxmlformats.org/officeDocument/2006/relationships/hyperlink" Target="https://www.dpi.nsw.gov.au/__data/assets/pdf_file/0010/1179019/Melon-food-safety-tool-box.pdf" TargetMode="External"/><Relationship Id="rId10" Type="http://schemas.openxmlformats.org/officeDocument/2006/relationships/hyperlink" Target="https://www.legislation.gov.au/Details/F2019L01233" TargetMode="External"/><Relationship Id="rId4" Type="http://schemas.openxmlformats.org/officeDocument/2006/relationships/hyperlink" Target="https://fpsc-anz.com/" TargetMode="External"/><Relationship Id="rId9" Type="http://schemas.openxmlformats.org/officeDocument/2006/relationships/hyperlink" Target="https://www.awe.gov.au/biosecurity-trade/import/goods/food/inspection-compliance/inspection-scheme" TargetMode="External"/><Relationship Id="rId14" Type="http://schemas.openxmlformats.org/officeDocument/2006/relationships/hyperlink" Target="https://foodregulation.gov.au/internet/fr/publishing.nsf/Content/I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DOCID-322795542-41381</_dlc_DocId>
    <_dlc_DocIdUrl xmlns="4195ad5f-cdf2-4c4a-8d9b-b7944a108e98">
      <Url>https://pmc01.sharepoint.com/sites/CRMOBPR/_layouts/15/DocIdRedir.aspx?ID=DOCID-322795542-41381</Url>
      <Description>DOCID-322795542-41381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C7DDD143-20DC-4CD2-BF82-3C863A928DF0}">
  <ds:schemaRefs>
    <ds:schemaRef ds:uri="http://schemas.openxmlformats.org/officeDocument/2006/bibliography"/>
  </ds:schemaRefs>
</ds:datastoreItem>
</file>

<file path=customXml/itemProps2.xml><?xml version="1.0" encoding="utf-8"?>
<ds:datastoreItem xmlns:ds="http://schemas.openxmlformats.org/officeDocument/2006/customXml" ds:itemID="{5D83A732-D8F6-47BD-A94D-95CFE37ED6FA}">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00D5C4D4-8DB7-4A6A-8C9B-E27B874DF1E7}"/>
</file>

<file path=customXml/itemProps4.xml><?xml version="1.0" encoding="utf-8"?>
<ds:datastoreItem xmlns:ds="http://schemas.openxmlformats.org/officeDocument/2006/customXml" ds:itemID="{2FEC8A9B-6D2E-4864-BEDB-58ED9322DA10}"/>
</file>

<file path=customXml/itemProps5.xml><?xml version="1.0" encoding="utf-8"?>
<ds:datastoreItem xmlns:ds="http://schemas.openxmlformats.org/officeDocument/2006/customXml" ds:itemID="{69C31AE0-4D56-458C-B19F-27331752A47F}">
  <ds:schemaRefs>
    <ds:schemaRef ds:uri="http://schemas.microsoft.com/sharepoint/v3/contenttype/forms"/>
  </ds:schemaRefs>
</ds:datastoreItem>
</file>

<file path=customXml/itemProps6.xml><?xml version="1.0" encoding="utf-8"?>
<ds:datastoreItem xmlns:ds="http://schemas.openxmlformats.org/officeDocument/2006/customXml" ds:itemID="{F7470123-90DE-4C93-91EC-74634CF658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Report - Supporting document</Template>
  <TotalTime>10146</TotalTime>
  <Pages>55</Pages>
  <Words>22113</Words>
  <Characters>126048</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147866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SD1 - DRIS</dc:title>
  <dc:creator>kennem</dc:creator>
  <cp:keywords/>
  <cp:lastModifiedBy>Mark Jones</cp:lastModifiedBy>
  <cp:revision>689</cp:revision>
  <cp:lastPrinted>2023-10-31T19:50:00Z</cp:lastPrinted>
  <dcterms:created xsi:type="dcterms:W3CDTF">2022-02-02T21:35:00Z</dcterms:created>
  <dcterms:modified xsi:type="dcterms:W3CDTF">2023-10-31T19:50:00Z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6cb5bd85-3828-4ca3-b0f9-a566014b2a87</vt:lpwstr>
  </property>
  <property fmtid="{D5CDD505-2E9C-101B-9397-08002B2CF9AE}" pid="3" name="bjSaver">
    <vt:lpwstr>LlgSMo3yJ+fkgNEgbtQQbG6KKfc49ivc</vt:lpwstr>
  </property>
  <property fmtid="{D5CDD505-2E9C-101B-9397-08002B2CF9AE}" pid="4" name="ContentTypeId">
    <vt:lpwstr>0x0101009CA239676470E04B809DDC4E24CF2322</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63d9a20a-4e21-43fc-b7d1-208d72af9709</vt:lpwstr>
  </property>
  <property fmtid="{D5CDD505-2E9C-101B-9397-08002B2CF9AE}" pid="8" name="RecordPoint_WorkflowType">
    <vt:lpwstr>ActiveSubmitStub</vt:lpwstr>
  </property>
  <property fmtid="{D5CDD505-2E9C-101B-9397-08002B2CF9AE}" pid="9" name="RecordPoint_ActiveItemUniqueId">
    <vt:lpwstr>{c1d9d7a4-5b64-4ed4-9095-c62b4b5f13c7}</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R0000204032</vt:lpwstr>
  </property>
  <property fmtid="{D5CDD505-2E9C-101B-9397-08002B2CF9AE}" pid="14" name="RecordPoint_SubmissionCompleted">
    <vt:lpwstr>2022-05-19T14:30:21.7989367+10:00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y fmtid="{D5CDD505-2E9C-101B-9397-08002B2CF9AE}" pid="18" name="bjClsUserRVM">
    <vt:lpwstr>[]</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pd3a3559ef84480a8025c4c7bb6e6dee">
    <vt:lpwstr/>
  </property>
  <property fmtid="{D5CDD505-2E9C-101B-9397-08002B2CF9AE}" pid="23" name="h46016694f704d158a57d0b5238c000e">
    <vt:lpwstr/>
  </property>
  <property fmtid="{D5CDD505-2E9C-101B-9397-08002B2CF9AE}" pid="24" name="Data Owner and Authority">
    <vt:lpwstr/>
  </property>
  <property fmtid="{D5CDD505-2E9C-101B-9397-08002B2CF9AE}" pid="25" name="Data Privacy">
    <vt:lpwstr/>
  </property>
  <property fmtid="{D5CDD505-2E9C-101B-9397-08002B2CF9AE}" pid="26" name="Data_x0020_Privacy">
    <vt:lpwstr/>
  </property>
  <property fmtid="{D5CDD505-2E9C-101B-9397-08002B2CF9AE}" pid="27" name="Data Accessibility">
    <vt:lpwstr/>
  </property>
  <property fmtid="{D5CDD505-2E9C-101B-9397-08002B2CF9AE}" pid="28" name="BCS">
    <vt:lpwstr>2;#Evaluation|43cb9915-dbd2-4e45-b39d-7bc5c58c72da</vt:lpwstr>
  </property>
  <property fmtid="{D5CDD505-2E9C-101B-9397-08002B2CF9AE}" pid="29" name="Access">
    <vt:lpwstr/>
  </property>
  <property fmtid="{D5CDD505-2E9C-101B-9397-08002B2CF9AE}" pid="30" name="Classification">
    <vt:lpwstr>1;#OFFICIAL|3776503d-ed4e-4d70-8dfd-8e17b238523b</vt:lpwstr>
  </property>
  <property fmtid="{D5CDD505-2E9C-101B-9397-08002B2CF9AE}" pid="31" name="Data_x0020_Accessibility">
    <vt:lpwstr/>
  </property>
  <property fmtid="{D5CDD505-2E9C-101B-9397-08002B2CF9AE}" pid="32" name="_ExtendedDescription">
    <vt:lpwstr/>
  </property>
  <property fmtid="{D5CDD505-2E9C-101B-9397-08002B2CF9AE}" pid="33" name="o2e94e0b7bb742308b3aec7384781dc0">
    <vt:lpwstr/>
  </property>
  <property fmtid="{D5CDD505-2E9C-101B-9397-08002B2CF9AE}" pid="34" name="Data Custodian">
    <vt:lpwstr/>
  </property>
  <property fmtid="{D5CDD505-2E9C-101B-9397-08002B2CF9AE}" pid="35" name="Data Quality">
    <vt:lpwstr/>
  </property>
  <property fmtid="{D5CDD505-2E9C-101B-9397-08002B2CF9AE}" pid="36" name="Data Category">
    <vt:lpwstr/>
  </property>
  <property fmtid="{D5CDD505-2E9C-101B-9397-08002B2CF9AE}" pid="37" name="MediaServiceImageTags">
    <vt:lpwstr/>
  </property>
</Properties>
</file>