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E1DFE" w14:textId="77777777" w:rsidR="008A2E25" w:rsidRDefault="002736D3">
      <w:pPr>
        <w:jc w:val="center"/>
        <w:rPr>
          <w:rFonts w:ascii="Segoe UI" w:eastAsia="Times New Roman" w:hAnsi="Segoe UI" w:cs="Segoe UI"/>
          <w:sz w:val="18"/>
          <w:szCs w:val="18"/>
          <w:lang w:val="en-US"/>
        </w:rPr>
      </w:pPr>
      <w:r>
        <w:rPr>
          <w:noProof/>
        </w:rPr>
        <w:drawing>
          <wp:inline distT="0" distB="0" distL="0" distR="0" wp14:anchorId="776AC892" wp14:editId="569D8100">
            <wp:extent cx="3000375" cy="1371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371600"/>
                    </a:xfrm>
                    <a:prstGeom prst="rect">
                      <a:avLst/>
                    </a:prstGeom>
                    <a:noFill/>
                    <a:ln>
                      <a:noFill/>
                    </a:ln>
                  </pic:spPr>
                </pic:pic>
              </a:graphicData>
            </a:graphic>
          </wp:inline>
        </w:drawing>
      </w:r>
    </w:p>
    <w:p w14:paraId="4A418D56" w14:textId="77777777" w:rsidR="008A2E25" w:rsidRDefault="00B14201">
      <w:pPr>
        <w:jc w:val="center"/>
        <w:divId w:val="9656644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4FD80404" w14:textId="77777777" w:rsidR="008A2E25" w:rsidRDefault="00B14201">
      <w:pPr>
        <w:jc w:val="right"/>
        <w:divId w:val="521014986"/>
        <w:rPr>
          <w:rFonts w:ascii="Segoe UI" w:eastAsia="Times New Roman" w:hAnsi="Segoe UI" w:cs="Segoe UI"/>
          <w:sz w:val="18"/>
          <w:szCs w:val="18"/>
          <w:lang w:val="en-US"/>
        </w:rPr>
      </w:pPr>
      <w:r>
        <w:rPr>
          <w:rFonts w:eastAsia="Times New Roman"/>
          <w:sz w:val="16"/>
          <w:szCs w:val="16"/>
          <w:lang w:val="en-US"/>
        </w:rPr>
        <w:t>Reference: OBPR23-04188</w:t>
      </w:r>
      <w:r>
        <w:rPr>
          <w:rFonts w:eastAsia="Times New Roman"/>
          <w:sz w:val="16"/>
          <w:szCs w:val="16"/>
          <w:lang w:val="en-US"/>
        </w:rPr>
        <w:br/>
        <w:t>Telephone: 6271 6270</w:t>
      </w:r>
      <w:r>
        <w:rPr>
          <w:rFonts w:eastAsia="Times New Roman"/>
          <w:sz w:val="16"/>
          <w:szCs w:val="16"/>
          <w:lang w:val="en-US"/>
        </w:rPr>
        <w:br/>
        <w:t xml:space="preserve">e-mail: </w:t>
      </w:r>
      <w:hyperlink r:id="rId12" w:history="1">
        <w:r>
          <w:rPr>
            <w:rStyle w:val="Hyperlink"/>
            <w:rFonts w:eastAsia="Times New Roman"/>
            <w:sz w:val="16"/>
            <w:szCs w:val="16"/>
            <w:lang w:val="en-US"/>
          </w:rPr>
          <w:t>helpdesk-oia@pmc.gov.au</w:t>
        </w:r>
      </w:hyperlink>
    </w:p>
    <w:p w14:paraId="2D1EFD3F" w14:textId="77777777" w:rsidR="008A2E25" w:rsidRDefault="008A2E25"/>
    <w:p w14:paraId="18E63407" w14:textId="77777777" w:rsidR="008A2E25" w:rsidRDefault="00B14201">
      <w:r>
        <w:t>Mr Richard Windeyer</w:t>
      </w:r>
    </w:p>
    <w:p w14:paraId="5266B7B9" w14:textId="77777777" w:rsidR="008A2E25" w:rsidRDefault="00B14201">
      <w:r>
        <w:t>Deputy Secretary</w:t>
      </w:r>
    </w:p>
    <w:p w14:paraId="49A3237A" w14:textId="77777777" w:rsidR="008A2E25" w:rsidRDefault="00B14201">
      <w:r>
        <w:t>Communications and Media</w:t>
      </w:r>
    </w:p>
    <w:p w14:paraId="1294CF0C" w14:textId="77777777" w:rsidR="008A2E25" w:rsidRDefault="00B14201">
      <w:r>
        <w:t>Department of Infrastructure, Transport, Regional Development, Communications and the Arts</w:t>
      </w:r>
      <w:r>
        <w:br/>
      </w:r>
    </w:p>
    <w:p w14:paraId="71D7BD06" w14:textId="77777777" w:rsidR="008A2E25" w:rsidRDefault="00B14201">
      <w:r>
        <w:br/>
        <w:t>Dear Mr Windeyer</w:t>
      </w:r>
    </w:p>
    <w:p w14:paraId="7C7B7BD3" w14:textId="77777777" w:rsidR="008A2E25" w:rsidRDefault="00B14201">
      <w:pPr>
        <w:divId w:val="1517768975"/>
        <w:rPr>
          <w:rFonts w:ascii="Segoe UI" w:eastAsia="Times New Roman" w:hAnsi="Segoe UI" w:cs="Segoe UI"/>
          <w:sz w:val="18"/>
          <w:szCs w:val="18"/>
          <w:lang w:val="en-US"/>
        </w:rPr>
      </w:pPr>
      <w:r>
        <w:t>                                </w:t>
      </w:r>
      <w:r>
        <w:br/>
      </w:r>
      <w:r>
        <w:rPr>
          <w:rStyle w:val="Strong"/>
          <w:rFonts w:eastAsia="Times New Roman"/>
          <w:lang w:val="en-US"/>
        </w:rPr>
        <w:t>Certification of the online gambling report as equivalent to an Impact Analysis</w:t>
      </w:r>
    </w:p>
    <w:p w14:paraId="284A362E" w14:textId="77777777" w:rsidR="008A2E25" w:rsidRDefault="00B14201">
      <w:pPr>
        <w:divId w:val="1429277002"/>
      </w:pPr>
      <w:r>
        <w:br/>
        <w:t>Thank you for your letter certifying the Parliamentary Joint Committee report into Regulation of the use of financial services such as credit cards and digital wallets for online gambling in Australia as a process and analysis equivalent to an Impact Analysis (IA-equivalent document) for the policy proposal to prohibit the use of credit cards for online gambling.</w:t>
      </w:r>
    </w:p>
    <w:p w14:paraId="420D452C" w14:textId="77777777" w:rsidR="008A2E25" w:rsidRDefault="00B14201">
      <w:pPr>
        <w:divId w:val="1527595214"/>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1223873F" w14:textId="77777777" w:rsidR="008A2E25" w:rsidRDefault="00B14201">
      <w:pPr>
        <w:divId w:val="977759787"/>
        <w:rPr>
          <w:rFonts w:ascii="Segoe UI" w:eastAsia="Times New Roman" w:hAnsi="Segoe UI" w:cs="Segoe UI"/>
          <w:sz w:val="18"/>
          <w:szCs w:val="18"/>
          <w:lang w:val="en-US"/>
        </w:rPr>
      </w:pPr>
      <w:r>
        <w:rPr>
          <w:rFonts w:eastAsia="Times New Roman"/>
          <w:color w:val="000000"/>
          <w:lang w:val="en-US"/>
        </w:rPr>
        <w:t xml:space="preserve">The Office of Impact Analysis (OIA) acknowledges the certification. Under the Government’s Impact Analysis framework, the OIA assesses whether the options </w:t>
      </w:r>
      <w:proofErr w:type="spellStart"/>
      <w:r>
        <w:rPr>
          <w:rFonts w:eastAsia="Times New Roman"/>
          <w:color w:val="000000"/>
          <w:lang w:val="en-US"/>
        </w:rPr>
        <w:t>analysed</w:t>
      </w:r>
      <w:proofErr w:type="spellEnd"/>
      <w:r>
        <w:rPr>
          <w:rFonts w:eastAsia="Times New Roman"/>
          <w:color w:val="000000"/>
          <w:lang w:val="en-US"/>
        </w:rPr>
        <w:t xml:space="preserve"> in the IA-equivalent document are relevant to the policy proposal and may assess the adequacy of the analysis. The OIA also assesses whether the IA-equivalent document or certification letter identifies regulatory costs. In this case, the OIA’s assessment is that the options </w:t>
      </w:r>
      <w:proofErr w:type="spellStart"/>
      <w:r>
        <w:rPr>
          <w:rFonts w:eastAsia="Times New Roman"/>
          <w:color w:val="000000"/>
          <w:lang w:val="en-US"/>
        </w:rPr>
        <w:t>analysed</w:t>
      </w:r>
      <w:proofErr w:type="spellEnd"/>
      <w:r>
        <w:rPr>
          <w:rFonts w:eastAsia="Times New Roman"/>
          <w:color w:val="000000"/>
          <w:lang w:val="en-US"/>
        </w:rPr>
        <w:t xml:space="preserve"> in the independent review are sufficiently relevant to the policy proposal. The OIA also notes the Department will provide an estimate of regulatory burden following further stakeholder consultation in mid-2023 but by the time the Minister seeks agreement to bill status in the relevant sittings.</w:t>
      </w:r>
    </w:p>
    <w:p w14:paraId="780842B1" w14:textId="77777777" w:rsidR="008A2E25" w:rsidRDefault="00B14201">
      <w:pPr>
        <w:divId w:val="89207758"/>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We would appreciate you advising us when a final decision has been announced and forwarding a copy of the independent review in a form meeting the Government’s accessibility requirements. The OIA will publish the report, along with your certification, on the OIA’s website oia.pmc.gov.au/published-impact-analyses-and-reports. </w:t>
      </w:r>
    </w:p>
    <w:p w14:paraId="6FF37317" w14:textId="77777777" w:rsidR="00B14201" w:rsidRDefault="00B14201">
      <w:pPr>
        <w:divId w:val="1908225460"/>
        <w:rPr>
          <w:rFonts w:eastAsia="Times New Roman"/>
        </w:rPr>
      </w:pPr>
      <w:r>
        <w:rPr>
          <w:rFonts w:ascii="Segoe UI" w:eastAsia="Times New Roman" w:hAnsi="Segoe UI" w:cs="Segoe UI"/>
          <w:sz w:val="18"/>
          <w:szCs w:val="18"/>
          <w:lang w:val="en-US"/>
        </w:rPr>
        <w:br/>
      </w:r>
      <w:r>
        <w:rPr>
          <w:rFonts w:eastAsia="Times New Roman"/>
          <w:lang w:val="en-US"/>
        </w:rPr>
        <w:t>Yours sincerely</w:t>
      </w:r>
      <w:r>
        <w:rPr>
          <w:rFonts w:eastAsia="Times New Roman"/>
          <w:lang w:val="en-US"/>
        </w:rPr>
        <w:br/>
      </w:r>
      <w:r>
        <w:rPr>
          <w:rFonts w:eastAsia="Times New Roman"/>
          <w:lang w:val="en-US"/>
        </w:rPr>
        <w:br/>
      </w:r>
      <w:r>
        <w:rPr>
          <w:rFonts w:eastAsia="Times New Roman"/>
          <w:lang w:val="en-US"/>
        </w:rPr>
        <w:br/>
      </w:r>
      <w:r>
        <w:rPr>
          <w:rFonts w:eastAsia="Times New Roman"/>
          <w:lang w:val="en-US"/>
        </w:rPr>
        <w:br/>
      </w:r>
      <w:r>
        <w:rPr>
          <w:rFonts w:eastAsia="Times New Roman"/>
          <w:color w:val="000000"/>
          <w:lang w:val="en-US"/>
        </w:rPr>
        <w:t>Jason Lange</w:t>
      </w:r>
      <w:r>
        <w:rPr>
          <w:rFonts w:eastAsia="Times New Roman"/>
          <w:color w:val="000000"/>
          <w:lang w:val="en-US"/>
        </w:rPr>
        <w:br/>
        <w:t>Executive Director</w:t>
      </w:r>
      <w:r>
        <w:rPr>
          <w:rFonts w:eastAsia="Times New Roman"/>
          <w:color w:val="000000"/>
          <w:lang w:val="en-US"/>
        </w:rPr>
        <w:br/>
        <w:t>Office of Impact Analysis</w:t>
      </w:r>
      <w:r>
        <w:rPr>
          <w:rFonts w:eastAsia="Times New Roman"/>
          <w:lang w:val="en-US"/>
        </w:rPr>
        <w:br/>
      </w:r>
      <w:r>
        <w:rPr>
          <w:rFonts w:eastAsia="Times New Roman"/>
          <w:color w:val="000000"/>
          <w:lang w:val="en-US"/>
        </w:rPr>
        <w:t>2</w:t>
      </w:r>
      <w:r w:rsidR="00CD36E1">
        <w:rPr>
          <w:rFonts w:eastAsia="Times New Roman"/>
          <w:color w:val="000000"/>
          <w:lang w:val="en-US"/>
        </w:rPr>
        <w:t xml:space="preserve">8 </w:t>
      </w:r>
      <w:r>
        <w:rPr>
          <w:rFonts w:eastAsia="Times New Roman"/>
          <w:color w:val="000000"/>
          <w:lang w:val="en-US"/>
        </w:rPr>
        <w:t>March 2023</w:t>
      </w:r>
      <w:bookmarkStart w:id="0" w:name="_GoBack"/>
      <w:bookmarkEnd w:id="0"/>
    </w:p>
    <w:sectPr w:rsidR="00B14201">
      <w:headerReference w:type="default" r:id="rId13"/>
      <w:pgSz w:w="12240" w:h="15840"/>
      <w:pgMar w:top="1440" w:right="1440" w:bottom="99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E601" w14:textId="77777777" w:rsidR="00B14201" w:rsidRDefault="00B14201" w:rsidP="002736D3">
      <w:r>
        <w:separator/>
      </w:r>
    </w:p>
  </w:endnote>
  <w:endnote w:type="continuationSeparator" w:id="0">
    <w:p w14:paraId="2A0AE8F0" w14:textId="77777777" w:rsidR="00B14201" w:rsidRDefault="00B14201" w:rsidP="002736D3">
      <w:r>
        <w:continuationSeparator/>
      </w:r>
    </w:p>
  </w:endnote>
  <w:endnote w:type="continuationNotice" w:id="1">
    <w:p w14:paraId="23B75C47" w14:textId="77777777" w:rsidR="00347833" w:rsidRDefault="00347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34854" w14:textId="77777777" w:rsidR="00B14201" w:rsidRDefault="00B14201" w:rsidP="002736D3">
      <w:r>
        <w:separator/>
      </w:r>
    </w:p>
  </w:footnote>
  <w:footnote w:type="continuationSeparator" w:id="0">
    <w:p w14:paraId="1A1AABB3" w14:textId="77777777" w:rsidR="00B14201" w:rsidRDefault="00B14201" w:rsidP="002736D3">
      <w:r>
        <w:continuationSeparator/>
      </w:r>
    </w:p>
  </w:footnote>
  <w:footnote w:type="continuationNotice" w:id="1">
    <w:p w14:paraId="67EC210B" w14:textId="77777777" w:rsidR="00347833" w:rsidRDefault="003478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092F" w14:textId="3B8D9181" w:rsidR="002736D3" w:rsidRPr="002736D3" w:rsidRDefault="002736D3" w:rsidP="002736D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FF"/>
    <w:rsid w:val="002736D3"/>
    <w:rsid w:val="003175A0"/>
    <w:rsid w:val="00347833"/>
    <w:rsid w:val="005B77E2"/>
    <w:rsid w:val="006A3BD0"/>
    <w:rsid w:val="008A2E25"/>
    <w:rsid w:val="009870FD"/>
    <w:rsid w:val="00B14201"/>
    <w:rsid w:val="00CD36E1"/>
    <w:rsid w:val="00CF343E"/>
    <w:rsid w:val="00D8167B"/>
    <w:rsid w:val="00EF5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C3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6441">
      <w:marLeft w:val="1200"/>
      <w:marRight w:val="0"/>
      <w:marTop w:val="0"/>
      <w:marBottom w:val="0"/>
      <w:divBdr>
        <w:top w:val="none" w:sz="0" w:space="0" w:color="auto"/>
        <w:left w:val="none" w:sz="0" w:space="0" w:color="auto"/>
        <w:bottom w:val="none" w:sz="0" w:space="0" w:color="auto"/>
        <w:right w:val="none" w:sz="0" w:space="0" w:color="auto"/>
      </w:divBdr>
    </w:div>
    <w:div w:id="521014986">
      <w:marLeft w:val="1200"/>
      <w:marRight w:val="0"/>
      <w:marTop w:val="0"/>
      <w:marBottom w:val="0"/>
      <w:divBdr>
        <w:top w:val="none" w:sz="0" w:space="0" w:color="auto"/>
        <w:left w:val="none" w:sz="0" w:space="0" w:color="auto"/>
        <w:bottom w:val="none" w:sz="0" w:space="0" w:color="auto"/>
        <w:right w:val="none" w:sz="0" w:space="0" w:color="auto"/>
      </w:divBdr>
    </w:div>
    <w:div w:id="1429277002">
      <w:marLeft w:val="0"/>
      <w:marRight w:val="0"/>
      <w:marTop w:val="0"/>
      <w:marBottom w:val="0"/>
      <w:divBdr>
        <w:top w:val="none" w:sz="0" w:space="0" w:color="auto"/>
        <w:left w:val="none" w:sz="0" w:space="0" w:color="auto"/>
        <w:bottom w:val="none" w:sz="0" w:space="0" w:color="auto"/>
        <w:right w:val="none" w:sz="0" w:space="0" w:color="auto"/>
      </w:divBdr>
      <w:divsChild>
        <w:div w:id="1527595214">
          <w:marLeft w:val="0"/>
          <w:marRight w:val="0"/>
          <w:marTop w:val="0"/>
          <w:marBottom w:val="0"/>
          <w:divBdr>
            <w:top w:val="none" w:sz="0" w:space="0" w:color="auto"/>
            <w:left w:val="none" w:sz="0" w:space="0" w:color="auto"/>
            <w:bottom w:val="none" w:sz="0" w:space="0" w:color="auto"/>
            <w:right w:val="none" w:sz="0" w:space="0" w:color="auto"/>
          </w:divBdr>
        </w:div>
        <w:div w:id="977759787">
          <w:marLeft w:val="0"/>
          <w:marRight w:val="0"/>
          <w:marTop w:val="0"/>
          <w:marBottom w:val="0"/>
          <w:divBdr>
            <w:top w:val="none" w:sz="0" w:space="0" w:color="auto"/>
            <w:left w:val="none" w:sz="0" w:space="0" w:color="auto"/>
            <w:bottom w:val="none" w:sz="0" w:space="0" w:color="auto"/>
            <w:right w:val="none" w:sz="0" w:space="0" w:color="auto"/>
          </w:divBdr>
        </w:div>
        <w:div w:id="89207758">
          <w:marLeft w:val="0"/>
          <w:marRight w:val="0"/>
          <w:marTop w:val="0"/>
          <w:marBottom w:val="0"/>
          <w:divBdr>
            <w:top w:val="none" w:sz="0" w:space="0" w:color="auto"/>
            <w:left w:val="none" w:sz="0" w:space="0" w:color="auto"/>
            <w:bottom w:val="none" w:sz="0" w:space="0" w:color="auto"/>
            <w:right w:val="none" w:sz="0" w:space="0" w:color="auto"/>
          </w:divBdr>
        </w:div>
        <w:div w:id="1908225460">
          <w:marLeft w:val="0"/>
          <w:marRight w:val="0"/>
          <w:marTop w:val="0"/>
          <w:marBottom w:val="0"/>
          <w:divBdr>
            <w:top w:val="none" w:sz="0" w:space="0" w:color="auto"/>
            <w:left w:val="none" w:sz="0" w:space="0" w:color="auto"/>
            <w:bottom w:val="none" w:sz="0" w:space="0" w:color="auto"/>
            <w:right w:val="none" w:sz="0" w:space="0" w:color="auto"/>
          </w:divBdr>
        </w:div>
      </w:divsChild>
    </w:div>
    <w:div w:id="1517768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bpr@pm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DOCID-322795542-37963</_dlc_DocId>
    <_dlc_DocIdUrl xmlns="4195ad5f-cdf2-4c4a-8d9b-b7944a108e98">
      <Url>https://pmc01.sharepoint.com/sites/CRMOBPR/_layouts/15/DocIdRedir.aspx?ID=DOCID-322795542-37963</Url>
      <Description>DOCID-322795542-37963</Description>
    </_dlc_DocIdUrl>
  </documentManagement>
</p:properties>
</file>

<file path=customXml/itemProps1.xml><?xml version="1.0" encoding="utf-8"?>
<ds:datastoreItem xmlns:ds="http://schemas.openxmlformats.org/officeDocument/2006/customXml" ds:itemID="{ABE9455B-BD72-487C-881F-DF66D23E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EAB9-D57F-4848-A0A5-25641056B868}">
  <ds:schemaRefs>
    <ds:schemaRef ds:uri="http://schemas.microsoft.com/sharepoint/events"/>
  </ds:schemaRefs>
</ds:datastoreItem>
</file>

<file path=customXml/itemProps3.xml><?xml version="1.0" encoding="utf-8"?>
<ds:datastoreItem xmlns:ds="http://schemas.openxmlformats.org/officeDocument/2006/customXml" ds:itemID="{8613D122-C42B-47A4-8B43-5B3D2E0EAC18}">
  <ds:schemaRefs>
    <ds:schemaRef ds:uri="http://schemas.microsoft.com/sharepoint/v3/contenttype/forms"/>
  </ds:schemaRefs>
</ds:datastoreItem>
</file>

<file path=customXml/itemProps4.xml><?xml version="1.0" encoding="utf-8"?>
<ds:datastoreItem xmlns:ds="http://schemas.openxmlformats.org/officeDocument/2006/customXml" ds:itemID="{1BF7FA68-99A1-4C81-8D09-0995B7FF7244}">
  <ds:schemaRefs>
    <ds:schemaRef ds:uri="26285671-540d-468b-b7a1-f3e0438dd51a"/>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4195ad5f-cdf2-4c4a-8d9b-b7944a108e98"/>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2023-09-15T02:25:00Z</dcterms:created>
  <dcterms:modified xsi:type="dcterms:W3CDTF">2023-09-15T02:25:00Z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6c45b8cb-3357-4775-af6a-7d78e52793b6</vt:lpwstr>
  </property>
</Properties>
</file>