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7"/>
        <w:rPr>
          <w:rFonts w:ascii="Times New Roman"/>
          <w:sz w:val="20"/>
        </w:rPr>
      </w:pPr>
      <w:r>
        <w:rPr/>
        <mc:AlternateContent>
          <mc:Choice Requires="wps">
            <w:drawing>
              <wp:anchor distT="0" distB="0" distL="0" distR="0" allowOverlap="1" layoutInCell="1" locked="0" behindDoc="0" simplePos="0" relativeHeight="15728640">
                <wp:simplePos x="0" y="0"/>
                <wp:positionH relativeFrom="page">
                  <wp:posOffset>361950</wp:posOffset>
                </wp:positionH>
                <wp:positionV relativeFrom="page">
                  <wp:posOffset>10067925</wp:posOffset>
                </wp:positionV>
                <wp:extent cx="6791325" cy="139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791325" cy="13970"/>
                        </a:xfrm>
                        <a:custGeom>
                          <a:avLst/>
                          <a:gdLst/>
                          <a:ahLst/>
                          <a:cxnLst/>
                          <a:rect l="l" t="t" r="r" b="b"/>
                          <a:pathLst>
                            <a:path w="6791325" h="13970">
                              <a:moveTo>
                                <a:pt x="0" y="0"/>
                              </a:moveTo>
                              <a:lnTo>
                                <a:pt x="6791325" y="13969"/>
                              </a:lnTo>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28.5pt,792.75pt" to="563.25pt,793.85pt" stroked="true" strokeweight="1.0pt" strokecolor="#000000">
                <v:stroke dashstyle="solid"/>
                <w10:wrap type="none"/>
              </v:line>
            </w:pict>
          </mc:Fallback>
        </mc:AlternateContent>
      </w:r>
      <w:r>
        <w:rPr>
          <w:rFonts w:ascii="Times New Roman"/>
          <w:sz w:val="20"/>
        </w:rPr>
        <w:drawing>
          <wp:inline distT="0" distB="0" distL="0" distR="0">
            <wp:extent cx="3245806" cy="379475"/>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3245806" cy="37947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3"/>
        <w:rPr>
          <w:rFonts w:ascii="Times New Roman"/>
          <w:sz w:val="29"/>
        </w:rPr>
      </w:pPr>
    </w:p>
    <w:p>
      <w:pPr>
        <w:pStyle w:val="Heading1"/>
        <w:spacing w:before="94"/>
        <w:ind w:right="112"/>
        <w:jc w:val="right"/>
      </w:pPr>
      <w:r>
        <w:rPr/>
        <w:t>Chair</w:t>
      </w:r>
      <w:r>
        <w:rPr>
          <w:spacing w:val="-4"/>
        </w:rPr>
        <w:t> </w:t>
      </w:r>
      <w:r>
        <w:rPr/>
        <w:t>and</w:t>
      </w:r>
      <w:r>
        <w:rPr>
          <w:spacing w:val="-7"/>
        </w:rPr>
        <w:t> </w:t>
      </w:r>
      <w:r>
        <w:rPr/>
        <w:t>Agency</w:t>
      </w:r>
      <w:r>
        <w:rPr>
          <w:spacing w:val="-2"/>
        </w:rPr>
        <w:t> </w:t>
      </w:r>
      <w:r>
        <w:rPr>
          <w:spacing w:val="-4"/>
        </w:rPr>
        <w:t>Head</w:t>
      </w:r>
    </w:p>
    <w:p>
      <w:pPr>
        <w:pStyle w:val="BodyText"/>
        <w:rPr>
          <w:b/>
          <w:sz w:val="20"/>
        </w:rPr>
      </w:pPr>
    </w:p>
    <w:p>
      <w:pPr>
        <w:pStyle w:val="BodyText"/>
        <w:spacing w:before="9"/>
        <w:rPr>
          <w:b/>
          <w:sz w:val="15"/>
        </w:rPr>
      </w:pPr>
    </w:p>
    <w:p>
      <w:pPr>
        <w:pStyle w:val="BodyText"/>
        <w:spacing w:before="94"/>
        <w:ind w:left="672"/>
      </w:pPr>
      <w:r>
        <w:rPr/>
        <w:t>Mr</w:t>
      </w:r>
      <w:r>
        <w:rPr>
          <w:spacing w:val="-4"/>
        </w:rPr>
        <w:t> </w:t>
      </w:r>
      <w:r>
        <w:rPr/>
        <w:t>Jason</w:t>
      </w:r>
      <w:r>
        <w:rPr>
          <w:spacing w:val="-3"/>
        </w:rPr>
        <w:t> </w:t>
      </w:r>
      <w:r>
        <w:rPr>
          <w:spacing w:val="-4"/>
        </w:rPr>
        <w:t>Lange</w:t>
      </w:r>
    </w:p>
    <w:p>
      <w:pPr>
        <w:pStyle w:val="BodyText"/>
        <w:spacing w:before="6"/>
        <w:ind w:left="672"/>
      </w:pPr>
      <w:r>
        <w:rPr/>
        <w:t>Office</w:t>
      </w:r>
      <w:r>
        <w:rPr>
          <w:spacing w:val="-5"/>
        </w:rPr>
        <w:t> </w:t>
      </w:r>
      <w:r>
        <w:rPr/>
        <w:t>of</w:t>
      </w:r>
      <w:r>
        <w:rPr>
          <w:spacing w:val="-5"/>
        </w:rPr>
        <w:t> </w:t>
      </w:r>
      <w:r>
        <w:rPr/>
        <w:t>Impact</w:t>
      </w:r>
      <w:r>
        <w:rPr>
          <w:spacing w:val="-5"/>
        </w:rPr>
        <w:t> </w:t>
      </w:r>
      <w:r>
        <w:rPr>
          <w:spacing w:val="-2"/>
        </w:rPr>
        <w:t>Analysis</w:t>
      </w:r>
    </w:p>
    <w:p>
      <w:pPr>
        <w:pStyle w:val="BodyText"/>
        <w:spacing w:line="244" w:lineRule="auto" w:before="9"/>
        <w:ind w:left="672" w:right="5215"/>
      </w:pPr>
      <w:r>
        <w:rPr/>
        <w:t>Department</w:t>
      </w:r>
      <w:r>
        <w:rPr>
          <w:spacing w:val="-6"/>
        </w:rPr>
        <w:t> </w:t>
      </w:r>
      <w:r>
        <w:rPr/>
        <w:t>of</w:t>
      </w:r>
      <w:r>
        <w:rPr>
          <w:spacing w:val="-6"/>
        </w:rPr>
        <w:t> </w:t>
      </w:r>
      <w:r>
        <w:rPr/>
        <w:t>the</w:t>
      </w:r>
      <w:r>
        <w:rPr>
          <w:spacing w:val="-7"/>
        </w:rPr>
        <w:t> </w:t>
      </w:r>
      <w:r>
        <w:rPr/>
        <w:t>Prime</w:t>
      </w:r>
      <w:r>
        <w:rPr>
          <w:spacing w:val="-5"/>
        </w:rPr>
        <w:t> </w:t>
      </w:r>
      <w:r>
        <w:rPr/>
        <w:t>Minister</w:t>
      </w:r>
      <w:r>
        <w:rPr>
          <w:spacing w:val="-4"/>
        </w:rPr>
        <w:t> </w:t>
      </w:r>
      <w:r>
        <w:rPr/>
        <w:t>and</w:t>
      </w:r>
      <w:r>
        <w:rPr>
          <w:spacing w:val="-7"/>
        </w:rPr>
        <w:t> </w:t>
      </w:r>
      <w:r>
        <w:rPr/>
        <w:t>Cabinet 1 National Circuit</w:t>
      </w:r>
    </w:p>
    <w:p>
      <w:pPr>
        <w:pStyle w:val="BodyText"/>
        <w:spacing w:line="247" w:lineRule="auto" w:before="2"/>
        <w:ind w:left="672" w:right="6433"/>
      </w:pPr>
      <w:r>
        <w:rPr/>
        <w:t>Barton ACT 2600 </w:t>
      </w:r>
      <w:hyperlink r:id="rId6">
        <w:r>
          <w:rPr>
            <w:spacing w:val="-2"/>
          </w:rPr>
          <w:t>jason.lange@pmc.gov.au</w:t>
        </w:r>
      </w:hyperlink>
    </w:p>
    <w:p>
      <w:pPr>
        <w:pStyle w:val="BodyText"/>
        <w:spacing w:before="10"/>
        <w:rPr>
          <w:sz w:val="20"/>
        </w:rPr>
      </w:pPr>
    </w:p>
    <w:p>
      <w:pPr>
        <w:pStyle w:val="BodyText"/>
        <w:ind w:left="672"/>
      </w:pPr>
      <w:r>
        <w:rPr/>
        <w:t>ACMA</w:t>
      </w:r>
      <w:r>
        <w:rPr>
          <w:spacing w:val="-10"/>
        </w:rPr>
        <w:t> </w:t>
      </w:r>
      <w:r>
        <w:rPr/>
        <w:t>file</w:t>
      </w:r>
      <w:r>
        <w:rPr>
          <w:spacing w:val="-8"/>
        </w:rPr>
        <w:t> </w:t>
      </w:r>
      <w:r>
        <w:rPr/>
        <w:t>reference:</w:t>
      </w:r>
      <w:r>
        <w:rPr>
          <w:spacing w:val="-8"/>
        </w:rPr>
        <w:t> </w:t>
      </w:r>
      <w:r>
        <w:rPr/>
        <w:t>ACMA2022/401-</w:t>
      </w:r>
      <w:r>
        <w:rPr>
          <w:spacing w:val="-10"/>
        </w:rPr>
        <w:t>9</w:t>
      </w:r>
    </w:p>
    <w:p>
      <w:pPr>
        <w:pStyle w:val="BodyText"/>
        <w:rPr>
          <w:sz w:val="24"/>
        </w:rPr>
      </w:pPr>
    </w:p>
    <w:p>
      <w:pPr>
        <w:pStyle w:val="BodyText"/>
        <w:spacing w:before="211"/>
        <w:ind w:left="672"/>
      </w:pPr>
      <w:r>
        <w:rPr/>
        <w:t>Dear</w:t>
      </w:r>
      <w:r>
        <w:rPr>
          <w:spacing w:val="-2"/>
        </w:rPr>
        <w:t> </w:t>
      </w:r>
      <w:r>
        <w:rPr/>
        <w:t>Mr</w:t>
      </w:r>
      <w:r>
        <w:rPr>
          <w:spacing w:val="-1"/>
        </w:rPr>
        <w:t> </w:t>
      </w:r>
      <w:r>
        <w:rPr>
          <w:spacing w:val="-2"/>
        </w:rPr>
        <w:t>Lange</w:t>
      </w:r>
    </w:p>
    <w:p>
      <w:pPr>
        <w:pStyle w:val="BodyText"/>
        <w:spacing w:before="7"/>
        <w:rPr>
          <w:sz w:val="21"/>
        </w:rPr>
      </w:pPr>
    </w:p>
    <w:p>
      <w:pPr>
        <w:pStyle w:val="Heading1"/>
        <w:ind w:left="672"/>
      </w:pPr>
      <w:r>
        <w:rPr/>
        <w:t>Broadcasting</w:t>
      </w:r>
      <w:r>
        <w:rPr>
          <w:spacing w:val="-9"/>
        </w:rPr>
        <w:t> </w:t>
      </w:r>
      <w:r>
        <w:rPr/>
        <w:t>Services</w:t>
      </w:r>
      <w:r>
        <w:rPr>
          <w:spacing w:val="-8"/>
        </w:rPr>
        <w:t> </w:t>
      </w:r>
      <w:r>
        <w:rPr/>
        <w:t>(Television</w:t>
      </w:r>
      <w:r>
        <w:rPr>
          <w:spacing w:val="-6"/>
        </w:rPr>
        <w:t> </w:t>
      </w:r>
      <w:r>
        <w:rPr/>
        <w:t>Captioning)</w:t>
      </w:r>
      <w:r>
        <w:rPr>
          <w:spacing w:val="-8"/>
        </w:rPr>
        <w:t> </w:t>
      </w:r>
      <w:r>
        <w:rPr/>
        <w:t>Standard</w:t>
      </w:r>
      <w:r>
        <w:rPr>
          <w:spacing w:val="-7"/>
        </w:rPr>
        <w:t> </w:t>
      </w:r>
      <w:r>
        <w:rPr>
          <w:spacing w:val="-4"/>
        </w:rPr>
        <w:t>2013</w:t>
      </w:r>
    </w:p>
    <w:p>
      <w:pPr>
        <w:pStyle w:val="BodyText"/>
        <w:spacing w:before="4"/>
        <w:rPr>
          <w:b/>
          <w:sz w:val="21"/>
        </w:rPr>
      </w:pPr>
    </w:p>
    <w:p>
      <w:pPr>
        <w:pStyle w:val="BodyText"/>
        <w:spacing w:line="247" w:lineRule="auto" w:before="1"/>
        <w:ind w:left="672" w:right="117"/>
      </w:pPr>
      <w:r>
        <w:rPr/>
        <w:t>I am writing regarding the Broadcasting Services (Television Captioning) Standard 2013 (the Standard), which, as per the </w:t>
      </w:r>
      <w:r>
        <w:rPr>
          <w:i/>
        </w:rPr>
        <w:t>Legislation Act 2003</w:t>
      </w:r>
      <w:r>
        <w:rPr/>
        <w:t>, had been scheduled to sunset on 1 October 2023. The</w:t>
      </w:r>
      <w:r>
        <w:rPr>
          <w:spacing w:val="-4"/>
        </w:rPr>
        <w:t> </w:t>
      </w:r>
      <w:r>
        <w:rPr/>
        <w:t>ACMA</w:t>
      </w:r>
      <w:r>
        <w:rPr>
          <w:spacing w:val="-2"/>
        </w:rPr>
        <w:t> </w:t>
      </w:r>
      <w:r>
        <w:rPr/>
        <w:t>has</w:t>
      </w:r>
      <w:r>
        <w:rPr>
          <w:spacing w:val="-1"/>
        </w:rPr>
        <w:t> </w:t>
      </w:r>
      <w:r>
        <w:rPr/>
        <w:t>decided</w:t>
      </w:r>
      <w:r>
        <w:rPr>
          <w:spacing w:val="-2"/>
        </w:rPr>
        <w:t> </w:t>
      </w:r>
      <w:r>
        <w:rPr/>
        <w:t>that</w:t>
      </w:r>
      <w:r>
        <w:rPr>
          <w:spacing w:val="-5"/>
        </w:rPr>
        <w:t> </w:t>
      </w:r>
      <w:r>
        <w:rPr/>
        <w:t>the</w:t>
      </w:r>
      <w:r>
        <w:rPr>
          <w:spacing w:val="-2"/>
        </w:rPr>
        <w:t> </w:t>
      </w:r>
      <w:r>
        <w:rPr/>
        <w:t>instrument</w:t>
      </w:r>
      <w:r>
        <w:rPr>
          <w:spacing w:val="-3"/>
        </w:rPr>
        <w:t> </w:t>
      </w:r>
      <w:r>
        <w:rPr/>
        <w:t>is</w:t>
      </w:r>
      <w:r>
        <w:rPr>
          <w:spacing w:val="-1"/>
        </w:rPr>
        <w:t> </w:t>
      </w:r>
      <w:r>
        <w:rPr/>
        <w:t>to</w:t>
      </w:r>
      <w:r>
        <w:rPr>
          <w:spacing w:val="-4"/>
        </w:rPr>
        <w:t> </w:t>
      </w:r>
      <w:r>
        <w:rPr/>
        <w:t>be</w:t>
      </w:r>
      <w:r>
        <w:rPr>
          <w:spacing w:val="-4"/>
        </w:rPr>
        <w:t> </w:t>
      </w:r>
      <w:r>
        <w:rPr/>
        <w:t>remade</w:t>
      </w:r>
      <w:r>
        <w:rPr>
          <w:spacing w:val="-2"/>
        </w:rPr>
        <w:t> </w:t>
      </w:r>
      <w:r>
        <w:rPr/>
        <w:t>without</w:t>
      </w:r>
      <w:r>
        <w:rPr>
          <w:spacing w:val="-3"/>
        </w:rPr>
        <w:t> </w:t>
      </w:r>
      <w:r>
        <w:rPr/>
        <w:t>significant amendment.</w:t>
      </w:r>
    </w:p>
    <w:p>
      <w:pPr>
        <w:pStyle w:val="BodyText"/>
        <w:spacing w:line="244" w:lineRule="auto" w:before="118"/>
        <w:ind w:left="672" w:right="117"/>
      </w:pPr>
      <w:r>
        <w:rPr/>
        <w:t>The</w:t>
      </w:r>
      <w:r>
        <w:rPr>
          <w:spacing w:val="-2"/>
        </w:rPr>
        <w:t> </w:t>
      </w:r>
      <w:r>
        <w:rPr/>
        <w:t>ACMA</w:t>
      </w:r>
      <w:r>
        <w:rPr>
          <w:spacing w:val="-3"/>
        </w:rPr>
        <w:t> </w:t>
      </w:r>
      <w:r>
        <w:rPr/>
        <w:t>certifies</w:t>
      </w:r>
      <w:r>
        <w:rPr>
          <w:spacing w:val="-3"/>
        </w:rPr>
        <w:t> </w:t>
      </w:r>
      <w:r>
        <w:rPr/>
        <w:t>that</w:t>
      </w:r>
      <w:r>
        <w:rPr>
          <w:spacing w:val="-3"/>
        </w:rPr>
        <w:t> </w:t>
      </w:r>
      <w:r>
        <w:rPr/>
        <w:t>the</w:t>
      </w:r>
      <w:r>
        <w:rPr>
          <w:spacing w:val="-3"/>
        </w:rPr>
        <w:t> </w:t>
      </w:r>
      <w:r>
        <w:rPr/>
        <w:t>Standard</w:t>
      </w:r>
      <w:r>
        <w:rPr>
          <w:spacing w:val="-4"/>
        </w:rPr>
        <w:t> </w:t>
      </w:r>
      <w:r>
        <w:rPr/>
        <w:t>is</w:t>
      </w:r>
      <w:r>
        <w:rPr>
          <w:spacing w:val="-2"/>
        </w:rPr>
        <w:t> </w:t>
      </w:r>
      <w:r>
        <w:rPr/>
        <w:t>operating</w:t>
      </w:r>
      <w:r>
        <w:rPr>
          <w:spacing w:val="-5"/>
        </w:rPr>
        <w:t> </w:t>
      </w:r>
      <w:r>
        <w:rPr/>
        <w:t>effectively</w:t>
      </w:r>
      <w:r>
        <w:rPr>
          <w:spacing w:val="-2"/>
        </w:rPr>
        <w:t> </w:t>
      </w:r>
      <w:r>
        <w:rPr/>
        <w:t>and</w:t>
      </w:r>
      <w:r>
        <w:rPr>
          <w:spacing w:val="-5"/>
        </w:rPr>
        <w:t> </w:t>
      </w:r>
      <w:r>
        <w:rPr/>
        <w:t>efficiently,</w:t>
      </w:r>
      <w:r>
        <w:rPr>
          <w:spacing w:val="-1"/>
        </w:rPr>
        <w:t> </w:t>
      </w:r>
      <w:r>
        <w:rPr/>
        <w:t>and</w:t>
      </w:r>
      <w:r>
        <w:rPr>
          <w:spacing w:val="-2"/>
        </w:rPr>
        <w:t> </w:t>
      </w:r>
      <w:r>
        <w:rPr/>
        <w:t>that</w:t>
      </w:r>
      <w:r>
        <w:rPr>
          <w:spacing w:val="-4"/>
        </w:rPr>
        <w:t> </w:t>
      </w:r>
      <w:r>
        <w:rPr/>
        <w:t>therefore Impact Analysis is not required for this instrument to be remade.</w:t>
      </w:r>
    </w:p>
    <w:p>
      <w:pPr>
        <w:pStyle w:val="BodyText"/>
        <w:spacing w:line="247" w:lineRule="auto" w:before="125"/>
        <w:ind w:left="672" w:right="117"/>
      </w:pPr>
      <w:r>
        <w:rPr/>
        <w:t>The assessment that the legislation is operating effectively and efficiently has been informed by a consultation process which involved free-to-air television broadcasters, Free TV Australia, the Australian Subscription Television and Radio Association, captioning providers, consumer advocacy</w:t>
      </w:r>
      <w:r>
        <w:rPr>
          <w:spacing w:val="-2"/>
        </w:rPr>
        <w:t> </w:t>
      </w:r>
      <w:r>
        <w:rPr/>
        <w:t>groups</w:t>
      </w:r>
      <w:r>
        <w:rPr>
          <w:spacing w:val="-3"/>
        </w:rPr>
        <w:t> </w:t>
      </w:r>
      <w:r>
        <w:rPr/>
        <w:t>and</w:t>
      </w:r>
      <w:r>
        <w:rPr>
          <w:spacing w:val="-2"/>
        </w:rPr>
        <w:t> </w:t>
      </w:r>
      <w:r>
        <w:rPr/>
        <w:t>organisations</w:t>
      </w:r>
      <w:r>
        <w:rPr>
          <w:spacing w:val="-3"/>
        </w:rPr>
        <w:t> </w:t>
      </w:r>
      <w:r>
        <w:rPr/>
        <w:t>representing</w:t>
      </w:r>
      <w:r>
        <w:rPr>
          <w:spacing w:val="-4"/>
        </w:rPr>
        <w:t> </w:t>
      </w:r>
      <w:r>
        <w:rPr/>
        <w:t>the</w:t>
      </w:r>
      <w:r>
        <w:rPr>
          <w:spacing w:val="-5"/>
        </w:rPr>
        <w:t> </w:t>
      </w:r>
      <w:r>
        <w:rPr/>
        <w:t>deaf</w:t>
      </w:r>
      <w:r>
        <w:rPr>
          <w:spacing w:val="-4"/>
        </w:rPr>
        <w:t> </w:t>
      </w:r>
      <w:r>
        <w:rPr/>
        <w:t>and</w:t>
      </w:r>
      <w:r>
        <w:rPr>
          <w:spacing w:val="-3"/>
        </w:rPr>
        <w:t> </w:t>
      </w:r>
      <w:r>
        <w:rPr/>
        <w:t>hard</w:t>
      </w:r>
      <w:r>
        <w:rPr>
          <w:spacing w:val="-3"/>
        </w:rPr>
        <w:t> </w:t>
      </w:r>
      <w:r>
        <w:rPr/>
        <w:t>of</w:t>
      </w:r>
      <w:r>
        <w:rPr>
          <w:spacing w:val="-1"/>
        </w:rPr>
        <w:t> </w:t>
      </w:r>
      <w:r>
        <w:rPr/>
        <w:t>hearing</w:t>
      </w:r>
      <w:r>
        <w:rPr>
          <w:spacing w:val="-3"/>
        </w:rPr>
        <w:t> </w:t>
      </w:r>
      <w:r>
        <w:rPr/>
        <w:t>community,</w:t>
      </w:r>
      <w:r>
        <w:rPr>
          <w:spacing w:val="-4"/>
        </w:rPr>
        <w:t> </w:t>
      </w:r>
      <w:r>
        <w:rPr/>
        <w:t>over</w:t>
      </w:r>
      <w:r>
        <w:rPr>
          <w:spacing w:val="-4"/>
        </w:rPr>
        <w:t> </w:t>
      </w:r>
      <w:r>
        <w:rPr/>
        <w:t>the period 2 May to 13 June 2023.</w:t>
      </w:r>
    </w:p>
    <w:p>
      <w:pPr>
        <w:pStyle w:val="BodyText"/>
        <w:spacing w:line="247" w:lineRule="auto" w:before="116"/>
        <w:ind w:left="672" w:right="117"/>
      </w:pPr>
      <w:r>
        <w:rPr/>
        <w:t>The</w:t>
      </w:r>
      <w:r>
        <w:rPr>
          <w:spacing w:val="-3"/>
        </w:rPr>
        <w:t> </w:t>
      </w:r>
      <w:r>
        <w:rPr/>
        <w:t>regulatory</w:t>
      </w:r>
      <w:r>
        <w:rPr>
          <w:spacing w:val="-2"/>
        </w:rPr>
        <w:t> </w:t>
      </w:r>
      <w:r>
        <w:rPr/>
        <w:t>burden</w:t>
      </w:r>
      <w:r>
        <w:rPr>
          <w:spacing w:val="-5"/>
        </w:rPr>
        <w:t> </w:t>
      </w:r>
      <w:r>
        <w:rPr/>
        <w:t>to</w:t>
      </w:r>
      <w:r>
        <w:rPr>
          <w:spacing w:val="-4"/>
        </w:rPr>
        <w:t> </w:t>
      </w:r>
      <w:r>
        <w:rPr/>
        <w:t>people,</w:t>
      </w:r>
      <w:r>
        <w:rPr>
          <w:spacing w:val="-2"/>
        </w:rPr>
        <w:t> </w:t>
      </w:r>
      <w:r>
        <w:rPr/>
        <w:t>business,</w:t>
      </w:r>
      <w:r>
        <w:rPr>
          <w:spacing w:val="-4"/>
        </w:rPr>
        <w:t> </w:t>
      </w:r>
      <w:r>
        <w:rPr/>
        <w:t>or</w:t>
      </w:r>
      <w:r>
        <w:rPr>
          <w:spacing w:val="-4"/>
        </w:rPr>
        <w:t> </w:t>
      </w:r>
      <w:r>
        <w:rPr/>
        <w:t>community</w:t>
      </w:r>
      <w:r>
        <w:rPr>
          <w:spacing w:val="-2"/>
        </w:rPr>
        <w:t> </w:t>
      </w:r>
      <w:r>
        <w:rPr/>
        <w:t>organisations</w:t>
      </w:r>
      <w:r>
        <w:rPr>
          <w:spacing w:val="-3"/>
        </w:rPr>
        <w:t> </w:t>
      </w:r>
      <w:r>
        <w:rPr/>
        <w:t>has</w:t>
      </w:r>
      <w:r>
        <w:rPr>
          <w:spacing w:val="-3"/>
        </w:rPr>
        <w:t> </w:t>
      </w:r>
      <w:r>
        <w:rPr/>
        <w:t>been</w:t>
      </w:r>
      <w:r>
        <w:rPr>
          <w:spacing w:val="-1"/>
        </w:rPr>
        <w:t> </w:t>
      </w:r>
      <w:r>
        <w:rPr/>
        <w:t>quantified</w:t>
      </w:r>
      <w:r>
        <w:rPr>
          <w:spacing w:val="-3"/>
        </w:rPr>
        <w:t> </w:t>
      </w:r>
      <w:r>
        <w:rPr/>
        <w:t>using the Australian Government’s Regulatory Burden Measurement framework. These are provided below, noting that there is no change in regulatory costs from business as usual. Consistent with the framework, this burden is measured as a comparison of the operation of the 2013 Standard compared to requirements under the remade Standard.</w:t>
      </w:r>
    </w:p>
    <w:p>
      <w:pPr>
        <w:pStyle w:val="BodyText"/>
        <w:spacing w:before="118"/>
        <w:ind w:left="672"/>
      </w:pPr>
      <w:r>
        <w:rPr/>
        <w:t>Average</w:t>
      </w:r>
      <w:r>
        <w:rPr>
          <w:spacing w:val="-7"/>
        </w:rPr>
        <w:t> </w:t>
      </w:r>
      <w:r>
        <w:rPr/>
        <w:t>annual</w:t>
      </w:r>
      <w:r>
        <w:rPr>
          <w:spacing w:val="-8"/>
        </w:rPr>
        <w:t> </w:t>
      </w:r>
      <w:r>
        <w:rPr/>
        <w:t>regulatory</w:t>
      </w:r>
      <w:r>
        <w:rPr>
          <w:spacing w:val="-5"/>
        </w:rPr>
        <w:t> </w:t>
      </w:r>
      <w:r>
        <w:rPr/>
        <w:t>costs</w:t>
      </w:r>
      <w:r>
        <w:rPr>
          <w:spacing w:val="-8"/>
        </w:rPr>
        <w:t> </w:t>
      </w:r>
      <w:r>
        <w:rPr/>
        <w:t>(from</w:t>
      </w:r>
      <w:r>
        <w:rPr>
          <w:spacing w:val="-5"/>
        </w:rPr>
        <w:t> </w:t>
      </w:r>
      <w:r>
        <w:rPr/>
        <w:t>business</w:t>
      </w:r>
      <w:r>
        <w:rPr>
          <w:spacing w:val="-5"/>
        </w:rPr>
        <w:t> </w:t>
      </w:r>
      <w:r>
        <w:rPr/>
        <w:t>as</w:t>
      </w:r>
      <w:r>
        <w:rPr>
          <w:spacing w:val="-5"/>
        </w:rPr>
        <w:t> </w:t>
      </w:r>
      <w:r>
        <w:rPr>
          <w:spacing w:val="-2"/>
        </w:rPr>
        <w:t>usual)</w:t>
      </w:r>
    </w:p>
    <w:p>
      <w:pPr>
        <w:pStyle w:val="BodyText"/>
        <w:spacing w:before="3" w:after="1"/>
        <w:rPr>
          <w:sz w:val="10"/>
        </w:rPr>
      </w:pPr>
    </w:p>
    <w:tbl>
      <w:tblPr>
        <w:tblW w:w="0" w:type="auto"/>
        <w:jc w:val="left"/>
        <w:tblInd w:w="800" w:type="dxa"/>
        <w:tblBorders>
          <w:top w:val="single" w:sz="8" w:space="0" w:color="4E4E4E"/>
          <w:left w:val="single" w:sz="8" w:space="0" w:color="4E4E4E"/>
          <w:bottom w:val="single" w:sz="8" w:space="0" w:color="4E4E4E"/>
          <w:right w:val="single" w:sz="8" w:space="0" w:color="4E4E4E"/>
          <w:insideH w:val="single" w:sz="8" w:space="0" w:color="4E4E4E"/>
          <w:insideV w:val="single" w:sz="8" w:space="0" w:color="4E4E4E"/>
        </w:tblBorders>
        <w:tblLayout w:type="fixed"/>
        <w:tblCellMar>
          <w:top w:w="0" w:type="dxa"/>
          <w:left w:w="0" w:type="dxa"/>
          <w:bottom w:w="0" w:type="dxa"/>
          <w:right w:w="0" w:type="dxa"/>
        </w:tblCellMar>
        <w:tblLook w:val="01E0"/>
      </w:tblPr>
      <w:tblGrid>
        <w:gridCol w:w="1872"/>
        <w:gridCol w:w="1870"/>
        <w:gridCol w:w="1872"/>
        <w:gridCol w:w="1872"/>
        <w:gridCol w:w="1873"/>
      </w:tblGrid>
      <w:tr>
        <w:trPr>
          <w:trHeight w:val="836" w:hRule="atLeast"/>
        </w:trPr>
        <w:tc>
          <w:tcPr>
            <w:tcW w:w="1872" w:type="dxa"/>
          </w:tcPr>
          <w:p>
            <w:pPr>
              <w:pStyle w:val="TableParagraph"/>
              <w:spacing w:line="264" w:lineRule="auto" w:before="2"/>
              <w:ind w:left="110" w:right="149"/>
              <w:rPr>
                <w:b/>
                <w:sz w:val="22"/>
              </w:rPr>
            </w:pPr>
            <w:r>
              <w:rPr>
                <w:b/>
                <w:sz w:val="22"/>
              </w:rPr>
              <w:t>Change</w:t>
            </w:r>
            <w:r>
              <w:rPr>
                <w:b/>
                <w:spacing w:val="-16"/>
                <w:sz w:val="22"/>
              </w:rPr>
              <w:t> </w:t>
            </w:r>
            <w:r>
              <w:rPr>
                <w:b/>
                <w:sz w:val="22"/>
              </w:rPr>
              <w:t>in </w:t>
            </w:r>
            <w:r>
              <w:rPr>
                <w:b/>
                <w:spacing w:val="-2"/>
                <w:sz w:val="22"/>
              </w:rPr>
              <w:t>costs</w:t>
            </w:r>
          </w:p>
          <w:p>
            <w:pPr>
              <w:pStyle w:val="TableParagraph"/>
              <w:spacing w:line="240" w:lineRule="auto"/>
              <w:ind w:left="110"/>
              <w:rPr>
                <w:b/>
                <w:sz w:val="22"/>
              </w:rPr>
            </w:pPr>
            <w:r>
              <w:rPr>
                <w:b/>
                <w:sz w:val="22"/>
              </w:rPr>
              <w:t>($</w:t>
            </w:r>
            <w:r>
              <w:rPr>
                <w:b/>
                <w:spacing w:val="-4"/>
                <w:sz w:val="22"/>
              </w:rPr>
              <w:t> </w:t>
            </w:r>
            <w:r>
              <w:rPr>
                <w:b/>
                <w:spacing w:val="-2"/>
                <w:sz w:val="22"/>
              </w:rPr>
              <w:t>million)</w:t>
            </w:r>
          </w:p>
        </w:tc>
        <w:tc>
          <w:tcPr>
            <w:tcW w:w="1870" w:type="dxa"/>
          </w:tcPr>
          <w:p>
            <w:pPr>
              <w:pStyle w:val="TableParagraph"/>
              <w:spacing w:line="240" w:lineRule="auto" w:before="2"/>
              <w:rPr>
                <w:b/>
                <w:sz w:val="22"/>
              </w:rPr>
            </w:pPr>
            <w:r>
              <w:rPr>
                <w:b/>
                <w:spacing w:val="-2"/>
                <w:sz w:val="22"/>
              </w:rPr>
              <w:t>Business</w:t>
            </w:r>
          </w:p>
        </w:tc>
        <w:tc>
          <w:tcPr>
            <w:tcW w:w="1872" w:type="dxa"/>
          </w:tcPr>
          <w:p>
            <w:pPr>
              <w:pStyle w:val="TableParagraph"/>
              <w:spacing w:line="264" w:lineRule="auto" w:before="2"/>
              <w:ind w:left="110" w:right="149"/>
              <w:rPr>
                <w:b/>
                <w:sz w:val="22"/>
              </w:rPr>
            </w:pPr>
            <w:r>
              <w:rPr>
                <w:b/>
                <w:spacing w:val="-2"/>
                <w:sz w:val="22"/>
              </w:rPr>
              <w:t>Community organisations</w:t>
            </w:r>
          </w:p>
        </w:tc>
        <w:tc>
          <w:tcPr>
            <w:tcW w:w="1872" w:type="dxa"/>
          </w:tcPr>
          <w:p>
            <w:pPr>
              <w:pStyle w:val="TableParagraph"/>
              <w:spacing w:line="240" w:lineRule="auto" w:before="2"/>
              <w:rPr>
                <w:b/>
                <w:sz w:val="22"/>
              </w:rPr>
            </w:pPr>
            <w:r>
              <w:rPr>
                <w:b/>
                <w:spacing w:val="-2"/>
                <w:sz w:val="22"/>
              </w:rPr>
              <w:t>People</w:t>
            </w:r>
          </w:p>
        </w:tc>
        <w:tc>
          <w:tcPr>
            <w:tcW w:w="1873" w:type="dxa"/>
          </w:tcPr>
          <w:p>
            <w:pPr>
              <w:pStyle w:val="TableParagraph"/>
              <w:spacing w:line="264" w:lineRule="auto" w:before="2"/>
              <w:rPr>
                <w:b/>
                <w:sz w:val="22"/>
              </w:rPr>
            </w:pPr>
            <w:r>
              <w:rPr>
                <w:b/>
                <w:sz w:val="22"/>
              </w:rPr>
              <w:t>Total</w:t>
            </w:r>
            <w:r>
              <w:rPr>
                <w:b/>
                <w:spacing w:val="-16"/>
                <w:sz w:val="22"/>
              </w:rPr>
              <w:t> </w:t>
            </w:r>
            <w:r>
              <w:rPr>
                <w:b/>
                <w:sz w:val="22"/>
              </w:rPr>
              <w:t>change</w:t>
            </w:r>
            <w:r>
              <w:rPr>
                <w:b/>
                <w:spacing w:val="-15"/>
                <w:sz w:val="22"/>
              </w:rPr>
              <w:t> </w:t>
            </w:r>
            <w:r>
              <w:rPr>
                <w:b/>
                <w:sz w:val="22"/>
              </w:rPr>
              <w:t>in </w:t>
            </w:r>
            <w:r>
              <w:rPr>
                <w:b/>
                <w:spacing w:val="-2"/>
                <w:sz w:val="22"/>
              </w:rPr>
              <w:t>costs</w:t>
            </w:r>
          </w:p>
        </w:tc>
      </w:tr>
      <w:tr>
        <w:trPr>
          <w:trHeight w:val="299" w:hRule="atLeast"/>
        </w:trPr>
        <w:tc>
          <w:tcPr>
            <w:tcW w:w="1872" w:type="dxa"/>
          </w:tcPr>
          <w:p>
            <w:pPr>
              <w:pStyle w:val="TableParagraph"/>
              <w:ind w:left="110"/>
              <w:rPr>
                <w:b/>
                <w:sz w:val="22"/>
              </w:rPr>
            </w:pPr>
            <w:r>
              <w:rPr>
                <w:b/>
                <w:sz w:val="22"/>
              </w:rPr>
              <w:t>Total,</w:t>
            </w:r>
            <w:r>
              <w:rPr>
                <w:b/>
                <w:spacing w:val="-2"/>
                <w:sz w:val="22"/>
              </w:rPr>
              <w:t> </w:t>
            </w:r>
            <w:r>
              <w:rPr>
                <w:b/>
                <w:sz w:val="22"/>
              </w:rPr>
              <w:t>by</w:t>
            </w:r>
            <w:r>
              <w:rPr>
                <w:b/>
                <w:spacing w:val="-6"/>
                <w:sz w:val="22"/>
              </w:rPr>
              <w:t> </w:t>
            </w:r>
            <w:r>
              <w:rPr>
                <w:b/>
                <w:spacing w:val="-2"/>
                <w:sz w:val="22"/>
              </w:rPr>
              <w:t>sector</w:t>
            </w:r>
          </w:p>
        </w:tc>
        <w:tc>
          <w:tcPr>
            <w:tcW w:w="1870" w:type="dxa"/>
          </w:tcPr>
          <w:p>
            <w:pPr>
              <w:pStyle w:val="TableParagraph"/>
              <w:rPr>
                <w:sz w:val="22"/>
              </w:rPr>
            </w:pPr>
            <w:r>
              <w:rPr>
                <w:spacing w:val="-5"/>
                <w:sz w:val="22"/>
              </w:rPr>
              <w:t>$0</w:t>
            </w:r>
          </w:p>
        </w:tc>
        <w:tc>
          <w:tcPr>
            <w:tcW w:w="1872" w:type="dxa"/>
          </w:tcPr>
          <w:p>
            <w:pPr>
              <w:pStyle w:val="TableParagraph"/>
              <w:ind w:left="110"/>
              <w:rPr>
                <w:sz w:val="22"/>
              </w:rPr>
            </w:pPr>
            <w:r>
              <w:rPr>
                <w:spacing w:val="-5"/>
                <w:sz w:val="22"/>
              </w:rPr>
              <w:t>$0</w:t>
            </w:r>
          </w:p>
        </w:tc>
        <w:tc>
          <w:tcPr>
            <w:tcW w:w="1872" w:type="dxa"/>
          </w:tcPr>
          <w:p>
            <w:pPr>
              <w:pStyle w:val="TableParagraph"/>
              <w:rPr>
                <w:sz w:val="22"/>
              </w:rPr>
            </w:pPr>
            <w:r>
              <w:rPr>
                <w:spacing w:val="-5"/>
                <w:sz w:val="22"/>
              </w:rPr>
              <w:t>$0</w:t>
            </w:r>
          </w:p>
        </w:tc>
        <w:tc>
          <w:tcPr>
            <w:tcW w:w="1873" w:type="dxa"/>
          </w:tcPr>
          <w:p>
            <w:pPr>
              <w:pStyle w:val="TableParagraph"/>
              <w:rPr>
                <w:sz w:val="22"/>
              </w:rPr>
            </w:pPr>
            <w:r>
              <w:rPr>
                <w:spacing w:val="-5"/>
                <w:sz w:val="22"/>
              </w:rPr>
              <w:t>$0</w:t>
            </w:r>
          </w:p>
        </w:tc>
      </w:tr>
    </w:tbl>
    <w:p>
      <w:pPr>
        <w:pStyle w:val="BodyText"/>
        <w:spacing w:before="9"/>
        <w:rPr>
          <w:sz w:val="33"/>
        </w:rPr>
      </w:pPr>
    </w:p>
    <w:p>
      <w:pPr>
        <w:pStyle w:val="BodyText"/>
        <w:ind w:left="672"/>
      </w:pPr>
      <w:r>
        <w:rPr/>
        <w:drawing>
          <wp:anchor distT="0" distB="0" distL="0" distR="0" allowOverlap="1" layoutInCell="1" locked="0" behindDoc="0" simplePos="0" relativeHeight="15729664">
            <wp:simplePos x="0" y="0"/>
            <wp:positionH relativeFrom="page">
              <wp:posOffset>749435</wp:posOffset>
            </wp:positionH>
            <wp:positionV relativeFrom="paragraph">
              <wp:posOffset>169136</wp:posOffset>
            </wp:positionV>
            <wp:extent cx="1009514" cy="54101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009514" cy="541019"/>
                    </a:xfrm>
                    <a:prstGeom prst="rect">
                      <a:avLst/>
                    </a:prstGeom>
                  </pic:spPr>
                </pic:pic>
              </a:graphicData>
            </a:graphic>
          </wp:anchor>
        </w:drawing>
      </w:r>
      <w:r>
        <w:rPr/>
        <w:t>Yours</w:t>
      </w:r>
      <w:r>
        <w:rPr>
          <w:spacing w:val="-2"/>
        </w:rPr>
        <w:t> sincerely</w:t>
      </w:r>
    </w:p>
    <w:p>
      <w:pPr>
        <w:pStyle w:val="BodyText"/>
        <w:rPr>
          <w:sz w:val="24"/>
        </w:rPr>
      </w:pPr>
    </w:p>
    <w:p>
      <w:pPr>
        <w:pStyle w:val="BodyText"/>
        <w:rPr>
          <w:sz w:val="24"/>
        </w:rPr>
      </w:pPr>
    </w:p>
    <w:p>
      <w:pPr>
        <w:pStyle w:val="BodyText"/>
        <w:spacing w:line="244" w:lineRule="auto" w:before="168"/>
        <w:ind w:left="956" w:right="6433" w:hanging="284"/>
      </w:pPr>
      <w:r>
        <w:rPr/>
        <w:drawing>
          <wp:anchor distT="0" distB="0" distL="0" distR="0" allowOverlap="1" layoutInCell="1" locked="0" behindDoc="1" simplePos="0" relativeHeight="487535616">
            <wp:simplePos x="0" y="0"/>
            <wp:positionH relativeFrom="page">
              <wp:posOffset>778365</wp:posOffset>
            </wp:positionH>
            <wp:positionV relativeFrom="paragraph">
              <wp:posOffset>315694</wp:posOffset>
            </wp:positionV>
            <wp:extent cx="85882" cy="9817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85882" cy="98170"/>
                    </a:xfrm>
                    <a:prstGeom prst="rect">
                      <a:avLst/>
                    </a:prstGeom>
                  </pic:spPr>
                </pic:pic>
              </a:graphicData>
            </a:graphic>
          </wp:anchor>
        </w:drawing>
      </w:r>
      <w:r>
        <w:rPr/>
        <w:t>Nerida</w:t>
      </w:r>
      <w:r>
        <w:rPr>
          <w:spacing w:val="-16"/>
        </w:rPr>
        <w:t> </w:t>
      </w:r>
      <w:r>
        <w:rPr/>
        <w:t>O’Loughlin</w:t>
      </w:r>
      <w:r>
        <w:rPr>
          <w:spacing w:val="-15"/>
        </w:rPr>
        <w:t> </w:t>
      </w:r>
      <w:r>
        <w:rPr/>
        <w:t>PSM September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line="249" w:lineRule="auto" w:before="1"/>
        <w:ind w:left="3330" w:right="675" w:firstLine="672"/>
        <w:jc w:val="left"/>
        <w:rPr>
          <w:sz w:val="20"/>
        </w:rPr>
      </w:pPr>
      <w:r>
        <w:rPr>
          <w:sz w:val="20"/>
        </w:rPr>
        <w:t>PO Box 78, Belconnen ACT 2616 </w:t>
      </w:r>
      <w:hyperlink r:id="rId9">
        <w:r>
          <w:rPr>
            <w:sz w:val="20"/>
          </w:rPr>
          <w:t>OfficeoftheChair@acma.gov.au</w:t>
        </w:r>
      </w:hyperlink>
      <w:r>
        <w:rPr>
          <w:spacing w:val="80"/>
          <w:sz w:val="20"/>
        </w:rPr>
        <w:t> </w:t>
      </w:r>
      <w:r>
        <w:rPr>
          <w:sz w:val="20"/>
        </w:rPr>
        <w:t>|</w:t>
      </w:r>
      <w:r>
        <w:rPr>
          <w:spacing w:val="80"/>
          <w:sz w:val="20"/>
        </w:rPr>
        <w:t> </w:t>
      </w:r>
      <w:r>
        <w:rPr>
          <w:sz w:val="20"/>
        </w:rPr>
        <w:t>acma.gov.au</w:t>
      </w:r>
    </w:p>
    <w:sectPr>
      <w:type w:val="continuous"/>
      <w:pgSz w:w="11910" w:h="16840"/>
      <w:pgMar w:top="780" w:bottom="0" w:left="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53" w:lineRule="exact"/>
      <w:ind w:left="10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jason.lange@pmc.gov.a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OfficeoftheChair@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2023-09-10T23:19:02Z</dcterms:created>
  <dcterms:modified xsi:type="dcterms:W3CDTF">2023-09-10T23:19:02Z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LastSaved">
    <vt:filetime>2023-09-10T00:00:00Z</vt:filetime>
  </property>
</Properties>
</file>