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23A15" w14:textId="3B7D5F6A" w:rsidR="00D21990" w:rsidRDefault="001C0323" w:rsidP="009D1B27">
      <w:bookmarkStart w:id="0" w:name="_GoBack"/>
      <w:bookmarkEnd w:id="0"/>
      <w:r w:rsidRPr="00DB4169">
        <w:rPr>
          <w:noProof/>
          <w:lang w:eastAsia="en-AU"/>
        </w:rPr>
        <w:drawing>
          <wp:inline distT="0" distB="0" distL="0" distR="0" wp14:anchorId="0628EEC4" wp14:editId="7818954C">
            <wp:extent cx="2488019" cy="610870"/>
            <wp:effectExtent l="0" t="0" r="7620" b="0"/>
            <wp:docPr id="11" name="Picture 1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10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79" cy="61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4F25">
        <w:tab/>
      </w:r>
      <w:r w:rsidR="00A57F3E" w:rsidRPr="00EF29B1">
        <w:rPr>
          <w:noProof/>
          <w:lang w:eastAsia="en-AU"/>
        </w:rPr>
        <w:drawing>
          <wp:inline distT="0" distB="0" distL="0" distR="0" wp14:anchorId="4D85523D" wp14:editId="01B94449">
            <wp:extent cx="2700000" cy="615612"/>
            <wp:effectExtent l="0" t="0" r="5715" b="0"/>
            <wp:docPr id="16" name="Picture 16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Text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10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615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B4D23" w14:textId="77777777" w:rsidR="0090481F" w:rsidRDefault="0090481F" w:rsidP="0090481F"/>
    <w:p w14:paraId="48D0B539" w14:textId="1ED549AA" w:rsidR="00D00EC1" w:rsidRPr="009D1B27" w:rsidRDefault="00D00EC1" w:rsidP="009D1B27">
      <w:pPr>
        <w:pStyle w:val="Heading1"/>
      </w:pPr>
      <w:r w:rsidRPr="00DC7F1D">
        <w:rPr>
          <w:i/>
          <w:iCs/>
        </w:rPr>
        <w:t xml:space="preserve">Options </w:t>
      </w:r>
      <w:r w:rsidR="009D1B27" w:rsidRPr="00DC7F1D">
        <w:rPr>
          <w:i/>
          <w:iCs/>
        </w:rPr>
        <w:t xml:space="preserve">to provide energy price </w:t>
      </w:r>
      <w:r w:rsidR="00DC7F1D" w:rsidRPr="00DC7F1D">
        <w:rPr>
          <w:i/>
          <w:iCs/>
        </w:rPr>
        <w:t>relief</w:t>
      </w:r>
      <w:r w:rsidRPr="009D1B27">
        <w:t xml:space="preserve"> </w:t>
      </w:r>
      <w:r w:rsidR="00886E65" w:rsidRPr="009D1B27">
        <w:t>Impact Analysis</w:t>
      </w:r>
      <w:r w:rsidR="00F6269F" w:rsidRPr="009D1B27">
        <w:t xml:space="preserve"> </w:t>
      </w:r>
      <w:r w:rsidRPr="009D1B27">
        <w:t>– Addendum</w:t>
      </w:r>
      <w:r w:rsidR="00E028CE">
        <w:t xml:space="preserve"> in relation to policy design changes </w:t>
      </w:r>
      <w:r w:rsidR="00EB36B5">
        <w:t xml:space="preserve">for </w:t>
      </w:r>
      <w:r w:rsidR="00D11819">
        <w:t>a mandatory code of conduct for the east coast wholesale gas market</w:t>
      </w:r>
    </w:p>
    <w:p w14:paraId="557EBDBE" w14:textId="573BA02A" w:rsidR="003E74C1" w:rsidRPr="003E74C1" w:rsidRDefault="00E370F8" w:rsidP="00EB36B5">
      <w:pPr>
        <w:pStyle w:val="Heading2"/>
      </w:pPr>
      <w:r>
        <w:t>Outline</w:t>
      </w:r>
    </w:p>
    <w:p w14:paraId="6DA6B573" w14:textId="2B655004" w:rsidR="00384AF4" w:rsidRDefault="00D00EC1" w:rsidP="00D00EC1">
      <w:pPr>
        <w:spacing w:before="120"/>
      </w:pPr>
      <w:r>
        <w:t xml:space="preserve">On 9 December 2022 the </w:t>
      </w:r>
      <w:r w:rsidR="002C51B8">
        <w:t xml:space="preserve">Government published </w:t>
      </w:r>
      <w:r w:rsidR="00AA38A4">
        <w:t xml:space="preserve">the </w:t>
      </w:r>
      <w:r w:rsidR="00AA38A4" w:rsidRPr="2B64C180">
        <w:rPr>
          <w:i/>
          <w:iCs/>
        </w:rPr>
        <w:t>Options to provide energy price relief</w:t>
      </w:r>
      <w:r w:rsidR="00AA38A4">
        <w:t xml:space="preserve"> </w:t>
      </w:r>
      <w:r w:rsidR="002C51B8">
        <w:t>Impact Analysis (IA)</w:t>
      </w:r>
      <w:r w:rsidR="00F61FEB">
        <w:t xml:space="preserve"> in</w:t>
      </w:r>
      <w:r>
        <w:t xml:space="preserve"> </w:t>
      </w:r>
      <w:r w:rsidR="00EC7F86">
        <w:t xml:space="preserve">support of the </w:t>
      </w:r>
      <w:r w:rsidR="002C51B8">
        <w:t>Energy Price Relief</w:t>
      </w:r>
      <w:r w:rsidR="00EC7F86">
        <w:t xml:space="preserve"> Plan</w:t>
      </w:r>
      <w:r w:rsidR="0010241C">
        <w:t>. Under the Plan, the Government announced the</w:t>
      </w:r>
      <w:r w:rsidR="00C8409F">
        <w:t xml:space="preserve"> introduc</w:t>
      </w:r>
      <w:r w:rsidR="00384AF4">
        <w:t xml:space="preserve">tion of </w:t>
      </w:r>
      <w:r w:rsidR="00C8409F">
        <w:t xml:space="preserve">a </w:t>
      </w:r>
      <w:r w:rsidR="00A03E8C">
        <w:t xml:space="preserve">mandatory code of conduct </w:t>
      </w:r>
      <w:r w:rsidR="008966D9">
        <w:t xml:space="preserve">(Code) </w:t>
      </w:r>
      <w:r w:rsidR="00A03E8C">
        <w:t>to address systemic issues within the wholesale gas market and guide behaviour</w:t>
      </w:r>
      <w:r w:rsidR="000E59C9">
        <w:t xml:space="preserve"> in the negotiation of wholesale gas contracts</w:t>
      </w:r>
      <w:r w:rsidR="00A03E8C">
        <w:t>.</w:t>
      </w:r>
      <w:r w:rsidR="00384AF4">
        <w:t xml:space="preserve"> </w:t>
      </w:r>
      <w:r w:rsidR="003A3EDC">
        <w:t xml:space="preserve">Impacts of the Code were detailed in the </w:t>
      </w:r>
      <w:r w:rsidR="00B261CF">
        <w:t>December IA</w:t>
      </w:r>
      <w:r w:rsidR="4AB6AAEC">
        <w:t>.</w:t>
      </w:r>
      <w:r w:rsidR="00B261CF">
        <w:t xml:space="preserve"> </w:t>
      </w:r>
      <w:r w:rsidR="0F444F2F">
        <w:t>A</w:t>
      </w:r>
      <w:r w:rsidR="008966D9">
        <w:t>n initial round of consultation on t</w:t>
      </w:r>
      <w:r w:rsidR="002A6DD1">
        <w:t xml:space="preserve">he </w:t>
      </w:r>
      <w:r w:rsidR="00B261CF">
        <w:t>Code</w:t>
      </w:r>
      <w:r w:rsidR="008966D9">
        <w:t xml:space="preserve"> </w:t>
      </w:r>
      <w:r w:rsidR="00A90F08">
        <w:t xml:space="preserve">was undertaken </w:t>
      </w:r>
      <w:r w:rsidR="00813F72">
        <w:t xml:space="preserve">between </w:t>
      </w:r>
      <w:r w:rsidR="00BC26BD">
        <w:t>9 December 2022 and 7 February 2023</w:t>
      </w:r>
      <w:r w:rsidR="6D359990">
        <w:t xml:space="preserve">, and a second round of consultation focussed on an exposure draft of the </w:t>
      </w:r>
      <w:r w:rsidR="6D359990" w:rsidRPr="00646DEA">
        <w:rPr>
          <w:i/>
          <w:iCs/>
        </w:rPr>
        <w:t>Competition and Consumer (Gas Market Code) Regulations 2023</w:t>
      </w:r>
      <w:r w:rsidR="6D359990">
        <w:t xml:space="preserve"> was </w:t>
      </w:r>
      <w:r w:rsidR="08121401">
        <w:t>undertaken from 26 April 2023 to 12 May 2023</w:t>
      </w:r>
      <w:r w:rsidR="00BC26BD">
        <w:t>.</w:t>
      </w:r>
    </w:p>
    <w:p w14:paraId="09C51BE2" w14:textId="03FCEDEC" w:rsidR="00D00EC1" w:rsidRDefault="00FD102B" w:rsidP="00D00EC1">
      <w:pPr>
        <w:spacing w:before="120"/>
      </w:pPr>
      <w:r>
        <w:t xml:space="preserve">In response to </w:t>
      </w:r>
      <w:r w:rsidR="006E50AB">
        <w:t xml:space="preserve">stakeholder feedback, some key </w:t>
      </w:r>
      <w:r>
        <w:t xml:space="preserve">policy </w:t>
      </w:r>
      <w:r w:rsidR="006E50AB">
        <w:t xml:space="preserve">design features </w:t>
      </w:r>
      <w:r w:rsidR="00D72289">
        <w:t xml:space="preserve">of the Code </w:t>
      </w:r>
      <w:r w:rsidR="002308D9">
        <w:t>have been changed</w:t>
      </w:r>
      <w:r w:rsidR="00D72289">
        <w:t xml:space="preserve"> to </w:t>
      </w:r>
      <w:r w:rsidR="004D23A1">
        <w:t xml:space="preserve">better </w:t>
      </w:r>
      <w:r w:rsidR="001120E5">
        <w:t>achieve the objective of ensuring</w:t>
      </w:r>
      <w:r w:rsidR="004D23A1">
        <w:t xml:space="preserve"> adequate supply of reasonably priced gas to the east coast market</w:t>
      </w:r>
      <w:r w:rsidR="002308D9">
        <w:t xml:space="preserve">. </w:t>
      </w:r>
      <w:r w:rsidR="002C51B8">
        <w:t>This</w:t>
      </w:r>
      <w:r w:rsidR="00165EEC">
        <w:t xml:space="preserve"> </w:t>
      </w:r>
      <w:r w:rsidR="00135B5A">
        <w:t xml:space="preserve">IA </w:t>
      </w:r>
      <w:r w:rsidR="00D00EC1">
        <w:t xml:space="preserve">addendum </w:t>
      </w:r>
      <w:r w:rsidR="00D82567">
        <w:t xml:space="preserve">provides an update on </w:t>
      </w:r>
      <w:r w:rsidR="006B2089">
        <w:t xml:space="preserve">the impact of </w:t>
      </w:r>
      <w:r w:rsidR="002308D9">
        <w:t xml:space="preserve">the </w:t>
      </w:r>
      <w:r w:rsidR="00C463A0">
        <w:t>policy changes</w:t>
      </w:r>
      <w:r w:rsidR="00725737">
        <w:t xml:space="preserve"> compared to the </w:t>
      </w:r>
      <w:r w:rsidR="009F0A77">
        <w:t>original</w:t>
      </w:r>
      <w:r w:rsidR="00887AFA">
        <w:t xml:space="preserve"> </w:t>
      </w:r>
      <w:r w:rsidR="0096234A">
        <w:t xml:space="preserve">policy </w:t>
      </w:r>
      <w:r w:rsidR="0037203D">
        <w:t>proposal</w:t>
      </w:r>
      <w:r w:rsidR="001120E5">
        <w:t xml:space="preserve"> (detailed in the December </w:t>
      </w:r>
      <w:r w:rsidR="009D3581">
        <w:t>2022 IA)</w:t>
      </w:r>
      <w:r w:rsidR="00442560">
        <w:t xml:space="preserve"> and estimates a saving of $4.32 million over ten years compared to the original policy proposal.</w:t>
      </w:r>
    </w:p>
    <w:p w14:paraId="7936C0A0" w14:textId="0F3FA805" w:rsidR="00113956" w:rsidRDefault="001D28A8" w:rsidP="00AF5D32">
      <w:pPr>
        <w:pStyle w:val="Heading2"/>
      </w:pPr>
      <w:r>
        <w:t xml:space="preserve">Some key design features of the Code have been improved following the initial round </w:t>
      </w:r>
      <w:proofErr w:type="gramStart"/>
      <w:r>
        <w:t>of</w:t>
      </w:r>
      <w:proofErr w:type="gramEnd"/>
      <w:r>
        <w:t xml:space="preserve"> consultation</w:t>
      </w:r>
    </w:p>
    <w:p w14:paraId="2A8AA6C1" w14:textId="46A5EC28" w:rsidR="00EA2895" w:rsidRDefault="00BE5E32" w:rsidP="00D00EC1">
      <w:pPr>
        <w:spacing w:before="120"/>
      </w:pPr>
      <w:r>
        <w:t>The original</w:t>
      </w:r>
      <w:r w:rsidR="00AC324C">
        <w:t xml:space="preserve"> </w:t>
      </w:r>
      <w:r w:rsidR="00BF0DDA">
        <w:t xml:space="preserve">Code </w:t>
      </w:r>
      <w:r w:rsidR="00AC324C">
        <w:t xml:space="preserve">policy </w:t>
      </w:r>
      <w:r w:rsidR="00BF0DDA">
        <w:t xml:space="preserve">assessed </w:t>
      </w:r>
      <w:r w:rsidR="008A7CFA">
        <w:t>by</w:t>
      </w:r>
      <w:r w:rsidR="00BF0DDA">
        <w:t xml:space="preserve"> the December </w:t>
      </w:r>
      <w:r w:rsidR="009D3581">
        <w:t xml:space="preserve">2022 </w:t>
      </w:r>
      <w:r w:rsidR="00BF0DDA">
        <w:t>IA</w:t>
      </w:r>
      <w:r w:rsidR="00AC324C">
        <w:t xml:space="preserve"> </w:t>
      </w:r>
      <w:r w:rsidR="008A7CFA">
        <w:t>included</w:t>
      </w:r>
      <w:r w:rsidR="009D3581">
        <w:t xml:space="preserve"> </w:t>
      </w:r>
      <w:r w:rsidR="0037203D">
        <w:t>three main elements:</w:t>
      </w:r>
    </w:p>
    <w:p w14:paraId="441B246B" w14:textId="564C21EF" w:rsidR="0037203D" w:rsidRDefault="0037203D" w:rsidP="0037203D">
      <w:pPr>
        <w:pStyle w:val="ListParagraph"/>
        <w:numPr>
          <w:ilvl w:val="0"/>
          <w:numId w:val="5"/>
        </w:numPr>
        <w:spacing w:before="120"/>
      </w:pPr>
      <w:proofErr w:type="gramStart"/>
      <w:r w:rsidRPr="0037203D">
        <w:rPr>
          <w:u w:val="single"/>
        </w:rPr>
        <w:t>a</w:t>
      </w:r>
      <w:proofErr w:type="gramEnd"/>
      <w:r w:rsidRPr="0037203D">
        <w:rPr>
          <w:u w:val="single"/>
        </w:rPr>
        <w:t xml:space="preserve"> reasonable pricing provision</w:t>
      </w:r>
      <w:r>
        <w:t xml:space="preserve"> which would reflect the efficient long run marginal cost of domestic supply and serve as a basis for producers and buyers to negotiate wholesale domestic supply contracts. </w:t>
      </w:r>
    </w:p>
    <w:p w14:paraId="6050EC25" w14:textId="18B75B22" w:rsidR="0037203D" w:rsidRDefault="0037203D" w:rsidP="0037203D">
      <w:pPr>
        <w:pStyle w:val="ListParagraph"/>
        <w:numPr>
          <w:ilvl w:val="0"/>
          <w:numId w:val="5"/>
        </w:numPr>
        <w:spacing w:before="120"/>
      </w:pPr>
      <w:proofErr w:type="gramStart"/>
      <w:r w:rsidRPr="0037203D">
        <w:rPr>
          <w:u w:val="single"/>
        </w:rPr>
        <w:t>arbitration</w:t>
      </w:r>
      <w:proofErr w:type="gramEnd"/>
      <w:r w:rsidRPr="0037203D">
        <w:rPr>
          <w:u w:val="single"/>
        </w:rPr>
        <w:t xml:space="preserve"> of pre-contractual disputes</w:t>
      </w:r>
      <w:r>
        <w:t xml:space="preserve">, that could allow independent determinations on price and other terms and conditions of wholesale gas supply contracts. </w:t>
      </w:r>
    </w:p>
    <w:p w14:paraId="3885D5E7" w14:textId="3F4B2BBB" w:rsidR="0037203D" w:rsidRDefault="0071060D" w:rsidP="0037203D">
      <w:pPr>
        <w:pStyle w:val="ListParagraph"/>
        <w:numPr>
          <w:ilvl w:val="0"/>
          <w:numId w:val="5"/>
        </w:numPr>
        <w:spacing w:before="120"/>
      </w:pPr>
      <w:proofErr w:type="gramStart"/>
      <w:r w:rsidRPr="0071060D">
        <w:rPr>
          <w:u w:val="single"/>
        </w:rPr>
        <w:t>conduct</w:t>
      </w:r>
      <w:proofErr w:type="gramEnd"/>
      <w:r w:rsidR="0037203D" w:rsidRPr="0071060D">
        <w:rPr>
          <w:u w:val="single"/>
        </w:rPr>
        <w:t xml:space="preserve"> provisions</w:t>
      </w:r>
      <w:r w:rsidR="0037203D">
        <w:t xml:space="preserve"> which </w:t>
      </w:r>
      <w:r>
        <w:t xml:space="preserve">would </w:t>
      </w:r>
      <w:r w:rsidR="0037203D">
        <w:t>set minimum standards on interactions between producers and buyers when negotiating wholesale gas supply agreements.</w:t>
      </w:r>
    </w:p>
    <w:p w14:paraId="2F301578" w14:textId="45C01895" w:rsidR="008B45EC" w:rsidRDefault="006E7726" w:rsidP="06C74405">
      <w:pPr>
        <w:spacing w:before="120"/>
      </w:pPr>
      <w:r>
        <w:t>S</w:t>
      </w:r>
      <w:r w:rsidR="00953C6A">
        <w:t>takeholder</w:t>
      </w:r>
      <w:r>
        <w:t xml:space="preserve"> </w:t>
      </w:r>
      <w:r w:rsidR="004F5F47">
        <w:t xml:space="preserve">feedback </w:t>
      </w:r>
      <w:r w:rsidR="0087219E">
        <w:t>on</w:t>
      </w:r>
      <w:r w:rsidR="00FD2F85">
        <w:t xml:space="preserve"> th</w:t>
      </w:r>
      <w:r w:rsidR="004F5F47">
        <w:t xml:space="preserve">is design </w:t>
      </w:r>
      <w:r w:rsidR="00853EA9">
        <w:t>included</w:t>
      </w:r>
      <w:r w:rsidR="008B45EC">
        <w:t xml:space="preserve"> </w:t>
      </w:r>
      <w:r w:rsidR="00BF0DDA">
        <w:t xml:space="preserve">material concerns </w:t>
      </w:r>
      <w:r w:rsidR="008B45EC">
        <w:t xml:space="preserve">that </w:t>
      </w:r>
      <w:r w:rsidR="008B45EC" w:rsidRPr="0034304D">
        <w:t xml:space="preserve">the reasonable pricing provision and pre-contract arbitration mechanism would create significant </w:t>
      </w:r>
      <w:r w:rsidR="00F03AEE">
        <w:t>business uncertainty for gas producers</w:t>
      </w:r>
      <w:r w:rsidR="00853EA9">
        <w:t xml:space="preserve">. Feedback highlighted that this uncertainty would </w:t>
      </w:r>
      <w:r w:rsidR="00936C35">
        <w:t xml:space="preserve">make it </w:t>
      </w:r>
      <w:r w:rsidR="00BB247C">
        <w:t xml:space="preserve">difficult for gas producers to finance new supply projects, in turn </w:t>
      </w:r>
      <w:r w:rsidR="00704AA5">
        <w:t>exacerbat</w:t>
      </w:r>
      <w:r w:rsidR="00BB247C">
        <w:t>ing</w:t>
      </w:r>
      <w:r w:rsidR="00704AA5">
        <w:t xml:space="preserve"> </w:t>
      </w:r>
      <w:r w:rsidR="6224E582">
        <w:t>forecast supply shortages</w:t>
      </w:r>
      <w:r w:rsidR="4F024B50">
        <w:t>,</w:t>
      </w:r>
      <w:r w:rsidR="008B45EC">
        <w:t xml:space="preserve"> </w:t>
      </w:r>
      <w:r w:rsidR="2A479C95">
        <w:t>domestic competition issues and price volatility.</w:t>
      </w:r>
      <w:r w:rsidR="0076325E">
        <w:t xml:space="preserve"> </w:t>
      </w:r>
      <w:r w:rsidR="008F4850">
        <w:t xml:space="preserve">Several producers announced they had suspended major investment decisions </w:t>
      </w:r>
      <w:r w:rsidR="002B48A0">
        <w:t>in response to the Code’s original proposed design.</w:t>
      </w:r>
      <w:r w:rsidR="00864CA3">
        <w:t xml:space="preserve"> </w:t>
      </w:r>
    </w:p>
    <w:p w14:paraId="0695CD0E" w14:textId="547265FE" w:rsidR="00C86283" w:rsidRDefault="00325985" w:rsidP="00D00EC1">
      <w:pPr>
        <w:spacing w:before="120"/>
      </w:pPr>
      <w:r>
        <w:t>Since December 2022, n</w:t>
      </w:r>
      <w:r w:rsidR="00A408B0">
        <w:t>ew</w:t>
      </w:r>
      <w:r w:rsidR="0B66CC4B">
        <w:t xml:space="preserve"> market analysis from the ACCC and Australian Energy Market Operator (AEMO) </w:t>
      </w:r>
      <w:r w:rsidR="00FB0E5D">
        <w:t xml:space="preserve">has </w:t>
      </w:r>
      <w:r>
        <w:t xml:space="preserve">forecast market shortfalls and supply gaps in the absence of further investment in </w:t>
      </w:r>
      <w:r>
        <w:lastRenderedPageBreak/>
        <w:t xml:space="preserve">supply. </w:t>
      </w:r>
      <w:r w:rsidR="00C86283">
        <w:t xml:space="preserve">These analyses, including AEMO’s 2023 </w:t>
      </w:r>
      <w:r w:rsidR="00C86283" w:rsidRPr="00AF5D32">
        <w:rPr>
          <w:i/>
          <w:iCs/>
        </w:rPr>
        <w:t>Gas Statement of Opportunities</w:t>
      </w:r>
      <w:r w:rsidR="00C86283">
        <w:t>, high</w:t>
      </w:r>
      <w:r w:rsidR="008D6D39">
        <w:t xml:space="preserve">lighted the </w:t>
      </w:r>
      <w:r>
        <w:t>critical</w:t>
      </w:r>
      <w:r w:rsidR="008D6D39">
        <w:t xml:space="preserve"> role that gas will </w:t>
      </w:r>
      <w:r w:rsidR="00E0563B">
        <w:t xml:space="preserve">need to </w:t>
      </w:r>
      <w:r w:rsidR="008D6D39">
        <w:t>play</w:t>
      </w:r>
      <w:r w:rsidR="00194864">
        <w:t xml:space="preserve"> to support the energy </w:t>
      </w:r>
      <w:r>
        <w:t xml:space="preserve">transition to net zero. </w:t>
      </w:r>
      <w:r w:rsidR="00271460">
        <w:t>As Australia moves away from coal-powered electricity generation, s</w:t>
      </w:r>
      <w:r>
        <w:t xml:space="preserve">hortages of gas for on-demand electricity generation </w:t>
      </w:r>
      <w:r w:rsidR="25CF1FC2">
        <w:t xml:space="preserve">could put upward pressure on </w:t>
      </w:r>
      <w:r>
        <w:t xml:space="preserve">energy prices and threaten electricity grid reliability and energy security. Gas shortages </w:t>
      </w:r>
      <w:r w:rsidR="165AB072">
        <w:t xml:space="preserve">would </w:t>
      </w:r>
      <w:r>
        <w:t>also impact industrial productivity and investment, where there are not readily available alternatives for processes which require high temperatures or gas as a feedstock</w:t>
      </w:r>
      <w:r w:rsidR="0076325E">
        <w:t>.</w:t>
      </w:r>
    </w:p>
    <w:p w14:paraId="04669EDF" w14:textId="51C85C78" w:rsidR="00317D06" w:rsidRDefault="0048461B" w:rsidP="00A219DF">
      <w:pPr>
        <w:spacing w:before="120"/>
      </w:pPr>
      <w:r>
        <w:t>Following consideration of th</w:t>
      </w:r>
      <w:r w:rsidR="00465358">
        <w:t xml:space="preserve">ese issues, </w:t>
      </w:r>
      <w:r w:rsidR="003E1677">
        <w:t xml:space="preserve">Government </w:t>
      </w:r>
      <w:r w:rsidR="00F87BD4">
        <w:t>proposes</w:t>
      </w:r>
      <w:r w:rsidR="00AA79CF">
        <w:t xml:space="preserve"> </w:t>
      </w:r>
      <w:r w:rsidR="009F53AA">
        <w:t xml:space="preserve">an improved Code with </w:t>
      </w:r>
      <w:r w:rsidR="00AA79CF">
        <w:t>several</w:t>
      </w:r>
      <w:r w:rsidR="003E1677">
        <w:t xml:space="preserve"> </w:t>
      </w:r>
      <w:r w:rsidR="009F53AA">
        <w:t xml:space="preserve">policy </w:t>
      </w:r>
      <w:r w:rsidR="00D238FB">
        <w:t xml:space="preserve">changes </w:t>
      </w:r>
      <w:r w:rsidR="009F53AA">
        <w:t xml:space="preserve">designed </w:t>
      </w:r>
      <w:r w:rsidR="00D238FB">
        <w:t xml:space="preserve">to </w:t>
      </w:r>
      <w:r w:rsidR="004250BD">
        <w:t xml:space="preserve">better support </w:t>
      </w:r>
      <w:r w:rsidR="69494253">
        <w:t xml:space="preserve">continued </w:t>
      </w:r>
      <w:r w:rsidR="0B66CC4B">
        <w:t>investment in gas production required to offset declining production from existing resources</w:t>
      </w:r>
      <w:r w:rsidR="005D2498">
        <w:t xml:space="preserve">, </w:t>
      </w:r>
      <w:r w:rsidR="008A2AB5">
        <w:t xml:space="preserve">support </w:t>
      </w:r>
      <w:r w:rsidR="005D2498">
        <w:t>Australia’s energy transition to net zero</w:t>
      </w:r>
      <w:r w:rsidR="00234BB1">
        <w:t xml:space="preserve"> and </w:t>
      </w:r>
      <w:r w:rsidR="008A2AB5">
        <w:t xml:space="preserve">support </w:t>
      </w:r>
      <w:r w:rsidR="00234BB1">
        <w:t>industr</w:t>
      </w:r>
      <w:r w:rsidR="008A2AB5">
        <w:t>ial productivity</w:t>
      </w:r>
      <w:r w:rsidR="137E4C45">
        <w:t>.</w:t>
      </w:r>
      <w:r w:rsidR="008A2AB5">
        <w:t xml:space="preserve"> </w:t>
      </w:r>
      <w:r w:rsidR="00877464">
        <w:t>The improve</w:t>
      </w:r>
      <w:r w:rsidR="00F87BD4">
        <w:t xml:space="preserve">d </w:t>
      </w:r>
      <w:r w:rsidR="00750A52">
        <w:t xml:space="preserve">Code </w:t>
      </w:r>
      <w:r w:rsidR="00F87BD4">
        <w:t>design replace</w:t>
      </w:r>
      <w:r w:rsidR="00C87D49">
        <w:t>s</w:t>
      </w:r>
      <w:r w:rsidR="00F87BD4">
        <w:t xml:space="preserve"> the </w:t>
      </w:r>
      <w:r w:rsidR="00F72540">
        <w:t xml:space="preserve">previously proposed </w:t>
      </w:r>
      <w:r w:rsidR="008B45EC">
        <w:t xml:space="preserve">reasonable pricing provision and arbitration mechanism </w:t>
      </w:r>
      <w:r w:rsidR="54172CFF">
        <w:t xml:space="preserve">with a simpler </w:t>
      </w:r>
      <w:r w:rsidR="00A219DF">
        <w:t xml:space="preserve">framework which </w:t>
      </w:r>
      <w:r w:rsidR="003A627B">
        <w:t>include</w:t>
      </w:r>
      <w:r w:rsidR="00C87D49">
        <w:t>s</w:t>
      </w:r>
      <w:r w:rsidR="00317D06">
        <w:t>:</w:t>
      </w:r>
    </w:p>
    <w:p w14:paraId="6F3FC4EA" w14:textId="45EC7C89" w:rsidR="00317D06" w:rsidRDefault="00317D06" w:rsidP="00317D06">
      <w:pPr>
        <w:pStyle w:val="ListParagraph"/>
        <w:numPr>
          <w:ilvl w:val="0"/>
          <w:numId w:val="2"/>
        </w:numPr>
        <w:spacing w:before="120"/>
      </w:pPr>
      <w:r w:rsidRPr="00AF5D32">
        <w:rPr>
          <w:u w:val="single"/>
        </w:rPr>
        <w:t xml:space="preserve">a </w:t>
      </w:r>
      <w:r w:rsidR="003A627B" w:rsidRPr="00AF5D32">
        <w:rPr>
          <w:u w:val="single"/>
        </w:rPr>
        <w:t>price</w:t>
      </w:r>
      <w:r w:rsidR="00A219DF" w:rsidRPr="00AF5D32">
        <w:rPr>
          <w:u w:val="single"/>
        </w:rPr>
        <w:t xml:space="preserve"> </w:t>
      </w:r>
      <w:r w:rsidRPr="00AF5D32">
        <w:rPr>
          <w:u w:val="single"/>
        </w:rPr>
        <w:t>cap</w:t>
      </w:r>
      <w:r w:rsidR="00086021">
        <w:t>, initially set at $12 per gigajoule, for gas</w:t>
      </w:r>
      <w:r w:rsidRPr="00102956">
        <w:t xml:space="preserve"> s</w:t>
      </w:r>
      <w:r w:rsidR="00A219DF">
        <w:t xml:space="preserve">upplied under wholesale supply contracts </w:t>
      </w:r>
      <w:r w:rsidR="003A627B">
        <w:t xml:space="preserve">longer than 12 months, </w:t>
      </w:r>
      <w:r w:rsidR="0682D3B1">
        <w:t>with civil penalties for contravening the cap</w:t>
      </w:r>
      <w:r w:rsidR="00750A52">
        <w:t>, and;</w:t>
      </w:r>
    </w:p>
    <w:p w14:paraId="193D7016" w14:textId="2F423653" w:rsidR="003A627B" w:rsidRDefault="5426E925" w:rsidP="003A627B">
      <w:pPr>
        <w:pStyle w:val="ListParagraph"/>
        <w:numPr>
          <w:ilvl w:val="0"/>
          <w:numId w:val="2"/>
        </w:numPr>
        <w:spacing w:before="120"/>
      </w:pPr>
      <w:proofErr w:type="gramStart"/>
      <w:r w:rsidRPr="00AF5D32">
        <w:rPr>
          <w:u w:val="single"/>
        </w:rPr>
        <w:t>an</w:t>
      </w:r>
      <w:proofErr w:type="gramEnd"/>
      <w:r w:rsidRPr="00AF5D32">
        <w:rPr>
          <w:u w:val="single"/>
        </w:rPr>
        <w:t xml:space="preserve"> exemptions framework</w:t>
      </w:r>
      <w:r>
        <w:t xml:space="preserve"> </w:t>
      </w:r>
      <w:r w:rsidR="469BACE2">
        <w:t xml:space="preserve">which would </w:t>
      </w:r>
      <w:r w:rsidR="003A627B">
        <w:t xml:space="preserve">enable gas </w:t>
      </w:r>
      <w:r w:rsidR="469BACE2">
        <w:t xml:space="preserve">producers to be relieved </w:t>
      </w:r>
      <w:r>
        <w:t xml:space="preserve">from </w:t>
      </w:r>
      <w:r w:rsidR="721E40EF">
        <w:t>complying with</w:t>
      </w:r>
      <w:r>
        <w:t xml:space="preserve"> this pricing requirement</w:t>
      </w:r>
      <w:r w:rsidR="5EB42590">
        <w:t xml:space="preserve"> where </w:t>
      </w:r>
      <w:r w:rsidR="1739E834">
        <w:t xml:space="preserve">they </w:t>
      </w:r>
      <w:r w:rsidR="00F47620">
        <w:t xml:space="preserve">supply solely to the domestic market, or </w:t>
      </w:r>
      <w:r w:rsidR="33185D03">
        <w:t xml:space="preserve">for larger producers and those supplying LNG exporters, </w:t>
      </w:r>
      <w:r w:rsidR="21BF73E2">
        <w:t>enter</w:t>
      </w:r>
      <w:r w:rsidR="00F47620">
        <w:t xml:space="preserve"> into enforceable commitments to </w:t>
      </w:r>
      <w:r w:rsidR="25BE1220">
        <w:t xml:space="preserve">support the </w:t>
      </w:r>
      <w:r w:rsidR="00F47620">
        <w:t xml:space="preserve">supply </w:t>
      </w:r>
      <w:r w:rsidR="10308C56">
        <w:t>of</w:t>
      </w:r>
      <w:r w:rsidR="21BF73E2">
        <w:t xml:space="preserve"> </w:t>
      </w:r>
      <w:r w:rsidR="00F47620">
        <w:t xml:space="preserve">gas to the domestic market at </w:t>
      </w:r>
      <w:r w:rsidR="003A627B">
        <w:t>reasonable prices</w:t>
      </w:r>
      <w:r w:rsidR="00F47620">
        <w:t>.</w:t>
      </w:r>
    </w:p>
    <w:p w14:paraId="5AD772AB" w14:textId="2E47E686" w:rsidR="00926E95" w:rsidRDefault="00162FEF" w:rsidP="003A627B">
      <w:pPr>
        <w:pStyle w:val="ListParagraph"/>
        <w:numPr>
          <w:ilvl w:val="0"/>
          <w:numId w:val="2"/>
        </w:numPr>
        <w:spacing w:before="120"/>
      </w:pPr>
      <w:r>
        <w:t>Additionally, t</w:t>
      </w:r>
      <w:r w:rsidR="008539DF">
        <w:t xml:space="preserve">he </w:t>
      </w:r>
      <w:r w:rsidR="007440F0">
        <w:t>Code will retain</w:t>
      </w:r>
      <w:r w:rsidR="00052BBD">
        <w:t xml:space="preserve"> </w:t>
      </w:r>
      <w:r>
        <w:t xml:space="preserve">the </w:t>
      </w:r>
      <w:r w:rsidR="003A627B" w:rsidRPr="00AF5D32">
        <w:rPr>
          <w:u w:val="single"/>
        </w:rPr>
        <w:t>conduct provisions</w:t>
      </w:r>
      <w:r w:rsidR="003A627B" w:rsidRPr="00102956">
        <w:t xml:space="preserve"> </w:t>
      </w:r>
      <w:r>
        <w:t>originally proposed</w:t>
      </w:r>
      <w:r w:rsidR="00AF5D32">
        <w:t>,</w:t>
      </w:r>
      <w:r>
        <w:t xml:space="preserve"> </w:t>
      </w:r>
      <w:r w:rsidR="00052BBD">
        <w:t>t</w:t>
      </w:r>
      <w:r w:rsidR="00A52400">
        <w:t xml:space="preserve">o support </w:t>
      </w:r>
      <w:r w:rsidR="00B01F52">
        <w:t xml:space="preserve">the </w:t>
      </w:r>
      <w:r w:rsidR="00DC1D2D">
        <w:t xml:space="preserve">fair and </w:t>
      </w:r>
      <w:r w:rsidR="00AB5B49">
        <w:t>balanced</w:t>
      </w:r>
      <w:r w:rsidR="0061206B">
        <w:t xml:space="preserve"> negotiation</w:t>
      </w:r>
      <w:r w:rsidR="00B01F52">
        <w:t xml:space="preserve"> of </w:t>
      </w:r>
      <w:r w:rsidR="00B01F52" w:rsidRPr="00B01F52">
        <w:t>new wholesale supply contract negotiations between gas producers and buyers</w:t>
      </w:r>
      <w:r w:rsidR="00B01F52">
        <w:t>.</w:t>
      </w:r>
    </w:p>
    <w:p w14:paraId="506ED47C" w14:textId="52C4ED48" w:rsidR="0034304D" w:rsidRPr="0034304D" w:rsidRDefault="00EB36B5" w:rsidP="00AF5D32">
      <w:r>
        <w:t>The impact of these design changes</w:t>
      </w:r>
      <w:r w:rsidR="00890F53">
        <w:t>, as compared to the impact of the original Code design, is detailed below.</w:t>
      </w:r>
    </w:p>
    <w:p w14:paraId="091BC86E" w14:textId="4A2A2D4C" w:rsidR="00E8242D" w:rsidRDefault="001E2CDC" w:rsidP="00AF5D32">
      <w:pPr>
        <w:pStyle w:val="Heading2"/>
      </w:pPr>
      <w:r>
        <w:t xml:space="preserve">Overall, the policy changes are estimated to reduce </w:t>
      </w:r>
      <w:r w:rsidR="00687184">
        <w:t>costs</w:t>
      </w:r>
      <w:r w:rsidR="006663AA">
        <w:t xml:space="preserve"> </w:t>
      </w:r>
      <w:r w:rsidR="008075AA">
        <w:t xml:space="preserve">and improve </w:t>
      </w:r>
      <w:r w:rsidR="00CE18B5">
        <w:t>investment outcomes</w:t>
      </w:r>
      <w:r w:rsidR="413128CF">
        <w:t xml:space="preserve"> compared to the original Code design</w:t>
      </w:r>
    </w:p>
    <w:p w14:paraId="0BA0F216" w14:textId="5BDF685B" w:rsidR="009B6465" w:rsidRDefault="009B6465" w:rsidP="00AF5D32">
      <w:pPr>
        <w:pStyle w:val="Heading3"/>
      </w:pPr>
      <w:r>
        <w:t>Lower regulatory burden costs</w:t>
      </w:r>
    </w:p>
    <w:p w14:paraId="7DB4AD1D" w14:textId="77777777" w:rsidR="00970CE2" w:rsidRDefault="00074D53" w:rsidP="001C5EE6">
      <w:pPr>
        <w:spacing w:before="120"/>
      </w:pPr>
      <w:r>
        <w:t xml:space="preserve">Compared to the original Code design, </w:t>
      </w:r>
      <w:r w:rsidR="00643A54">
        <w:t xml:space="preserve">the improved Code design </w:t>
      </w:r>
      <w:r w:rsidR="00EC0A09">
        <w:t>reduces regulatory burden costs</w:t>
      </w:r>
      <w:r w:rsidR="006779A9">
        <w:t xml:space="preserve">, with </w:t>
      </w:r>
      <w:r w:rsidR="00DC3FCF">
        <w:t>estimated saving</w:t>
      </w:r>
      <w:r w:rsidR="006779A9">
        <w:t>s</w:t>
      </w:r>
      <w:r w:rsidR="00DC3FCF">
        <w:t xml:space="preserve"> of $4.32 million over 10 years</w:t>
      </w:r>
      <w:r>
        <w:t>.</w:t>
      </w:r>
      <w:r w:rsidR="009B706C">
        <w:t xml:space="preserve"> </w:t>
      </w:r>
      <w:r w:rsidR="00CE41EF">
        <w:t xml:space="preserve">This saving </w:t>
      </w:r>
      <w:r w:rsidR="001C6320">
        <w:t xml:space="preserve">results from </w:t>
      </w:r>
      <w:r w:rsidR="00CE41EF">
        <w:t xml:space="preserve">the removal of the </w:t>
      </w:r>
      <w:r w:rsidR="00812034">
        <w:t xml:space="preserve">arbitration </w:t>
      </w:r>
      <w:r w:rsidR="009B706C">
        <w:t xml:space="preserve">policy </w:t>
      </w:r>
      <w:r w:rsidR="00812034">
        <w:t>element included in the original Code design.</w:t>
      </w:r>
    </w:p>
    <w:p w14:paraId="43DD634A" w14:textId="16CFC9FB" w:rsidR="001C5EE6" w:rsidRDefault="00E05205" w:rsidP="001C5EE6">
      <w:pPr>
        <w:spacing w:before="120"/>
      </w:pPr>
      <w:r>
        <w:t xml:space="preserve">Aside from the </w:t>
      </w:r>
      <w:r w:rsidR="007320A6">
        <w:t xml:space="preserve">regulatory burden </w:t>
      </w:r>
      <w:r>
        <w:t xml:space="preserve">savings resulting from </w:t>
      </w:r>
      <w:r w:rsidR="007320A6">
        <w:t xml:space="preserve">the removal of arbitration, </w:t>
      </w:r>
      <w:r w:rsidR="000108B6">
        <w:t>the</w:t>
      </w:r>
      <w:r w:rsidR="00F8164C">
        <w:t xml:space="preserve"> improved Code design </w:t>
      </w:r>
      <w:r w:rsidR="002D0265">
        <w:t>would</w:t>
      </w:r>
      <w:r w:rsidR="007320A6">
        <w:t xml:space="preserve"> otherwise</w:t>
      </w:r>
      <w:r w:rsidR="002D0265">
        <w:t xml:space="preserve"> impose the same </w:t>
      </w:r>
      <w:r w:rsidR="00B9743F">
        <w:t xml:space="preserve">regulatory burden costs </w:t>
      </w:r>
      <w:r w:rsidR="00A9196C">
        <w:t>estimated for the original Code design</w:t>
      </w:r>
      <w:r w:rsidR="005520DF">
        <w:t>. These</w:t>
      </w:r>
      <w:r w:rsidR="007320A6">
        <w:t xml:space="preserve"> costs</w:t>
      </w:r>
      <w:r w:rsidR="005520DF">
        <w:t xml:space="preserve"> </w:t>
      </w:r>
      <w:r w:rsidR="007320A6">
        <w:t>were</w:t>
      </w:r>
      <w:r w:rsidR="00A9196C">
        <w:t xml:space="preserve"> costs associated with adjusting internal </w:t>
      </w:r>
      <w:r w:rsidR="006B634B">
        <w:t xml:space="preserve">business </w:t>
      </w:r>
      <w:r w:rsidR="00A9196C">
        <w:t>processes and costs associated with obtaining legal compliance advice</w:t>
      </w:r>
      <w:r w:rsidR="00904AE6">
        <w:t>.</w:t>
      </w:r>
      <w:r w:rsidR="00904AE6" w:rsidDel="00904AE6">
        <w:t xml:space="preserve"> </w:t>
      </w:r>
    </w:p>
    <w:p w14:paraId="5F1A9FCE" w14:textId="486369E0" w:rsidR="009B6465" w:rsidRPr="00D00EC1" w:rsidRDefault="00B55C46" w:rsidP="00AF5D32">
      <w:pPr>
        <w:pStyle w:val="Heading3"/>
      </w:pPr>
      <w:r>
        <w:t>Stronger incentives for</w:t>
      </w:r>
      <w:r w:rsidR="008B520B">
        <w:t xml:space="preserve"> investment</w:t>
      </w:r>
    </w:p>
    <w:p w14:paraId="763F5E39" w14:textId="0CB0B15E" w:rsidR="006D300A" w:rsidRDefault="5A50EC57" w:rsidP="005E00B7">
      <w:pPr>
        <w:spacing w:before="120"/>
      </w:pPr>
      <w:r>
        <w:t xml:space="preserve">The December 2022 IA </w:t>
      </w:r>
      <w:r w:rsidR="13136D47">
        <w:t>indicated</w:t>
      </w:r>
      <w:r>
        <w:t xml:space="preserve"> th</w:t>
      </w:r>
      <w:r w:rsidR="00D238FB">
        <w:t>e original</w:t>
      </w:r>
      <w:r w:rsidR="51B85278">
        <w:t xml:space="preserve"> </w:t>
      </w:r>
      <w:r w:rsidR="00BB799F">
        <w:t xml:space="preserve">Code </w:t>
      </w:r>
      <w:r w:rsidR="51B85278">
        <w:t xml:space="preserve">design </w:t>
      </w:r>
      <w:r w:rsidR="00442560">
        <w:t>was</w:t>
      </w:r>
      <w:r>
        <w:t xml:space="preserve"> unlikely to impact on investment incentives, </w:t>
      </w:r>
      <w:r w:rsidR="48258D6F">
        <w:t xml:space="preserve">while </w:t>
      </w:r>
      <w:r w:rsidR="00B16DBF">
        <w:t xml:space="preserve">impacts on investment incentives as a result of implementing the emergency price cap </w:t>
      </w:r>
      <w:r w:rsidR="00E15ECA">
        <w:t xml:space="preserve">would be mitigated by </w:t>
      </w:r>
      <w:r w:rsidR="48258D6F">
        <w:t xml:space="preserve">the short-term nature of the </w:t>
      </w:r>
      <w:r w:rsidR="00E15ECA">
        <w:t>cap</w:t>
      </w:r>
      <w:r w:rsidR="48258D6F">
        <w:t xml:space="preserve">. </w:t>
      </w:r>
      <w:r w:rsidR="00994E5A">
        <w:t>Through the consultation process, s</w:t>
      </w:r>
      <w:r w:rsidR="009950ED">
        <w:t xml:space="preserve">takeholders indicated arbitration would </w:t>
      </w:r>
      <w:r w:rsidR="00545DC4">
        <w:t xml:space="preserve">result in greater </w:t>
      </w:r>
      <w:r w:rsidR="009950ED">
        <w:t xml:space="preserve">business </w:t>
      </w:r>
      <w:r w:rsidR="00545DC4">
        <w:t>uncertainty</w:t>
      </w:r>
      <w:r w:rsidR="00E208FD">
        <w:t xml:space="preserve">, </w:t>
      </w:r>
      <w:r w:rsidR="008B520B">
        <w:t xml:space="preserve">and </w:t>
      </w:r>
      <w:r w:rsidR="006D300A">
        <w:t xml:space="preserve">would </w:t>
      </w:r>
      <w:r w:rsidR="00CB0006">
        <w:t xml:space="preserve">be </w:t>
      </w:r>
      <w:r w:rsidR="008B520B">
        <w:t xml:space="preserve">likely </w:t>
      </w:r>
      <w:r w:rsidR="00CB0006">
        <w:t xml:space="preserve">to </w:t>
      </w:r>
      <w:r w:rsidR="008B520B">
        <w:t xml:space="preserve">have a material impact on </w:t>
      </w:r>
      <w:r w:rsidR="00E208FD">
        <w:t>investment incentives</w:t>
      </w:r>
      <w:r w:rsidR="00BC528A">
        <w:t xml:space="preserve">. </w:t>
      </w:r>
      <w:r w:rsidR="00212EDC">
        <w:t xml:space="preserve">The removal of arbitration </w:t>
      </w:r>
      <w:r w:rsidR="006C43DF">
        <w:t xml:space="preserve">in the </w:t>
      </w:r>
      <w:r w:rsidR="00994E5A">
        <w:t xml:space="preserve">improved Code design </w:t>
      </w:r>
      <w:r w:rsidR="00212EDC">
        <w:t xml:space="preserve">responds directly to this </w:t>
      </w:r>
      <w:r w:rsidR="001F42C4">
        <w:t>issue</w:t>
      </w:r>
      <w:r w:rsidR="00CB0006">
        <w:t>, for better investment outcomes.</w:t>
      </w:r>
    </w:p>
    <w:p w14:paraId="0F5F6874" w14:textId="581043EB" w:rsidR="00AE08E3" w:rsidRDefault="00B26D86" w:rsidP="005E00B7">
      <w:pPr>
        <w:spacing w:before="120"/>
      </w:pPr>
      <w:r>
        <w:t>While t</w:t>
      </w:r>
      <w:r w:rsidR="00566865">
        <w:t xml:space="preserve">he </w:t>
      </w:r>
      <w:r w:rsidR="005A75E9">
        <w:t xml:space="preserve">improved Code design proposes a pricing framework which </w:t>
      </w:r>
      <w:r>
        <w:t>establishes</w:t>
      </w:r>
      <w:r w:rsidR="005A75E9">
        <w:t xml:space="preserve"> a </w:t>
      </w:r>
      <w:r w:rsidR="0081374D">
        <w:t xml:space="preserve">price cap </w:t>
      </w:r>
      <w:r w:rsidR="00CB0006">
        <w:t>on</w:t>
      </w:r>
      <w:r w:rsidR="0081374D">
        <w:t xml:space="preserve"> gas sold through wholesale supply contracts,</w:t>
      </w:r>
      <w:r>
        <w:t xml:space="preserve"> it also </w:t>
      </w:r>
      <w:r w:rsidR="009330A7">
        <w:t xml:space="preserve">includes features </w:t>
      </w:r>
      <w:r w:rsidR="00AE08E3">
        <w:t xml:space="preserve">designed </w:t>
      </w:r>
      <w:r w:rsidR="009330A7">
        <w:t xml:space="preserve">to mitigate the </w:t>
      </w:r>
      <w:r w:rsidR="008F36AC">
        <w:t>e</w:t>
      </w:r>
      <w:r w:rsidR="009330A7">
        <w:t xml:space="preserve">ffect of </w:t>
      </w:r>
      <w:r w:rsidR="009330A7">
        <w:lastRenderedPageBreak/>
        <w:t>the price cap on investment incentives</w:t>
      </w:r>
      <w:r w:rsidR="0074300C">
        <w:t xml:space="preserve">, and positively impact investment in </w:t>
      </w:r>
      <w:r w:rsidR="008075AA">
        <w:t xml:space="preserve">gas </w:t>
      </w:r>
      <w:r w:rsidR="0074300C">
        <w:t>production for domestic supply</w:t>
      </w:r>
      <w:r w:rsidR="009330A7">
        <w:t>.</w:t>
      </w:r>
    </w:p>
    <w:p w14:paraId="60998786" w14:textId="47F2CA24" w:rsidR="005E7B75" w:rsidRDefault="006717FF" w:rsidP="005E00B7">
      <w:pPr>
        <w:spacing w:before="120"/>
      </w:pPr>
      <w:r>
        <w:t>First</w:t>
      </w:r>
      <w:r w:rsidR="009330A7">
        <w:t xml:space="preserve">, the improved Code establishes a framework for exemptions from the price cap which would </w:t>
      </w:r>
      <w:r w:rsidR="00FC10BF">
        <w:t xml:space="preserve">(1) </w:t>
      </w:r>
      <w:r w:rsidR="009330A7">
        <w:t xml:space="preserve">apply automatically to smaller producers </w:t>
      </w:r>
      <w:r w:rsidR="007C58B1">
        <w:t xml:space="preserve">(the majority of gas producers) </w:t>
      </w:r>
      <w:r w:rsidR="009330A7">
        <w:t>who exclusively supply the domestic market</w:t>
      </w:r>
      <w:r w:rsidR="00FC10BF">
        <w:t xml:space="preserve">, and (2) </w:t>
      </w:r>
      <w:r w:rsidR="0065323D">
        <w:t xml:space="preserve">may </w:t>
      </w:r>
      <w:r w:rsidR="00FC10BF">
        <w:t xml:space="preserve">apply to </w:t>
      </w:r>
      <w:r w:rsidR="0065323D">
        <w:t xml:space="preserve">any </w:t>
      </w:r>
      <w:r w:rsidR="001A20F7">
        <w:t>other producer</w:t>
      </w:r>
      <w:r w:rsidR="0065323D">
        <w:t xml:space="preserve"> </w:t>
      </w:r>
      <w:r w:rsidR="00DB5AB1">
        <w:t>on the condition that they negotiate a</w:t>
      </w:r>
      <w:r w:rsidR="00F0742F">
        <w:t>n enforceable domestic supply commitment</w:t>
      </w:r>
      <w:r w:rsidR="00EB3340">
        <w:t xml:space="preserve">, </w:t>
      </w:r>
      <w:r w:rsidR="00B449C6">
        <w:t xml:space="preserve">with suitability jointly </w:t>
      </w:r>
      <w:r w:rsidR="00EB3340">
        <w:t>determined by the Minister for Climate Change and Energy</w:t>
      </w:r>
      <w:r w:rsidR="008D55FC">
        <w:t xml:space="preserve"> </w:t>
      </w:r>
      <w:r w:rsidR="00EB3340">
        <w:t>and the Minister for Resources.</w:t>
      </w:r>
    </w:p>
    <w:p w14:paraId="6F4C0AD7" w14:textId="55C6E5BB" w:rsidR="00330CF4" w:rsidRDefault="00415C02" w:rsidP="00E945D7">
      <w:pPr>
        <w:spacing w:before="120"/>
      </w:pPr>
      <w:r>
        <w:t xml:space="preserve">Second, the </w:t>
      </w:r>
      <w:r w:rsidR="008060D1">
        <w:t>price cap</w:t>
      </w:r>
      <w:r w:rsidR="000F24B0">
        <w:t xml:space="preserve"> will be subject to periodic re</w:t>
      </w:r>
      <w:r w:rsidR="00280215">
        <w:t xml:space="preserve">view and determination by the ACCC, </w:t>
      </w:r>
      <w:r w:rsidR="00CE19D5">
        <w:t xml:space="preserve">with the objective that a change in the price cap must promote </w:t>
      </w:r>
      <w:r w:rsidR="00E514E1">
        <w:t>sufficiency or adequacy of investment in, and production of, natural gas to meet domestic demand (along with other matters).</w:t>
      </w:r>
      <w:r w:rsidR="00DC4013">
        <w:t xml:space="preserve"> This will allow the cap to be varied, </w:t>
      </w:r>
      <w:r w:rsidR="000D701E">
        <w:t>where</w:t>
      </w:r>
      <w:r w:rsidR="00DC4013">
        <w:t xml:space="preserve"> necessary, to ensure it does not negative</w:t>
      </w:r>
      <w:r w:rsidR="0074300C">
        <w:t>ly</w:t>
      </w:r>
      <w:r w:rsidR="00DC4013">
        <w:t xml:space="preserve"> impact investment</w:t>
      </w:r>
      <w:r w:rsidR="7C65AFA8">
        <w:t xml:space="preserve"> while supporting the adequate supply of reasonably priced gas to the east coast gas market</w:t>
      </w:r>
      <w:r w:rsidR="00DC4013">
        <w:t>.</w:t>
      </w:r>
      <w:r w:rsidR="005E00B7" w:rsidDel="005E00B7">
        <w:t xml:space="preserve"> </w:t>
      </w:r>
    </w:p>
    <w:p w14:paraId="7335A2AC" w14:textId="7C25CCD4" w:rsidR="00D00EC1" w:rsidRPr="00D00EC1" w:rsidRDefault="2C011F06" w:rsidP="002B6B4E">
      <w:pPr>
        <w:spacing w:before="120"/>
      </w:pPr>
      <w:r>
        <w:t>Th</w:t>
      </w:r>
      <w:r w:rsidR="00606432">
        <w:t>e</w:t>
      </w:r>
      <w:r>
        <w:t xml:space="preserve"> proposal </w:t>
      </w:r>
      <w:r w:rsidR="00015E1B">
        <w:t xml:space="preserve">also </w:t>
      </w:r>
      <w:r w:rsidR="00606432">
        <w:t xml:space="preserve">includes </w:t>
      </w:r>
      <w:r w:rsidR="00AA10B5">
        <w:t xml:space="preserve">a scheduled review </w:t>
      </w:r>
      <w:r>
        <w:t>of the operation and effectiveness of the Code, which would be required to commence within two years of the Code coming into effect</w:t>
      </w:r>
      <w:r w:rsidR="0B53919F">
        <w:t>.</w:t>
      </w:r>
      <w:r w:rsidR="69AFF6A6">
        <w:t xml:space="preserve"> The review mechanism provides a basis to refine, strengthen or disable aspects of the Code if they are no longer relevant or not achieving the Government’s objectives.    </w:t>
      </w:r>
    </w:p>
    <w:sectPr w:rsidR="00D00EC1" w:rsidRPr="00D00E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39AC0" w14:textId="77777777" w:rsidR="00E35704" w:rsidRDefault="00E35704" w:rsidP="00D00EC1">
      <w:pPr>
        <w:spacing w:after="0" w:line="240" w:lineRule="auto"/>
      </w:pPr>
      <w:r>
        <w:separator/>
      </w:r>
    </w:p>
  </w:endnote>
  <w:endnote w:type="continuationSeparator" w:id="0">
    <w:p w14:paraId="690A27CD" w14:textId="77777777" w:rsidR="00E35704" w:rsidRDefault="00E35704" w:rsidP="00D00EC1">
      <w:pPr>
        <w:spacing w:after="0" w:line="240" w:lineRule="auto"/>
      </w:pPr>
      <w:r>
        <w:continuationSeparator/>
      </w:r>
    </w:p>
  </w:endnote>
  <w:endnote w:type="continuationNotice" w:id="1">
    <w:p w14:paraId="0752FE93" w14:textId="77777777" w:rsidR="00E35704" w:rsidRDefault="00E357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C25A5" w14:textId="77777777" w:rsidR="00E6648E" w:rsidRDefault="00E664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6A6A6" w:themeColor="background1" w:themeShade="A6"/>
      </w:rPr>
      <w:id w:val="-12947527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2AECA0" w14:textId="2ADB78F0" w:rsidR="0034304D" w:rsidRPr="008B4287" w:rsidRDefault="00044BFF" w:rsidP="008B4287">
        <w:pPr>
          <w:pStyle w:val="Footer"/>
          <w:jc w:val="center"/>
          <w:rPr>
            <w:color w:val="A6A6A6" w:themeColor="background1" w:themeShade="A6"/>
          </w:rPr>
        </w:pPr>
        <w:r w:rsidRPr="008B4287">
          <w:rPr>
            <w:i/>
            <w:iCs/>
            <w:color w:val="A6A6A6" w:themeColor="background1" w:themeShade="A6"/>
          </w:rPr>
          <w:t>Options to provide energy price relief</w:t>
        </w:r>
        <w:r w:rsidRPr="008B4287">
          <w:rPr>
            <w:color w:val="A6A6A6" w:themeColor="background1" w:themeShade="A6"/>
          </w:rPr>
          <w:t xml:space="preserve"> Impact Analysis </w:t>
        </w:r>
        <w:r w:rsidR="008B4287" w:rsidRPr="008B4287">
          <w:rPr>
            <w:color w:val="A6A6A6" w:themeColor="background1" w:themeShade="A6"/>
          </w:rPr>
          <w:t>–</w:t>
        </w:r>
        <w:r w:rsidR="007112C0">
          <w:rPr>
            <w:color w:val="A6A6A6" w:themeColor="background1" w:themeShade="A6"/>
          </w:rPr>
          <w:t xml:space="preserve"> </w:t>
        </w:r>
        <w:r w:rsidR="008B4287" w:rsidRPr="008B4287">
          <w:rPr>
            <w:color w:val="A6A6A6" w:themeColor="background1" w:themeShade="A6"/>
          </w:rPr>
          <w:t xml:space="preserve">Gas Code </w:t>
        </w:r>
        <w:r w:rsidR="008B4287">
          <w:rPr>
            <w:color w:val="A6A6A6" w:themeColor="background1" w:themeShade="A6"/>
          </w:rPr>
          <w:t xml:space="preserve">of Conduct </w:t>
        </w:r>
        <w:r w:rsidR="008B4287" w:rsidRPr="008B4287">
          <w:rPr>
            <w:color w:val="A6A6A6" w:themeColor="background1" w:themeShade="A6"/>
          </w:rPr>
          <w:t>addendum</w:t>
        </w:r>
        <w:r w:rsidR="008B4287" w:rsidRPr="008B4287">
          <w:rPr>
            <w:color w:val="A6A6A6" w:themeColor="background1" w:themeShade="A6"/>
          </w:rPr>
          <w:tab/>
        </w:r>
        <w:r w:rsidR="0091463C" w:rsidRPr="008B4287">
          <w:rPr>
            <w:color w:val="A6A6A6" w:themeColor="background1" w:themeShade="A6"/>
          </w:rPr>
          <w:fldChar w:fldCharType="begin"/>
        </w:r>
        <w:r w:rsidR="0091463C" w:rsidRPr="008B4287">
          <w:rPr>
            <w:color w:val="A6A6A6" w:themeColor="background1" w:themeShade="A6"/>
          </w:rPr>
          <w:instrText xml:space="preserve"> PAGE   \* MERGEFORMAT </w:instrText>
        </w:r>
        <w:r w:rsidR="0091463C" w:rsidRPr="008B4287">
          <w:rPr>
            <w:color w:val="A6A6A6" w:themeColor="background1" w:themeShade="A6"/>
          </w:rPr>
          <w:fldChar w:fldCharType="separate"/>
        </w:r>
        <w:r w:rsidR="00E6648E">
          <w:rPr>
            <w:noProof/>
            <w:color w:val="A6A6A6" w:themeColor="background1" w:themeShade="A6"/>
          </w:rPr>
          <w:t>1</w:t>
        </w:r>
        <w:r w:rsidR="0091463C" w:rsidRPr="008B4287">
          <w:rPr>
            <w:noProof/>
            <w:color w:val="A6A6A6" w:themeColor="background1" w:themeShade="A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F3CE5" w14:textId="77777777" w:rsidR="00E6648E" w:rsidRDefault="00E664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760EC" w14:textId="77777777" w:rsidR="00E35704" w:rsidRDefault="00E35704" w:rsidP="00D00EC1">
      <w:pPr>
        <w:spacing w:after="0" w:line="240" w:lineRule="auto"/>
      </w:pPr>
      <w:r>
        <w:separator/>
      </w:r>
    </w:p>
  </w:footnote>
  <w:footnote w:type="continuationSeparator" w:id="0">
    <w:p w14:paraId="517E66B6" w14:textId="77777777" w:rsidR="00E35704" w:rsidRDefault="00E35704" w:rsidP="00D00EC1">
      <w:pPr>
        <w:spacing w:after="0" w:line="240" w:lineRule="auto"/>
      </w:pPr>
      <w:r>
        <w:continuationSeparator/>
      </w:r>
    </w:p>
  </w:footnote>
  <w:footnote w:type="continuationNotice" w:id="1">
    <w:p w14:paraId="588B57E7" w14:textId="77777777" w:rsidR="00E35704" w:rsidRDefault="00E357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BCD99" w14:textId="77777777" w:rsidR="00E6648E" w:rsidRDefault="00E664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2D968" w14:textId="77777777" w:rsidR="00E6648E" w:rsidRDefault="00E664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AB9BA" w14:textId="77777777" w:rsidR="00E6648E" w:rsidRDefault="00E664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41FA"/>
    <w:multiLevelType w:val="hybridMultilevel"/>
    <w:tmpl w:val="B84A6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0558"/>
    <w:multiLevelType w:val="hybridMultilevel"/>
    <w:tmpl w:val="825229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1372E"/>
    <w:multiLevelType w:val="hybridMultilevel"/>
    <w:tmpl w:val="4CBC34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91C63"/>
    <w:multiLevelType w:val="hybridMultilevel"/>
    <w:tmpl w:val="50867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91AEF"/>
    <w:multiLevelType w:val="hybridMultilevel"/>
    <w:tmpl w:val="4A92175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C1"/>
    <w:rsid w:val="00000127"/>
    <w:rsid w:val="00005B04"/>
    <w:rsid w:val="000108B6"/>
    <w:rsid w:val="00015E1B"/>
    <w:rsid w:val="00023A78"/>
    <w:rsid w:val="00027C57"/>
    <w:rsid w:val="00027C5D"/>
    <w:rsid w:val="00027E46"/>
    <w:rsid w:val="000328B4"/>
    <w:rsid w:val="00044292"/>
    <w:rsid w:val="00044BFF"/>
    <w:rsid w:val="00052BBD"/>
    <w:rsid w:val="00055AF1"/>
    <w:rsid w:val="000611E5"/>
    <w:rsid w:val="00063A50"/>
    <w:rsid w:val="0007012B"/>
    <w:rsid w:val="00074D53"/>
    <w:rsid w:val="00084564"/>
    <w:rsid w:val="00086021"/>
    <w:rsid w:val="00096D26"/>
    <w:rsid w:val="000C1E2E"/>
    <w:rsid w:val="000D701E"/>
    <w:rsid w:val="000E59C9"/>
    <w:rsid w:val="000F24B0"/>
    <w:rsid w:val="00102375"/>
    <w:rsid w:val="0010241C"/>
    <w:rsid w:val="00102956"/>
    <w:rsid w:val="001049DB"/>
    <w:rsid w:val="001120E5"/>
    <w:rsid w:val="00112C70"/>
    <w:rsid w:val="00113956"/>
    <w:rsid w:val="001167A7"/>
    <w:rsid w:val="00123C5D"/>
    <w:rsid w:val="00135B5A"/>
    <w:rsid w:val="00162FEF"/>
    <w:rsid w:val="00165EEC"/>
    <w:rsid w:val="0016682D"/>
    <w:rsid w:val="0018649D"/>
    <w:rsid w:val="00194864"/>
    <w:rsid w:val="00194EBC"/>
    <w:rsid w:val="001A20F7"/>
    <w:rsid w:val="001C0323"/>
    <w:rsid w:val="001C5EE6"/>
    <w:rsid w:val="001C6320"/>
    <w:rsid w:val="001D28A8"/>
    <w:rsid w:val="001D64B6"/>
    <w:rsid w:val="001D7C70"/>
    <w:rsid w:val="001E2CDC"/>
    <w:rsid w:val="001F42C4"/>
    <w:rsid w:val="00212EDC"/>
    <w:rsid w:val="00214AB9"/>
    <w:rsid w:val="00217013"/>
    <w:rsid w:val="00222A0A"/>
    <w:rsid w:val="002308D9"/>
    <w:rsid w:val="00234BB1"/>
    <w:rsid w:val="00246981"/>
    <w:rsid w:val="00271460"/>
    <w:rsid w:val="00274619"/>
    <w:rsid w:val="00280215"/>
    <w:rsid w:val="00297F47"/>
    <w:rsid w:val="002A6DD1"/>
    <w:rsid w:val="002B48A0"/>
    <w:rsid w:val="002B6B4E"/>
    <w:rsid w:val="002C51B8"/>
    <w:rsid w:val="002D0265"/>
    <w:rsid w:val="002D7D3B"/>
    <w:rsid w:val="00302651"/>
    <w:rsid w:val="00307009"/>
    <w:rsid w:val="00317D06"/>
    <w:rsid w:val="00325985"/>
    <w:rsid w:val="00330442"/>
    <w:rsid w:val="00330CF4"/>
    <w:rsid w:val="00332147"/>
    <w:rsid w:val="0033763F"/>
    <w:rsid w:val="0034304D"/>
    <w:rsid w:val="0037203D"/>
    <w:rsid w:val="00376776"/>
    <w:rsid w:val="00377776"/>
    <w:rsid w:val="0038479C"/>
    <w:rsid w:val="00384AF4"/>
    <w:rsid w:val="00386AA5"/>
    <w:rsid w:val="003A0A3F"/>
    <w:rsid w:val="003A3EDC"/>
    <w:rsid w:val="003A627B"/>
    <w:rsid w:val="003B3B87"/>
    <w:rsid w:val="003B52AB"/>
    <w:rsid w:val="003C5959"/>
    <w:rsid w:val="003E1677"/>
    <w:rsid w:val="003E74C1"/>
    <w:rsid w:val="003F505E"/>
    <w:rsid w:val="003F5619"/>
    <w:rsid w:val="00415C02"/>
    <w:rsid w:val="00422A1D"/>
    <w:rsid w:val="004250BD"/>
    <w:rsid w:val="00442560"/>
    <w:rsid w:val="00455B5C"/>
    <w:rsid w:val="00461B98"/>
    <w:rsid w:val="00465358"/>
    <w:rsid w:val="00474705"/>
    <w:rsid w:val="0048461B"/>
    <w:rsid w:val="004B0F7F"/>
    <w:rsid w:val="004D23A1"/>
    <w:rsid w:val="004D61A5"/>
    <w:rsid w:val="004F396D"/>
    <w:rsid w:val="004F5F47"/>
    <w:rsid w:val="00500D71"/>
    <w:rsid w:val="00505315"/>
    <w:rsid w:val="00514E03"/>
    <w:rsid w:val="00535EDE"/>
    <w:rsid w:val="00536AF8"/>
    <w:rsid w:val="00545DC4"/>
    <w:rsid w:val="005520DF"/>
    <w:rsid w:val="00566865"/>
    <w:rsid w:val="005668C8"/>
    <w:rsid w:val="00570A8C"/>
    <w:rsid w:val="005809D3"/>
    <w:rsid w:val="005841C8"/>
    <w:rsid w:val="0058636F"/>
    <w:rsid w:val="005A0330"/>
    <w:rsid w:val="005A75E9"/>
    <w:rsid w:val="005D2498"/>
    <w:rsid w:val="005E00B7"/>
    <w:rsid w:val="005E5B7E"/>
    <w:rsid w:val="005E5BB3"/>
    <w:rsid w:val="005E64CF"/>
    <w:rsid w:val="005E7B75"/>
    <w:rsid w:val="00605F57"/>
    <w:rsid w:val="00606432"/>
    <w:rsid w:val="00606D8A"/>
    <w:rsid w:val="0061160B"/>
    <w:rsid w:val="0061206B"/>
    <w:rsid w:val="00614FF2"/>
    <w:rsid w:val="006237FF"/>
    <w:rsid w:val="00626E60"/>
    <w:rsid w:val="006321A2"/>
    <w:rsid w:val="00633BAF"/>
    <w:rsid w:val="00640B4A"/>
    <w:rsid w:val="00643A54"/>
    <w:rsid w:val="00646DEA"/>
    <w:rsid w:val="0065323D"/>
    <w:rsid w:val="006604AA"/>
    <w:rsid w:val="00665766"/>
    <w:rsid w:val="006663AA"/>
    <w:rsid w:val="00666717"/>
    <w:rsid w:val="006717FF"/>
    <w:rsid w:val="006779A9"/>
    <w:rsid w:val="00687184"/>
    <w:rsid w:val="006901BC"/>
    <w:rsid w:val="006967C4"/>
    <w:rsid w:val="006B2089"/>
    <w:rsid w:val="006B634B"/>
    <w:rsid w:val="006C43DF"/>
    <w:rsid w:val="006C4932"/>
    <w:rsid w:val="006D300A"/>
    <w:rsid w:val="006E50AB"/>
    <w:rsid w:val="006E7726"/>
    <w:rsid w:val="006F3E11"/>
    <w:rsid w:val="00704AA5"/>
    <w:rsid w:val="0071060D"/>
    <w:rsid w:val="007112C0"/>
    <w:rsid w:val="00725737"/>
    <w:rsid w:val="00730B7C"/>
    <w:rsid w:val="007320A6"/>
    <w:rsid w:val="0074300C"/>
    <w:rsid w:val="007440F0"/>
    <w:rsid w:val="00745166"/>
    <w:rsid w:val="00750A52"/>
    <w:rsid w:val="00761EEA"/>
    <w:rsid w:val="0076325E"/>
    <w:rsid w:val="00784F25"/>
    <w:rsid w:val="007905CB"/>
    <w:rsid w:val="0079771A"/>
    <w:rsid w:val="00797F18"/>
    <w:rsid w:val="007B177B"/>
    <w:rsid w:val="007C58B1"/>
    <w:rsid w:val="00803305"/>
    <w:rsid w:val="008060D1"/>
    <w:rsid w:val="008075AA"/>
    <w:rsid w:val="00811AE0"/>
    <w:rsid w:val="00812034"/>
    <w:rsid w:val="0081374D"/>
    <w:rsid w:val="00813F72"/>
    <w:rsid w:val="0083223D"/>
    <w:rsid w:val="008407CD"/>
    <w:rsid w:val="008539DF"/>
    <w:rsid w:val="00853EA9"/>
    <w:rsid w:val="00856743"/>
    <w:rsid w:val="00864CA3"/>
    <w:rsid w:val="0087219E"/>
    <w:rsid w:val="00873CD4"/>
    <w:rsid w:val="00874CE1"/>
    <w:rsid w:val="00877464"/>
    <w:rsid w:val="00886E65"/>
    <w:rsid w:val="00887AFA"/>
    <w:rsid w:val="00890F53"/>
    <w:rsid w:val="008966D9"/>
    <w:rsid w:val="008A2AB5"/>
    <w:rsid w:val="008A7CFA"/>
    <w:rsid w:val="008B4287"/>
    <w:rsid w:val="008B45EC"/>
    <w:rsid w:val="008B4FC5"/>
    <w:rsid w:val="008B520B"/>
    <w:rsid w:val="008B74EC"/>
    <w:rsid w:val="008D55FC"/>
    <w:rsid w:val="008D570B"/>
    <w:rsid w:val="008D6D39"/>
    <w:rsid w:val="008F36AC"/>
    <w:rsid w:val="008F4850"/>
    <w:rsid w:val="0090481F"/>
    <w:rsid w:val="00904AE6"/>
    <w:rsid w:val="00912396"/>
    <w:rsid w:val="0091463C"/>
    <w:rsid w:val="00926E95"/>
    <w:rsid w:val="009330A7"/>
    <w:rsid w:val="00936C35"/>
    <w:rsid w:val="00941538"/>
    <w:rsid w:val="00943397"/>
    <w:rsid w:val="009465BF"/>
    <w:rsid w:val="00950F58"/>
    <w:rsid w:val="00953C6A"/>
    <w:rsid w:val="00954ED3"/>
    <w:rsid w:val="0096183D"/>
    <w:rsid w:val="0096234A"/>
    <w:rsid w:val="00970CE2"/>
    <w:rsid w:val="00977FE0"/>
    <w:rsid w:val="00982625"/>
    <w:rsid w:val="00994E5A"/>
    <w:rsid w:val="009950ED"/>
    <w:rsid w:val="009B6465"/>
    <w:rsid w:val="009B706C"/>
    <w:rsid w:val="009D1B27"/>
    <w:rsid w:val="009D3581"/>
    <w:rsid w:val="009E019B"/>
    <w:rsid w:val="009F0A77"/>
    <w:rsid w:val="009F53AA"/>
    <w:rsid w:val="00A03E8C"/>
    <w:rsid w:val="00A04E55"/>
    <w:rsid w:val="00A06B68"/>
    <w:rsid w:val="00A219DF"/>
    <w:rsid w:val="00A408B0"/>
    <w:rsid w:val="00A45773"/>
    <w:rsid w:val="00A52400"/>
    <w:rsid w:val="00A57F3E"/>
    <w:rsid w:val="00A821FA"/>
    <w:rsid w:val="00A90F08"/>
    <w:rsid w:val="00A9196C"/>
    <w:rsid w:val="00A961FA"/>
    <w:rsid w:val="00AA10B5"/>
    <w:rsid w:val="00AA38A4"/>
    <w:rsid w:val="00AA79CF"/>
    <w:rsid w:val="00AB4498"/>
    <w:rsid w:val="00AB5B49"/>
    <w:rsid w:val="00AC2C69"/>
    <w:rsid w:val="00AC324C"/>
    <w:rsid w:val="00AC4C04"/>
    <w:rsid w:val="00AC5650"/>
    <w:rsid w:val="00AD0417"/>
    <w:rsid w:val="00AE08E3"/>
    <w:rsid w:val="00AE0E7C"/>
    <w:rsid w:val="00AE411A"/>
    <w:rsid w:val="00AF29A6"/>
    <w:rsid w:val="00AF5D32"/>
    <w:rsid w:val="00B01F52"/>
    <w:rsid w:val="00B0516A"/>
    <w:rsid w:val="00B16DBF"/>
    <w:rsid w:val="00B261CF"/>
    <w:rsid w:val="00B26D86"/>
    <w:rsid w:val="00B32D1C"/>
    <w:rsid w:val="00B449C6"/>
    <w:rsid w:val="00B55C46"/>
    <w:rsid w:val="00B70CB0"/>
    <w:rsid w:val="00B7386D"/>
    <w:rsid w:val="00B81A3E"/>
    <w:rsid w:val="00B9743F"/>
    <w:rsid w:val="00BA0BDE"/>
    <w:rsid w:val="00BB247C"/>
    <w:rsid w:val="00BB799F"/>
    <w:rsid w:val="00BC038A"/>
    <w:rsid w:val="00BC26BD"/>
    <w:rsid w:val="00BC528A"/>
    <w:rsid w:val="00BD2322"/>
    <w:rsid w:val="00BE0D3F"/>
    <w:rsid w:val="00BE5A5A"/>
    <w:rsid w:val="00BE5E32"/>
    <w:rsid w:val="00BF0DDA"/>
    <w:rsid w:val="00C10725"/>
    <w:rsid w:val="00C463A0"/>
    <w:rsid w:val="00C47E46"/>
    <w:rsid w:val="00C63A37"/>
    <w:rsid w:val="00C71440"/>
    <w:rsid w:val="00C8409F"/>
    <w:rsid w:val="00C86283"/>
    <w:rsid w:val="00C867AF"/>
    <w:rsid w:val="00C8685E"/>
    <w:rsid w:val="00C87D49"/>
    <w:rsid w:val="00CB0006"/>
    <w:rsid w:val="00CB088A"/>
    <w:rsid w:val="00CB6377"/>
    <w:rsid w:val="00CD47B9"/>
    <w:rsid w:val="00CE18B5"/>
    <w:rsid w:val="00CE19D5"/>
    <w:rsid w:val="00CE41EF"/>
    <w:rsid w:val="00CF78EC"/>
    <w:rsid w:val="00D00EC1"/>
    <w:rsid w:val="00D11819"/>
    <w:rsid w:val="00D21990"/>
    <w:rsid w:val="00D238FB"/>
    <w:rsid w:val="00D2444E"/>
    <w:rsid w:val="00D27F38"/>
    <w:rsid w:val="00D56D20"/>
    <w:rsid w:val="00D57342"/>
    <w:rsid w:val="00D641FB"/>
    <w:rsid w:val="00D72289"/>
    <w:rsid w:val="00D82567"/>
    <w:rsid w:val="00D8536A"/>
    <w:rsid w:val="00D93045"/>
    <w:rsid w:val="00DB2248"/>
    <w:rsid w:val="00DB50C3"/>
    <w:rsid w:val="00DB5AB1"/>
    <w:rsid w:val="00DC0254"/>
    <w:rsid w:val="00DC1C1D"/>
    <w:rsid w:val="00DC1D2D"/>
    <w:rsid w:val="00DC3FCF"/>
    <w:rsid w:val="00DC4013"/>
    <w:rsid w:val="00DC7F1D"/>
    <w:rsid w:val="00E028CE"/>
    <w:rsid w:val="00E05205"/>
    <w:rsid w:val="00E05428"/>
    <w:rsid w:val="00E0563B"/>
    <w:rsid w:val="00E1079F"/>
    <w:rsid w:val="00E14002"/>
    <w:rsid w:val="00E15ECA"/>
    <w:rsid w:val="00E161E7"/>
    <w:rsid w:val="00E20288"/>
    <w:rsid w:val="00E208FD"/>
    <w:rsid w:val="00E307CE"/>
    <w:rsid w:val="00E312A6"/>
    <w:rsid w:val="00E319D1"/>
    <w:rsid w:val="00E35704"/>
    <w:rsid w:val="00E368DF"/>
    <w:rsid w:val="00E370F8"/>
    <w:rsid w:val="00E37A97"/>
    <w:rsid w:val="00E42303"/>
    <w:rsid w:val="00E514E1"/>
    <w:rsid w:val="00E5425E"/>
    <w:rsid w:val="00E6648E"/>
    <w:rsid w:val="00E8242D"/>
    <w:rsid w:val="00E85944"/>
    <w:rsid w:val="00E945D7"/>
    <w:rsid w:val="00EA2895"/>
    <w:rsid w:val="00EB3340"/>
    <w:rsid w:val="00EB36B5"/>
    <w:rsid w:val="00EC0A09"/>
    <w:rsid w:val="00EC7F86"/>
    <w:rsid w:val="00EF0189"/>
    <w:rsid w:val="00EF0697"/>
    <w:rsid w:val="00EF601D"/>
    <w:rsid w:val="00F03AEE"/>
    <w:rsid w:val="00F0742F"/>
    <w:rsid w:val="00F1585B"/>
    <w:rsid w:val="00F2093B"/>
    <w:rsid w:val="00F23A42"/>
    <w:rsid w:val="00F47620"/>
    <w:rsid w:val="00F5467A"/>
    <w:rsid w:val="00F61FEB"/>
    <w:rsid w:val="00F6269F"/>
    <w:rsid w:val="00F72540"/>
    <w:rsid w:val="00F75D53"/>
    <w:rsid w:val="00F77626"/>
    <w:rsid w:val="00F8164C"/>
    <w:rsid w:val="00F84A54"/>
    <w:rsid w:val="00F87956"/>
    <w:rsid w:val="00F87BD4"/>
    <w:rsid w:val="00F87E6A"/>
    <w:rsid w:val="00FB0E5D"/>
    <w:rsid w:val="00FC10BF"/>
    <w:rsid w:val="00FC422E"/>
    <w:rsid w:val="00FC71DB"/>
    <w:rsid w:val="00FD102B"/>
    <w:rsid w:val="00FD2F85"/>
    <w:rsid w:val="0123BF25"/>
    <w:rsid w:val="014D7EEC"/>
    <w:rsid w:val="028F9659"/>
    <w:rsid w:val="02BF8F86"/>
    <w:rsid w:val="02DDE1D2"/>
    <w:rsid w:val="045B5FE7"/>
    <w:rsid w:val="0546534D"/>
    <w:rsid w:val="0605F476"/>
    <w:rsid w:val="0682D3B1"/>
    <w:rsid w:val="06C74405"/>
    <w:rsid w:val="0711CD24"/>
    <w:rsid w:val="0761AD09"/>
    <w:rsid w:val="079300A9"/>
    <w:rsid w:val="08121401"/>
    <w:rsid w:val="0A38C3D0"/>
    <w:rsid w:val="0B01A4A6"/>
    <w:rsid w:val="0B4B47F6"/>
    <w:rsid w:val="0B53919F"/>
    <w:rsid w:val="0B66CC4B"/>
    <w:rsid w:val="0C09E770"/>
    <w:rsid w:val="0D5D1CA1"/>
    <w:rsid w:val="0F444F2F"/>
    <w:rsid w:val="10308C56"/>
    <w:rsid w:val="105D37AA"/>
    <w:rsid w:val="1090AA0F"/>
    <w:rsid w:val="11019BE4"/>
    <w:rsid w:val="11EC4BB2"/>
    <w:rsid w:val="13136D47"/>
    <w:rsid w:val="137E4C45"/>
    <w:rsid w:val="1463234F"/>
    <w:rsid w:val="152C2A4A"/>
    <w:rsid w:val="165AB072"/>
    <w:rsid w:val="1739E834"/>
    <w:rsid w:val="178443EF"/>
    <w:rsid w:val="1B3943A1"/>
    <w:rsid w:val="1EA6F6AC"/>
    <w:rsid w:val="1EF3008D"/>
    <w:rsid w:val="21BF73E2"/>
    <w:rsid w:val="229A908C"/>
    <w:rsid w:val="23E13085"/>
    <w:rsid w:val="243660ED"/>
    <w:rsid w:val="2528080C"/>
    <w:rsid w:val="25BE1220"/>
    <w:rsid w:val="25CF1FC2"/>
    <w:rsid w:val="2631D19A"/>
    <w:rsid w:val="2738F1C7"/>
    <w:rsid w:val="287F7F8B"/>
    <w:rsid w:val="28A1D059"/>
    <w:rsid w:val="2A1B4FEC"/>
    <w:rsid w:val="2A479C95"/>
    <w:rsid w:val="2B22F950"/>
    <w:rsid w:val="2B64C180"/>
    <w:rsid w:val="2C011F06"/>
    <w:rsid w:val="2E548F74"/>
    <w:rsid w:val="30EB84C9"/>
    <w:rsid w:val="310AC511"/>
    <w:rsid w:val="33185D03"/>
    <w:rsid w:val="3467AFEA"/>
    <w:rsid w:val="34F3C2C9"/>
    <w:rsid w:val="365ED790"/>
    <w:rsid w:val="3919CE7C"/>
    <w:rsid w:val="3CF863B4"/>
    <w:rsid w:val="3E65FFDC"/>
    <w:rsid w:val="3FDF7F6F"/>
    <w:rsid w:val="413128CF"/>
    <w:rsid w:val="41A8D870"/>
    <w:rsid w:val="42C4C164"/>
    <w:rsid w:val="44B2F092"/>
    <w:rsid w:val="4506A1A3"/>
    <w:rsid w:val="46834B75"/>
    <w:rsid w:val="469BACE2"/>
    <w:rsid w:val="48258D6F"/>
    <w:rsid w:val="4A579BC3"/>
    <w:rsid w:val="4AB6AAEC"/>
    <w:rsid w:val="4CAF0F5B"/>
    <w:rsid w:val="4ED04D39"/>
    <w:rsid w:val="4F024B50"/>
    <w:rsid w:val="5052D35C"/>
    <w:rsid w:val="51996120"/>
    <w:rsid w:val="51B85278"/>
    <w:rsid w:val="51EEA3BD"/>
    <w:rsid w:val="53353181"/>
    <w:rsid w:val="53BF8406"/>
    <w:rsid w:val="54172CFF"/>
    <w:rsid w:val="5426E925"/>
    <w:rsid w:val="565DFEB3"/>
    <w:rsid w:val="5737307F"/>
    <w:rsid w:val="575801AC"/>
    <w:rsid w:val="58C9D863"/>
    <w:rsid w:val="5A50EC57"/>
    <w:rsid w:val="5AEC02E8"/>
    <w:rsid w:val="5B4B1781"/>
    <w:rsid w:val="5C11580F"/>
    <w:rsid w:val="5C7A065D"/>
    <w:rsid w:val="5CD1968B"/>
    <w:rsid w:val="5E2184D0"/>
    <w:rsid w:val="5EB42590"/>
    <w:rsid w:val="601CDCFA"/>
    <w:rsid w:val="60C84828"/>
    <w:rsid w:val="6224BA6A"/>
    <w:rsid w:val="6224E582"/>
    <w:rsid w:val="627FB7E6"/>
    <w:rsid w:val="639E08F1"/>
    <w:rsid w:val="655C257E"/>
    <w:rsid w:val="69442F11"/>
    <w:rsid w:val="69494253"/>
    <w:rsid w:val="695AB0B7"/>
    <w:rsid w:val="69AFF6A6"/>
    <w:rsid w:val="6A02DE2C"/>
    <w:rsid w:val="6C9F17E0"/>
    <w:rsid w:val="6D359990"/>
    <w:rsid w:val="70FBFBB0"/>
    <w:rsid w:val="721E40EF"/>
    <w:rsid w:val="7265DFDF"/>
    <w:rsid w:val="74E7B243"/>
    <w:rsid w:val="750ED7A5"/>
    <w:rsid w:val="75150CC0"/>
    <w:rsid w:val="75FFCD05"/>
    <w:rsid w:val="770742A6"/>
    <w:rsid w:val="77263927"/>
    <w:rsid w:val="77605F01"/>
    <w:rsid w:val="78994390"/>
    <w:rsid w:val="798E8959"/>
    <w:rsid w:val="7A7A5518"/>
    <w:rsid w:val="7C504E01"/>
    <w:rsid w:val="7C65AFA8"/>
    <w:rsid w:val="7D87EFC7"/>
    <w:rsid w:val="7DEC1E62"/>
    <w:rsid w:val="7F87EEC3"/>
    <w:rsid w:val="7FB033BE"/>
    <w:rsid w:val="7FF1F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7B6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1B27"/>
    <w:pPr>
      <w:keepNext/>
      <w:keepLines/>
      <w:pBdr>
        <w:bottom w:val="single" w:sz="12" w:space="1" w:color="1F4E79" w:themeColor="accent1" w:themeShade="80"/>
      </w:pBdr>
      <w:spacing w:after="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36B5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4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1B27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43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04D"/>
  </w:style>
  <w:style w:type="paragraph" w:styleId="Footer">
    <w:name w:val="footer"/>
    <w:basedOn w:val="Normal"/>
    <w:link w:val="FooterChar"/>
    <w:uiPriority w:val="99"/>
    <w:unhideWhenUsed/>
    <w:rsid w:val="00343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04D"/>
  </w:style>
  <w:style w:type="paragraph" w:styleId="ListParagraph">
    <w:name w:val="List Paragraph"/>
    <w:basedOn w:val="Normal"/>
    <w:uiPriority w:val="34"/>
    <w:qFormat/>
    <w:rsid w:val="0010295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29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29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29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9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9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9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6B4E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B36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666717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9B64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2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56B27-41EC-469D-9C54-C01FBD7D7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/>
  <cp:revision>1</cp:revision>
  <dcterms:created xsi:type="dcterms:W3CDTF">2023-09-13T01:51:00Z</dcterms:created>
  <dcterms:modified xsi:type="dcterms:W3CDTF">2023-09-13T01:52:00Z</dcterms:modified>
  <cp:category/>
</cp:coreProperties>
</file>