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D6132" w14:textId="77777777" w:rsidR="00CC5305" w:rsidRPr="00372C56" w:rsidRDefault="00CC5305" w:rsidP="00CC5305">
      <w:pPr>
        <w:spacing w:after="480"/>
        <w:rPr>
          <w:rFonts w:asciiTheme="minorHAnsi" w:hAnsiTheme="minorHAnsi" w:cstheme="minorHAnsi"/>
          <w:noProof/>
        </w:rPr>
      </w:pPr>
      <w:bookmarkStart w:id="0" w:name="_GoBack"/>
      <w:bookmarkEnd w:id="0"/>
      <w:r w:rsidRPr="00372C56">
        <w:rPr>
          <w:rFonts w:asciiTheme="minorHAnsi" w:hAnsiTheme="minorHAnsi" w:cstheme="minorHAnsi"/>
          <w:noProof/>
        </w:rPr>
        <w:drawing>
          <wp:inline distT="0" distB="0" distL="0" distR="0" wp14:anchorId="48699B66" wp14:editId="167B64B6">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77A0333B" w14:textId="4FB9DA8C" w:rsidR="003D21A1" w:rsidRPr="00372C56" w:rsidRDefault="00CC5305" w:rsidP="00372C56">
      <w:pPr>
        <w:pStyle w:val="Heading1"/>
        <w:spacing w:before="720"/>
        <w:jc w:val="right"/>
        <w:rPr>
          <w:rFonts w:asciiTheme="minorHAnsi" w:hAnsiTheme="minorHAnsi" w:cstheme="minorHAnsi"/>
          <w:szCs w:val="24"/>
        </w:rPr>
      </w:pPr>
      <w:bookmarkStart w:id="1" w:name="Title"/>
      <w:bookmarkEnd w:id="1"/>
      <w:r w:rsidRPr="00372C56">
        <w:rPr>
          <w:rFonts w:asciiTheme="minorHAnsi" w:hAnsiTheme="minorHAnsi" w:cstheme="minorHAnsi"/>
          <w:szCs w:val="24"/>
        </w:rPr>
        <w:t>Chief Medical Officer</w:t>
      </w:r>
    </w:p>
    <w:p w14:paraId="00EE2A27" w14:textId="7E029885" w:rsidR="00DC1DC0" w:rsidRPr="00372C56" w:rsidRDefault="00DC1DC0" w:rsidP="00CC5305">
      <w:pPr>
        <w:pStyle w:val="Header"/>
        <w:tabs>
          <w:tab w:val="left" w:pos="720"/>
        </w:tabs>
        <w:rPr>
          <w:rFonts w:asciiTheme="minorHAnsi" w:hAnsiTheme="minorHAnsi" w:cstheme="minorHAnsi"/>
        </w:rPr>
      </w:pPr>
      <w:r w:rsidRPr="00372C56">
        <w:rPr>
          <w:rFonts w:asciiTheme="minorHAnsi" w:hAnsiTheme="minorHAnsi" w:cstheme="minorHAnsi"/>
        </w:rPr>
        <w:t>Mr Jason Lange</w:t>
      </w:r>
    </w:p>
    <w:p w14:paraId="7F2195DB" w14:textId="77777777" w:rsidR="00DC1DC0" w:rsidRPr="00372C56" w:rsidRDefault="00DC1DC0" w:rsidP="00CC5305">
      <w:pPr>
        <w:pStyle w:val="Header"/>
        <w:tabs>
          <w:tab w:val="left" w:pos="720"/>
        </w:tabs>
        <w:rPr>
          <w:rFonts w:asciiTheme="minorHAnsi" w:hAnsiTheme="minorHAnsi" w:cstheme="minorHAnsi"/>
        </w:rPr>
      </w:pPr>
      <w:r w:rsidRPr="00372C56">
        <w:rPr>
          <w:rFonts w:asciiTheme="minorHAnsi" w:hAnsiTheme="minorHAnsi" w:cstheme="minorHAnsi"/>
        </w:rPr>
        <w:t>Executive Director</w:t>
      </w:r>
    </w:p>
    <w:p w14:paraId="005D512A" w14:textId="216597EA" w:rsidR="00DC1DC0" w:rsidRPr="00372C56" w:rsidRDefault="00DC1DC0" w:rsidP="00CC5305">
      <w:pPr>
        <w:pStyle w:val="Header"/>
        <w:tabs>
          <w:tab w:val="left" w:pos="720"/>
        </w:tabs>
        <w:rPr>
          <w:rFonts w:asciiTheme="minorHAnsi" w:hAnsiTheme="minorHAnsi" w:cstheme="minorHAnsi"/>
        </w:rPr>
      </w:pPr>
      <w:r w:rsidRPr="00372C56">
        <w:rPr>
          <w:rFonts w:asciiTheme="minorHAnsi" w:hAnsiTheme="minorHAnsi" w:cstheme="minorHAnsi"/>
        </w:rPr>
        <w:t>Office of Impact Analysis</w:t>
      </w:r>
    </w:p>
    <w:p w14:paraId="7D835DCB" w14:textId="5181B2BD" w:rsidR="00CC5305" w:rsidRPr="00372C56" w:rsidRDefault="00DC1DC0" w:rsidP="00DC1DC0">
      <w:pPr>
        <w:pStyle w:val="Header"/>
        <w:tabs>
          <w:tab w:val="left" w:pos="720"/>
        </w:tabs>
        <w:rPr>
          <w:rFonts w:asciiTheme="minorHAnsi" w:hAnsiTheme="minorHAnsi" w:cstheme="minorHAnsi"/>
        </w:rPr>
      </w:pPr>
      <w:r w:rsidRPr="00372C56">
        <w:rPr>
          <w:rFonts w:asciiTheme="minorHAnsi" w:hAnsiTheme="minorHAnsi" w:cstheme="minorHAnsi"/>
        </w:rPr>
        <w:t>Department of the Prime Minister and Cabinet</w:t>
      </w:r>
      <w:r w:rsidR="00CC5305" w:rsidRPr="00372C56">
        <w:rPr>
          <w:rFonts w:asciiTheme="minorHAnsi" w:hAnsiTheme="minorHAnsi" w:cstheme="minorHAnsi"/>
        </w:rPr>
        <w:t xml:space="preserve"> </w:t>
      </w:r>
    </w:p>
    <w:p w14:paraId="33B2224B" w14:textId="77777777" w:rsidR="00CC5305" w:rsidRPr="00372C56" w:rsidRDefault="00CC5305" w:rsidP="00CC5305">
      <w:pPr>
        <w:rPr>
          <w:rFonts w:asciiTheme="minorHAnsi" w:hAnsiTheme="minorHAnsi" w:cstheme="minorHAnsi"/>
        </w:rPr>
      </w:pPr>
    </w:p>
    <w:p w14:paraId="7BAD47A1" w14:textId="485FC2A9" w:rsidR="00CC5305" w:rsidRPr="00372C56" w:rsidRDefault="00DC1DC0" w:rsidP="00CC5305">
      <w:pPr>
        <w:rPr>
          <w:rFonts w:asciiTheme="minorHAnsi" w:hAnsiTheme="minorHAnsi" w:cstheme="minorHAnsi"/>
        </w:rPr>
      </w:pPr>
      <w:r w:rsidRPr="00372C56">
        <w:rPr>
          <w:rFonts w:asciiTheme="minorHAnsi" w:hAnsiTheme="minorHAnsi" w:cstheme="minorHAnsi"/>
        </w:rPr>
        <w:t xml:space="preserve">Email: </w:t>
      </w:r>
      <w:r w:rsidRPr="00372C56">
        <w:rPr>
          <w:rFonts w:asciiTheme="minorHAnsi" w:hAnsiTheme="minorHAnsi" w:cstheme="minorHAnsi"/>
          <w:u w:val="single"/>
        </w:rPr>
        <w:t>Helpdesk-OBPR@pmc.gov.au</w:t>
      </w:r>
      <w:r w:rsidRPr="00372C56">
        <w:rPr>
          <w:rFonts w:asciiTheme="minorHAnsi" w:hAnsiTheme="minorHAnsi" w:cstheme="minorHAnsi"/>
        </w:rPr>
        <w:t xml:space="preserve"> </w:t>
      </w:r>
    </w:p>
    <w:p w14:paraId="053897F7" w14:textId="77777777" w:rsidR="00DC1DC0" w:rsidRPr="00372C56" w:rsidRDefault="00DC1DC0" w:rsidP="00CC5305">
      <w:pPr>
        <w:rPr>
          <w:rFonts w:asciiTheme="minorHAnsi" w:hAnsiTheme="minorHAnsi" w:cstheme="minorHAnsi"/>
        </w:rPr>
      </w:pPr>
    </w:p>
    <w:p w14:paraId="1DA01548" w14:textId="12BA0277" w:rsidR="00DC1DC0" w:rsidRPr="00372C56" w:rsidRDefault="00CC5305" w:rsidP="00CC5305">
      <w:pPr>
        <w:rPr>
          <w:rFonts w:asciiTheme="minorHAnsi" w:hAnsiTheme="minorHAnsi" w:cstheme="minorHAnsi"/>
        </w:rPr>
      </w:pPr>
      <w:r w:rsidRPr="00372C56">
        <w:rPr>
          <w:rFonts w:asciiTheme="minorHAnsi" w:hAnsiTheme="minorHAnsi" w:cstheme="minorHAnsi"/>
        </w:rPr>
        <w:t xml:space="preserve">Dear </w:t>
      </w:r>
      <w:r w:rsidR="00DC1DC0" w:rsidRPr="00372C56">
        <w:rPr>
          <w:rFonts w:asciiTheme="minorHAnsi" w:hAnsiTheme="minorHAnsi" w:cstheme="minorHAnsi"/>
        </w:rPr>
        <w:t>Mr Lange</w:t>
      </w:r>
    </w:p>
    <w:p w14:paraId="04FD4C27" w14:textId="5032C89C" w:rsidR="00DC1DC0" w:rsidRPr="00372C56" w:rsidRDefault="00DC1DC0" w:rsidP="00CC5305">
      <w:pPr>
        <w:rPr>
          <w:rFonts w:asciiTheme="minorHAnsi" w:hAnsiTheme="minorHAnsi" w:cstheme="minorHAnsi"/>
        </w:rPr>
      </w:pPr>
    </w:p>
    <w:p w14:paraId="4746F41E" w14:textId="52891767" w:rsidR="005C16EE" w:rsidRPr="00372C56" w:rsidRDefault="005C16EE" w:rsidP="00CC5305">
      <w:pPr>
        <w:rPr>
          <w:rFonts w:asciiTheme="minorHAnsi" w:hAnsiTheme="minorHAnsi" w:cstheme="minorHAnsi"/>
          <w:b/>
          <w:bCs/>
        </w:rPr>
      </w:pPr>
      <w:r w:rsidRPr="00372C56">
        <w:rPr>
          <w:rFonts w:asciiTheme="minorHAnsi" w:hAnsiTheme="minorHAnsi" w:cstheme="minorHAnsi"/>
          <w:b/>
          <w:bCs/>
        </w:rPr>
        <w:t xml:space="preserve">Sunsetting of </w:t>
      </w:r>
      <w:r w:rsidR="00B6654D" w:rsidRPr="00372C56">
        <w:rPr>
          <w:rFonts w:asciiTheme="minorHAnsi" w:hAnsiTheme="minorHAnsi" w:cstheme="minorHAnsi"/>
          <w:b/>
          <w:bCs/>
          <w:i/>
          <w:iCs/>
        </w:rPr>
        <w:t>National Health Security (SSBA Standards) Determination 2013</w:t>
      </w:r>
    </w:p>
    <w:p w14:paraId="7053BE8E" w14:textId="57C23C41" w:rsidR="00B6654D" w:rsidRPr="00372C56" w:rsidRDefault="00B6654D" w:rsidP="00CC5305">
      <w:pPr>
        <w:rPr>
          <w:rFonts w:asciiTheme="minorHAnsi" w:hAnsiTheme="minorHAnsi" w:cstheme="minorHAnsi"/>
          <w:b/>
          <w:bCs/>
        </w:rPr>
      </w:pPr>
    </w:p>
    <w:p w14:paraId="518E6E64" w14:textId="62A89B34" w:rsidR="00B6654D" w:rsidRPr="00372C56" w:rsidRDefault="00B6654D" w:rsidP="00CC5305">
      <w:pPr>
        <w:rPr>
          <w:rFonts w:asciiTheme="minorHAnsi" w:hAnsiTheme="minorHAnsi" w:cstheme="minorHAnsi"/>
        </w:rPr>
      </w:pPr>
      <w:r w:rsidRPr="00372C56">
        <w:rPr>
          <w:rFonts w:asciiTheme="minorHAnsi" w:hAnsiTheme="minorHAnsi" w:cstheme="minorHAnsi"/>
        </w:rPr>
        <w:t xml:space="preserve">I am writing to the Office of Impact Analysis (OIA) regarding the </w:t>
      </w:r>
      <w:r w:rsidR="00813537" w:rsidRPr="00372C56">
        <w:rPr>
          <w:rFonts w:asciiTheme="minorHAnsi" w:hAnsiTheme="minorHAnsi" w:cstheme="minorHAnsi"/>
          <w:i/>
          <w:iCs/>
        </w:rPr>
        <w:t xml:space="preserve">National Health Security (SSBA Standards) Determination 2013, </w:t>
      </w:r>
      <w:r w:rsidR="00813537" w:rsidRPr="00372C56">
        <w:rPr>
          <w:rFonts w:asciiTheme="minorHAnsi" w:hAnsiTheme="minorHAnsi" w:cstheme="minorHAnsi"/>
        </w:rPr>
        <w:t xml:space="preserve">which, as per the </w:t>
      </w:r>
      <w:r w:rsidR="00813537" w:rsidRPr="00372C56">
        <w:rPr>
          <w:rFonts w:asciiTheme="minorHAnsi" w:hAnsiTheme="minorHAnsi" w:cstheme="minorHAnsi"/>
          <w:i/>
          <w:iCs/>
        </w:rPr>
        <w:t xml:space="preserve">Legislative Instruments Act 2003, </w:t>
      </w:r>
      <w:r w:rsidR="00372C56">
        <w:rPr>
          <w:rFonts w:asciiTheme="minorHAnsi" w:hAnsiTheme="minorHAnsi" w:cstheme="minorHAnsi"/>
        </w:rPr>
        <w:t>is</w:t>
      </w:r>
      <w:r w:rsidR="00813537" w:rsidRPr="00372C56">
        <w:rPr>
          <w:rFonts w:asciiTheme="minorHAnsi" w:hAnsiTheme="minorHAnsi" w:cstheme="minorHAnsi"/>
        </w:rPr>
        <w:t xml:space="preserve"> scheduled to sunset on 1 October 2023.</w:t>
      </w:r>
      <w:r w:rsidR="00494EDE" w:rsidRPr="00372C56">
        <w:rPr>
          <w:rFonts w:asciiTheme="minorHAnsi" w:hAnsiTheme="minorHAnsi" w:cstheme="minorHAnsi"/>
        </w:rPr>
        <w:t xml:space="preserve"> </w:t>
      </w:r>
      <w:r w:rsidR="005A0E3D">
        <w:rPr>
          <w:rFonts w:asciiTheme="minorHAnsi" w:hAnsiTheme="minorHAnsi" w:cstheme="minorHAnsi"/>
        </w:rPr>
        <w:t>Pending Ministerial consideration, it is intended</w:t>
      </w:r>
      <w:r w:rsidR="00494EDE" w:rsidRPr="00372C56">
        <w:rPr>
          <w:rFonts w:asciiTheme="minorHAnsi" w:hAnsiTheme="minorHAnsi" w:cstheme="minorHAnsi"/>
        </w:rPr>
        <w:t xml:space="preserve"> that the instrument is to be remade without amendment to ensure continu</w:t>
      </w:r>
      <w:r w:rsidR="005A0E3D">
        <w:rPr>
          <w:rFonts w:asciiTheme="minorHAnsi" w:hAnsiTheme="minorHAnsi" w:cstheme="minorHAnsi"/>
        </w:rPr>
        <w:t xml:space="preserve">ity </w:t>
      </w:r>
      <w:r w:rsidR="00494EDE" w:rsidRPr="00372C56">
        <w:rPr>
          <w:rFonts w:asciiTheme="minorHAnsi" w:hAnsiTheme="minorHAnsi" w:cstheme="minorHAnsi"/>
        </w:rPr>
        <w:t>of the SSBA Regulatory Scheme. A</w:t>
      </w:r>
      <w:r w:rsidR="005A0E3D">
        <w:rPr>
          <w:rFonts w:asciiTheme="minorHAnsi" w:hAnsiTheme="minorHAnsi" w:cstheme="minorHAnsi"/>
        </w:rPr>
        <w:t xml:space="preserve"> </w:t>
      </w:r>
      <w:r w:rsidR="00494EDE" w:rsidRPr="00372C56">
        <w:rPr>
          <w:rFonts w:asciiTheme="minorHAnsi" w:hAnsiTheme="minorHAnsi" w:cstheme="minorHAnsi"/>
        </w:rPr>
        <w:t xml:space="preserve">review of the SSBA Standards will </w:t>
      </w:r>
      <w:r w:rsidR="005A0E3D">
        <w:rPr>
          <w:rFonts w:asciiTheme="minorHAnsi" w:hAnsiTheme="minorHAnsi" w:cstheme="minorHAnsi"/>
        </w:rPr>
        <w:t xml:space="preserve">then </w:t>
      </w:r>
      <w:r w:rsidR="00494EDE" w:rsidRPr="00372C56">
        <w:rPr>
          <w:rFonts w:asciiTheme="minorHAnsi" w:hAnsiTheme="minorHAnsi" w:cstheme="minorHAnsi"/>
        </w:rPr>
        <w:t xml:space="preserve">be conducted after </w:t>
      </w:r>
      <w:r w:rsidR="00C47E6C">
        <w:rPr>
          <w:rFonts w:asciiTheme="minorHAnsi" w:hAnsiTheme="minorHAnsi" w:cstheme="minorHAnsi"/>
        </w:rPr>
        <w:br/>
      </w:r>
      <w:r w:rsidR="00494EDE" w:rsidRPr="00372C56">
        <w:rPr>
          <w:rFonts w:asciiTheme="minorHAnsi" w:hAnsiTheme="minorHAnsi" w:cstheme="minorHAnsi"/>
        </w:rPr>
        <w:t xml:space="preserve">1 October 2023. </w:t>
      </w:r>
      <w:r w:rsidR="00813537" w:rsidRPr="00372C56">
        <w:rPr>
          <w:rFonts w:asciiTheme="minorHAnsi" w:hAnsiTheme="minorHAnsi" w:cstheme="minorHAnsi"/>
        </w:rPr>
        <w:t xml:space="preserve">  </w:t>
      </w:r>
    </w:p>
    <w:p w14:paraId="639D5A25" w14:textId="269824D8" w:rsidR="00494EDE" w:rsidRPr="00372C56" w:rsidRDefault="00494EDE" w:rsidP="00CC5305">
      <w:pPr>
        <w:rPr>
          <w:rFonts w:asciiTheme="minorHAnsi" w:hAnsiTheme="minorHAnsi" w:cstheme="minorHAnsi"/>
        </w:rPr>
      </w:pPr>
    </w:p>
    <w:p w14:paraId="0FF7AAE2" w14:textId="77777777" w:rsidR="00C23E8A" w:rsidRDefault="00494EDE" w:rsidP="00814D27">
      <w:pPr>
        <w:rPr>
          <w:rFonts w:asciiTheme="minorHAnsi" w:hAnsiTheme="minorHAnsi" w:cstheme="minorHAnsi"/>
        </w:rPr>
      </w:pPr>
      <w:r w:rsidRPr="00372C56">
        <w:rPr>
          <w:rFonts w:asciiTheme="minorHAnsi" w:hAnsiTheme="minorHAnsi" w:cstheme="minorHAnsi"/>
        </w:rPr>
        <w:t xml:space="preserve">The Department of Health and Aged Care </w:t>
      </w:r>
      <w:r w:rsidR="00C23E8A">
        <w:rPr>
          <w:rFonts w:asciiTheme="minorHAnsi" w:hAnsiTheme="minorHAnsi" w:cstheme="minorHAnsi"/>
        </w:rPr>
        <w:t xml:space="preserve">(the department) </w:t>
      </w:r>
      <w:r w:rsidRPr="00372C56">
        <w:rPr>
          <w:rFonts w:asciiTheme="minorHAnsi" w:hAnsiTheme="minorHAnsi" w:cstheme="minorHAnsi"/>
        </w:rPr>
        <w:t xml:space="preserve">certifies that the </w:t>
      </w:r>
      <w:r w:rsidRPr="00372C56">
        <w:rPr>
          <w:rFonts w:asciiTheme="minorHAnsi" w:hAnsiTheme="minorHAnsi" w:cstheme="minorHAnsi"/>
          <w:i/>
          <w:iCs/>
        </w:rPr>
        <w:t>National Health Security (SSBA Standards) Determination 2013</w:t>
      </w:r>
      <w:r w:rsidRPr="00372C56">
        <w:rPr>
          <w:rFonts w:asciiTheme="minorHAnsi" w:hAnsiTheme="minorHAnsi" w:cstheme="minorHAnsi"/>
        </w:rPr>
        <w:t xml:space="preserve"> is operating effectively and efficiently, and therefore</w:t>
      </w:r>
      <w:r w:rsidR="00372C56">
        <w:rPr>
          <w:rFonts w:asciiTheme="minorHAnsi" w:hAnsiTheme="minorHAnsi" w:cstheme="minorHAnsi"/>
        </w:rPr>
        <w:t>, an</w:t>
      </w:r>
      <w:r w:rsidRPr="00372C56">
        <w:rPr>
          <w:rFonts w:asciiTheme="minorHAnsi" w:hAnsiTheme="minorHAnsi" w:cstheme="minorHAnsi"/>
        </w:rPr>
        <w:t xml:space="preserve"> Impact Analysis is not required for this legislation to be remade</w:t>
      </w:r>
      <w:r w:rsidR="00814D27" w:rsidRPr="00372C56">
        <w:rPr>
          <w:rFonts w:asciiTheme="minorHAnsi" w:hAnsiTheme="minorHAnsi" w:cstheme="minorHAnsi"/>
        </w:rPr>
        <w:t xml:space="preserve">. </w:t>
      </w:r>
    </w:p>
    <w:p w14:paraId="68C9E089" w14:textId="77777777" w:rsidR="00C23E8A" w:rsidRDefault="00C23E8A" w:rsidP="00814D27">
      <w:pPr>
        <w:rPr>
          <w:rFonts w:asciiTheme="minorHAnsi" w:hAnsiTheme="minorHAnsi" w:cstheme="minorHAnsi"/>
        </w:rPr>
      </w:pPr>
    </w:p>
    <w:p w14:paraId="1478E1D8" w14:textId="2C23FBFA" w:rsidR="00814D27" w:rsidRPr="00372C56" w:rsidRDefault="00814D27" w:rsidP="00814D27">
      <w:pPr>
        <w:rPr>
          <w:rFonts w:asciiTheme="minorHAnsi" w:hAnsiTheme="minorHAnsi" w:cstheme="minorHAnsi"/>
        </w:rPr>
      </w:pPr>
      <w:r w:rsidRPr="00372C56">
        <w:rPr>
          <w:rFonts w:asciiTheme="minorHAnsi" w:hAnsiTheme="minorHAnsi" w:cstheme="minorHAnsi"/>
        </w:rPr>
        <w:t>The assessment that the legislation is operating effectively and efficiently has been informed by a consultation process which involved the Australian Health Protection Principal Committee (AHPPC), Public Health Laboratory Network (PHLN) and the Australian</w:t>
      </w:r>
      <w:r w:rsidR="00C23E8A">
        <w:rPr>
          <w:rFonts w:asciiTheme="minorHAnsi" w:hAnsiTheme="minorHAnsi" w:cstheme="minorHAnsi"/>
        </w:rPr>
        <w:t xml:space="preserve"> (</w:t>
      </w:r>
      <w:r w:rsidRPr="00372C56">
        <w:rPr>
          <w:rFonts w:asciiTheme="minorHAnsi" w:hAnsiTheme="minorHAnsi" w:cstheme="minorHAnsi"/>
        </w:rPr>
        <w:t>Counter</w:t>
      </w:r>
      <w:r w:rsidR="00C23E8A">
        <w:rPr>
          <w:rFonts w:asciiTheme="minorHAnsi" w:hAnsiTheme="minorHAnsi" w:cstheme="minorHAnsi"/>
        </w:rPr>
        <w:t>)</w:t>
      </w:r>
      <w:r w:rsidRPr="00372C56">
        <w:rPr>
          <w:rFonts w:asciiTheme="minorHAnsi" w:hAnsiTheme="minorHAnsi" w:cstheme="minorHAnsi"/>
        </w:rPr>
        <w:t xml:space="preserve"> Bioterrorism Laboratory Network (ABLN). </w:t>
      </w:r>
      <w:r w:rsidR="00C23E8A">
        <w:rPr>
          <w:rFonts w:asciiTheme="minorHAnsi" w:hAnsiTheme="minorHAnsi" w:cstheme="minorHAnsi"/>
        </w:rPr>
        <w:t>This consultation was conducted in August 2023 and membership of these committees is comprised of subject matter experts and representatives from each state and territory. Responses were received from all states and territories</w:t>
      </w:r>
      <w:r w:rsidR="00BD06A9">
        <w:rPr>
          <w:rFonts w:asciiTheme="minorHAnsi" w:hAnsiTheme="minorHAnsi" w:cstheme="minorHAnsi"/>
        </w:rPr>
        <w:t xml:space="preserve"> (except Victoria) </w:t>
      </w:r>
      <w:r w:rsidR="00C23E8A">
        <w:rPr>
          <w:rFonts w:asciiTheme="minorHAnsi" w:hAnsiTheme="minorHAnsi" w:cstheme="minorHAnsi"/>
        </w:rPr>
        <w:t>which all supported the department’s approach to the re-make of the SSBA Standards.</w:t>
      </w:r>
    </w:p>
    <w:p w14:paraId="54E48E5C" w14:textId="7C7CDDED" w:rsidR="00111A52" w:rsidRPr="00372C56" w:rsidRDefault="00111A52" w:rsidP="00CC5305">
      <w:pPr>
        <w:rPr>
          <w:rFonts w:asciiTheme="minorHAnsi" w:hAnsiTheme="minorHAnsi" w:cstheme="minorHAnsi"/>
        </w:rPr>
      </w:pPr>
    </w:p>
    <w:p w14:paraId="449531D7" w14:textId="4F15E591" w:rsidR="00814D27" w:rsidRPr="00372C56" w:rsidRDefault="00814D27" w:rsidP="00814D27">
      <w:pPr>
        <w:rPr>
          <w:rFonts w:asciiTheme="minorHAnsi" w:hAnsiTheme="minorHAnsi" w:cstheme="minorHAnsi"/>
        </w:rPr>
      </w:pPr>
      <w:r w:rsidRPr="00372C56">
        <w:rPr>
          <w:rFonts w:asciiTheme="minorHAnsi" w:hAnsiTheme="minorHAnsi" w:cstheme="minorHAnsi"/>
        </w:rPr>
        <w:t>I also note that the regulatory burden to people, business, or community organisations has been quantified using the Australian Government’s Regulatory Burden Measurement framework. These are provided below.</w:t>
      </w:r>
    </w:p>
    <w:p w14:paraId="394CB13E" w14:textId="7FE21BFC" w:rsidR="00814D27" w:rsidRPr="00372C56" w:rsidRDefault="00814D27" w:rsidP="00814D27">
      <w:pPr>
        <w:rPr>
          <w:rFonts w:asciiTheme="minorHAnsi" w:hAnsiTheme="minorHAnsi" w:cstheme="minorHAnsi"/>
        </w:rPr>
      </w:pPr>
    </w:p>
    <w:p w14:paraId="4D615149" w14:textId="44B5C563" w:rsidR="001D5283" w:rsidRPr="00372C56" w:rsidRDefault="001D5283" w:rsidP="001D5283">
      <w:pPr>
        <w:pStyle w:val="Caption"/>
        <w:keepNext/>
        <w:rPr>
          <w:rFonts w:asciiTheme="minorHAnsi" w:hAnsiTheme="minorHAnsi" w:cstheme="minorHAnsi"/>
          <w:color w:val="auto"/>
          <w:sz w:val="24"/>
          <w:szCs w:val="24"/>
        </w:rPr>
      </w:pPr>
      <w:r w:rsidRPr="00372C56">
        <w:rPr>
          <w:rFonts w:asciiTheme="minorHAnsi" w:hAnsiTheme="minorHAnsi" w:cstheme="minorHAnsi"/>
          <w:color w:val="auto"/>
          <w:sz w:val="24"/>
          <w:szCs w:val="24"/>
        </w:rPr>
        <w:t xml:space="preserve">Table </w:t>
      </w:r>
      <w:r w:rsidRPr="00372C56">
        <w:rPr>
          <w:rFonts w:asciiTheme="minorHAnsi" w:hAnsiTheme="minorHAnsi" w:cstheme="minorHAnsi"/>
          <w:color w:val="auto"/>
          <w:sz w:val="24"/>
          <w:szCs w:val="24"/>
        </w:rPr>
        <w:fldChar w:fldCharType="begin"/>
      </w:r>
      <w:r w:rsidRPr="00372C56">
        <w:rPr>
          <w:rFonts w:asciiTheme="minorHAnsi" w:hAnsiTheme="minorHAnsi" w:cstheme="minorHAnsi"/>
          <w:color w:val="auto"/>
          <w:sz w:val="24"/>
          <w:szCs w:val="24"/>
        </w:rPr>
        <w:instrText xml:space="preserve"> SEQ Table \* ARABIC </w:instrText>
      </w:r>
      <w:r w:rsidRPr="00372C56">
        <w:rPr>
          <w:rFonts w:asciiTheme="minorHAnsi" w:hAnsiTheme="minorHAnsi" w:cstheme="minorHAnsi"/>
          <w:color w:val="auto"/>
          <w:sz w:val="24"/>
          <w:szCs w:val="24"/>
        </w:rPr>
        <w:fldChar w:fldCharType="separate"/>
      </w:r>
      <w:r w:rsidRPr="00372C56">
        <w:rPr>
          <w:rFonts w:asciiTheme="minorHAnsi" w:hAnsiTheme="minorHAnsi" w:cstheme="minorHAnsi"/>
          <w:noProof/>
          <w:color w:val="auto"/>
          <w:sz w:val="24"/>
          <w:szCs w:val="24"/>
        </w:rPr>
        <w:t>1</w:t>
      </w:r>
      <w:r w:rsidRPr="00372C56">
        <w:rPr>
          <w:rFonts w:asciiTheme="minorHAnsi" w:hAnsiTheme="minorHAnsi" w:cstheme="minorHAnsi"/>
          <w:color w:val="auto"/>
          <w:sz w:val="24"/>
          <w:szCs w:val="24"/>
        </w:rPr>
        <w:fldChar w:fldCharType="end"/>
      </w:r>
      <w:r w:rsidRPr="00372C56">
        <w:rPr>
          <w:rFonts w:asciiTheme="minorHAnsi" w:hAnsiTheme="minorHAnsi" w:cstheme="minorHAnsi"/>
          <w:color w:val="auto"/>
          <w:sz w:val="24"/>
          <w:szCs w:val="24"/>
        </w:rPr>
        <w:t>: Regulatory burden estimate (RBE) table</w:t>
      </w:r>
    </w:p>
    <w:tbl>
      <w:tblPr>
        <w:tblStyle w:val="TableGrid"/>
        <w:tblW w:w="9296" w:type="dxa"/>
        <w:tblInd w:w="-5" w:type="dxa"/>
        <w:tblLook w:val="04A0" w:firstRow="1" w:lastRow="0" w:firstColumn="1" w:lastColumn="0" w:noHBand="0" w:noVBand="1"/>
      </w:tblPr>
      <w:tblGrid>
        <w:gridCol w:w="2048"/>
        <w:gridCol w:w="1812"/>
        <w:gridCol w:w="1812"/>
        <w:gridCol w:w="1812"/>
        <w:gridCol w:w="1812"/>
      </w:tblGrid>
      <w:tr w:rsidR="001D5283" w:rsidRPr="00372C56" w14:paraId="544D273C" w14:textId="77777777" w:rsidTr="00765FE3">
        <w:tc>
          <w:tcPr>
            <w:tcW w:w="2048" w:type="dxa"/>
          </w:tcPr>
          <w:p w14:paraId="21B65557" w14:textId="030C122F" w:rsidR="001D5283" w:rsidRPr="00372C56" w:rsidRDefault="001D5283" w:rsidP="001D5283">
            <w:pPr>
              <w:rPr>
                <w:rFonts w:asciiTheme="minorHAnsi" w:hAnsiTheme="minorHAnsi" w:cstheme="minorHAnsi"/>
              </w:rPr>
            </w:pPr>
            <w:r w:rsidRPr="00372C56">
              <w:rPr>
                <w:rFonts w:asciiTheme="minorHAnsi" w:hAnsiTheme="minorHAnsi" w:cstheme="minorHAnsi"/>
                <w:b/>
                <w:bCs/>
              </w:rPr>
              <w:t>Change in Costs ($ million)</w:t>
            </w:r>
          </w:p>
        </w:tc>
        <w:tc>
          <w:tcPr>
            <w:tcW w:w="1812" w:type="dxa"/>
          </w:tcPr>
          <w:p w14:paraId="6AF4A92B" w14:textId="012250F2" w:rsidR="001D5283" w:rsidRPr="00372C56" w:rsidRDefault="001D5283" w:rsidP="001D5283">
            <w:pPr>
              <w:rPr>
                <w:rFonts w:asciiTheme="minorHAnsi" w:hAnsiTheme="minorHAnsi" w:cstheme="minorHAnsi"/>
              </w:rPr>
            </w:pPr>
            <w:r w:rsidRPr="00372C56">
              <w:rPr>
                <w:rFonts w:asciiTheme="minorHAnsi" w:hAnsiTheme="minorHAnsi" w:cstheme="minorHAnsi"/>
                <w:b/>
                <w:bCs/>
              </w:rPr>
              <w:t>Business</w:t>
            </w:r>
          </w:p>
        </w:tc>
        <w:tc>
          <w:tcPr>
            <w:tcW w:w="1812" w:type="dxa"/>
          </w:tcPr>
          <w:p w14:paraId="470ACA29" w14:textId="1C880C6A" w:rsidR="001D5283" w:rsidRPr="00372C56" w:rsidRDefault="001D5283" w:rsidP="001D5283">
            <w:pPr>
              <w:rPr>
                <w:rFonts w:asciiTheme="minorHAnsi" w:hAnsiTheme="minorHAnsi" w:cstheme="minorHAnsi"/>
              </w:rPr>
            </w:pPr>
            <w:r w:rsidRPr="00372C56">
              <w:rPr>
                <w:rFonts w:asciiTheme="minorHAnsi" w:hAnsiTheme="minorHAnsi" w:cstheme="minorHAnsi"/>
                <w:b/>
                <w:bCs/>
              </w:rPr>
              <w:t>Community organisations</w:t>
            </w:r>
          </w:p>
        </w:tc>
        <w:tc>
          <w:tcPr>
            <w:tcW w:w="1812" w:type="dxa"/>
          </w:tcPr>
          <w:p w14:paraId="03FA6456" w14:textId="2A510755" w:rsidR="001D5283" w:rsidRPr="00372C56" w:rsidRDefault="001D5283" w:rsidP="001D5283">
            <w:pPr>
              <w:rPr>
                <w:rFonts w:asciiTheme="minorHAnsi" w:hAnsiTheme="minorHAnsi" w:cstheme="minorHAnsi"/>
              </w:rPr>
            </w:pPr>
            <w:r w:rsidRPr="00372C56">
              <w:rPr>
                <w:rFonts w:asciiTheme="minorHAnsi" w:hAnsiTheme="minorHAnsi" w:cstheme="minorHAnsi"/>
                <w:b/>
                <w:bCs/>
              </w:rPr>
              <w:t>People</w:t>
            </w:r>
          </w:p>
        </w:tc>
        <w:tc>
          <w:tcPr>
            <w:tcW w:w="1812" w:type="dxa"/>
          </w:tcPr>
          <w:p w14:paraId="37E7D7C3" w14:textId="019323DC" w:rsidR="001D5283" w:rsidRPr="00372C56" w:rsidRDefault="001D5283" w:rsidP="001D5283">
            <w:pPr>
              <w:rPr>
                <w:rFonts w:asciiTheme="minorHAnsi" w:hAnsiTheme="minorHAnsi" w:cstheme="minorHAnsi"/>
              </w:rPr>
            </w:pPr>
            <w:r w:rsidRPr="00372C56">
              <w:rPr>
                <w:rFonts w:asciiTheme="minorHAnsi" w:hAnsiTheme="minorHAnsi" w:cstheme="minorHAnsi"/>
                <w:b/>
                <w:bCs/>
              </w:rPr>
              <w:t>Total change in costs</w:t>
            </w:r>
          </w:p>
        </w:tc>
      </w:tr>
      <w:tr w:rsidR="001D5283" w:rsidRPr="00372C56" w14:paraId="13D293D5" w14:textId="77777777" w:rsidTr="00765FE3">
        <w:tc>
          <w:tcPr>
            <w:tcW w:w="2048" w:type="dxa"/>
          </w:tcPr>
          <w:p w14:paraId="5475768B" w14:textId="04D34DD5" w:rsidR="001D5283" w:rsidRPr="00372C56" w:rsidRDefault="001D5283" w:rsidP="001D5283">
            <w:pPr>
              <w:rPr>
                <w:rFonts w:asciiTheme="minorHAnsi" w:hAnsiTheme="minorHAnsi" w:cstheme="minorHAnsi"/>
              </w:rPr>
            </w:pPr>
            <w:r w:rsidRPr="00372C56">
              <w:rPr>
                <w:rFonts w:asciiTheme="minorHAnsi" w:hAnsiTheme="minorHAnsi" w:cstheme="minorHAnsi"/>
              </w:rPr>
              <w:lastRenderedPageBreak/>
              <w:t>Total, by Sector</w:t>
            </w:r>
          </w:p>
        </w:tc>
        <w:tc>
          <w:tcPr>
            <w:tcW w:w="1812" w:type="dxa"/>
          </w:tcPr>
          <w:p w14:paraId="395196AD" w14:textId="395DA83A" w:rsidR="001D5283" w:rsidRPr="00372C56" w:rsidRDefault="001D5283" w:rsidP="001D5283">
            <w:pPr>
              <w:rPr>
                <w:rFonts w:asciiTheme="minorHAnsi" w:hAnsiTheme="minorHAnsi" w:cstheme="minorHAnsi"/>
              </w:rPr>
            </w:pPr>
            <w:r w:rsidRPr="00372C56">
              <w:rPr>
                <w:rFonts w:asciiTheme="minorHAnsi" w:hAnsiTheme="minorHAnsi" w:cstheme="minorHAnsi"/>
              </w:rPr>
              <w:t>$0</w:t>
            </w:r>
          </w:p>
        </w:tc>
        <w:tc>
          <w:tcPr>
            <w:tcW w:w="1812" w:type="dxa"/>
          </w:tcPr>
          <w:p w14:paraId="0A0E3F12" w14:textId="590B9D78" w:rsidR="001D5283" w:rsidRPr="00372C56" w:rsidRDefault="001D5283" w:rsidP="001D5283">
            <w:pPr>
              <w:rPr>
                <w:rFonts w:asciiTheme="minorHAnsi" w:hAnsiTheme="minorHAnsi" w:cstheme="minorHAnsi"/>
              </w:rPr>
            </w:pPr>
            <w:r w:rsidRPr="00372C56">
              <w:rPr>
                <w:rFonts w:asciiTheme="minorHAnsi" w:hAnsiTheme="minorHAnsi" w:cstheme="minorHAnsi"/>
              </w:rPr>
              <w:t>$0</w:t>
            </w:r>
          </w:p>
        </w:tc>
        <w:tc>
          <w:tcPr>
            <w:tcW w:w="1812" w:type="dxa"/>
          </w:tcPr>
          <w:p w14:paraId="5F964F4F" w14:textId="2DA4E614" w:rsidR="001D5283" w:rsidRPr="00372C56" w:rsidRDefault="001D5283" w:rsidP="001D5283">
            <w:pPr>
              <w:rPr>
                <w:rFonts w:asciiTheme="minorHAnsi" w:hAnsiTheme="minorHAnsi" w:cstheme="minorHAnsi"/>
              </w:rPr>
            </w:pPr>
            <w:r w:rsidRPr="00372C56">
              <w:rPr>
                <w:rFonts w:asciiTheme="minorHAnsi" w:hAnsiTheme="minorHAnsi" w:cstheme="minorHAnsi"/>
              </w:rPr>
              <w:t>$0</w:t>
            </w:r>
          </w:p>
        </w:tc>
        <w:tc>
          <w:tcPr>
            <w:tcW w:w="1812" w:type="dxa"/>
          </w:tcPr>
          <w:p w14:paraId="246D6543" w14:textId="2A1B4CCE" w:rsidR="001D5283" w:rsidRPr="00372C56" w:rsidRDefault="001D5283" w:rsidP="001D5283">
            <w:pPr>
              <w:rPr>
                <w:rFonts w:asciiTheme="minorHAnsi" w:hAnsiTheme="minorHAnsi" w:cstheme="minorHAnsi"/>
              </w:rPr>
            </w:pPr>
            <w:r w:rsidRPr="00372C56">
              <w:rPr>
                <w:rFonts w:asciiTheme="minorHAnsi" w:hAnsiTheme="minorHAnsi" w:cstheme="minorHAnsi"/>
              </w:rPr>
              <w:t>$0</w:t>
            </w:r>
          </w:p>
        </w:tc>
      </w:tr>
    </w:tbl>
    <w:p w14:paraId="69E0A910" w14:textId="77777777" w:rsidR="00DF1BE9" w:rsidRPr="00372C56" w:rsidRDefault="00DF1BE9" w:rsidP="00814D27">
      <w:pPr>
        <w:rPr>
          <w:rFonts w:asciiTheme="minorHAnsi" w:hAnsiTheme="minorHAnsi" w:cstheme="minorHAnsi"/>
        </w:rPr>
      </w:pPr>
    </w:p>
    <w:p w14:paraId="55BE847D" w14:textId="7FE136DC" w:rsidR="00765FE3" w:rsidRPr="00372C56" w:rsidRDefault="00765FE3" w:rsidP="00814D27">
      <w:pPr>
        <w:rPr>
          <w:rFonts w:asciiTheme="minorHAnsi" w:hAnsiTheme="minorHAnsi" w:cstheme="minorHAnsi"/>
        </w:rPr>
      </w:pPr>
      <w:r w:rsidRPr="00372C56">
        <w:rPr>
          <w:rFonts w:asciiTheme="minorHAnsi" w:hAnsiTheme="minorHAnsi" w:cstheme="minorHAnsi"/>
        </w:rPr>
        <w:t xml:space="preserve">Table 1 </w:t>
      </w:r>
      <w:r w:rsidR="00C23E8A">
        <w:rPr>
          <w:rFonts w:asciiTheme="minorHAnsi" w:hAnsiTheme="minorHAnsi" w:cstheme="minorHAnsi"/>
        </w:rPr>
        <w:t>describes</w:t>
      </w:r>
      <w:r w:rsidRPr="00372C56">
        <w:rPr>
          <w:rFonts w:asciiTheme="minorHAnsi" w:hAnsiTheme="minorHAnsi" w:cstheme="minorHAnsi"/>
        </w:rPr>
        <w:t xml:space="preserve"> that there are no changes in the regulatory burden estimate. The Determination is being remade without amendment and therefore, the regulatory costings will remain unchanged. </w:t>
      </w:r>
    </w:p>
    <w:p w14:paraId="564CB528" w14:textId="77777777" w:rsidR="009762A8" w:rsidRPr="00372C56" w:rsidRDefault="009762A8" w:rsidP="00814D27">
      <w:pPr>
        <w:rPr>
          <w:rFonts w:asciiTheme="minorHAnsi" w:hAnsiTheme="minorHAnsi" w:cstheme="minorHAnsi"/>
        </w:rPr>
      </w:pPr>
    </w:p>
    <w:p w14:paraId="6E596E92" w14:textId="106A3A56" w:rsidR="00814D27" w:rsidRPr="00372C56" w:rsidRDefault="00814D27" w:rsidP="00814D27">
      <w:pPr>
        <w:rPr>
          <w:rFonts w:asciiTheme="minorHAnsi" w:hAnsiTheme="minorHAnsi" w:cstheme="minorHAnsi"/>
        </w:rPr>
      </w:pPr>
      <w:r w:rsidRPr="00372C56">
        <w:rPr>
          <w:rFonts w:asciiTheme="minorHAnsi" w:hAnsiTheme="minorHAnsi" w:cstheme="minorHAnsi"/>
        </w:rPr>
        <w:t>I acknowledge that OIA will publish this letter for transparency purposes.</w:t>
      </w:r>
    </w:p>
    <w:p w14:paraId="38500741" w14:textId="71330D9F" w:rsidR="00814D27" w:rsidRPr="00372C56" w:rsidRDefault="00814D27" w:rsidP="00814D27">
      <w:pPr>
        <w:rPr>
          <w:rFonts w:asciiTheme="minorHAnsi" w:hAnsiTheme="minorHAnsi" w:cstheme="minorHAnsi"/>
        </w:rPr>
      </w:pPr>
    </w:p>
    <w:p w14:paraId="4E9E71C4" w14:textId="71C8CB90" w:rsidR="00814D27" w:rsidRPr="00372C56" w:rsidRDefault="00814D27" w:rsidP="00814D27">
      <w:pPr>
        <w:rPr>
          <w:rFonts w:asciiTheme="minorHAnsi" w:hAnsiTheme="minorHAnsi" w:cstheme="minorHAnsi"/>
        </w:rPr>
      </w:pPr>
      <w:r w:rsidRPr="00372C56">
        <w:rPr>
          <w:rFonts w:asciiTheme="minorHAnsi" w:hAnsiTheme="minorHAnsi" w:cstheme="minorHAnsi"/>
        </w:rPr>
        <w:t xml:space="preserve">If you have any queries about this advice, please contact the Laboratory Health and Security Section </w:t>
      </w:r>
      <w:r w:rsidR="00372C56">
        <w:rPr>
          <w:rFonts w:asciiTheme="minorHAnsi" w:hAnsiTheme="minorHAnsi" w:cstheme="minorHAnsi"/>
        </w:rPr>
        <w:t>on</w:t>
      </w:r>
      <w:r w:rsidRPr="00372C56">
        <w:rPr>
          <w:rFonts w:asciiTheme="minorHAnsi" w:hAnsiTheme="minorHAnsi" w:cstheme="minorHAnsi"/>
        </w:rPr>
        <w:t xml:space="preserve"> </w:t>
      </w:r>
      <w:r w:rsidR="003B3C80" w:rsidRPr="004554B6">
        <w:rPr>
          <w:rFonts w:asciiTheme="minorHAnsi" w:hAnsiTheme="minorHAnsi" w:cstheme="minorHAnsi"/>
          <w:u w:val="single"/>
        </w:rPr>
        <w:t>ssba@health.gov.au</w:t>
      </w:r>
      <w:r w:rsidR="003B3C80">
        <w:rPr>
          <w:rFonts w:asciiTheme="minorHAnsi" w:hAnsiTheme="minorHAnsi" w:cstheme="minorHAnsi"/>
        </w:rPr>
        <w:t xml:space="preserve">. </w:t>
      </w:r>
      <w:r w:rsidRPr="00372C56">
        <w:rPr>
          <w:rFonts w:asciiTheme="minorHAnsi" w:hAnsiTheme="minorHAnsi" w:cstheme="minorHAnsi"/>
        </w:rPr>
        <w:t xml:space="preserve"> </w:t>
      </w:r>
    </w:p>
    <w:p w14:paraId="40397A40" w14:textId="77777777" w:rsidR="00111A52" w:rsidRPr="00372C56" w:rsidRDefault="00111A52" w:rsidP="00CC5305">
      <w:pPr>
        <w:rPr>
          <w:rFonts w:asciiTheme="minorHAnsi" w:hAnsiTheme="minorHAnsi" w:cstheme="minorHAnsi"/>
        </w:rPr>
      </w:pPr>
    </w:p>
    <w:p w14:paraId="72A4F3EA" w14:textId="77777777" w:rsidR="00CC5305" w:rsidRPr="00372C56" w:rsidRDefault="00CC5305" w:rsidP="00CC5305">
      <w:pPr>
        <w:pStyle w:val="NoSpacing"/>
        <w:rPr>
          <w:rFonts w:asciiTheme="minorHAnsi" w:hAnsiTheme="minorHAnsi" w:cstheme="minorHAnsi"/>
        </w:rPr>
      </w:pPr>
    </w:p>
    <w:p w14:paraId="3D2E4C39" w14:textId="77777777" w:rsidR="00CC5305" w:rsidRPr="00372C56" w:rsidRDefault="00CC5305" w:rsidP="00CC5305">
      <w:pPr>
        <w:pStyle w:val="NoSpacing"/>
        <w:rPr>
          <w:rFonts w:asciiTheme="minorHAnsi" w:hAnsiTheme="minorHAnsi" w:cstheme="minorHAnsi"/>
        </w:rPr>
      </w:pPr>
      <w:r w:rsidRPr="00372C56">
        <w:rPr>
          <w:rFonts w:asciiTheme="minorHAnsi" w:hAnsiTheme="minorHAnsi" w:cstheme="minorHAnsi"/>
        </w:rPr>
        <w:t>Yours sincerely</w:t>
      </w:r>
    </w:p>
    <w:p w14:paraId="342EF60F" w14:textId="77777777" w:rsidR="00CC5305" w:rsidRPr="00372C56" w:rsidRDefault="00CC5305" w:rsidP="00CC5305">
      <w:pPr>
        <w:pStyle w:val="NoSpacing"/>
        <w:rPr>
          <w:rFonts w:asciiTheme="minorHAnsi" w:hAnsiTheme="minorHAnsi" w:cstheme="minorHAnsi"/>
        </w:rPr>
      </w:pPr>
    </w:p>
    <w:p w14:paraId="492DC1F2" w14:textId="7B86620F" w:rsidR="00CC5305" w:rsidRDefault="00CC5305" w:rsidP="00CC5305">
      <w:pPr>
        <w:pStyle w:val="NoSpacing"/>
        <w:rPr>
          <w:rFonts w:asciiTheme="minorHAnsi" w:hAnsiTheme="minorHAnsi" w:cstheme="minorHAnsi"/>
        </w:rPr>
      </w:pPr>
    </w:p>
    <w:p w14:paraId="6D6CDB26" w14:textId="77777777" w:rsidR="00BD06A9" w:rsidRDefault="00BD06A9" w:rsidP="00CC5305">
      <w:pPr>
        <w:pStyle w:val="NoSpacing"/>
        <w:rPr>
          <w:rFonts w:asciiTheme="minorHAnsi" w:hAnsiTheme="minorHAnsi" w:cstheme="minorHAnsi"/>
        </w:rPr>
      </w:pPr>
    </w:p>
    <w:p w14:paraId="653C273A" w14:textId="77777777" w:rsidR="00372C56" w:rsidRPr="00372C56" w:rsidRDefault="00372C56" w:rsidP="00CC5305">
      <w:pPr>
        <w:pStyle w:val="NoSpacing"/>
        <w:rPr>
          <w:rFonts w:asciiTheme="minorHAnsi" w:hAnsiTheme="minorHAnsi" w:cstheme="minorHAnsi"/>
        </w:rPr>
      </w:pPr>
    </w:p>
    <w:p w14:paraId="7B764D55" w14:textId="77777777" w:rsidR="00CC5305" w:rsidRPr="00372C56" w:rsidRDefault="00CC5305" w:rsidP="00CC5305">
      <w:pPr>
        <w:rPr>
          <w:rFonts w:asciiTheme="minorHAnsi" w:hAnsiTheme="minorHAnsi" w:cstheme="minorHAnsi"/>
        </w:rPr>
      </w:pPr>
      <w:bookmarkStart w:id="2" w:name="Signature"/>
      <w:bookmarkEnd w:id="2"/>
      <w:r w:rsidRPr="00372C56">
        <w:rPr>
          <w:rFonts w:asciiTheme="minorHAnsi" w:hAnsiTheme="minorHAnsi" w:cstheme="minorHAnsi"/>
        </w:rPr>
        <w:t>Professor Paul Kelly</w:t>
      </w:r>
    </w:p>
    <w:p w14:paraId="0481AFB7" w14:textId="77777777" w:rsidR="00CC5305" w:rsidRPr="00372C56" w:rsidRDefault="00CC5305" w:rsidP="00CC5305">
      <w:pPr>
        <w:rPr>
          <w:rFonts w:asciiTheme="minorHAnsi" w:hAnsiTheme="minorHAnsi" w:cstheme="minorHAnsi"/>
        </w:rPr>
      </w:pPr>
      <w:r w:rsidRPr="00372C56">
        <w:rPr>
          <w:rFonts w:asciiTheme="minorHAnsi" w:hAnsiTheme="minorHAnsi" w:cstheme="minorHAnsi"/>
        </w:rPr>
        <w:t>Chief Medical Officer</w:t>
      </w:r>
    </w:p>
    <w:p w14:paraId="65690233" w14:textId="14DCD31A" w:rsidR="00280050" w:rsidRPr="00372C56" w:rsidRDefault="00CC5305" w:rsidP="00CC5305">
      <w:pPr>
        <w:tabs>
          <w:tab w:val="right" w:pos="9072"/>
        </w:tabs>
        <w:spacing w:after="720"/>
        <w:rPr>
          <w:rFonts w:asciiTheme="minorHAnsi" w:hAnsiTheme="minorHAnsi" w:cstheme="minorHAnsi"/>
        </w:rPr>
      </w:pPr>
      <w:r w:rsidRPr="00372C56">
        <w:rPr>
          <w:rFonts w:asciiTheme="minorHAnsi" w:hAnsiTheme="minorHAnsi" w:cstheme="minorHAnsi"/>
        </w:rPr>
        <w:br/>
        <w:t xml:space="preserve">      </w:t>
      </w:r>
      <w:r w:rsidR="003D21A1" w:rsidRPr="00372C56">
        <w:rPr>
          <w:rFonts w:asciiTheme="minorHAnsi" w:hAnsiTheme="minorHAnsi" w:cstheme="minorHAnsi"/>
        </w:rPr>
        <w:t>August 2023</w:t>
      </w:r>
    </w:p>
    <w:sectPr w:rsidR="00280050" w:rsidRPr="00372C56" w:rsidSect="0096629A">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CDD12" w14:textId="77777777" w:rsidR="006C2218" w:rsidRDefault="006C2218">
      <w:r>
        <w:separator/>
      </w:r>
    </w:p>
  </w:endnote>
  <w:endnote w:type="continuationSeparator" w:id="0">
    <w:p w14:paraId="50C2B079" w14:textId="77777777" w:rsidR="006C2218" w:rsidRDefault="006C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4F79" w14:textId="77777777" w:rsidR="001C1EAB" w:rsidRDefault="001C1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EFB5" w14:textId="77777777" w:rsidR="001C1EAB" w:rsidRDefault="001C1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3964" w14:textId="77777777" w:rsidR="00D912DB" w:rsidRDefault="001C1EAB" w:rsidP="0089317D">
    <w:pPr>
      <w:pStyle w:val="Footer"/>
      <w:jc w:val="center"/>
      <w:rPr>
        <w:noProof/>
        <w:position w:val="4"/>
        <w:sz w:val="18"/>
      </w:rPr>
    </w:pPr>
  </w:p>
  <w:p w14:paraId="3E7B5CB6" w14:textId="77777777" w:rsidR="00D912DB" w:rsidRPr="00CF3477" w:rsidRDefault="001C1EAB" w:rsidP="004557B9">
    <w:pPr>
      <w:pStyle w:val="Footer"/>
      <w:spacing w:line="360" w:lineRule="auto"/>
      <w:jc w:val="center"/>
      <w:rPr>
        <w:rFonts w:ascii="Arial" w:hAnsi="Arial" w:cs="Arial"/>
        <w:sz w:val="14"/>
        <w:szCs w:val="14"/>
      </w:rPr>
    </w:pPr>
    <w:r>
      <w:rPr>
        <w:rFonts w:ascii="Arial" w:hAnsi="Arial" w:cs="Arial"/>
        <w:b/>
        <w:sz w:val="14"/>
        <w:szCs w:val="14"/>
      </w:rPr>
      <w:t>Phone:</w:t>
    </w:r>
    <w:r>
      <w:rPr>
        <w:rFonts w:ascii="Arial" w:hAnsi="Arial" w:cs="Arial"/>
        <w:sz w:val="14"/>
        <w:szCs w:val="14"/>
      </w:rPr>
      <w:t xml:space="preserve"> (02) 6289 8408   </w:t>
    </w:r>
    <w:r>
      <w:rPr>
        <w:rFonts w:ascii="Arial" w:hAnsi="Arial" w:cs="Arial"/>
        <w:b/>
        <w:sz w:val="14"/>
        <w:szCs w:val="14"/>
      </w:rPr>
      <w:t>Email:</w:t>
    </w:r>
    <w:r>
      <w:rPr>
        <w:rFonts w:ascii="Arial" w:hAnsi="Arial" w:cs="Arial"/>
        <w:sz w:val="14"/>
        <w:szCs w:val="14"/>
      </w:rPr>
      <w:t xml:space="preserve"> Paul.Kelly@health.gov.au</w:t>
    </w:r>
    <w:r>
      <w:rPr>
        <w:rFonts w:ascii="Arial" w:hAnsi="Arial" w:cs="Arial"/>
        <w:sz w:val="14"/>
        <w:szCs w:val="14"/>
      </w:rPr>
      <w:br/>
      <w:t xml:space="preserve">Sirius Building, 23 Furzer Street, Woden ACT 2606 - GPO Box 9848 Canberra ACT 2601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97A4F" w14:textId="77777777" w:rsidR="006C2218" w:rsidRDefault="006C2218">
      <w:r>
        <w:separator/>
      </w:r>
    </w:p>
  </w:footnote>
  <w:footnote w:type="continuationSeparator" w:id="0">
    <w:p w14:paraId="5BD1C9C8" w14:textId="77777777" w:rsidR="006C2218" w:rsidRDefault="006C2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3F50" w14:textId="77777777" w:rsidR="001C1EAB" w:rsidRDefault="001C1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46A1" w14:textId="3C765CDF" w:rsidR="00D912DB" w:rsidRDefault="001C1EA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r>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6107" w14:textId="77777777" w:rsidR="001C1EAB" w:rsidRDefault="001C1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F0FDD"/>
    <w:multiLevelType w:val="hybridMultilevel"/>
    <w:tmpl w:val="FC86616A"/>
    <w:lvl w:ilvl="0" w:tplc="4C42EDD8">
      <w:numFmt w:val="bullet"/>
      <w:lvlText w:val="-"/>
      <w:lvlJc w:val="left"/>
      <w:pPr>
        <w:ind w:left="420" w:hanging="360"/>
      </w:pPr>
      <w:rPr>
        <w:rFonts w:ascii="Book Antiqua" w:eastAsia="Times New Roman" w:hAnsi="Book Antiqua" w:cs="Times New Roman" w:hint="default"/>
        <w:sz w:val="24"/>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6BE62CB4"/>
    <w:multiLevelType w:val="hybridMultilevel"/>
    <w:tmpl w:val="40F8D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C2"/>
    <w:rsid w:val="0000068E"/>
    <w:rsid w:val="00111A52"/>
    <w:rsid w:val="001C1EAB"/>
    <w:rsid w:val="001D5283"/>
    <w:rsid w:val="002474C2"/>
    <w:rsid w:val="002541AB"/>
    <w:rsid w:val="00280050"/>
    <w:rsid w:val="00304001"/>
    <w:rsid w:val="00372C56"/>
    <w:rsid w:val="003B3C80"/>
    <w:rsid w:val="003D0592"/>
    <w:rsid w:val="003D21A1"/>
    <w:rsid w:val="004158FD"/>
    <w:rsid w:val="004554B6"/>
    <w:rsid w:val="0047203E"/>
    <w:rsid w:val="00494EDE"/>
    <w:rsid w:val="005A0E3D"/>
    <w:rsid w:val="005C16EE"/>
    <w:rsid w:val="006C2218"/>
    <w:rsid w:val="00722F90"/>
    <w:rsid w:val="00765FE3"/>
    <w:rsid w:val="007F17C4"/>
    <w:rsid w:val="00813537"/>
    <w:rsid w:val="00814D27"/>
    <w:rsid w:val="00833872"/>
    <w:rsid w:val="00840ECC"/>
    <w:rsid w:val="009762A8"/>
    <w:rsid w:val="00B6654D"/>
    <w:rsid w:val="00B7255E"/>
    <w:rsid w:val="00BD06A9"/>
    <w:rsid w:val="00C23E8A"/>
    <w:rsid w:val="00C41762"/>
    <w:rsid w:val="00C47E6C"/>
    <w:rsid w:val="00C7211F"/>
    <w:rsid w:val="00C7465F"/>
    <w:rsid w:val="00CC5305"/>
    <w:rsid w:val="00DC1DC0"/>
    <w:rsid w:val="00DF1BE9"/>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24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305"/>
    <w:pPr>
      <w:spacing w:after="0" w:line="240" w:lineRule="auto"/>
    </w:pPr>
    <w:rPr>
      <w:rFonts w:ascii="Book Antiqua" w:eastAsia="Times New Roman" w:hAnsi="Book Antiqua"/>
      <w:lang w:eastAsia="en-AU"/>
    </w:rPr>
  </w:style>
  <w:style w:type="paragraph" w:styleId="Heading1">
    <w:name w:val="heading 1"/>
    <w:basedOn w:val="Normal"/>
    <w:next w:val="Normal"/>
    <w:link w:val="Heading1Char"/>
    <w:uiPriority w:val="9"/>
    <w:qFormat/>
    <w:rsid w:val="00CC5305"/>
    <w:pPr>
      <w:keepNext/>
      <w:keepLines/>
      <w:spacing w:before="480" w:after="720"/>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05"/>
    <w:rPr>
      <w:rFonts w:ascii="Book Antiqua" w:eastAsiaTheme="majorEastAsia" w:hAnsi="Book Antiqua" w:cstheme="majorBidi"/>
      <w:b/>
      <w:bCs/>
      <w:szCs w:val="28"/>
      <w:lang w:eastAsia="en-AU"/>
    </w:rPr>
  </w:style>
  <w:style w:type="paragraph" w:styleId="Header">
    <w:name w:val="header"/>
    <w:basedOn w:val="Normal"/>
    <w:link w:val="HeaderChar"/>
    <w:rsid w:val="00CC5305"/>
    <w:pPr>
      <w:tabs>
        <w:tab w:val="center" w:pos="4153"/>
        <w:tab w:val="right" w:pos="8306"/>
      </w:tabs>
    </w:pPr>
  </w:style>
  <w:style w:type="character" w:customStyle="1" w:styleId="HeaderChar">
    <w:name w:val="Header Char"/>
    <w:basedOn w:val="DefaultParagraphFont"/>
    <w:link w:val="Header"/>
    <w:rsid w:val="00CC5305"/>
    <w:rPr>
      <w:rFonts w:ascii="Book Antiqua" w:eastAsia="Times New Roman" w:hAnsi="Book Antiqua"/>
      <w:lang w:eastAsia="en-AU"/>
    </w:rPr>
  </w:style>
  <w:style w:type="paragraph" w:styleId="Footer">
    <w:name w:val="footer"/>
    <w:basedOn w:val="Normal"/>
    <w:link w:val="FooterChar"/>
    <w:rsid w:val="00CC5305"/>
    <w:pPr>
      <w:tabs>
        <w:tab w:val="center" w:pos="4153"/>
        <w:tab w:val="right" w:pos="8306"/>
      </w:tabs>
    </w:pPr>
  </w:style>
  <w:style w:type="character" w:customStyle="1" w:styleId="FooterChar">
    <w:name w:val="Footer Char"/>
    <w:basedOn w:val="DefaultParagraphFont"/>
    <w:link w:val="Footer"/>
    <w:rsid w:val="00CC5305"/>
    <w:rPr>
      <w:rFonts w:ascii="Book Antiqua" w:eastAsia="Times New Roman" w:hAnsi="Book Antiqua"/>
      <w:lang w:eastAsia="en-AU"/>
    </w:rPr>
  </w:style>
  <w:style w:type="character" w:styleId="PageNumber">
    <w:name w:val="page number"/>
    <w:basedOn w:val="DefaultParagraphFont"/>
    <w:rsid w:val="00CC5305"/>
  </w:style>
  <w:style w:type="paragraph" w:styleId="NoSpacing">
    <w:name w:val="No Spacing"/>
    <w:uiPriority w:val="1"/>
    <w:qFormat/>
    <w:rsid w:val="00CC5305"/>
    <w:pPr>
      <w:spacing w:after="0" w:line="240" w:lineRule="auto"/>
    </w:pPr>
    <w:rPr>
      <w:rFonts w:eastAsia="Times New Roman"/>
      <w:lang w:eastAsia="en-AU"/>
    </w:rPr>
  </w:style>
  <w:style w:type="character" w:styleId="Hyperlink">
    <w:name w:val="Hyperlink"/>
    <w:basedOn w:val="DefaultParagraphFont"/>
    <w:uiPriority w:val="99"/>
    <w:unhideWhenUsed/>
    <w:rsid w:val="00DC1DC0"/>
    <w:rPr>
      <w:color w:val="0563C1" w:themeColor="hyperlink"/>
      <w:u w:val="single"/>
    </w:rPr>
  </w:style>
  <w:style w:type="character" w:customStyle="1" w:styleId="UnresolvedMention">
    <w:name w:val="Unresolved Mention"/>
    <w:basedOn w:val="DefaultParagraphFont"/>
    <w:uiPriority w:val="99"/>
    <w:semiHidden/>
    <w:unhideWhenUsed/>
    <w:rsid w:val="00DC1DC0"/>
    <w:rPr>
      <w:color w:val="605E5C"/>
      <w:shd w:val="clear" w:color="auto" w:fill="E1DFDD"/>
    </w:rPr>
  </w:style>
  <w:style w:type="paragraph" w:styleId="ListParagraph">
    <w:name w:val="List Paragraph"/>
    <w:basedOn w:val="Normal"/>
    <w:uiPriority w:val="34"/>
    <w:qFormat/>
    <w:rsid w:val="00111A52"/>
    <w:pPr>
      <w:ind w:left="720"/>
      <w:contextualSpacing/>
    </w:pPr>
  </w:style>
  <w:style w:type="table" w:styleId="TableGrid">
    <w:name w:val="Table Grid"/>
    <w:basedOn w:val="TableNormal"/>
    <w:uiPriority w:val="39"/>
    <w:rsid w:val="00833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3872"/>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372C56"/>
    <w:rPr>
      <w:sz w:val="16"/>
      <w:szCs w:val="16"/>
    </w:rPr>
  </w:style>
  <w:style w:type="paragraph" w:styleId="CommentText">
    <w:name w:val="annotation text"/>
    <w:basedOn w:val="Normal"/>
    <w:link w:val="CommentTextChar"/>
    <w:uiPriority w:val="99"/>
    <w:semiHidden/>
    <w:unhideWhenUsed/>
    <w:rsid w:val="00372C56"/>
    <w:rPr>
      <w:sz w:val="20"/>
      <w:szCs w:val="20"/>
    </w:rPr>
  </w:style>
  <w:style w:type="character" w:customStyle="1" w:styleId="CommentTextChar">
    <w:name w:val="Comment Text Char"/>
    <w:basedOn w:val="DefaultParagraphFont"/>
    <w:link w:val="CommentText"/>
    <w:uiPriority w:val="99"/>
    <w:semiHidden/>
    <w:rsid w:val="00372C56"/>
    <w:rPr>
      <w:rFonts w:ascii="Book Antiqua" w:eastAsia="Times New Roman" w:hAnsi="Book Antiqua"/>
      <w:sz w:val="20"/>
      <w:szCs w:val="20"/>
      <w:lang w:eastAsia="en-AU"/>
    </w:rPr>
  </w:style>
  <w:style w:type="paragraph" w:styleId="CommentSubject">
    <w:name w:val="annotation subject"/>
    <w:basedOn w:val="CommentText"/>
    <w:next w:val="CommentText"/>
    <w:link w:val="CommentSubjectChar"/>
    <w:uiPriority w:val="99"/>
    <w:semiHidden/>
    <w:unhideWhenUsed/>
    <w:rsid w:val="00372C56"/>
    <w:rPr>
      <w:b/>
      <w:bCs/>
    </w:rPr>
  </w:style>
  <w:style w:type="character" w:customStyle="1" w:styleId="CommentSubjectChar">
    <w:name w:val="Comment Subject Char"/>
    <w:basedOn w:val="CommentTextChar"/>
    <w:link w:val="CommentSubject"/>
    <w:uiPriority w:val="99"/>
    <w:semiHidden/>
    <w:rsid w:val="00372C56"/>
    <w:rPr>
      <w:rFonts w:ascii="Book Antiqua" w:eastAsia="Times New Roman" w:hAnsi="Book Antiqua"/>
      <w:b/>
      <w:bCs/>
      <w:sz w:val="20"/>
      <w:szCs w:val="20"/>
      <w:lang w:eastAsia="en-AU"/>
    </w:rPr>
  </w:style>
  <w:style w:type="paragraph" w:styleId="Revision">
    <w:name w:val="Revision"/>
    <w:hidden/>
    <w:uiPriority w:val="99"/>
    <w:semiHidden/>
    <w:rsid w:val="005A0E3D"/>
    <w:pPr>
      <w:spacing w:after="0" w:line="240" w:lineRule="auto"/>
    </w:pPr>
    <w:rPr>
      <w:rFonts w:ascii="Book Antiqua" w:eastAsia="Times New Roman" w:hAnsi="Book Antiqu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DOCID-322795542-38481</_dlc_DocId>
    <_dlc_DocIdUrl xmlns="4195ad5f-cdf2-4c4a-8d9b-b7944a108e98">
      <Url>https://pmc01.sharepoint.com/sites/CRMOBPR/_layouts/15/DocIdRedir.aspx?ID=DOCID-322795542-38481</Url>
      <Description>DOCID-322795542-38481</Description>
    </_dlc_DocIdUrl>
  </documentManagement>
</p:properties>
</file>

<file path=customXml/itemProps1.xml><?xml version="1.0" encoding="utf-8"?>
<ds:datastoreItem xmlns:ds="http://schemas.openxmlformats.org/officeDocument/2006/customXml" ds:itemID="{07B2381B-F128-4ED9-A77F-4D92E94D0349}"/>
</file>

<file path=customXml/itemProps2.xml><?xml version="1.0" encoding="utf-8"?>
<ds:datastoreItem xmlns:ds="http://schemas.openxmlformats.org/officeDocument/2006/customXml" ds:itemID="{024F45EE-A2FF-4BF5-9BAF-DE5D7D88677D}"/>
</file>

<file path=customXml/itemProps3.xml><?xml version="1.0" encoding="utf-8"?>
<ds:datastoreItem xmlns:ds="http://schemas.openxmlformats.org/officeDocument/2006/customXml" ds:itemID="{2FC14E5E-E5CD-4B3B-B2A7-E7F90B8CF906}"/>
</file>

<file path=customXml/itemProps4.xml><?xml version="1.0" encoding="utf-8"?>
<ds:datastoreItem xmlns:ds="http://schemas.openxmlformats.org/officeDocument/2006/customXml" ds:itemID="{556E29B4-8214-4090-B95B-21DA479055FF}"/>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2023-09-22T04:56:00Z</dcterms:created>
  <dcterms:modified xsi:type="dcterms:W3CDTF">2023-09-22T04:56:00Z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42d071f9-9f0b-4985-b94a-db8a885ab3c8</vt:lpwstr>
  </property>
</Properties>
</file>