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84680" w14:textId="77777777" w:rsidR="00947167" w:rsidRDefault="000B281E">
      <w:pPr>
        <w:jc w:val="center"/>
        <w:rPr>
          <w:rFonts w:ascii="Segoe UI" w:eastAsia="Times New Roman" w:hAnsi="Segoe UI" w:cs="Segoe UI"/>
          <w:sz w:val="18"/>
          <w:szCs w:val="18"/>
          <w:lang w:val="en-US"/>
        </w:rPr>
      </w:pPr>
      <w:bookmarkStart w:id="0" w:name="_GoBack"/>
      <w:bookmarkEnd w:id="0"/>
      <w:r>
        <w:rPr>
          <w:rFonts w:eastAsia="Times New Roman"/>
          <w:noProof/>
          <w:sz w:val="16"/>
          <w:szCs w:val="16"/>
        </w:rPr>
        <w:drawing>
          <wp:inline distT="0" distB="0" distL="0" distR="0">
            <wp:extent cx="2978150" cy="1257300"/>
            <wp:effectExtent l="0" t="0" r="0" b="0"/>
            <wp:docPr id="1" name="Picture 1" descr="9FC5FD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FC5FD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8150" cy="1257300"/>
                    </a:xfrm>
                    <a:prstGeom prst="rect">
                      <a:avLst/>
                    </a:prstGeom>
                    <a:noFill/>
                    <a:ln>
                      <a:noFill/>
                    </a:ln>
                  </pic:spPr>
                </pic:pic>
              </a:graphicData>
            </a:graphic>
          </wp:inline>
        </w:drawing>
      </w:r>
    </w:p>
    <w:p w14:paraId="2D1575BE" w14:textId="77777777" w:rsidR="00947167" w:rsidRDefault="000B281E">
      <w:pPr>
        <w:jc w:val="center"/>
        <w:divId w:val="1081220320"/>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2B52BA50" w14:textId="77777777" w:rsidR="00947167" w:rsidRDefault="000B281E">
      <w:pPr>
        <w:jc w:val="right"/>
        <w:divId w:val="1333794405"/>
        <w:rPr>
          <w:rFonts w:ascii="Segoe UI" w:eastAsia="Times New Roman" w:hAnsi="Segoe UI" w:cs="Segoe UI"/>
          <w:sz w:val="18"/>
          <w:szCs w:val="18"/>
          <w:lang w:val="en-US"/>
        </w:rPr>
      </w:pPr>
      <w:r>
        <w:rPr>
          <w:rFonts w:eastAsia="Times New Roman"/>
          <w:sz w:val="16"/>
          <w:szCs w:val="16"/>
          <w:lang w:val="en-US"/>
        </w:rPr>
        <w:t>Reference: OBPR22-02412</w:t>
      </w:r>
      <w:r>
        <w:rPr>
          <w:rFonts w:eastAsia="Times New Roman"/>
          <w:sz w:val="16"/>
          <w:szCs w:val="16"/>
          <w:lang w:val="en-US"/>
        </w:rPr>
        <w:br/>
        <w:t>Telephone: 6271 6270</w:t>
      </w:r>
      <w:r>
        <w:rPr>
          <w:rFonts w:eastAsia="Times New Roman"/>
          <w:sz w:val="16"/>
          <w:szCs w:val="16"/>
          <w:lang w:val="en-US"/>
        </w:rPr>
        <w:br/>
        <w:t xml:space="preserve">e-mail: </w:t>
      </w:r>
      <w:hyperlink r:id="rId12" w:history="1">
        <w:r>
          <w:rPr>
            <w:rStyle w:val="Hyperlink"/>
            <w:rFonts w:eastAsia="Times New Roman"/>
            <w:sz w:val="16"/>
            <w:szCs w:val="16"/>
            <w:lang w:val="en-US"/>
          </w:rPr>
          <w:t>helpdesk-oia@pmc.gov.au</w:t>
        </w:r>
      </w:hyperlink>
    </w:p>
    <w:p w14:paraId="4F958070" w14:textId="6818CCAE" w:rsidR="00016452" w:rsidRPr="00016452" w:rsidRDefault="000B281E">
      <w:pPr>
        <w:divId w:val="664088733"/>
        <w:rPr>
          <w:rFonts w:eastAsia="Times New Roman"/>
          <w:lang w:val="en-US"/>
        </w:rPr>
      </w:pPr>
      <w:r>
        <w:rPr>
          <w:rFonts w:ascii="Segoe UI" w:eastAsia="Times New Roman" w:hAnsi="Segoe UI" w:cs="Segoe UI"/>
          <w:sz w:val="18"/>
          <w:szCs w:val="18"/>
          <w:lang w:val="en-US"/>
        </w:rPr>
        <w:br/>
      </w:r>
      <w:r w:rsidR="00016452">
        <w:rPr>
          <w:rFonts w:eastAsia="Times New Roman"/>
          <w:lang w:val="en-US"/>
        </w:rPr>
        <w:br/>
      </w:r>
      <w:r w:rsidR="00016452" w:rsidRPr="00016452">
        <w:rPr>
          <w:rFonts w:eastAsia="Times New Roman"/>
          <w:lang w:val="en-US"/>
        </w:rPr>
        <w:t>Martin Hehir</w:t>
      </w:r>
    </w:p>
    <w:p w14:paraId="1FC2630F" w14:textId="1D2679BB" w:rsidR="00947167" w:rsidRDefault="000B281E">
      <w:pPr>
        <w:divId w:val="664088733"/>
        <w:rPr>
          <w:rFonts w:ascii="Segoe UI" w:eastAsia="Times New Roman" w:hAnsi="Segoe UI" w:cs="Segoe UI"/>
          <w:sz w:val="18"/>
          <w:szCs w:val="18"/>
          <w:lang w:val="en-US"/>
        </w:rPr>
      </w:pPr>
      <w:r w:rsidRPr="00016452">
        <w:rPr>
          <w:rFonts w:eastAsia="Times New Roman"/>
          <w:lang w:val="en-US"/>
        </w:rPr>
        <w:t>Deputy Secretary</w:t>
      </w:r>
      <w:r>
        <w:rPr>
          <w:rFonts w:eastAsia="Times New Roman"/>
          <w:lang w:val="en-US"/>
        </w:rPr>
        <w:br/>
        <w:t>Workplace Relations Group</w:t>
      </w:r>
      <w:r>
        <w:rPr>
          <w:rFonts w:eastAsia="Times New Roman"/>
          <w:lang w:val="en-US"/>
        </w:rPr>
        <w:br/>
        <w:t>Department of Employment and Workplace Relations</w:t>
      </w:r>
      <w:r>
        <w:rPr>
          <w:rFonts w:eastAsia="Times New Roman"/>
          <w:lang w:val="en-US"/>
        </w:rPr>
        <w:br/>
      </w:r>
      <w:r w:rsidR="00016452">
        <w:rPr>
          <w:rFonts w:eastAsia="Times New Roman"/>
          <w:lang w:val="en-US"/>
        </w:rPr>
        <w:br/>
      </w:r>
      <w:r>
        <w:rPr>
          <w:rFonts w:eastAsia="Times New Roman"/>
          <w:lang w:val="en-US"/>
        </w:rPr>
        <w:br/>
        <w:t xml:space="preserve">Dear </w:t>
      </w:r>
      <w:r w:rsidR="00016452">
        <w:rPr>
          <w:rFonts w:eastAsia="Times New Roman"/>
          <w:lang w:val="en-US"/>
        </w:rPr>
        <w:t>Mr Hehir</w:t>
      </w:r>
    </w:p>
    <w:p w14:paraId="7F5F01AC" w14:textId="78A6EB17" w:rsidR="00947167" w:rsidRDefault="000B281E">
      <w:pPr>
        <w:jc w:val="center"/>
        <w:divId w:val="2049528050"/>
        <w:rPr>
          <w:rFonts w:ascii="Segoe UI" w:eastAsia="Times New Roman" w:hAnsi="Segoe UI" w:cs="Segoe UI"/>
          <w:sz w:val="18"/>
          <w:szCs w:val="18"/>
          <w:lang w:val="en-US"/>
        </w:rPr>
      </w:pPr>
      <w:r>
        <w:rPr>
          <w:rFonts w:eastAsia="Times New Roman"/>
          <w:lang w:val="en-US"/>
        </w:rPr>
        <w:t>                                           </w:t>
      </w:r>
      <w:r>
        <w:rPr>
          <w:rFonts w:ascii="Segoe UI" w:eastAsia="Times New Roman" w:hAnsi="Segoe UI" w:cs="Segoe UI"/>
          <w:lang w:val="en-US"/>
        </w:rPr>
        <w:br/>
      </w:r>
      <w:r>
        <w:rPr>
          <w:rStyle w:val="Strong"/>
          <w:rFonts w:eastAsia="Times New Roman"/>
          <w:lang w:val="en-US"/>
        </w:rPr>
        <w:t>Certification of Impact Analysis Equivalent: Standing Up For Casual Workers</w:t>
      </w:r>
    </w:p>
    <w:p w14:paraId="7AD031C5" w14:textId="77777777" w:rsidR="00947167" w:rsidRDefault="000B281E">
      <w:pPr>
        <w:divId w:val="2049528050"/>
        <w:rPr>
          <w:rFonts w:eastAsia="Times New Roman"/>
          <w:lang w:val="en-US"/>
        </w:rPr>
      </w:pPr>
      <w:r>
        <w:rPr>
          <w:rFonts w:ascii="Segoe UI" w:eastAsia="Times New Roman" w:hAnsi="Segoe UI" w:cs="Segoe UI"/>
          <w:sz w:val="18"/>
          <w:szCs w:val="18"/>
          <w:lang w:val="en-US"/>
        </w:rPr>
        <w:br/>
      </w:r>
      <w:r>
        <w:rPr>
          <w:rFonts w:eastAsia="Times New Roman"/>
          <w:lang w:val="en-US"/>
        </w:rPr>
        <w:t>Thank you for your letter certifying the following reviews undertook a process and analysis equivalent to an Impact Analysis (IA):</w:t>
      </w:r>
    </w:p>
    <w:p w14:paraId="20125060" w14:textId="77777777" w:rsidR="00947167" w:rsidRDefault="00947167">
      <w:pPr>
        <w:divId w:val="2049528050"/>
        <w:rPr>
          <w:rFonts w:eastAsia="Times New Roman"/>
          <w:lang w:val="en-US"/>
        </w:rPr>
      </w:pPr>
    </w:p>
    <w:p w14:paraId="79A22573" w14:textId="77777777" w:rsidR="00947167" w:rsidRDefault="000B281E">
      <w:pPr>
        <w:pStyle w:val="1NumberPointsStyle"/>
        <w:numPr>
          <w:ilvl w:val="1"/>
          <w:numId w:val="4"/>
        </w:numPr>
        <w:spacing w:line="233" w:lineRule="atLeast"/>
        <w:divId w:val="2049528050"/>
        <w:rPr>
          <w:color w:val="000000"/>
          <w:szCs w:val="24"/>
        </w:rPr>
      </w:pPr>
      <w:r>
        <w:rPr>
          <w:bCs/>
        </w:rPr>
        <w:t xml:space="preserve">Senate Select Committee on Job Security Inquiry </w:t>
      </w:r>
    </w:p>
    <w:p w14:paraId="5C839DEB" w14:textId="77777777" w:rsidR="00947167" w:rsidRDefault="000B281E">
      <w:pPr>
        <w:pStyle w:val="1NumberPointsStyle"/>
        <w:numPr>
          <w:ilvl w:val="1"/>
          <w:numId w:val="4"/>
        </w:numPr>
        <w:spacing w:line="233" w:lineRule="atLeast"/>
        <w:divId w:val="2049528050"/>
        <w:rPr>
          <w:color w:val="000000"/>
          <w:szCs w:val="24"/>
        </w:rPr>
      </w:pPr>
      <w:r>
        <w:rPr>
          <w:bCs/>
        </w:rPr>
        <w:t xml:space="preserve">Statutory review of the </w:t>
      </w:r>
      <w:r>
        <w:rPr>
          <w:bCs/>
          <w:i/>
          <w:iCs/>
        </w:rPr>
        <w:t>Fair Work Amendment (Supporting Australia's Jobs and Economic Recovery) Act 2021.</w:t>
      </w:r>
      <w:r>
        <w:rPr>
          <w:bCs/>
        </w:rPr>
        <w:t xml:space="preserve"> </w:t>
      </w:r>
    </w:p>
    <w:p w14:paraId="404E2500" w14:textId="77777777" w:rsidR="00947167" w:rsidRDefault="000B281E">
      <w:pPr>
        <w:divId w:val="2049528050"/>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10EE48AB" w14:textId="19422F1D" w:rsidR="002F6086" w:rsidRDefault="000B281E" w:rsidP="002F6086">
      <w:pPr>
        <w:divId w:val="1818721087"/>
        <w:rPr>
          <w:rFonts w:eastAsia="Times New Roman"/>
          <w:color w:val="000000"/>
          <w:lang w:val="en-US"/>
        </w:rPr>
      </w:pPr>
      <w:r>
        <w:rPr>
          <w:rFonts w:eastAsia="Times New Roman"/>
          <w:color w:val="000000"/>
          <w:lang w:val="en-US"/>
        </w:rPr>
        <w:t xml:space="preserve">The Office of Impact Analysis (OIA) acknowledges the certification as an Impact Analysis Equivalent (IAE). Under the </w:t>
      </w:r>
      <w:r>
        <w:rPr>
          <w:rFonts w:eastAsia="Times New Roman"/>
          <w:i/>
          <w:color w:val="000000"/>
          <w:lang w:val="en-US"/>
        </w:rPr>
        <w:t>Australian Government Guide to Policy Impact Analysis</w:t>
      </w:r>
      <w:r>
        <w:rPr>
          <w:rFonts w:eastAsia="Times New Roman"/>
          <w:color w:val="000000"/>
          <w:lang w:val="en-US"/>
        </w:rPr>
        <w:t>, the OIA does not assess the adequacy of the analysis contained in an IAE but does assess whether the options analysed in the certified documents are relevant to the policy proposal. The OIA also assesses the IAE for the coverage of the seven IA questions conducted and whether the IAE or certification letter identifies regulatory costs.</w:t>
      </w: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Fonts w:eastAsia="Times New Roman"/>
          <w:color w:val="000000"/>
          <w:lang w:val="en-US"/>
        </w:rPr>
        <w:t xml:space="preserve">In this case, the OIA’s assessment is that the options analysed in the IAE are sufficiently relevant to the policy proposal. </w:t>
      </w:r>
      <w:r w:rsidR="002F6086">
        <w:rPr>
          <w:rFonts w:eastAsia="Times New Roman"/>
          <w:color w:val="000000"/>
          <w:lang w:val="en-US"/>
        </w:rPr>
        <w:t>T</w:t>
      </w:r>
      <w:r>
        <w:rPr>
          <w:rFonts w:eastAsia="Times New Roman"/>
          <w:color w:val="000000"/>
          <w:lang w:val="en-US"/>
        </w:rPr>
        <w:t xml:space="preserve">he IAE contains additional analysis prepared by the Department to address IA question seven. </w:t>
      </w:r>
    </w:p>
    <w:p w14:paraId="20668F88" w14:textId="77777777" w:rsidR="00947167" w:rsidRDefault="000B281E">
      <w:pPr>
        <w:divId w:val="1818721087"/>
        <w:rPr>
          <w:rFonts w:eastAsia="Times New Roman"/>
          <w:lang w:val="en-US"/>
        </w:rPr>
      </w:pPr>
      <w:r>
        <w:rPr>
          <w:rFonts w:ascii="Segoe UI" w:eastAsia="Times New Roman" w:hAnsi="Segoe UI" w:cs="Segoe UI"/>
          <w:sz w:val="18"/>
          <w:szCs w:val="18"/>
          <w:lang w:val="en-US"/>
        </w:rPr>
        <w:br/>
      </w:r>
      <w:r>
        <w:rPr>
          <w:rFonts w:eastAsia="Times New Roman"/>
          <w:lang w:val="en-US"/>
        </w:rPr>
        <w:t>We would appreciate you advising us when a final decision has been announced and forwarding a copy of the IAE in a form meeting the Government’s accessibility requirements. The OIA will publish the IAE, along with your certification, on the OIA’s website at oia.pmc.gov.au. </w:t>
      </w:r>
    </w:p>
    <w:p w14:paraId="199D0BDB" w14:textId="77777777" w:rsidR="00947167" w:rsidRDefault="00947167">
      <w:pPr>
        <w:divId w:val="1818721087"/>
        <w:rPr>
          <w:rFonts w:eastAsia="Times New Roman"/>
          <w:lang w:val="en-US"/>
        </w:rPr>
      </w:pPr>
    </w:p>
    <w:p w14:paraId="38DC93EB" w14:textId="7E6F1E24" w:rsidR="00947167" w:rsidRDefault="00016452">
      <w:pPr>
        <w:divId w:val="1818721087"/>
        <w:rPr>
          <w:rFonts w:ascii="Segoe UI" w:eastAsia="Times New Roman" w:hAnsi="Segoe UI" w:cs="Segoe UI"/>
          <w:sz w:val="18"/>
          <w:szCs w:val="18"/>
          <w:lang w:val="en-US"/>
        </w:rPr>
      </w:pPr>
      <w:r>
        <w:rPr>
          <w:rFonts w:eastAsia="Times New Roman"/>
          <w:lang w:val="en-US"/>
        </w:rPr>
        <w:br/>
      </w:r>
      <w:r>
        <w:rPr>
          <w:rFonts w:eastAsia="Times New Roman"/>
          <w:lang w:val="en-US"/>
        </w:rPr>
        <w:br/>
      </w:r>
      <w:r w:rsidR="000B281E">
        <w:rPr>
          <w:rFonts w:eastAsia="Times New Roman"/>
          <w:lang w:val="en-US"/>
        </w:rPr>
        <w:lastRenderedPageBreak/>
        <w:t xml:space="preserve">Further, where a regulation is tabled in Parliament, your IAE needs to be included in the </w:t>
      </w:r>
      <w:r>
        <w:t>Explanatory M</w:t>
      </w:r>
      <w:r w:rsidR="000B281E">
        <w:t xml:space="preserve">emorandum </w:t>
      </w:r>
      <w:r>
        <w:t>or Statement</w:t>
      </w:r>
      <w:r w:rsidR="000B281E">
        <w:t xml:space="preserve">, as stipulated in the </w:t>
      </w:r>
      <w:r w:rsidR="000B281E">
        <w:rPr>
          <w:i/>
        </w:rPr>
        <w:t>User Guide to the Australian Government Guide to Policy Impact Analysis</w:t>
      </w:r>
      <w:r w:rsidR="000B281E">
        <w:t>.</w:t>
      </w:r>
    </w:p>
    <w:p w14:paraId="01238387" w14:textId="77777777" w:rsidR="00947167" w:rsidRDefault="00947167">
      <w:pPr>
        <w:divId w:val="1818721087"/>
        <w:rPr>
          <w:rFonts w:ascii="Segoe UI" w:eastAsia="Times New Roman" w:hAnsi="Segoe UI" w:cs="Segoe UI"/>
          <w:sz w:val="18"/>
          <w:szCs w:val="18"/>
          <w:lang w:val="en-US"/>
        </w:rPr>
      </w:pPr>
    </w:p>
    <w:p w14:paraId="4A798DC3" w14:textId="77777777" w:rsidR="00947167" w:rsidRDefault="000B281E">
      <w:pPr>
        <w:divId w:val="1304895144"/>
        <w:rPr>
          <w:rFonts w:eastAsia="Times New Roman"/>
          <w:lang w:val="en-US"/>
        </w:rPr>
      </w:pPr>
      <w:r>
        <w:rPr>
          <w:rFonts w:ascii="Segoe UI" w:eastAsia="Times New Roman" w:hAnsi="Segoe UI" w:cs="Segoe UI"/>
          <w:sz w:val="18"/>
          <w:szCs w:val="18"/>
          <w:lang w:val="en-US"/>
        </w:rPr>
        <w:br/>
      </w:r>
      <w:r>
        <w:rPr>
          <w:rFonts w:eastAsia="Times New Roman"/>
          <w:lang w:val="en-US"/>
        </w:rPr>
        <w:t>Yours sincerely</w:t>
      </w:r>
      <w:r>
        <w:rPr>
          <w:rFonts w:eastAsia="Times New Roman"/>
          <w:lang w:val="en-US"/>
        </w:rPr>
        <w:br/>
      </w:r>
      <w:r>
        <w:rPr>
          <w:rFonts w:eastAsia="Times New Roman"/>
          <w:lang w:val="en-US"/>
        </w:rPr>
        <w:br/>
      </w:r>
      <w:r>
        <w:rPr>
          <w:rFonts w:eastAsia="Times New Roman"/>
          <w:lang w:val="en-US"/>
        </w:rPr>
        <w:br/>
      </w:r>
      <w:r>
        <w:rPr>
          <w:rFonts w:eastAsia="Times New Roman"/>
          <w:lang w:val="en-US"/>
        </w:rPr>
        <w:br/>
      </w:r>
      <w:r>
        <w:rPr>
          <w:rFonts w:eastAsia="Times New Roman"/>
          <w:color w:val="000000"/>
          <w:lang w:val="en-US"/>
        </w:rPr>
        <w:t>Jason Lange</w:t>
      </w:r>
      <w:r>
        <w:rPr>
          <w:rFonts w:eastAsia="Times New Roman"/>
          <w:color w:val="000000"/>
          <w:lang w:val="en-US"/>
        </w:rPr>
        <w:br/>
        <w:t>Executive Director</w:t>
      </w:r>
      <w:r>
        <w:rPr>
          <w:rFonts w:eastAsia="Times New Roman"/>
          <w:color w:val="000000"/>
          <w:lang w:val="en-US"/>
        </w:rPr>
        <w:br/>
        <w:t>Office of Impact Analysis</w:t>
      </w:r>
    </w:p>
    <w:p w14:paraId="344042C4" w14:textId="7FBA2C14" w:rsidR="00947167" w:rsidRDefault="00016452">
      <w:pPr>
        <w:divId w:val="1304895144"/>
        <w:rPr>
          <w:rFonts w:ascii="Segoe UI" w:eastAsia="Times New Roman" w:hAnsi="Segoe UI" w:cs="Segoe UI"/>
          <w:sz w:val="18"/>
          <w:szCs w:val="18"/>
          <w:lang w:val="en-US"/>
        </w:rPr>
      </w:pPr>
      <w:r w:rsidRPr="00016452">
        <w:rPr>
          <w:rFonts w:eastAsia="Times New Roman"/>
          <w:lang w:val="en-US"/>
        </w:rPr>
        <w:t>24 August</w:t>
      </w:r>
      <w:r w:rsidR="000B281E" w:rsidRPr="00016452">
        <w:rPr>
          <w:rFonts w:eastAsia="Times New Roman"/>
          <w:color w:val="000000"/>
          <w:lang w:val="en-US"/>
        </w:rPr>
        <w:t xml:space="preserve"> 2023</w:t>
      </w:r>
      <w:r w:rsidR="000B281E">
        <w:rPr>
          <w:rFonts w:ascii="Segoe UI" w:eastAsia="Times New Roman" w:hAnsi="Segoe UI" w:cs="Segoe UI"/>
          <w:sz w:val="18"/>
          <w:szCs w:val="18"/>
          <w:lang w:val="en-US"/>
        </w:rPr>
        <w:br/>
        <w:t> </w:t>
      </w:r>
    </w:p>
    <w:tbl>
      <w:tblPr>
        <w:tblW w:w="0" w:type="auto"/>
        <w:tblCellSpacing w:w="15" w:type="dxa"/>
        <w:tblInd w:w="-27360" w:type="dxa"/>
        <w:tblLook w:val="04A0" w:firstRow="1" w:lastRow="0" w:firstColumn="1" w:lastColumn="0" w:noHBand="0" w:noVBand="1"/>
      </w:tblPr>
      <w:tblGrid>
        <w:gridCol w:w="171"/>
        <w:gridCol w:w="5943"/>
      </w:tblGrid>
      <w:tr w:rsidR="00947167" w14:paraId="4F8D94C2" w14:textId="77777777">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6"/>
            </w:tblGrid>
            <w:tr w:rsidR="00947167" w14:paraId="6FFE01B6" w14:textId="77777777">
              <w:trPr>
                <w:divId w:val="1517881971"/>
                <w:tblCellSpacing w:w="15" w:type="dxa"/>
              </w:trPr>
              <w:tc>
                <w:tcPr>
                  <w:tcW w:w="0" w:type="auto"/>
                  <w:tcMar>
                    <w:top w:w="15" w:type="dxa"/>
                    <w:left w:w="15" w:type="dxa"/>
                    <w:bottom w:w="15" w:type="dxa"/>
                    <w:right w:w="15" w:type="dxa"/>
                  </w:tcMar>
                  <w:vAlign w:val="center"/>
                  <w:hideMark/>
                </w:tcPr>
                <w:p w14:paraId="204E1EBD" w14:textId="77777777" w:rsidR="00947167" w:rsidRDefault="00947167">
                  <w:pPr>
                    <w:rPr>
                      <w:rFonts w:ascii="Segoe UI" w:eastAsia="Times New Roman" w:hAnsi="Segoe UI" w:cs="Segoe UI"/>
                      <w:sz w:val="18"/>
                      <w:szCs w:val="18"/>
                      <w:lang w:val="en-US"/>
                    </w:rPr>
                  </w:pPr>
                </w:p>
              </w:tc>
            </w:tr>
          </w:tbl>
          <w:p w14:paraId="7E94A723" w14:textId="77777777" w:rsidR="00947167" w:rsidRDefault="00947167">
            <w:pPr>
              <w:rPr>
                <w:rFonts w:eastAsia="Times New Roman"/>
                <w:sz w:val="20"/>
                <w:szCs w:val="20"/>
              </w:rPr>
            </w:pPr>
          </w:p>
        </w:tc>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5868"/>
            </w:tblGrid>
            <w:tr w:rsidR="00947167" w14:paraId="61572A7F" w14:textId="77777777">
              <w:trPr>
                <w:divId w:val="1394741250"/>
                <w:tblCellSpacing w:w="15" w:type="dxa"/>
              </w:trPr>
              <w:tc>
                <w:tcPr>
                  <w:tcW w:w="0" w:type="auto"/>
                  <w:tcMar>
                    <w:top w:w="15" w:type="dxa"/>
                    <w:left w:w="15" w:type="dxa"/>
                    <w:bottom w:w="15" w:type="dxa"/>
                    <w:right w:w="15" w:type="dxa"/>
                  </w:tcMar>
                  <w:vAlign w:val="center"/>
                  <w:hideMark/>
                </w:tcPr>
                <w:p w14:paraId="27DCEC04" w14:textId="77777777" w:rsidR="00947167" w:rsidRDefault="000B281E">
                  <w:pPr>
                    <w:pStyle w:val="NormalWeb"/>
                    <w:jc w:val="center"/>
                    <w:rPr>
                      <w:sz w:val="16"/>
                      <w:szCs w:val="16"/>
                    </w:rPr>
                  </w:pPr>
                  <w:r>
                    <w:rPr>
                      <w:sz w:val="16"/>
                      <w:szCs w:val="16"/>
                    </w:rPr>
                    <w:t>1 National Circuit, Barton ACT 2600 • Telephone 02 6271 6270 • Internet oia.pmc.gov.au</w:t>
                  </w:r>
                </w:p>
              </w:tc>
            </w:tr>
          </w:tbl>
          <w:p w14:paraId="68062A31" w14:textId="77777777" w:rsidR="00947167" w:rsidRDefault="00947167">
            <w:pPr>
              <w:rPr>
                <w:rFonts w:eastAsia="Times New Roman"/>
                <w:sz w:val="20"/>
                <w:szCs w:val="20"/>
              </w:rPr>
            </w:pPr>
          </w:p>
        </w:tc>
      </w:tr>
    </w:tbl>
    <w:p w14:paraId="0590B318" w14:textId="77777777" w:rsidR="00947167" w:rsidRDefault="00947167">
      <w:pPr>
        <w:rPr>
          <w:rFonts w:eastAsia="Times New Roman"/>
        </w:rPr>
      </w:pPr>
    </w:p>
    <w:sectPr w:rsidR="00947167">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EC14A" w14:textId="77777777" w:rsidR="006B3C00" w:rsidRDefault="006B3C00" w:rsidP="006B3C00">
      <w:r>
        <w:separator/>
      </w:r>
    </w:p>
  </w:endnote>
  <w:endnote w:type="continuationSeparator" w:id="0">
    <w:p w14:paraId="3FE2FD94" w14:textId="77777777" w:rsidR="006B3C00" w:rsidRDefault="006B3C00" w:rsidP="006B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3FB2F" w14:textId="77777777" w:rsidR="006B3C00" w:rsidRDefault="006B3C00" w:rsidP="006B3C00">
      <w:r>
        <w:separator/>
      </w:r>
    </w:p>
  </w:footnote>
  <w:footnote w:type="continuationSeparator" w:id="0">
    <w:p w14:paraId="4C72035B" w14:textId="77777777" w:rsidR="006B3C00" w:rsidRDefault="006B3C00" w:rsidP="006B3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511A"/>
    <w:multiLevelType w:val="multilevel"/>
    <w:tmpl w:val="EA5E96EA"/>
    <w:numStyleLink w:val="KeyPoints"/>
  </w:abstractNum>
  <w:abstractNum w:abstractNumId="1" w15:restartNumberingAfterBreak="0">
    <w:nsid w:val="667C0112"/>
    <w:multiLevelType w:val="multilevel"/>
    <w:tmpl w:val="850C8134"/>
    <w:lvl w:ilvl="0">
      <w:start w:val="1"/>
      <w:numFmt w:val="decimal"/>
      <w:lvlText w:val="%1."/>
      <w:lvlJc w:val="left"/>
      <w:pPr>
        <w:ind w:left="369" w:hanging="369"/>
      </w:pPr>
      <w:rPr>
        <w:rFonts w:asciiTheme="minorHAnsi" w:hAnsiTheme="minorHAnsi" w:cs="Times New Roman"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lvl>
    <w:lvl w:ilvl="3">
      <w:start w:val="1"/>
      <w:numFmt w:val="none"/>
      <w:lvlText w:val=""/>
      <w:lvlJc w:val="left"/>
      <w:pPr>
        <w:ind w:left="1111" w:hanging="5"/>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cs="Times New Roman" w:hint="default"/>
        <w:sz w:val="22"/>
      </w:rPr>
    </w:lvl>
    <w:lvl w:ilvl="1">
      <w:start w:val="1"/>
      <w:numFmt w:val="lowerLetter"/>
      <w:lvlText w:val="%2."/>
      <w:lvlJc w:val="left"/>
      <w:pPr>
        <w:ind w:left="737" w:hanging="368"/>
      </w:pPr>
    </w:lvl>
    <w:lvl w:ilvl="2">
      <w:start w:val="1"/>
      <w:numFmt w:val="lowerRoman"/>
      <w:lvlText w:val="%3."/>
      <w:lvlJc w:val="left"/>
      <w:pPr>
        <w:ind w:left="1106" w:hanging="369"/>
      </w:pPr>
    </w:lvl>
    <w:lvl w:ilvl="3">
      <w:start w:val="1"/>
      <w:numFmt w:val="none"/>
      <w:lvlText w:val=""/>
      <w:lvlJc w:val="left"/>
      <w:pPr>
        <w:ind w:left="1111" w:hanging="5"/>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lvl>
    </w:lvlOverride>
    <w:lvlOverride w:ilvl="2">
      <w:lvl w:ilvl="2">
        <w:start w:val="1"/>
        <w:numFmt w:val="lowerRoman"/>
        <w:lvlText w:val="%3."/>
        <w:lvlJc w:val="left"/>
        <w:pPr>
          <w:ind w:left="1106" w:hanging="369"/>
        </w:pPr>
      </w:lvl>
    </w:lvlOverride>
    <w:lvlOverride w:ilvl="3">
      <w:lvl w:ilvl="3">
        <w:start w:val="1"/>
        <w:numFmt w:val="none"/>
        <w:lvlText w:val=""/>
        <w:lvlJc w:val="left"/>
        <w:pPr>
          <w:ind w:left="1111" w:hanging="5"/>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
    <w:abstractNumId w:val="1"/>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6F"/>
    <w:rsid w:val="00016452"/>
    <w:rsid w:val="000B281E"/>
    <w:rsid w:val="002F6086"/>
    <w:rsid w:val="00331836"/>
    <w:rsid w:val="0061676F"/>
    <w:rsid w:val="006B3C00"/>
    <w:rsid w:val="009471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74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semiHidden/>
    <w:unhideWhenUsed/>
    <w:pPr>
      <w:spacing w:before="100" w:beforeAutospacing="1" w:after="100" w:afterAutospacing="1"/>
    </w:pPr>
  </w:style>
  <w:style w:type="character" w:customStyle="1" w:styleId="HeaderChar">
    <w:name w:val="Header Char"/>
    <w:basedOn w:val="DefaultParagraphFont"/>
    <w:link w:val="Header"/>
    <w:uiPriority w:val="99"/>
    <w:semiHidden/>
    <w:locked/>
    <w:rPr>
      <w:rFonts w:ascii="Times New Roman" w:eastAsiaTheme="minorEastAsia" w:hAnsi="Times New Roman" w:cs="Times New Roman" w:hint="default"/>
      <w:sz w:val="24"/>
      <w:szCs w:val="24"/>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paragraph" w:customStyle="1" w:styleId="funeraldatatbl">
    <w:name w:val="funeraldatatbl"/>
    <w:basedOn w:val="Normal"/>
    <w:uiPriority w:val="99"/>
    <w:semiHidden/>
    <w:pPr>
      <w:ind w:left="-675"/>
    </w:pPr>
  </w:style>
  <w:style w:type="character" w:customStyle="1" w:styleId="1NumberPointsStyleChar">
    <w:name w:val="1. Number Points Style Char"/>
    <w:basedOn w:val="DefaultParagraphFont"/>
    <w:link w:val="1NumberPointsStyle"/>
    <w:locked/>
    <w:rPr>
      <w:sz w:val="24"/>
    </w:rPr>
  </w:style>
  <w:style w:type="paragraph" w:customStyle="1" w:styleId="1NumberPointsStyle">
    <w:name w:val="1. Number Points Style"/>
    <w:basedOn w:val="Normal"/>
    <w:link w:val="1NumberPointsStyleChar"/>
    <w:uiPriority w:val="99"/>
    <w:semiHidden/>
    <w:qFormat/>
    <w:pPr>
      <w:numPr>
        <w:numId w:val="2"/>
      </w:numPr>
      <w:spacing w:after="200"/>
    </w:pPr>
    <w:rPr>
      <w:rFonts w:eastAsia="Times New Roman"/>
      <w:szCs w:val="20"/>
    </w:rPr>
  </w:style>
  <w:style w:type="character" w:styleId="Strong">
    <w:name w:val="Strong"/>
    <w:basedOn w:val="DefaultParagraphFont"/>
    <w:uiPriority w:val="22"/>
    <w:qFormat/>
    <w:rPr>
      <w:b/>
      <w:bCs/>
    </w:rPr>
  </w:style>
  <w:style w:type="numbering" w:customStyle="1" w:styleId="KeyPoints">
    <w:name w:val="Key Points"/>
    <w:uiPriority w:val="9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88733">
      <w:marLeft w:val="0"/>
      <w:marRight w:val="0"/>
      <w:marTop w:val="0"/>
      <w:marBottom w:val="0"/>
      <w:divBdr>
        <w:top w:val="none" w:sz="0" w:space="0" w:color="auto"/>
        <w:left w:val="none" w:sz="0" w:space="0" w:color="auto"/>
        <w:bottom w:val="none" w:sz="0" w:space="0" w:color="auto"/>
        <w:right w:val="none" w:sz="0" w:space="0" w:color="auto"/>
      </w:divBdr>
    </w:div>
    <w:div w:id="840193768">
      <w:marLeft w:val="0"/>
      <w:marRight w:val="0"/>
      <w:marTop w:val="0"/>
      <w:marBottom w:val="0"/>
      <w:divBdr>
        <w:top w:val="none" w:sz="0" w:space="0" w:color="auto"/>
        <w:left w:val="none" w:sz="0" w:space="0" w:color="auto"/>
        <w:bottom w:val="none" w:sz="0" w:space="0" w:color="auto"/>
        <w:right w:val="none" w:sz="0" w:space="0" w:color="auto"/>
      </w:divBdr>
      <w:divsChild>
        <w:div w:id="1818721087">
          <w:marLeft w:val="0"/>
          <w:marRight w:val="0"/>
          <w:marTop w:val="0"/>
          <w:marBottom w:val="0"/>
          <w:divBdr>
            <w:top w:val="none" w:sz="0" w:space="0" w:color="auto"/>
            <w:left w:val="none" w:sz="0" w:space="0" w:color="auto"/>
            <w:bottom w:val="none" w:sz="0" w:space="0" w:color="auto"/>
            <w:right w:val="none" w:sz="0" w:space="0" w:color="auto"/>
          </w:divBdr>
        </w:div>
        <w:div w:id="1304895144">
          <w:marLeft w:val="0"/>
          <w:marRight w:val="0"/>
          <w:marTop w:val="0"/>
          <w:marBottom w:val="0"/>
          <w:divBdr>
            <w:top w:val="none" w:sz="0" w:space="0" w:color="auto"/>
            <w:left w:val="none" w:sz="0" w:space="0" w:color="auto"/>
            <w:bottom w:val="none" w:sz="0" w:space="0" w:color="auto"/>
            <w:right w:val="none" w:sz="0" w:space="0" w:color="auto"/>
          </w:divBdr>
        </w:div>
      </w:divsChild>
    </w:div>
    <w:div w:id="1081220320">
      <w:marLeft w:val="1200"/>
      <w:marRight w:val="0"/>
      <w:marTop w:val="0"/>
      <w:marBottom w:val="0"/>
      <w:divBdr>
        <w:top w:val="none" w:sz="0" w:space="0" w:color="auto"/>
        <w:left w:val="none" w:sz="0" w:space="0" w:color="auto"/>
        <w:bottom w:val="none" w:sz="0" w:space="0" w:color="auto"/>
        <w:right w:val="none" w:sz="0" w:space="0" w:color="auto"/>
      </w:divBdr>
    </w:div>
    <w:div w:id="1333794405">
      <w:marLeft w:val="1200"/>
      <w:marRight w:val="0"/>
      <w:marTop w:val="0"/>
      <w:marBottom w:val="0"/>
      <w:divBdr>
        <w:top w:val="none" w:sz="0" w:space="0" w:color="auto"/>
        <w:left w:val="none" w:sz="0" w:space="0" w:color="auto"/>
        <w:bottom w:val="none" w:sz="0" w:space="0" w:color="auto"/>
        <w:right w:val="none" w:sz="0" w:space="0" w:color="auto"/>
      </w:divBdr>
    </w:div>
    <w:div w:id="1394741250">
      <w:marLeft w:val="0"/>
      <w:marRight w:val="0"/>
      <w:marTop w:val="0"/>
      <w:marBottom w:val="0"/>
      <w:divBdr>
        <w:top w:val="none" w:sz="0" w:space="0" w:color="auto"/>
        <w:left w:val="none" w:sz="0" w:space="0" w:color="auto"/>
        <w:bottom w:val="none" w:sz="0" w:space="0" w:color="auto"/>
        <w:right w:val="none" w:sz="0" w:space="0" w:color="auto"/>
      </w:divBdr>
    </w:div>
    <w:div w:id="1517881971">
      <w:marLeft w:val="0"/>
      <w:marRight w:val="0"/>
      <w:marTop w:val="0"/>
      <w:marBottom w:val="0"/>
      <w:divBdr>
        <w:top w:val="none" w:sz="0" w:space="0" w:color="auto"/>
        <w:left w:val="none" w:sz="0" w:space="0" w:color="auto"/>
        <w:bottom w:val="none" w:sz="0" w:space="0" w:color="auto"/>
        <w:right w:val="none" w:sz="0" w:space="0" w:color="auto"/>
      </w:divBdr>
    </w:div>
    <w:div w:id="20495280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obpr@pm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DOCID-322795542-36928</_dlc_DocId>
    <_dlc_DocIdUrl xmlns="4195ad5f-cdf2-4c4a-8d9b-b7944a108e98">
      <Url>https://pmc01.sharepoint.com/sites/CRMOBPR/_layouts/15/DocIdRedir.aspx?ID=DOCID-322795542-36928</Url>
      <Description>DOCID-322795542-36928</Description>
    </_dlc_DocIdUrl>
  </documentManagement>
</p:properties>
</file>

<file path=customXml/itemProps1.xml><?xml version="1.0" encoding="utf-8"?>
<ds:datastoreItem xmlns:ds="http://schemas.openxmlformats.org/officeDocument/2006/customXml" ds:itemID="{D3EEA93D-ED94-42BB-AFD9-069A8C38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89359-88F8-47AD-BA5C-A20E7EBFE2A7}">
  <ds:schemaRefs>
    <ds:schemaRef ds:uri="http://schemas.microsoft.com/sharepoint/events"/>
  </ds:schemaRefs>
</ds:datastoreItem>
</file>

<file path=customXml/itemProps3.xml><?xml version="1.0" encoding="utf-8"?>
<ds:datastoreItem xmlns:ds="http://schemas.openxmlformats.org/officeDocument/2006/customXml" ds:itemID="{5E0A1367-98C8-4584-BB5F-6FD1E1FEA322}">
  <ds:schemaRefs>
    <ds:schemaRef ds:uri="http://schemas.microsoft.com/sharepoint/v3/contenttype/forms"/>
  </ds:schemaRefs>
</ds:datastoreItem>
</file>

<file path=customXml/itemProps4.xml><?xml version="1.0" encoding="utf-8"?>
<ds:datastoreItem xmlns:ds="http://schemas.openxmlformats.org/officeDocument/2006/customXml" ds:itemID="{35B142AB-011D-47B4-8F88-517F98DBA8AB}">
  <ds:schemaRefs>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4195ad5f-cdf2-4c4a-8d9b-b7944a108e98"/>
    <ds:schemaRef ds:uri="http://schemas.openxmlformats.org/package/2006/metadata/core-properties"/>
    <ds:schemaRef ds:uri="26285671-540d-468b-b7a1-f3e0438dd51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2023-08-31T23:18:00Z</dcterms:created>
  <dcterms:modified xsi:type="dcterms:W3CDTF">2023-08-31T23:18:00Z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MediaServiceImageTags">
    <vt:lpwstr/>
  </property>
  <property fmtid="{D5CDD505-2E9C-101B-9397-08002B2CF9AE}" pid="4" name="_dlc_DocIdItemGuid">
    <vt:lpwstr>0a72fb62-09f3-48f7-b290-853d8086c235</vt:lpwstr>
  </property>
</Properties>
</file>