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10CEF" w14:textId="4B6DD786" w:rsidR="00984FB8" w:rsidRPr="00603981" w:rsidRDefault="008649F2" w:rsidP="00C90260">
      <w:bookmarkStart w:id="0" w:name="_GoBack"/>
      <w:bookmarkEnd w:id="0"/>
      <w:r w:rsidRPr="00603981">
        <w:rPr>
          <w:noProof/>
          <w:lang w:eastAsia="en-AU"/>
        </w:rPr>
        <w:drawing>
          <wp:anchor distT="0" distB="0" distL="114300" distR="114300" simplePos="0" relativeHeight="251658240" behindDoc="1" locked="0" layoutInCell="1" allowOverlap="1" wp14:anchorId="63885BF4" wp14:editId="1A0A0C60">
            <wp:simplePos x="0" y="0"/>
            <wp:positionH relativeFrom="column">
              <wp:posOffset>-905263</wp:posOffset>
            </wp:positionH>
            <wp:positionV relativeFrom="page">
              <wp:posOffset>-35626</wp:posOffset>
            </wp:positionV>
            <wp:extent cx="7791459" cy="2450423"/>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2"/>
                    <a:stretch>
                      <a:fillRect/>
                    </a:stretch>
                  </pic:blipFill>
                  <pic:spPr>
                    <a:xfrm>
                      <a:off x="0" y="0"/>
                      <a:ext cx="7800892" cy="2453390"/>
                    </a:xfrm>
                    <a:prstGeom prst="rect">
                      <a:avLst/>
                    </a:prstGeom>
                  </pic:spPr>
                </pic:pic>
              </a:graphicData>
            </a:graphic>
            <wp14:sizeRelH relativeFrom="page">
              <wp14:pctWidth>0</wp14:pctWidth>
            </wp14:sizeRelH>
            <wp14:sizeRelV relativeFrom="page">
              <wp14:pctHeight>0</wp14:pctHeight>
            </wp14:sizeRelV>
          </wp:anchor>
        </w:drawing>
      </w:r>
      <w:r w:rsidR="004838B7" w:rsidRPr="00603981">
        <w:rPr>
          <w:noProof/>
        </w:rPr>
        <w:t xml:space="preserve"> </w:t>
      </w:r>
      <w:r w:rsidR="00984FB8" w:rsidRPr="00603981">
        <w:rPr>
          <w:noProof/>
          <w:lang w:eastAsia="en-AU"/>
        </w:rPr>
        <w:drawing>
          <wp:inline distT="0" distB="0" distL="0" distR="0" wp14:anchorId="360793E7" wp14:editId="449FA978">
            <wp:extent cx="2383155" cy="727075"/>
            <wp:effectExtent l="0" t="0" r="0" b="0"/>
            <wp:docPr id="2" name="Picture 2"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2383155" cy="727075"/>
                    </a:xfrm>
                    <a:prstGeom prst="rect">
                      <a:avLst/>
                    </a:prstGeom>
                  </pic:spPr>
                </pic:pic>
              </a:graphicData>
            </a:graphic>
          </wp:inline>
        </w:drawing>
      </w:r>
    </w:p>
    <w:p w14:paraId="4238F4CF" w14:textId="21C64C47" w:rsidR="00930CDA" w:rsidRPr="00603981" w:rsidRDefault="0062750F" w:rsidP="00C90260">
      <w:pPr>
        <w:pStyle w:val="Title"/>
        <w:spacing w:line="240" w:lineRule="auto"/>
        <w:ind w:left="1276"/>
        <w:rPr>
          <w:noProof/>
          <w:color w:val="404246"/>
          <w:lang w:eastAsia="en-AU"/>
        </w:rPr>
      </w:pPr>
      <w:r w:rsidRPr="00603981">
        <w:rPr>
          <w:noProof/>
          <w:color w:val="404246"/>
          <w:lang w:eastAsia="en-AU"/>
        </w:rPr>
        <w:t>Annexures to Certification Letter</w:t>
      </w:r>
      <w:r w:rsidRPr="00603981">
        <w:rPr>
          <w:noProof/>
          <w:color w:val="404246"/>
          <w:lang w:eastAsia="en-AU"/>
        </w:rPr>
        <w:br/>
      </w:r>
      <w:r w:rsidR="00646B10" w:rsidRPr="00603981">
        <w:rPr>
          <w:noProof/>
          <w:color w:val="404246"/>
          <w:lang w:eastAsia="en-AU"/>
        </w:rPr>
        <w:t>OBPR22-02409</w:t>
      </w:r>
    </w:p>
    <w:p w14:paraId="21863D74" w14:textId="69870D42" w:rsidR="00623AEF" w:rsidRPr="00603981" w:rsidRDefault="00646B10" w:rsidP="00623AEF">
      <w:pPr>
        <w:pStyle w:val="Subtitle"/>
        <w:spacing w:before="240"/>
        <w:ind w:left="1276"/>
        <w:rPr>
          <w:sz w:val="44"/>
          <w:szCs w:val="24"/>
          <w:lang w:eastAsia="en-AU"/>
        </w:rPr>
      </w:pPr>
      <w:r w:rsidRPr="00603981">
        <w:rPr>
          <w:sz w:val="44"/>
          <w:szCs w:val="24"/>
          <w:lang w:eastAsia="en-AU"/>
        </w:rPr>
        <w:t xml:space="preserve">Closing </w:t>
      </w:r>
      <w:r w:rsidR="00B06F61">
        <w:rPr>
          <w:sz w:val="44"/>
          <w:szCs w:val="24"/>
          <w:lang w:eastAsia="en-AU"/>
        </w:rPr>
        <w:t xml:space="preserve">the </w:t>
      </w:r>
      <w:r w:rsidRPr="00603981">
        <w:rPr>
          <w:sz w:val="44"/>
          <w:szCs w:val="24"/>
          <w:lang w:eastAsia="en-AU"/>
        </w:rPr>
        <w:t>labour hire loophole</w:t>
      </w:r>
      <w:r w:rsidR="00832EC1" w:rsidRPr="00603981">
        <w:rPr>
          <w:sz w:val="44"/>
          <w:szCs w:val="24"/>
          <w:lang w:eastAsia="en-AU"/>
        </w:rPr>
        <w:br/>
      </w:r>
      <w:r w:rsidR="00B06F61">
        <w:rPr>
          <w:sz w:val="36"/>
          <w:szCs w:val="20"/>
          <w:lang w:eastAsia="en-AU"/>
        </w:rPr>
        <w:t>August</w:t>
      </w:r>
      <w:r w:rsidR="00B06F61" w:rsidRPr="00603981">
        <w:rPr>
          <w:sz w:val="36"/>
          <w:szCs w:val="20"/>
          <w:lang w:eastAsia="en-AU"/>
        </w:rPr>
        <w:t xml:space="preserve"> </w:t>
      </w:r>
      <w:r w:rsidR="00832EC1" w:rsidRPr="00603981">
        <w:rPr>
          <w:sz w:val="36"/>
          <w:szCs w:val="20"/>
          <w:lang w:eastAsia="en-AU"/>
        </w:rPr>
        <w:t>2023</w:t>
      </w:r>
    </w:p>
    <w:p w14:paraId="15277A78" w14:textId="77777777" w:rsidR="00930CDA" w:rsidRPr="00603981" w:rsidRDefault="00930CDA" w:rsidP="0095636C">
      <w:r w:rsidRPr="00603981">
        <w:rPr>
          <w:noProof/>
          <w:lang w:eastAsia="en-AU"/>
        </w:rPr>
        <w:br w:type="page"/>
      </w:r>
    </w:p>
    <w:p w14:paraId="26921407" w14:textId="77777777" w:rsidR="002B1CE5" w:rsidRPr="00603981" w:rsidRDefault="002B1CE5" w:rsidP="002B1CE5">
      <w:pPr>
        <w:pStyle w:val="Title"/>
      </w:pPr>
      <w:r w:rsidRPr="00603981">
        <w:lastRenderedPageBreak/>
        <w:t>Title</w:t>
      </w:r>
    </w:p>
    <w:p w14:paraId="2906DCEE" w14:textId="77777777" w:rsidR="00646B10" w:rsidRPr="00603981" w:rsidRDefault="00646B10" w:rsidP="00053554">
      <w:bookmarkStart w:id="1" w:name="_Toc30065222"/>
    </w:p>
    <w:p w14:paraId="17226E0C" w14:textId="77777777" w:rsidR="00646B10" w:rsidRPr="00603981" w:rsidRDefault="00646B10" w:rsidP="00053554"/>
    <w:p w14:paraId="40C53F2B" w14:textId="77777777" w:rsidR="00646B10" w:rsidRPr="00603981" w:rsidRDefault="00646B10" w:rsidP="00053554"/>
    <w:p w14:paraId="49EEF32D" w14:textId="77777777" w:rsidR="00646B10" w:rsidRPr="00603981" w:rsidRDefault="00646B10" w:rsidP="00053554"/>
    <w:p w14:paraId="1DE5792E" w14:textId="77777777" w:rsidR="00646B10" w:rsidRPr="00603981" w:rsidRDefault="00646B10" w:rsidP="00053554"/>
    <w:p w14:paraId="05B32B8F" w14:textId="77777777" w:rsidR="00646B10" w:rsidRPr="00603981" w:rsidRDefault="00646B10" w:rsidP="00053554"/>
    <w:p w14:paraId="5E33977D" w14:textId="77777777" w:rsidR="00646B10" w:rsidRPr="00603981" w:rsidRDefault="00646B10" w:rsidP="00053554"/>
    <w:p w14:paraId="60BD5E77" w14:textId="77777777" w:rsidR="00646B10" w:rsidRPr="00603981" w:rsidRDefault="00646B10" w:rsidP="00053554"/>
    <w:p w14:paraId="6AC7C83D" w14:textId="77777777" w:rsidR="00646B10" w:rsidRPr="00603981" w:rsidRDefault="00646B10" w:rsidP="00053554"/>
    <w:p w14:paraId="4894A272" w14:textId="77777777" w:rsidR="00646B10" w:rsidRPr="00603981" w:rsidRDefault="00646B10" w:rsidP="00053554"/>
    <w:p w14:paraId="7E306399" w14:textId="77777777" w:rsidR="00646B10" w:rsidRPr="00603981" w:rsidRDefault="00646B10" w:rsidP="00053554"/>
    <w:p w14:paraId="773B5C2C" w14:textId="77777777" w:rsidR="00646B10" w:rsidRPr="00603981" w:rsidRDefault="00646B10" w:rsidP="00053554"/>
    <w:p w14:paraId="6F2C8D0A" w14:textId="77777777" w:rsidR="00646B10" w:rsidRPr="00603981" w:rsidRDefault="00646B10" w:rsidP="00053554"/>
    <w:p w14:paraId="7698647C" w14:textId="77777777" w:rsidR="00646B10" w:rsidRPr="00603981" w:rsidRDefault="00646B10" w:rsidP="00053554"/>
    <w:p w14:paraId="5FCC3DB8" w14:textId="77777777" w:rsidR="00646B10" w:rsidRPr="00603981" w:rsidRDefault="00646B10" w:rsidP="00053554"/>
    <w:p w14:paraId="7E45B518" w14:textId="77777777" w:rsidR="00646B10" w:rsidRPr="00603981" w:rsidRDefault="00646B10" w:rsidP="00053554"/>
    <w:p w14:paraId="0BC1F451" w14:textId="77777777" w:rsidR="00646B10" w:rsidRPr="00603981" w:rsidRDefault="00646B10" w:rsidP="00053554"/>
    <w:p w14:paraId="1C8DD446" w14:textId="77777777" w:rsidR="00646B10" w:rsidRPr="00603981" w:rsidRDefault="00646B10" w:rsidP="00053554"/>
    <w:p w14:paraId="576CF41C" w14:textId="0AE83D4C" w:rsidR="00053554" w:rsidRPr="00603981" w:rsidRDefault="00053554" w:rsidP="00053554">
      <w:r w:rsidRPr="00603981">
        <w:rPr>
          <w:noProof/>
          <w:lang w:eastAsia="en-AU"/>
        </w:rPr>
        <w:drawing>
          <wp:inline distT="0" distB="0" distL="0" distR="0" wp14:anchorId="6F51CAFE" wp14:editId="2FE56BBC">
            <wp:extent cx="847725" cy="285750"/>
            <wp:effectExtent l="0" t="0" r="9525" b="0"/>
            <wp:docPr id="5" name="Picture 5"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5" r:link="rId16"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09DDBE8D" w14:textId="77777777" w:rsidR="00053554" w:rsidRPr="00603981" w:rsidRDefault="00053554" w:rsidP="00053554">
      <w:r w:rsidRPr="00603981">
        <w:t xml:space="preserve">With the exception of the Commonwealth Coat of Arms, the Department’s logo, any material protected by a trade mark and where otherwise noted all material presented in this document is provided under a </w:t>
      </w:r>
      <w:hyperlink r:id="rId17" w:history="1">
        <w:r w:rsidRPr="00603981">
          <w:rPr>
            <w:rStyle w:val="Hyperlink"/>
          </w:rPr>
          <w:t>Creative Commons Attribution 4.0 International</w:t>
        </w:r>
      </w:hyperlink>
      <w:r w:rsidRPr="00603981">
        <w:t xml:space="preserve"> (https://creativecommons.org/licenses/by/4.0/) licence.</w:t>
      </w:r>
    </w:p>
    <w:p w14:paraId="1AE3DBAD" w14:textId="77777777" w:rsidR="00053554" w:rsidRPr="00603981" w:rsidRDefault="00053554" w:rsidP="00053554">
      <w:r w:rsidRPr="00603981">
        <w:t xml:space="preserve">The details of the relevant licence conditions are available on the Creative Commons website (accessible using the links provided) as is the full legal code for the </w:t>
      </w:r>
      <w:hyperlink r:id="rId18" w:history="1">
        <w:r w:rsidRPr="00603981">
          <w:rPr>
            <w:rStyle w:val="Hyperlink"/>
          </w:rPr>
          <w:t>CC BY 4.0 International</w:t>
        </w:r>
      </w:hyperlink>
      <w:r w:rsidRPr="00603981">
        <w:t xml:space="preserve"> (https://creativecommons.org/licenses/by/4.0/legalcode)</w:t>
      </w:r>
    </w:p>
    <w:p w14:paraId="1ACFAA15" w14:textId="3C6E7C17" w:rsidR="00EA67FC" w:rsidRPr="00603981" w:rsidRDefault="00053554" w:rsidP="00053554">
      <w:r w:rsidRPr="00603981">
        <w:t xml:space="preserve">The document must be attributed as </w:t>
      </w:r>
      <w:r w:rsidR="00832EC1" w:rsidRPr="00603981">
        <w:t xml:space="preserve">‘Annexures to Certification Letter OBPR22-02409: Closing </w:t>
      </w:r>
      <w:r w:rsidR="00B06F61">
        <w:t xml:space="preserve">the </w:t>
      </w:r>
      <w:r w:rsidR="00832EC1" w:rsidRPr="00603981">
        <w:t>labour hire loophole’</w:t>
      </w:r>
      <w:r w:rsidRPr="00603981">
        <w:t>.</w:t>
      </w:r>
      <w:r w:rsidR="00EA67FC" w:rsidRPr="00603981">
        <w:br w:type="page"/>
      </w:r>
    </w:p>
    <w:p w14:paraId="2BBCB76E" w14:textId="77777777" w:rsidR="007855CC" w:rsidRPr="00603981" w:rsidRDefault="007855CC" w:rsidP="007855CC">
      <w:pPr>
        <w:sectPr w:rsidR="007855CC" w:rsidRPr="00603981" w:rsidSect="00EA67FC">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01D5BB99" w14:textId="77777777" w:rsidR="007855CC" w:rsidRPr="00603981" w:rsidRDefault="007855CC" w:rsidP="007855CC">
          <w:pPr>
            <w:pStyle w:val="TOCHeading"/>
          </w:pPr>
          <w:r w:rsidRPr="00603981">
            <w:t>Contents</w:t>
          </w:r>
        </w:p>
        <w:p w14:paraId="4643B02F" w14:textId="264E13AA" w:rsidR="00412E0D" w:rsidRDefault="0095636C" w:rsidP="00412E0D">
          <w:pPr>
            <w:pStyle w:val="TOC1"/>
            <w:rPr>
              <w:rFonts w:eastAsiaTheme="minorEastAsia"/>
              <w:noProof/>
              <w:kern w:val="2"/>
              <w:lang w:eastAsia="en-AU"/>
              <w14:ligatures w14:val="standardContextual"/>
            </w:rPr>
          </w:pPr>
          <w:r w:rsidRPr="00603981">
            <w:rPr>
              <w:rFonts w:ascii="Calibri" w:eastAsiaTheme="majorEastAsia" w:hAnsi="Calibri" w:cstheme="majorBidi"/>
              <w:color w:val="343741"/>
              <w:sz w:val="32"/>
              <w:szCs w:val="32"/>
            </w:rPr>
            <w:fldChar w:fldCharType="begin"/>
          </w:r>
          <w:r w:rsidRPr="00603981">
            <w:rPr>
              <w:rFonts w:ascii="Calibri" w:eastAsiaTheme="majorEastAsia" w:hAnsi="Calibri" w:cstheme="majorBidi"/>
              <w:color w:val="343741"/>
              <w:sz w:val="32"/>
              <w:szCs w:val="32"/>
            </w:rPr>
            <w:instrText xml:space="preserve"> TOC \o "1-3" \h \z \u </w:instrText>
          </w:r>
          <w:r w:rsidRPr="00603981">
            <w:rPr>
              <w:rFonts w:ascii="Calibri" w:eastAsiaTheme="majorEastAsia" w:hAnsi="Calibri" w:cstheme="majorBidi"/>
              <w:color w:val="343741"/>
              <w:sz w:val="32"/>
              <w:szCs w:val="32"/>
            </w:rPr>
            <w:fldChar w:fldCharType="separate"/>
          </w:r>
          <w:hyperlink w:anchor="_Toc143696556" w:history="1">
            <w:r w:rsidR="00412E0D" w:rsidRPr="00B460B3">
              <w:rPr>
                <w:rStyle w:val="Hyperlink"/>
                <w:noProof/>
              </w:rPr>
              <w:t>ANNEXURE A</w:t>
            </w:r>
            <w:r w:rsidR="00412E0D">
              <w:rPr>
                <w:noProof/>
                <w:webHidden/>
              </w:rPr>
              <w:tab/>
            </w:r>
            <w:r w:rsidR="00412E0D">
              <w:rPr>
                <w:noProof/>
                <w:webHidden/>
              </w:rPr>
              <w:fldChar w:fldCharType="begin"/>
            </w:r>
            <w:r w:rsidR="00412E0D">
              <w:rPr>
                <w:noProof/>
                <w:webHidden/>
              </w:rPr>
              <w:instrText xml:space="preserve"> PAGEREF _Toc143696556 \h </w:instrText>
            </w:r>
            <w:r w:rsidR="00412E0D">
              <w:rPr>
                <w:noProof/>
                <w:webHidden/>
              </w:rPr>
            </w:r>
            <w:r w:rsidR="00412E0D">
              <w:rPr>
                <w:noProof/>
                <w:webHidden/>
              </w:rPr>
              <w:fldChar w:fldCharType="separate"/>
            </w:r>
            <w:r w:rsidR="0078258F">
              <w:rPr>
                <w:noProof/>
                <w:webHidden/>
              </w:rPr>
              <w:t>5</w:t>
            </w:r>
            <w:r w:rsidR="00412E0D">
              <w:rPr>
                <w:noProof/>
                <w:webHidden/>
              </w:rPr>
              <w:fldChar w:fldCharType="end"/>
            </w:r>
          </w:hyperlink>
        </w:p>
        <w:p w14:paraId="2DCADD88" w14:textId="6734C012" w:rsidR="00412E0D" w:rsidRDefault="008B2CF0">
          <w:pPr>
            <w:pStyle w:val="TOC2"/>
            <w:rPr>
              <w:rFonts w:eastAsiaTheme="minorEastAsia"/>
              <w:noProof/>
              <w:kern w:val="2"/>
              <w:lang w:eastAsia="en-AU"/>
              <w14:ligatures w14:val="standardContextual"/>
            </w:rPr>
          </w:pPr>
          <w:hyperlink w:anchor="_Toc143696557" w:history="1">
            <w:r w:rsidR="00412E0D" w:rsidRPr="00B460B3">
              <w:rPr>
                <w:rStyle w:val="Hyperlink"/>
                <w:noProof/>
              </w:rPr>
              <w:t>Summary of the Reviews</w:t>
            </w:r>
            <w:r w:rsidR="00412E0D">
              <w:rPr>
                <w:noProof/>
                <w:webHidden/>
              </w:rPr>
              <w:tab/>
            </w:r>
            <w:r w:rsidR="00412E0D">
              <w:rPr>
                <w:noProof/>
                <w:webHidden/>
              </w:rPr>
              <w:fldChar w:fldCharType="begin"/>
            </w:r>
            <w:r w:rsidR="00412E0D">
              <w:rPr>
                <w:noProof/>
                <w:webHidden/>
              </w:rPr>
              <w:instrText xml:space="preserve"> PAGEREF _Toc143696557 \h </w:instrText>
            </w:r>
            <w:r w:rsidR="00412E0D">
              <w:rPr>
                <w:noProof/>
                <w:webHidden/>
              </w:rPr>
            </w:r>
            <w:r w:rsidR="00412E0D">
              <w:rPr>
                <w:noProof/>
                <w:webHidden/>
              </w:rPr>
              <w:fldChar w:fldCharType="separate"/>
            </w:r>
            <w:r w:rsidR="0078258F">
              <w:rPr>
                <w:noProof/>
                <w:webHidden/>
              </w:rPr>
              <w:t>5</w:t>
            </w:r>
            <w:r w:rsidR="00412E0D">
              <w:rPr>
                <w:noProof/>
                <w:webHidden/>
              </w:rPr>
              <w:fldChar w:fldCharType="end"/>
            </w:r>
          </w:hyperlink>
        </w:p>
        <w:p w14:paraId="5AA177CE" w14:textId="7B829693" w:rsidR="00412E0D" w:rsidRDefault="008B2CF0">
          <w:pPr>
            <w:pStyle w:val="TOC3"/>
            <w:rPr>
              <w:rFonts w:eastAsiaTheme="minorEastAsia"/>
              <w:noProof/>
              <w:kern w:val="2"/>
              <w:lang w:eastAsia="en-AU"/>
              <w14:ligatures w14:val="standardContextual"/>
            </w:rPr>
          </w:pPr>
          <w:hyperlink w:anchor="_Toc143696558" w:history="1">
            <w:r w:rsidR="00412E0D" w:rsidRPr="00B460B3">
              <w:rPr>
                <w:rStyle w:val="Hyperlink"/>
                <w:noProof/>
              </w:rPr>
              <w:t>The Reviews</w:t>
            </w:r>
            <w:r w:rsidR="00412E0D">
              <w:rPr>
                <w:noProof/>
                <w:webHidden/>
              </w:rPr>
              <w:tab/>
            </w:r>
            <w:r w:rsidR="00412E0D">
              <w:rPr>
                <w:noProof/>
                <w:webHidden/>
              </w:rPr>
              <w:fldChar w:fldCharType="begin"/>
            </w:r>
            <w:r w:rsidR="00412E0D">
              <w:rPr>
                <w:noProof/>
                <w:webHidden/>
              </w:rPr>
              <w:instrText xml:space="preserve"> PAGEREF _Toc143696558 \h </w:instrText>
            </w:r>
            <w:r w:rsidR="00412E0D">
              <w:rPr>
                <w:noProof/>
                <w:webHidden/>
              </w:rPr>
            </w:r>
            <w:r w:rsidR="00412E0D">
              <w:rPr>
                <w:noProof/>
                <w:webHidden/>
              </w:rPr>
              <w:fldChar w:fldCharType="separate"/>
            </w:r>
            <w:r w:rsidR="0078258F">
              <w:rPr>
                <w:noProof/>
                <w:webHidden/>
              </w:rPr>
              <w:t>5</w:t>
            </w:r>
            <w:r w:rsidR="00412E0D">
              <w:rPr>
                <w:noProof/>
                <w:webHidden/>
              </w:rPr>
              <w:fldChar w:fldCharType="end"/>
            </w:r>
          </w:hyperlink>
        </w:p>
        <w:p w14:paraId="7F7E0C06" w14:textId="76F0D442" w:rsidR="00412E0D" w:rsidRDefault="008B2CF0">
          <w:pPr>
            <w:pStyle w:val="TOC3"/>
            <w:rPr>
              <w:rFonts w:eastAsiaTheme="minorEastAsia"/>
              <w:noProof/>
              <w:kern w:val="2"/>
              <w:lang w:eastAsia="en-AU"/>
              <w14:ligatures w14:val="standardContextual"/>
            </w:rPr>
          </w:pPr>
          <w:hyperlink w:anchor="_Toc143696559" w:history="1">
            <w:r w:rsidR="00412E0D" w:rsidRPr="00B460B3">
              <w:rPr>
                <w:rStyle w:val="Hyperlink"/>
                <w:noProof/>
              </w:rPr>
              <w:t>Victorian Inquiry Report</w:t>
            </w:r>
            <w:r w:rsidR="00412E0D">
              <w:rPr>
                <w:noProof/>
                <w:webHidden/>
              </w:rPr>
              <w:tab/>
            </w:r>
            <w:r w:rsidR="00412E0D">
              <w:rPr>
                <w:noProof/>
                <w:webHidden/>
              </w:rPr>
              <w:fldChar w:fldCharType="begin"/>
            </w:r>
            <w:r w:rsidR="00412E0D">
              <w:rPr>
                <w:noProof/>
                <w:webHidden/>
              </w:rPr>
              <w:instrText xml:space="preserve"> PAGEREF _Toc143696559 \h </w:instrText>
            </w:r>
            <w:r w:rsidR="00412E0D">
              <w:rPr>
                <w:noProof/>
                <w:webHidden/>
              </w:rPr>
            </w:r>
            <w:r w:rsidR="00412E0D">
              <w:rPr>
                <w:noProof/>
                <w:webHidden/>
              </w:rPr>
              <w:fldChar w:fldCharType="separate"/>
            </w:r>
            <w:r w:rsidR="0078258F">
              <w:rPr>
                <w:noProof/>
                <w:webHidden/>
              </w:rPr>
              <w:t>5</w:t>
            </w:r>
            <w:r w:rsidR="00412E0D">
              <w:rPr>
                <w:noProof/>
                <w:webHidden/>
              </w:rPr>
              <w:fldChar w:fldCharType="end"/>
            </w:r>
          </w:hyperlink>
        </w:p>
        <w:p w14:paraId="21A03B7E" w14:textId="3310A775" w:rsidR="00412E0D" w:rsidRDefault="008B2CF0">
          <w:pPr>
            <w:pStyle w:val="TOC3"/>
            <w:rPr>
              <w:rFonts w:eastAsiaTheme="minorEastAsia"/>
              <w:noProof/>
              <w:kern w:val="2"/>
              <w:lang w:eastAsia="en-AU"/>
              <w14:ligatures w14:val="standardContextual"/>
            </w:rPr>
          </w:pPr>
          <w:hyperlink w:anchor="_Toc143696560" w:history="1">
            <w:r w:rsidR="00412E0D" w:rsidRPr="00B460B3">
              <w:rPr>
                <w:rStyle w:val="Hyperlink"/>
                <w:noProof/>
              </w:rPr>
              <w:t>Third Interim Report</w:t>
            </w:r>
            <w:r w:rsidR="00412E0D">
              <w:rPr>
                <w:noProof/>
                <w:webHidden/>
              </w:rPr>
              <w:tab/>
            </w:r>
            <w:r w:rsidR="00412E0D">
              <w:rPr>
                <w:noProof/>
                <w:webHidden/>
              </w:rPr>
              <w:fldChar w:fldCharType="begin"/>
            </w:r>
            <w:r w:rsidR="00412E0D">
              <w:rPr>
                <w:noProof/>
                <w:webHidden/>
              </w:rPr>
              <w:instrText xml:space="preserve"> PAGEREF _Toc143696560 \h </w:instrText>
            </w:r>
            <w:r w:rsidR="00412E0D">
              <w:rPr>
                <w:noProof/>
                <w:webHidden/>
              </w:rPr>
            </w:r>
            <w:r w:rsidR="00412E0D">
              <w:rPr>
                <w:noProof/>
                <w:webHidden/>
              </w:rPr>
              <w:fldChar w:fldCharType="separate"/>
            </w:r>
            <w:r w:rsidR="0078258F">
              <w:rPr>
                <w:noProof/>
                <w:webHidden/>
              </w:rPr>
              <w:t>6</w:t>
            </w:r>
            <w:r w:rsidR="00412E0D">
              <w:rPr>
                <w:noProof/>
                <w:webHidden/>
              </w:rPr>
              <w:fldChar w:fldCharType="end"/>
            </w:r>
          </w:hyperlink>
        </w:p>
        <w:p w14:paraId="1B170740" w14:textId="72B1EA49" w:rsidR="00412E0D" w:rsidRDefault="008B2CF0">
          <w:pPr>
            <w:pStyle w:val="TOC3"/>
            <w:rPr>
              <w:rFonts w:eastAsiaTheme="minorEastAsia"/>
              <w:noProof/>
              <w:kern w:val="2"/>
              <w:lang w:eastAsia="en-AU"/>
              <w14:ligatures w14:val="standardContextual"/>
            </w:rPr>
          </w:pPr>
          <w:hyperlink w:anchor="_Toc143696561" w:history="1">
            <w:r w:rsidR="00412E0D" w:rsidRPr="00B460B3">
              <w:rPr>
                <w:rStyle w:val="Hyperlink"/>
                <w:noProof/>
              </w:rPr>
              <w:t>EPEW Report</w:t>
            </w:r>
            <w:r w:rsidR="00412E0D">
              <w:rPr>
                <w:noProof/>
                <w:webHidden/>
              </w:rPr>
              <w:tab/>
            </w:r>
            <w:r w:rsidR="00412E0D">
              <w:rPr>
                <w:noProof/>
                <w:webHidden/>
              </w:rPr>
              <w:fldChar w:fldCharType="begin"/>
            </w:r>
            <w:r w:rsidR="00412E0D">
              <w:rPr>
                <w:noProof/>
                <w:webHidden/>
              </w:rPr>
              <w:instrText xml:space="preserve"> PAGEREF _Toc143696561 \h </w:instrText>
            </w:r>
            <w:r w:rsidR="00412E0D">
              <w:rPr>
                <w:noProof/>
                <w:webHidden/>
              </w:rPr>
            </w:r>
            <w:r w:rsidR="00412E0D">
              <w:rPr>
                <w:noProof/>
                <w:webHidden/>
              </w:rPr>
              <w:fldChar w:fldCharType="separate"/>
            </w:r>
            <w:r w:rsidR="0078258F">
              <w:rPr>
                <w:noProof/>
                <w:webHidden/>
              </w:rPr>
              <w:t>6</w:t>
            </w:r>
            <w:r w:rsidR="00412E0D">
              <w:rPr>
                <w:noProof/>
                <w:webHidden/>
              </w:rPr>
              <w:fldChar w:fldCharType="end"/>
            </w:r>
          </w:hyperlink>
        </w:p>
        <w:p w14:paraId="5D7DD7BF" w14:textId="7DD955C8" w:rsidR="00412E0D" w:rsidRDefault="008B2CF0">
          <w:pPr>
            <w:pStyle w:val="TOC2"/>
            <w:rPr>
              <w:rFonts w:eastAsiaTheme="minorEastAsia"/>
              <w:noProof/>
              <w:kern w:val="2"/>
              <w:lang w:eastAsia="en-AU"/>
              <w14:ligatures w14:val="standardContextual"/>
            </w:rPr>
          </w:pPr>
          <w:hyperlink w:anchor="_Toc143696562" w:history="1">
            <w:r w:rsidR="00412E0D" w:rsidRPr="00B460B3">
              <w:rPr>
                <w:rStyle w:val="Hyperlink"/>
                <w:noProof/>
              </w:rPr>
              <w:t>Impact Analysis Question 1:  What is the problem you are trying to solve and what data is available?</w:t>
            </w:r>
            <w:r w:rsidR="00412E0D">
              <w:rPr>
                <w:noProof/>
                <w:webHidden/>
              </w:rPr>
              <w:tab/>
            </w:r>
            <w:r w:rsidR="00412E0D">
              <w:rPr>
                <w:noProof/>
                <w:webHidden/>
              </w:rPr>
              <w:fldChar w:fldCharType="begin"/>
            </w:r>
            <w:r w:rsidR="00412E0D">
              <w:rPr>
                <w:noProof/>
                <w:webHidden/>
              </w:rPr>
              <w:instrText xml:space="preserve"> PAGEREF _Toc143696562 \h </w:instrText>
            </w:r>
            <w:r w:rsidR="00412E0D">
              <w:rPr>
                <w:noProof/>
                <w:webHidden/>
              </w:rPr>
            </w:r>
            <w:r w:rsidR="00412E0D">
              <w:rPr>
                <w:noProof/>
                <w:webHidden/>
              </w:rPr>
              <w:fldChar w:fldCharType="separate"/>
            </w:r>
            <w:r w:rsidR="0078258F">
              <w:rPr>
                <w:noProof/>
                <w:webHidden/>
              </w:rPr>
              <w:t>7</w:t>
            </w:r>
            <w:r w:rsidR="00412E0D">
              <w:rPr>
                <w:noProof/>
                <w:webHidden/>
              </w:rPr>
              <w:fldChar w:fldCharType="end"/>
            </w:r>
          </w:hyperlink>
        </w:p>
        <w:p w14:paraId="3FCAAEC0" w14:textId="07804FF3" w:rsidR="00412E0D" w:rsidRDefault="008B2CF0">
          <w:pPr>
            <w:pStyle w:val="TOC3"/>
            <w:rPr>
              <w:rFonts w:eastAsiaTheme="minorEastAsia"/>
              <w:noProof/>
              <w:kern w:val="2"/>
              <w:lang w:eastAsia="en-AU"/>
              <w14:ligatures w14:val="standardContextual"/>
            </w:rPr>
          </w:pPr>
          <w:hyperlink w:anchor="_Toc143696563" w:history="1">
            <w:r w:rsidR="00412E0D" w:rsidRPr="00B460B3">
              <w:rPr>
                <w:rStyle w:val="Hyperlink"/>
                <w:noProof/>
              </w:rPr>
              <w:t>Victorian Inquiry Report</w:t>
            </w:r>
            <w:r w:rsidR="00412E0D">
              <w:rPr>
                <w:noProof/>
                <w:webHidden/>
              </w:rPr>
              <w:tab/>
            </w:r>
            <w:r w:rsidR="00412E0D">
              <w:rPr>
                <w:noProof/>
                <w:webHidden/>
              </w:rPr>
              <w:fldChar w:fldCharType="begin"/>
            </w:r>
            <w:r w:rsidR="00412E0D">
              <w:rPr>
                <w:noProof/>
                <w:webHidden/>
              </w:rPr>
              <w:instrText xml:space="preserve"> PAGEREF _Toc143696563 \h </w:instrText>
            </w:r>
            <w:r w:rsidR="00412E0D">
              <w:rPr>
                <w:noProof/>
                <w:webHidden/>
              </w:rPr>
            </w:r>
            <w:r w:rsidR="00412E0D">
              <w:rPr>
                <w:noProof/>
                <w:webHidden/>
              </w:rPr>
              <w:fldChar w:fldCharType="separate"/>
            </w:r>
            <w:r w:rsidR="0078258F">
              <w:rPr>
                <w:noProof/>
                <w:webHidden/>
              </w:rPr>
              <w:t>8</w:t>
            </w:r>
            <w:r w:rsidR="00412E0D">
              <w:rPr>
                <w:noProof/>
                <w:webHidden/>
              </w:rPr>
              <w:fldChar w:fldCharType="end"/>
            </w:r>
          </w:hyperlink>
        </w:p>
        <w:p w14:paraId="5D9ED8F6" w14:textId="534C85B6" w:rsidR="00412E0D" w:rsidRDefault="008B2CF0">
          <w:pPr>
            <w:pStyle w:val="TOC3"/>
            <w:rPr>
              <w:rFonts w:eastAsiaTheme="minorEastAsia"/>
              <w:noProof/>
              <w:kern w:val="2"/>
              <w:lang w:eastAsia="en-AU"/>
              <w14:ligatures w14:val="standardContextual"/>
            </w:rPr>
          </w:pPr>
          <w:hyperlink w:anchor="_Toc143696564" w:history="1">
            <w:r w:rsidR="00412E0D" w:rsidRPr="00B460B3">
              <w:rPr>
                <w:rStyle w:val="Hyperlink"/>
                <w:noProof/>
              </w:rPr>
              <w:t>Third Interim Report</w:t>
            </w:r>
            <w:r w:rsidR="00412E0D">
              <w:rPr>
                <w:noProof/>
                <w:webHidden/>
              </w:rPr>
              <w:tab/>
            </w:r>
            <w:r w:rsidR="00412E0D">
              <w:rPr>
                <w:noProof/>
                <w:webHidden/>
              </w:rPr>
              <w:fldChar w:fldCharType="begin"/>
            </w:r>
            <w:r w:rsidR="00412E0D">
              <w:rPr>
                <w:noProof/>
                <w:webHidden/>
              </w:rPr>
              <w:instrText xml:space="preserve"> PAGEREF _Toc143696564 \h </w:instrText>
            </w:r>
            <w:r w:rsidR="00412E0D">
              <w:rPr>
                <w:noProof/>
                <w:webHidden/>
              </w:rPr>
            </w:r>
            <w:r w:rsidR="00412E0D">
              <w:rPr>
                <w:noProof/>
                <w:webHidden/>
              </w:rPr>
              <w:fldChar w:fldCharType="separate"/>
            </w:r>
            <w:r w:rsidR="0078258F">
              <w:rPr>
                <w:noProof/>
                <w:webHidden/>
              </w:rPr>
              <w:t>8</w:t>
            </w:r>
            <w:r w:rsidR="00412E0D">
              <w:rPr>
                <w:noProof/>
                <w:webHidden/>
              </w:rPr>
              <w:fldChar w:fldCharType="end"/>
            </w:r>
          </w:hyperlink>
        </w:p>
        <w:p w14:paraId="31F62DB5" w14:textId="0CD821DD" w:rsidR="00412E0D" w:rsidRDefault="008B2CF0">
          <w:pPr>
            <w:pStyle w:val="TOC3"/>
            <w:rPr>
              <w:rFonts w:eastAsiaTheme="minorEastAsia"/>
              <w:noProof/>
              <w:kern w:val="2"/>
              <w:lang w:eastAsia="en-AU"/>
              <w14:ligatures w14:val="standardContextual"/>
            </w:rPr>
          </w:pPr>
          <w:hyperlink w:anchor="_Toc143696565" w:history="1">
            <w:r w:rsidR="00412E0D" w:rsidRPr="00B460B3">
              <w:rPr>
                <w:rStyle w:val="Hyperlink"/>
                <w:noProof/>
              </w:rPr>
              <w:t>EPEW Report</w:t>
            </w:r>
            <w:r w:rsidR="00412E0D">
              <w:rPr>
                <w:noProof/>
                <w:webHidden/>
              </w:rPr>
              <w:tab/>
            </w:r>
            <w:r w:rsidR="00412E0D">
              <w:rPr>
                <w:noProof/>
                <w:webHidden/>
              </w:rPr>
              <w:fldChar w:fldCharType="begin"/>
            </w:r>
            <w:r w:rsidR="00412E0D">
              <w:rPr>
                <w:noProof/>
                <w:webHidden/>
              </w:rPr>
              <w:instrText xml:space="preserve"> PAGEREF _Toc143696565 \h </w:instrText>
            </w:r>
            <w:r w:rsidR="00412E0D">
              <w:rPr>
                <w:noProof/>
                <w:webHidden/>
              </w:rPr>
            </w:r>
            <w:r w:rsidR="00412E0D">
              <w:rPr>
                <w:noProof/>
                <w:webHidden/>
              </w:rPr>
              <w:fldChar w:fldCharType="separate"/>
            </w:r>
            <w:r w:rsidR="0078258F">
              <w:rPr>
                <w:noProof/>
                <w:webHidden/>
              </w:rPr>
              <w:t>8</w:t>
            </w:r>
            <w:r w:rsidR="00412E0D">
              <w:rPr>
                <w:noProof/>
                <w:webHidden/>
              </w:rPr>
              <w:fldChar w:fldCharType="end"/>
            </w:r>
          </w:hyperlink>
        </w:p>
        <w:p w14:paraId="4C445883" w14:textId="0AAD99FE" w:rsidR="00412E0D" w:rsidRDefault="008B2CF0">
          <w:pPr>
            <w:pStyle w:val="TOC3"/>
            <w:rPr>
              <w:rFonts w:eastAsiaTheme="minorEastAsia"/>
              <w:noProof/>
              <w:kern w:val="2"/>
              <w:lang w:eastAsia="en-AU"/>
              <w14:ligatures w14:val="standardContextual"/>
            </w:rPr>
          </w:pPr>
          <w:hyperlink w:anchor="_Toc143696566" w:history="1">
            <w:r w:rsidR="00412E0D" w:rsidRPr="00B460B3">
              <w:rPr>
                <w:rStyle w:val="Hyperlink"/>
                <w:noProof/>
              </w:rPr>
              <w:t>Available data regarding the problem to be solved</w:t>
            </w:r>
            <w:r w:rsidR="00412E0D">
              <w:rPr>
                <w:noProof/>
                <w:webHidden/>
              </w:rPr>
              <w:tab/>
            </w:r>
            <w:r w:rsidR="00412E0D">
              <w:rPr>
                <w:noProof/>
                <w:webHidden/>
              </w:rPr>
              <w:fldChar w:fldCharType="begin"/>
            </w:r>
            <w:r w:rsidR="00412E0D">
              <w:rPr>
                <w:noProof/>
                <w:webHidden/>
              </w:rPr>
              <w:instrText xml:space="preserve"> PAGEREF _Toc143696566 \h </w:instrText>
            </w:r>
            <w:r w:rsidR="00412E0D">
              <w:rPr>
                <w:noProof/>
                <w:webHidden/>
              </w:rPr>
            </w:r>
            <w:r w:rsidR="00412E0D">
              <w:rPr>
                <w:noProof/>
                <w:webHidden/>
              </w:rPr>
              <w:fldChar w:fldCharType="separate"/>
            </w:r>
            <w:r w:rsidR="0078258F">
              <w:rPr>
                <w:noProof/>
                <w:webHidden/>
              </w:rPr>
              <w:t>8</w:t>
            </w:r>
            <w:r w:rsidR="00412E0D">
              <w:rPr>
                <w:noProof/>
                <w:webHidden/>
              </w:rPr>
              <w:fldChar w:fldCharType="end"/>
            </w:r>
          </w:hyperlink>
        </w:p>
        <w:p w14:paraId="750478AC" w14:textId="39ABE577" w:rsidR="00412E0D" w:rsidRDefault="008B2CF0">
          <w:pPr>
            <w:pStyle w:val="TOC2"/>
            <w:rPr>
              <w:rFonts w:eastAsiaTheme="minorEastAsia"/>
              <w:noProof/>
              <w:kern w:val="2"/>
              <w:lang w:eastAsia="en-AU"/>
              <w14:ligatures w14:val="standardContextual"/>
            </w:rPr>
          </w:pPr>
          <w:hyperlink w:anchor="_Toc143696567" w:history="1">
            <w:r w:rsidR="00412E0D" w:rsidRPr="00B460B3">
              <w:rPr>
                <w:rStyle w:val="Hyperlink"/>
                <w:noProof/>
              </w:rPr>
              <w:t>Impact Analysis Question 2:  Why is government action needed?</w:t>
            </w:r>
            <w:r w:rsidR="00412E0D">
              <w:rPr>
                <w:noProof/>
                <w:webHidden/>
              </w:rPr>
              <w:tab/>
            </w:r>
            <w:r w:rsidR="00412E0D">
              <w:rPr>
                <w:noProof/>
                <w:webHidden/>
              </w:rPr>
              <w:fldChar w:fldCharType="begin"/>
            </w:r>
            <w:r w:rsidR="00412E0D">
              <w:rPr>
                <w:noProof/>
                <w:webHidden/>
              </w:rPr>
              <w:instrText xml:space="preserve"> PAGEREF _Toc143696567 \h </w:instrText>
            </w:r>
            <w:r w:rsidR="00412E0D">
              <w:rPr>
                <w:noProof/>
                <w:webHidden/>
              </w:rPr>
            </w:r>
            <w:r w:rsidR="00412E0D">
              <w:rPr>
                <w:noProof/>
                <w:webHidden/>
              </w:rPr>
              <w:fldChar w:fldCharType="separate"/>
            </w:r>
            <w:r w:rsidR="0078258F">
              <w:rPr>
                <w:noProof/>
                <w:webHidden/>
              </w:rPr>
              <w:t>11</w:t>
            </w:r>
            <w:r w:rsidR="00412E0D">
              <w:rPr>
                <w:noProof/>
                <w:webHidden/>
              </w:rPr>
              <w:fldChar w:fldCharType="end"/>
            </w:r>
          </w:hyperlink>
        </w:p>
        <w:p w14:paraId="47964B94" w14:textId="0C9616F7" w:rsidR="00412E0D" w:rsidRDefault="008B2CF0">
          <w:pPr>
            <w:pStyle w:val="TOC3"/>
            <w:rPr>
              <w:rFonts w:eastAsiaTheme="minorEastAsia"/>
              <w:noProof/>
              <w:kern w:val="2"/>
              <w:lang w:eastAsia="en-AU"/>
              <w14:ligatures w14:val="standardContextual"/>
            </w:rPr>
          </w:pPr>
          <w:hyperlink w:anchor="_Toc143696568" w:history="1">
            <w:r w:rsidR="00412E0D" w:rsidRPr="00B460B3">
              <w:rPr>
                <w:rStyle w:val="Hyperlink"/>
                <w:noProof/>
              </w:rPr>
              <w:t>Victorian Inquiry Report</w:t>
            </w:r>
            <w:r w:rsidR="00412E0D">
              <w:rPr>
                <w:noProof/>
                <w:webHidden/>
              </w:rPr>
              <w:tab/>
            </w:r>
            <w:r w:rsidR="00412E0D">
              <w:rPr>
                <w:noProof/>
                <w:webHidden/>
              </w:rPr>
              <w:fldChar w:fldCharType="begin"/>
            </w:r>
            <w:r w:rsidR="00412E0D">
              <w:rPr>
                <w:noProof/>
                <w:webHidden/>
              </w:rPr>
              <w:instrText xml:space="preserve"> PAGEREF _Toc143696568 \h </w:instrText>
            </w:r>
            <w:r w:rsidR="00412E0D">
              <w:rPr>
                <w:noProof/>
                <w:webHidden/>
              </w:rPr>
            </w:r>
            <w:r w:rsidR="00412E0D">
              <w:rPr>
                <w:noProof/>
                <w:webHidden/>
              </w:rPr>
              <w:fldChar w:fldCharType="separate"/>
            </w:r>
            <w:r w:rsidR="0078258F">
              <w:rPr>
                <w:noProof/>
                <w:webHidden/>
              </w:rPr>
              <w:t>11</w:t>
            </w:r>
            <w:r w:rsidR="00412E0D">
              <w:rPr>
                <w:noProof/>
                <w:webHidden/>
              </w:rPr>
              <w:fldChar w:fldCharType="end"/>
            </w:r>
          </w:hyperlink>
        </w:p>
        <w:p w14:paraId="6BDE5896" w14:textId="7AA23E8C" w:rsidR="00412E0D" w:rsidRDefault="008B2CF0">
          <w:pPr>
            <w:pStyle w:val="TOC3"/>
            <w:rPr>
              <w:rFonts w:eastAsiaTheme="minorEastAsia"/>
              <w:noProof/>
              <w:kern w:val="2"/>
              <w:lang w:eastAsia="en-AU"/>
              <w14:ligatures w14:val="standardContextual"/>
            </w:rPr>
          </w:pPr>
          <w:hyperlink w:anchor="_Toc143696569" w:history="1">
            <w:r w:rsidR="00412E0D" w:rsidRPr="00B460B3">
              <w:rPr>
                <w:rStyle w:val="Hyperlink"/>
                <w:noProof/>
              </w:rPr>
              <w:t>Third Interim Report</w:t>
            </w:r>
            <w:r w:rsidR="00412E0D">
              <w:rPr>
                <w:noProof/>
                <w:webHidden/>
              </w:rPr>
              <w:tab/>
            </w:r>
            <w:r w:rsidR="00412E0D">
              <w:rPr>
                <w:noProof/>
                <w:webHidden/>
              </w:rPr>
              <w:fldChar w:fldCharType="begin"/>
            </w:r>
            <w:r w:rsidR="00412E0D">
              <w:rPr>
                <w:noProof/>
                <w:webHidden/>
              </w:rPr>
              <w:instrText xml:space="preserve"> PAGEREF _Toc143696569 \h </w:instrText>
            </w:r>
            <w:r w:rsidR="00412E0D">
              <w:rPr>
                <w:noProof/>
                <w:webHidden/>
              </w:rPr>
            </w:r>
            <w:r w:rsidR="00412E0D">
              <w:rPr>
                <w:noProof/>
                <w:webHidden/>
              </w:rPr>
              <w:fldChar w:fldCharType="separate"/>
            </w:r>
            <w:r w:rsidR="0078258F">
              <w:rPr>
                <w:noProof/>
                <w:webHidden/>
              </w:rPr>
              <w:t>11</w:t>
            </w:r>
            <w:r w:rsidR="00412E0D">
              <w:rPr>
                <w:noProof/>
                <w:webHidden/>
              </w:rPr>
              <w:fldChar w:fldCharType="end"/>
            </w:r>
          </w:hyperlink>
        </w:p>
        <w:p w14:paraId="4BF95AF1" w14:textId="5481982E" w:rsidR="00412E0D" w:rsidRDefault="008B2CF0">
          <w:pPr>
            <w:pStyle w:val="TOC3"/>
            <w:rPr>
              <w:rFonts w:eastAsiaTheme="minorEastAsia"/>
              <w:noProof/>
              <w:kern w:val="2"/>
              <w:lang w:eastAsia="en-AU"/>
              <w14:ligatures w14:val="standardContextual"/>
            </w:rPr>
          </w:pPr>
          <w:hyperlink w:anchor="_Toc143696570" w:history="1">
            <w:r w:rsidR="00412E0D" w:rsidRPr="00B460B3">
              <w:rPr>
                <w:rStyle w:val="Hyperlink"/>
                <w:noProof/>
              </w:rPr>
              <w:t>EPEW Report</w:t>
            </w:r>
            <w:r w:rsidR="00412E0D">
              <w:rPr>
                <w:noProof/>
                <w:webHidden/>
              </w:rPr>
              <w:tab/>
            </w:r>
            <w:r w:rsidR="00412E0D">
              <w:rPr>
                <w:noProof/>
                <w:webHidden/>
              </w:rPr>
              <w:fldChar w:fldCharType="begin"/>
            </w:r>
            <w:r w:rsidR="00412E0D">
              <w:rPr>
                <w:noProof/>
                <w:webHidden/>
              </w:rPr>
              <w:instrText xml:space="preserve"> PAGEREF _Toc143696570 \h </w:instrText>
            </w:r>
            <w:r w:rsidR="00412E0D">
              <w:rPr>
                <w:noProof/>
                <w:webHidden/>
              </w:rPr>
            </w:r>
            <w:r w:rsidR="00412E0D">
              <w:rPr>
                <w:noProof/>
                <w:webHidden/>
              </w:rPr>
              <w:fldChar w:fldCharType="separate"/>
            </w:r>
            <w:r w:rsidR="0078258F">
              <w:rPr>
                <w:noProof/>
                <w:webHidden/>
              </w:rPr>
              <w:t>12</w:t>
            </w:r>
            <w:r w:rsidR="00412E0D">
              <w:rPr>
                <w:noProof/>
                <w:webHidden/>
              </w:rPr>
              <w:fldChar w:fldCharType="end"/>
            </w:r>
          </w:hyperlink>
        </w:p>
        <w:p w14:paraId="3822B17C" w14:textId="4F7FE520" w:rsidR="00412E0D" w:rsidRDefault="008B2CF0">
          <w:pPr>
            <w:pStyle w:val="TOC3"/>
            <w:rPr>
              <w:rFonts w:eastAsiaTheme="minorEastAsia"/>
              <w:noProof/>
              <w:kern w:val="2"/>
              <w:lang w:eastAsia="en-AU"/>
              <w14:ligatures w14:val="standardContextual"/>
            </w:rPr>
          </w:pPr>
          <w:hyperlink w:anchor="_Toc143696571" w:history="1">
            <w:r w:rsidR="00412E0D" w:rsidRPr="00B460B3">
              <w:rPr>
                <w:rStyle w:val="Hyperlink"/>
                <w:noProof/>
              </w:rPr>
              <w:t>The need for Government action</w:t>
            </w:r>
            <w:r w:rsidR="00412E0D">
              <w:rPr>
                <w:noProof/>
                <w:webHidden/>
              </w:rPr>
              <w:tab/>
            </w:r>
            <w:r w:rsidR="00412E0D">
              <w:rPr>
                <w:noProof/>
                <w:webHidden/>
              </w:rPr>
              <w:fldChar w:fldCharType="begin"/>
            </w:r>
            <w:r w:rsidR="00412E0D">
              <w:rPr>
                <w:noProof/>
                <w:webHidden/>
              </w:rPr>
              <w:instrText xml:space="preserve"> PAGEREF _Toc143696571 \h </w:instrText>
            </w:r>
            <w:r w:rsidR="00412E0D">
              <w:rPr>
                <w:noProof/>
                <w:webHidden/>
              </w:rPr>
            </w:r>
            <w:r w:rsidR="00412E0D">
              <w:rPr>
                <w:noProof/>
                <w:webHidden/>
              </w:rPr>
              <w:fldChar w:fldCharType="separate"/>
            </w:r>
            <w:r w:rsidR="0078258F">
              <w:rPr>
                <w:noProof/>
                <w:webHidden/>
              </w:rPr>
              <w:t>12</w:t>
            </w:r>
            <w:r w:rsidR="00412E0D">
              <w:rPr>
                <w:noProof/>
                <w:webHidden/>
              </w:rPr>
              <w:fldChar w:fldCharType="end"/>
            </w:r>
          </w:hyperlink>
        </w:p>
        <w:p w14:paraId="25FFA509" w14:textId="42BAB6CE" w:rsidR="00412E0D" w:rsidRDefault="008B2CF0">
          <w:pPr>
            <w:pStyle w:val="TOC2"/>
            <w:rPr>
              <w:rFonts w:eastAsiaTheme="minorEastAsia"/>
              <w:noProof/>
              <w:kern w:val="2"/>
              <w:lang w:eastAsia="en-AU"/>
              <w14:ligatures w14:val="standardContextual"/>
            </w:rPr>
          </w:pPr>
          <w:hyperlink w:anchor="_Toc143696572" w:history="1">
            <w:r w:rsidR="00412E0D" w:rsidRPr="00B460B3">
              <w:rPr>
                <w:rStyle w:val="Hyperlink"/>
                <w:noProof/>
              </w:rPr>
              <w:t>Impact Analysis Question 3: What policy options are you considering?</w:t>
            </w:r>
            <w:r w:rsidR="00412E0D">
              <w:rPr>
                <w:noProof/>
                <w:webHidden/>
              </w:rPr>
              <w:tab/>
            </w:r>
            <w:r w:rsidR="00412E0D">
              <w:rPr>
                <w:noProof/>
                <w:webHidden/>
              </w:rPr>
              <w:fldChar w:fldCharType="begin"/>
            </w:r>
            <w:r w:rsidR="00412E0D">
              <w:rPr>
                <w:noProof/>
                <w:webHidden/>
              </w:rPr>
              <w:instrText xml:space="preserve"> PAGEREF _Toc143696572 \h </w:instrText>
            </w:r>
            <w:r w:rsidR="00412E0D">
              <w:rPr>
                <w:noProof/>
                <w:webHidden/>
              </w:rPr>
            </w:r>
            <w:r w:rsidR="00412E0D">
              <w:rPr>
                <w:noProof/>
                <w:webHidden/>
              </w:rPr>
              <w:fldChar w:fldCharType="separate"/>
            </w:r>
            <w:r w:rsidR="0078258F">
              <w:rPr>
                <w:noProof/>
                <w:webHidden/>
              </w:rPr>
              <w:t>12</w:t>
            </w:r>
            <w:r w:rsidR="00412E0D">
              <w:rPr>
                <w:noProof/>
                <w:webHidden/>
              </w:rPr>
              <w:fldChar w:fldCharType="end"/>
            </w:r>
          </w:hyperlink>
        </w:p>
        <w:p w14:paraId="5B6B0C94" w14:textId="7FED69E5" w:rsidR="00412E0D" w:rsidRDefault="008B2CF0">
          <w:pPr>
            <w:pStyle w:val="TOC3"/>
            <w:rPr>
              <w:rFonts w:eastAsiaTheme="minorEastAsia"/>
              <w:noProof/>
              <w:kern w:val="2"/>
              <w:lang w:eastAsia="en-AU"/>
              <w14:ligatures w14:val="standardContextual"/>
            </w:rPr>
          </w:pPr>
          <w:hyperlink w:anchor="_Toc143696573" w:history="1">
            <w:r w:rsidR="00412E0D" w:rsidRPr="00B460B3">
              <w:rPr>
                <w:rStyle w:val="Hyperlink"/>
                <w:noProof/>
              </w:rPr>
              <w:t>When the measure is activated</w:t>
            </w:r>
            <w:r w:rsidR="00412E0D">
              <w:rPr>
                <w:noProof/>
                <w:webHidden/>
              </w:rPr>
              <w:tab/>
            </w:r>
            <w:r w:rsidR="00412E0D">
              <w:rPr>
                <w:noProof/>
                <w:webHidden/>
              </w:rPr>
              <w:fldChar w:fldCharType="begin"/>
            </w:r>
            <w:r w:rsidR="00412E0D">
              <w:rPr>
                <w:noProof/>
                <w:webHidden/>
              </w:rPr>
              <w:instrText xml:space="preserve"> PAGEREF _Toc143696573 \h </w:instrText>
            </w:r>
            <w:r w:rsidR="00412E0D">
              <w:rPr>
                <w:noProof/>
                <w:webHidden/>
              </w:rPr>
            </w:r>
            <w:r w:rsidR="00412E0D">
              <w:rPr>
                <w:noProof/>
                <w:webHidden/>
              </w:rPr>
              <w:fldChar w:fldCharType="separate"/>
            </w:r>
            <w:r w:rsidR="0078258F">
              <w:rPr>
                <w:noProof/>
                <w:webHidden/>
              </w:rPr>
              <w:t>13</w:t>
            </w:r>
            <w:r w:rsidR="00412E0D">
              <w:rPr>
                <w:noProof/>
                <w:webHidden/>
              </w:rPr>
              <w:fldChar w:fldCharType="end"/>
            </w:r>
          </w:hyperlink>
        </w:p>
        <w:p w14:paraId="34CE8074" w14:textId="0D7BB241" w:rsidR="00412E0D" w:rsidRDefault="008B2CF0">
          <w:pPr>
            <w:pStyle w:val="TOC3"/>
            <w:rPr>
              <w:rFonts w:eastAsiaTheme="minorEastAsia"/>
              <w:noProof/>
              <w:kern w:val="2"/>
              <w:lang w:eastAsia="en-AU"/>
              <w14:ligatures w14:val="standardContextual"/>
            </w:rPr>
          </w:pPr>
          <w:hyperlink w:anchor="_Toc143696574" w:history="1">
            <w:r w:rsidR="00412E0D" w:rsidRPr="00B460B3">
              <w:rPr>
                <w:rStyle w:val="Hyperlink"/>
                <w:noProof/>
              </w:rPr>
              <w:t>What happens when an order is made</w:t>
            </w:r>
            <w:r w:rsidR="00412E0D">
              <w:rPr>
                <w:noProof/>
                <w:webHidden/>
              </w:rPr>
              <w:tab/>
            </w:r>
            <w:r w:rsidR="00412E0D">
              <w:rPr>
                <w:noProof/>
                <w:webHidden/>
              </w:rPr>
              <w:fldChar w:fldCharType="begin"/>
            </w:r>
            <w:r w:rsidR="00412E0D">
              <w:rPr>
                <w:noProof/>
                <w:webHidden/>
              </w:rPr>
              <w:instrText xml:space="preserve"> PAGEREF _Toc143696574 \h </w:instrText>
            </w:r>
            <w:r w:rsidR="00412E0D">
              <w:rPr>
                <w:noProof/>
                <w:webHidden/>
              </w:rPr>
            </w:r>
            <w:r w:rsidR="00412E0D">
              <w:rPr>
                <w:noProof/>
                <w:webHidden/>
              </w:rPr>
              <w:fldChar w:fldCharType="separate"/>
            </w:r>
            <w:r w:rsidR="0078258F">
              <w:rPr>
                <w:noProof/>
                <w:webHidden/>
              </w:rPr>
              <w:t>13</w:t>
            </w:r>
            <w:r w:rsidR="00412E0D">
              <w:rPr>
                <w:noProof/>
                <w:webHidden/>
              </w:rPr>
              <w:fldChar w:fldCharType="end"/>
            </w:r>
          </w:hyperlink>
        </w:p>
        <w:p w14:paraId="7122B130" w14:textId="00F2CB96" w:rsidR="00412E0D" w:rsidRDefault="008B2CF0">
          <w:pPr>
            <w:pStyle w:val="TOC3"/>
            <w:rPr>
              <w:rFonts w:eastAsiaTheme="minorEastAsia"/>
              <w:noProof/>
              <w:kern w:val="2"/>
              <w:lang w:eastAsia="en-AU"/>
              <w14:ligatures w14:val="standardContextual"/>
            </w:rPr>
          </w:pPr>
          <w:hyperlink w:anchor="_Toc143696575" w:history="1">
            <w:r w:rsidR="00412E0D" w:rsidRPr="00B460B3">
              <w:rPr>
                <w:rStyle w:val="Hyperlink"/>
                <w:noProof/>
              </w:rPr>
              <w:t>How are disputes resolved</w:t>
            </w:r>
            <w:r w:rsidR="00412E0D">
              <w:rPr>
                <w:noProof/>
                <w:webHidden/>
              </w:rPr>
              <w:tab/>
            </w:r>
            <w:r w:rsidR="00412E0D">
              <w:rPr>
                <w:noProof/>
                <w:webHidden/>
              </w:rPr>
              <w:fldChar w:fldCharType="begin"/>
            </w:r>
            <w:r w:rsidR="00412E0D">
              <w:rPr>
                <w:noProof/>
                <w:webHidden/>
              </w:rPr>
              <w:instrText xml:space="preserve"> PAGEREF _Toc143696575 \h </w:instrText>
            </w:r>
            <w:r w:rsidR="00412E0D">
              <w:rPr>
                <w:noProof/>
                <w:webHidden/>
              </w:rPr>
            </w:r>
            <w:r w:rsidR="00412E0D">
              <w:rPr>
                <w:noProof/>
                <w:webHidden/>
              </w:rPr>
              <w:fldChar w:fldCharType="separate"/>
            </w:r>
            <w:r w:rsidR="0078258F">
              <w:rPr>
                <w:noProof/>
                <w:webHidden/>
              </w:rPr>
              <w:t>14</w:t>
            </w:r>
            <w:r w:rsidR="00412E0D">
              <w:rPr>
                <w:noProof/>
                <w:webHidden/>
              </w:rPr>
              <w:fldChar w:fldCharType="end"/>
            </w:r>
          </w:hyperlink>
        </w:p>
        <w:p w14:paraId="5AF4707A" w14:textId="247248E5" w:rsidR="00412E0D" w:rsidRDefault="008B2CF0" w:rsidP="00412E0D">
          <w:pPr>
            <w:pStyle w:val="TOC1"/>
            <w:rPr>
              <w:rFonts w:eastAsiaTheme="minorEastAsia"/>
              <w:noProof/>
              <w:kern w:val="2"/>
              <w:lang w:eastAsia="en-AU"/>
              <w14:ligatures w14:val="standardContextual"/>
            </w:rPr>
          </w:pPr>
          <w:hyperlink w:anchor="_Toc143696576" w:history="1">
            <w:r w:rsidR="00412E0D" w:rsidRPr="00B460B3">
              <w:rPr>
                <w:rStyle w:val="Hyperlink"/>
                <w:noProof/>
              </w:rPr>
              <w:t>ANNEXURE B</w:t>
            </w:r>
            <w:r w:rsidR="00412E0D">
              <w:rPr>
                <w:noProof/>
                <w:webHidden/>
              </w:rPr>
              <w:tab/>
            </w:r>
            <w:r w:rsidR="00412E0D">
              <w:rPr>
                <w:noProof/>
                <w:webHidden/>
              </w:rPr>
              <w:fldChar w:fldCharType="begin"/>
            </w:r>
            <w:r w:rsidR="00412E0D">
              <w:rPr>
                <w:noProof/>
                <w:webHidden/>
              </w:rPr>
              <w:instrText xml:space="preserve"> PAGEREF _Toc143696576 \h </w:instrText>
            </w:r>
            <w:r w:rsidR="00412E0D">
              <w:rPr>
                <w:noProof/>
                <w:webHidden/>
              </w:rPr>
            </w:r>
            <w:r w:rsidR="00412E0D">
              <w:rPr>
                <w:noProof/>
                <w:webHidden/>
              </w:rPr>
              <w:fldChar w:fldCharType="separate"/>
            </w:r>
            <w:r w:rsidR="0078258F">
              <w:rPr>
                <w:noProof/>
                <w:webHidden/>
              </w:rPr>
              <w:t>15</w:t>
            </w:r>
            <w:r w:rsidR="00412E0D">
              <w:rPr>
                <w:noProof/>
                <w:webHidden/>
              </w:rPr>
              <w:fldChar w:fldCharType="end"/>
            </w:r>
          </w:hyperlink>
        </w:p>
        <w:p w14:paraId="6E8BE3D7" w14:textId="30192FB8" w:rsidR="00412E0D" w:rsidRDefault="008B2CF0">
          <w:pPr>
            <w:pStyle w:val="TOC2"/>
            <w:rPr>
              <w:rFonts w:eastAsiaTheme="minorEastAsia"/>
              <w:noProof/>
              <w:kern w:val="2"/>
              <w:lang w:eastAsia="en-AU"/>
              <w14:ligatures w14:val="standardContextual"/>
            </w:rPr>
          </w:pPr>
          <w:hyperlink w:anchor="_Toc143696577" w:history="1">
            <w:r w:rsidR="00412E0D" w:rsidRPr="00B460B3">
              <w:rPr>
                <w:rStyle w:val="Hyperlink"/>
                <w:noProof/>
              </w:rPr>
              <w:t>Impact Analysis Question 4:  What is the likely net benefit of each option?</w:t>
            </w:r>
            <w:r w:rsidR="00412E0D">
              <w:rPr>
                <w:noProof/>
                <w:webHidden/>
              </w:rPr>
              <w:tab/>
            </w:r>
            <w:r w:rsidR="00412E0D">
              <w:rPr>
                <w:noProof/>
                <w:webHidden/>
              </w:rPr>
              <w:fldChar w:fldCharType="begin"/>
            </w:r>
            <w:r w:rsidR="00412E0D">
              <w:rPr>
                <w:noProof/>
                <w:webHidden/>
              </w:rPr>
              <w:instrText xml:space="preserve"> PAGEREF _Toc143696577 \h </w:instrText>
            </w:r>
            <w:r w:rsidR="00412E0D">
              <w:rPr>
                <w:noProof/>
                <w:webHidden/>
              </w:rPr>
            </w:r>
            <w:r w:rsidR="00412E0D">
              <w:rPr>
                <w:noProof/>
                <w:webHidden/>
              </w:rPr>
              <w:fldChar w:fldCharType="separate"/>
            </w:r>
            <w:r w:rsidR="0078258F">
              <w:rPr>
                <w:noProof/>
                <w:webHidden/>
              </w:rPr>
              <w:t>15</w:t>
            </w:r>
            <w:r w:rsidR="00412E0D">
              <w:rPr>
                <w:noProof/>
                <w:webHidden/>
              </w:rPr>
              <w:fldChar w:fldCharType="end"/>
            </w:r>
          </w:hyperlink>
        </w:p>
        <w:p w14:paraId="07B0A20D" w14:textId="620A1444" w:rsidR="00412E0D" w:rsidRDefault="008B2CF0">
          <w:pPr>
            <w:pStyle w:val="TOC3"/>
            <w:rPr>
              <w:rFonts w:eastAsiaTheme="minorEastAsia"/>
              <w:noProof/>
              <w:kern w:val="2"/>
              <w:lang w:eastAsia="en-AU"/>
              <w14:ligatures w14:val="standardContextual"/>
            </w:rPr>
          </w:pPr>
          <w:hyperlink w:anchor="_Toc143696578" w:history="1">
            <w:r w:rsidR="00412E0D" w:rsidRPr="00B460B3">
              <w:rPr>
                <w:rStyle w:val="Hyperlink"/>
                <w:noProof/>
              </w:rPr>
              <w:t>Option 1 – Legislate a ‘Closing the labour hire loophole’ measure</w:t>
            </w:r>
            <w:r w:rsidR="00412E0D">
              <w:rPr>
                <w:noProof/>
                <w:webHidden/>
              </w:rPr>
              <w:tab/>
            </w:r>
            <w:r w:rsidR="00412E0D">
              <w:rPr>
                <w:noProof/>
                <w:webHidden/>
              </w:rPr>
              <w:fldChar w:fldCharType="begin"/>
            </w:r>
            <w:r w:rsidR="00412E0D">
              <w:rPr>
                <w:noProof/>
                <w:webHidden/>
              </w:rPr>
              <w:instrText xml:space="preserve"> PAGEREF _Toc143696578 \h </w:instrText>
            </w:r>
            <w:r w:rsidR="00412E0D">
              <w:rPr>
                <w:noProof/>
                <w:webHidden/>
              </w:rPr>
            </w:r>
            <w:r w:rsidR="00412E0D">
              <w:rPr>
                <w:noProof/>
                <w:webHidden/>
              </w:rPr>
              <w:fldChar w:fldCharType="separate"/>
            </w:r>
            <w:r w:rsidR="0078258F">
              <w:rPr>
                <w:noProof/>
                <w:webHidden/>
              </w:rPr>
              <w:t>16</w:t>
            </w:r>
            <w:r w:rsidR="00412E0D">
              <w:rPr>
                <w:noProof/>
                <w:webHidden/>
              </w:rPr>
              <w:fldChar w:fldCharType="end"/>
            </w:r>
          </w:hyperlink>
        </w:p>
        <w:p w14:paraId="1E45726A" w14:textId="37F15668" w:rsidR="00412E0D" w:rsidRDefault="008B2CF0">
          <w:pPr>
            <w:pStyle w:val="TOC3"/>
            <w:rPr>
              <w:rFonts w:eastAsiaTheme="minorEastAsia"/>
              <w:noProof/>
              <w:kern w:val="2"/>
              <w:lang w:eastAsia="en-AU"/>
              <w14:ligatures w14:val="standardContextual"/>
            </w:rPr>
          </w:pPr>
          <w:hyperlink w:anchor="_Toc143696579" w:history="1">
            <w:r w:rsidR="00412E0D" w:rsidRPr="00B460B3">
              <w:rPr>
                <w:rStyle w:val="Hyperlink"/>
                <w:noProof/>
              </w:rPr>
              <w:t>Option 2 – Maintain the status quo</w:t>
            </w:r>
            <w:r w:rsidR="00412E0D">
              <w:rPr>
                <w:noProof/>
                <w:webHidden/>
              </w:rPr>
              <w:tab/>
            </w:r>
            <w:r w:rsidR="00412E0D">
              <w:rPr>
                <w:noProof/>
                <w:webHidden/>
              </w:rPr>
              <w:fldChar w:fldCharType="begin"/>
            </w:r>
            <w:r w:rsidR="00412E0D">
              <w:rPr>
                <w:noProof/>
                <w:webHidden/>
              </w:rPr>
              <w:instrText xml:space="preserve"> PAGEREF _Toc143696579 \h </w:instrText>
            </w:r>
            <w:r w:rsidR="00412E0D">
              <w:rPr>
                <w:noProof/>
                <w:webHidden/>
              </w:rPr>
            </w:r>
            <w:r w:rsidR="00412E0D">
              <w:rPr>
                <w:noProof/>
                <w:webHidden/>
              </w:rPr>
              <w:fldChar w:fldCharType="separate"/>
            </w:r>
            <w:r w:rsidR="0078258F">
              <w:rPr>
                <w:noProof/>
                <w:webHidden/>
              </w:rPr>
              <w:t>28</w:t>
            </w:r>
            <w:r w:rsidR="00412E0D">
              <w:rPr>
                <w:noProof/>
                <w:webHidden/>
              </w:rPr>
              <w:fldChar w:fldCharType="end"/>
            </w:r>
          </w:hyperlink>
        </w:p>
        <w:p w14:paraId="69430DFE" w14:textId="6DBFD785" w:rsidR="00412E0D" w:rsidRDefault="008B2CF0">
          <w:pPr>
            <w:pStyle w:val="TOC3"/>
            <w:rPr>
              <w:rFonts w:eastAsiaTheme="minorEastAsia"/>
              <w:noProof/>
              <w:kern w:val="2"/>
              <w:lang w:eastAsia="en-AU"/>
              <w14:ligatures w14:val="standardContextual"/>
            </w:rPr>
          </w:pPr>
          <w:hyperlink w:anchor="_Toc143696580" w:history="1">
            <w:r w:rsidR="00412E0D" w:rsidRPr="00B460B3">
              <w:rPr>
                <w:rStyle w:val="Hyperlink"/>
                <w:noProof/>
              </w:rPr>
              <w:t>Having weighed Options 1 and 2, what is the net benefit of the Government’s proposal?</w:t>
            </w:r>
            <w:r w:rsidR="00412E0D">
              <w:rPr>
                <w:noProof/>
                <w:webHidden/>
              </w:rPr>
              <w:tab/>
            </w:r>
            <w:r w:rsidR="00412E0D">
              <w:rPr>
                <w:noProof/>
                <w:webHidden/>
              </w:rPr>
              <w:fldChar w:fldCharType="begin"/>
            </w:r>
            <w:r w:rsidR="00412E0D">
              <w:rPr>
                <w:noProof/>
                <w:webHidden/>
              </w:rPr>
              <w:instrText xml:space="preserve"> PAGEREF _Toc143696580 \h </w:instrText>
            </w:r>
            <w:r w:rsidR="00412E0D">
              <w:rPr>
                <w:noProof/>
                <w:webHidden/>
              </w:rPr>
            </w:r>
            <w:r w:rsidR="00412E0D">
              <w:rPr>
                <w:noProof/>
                <w:webHidden/>
              </w:rPr>
              <w:fldChar w:fldCharType="separate"/>
            </w:r>
            <w:r w:rsidR="0078258F">
              <w:rPr>
                <w:noProof/>
                <w:webHidden/>
              </w:rPr>
              <w:t>29</w:t>
            </w:r>
            <w:r w:rsidR="00412E0D">
              <w:rPr>
                <w:noProof/>
                <w:webHidden/>
              </w:rPr>
              <w:fldChar w:fldCharType="end"/>
            </w:r>
          </w:hyperlink>
        </w:p>
        <w:p w14:paraId="4C7CC009" w14:textId="0EC91072" w:rsidR="00412E0D" w:rsidRDefault="008B2CF0">
          <w:pPr>
            <w:pStyle w:val="TOC2"/>
            <w:rPr>
              <w:rFonts w:eastAsiaTheme="minorEastAsia"/>
              <w:noProof/>
              <w:kern w:val="2"/>
              <w:lang w:eastAsia="en-AU"/>
              <w14:ligatures w14:val="standardContextual"/>
            </w:rPr>
          </w:pPr>
          <w:hyperlink w:anchor="_Toc143696581" w:history="1">
            <w:r w:rsidR="00412E0D" w:rsidRPr="00B460B3">
              <w:rPr>
                <w:rStyle w:val="Hyperlink"/>
                <w:noProof/>
              </w:rPr>
              <w:t>Impact Analysis Question 5:  Who did you consult and how did you incorporate their feedback?</w:t>
            </w:r>
            <w:r w:rsidR="00412E0D">
              <w:rPr>
                <w:noProof/>
                <w:webHidden/>
              </w:rPr>
              <w:tab/>
            </w:r>
            <w:r w:rsidR="00412E0D">
              <w:rPr>
                <w:noProof/>
                <w:webHidden/>
              </w:rPr>
              <w:fldChar w:fldCharType="begin"/>
            </w:r>
            <w:r w:rsidR="00412E0D">
              <w:rPr>
                <w:noProof/>
                <w:webHidden/>
              </w:rPr>
              <w:instrText xml:space="preserve"> PAGEREF _Toc143696581 \h </w:instrText>
            </w:r>
            <w:r w:rsidR="00412E0D">
              <w:rPr>
                <w:noProof/>
                <w:webHidden/>
              </w:rPr>
            </w:r>
            <w:r w:rsidR="00412E0D">
              <w:rPr>
                <w:noProof/>
                <w:webHidden/>
              </w:rPr>
              <w:fldChar w:fldCharType="separate"/>
            </w:r>
            <w:r w:rsidR="0078258F">
              <w:rPr>
                <w:noProof/>
                <w:webHidden/>
              </w:rPr>
              <w:t>29</w:t>
            </w:r>
            <w:r w:rsidR="00412E0D">
              <w:rPr>
                <w:noProof/>
                <w:webHidden/>
              </w:rPr>
              <w:fldChar w:fldCharType="end"/>
            </w:r>
          </w:hyperlink>
        </w:p>
        <w:p w14:paraId="68DFEF49" w14:textId="60F60B1D" w:rsidR="00412E0D" w:rsidRDefault="008B2CF0">
          <w:pPr>
            <w:pStyle w:val="TOC3"/>
            <w:rPr>
              <w:rFonts w:eastAsiaTheme="minorEastAsia"/>
              <w:noProof/>
              <w:kern w:val="2"/>
              <w:lang w:eastAsia="en-AU"/>
              <w14:ligatures w14:val="standardContextual"/>
            </w:rPr>
          </w:pPr>
          <w:hyperlink w:anchor="_Toc143696582" w:history="1">
            <w:r w:rsidR="00412E0D" w:rsidRPr="00B460B3">
              <w:rPr>
                <w:rStyle w:val="Hyperlink"/>
                <w:noProof/>
              </w:rPr>
              <w:t>Purpose and objectives of consultation</w:t>
            </w:r>
            <w:r w:rsidR="00412E0D">
              <w:rPr>
                <w:noProof/>
                <w:webHidden/>
              </w:rPr>
              <w:tab/>
            </w:r>
            <w:r w:rsidR="00412E0D">
              <w:rPr>
                <w:noProof/>
                <w:webHidden/>
              </w:rPr>
              <w:fldChar w:fldCharType="begin"/>
            </w:r>
            <w:r w:rsidR="00412E0D">
              <w:rPr>
                <w:noProof/>
                <w:webHidden/>
              </w:rPr>
              <w:instrText xml:space="preserve"> PAGEREF _Toc143696582 \h </w:instrText>
            </w:r>
            <w:r w:rsidR="00412E0D">
              <w:rPr>
                <w:noProof/>
                <w:webHidden/>
              </w:rPr>
            </w:r>
            <w:r w:rsidR="00412E0D">
              <w:rPr>
                <w:noProof/>
                <w:webHidden/>
              </w:rPr>
              <w:fldChar w:fldCharType="separate"/>
            </w:r>
            <w:r w:rsidR="0078258F">
              <w:rPr>
                <w:noProof/>
                <w:webHidden/>
              </w:rPr>
              <w:t>29</w:t>
            </w:r>
            <w:r w:rsidR="00412E0D">
              <w:rPr>
                <w:noProof/>
                <w:webHidden/>
              </w:rPr>
              <w:fldChar w:fldCharType="end"/>
            </w:r>
          </w:hyperlink>
        </w:p>
        <w:p w14:paraId="71EBB170" w14:textId="7D9A98EF" w:rsidR="00412E0D" w:rsidRDefault="008B2CF0">
          <w:pPr>
            <w:pStyle w:val="TOC3"/>
            <w:rPr>
              <w:rFonts w:eastAsiaTheme="minorEastAsia"/>
              <w:noProof/>
              <w:kern w:val="2"/>
              <w:lang w:eastAsia="en-AU"/>
              <w14:ligatures w14:val="standardContextual"/>
            </w:rPr>
          </w:pPr>
          <w:hyperlink w:anchor="_Toc143696583" w:history="1">
            <w:r w:rsidR="00412E0D" w:rsidRPr="00B460B3">
              <w:rPr>
                <w:rStyle w:val="Hyperlink"/>
                <w:noProof/>
              </w:rPr>
              <w:t>Consultation process undertaken by the department regarding this proposal</w:t>
            </w:r>
            <w:r w:rsidR="00412E0D">
              <w:rPr>
                <w:noProof/>
                <w:webHidden/>
              </w:rPr>
              <w:tab/>
            </w:r>
            <w:r w:rsidR="00412E0D">
              <w:rPr>
                <w:noProof/>
                <w:webHidden/>
              </w:rPr>
              <w:fldChar w:fldCharType="begin"/>
            </w:r>
            <w:r w:rsidR="00412E0D">
              <w:rPr>
                <w:noProof/>
                <w:webHidden/>
              </w:rPr>
              <w:instrText xml:space="preserve"> PAGEREF _Toc143696583 \h </w:instrText>
            </w:r>
            <w:r w:rsidR="00412E0D">
              <w:rPr>
                <w:noProof/>
                <w:webHidden/>
              </w:rPr>
            </w:r>
            <w:r w:rsidR="00412E0D">
              <w:rPr>
                <w:noProof/>
                <w:webHidden/>
              </w:rPr>
              <w:fldChar w:fldCharType="separate"/>
            </w:r>
            <w:r w:rsidR="0078258F">
              <w:rPr>
                <w:noProof/>
                <w:webHidden/>
              </w:rPr>
              <w:t>30</w:t>
            </w:r>
            <w:r w:rsidR="00412E0D">
              <w:rPr>
                <w:noProof/>
                <w:webHidden/>
              </w:rPr>
              <w:fldChar w:fldCharType="end"/>
            </w:r>
          </w:hyperlink>
        </w:p>
        <w:p w14:paraId="7A03016E" w14:textId="64E49237" w:rsidR="00412E0D" w:rsidRDefault="008B2CF0">
          <w:pPr>
            <w:pStyle w:val="TOC3"/>
            <w:rPr>
              <w:rFonts w:eastAsiaTheme="minorEastAsia"/>
              <w:noProof/>
              <w:kern w:val="2"/>
              <w:lang w:eastAsia="en-AU"/>
              <w14:ligatures w14:val="standardContextual"/>
            </w:rPr>
          </w:pPr>
          <w:hyperlink w:anchor="_Toc143696584" w:history="1">
            <w:r w:rsidR="00412E0D" w:rsidRPr="00B460B3">
              <w:rPr>
                <w:rStyle w:val="Hyperlink"/>
                <w:noProof/>
              </w:rPr>
              <w:t>Summary of stakeholders’ main views</w:t>
            </w:r>
            <w:r w:rsidR="00412E0D">
              <w:rPr>
                <w:noProof/>
                <w:webHidden/>
              </w:rPr>
              <w:tab/>
            </w:r>
            <w:r w:rsidR="00412E0D">
              <w:rPr>
                <w:noProof/>
                <w:webHidden/>
              </w:rPr>
              <w:fldChar w:fldCharType="begin"/>
            </w:r>
            <w:r w:rsidR="00412E0D">
              <w:rPr>
                <w:noProof/>
                <w:webHidden/>
              </w:rPr>
              <w:instrText xml:space="preserve"> PAGEREF _Toc143696584 \h </w:instrText>
            </w:r>
            <w:r w:rsidR="00412E0D">
              <w:rPr>
                <w:noProof/>
                <w:webHidden/>
              </w:rPr>
            </w:r>
            <w:r w:rsidR="00412E0D">
              <w:rPr>
                <w:noProof/>
                <w:webHidden/>
              </w:rPr>
              <w:fldChar w:fldCharType="separate"/>
            </w:r>
            <w:r w:rsidR="0078258F">
              <w:rPr>
                <w:noProof/>
                <w:webHidden/>
              </w:rPr>
              <w:t>31</w:t>
            </w:r>
            <w:r w:rsidR="00412E0D">
              <w:rPr>
                <w:noProof/>
                <w:webHidden/>
              </w:rPr>
              <w:fldChar w:fldCharType="end"/>
            </w:r>
          </w:hyperlink>
        </w:p>
        <w:p w14:paraId="605AE0F4" w14:textId="7E31A564" w:rsidR="00412E0D" w:rsidRDefault="008B2CF0">
          <w:pPr>
            <w:pStyle w:val="TOC3"/>
            <w:rPr>
              <w:rFonts w:eastAsiaTheme="minorEastAsia"/>
              <w:noProof/>
              <w:kern w:val="2"/>
              <w:lang w:eastAsia="en-AU"/>
              <w14:ligatures w14:val="standardContextual"/>
            </w:rPr>
          </w:pPr>
          <w:hyperlink w:anchor="_Toc143696585" w:history="1">
            <w:r w:rsidR="00412E0D" w:rsidRPr="00B460B3">
              <w:rPr>
                <w:rStyle w:val="Hyperlink"/>
                <w:noProof/>
              </w:rPr>
              <w:t>Areas of agreement and difference between stakeholders, and how stakeholder views informed the design of the preferred approach (Option 1)</w:t>
            </w:r>
            <w:r w:rsidR="00412E0D">
              <w:rPr>
                <w:noProof/>
                <w:webHidden/>
              </w:rPr>
              <w:tab/>
            </w:r>
            <w:r w:rsidR="00412E0D">
              <w:rPr>
                <w:noProof/>
                <w:webHidden/>
              </w:rPr>
              <w:fldChar w:fldCharType="begin"/>
            </w:r>
            <w:r w:rsidR="00412E0D">
              <w:rPr>
                <w:noProof/>
                <w:webHidden/>
              </w:rPr>
              <w:instrText xml:space="preserve"> PAGEREF _Toc143696585 \h </w:instrText>
            </w:r>
            <w:r w:rsidR="00412E0D">
              <w:rPr>
                <w:noProof/>
                <w:webHidden/>
              </w:rPr>
            </w:r>
            <w:r w:rsidR="00412E0D">
              <w:rPr>
                <w:noProof/>
                <w:webHidden/>
              </w:rPr>
              <w:fldChar w:fldCharType="separate"/>
            </w:r>
            <w:r w:rsidR="0078258F">
              <w:rPr>
                <w:noProof/>
                <w:webHidden/>
              </w:rPr>
              <w:t>32</w:t>
            </w:r>
            <w:r w:rsidR="00412E0D">
              <w:rPr>
                <w:noProof/>
                <w:webHidden/>
              </w:rPr>
              <w:fldChar w:fldCharType="end"/>
            </w:r>
          </w:hyperlink>
        </w:p>
        <w:p w14:paraId="1974E48F" w14:textId="6FC4CB80" w:rsidR="00412E0D" w:rsidRDefault="008B2CF0">
          <w:pPr>
            <w:pStyle w:val="TOC2"/>
            <w:rPr>
              <w:rFonts w:eastAsiaTheme="minorEastAsia"/>
              <w:noProof/>
              <w:kern w:val="2"/>
              <w:lang w:eastAsia="en-AU"/>
              <w14:ligatures w14:val="standardContextual"/>
            </w:rPr>
          </w:pPr>
          <w:hyperlink w:anchor="_Toc143696586" w:history="1">
            <w:r w:rsidR="00412E0D" w:rsidRPr="00B460B3">
              <w:rPr>
                <w:rStyle w:val="Hyperlink"/>
                <w:noProof/>
              </w:rPr>
              <w:t>Impact Analysis Question 6:   Which is the best option and how will it be implemented?</w:t>
            </w:r>
            <w:r w:rsidR="00412E0D">
              <w:rPr>
                <w:noProof/>
                <w:webHidden/>
              </w:rPr>
              <w:tab/>
            </w:r>
            <w:r w:rsidR="00412E0D">
              <w:rPr>
                <w:noProof/>
                <w:webHidden/>
              </w:rPr>
              <w:fldChar w:fldCharType="begin"/>
            </w:r>
            <w:r w:rsidR="00412E0D">
              <w:rPr>
                <w:noProof/>
                <w:webHidden/>
              </w:rPr>
              <w:instrText xml:space="preserve"> PAGEREF _Toc143696586 \h </w:instrText>
            </w:r>
            <w:r w:rsidR="00412E0D">
              <w:rPr>
                <w:noProof/>
                <w:webHidden/>
              </w:rPr>
            </w:r>
            <w:r w:rsidR="00412E0D">
              <w:rPr>
                <w:noProof/>
                <w:webHidden/>
              </w:rPr>
              <w:fldChar w:fldCharType="separate"/>
            </w:r>
            <w:r w:rsidR="0078258F">
              <w:rPr>
                <w:noProof/>
                <w:webHidden/>
              </w:rPr>
              <w:t>37</w:t>
            </w:r>
            <w:r w:rsidR="00412E0D">
              <w:rPr>
                <w:noProof/>
                <w:webHidden/>
              </w:rPr>
              <w:fldChar w:fldCharType="end"/>
            </w:r>
          </w:hyperlink>
        </w:p>
        <w:p w14:paraId="3470F55A" w14:textId="3D95FE22" w:rsidR="00412E0D" w:rsidRDefault="008B2CF0">
          <w:pPr>
            <w:pStyle w:val="TOC3"/>
            <w:rPr>
              <w:rFonts w:eastAsiaTheme="minorEastAsia"/>
              <w:noProof/>
              <w:kern w:val="2"/>
              <w:lang w:eastAsia="en-AU"/>
              <w14:ligatures w14:val="standardContextual"/>
            </w:rPr>
          </w:pPr>
          <w:hyperlink w:anchor="_Toc143696587" w:history="1">
            <w:r w:rsidR="00412E0D" w:rsidRPr="00B460B3">
              <w:rPr>
                <w:rStyle w:val="Hyperlink"/>
                <w:noProof/>
              </w:rPr>
              <w:t>Which is the best option?</w:t>
            </w:r>
            <w:r w:rsidR="00412E0D">
              <w:rPr>
                <w:noProof/>
                <w:webHidden/>
              </w:rPr>
              <w:tab/>
            </w:r>
            <w:r w:rsidR="00412E0D">
              <w:rPr>
                <w:noProof/>
                <w:webHidden/>
              </w:rPr>
              <w:fldChar w:fldCharType="begin"/>
            </w:r>
            <w:r w:rsidR="00412E0D">
              <w:rPr>
                <w:noProof/>
                <w:webHidden/>
              </w:rPr>
              <w:instrText xml:space="preserve"> PAGEREF _Toc143696587 \h </w:instrText>
            </w:r>
            <w:r w:rsidR="00412E0D">
              <w:rPr>
                <w:noProof/>
                <w:webHidden/>
              </w:rPr>
            </w:r>
            <w:r w:rsidR="00412E0D">
              <w:rPr>
                <w:noProof/>
                <w:webHidden/>
              </w:rPr>
              <w:fldChar w:fldCharType="separate"/>
            </w:r>
            <w:r w:rsidR="0078258F">
              <w:rPr>
                <w:noProof/>
                <w:webHidden/>
              </w:rPr>
              <w:t>37</w:t>
            </w:r>
            <w:r w:rsidR="00412E0D">
              <w:rPr>
                <w:noProof/>
                <w:webHidden/>
              </w:rPr>
              <w:fldChar w:fldCharType="end"/>
            </w:r>
          </w:hyperlink>
        </w:p>
        <w:p w14:paraId="6C814865" w14:textId="358FED4C" w:rsidR="00412E0D" w:rsidRDefault="008B2CF0">
          <w:pPr>
            <w:pStyle w:val="TOC3"/>
            <w:rPr>
              <w:rFonts w:eastAsiaTheme="minorEastAsia"/>
              <w:noProof/>
              <w:kern w:val="2"/>
              <w:lang w:eastAsia="en-AU"/>
              <w14:ligatures w14:val="standardContextual"/>
            </w:rPr>
          </w:pPr>
          <w:hyperlink w:anchor="_Toc143696588" w:history="1">
            <w:r w:rsidR="00412E0D" w:rsidRPr="00B460B3">
              <w:rPr>
                <w:rStyle w:val="Hyperlink"/>
                <w:noProof/>
              </w:rPr>
              <w:t>Which option is the most effective, appropriate, efficient, and least costly?</w:t>
            </w:r>
            <w:r w:rsidR="00412E0D">
              <w:rPr>
                <w:noProof/>
                <w:webHidden/>
              </w:rPr>
              <w:tab/>
            </w:r>
            <w:r w:rsidR="00412E0D">
              <w:rPr>
                <w:noProof/>
                <w:webHidden/>
              </w:rPr>
              <w:fldChar w:fldCharType="begin"/>
            </w:r>
            <w:r w:rsidR="00412E0D">
              <w:rPr>
                <w:noProof/>
                <w:webHidden/>
              </w:rPr>
              <w:instrText xml:space="preserve"> PAGEREF _Toc143696588 \h </w:instrText>
            </w:r>
            <w:r w:rsidR="00412E0D">
              <w:rPr>
                <w:noProof/>
                <w:webHidden/>
              </w:rPr>
            </w:r>
            <w:r w:rsidR="00412E0D">
              <w:rPr>
                <w:noProof/>
                <w:webHidden/>
              </w:rPr>
              <w:fldChar w:fldCharType="separate"/>
            </w:r>
            <w:r w:rsidR="0078258F">
              <w:rPr>
                <w:noProof/>
                <w:webHidden/>
              </w:rPr>
              <w:t>38</w:t>
            </w:r>
            <w:r w:rsidR="00412E0D">
              <w:rPr>
                <w:noProof/>
                <w:webHidden/>
              </w:rPr>
              <w:fldChar w:fldCharType="end"/>
            </w:r>
          </w:hyperlink>
        </w:p>
        <w:p w14:paraId="36C34E91" w14:textId="30477C31" w:rsidR="00412E0D" w:rsidRDefault="008B2CF0">
          <w:pPr>
            <w:pStyle w:val="TOC3"/>
            <w:rPr>
              <w:rFonts w:eastAsiaTheme="minorEastAsia"/>
              <w:noProof/>
              <w:kern w:val="2"/>
              <w:lang w:eastAsia="en-AU"/>
              <w14:ligatures w14:val="standardContextual"/>
            </w:rPr>
          </w:pPr>
          <w:hyperlink w:anchor="_Toc143696589" w:history="1">
            <w:r w:rsidR="00412E0D" w:rsidRPr="00B460B3">
              <w:rPr>
                <w:rStyle w:val="Hyperlink"/>
                <w:noProof/>
              </w:rPr>
              <w:t>Decision-making process</w:t>
            </w:r>
            <w:r w:rsidR="00412E0D">
              <w:rPr>
                <w:noProof/>
                <w:webHidden/>
              </w:rPr>
              <w:tab/>
            </w:r>
            <w:r w:rsidR="00412E0D">
              <w:rPr>
                <w:noProof/>
                <w:webHidden/>
              </w:rPr>
              <w:fldChar w:fldCharType="begin"/>
            </w:r>
            <w:r w:rsidR="00412E0D">
              <w:rPr>
                <w:noProof/>
                <w:webHidden/>
              </w:rPr>
              <w:instrText xml:space="preserve"> PAGEREF _Toc143696589 \h </w:instrText>
            </w:r>
            <w:r w:rsidR="00412E0D">
              <w:rPr>
                <w:noProof/>
                <w:webHidden/>
              </w:rPr>
            </w:r>
            <w:r w:rsidR="00412E0D">
              <w:rPr>
                <w:noProof/>
                <w:webHidden/>
              </w:rPr>
              <w:fldChar w:fldCharType="separate"/>
            </w:r>
            <w:r w:rsidR="0078258F">
              <w:rPr>
                <w:noProof/>
                <w:webHidden/>
              </w:rPr>
              <w:t>39</w:t>
            </w:r>
            <w:r w:rsidR="00412E0D">
              <w:rPr>
                <w:noProof/>
                <w:webHidden/>
              </w:rPr>
              <w:fldChar w:fldCharType="end"/>
            </w:r>
          </w:hyperlink>
        </w:p>
        <w:p w14:paraId="7DA9DE86" w14:textId="1F79BBC6" w:rsidR="00412E0D" w:rsidRDefault="008B2CF0">
          <w:pPr>
            <w:pStyle w:val="TOC3"/>
            <w:rPr>
              <w:rFonts w:eastAsiaTheme="minorEastAsia"/>
              <w:noProof/>
              <w:kern w:val="2"/>
              <w:lang w:eastAsia="en-AU"/>
              <w14:ligatures w14:val="standardContextual"/>
            </w:rPr>
          </w:pPr>
          <w:hyperlink w:anchor="_Toc143696590" w:history="1">
            <w:r w:rsidR="00412E0D" w:rsidRPr="00B460B3">
              <w:rPr>
                <w:rStyle w:val="Hyperlink"/>
                <w:noProof/>
              </w:rPr>
              <w:t>How will the option be implemented?</w:t>
            </w:r>
            <w:r w:rsidR="00412E0D">
              <w:rPr>
                <w:noProof/>
                <w:webHidden/>
              </w:rPr>
              <w:tab/>
            </w:r>
            <w:r w:rsidR="00412E0D">
              <w:rPr>
                <w:noProof/>
                <w:webHidden/>
              </w:rPr>
              <w:fldChar w:fldCharType="begin"/>
            </w:r>
            <w:r w:rsidR="00412E0D">
              <w:rPr>
                <w:noProof/>
                <w:webHidden/>
              </w:rPr>
              <w:instrText xml:space="preserve"> PAGEREF _Toc143696590 \h </w:instrText>
            </w:r>
            <w:r w:rsidR="00412E0D">
              <w:rPr>
                <w:noProof/>
                <w:webHidden/>
              </w:rPr>
            </w:r>
            <w:r w:rsidR="00412E0D">
              <w:rPr>
                <w:noProof/>
                <w:webHidden/>
              </w:rPr>
              <w:fldChar w:fldCharType="separate"/>
            </w:r>
            <w:r w:rsidR="0078258F">
              <w:rPr>
                <w:noProof/>
                <w:webHidden/>
              </w:rPr>
              <w:t>39</w:t>
            </w:r>
            <w:r w:rsidR="00412E0D">
              <w:rPr>
                <w:noProof/>
                <w:webHidden/>
              </w:rPr>
              <w:fldChar w:fldCharType="end"/>
            </w:r>
          </w:hyperlink>
        </w:p>
        <w:p w14:paraId="78CAB050" w14:textId="62D8486D" w:rsidR="00412E0D" w:rsidRDefault="008B2CF0">
          <w:pPr>
            <w:pStyle w:val="TOC2"/>
            <w:rPr>
              <w:rFonts w:eastAsiaTheme="minorEastAsia"/>
              <w:noProof/>
              <w:kern w:val="2"/>
              <w:lang w:eastAsia="en-AU"/>
              <w14:ligatures w14:val="standardContextual"/>
            </w:rPr>
          </w:pPr>
          <w:hyperlink w:anchor="_Toc143696591" w:history="1">
            <w:r w:rsidR="00412E0D" w:rsidRPr="00B460B3">
              <w:rPr>
                <w:rStyle w:val="Hyperlink"/>
                <w:noProof/>
              </w:rPr>
              <w:t>Impact Analysis Question 7:  How will you evaluate your chosen option against the success metrics?</w:t>
            </w:r>
            <w:r w:rsidR="00412E0D">
              <w:rPr>
                <w:noProof/>
                <w:webHidden/>
              </w:rPr>
              <w:tab/>
            </w:r>
            <w:r w:rsidR="00412E0D">
              <w:rPr>
                <w:noProof/>
                <w:webHidden/>
              </w:rPr>
              <w:fldChar w:fldCharType="begin"/>
            </w:r>
            <w:r w:rsidR="00412E0D">
              <w:rPr>
                <w:noProof/>
                <w:webHidden/>
              </w:rPr>
              <w:instrText xml:space="preserve"> PAGEREF _Toc143696591 \h </w:instrText>
            </w:r>
            <w:r w:rsidR="00412E0D">
              <w:rPr>
                <w:noProof/>
                <w:webHidden/>
              </w:rPr>
            </w:r>
            <w:r w:rsidR="00412E0D">
              <w:rPr>
                <w:noProof/>
                <w:webHidden/>
              </w:rPr>
              <w:fldChar w:fldCharType="separate"/>
            </w:r>
            <w:r w:rsidR="0078258F">
              <w:rPr>
                <w:noProof/>
                <w:webHidden/>
              </w:rPr>
              <w:t>40</w:t>
            </w:r>
            <w:r w:rsidR="00412E0D">
              <w:rPr>
                <w:noProof/>
                <w:webHidden/>
              </w:rPr>
              <w:fldChar w:fldCharType="end"/>
            </w:r>
          </w:hyperlink>
        </w:p>
        <w:p w14:paraId="12DAF429" w14:textId="501976C4" w:rsidR="00412E0D" w:rsidRDefault="008B2CF0" w:rsidP="00412E0D">
          <w:pPr>
            <w:pStyle w:val="TOC1"/>
            <w:rPr>
              <w:rFonts w:eastAsiaTheme="minorEastAsia"/>
              <w:noProof/>
              <w:kern w:val="2"/>
              <w:lang w:eastAsia="en-AU"/>
              <w14:ligatures w14:val="standardContextual"/>
            </w:rPr>
          </w:pPr>
          <w:hyperlink w:anchor="_Toc143696592" w:history="1">
            <w:r w:rsidR="00412E0D" w:rsidRPr="00B460B3">
              <w:rPr>
                <w:rStyle w:val="Hyperlink"/>
                <w:noProof/>
              </w:rPr>
              <w:t>ANNEXURE C</w:t>
            </w:r>
            <w:r w:rsidR="00412E0D">
              <w:rPr>
                <w:noProof/>
                <w:webHidden/>
              </w:rPr>
              <w:tab/>
            </w:r>
            <w:r w:rsidR="00412E0D">
              <w:rPr>
                <w:noProof/>
                <w:webHidden/>
              </w:rPr>
              <w:fldChar w:fldCharType="begin"/>
            </w:r>
            <w:r w:rsidR="00412E0D">
              <w:rPr>
                <w:noProof/>
                <w:webHidden/>
              </w:rPr>
              <w:instrText xml:space="preserve"> PAGEREF _Toc143696592 \h </w:instrText>
            </w:r>
            <w:r w:rsidR="00412E0D">
              <w:rPr>
                <w:noProof/>
                <w:webHidden/>
              </w:rPr>
            </w:r>
            <w:r w:rsidR="00412E0D">
              <w:rPr>
                <w:noProof/>
                <w:webHidden/>
              </w:rPr>
              <w:fldChar w:fldCharType="separate"/>
            </w:r>
            <w:r w:rsidR="0078258F">
              <w:rPr>
                <w:noProof/>
                <w:webHidden/>
              </w:rPr>
              <w:t>42</w:t>
            </w:r>
            <w:r w:rsidR="00412E0D">
              <w:rPr>
                <w:noProof/>
                <w:webHidden/>
              </w:rPr>
              <w:fldChar w:fldCharType="end"/>
            </w:r>
          </w:hyperlink>
        </w:p>
        <w:p w14:paraId="74D58F8D" w14:textId="77F112EC" w:rsidR="00412E0D" w:rsidRDefault="008B2CF0">
          <w:pPr>
            <w:pStyle w:val="TOC2"/>
            <w:rPr>
              <w:rFonts w:eastAsiaTheme="minorEastAsia"/>
              <w:noProof/>
              <w:kern w:val="2"/>
              <w:lang w:eastAsia="en-AU"/>
              <w14:ligatures w14:val="standardContextual"/>
            </w:rPr>
          </w:pPr>
          <w:hyperlink w:anchor="_Toc143696593" w:history="1">
            <w:r w:rsidR="00412E0D" w:rsidRPr="00B460B3">
              <w:rPr>
                <w:rStyle w:val="Hyperlink"/>
                <w:noProof/>
              </w:rPr>
              <w:t>Summary and methodology</w:t>
            </w:r>
            <w:r w:rsidR="00412E0D">
              <w:rPr>
                <w:noProof/>
                <w:webHidden/>
              </w:rPr>
              <w:tab/>
            </w:r>
            <w:r w:rsidR="00412E0D">
              <w:rPr>
                <w:noProof/>
                <w:webHidden/>
              </w:rPr>
              <w:fldChar w:fldCharType="begin"/>
            </w:r>
            <w:r w:rsidR="00412E0D">
              <w:rPr>
                <w:noProof/>
                <w:webHidden/>
              </w:rPr>
              <w:instrText xml:space="preserve"> PAGEREF _Toc143696593 \h </w:instrText>
            </w:r>
            <w:r w:rsidR="00412E0D">
              <w:rPr>
                <w:noProof/>
                <w:webHidden/>
              </w:rPr>
            </w:r>
            <w:r w:rsidR="00412E0D">
              <w:rPr>
                <w:noProof/>
                <w:webHidden/>
              </w:rPr>
              <w:fldChar w:fldCharType="separate"/>
            </w:r>
            <w:r w:rsidR="0078258F">
              <w:rPr>
                <w:noProof/>
                <w:webHidden/>
              </w:rPr>
              <w:t>42</w:t>
            </w:r>
            <w:r w:rsidR="00412E0D">
              <w:rPr>
                <w:noProof/>
                <w:webHidden/>
              </w:rPr>
              <w:fldChar w:fldCharType="end"/>
            </w:r>
          </w:hyperlink>
        </w:p>
        <w:p w14:paraId="3FF0F914" w14:textId="3F4CA67C" w:rsidR="00412E0D" w:rsidRDefault="008B2CF0">
          <w:pPr>
            <w:pStyle w:val="TOC2"/>
            <w:rPr>
              <w:rFonts w:eastAsiaTheme="minorEastAsia"/>
              <w:noProof/>
              <w:kern w:val="2"/>
              <w:lang w:eastAsia="en-AU"/>
              <w14:ligatures w14:val="standardContextual"/>
            </w:rPr>
          </w:pPr>
          <w:hyperlink w:anchor="_Toc143696594" w:history="1">
            <w:r w:rsidR="00412E0D" w:rsidRPr="00B460B3">
              <w:rPr>
                <w:rStyle w:val="Hyperlink"/>
                <w:noProof/>
              </w:rPr>
              <w:t>Estimating the number of labour hire employees eligible to be covered by a Fair Work Commission order</w:t>
            </w:r>
            <w:r w:rsidR="00412E0D">
              <w:rPr>
                <w:noProof/>
                <w:webHidden/>
              </w:rPr>
              <w:tab/>
            </w:r>
            <w:r w:rsidR="00412E0D">
              <w:rPr>
                <w:noProof/>
                <w:webHidden/>
              </w:rPr>
              <w:fldChar w:fldCharType="begin"/>
            </w:r>
            <w:r w:rsidR="00412E0D">
              <w:rPr>
                <w:noProof/>
                <w:webHidden/>
              </w:rPr>
              <w:instrText xml:space="preserve"> PAGEREF _Toc143696594 \h </w:instrText>
            </w:r>
            <w:r w:rsidR="00412E0D">
              <w:rPr>
                <w:noProof/>
                <w:webHidden/>
              </w:rPr>
            </w:r>
            <w:r w:rsidR="00412E0D">
              <w:rPr>
                <w:noProof/>
                <w:webHidden/>
              </w:rPr>
              <w:fldChar w:fldCharType="separate"/>
            </w:r>
            <w:r w:rsidR="0078258F">
              <w:rPr>
                <w:noProof/>
                <w:webHidden/>
              </w:rPr>
              <w:t>43</w:t>
            </w:r>
            <w:r w:rsidR="00412E0D">
              <w:rPr>
                <w:noProof/>
                <w:webHidden/>
              </w:rPr>
              <w:fldChar w:fldCharType="end"/>
            </w:r>
          </w:hyperlink>
        </w:p>
        <w:p w14:paraId="1A903AA0" w14:textId="43AA2223" w:rsidR="00412E0D" w:rsidRDefault="008B2CF0">
          <w:pPr>
            <w:pStyle w:val="TOC3"/>
            <w:rPr>
              <w:rFonts w:eastAsiaTheme="minorEastAsia"/>
              <w:noProof/>
              <w:kern w:val="2"/>
              <w:lang w:eastAsia="en-AU"/>
              <w14:ligatures w14:val="standardContextual"/>
            </w:rPr>
          </w:pPr>
          <w:hyperlink w:anchor="_Toc143696595" w:history="1">
            <w:r w:rsidR="00412E0D" w:rsidRPr="00B460B3">
              <w:rPr>
                <w:rStyle w:val="Hyperlink"/>
                <w:noProof/>
              </w:rPr>
              <w:t>Exclusions</w:t>
            </w:r>
            <w:r w:rsidR="00412E0D">
              <w:rPr>
                <w:noProof/>
                <w:webHidden/>
              </w:rPr>
              <w:tab/>
            </w:r>
            <w:r w:rsidR="00412E0D">
              <w:rPr>
                <w:noProof/>
                <w:webHidden/>
              </w:rPr>
              <w:fldChar w:fldCharType="begin"/>
            </w:r>
            <w:r w:rsidR="00412E0D">
              <w:rPr>
                <w:noProof/>
                <w:webHidden/>
              </w:rPr>
              <w:instrText xml:space="preserve"> PAGEREF _Toc143696595 \h </w:instrText>
            </w:r>
            <w:r w:rsidR="00412E0D">
              <w:rPr>
                <w:noProof/>
                <w:webHidden/>
              </w:rPr>
            </w:r>
            <w:r w:rsidR="00412E0D">
              <w:rPr>
                <w:noProof/>
                <w:webHidden/>
              </w:rPr>
              <w:fldChar w:fldCharType="separate"/>
            </w:r>
            <w:r w:rsidR="0078258F">
              <w:rPr>
                <w:noProof/>
                <w:webHidden/>
              </w:rPr>
              <w:t>43</w:t>
            </w:r>
            <w:r w:rsidR="00412E0D">
              <w:rPr>
                <w:noProof/>
                <w:webHidden/>
              </w:rPr>
              <w:fldChar w:fldCharType="end"/>
            </w:r>
          </w:hyperlink>
        </w:p>
        <w:p w14:paraId="2A25D51B" w14:textId="39E803C7" w:rsidR="00412E0D" w:rsidRDefault="008B2CF0">
          <w:pPr>
            <w:pStyle w:val="TOC3"/>
            <w:rPr>
              <w:rFonts w:eastAsiaTheme="minorEastAsia"/>
              <w:noProof/>
              <w:kern w:val="2"/>
              <w:lang w:eastAsia="en-AU"/>
              <w14:ligatures w14:val="standardContextual"/>
            </w:rPr>
          </w:pPr>
          <w:hyperlink w:anchor="_Toc143696596" w:history="1">
            <w:r w:rsidR="00412E0D" w:rsidRPr="00B460B3">
              <w:rPr>
                <w:rStyle w:val="Hyperlink"/>
                <w:noProof/>
              </w:rPr>
              <w:t>Accounting for internal labour hire</w:t>
            </w:r>
            <w:r w:rsidR="00412E0D">
              <w:rPr>
                <w:noProof/>
                <w:webHidden/>
              </w:rPr>
              <w:tab/>
            </w:r>
            <w:r w:rsidR="00412E0D">
              <w:rPr>
                <w:noProof/>
                <w:webHidden/>
              </w:rPr>
              <w:fldChar w:fldCharType="begin"/>
            </w:r>
            <w:r w:rsidR="00412E0D">
              <w:rPr>
                <w:noProof/>
                <w:webHidden/>
              </w:rPr>
              <w:instrText xml:space="preserve"> PAGEREF _Toc143696596 \h </w:instrText>
            </w:r>
            <w:r w:rsidR="00412E0D">
              <w:rPr>
                <w:noProof/>
                <w:webHidden/>
              </w:rPr>
            </w:r>
            <w:r w:rsidR="00412E0D">
              <w:rPr>
                <w:noProof/>
                <w:webHidden/>
              </w:rPr>
              <w:fldChar w:fldCharType="separate"/>
            </w:r>
            <w:r w:rsidR="0078258F">
              <w:rPr>
                <w:noProof/>
                <w:webHidden/>
              </w:rPr>
              <w:t>44</w:t>
            </w:r>
            <w:r w:rsidR="00412E0D">
              <w:rPr>
                <w:noProof/>
                <w:webHidden/>
              </w:rPr>
              <w:fldChar w:fldCharType="end"/>
            </w:r>
          </w:hyperlink>
        </w:p>
        <w:p w14:paraId="086D4381" w14:textId="4A28E74E" w:rsidR="00412E0D" w:rsidRDefault="008B2CF0">
          <w:pPr>
            <w:pStyle w:val="TOC2"/>
            <w:rPr>
              <w:rFonts w:eastAsiaTheme="minorEastAsia"/>
              <w:noProof/>
              <w:kern w:val="2"/>
              <w:lang w:eastAsia="en-AU"/>
              <w14:ligatures w14:val="standardContextual"/>
            </w:rPr>
          </w:pPr>
          <w:hyperlink w:anchor="_Toc143696597" w:history="1">
            <w:r w:rsidR="00412E0D" w:rsidRPr="00B460B3">
              <w:rPr>
                <w:rStyle w:val="Hyperlink"/>
                <w:noProof/>
              </w:rPr>
              <w:t>Estimating the negative wage difference</w:t>
            </w:r>
            <w:r w:rsidR="00412E0D">
              <w:rPr>
                <w:noProof/>
                <w:webHidden/>
              </w:rPr>
              <w:tab/>
            </w:r>
            <w:r w:rsidR="00412E0D">
              <w:rPr>
                <w:noProof/>
                <w:webHidden/>
              </w:rPr>
              <w:fldChar w:fldCharType="begin"/>
            </w:r>
            <w:r w:rsidR="00412E0D">
              <w:rPr>
                <w:noProof/>
                <w:webHidden/>
              </w:rPr>
              <w:instrText xml:space="preserve"> PAGEREF _Toc143696597 \h </w:instrText>
            </w:r>
            <w:r w:rsidR="00412E0D">
              <w:rPr>
                <w:noProof/>
                <w:webHidden/>
              </w:rPr>
            </w:r>
            <w:r w:rsidR="00412E0D">
              <w:rPr>
                <w:noProof/>
                <w:webHidden/>
              </w:rPr>
              <w:fldChar w:fldCharType="separate"/>
            </w:r>
            <w:r w:rsidR="0078258F">
              <w:rPr>
                <w:noProof/>
                <w:webHidden/>
              </w:rPr>
              <w:t>44</w:t>
            </w:r>
            <w:r w:rsidR="00412E0D">
              <w:rPr>
                <w:noProof/>
                <w:webHidden/>
              </w:rPr>
              <w:fldChar w:fldCharType="end"/>
            </w:r>
          </w:hyperlink>
        </w:p>
        <w:p w14:paraId="62C36568" w14:textId="5BE5DF3E" w:rsidR="00412E0D" w:rsidRDefault="008B2CF0">
          <w:pPr>
            <w:pStyle w:val="TOC3"/>
            <w:rPr>
              <w:rFonts w:eastAsiaTheme="minorEastAsia"/>
              <w:noProof/>
              <w:kern w:val="2"/>
              <w:lang w:eastAsia="en-AU"/>
              <w14:ligatures w14:val="standardContextual"/>
            </w:rPr>
          </w:pPr>
          <w:hyperlink w:anchor="_Toc143696598" w:history="1">
            <w:r w:rsidR="00412E0D" w:rsidRPr="00B460B3">
              <w:rPr>
                <w:rStyle w:val="Hyperlink"/>
                <w:noProof/>
              </w:rPr>
              <w:t>Exclusions</w:t>
            </w:r>
            <w:r w:rsidR="00412E0D">
              <w:rPr>
                <w:noProof/>
                <w:webHidden/>
              </w:rPr>
              <w:tab/>
            </w:r>
            <w:r w:rsidR="00412E0D">
              <w:rPr>
                <w:noProof/>
                <w:webHidden/>
              </w:rPr>
              <w:fldChar w:fldCharType="begin"/>
            </w:r>
            <w:r w:rsidR="00412E0D">
              <w:rPr>
                <w:noProof/>
                <w:webHidden/>
              </w:rPr>
              <w:instrText xml:space="preserve"> PAGEREF _Toc143696598 \h </w:instrText>
            </w:r>
            <w:r w:rsidR="00412E0D">
              <w:rPr>
                <w:noProof/>
                <w:webHidden/>
              </w:rPr>
            </w:r>
            <w:r w:rsidR="00412E0D">
              <w:rPr>
                <w:noProof/>
                <w:webHidden/>
              </w:rPr>
              <w:fldChar w:fldCharType="separate"/>
            </w:r>
            <w:r w:rsidR="0078258F">
              <w:rPr>
                <w:noProof/>
                <w:webHidden/>
              </w:rPr>
              <w:t>44</w:t>
            </w:r>
            <w:r w:rsidR="00412E0D">
              <w:rPr>
                <w:noProof/>
                <w:webHidden/>
              </w:rPr>
              <w:fldChar w:fldCharType="end"/>
            </w:r>
          </w:hyperlink>
        </w:p>
        <w:p w14:paraId="7D1633CC" w14:textId="7E3D372C" w:rsidR="00412E0D" w:rsidRDefault="008B2CF0">
          <w:pPr>
            <w:pStyle w:val="TOC3"/>
            <w:rPr>
              <w:rFonts w:eastAsiaTheme="minorEastAsia"/>
              <w:noProof/>
              <w:kern w:val="2"/>
              <w:lang w:eastAsia="en-AU"/>
              <w14:ligatures w14:val="standardContextual"/>
            </w:rPr>
          </w:pPr>
          <w:hyperlink w:anchor="_Toc143696599" w:history="1">
            <w:r w:rsidR="00412E0D" w:rsidRPr="00B460B3">
              <w:rPr>
                <w:rStyle w:val="Hyperlink"/>
                <w:noProof/>
              </w:rPr>
              <w:t>Adjustments</w:t>
            </w:r>
            <w:r w:rsidR="00412E0D">
              <w:rPr>
                <w:noProof/>
                <w:webHidden/>
              </w:rPr>
              <w:tab/>
            </w:r>
            <w:r w:rsidR="00412E0D">
              <w:rPr>
                <w:noProof/>
                <w:webHidden/>
              </w:rPr>
              <w:fldChar w:fldCharType="begin"/>
            </w:r>
            <w:r w:rsidR="00412E0D">
              <w:rPr>
                <w:noProof/>
                <w:webHidden/>
              </w:rPr>
              <w:instrText xml:space="preserve"> PAGEREF _Toc143696599 \h </w:instrText>
            </w:r>
            <w:r w:rsidR="00412E0D">
              <w:rPr>
                <w:noProof/>
                <w:webHidden/>
              </w:rPr>
            </w:r>
            <w:r w:rsidR="00412E0D">
              <w:rPr>
                <w:noProof/>
                <w:webHidden/>
              </w:rPr>
              <w:fldChar w:fldCharType="separate"/>
            </w:r>
            <w:r w:rsidR="0078258F">
              <w:rPr>
                <w:noProof/>
                <w:webHidden/>
              </w:rPr>
              <w:t>45</w:t>
            </w:r>
            <w:r w:rsidR="00412E0D">
              <w:rPr>
                <w:noProof/>
                <w:webHidden/>
              </w:rPr>
              <w:fldChar w:fldCharType="end"/>
            </w:r>
          </w:hyperlink>
        </w:p>
        <w:p w14:paraId="57CE2453" w14:textId="30E0BC08" w:rsidR="00412E0D" w:rsidRDefault="008B2CF0">
          <w:pPr>
            <w:pStyle w:val="TOC2"/>
            <w:rPr>
              <w:rFonts w:eastAsiaTheme="minorEastAsia"/>
              <w:noProof/>
              <w:kern w:val="2"/>
              <w:lang w:eastAsia="en-AU"/>
              <w14:ligatures w14:val="standardContextual"/>
            </w:rPr>
          </w:pPr>
          <w:hyperlink w:anchor="_Toc143696600" w:history="1">
            <w:r w:rsidR="00412E0D" w:rsidRPr="00B460B3">
              <w:rPr>
                <w:rStyle w:val="Hyperlink"/>
                <w:noProof/>
              </w:rPr>
              <w:t>Estimating average hours worked</w:t>
            </w:r>
            <w:r w:rsidR="00412E0D">
              <w:rPr>
                <w:noProof/>
                <w:webHidden/>
              </w:rPr>
              <w:tab/>
            </w:r>
            <w:r w:rsidR="00412E0D">
              <w:rPr>
                <w:noProof/>
                <w:webHidden/>
              </w:rPr>
              <w:fldChar w:fldCharType="begin"/>
            </w:r>
            <w:r w:rsidR="00412E0D">
              <w:rPr>
                <w:noProof/>
                <w:webHidden/>
              </w:rPr>
              <w:instrText xml:space="preserve"> PAGEREF _Toc143696600 \h </w:instrText>
            </w:r>
            <w:r w:rsidR="00412E0D">
              <w:rPr>
                <w:noProof/>
                <w:webHidden/>
              </w:rPr>
            </w:r>
            <w:r w:rsidR="00412E0D">
              <w:rPr>
                <w:noProof/>
                <w:webHidden/>
              </w:rPr>
              <w:fldChar w:fldCharType="separate"/>
            </w:r>
            <w:r w:rsidR="0078258F">
              <w:rPr>
                <w:noProof/>
                <w:webHidden/>
              </w:rPr>
              <w:t>46</w:t>
            </w:r>
            <w:r w:rsidR="00412E0D">
              <w:rPr>
                <w:noProof/>
                <w:webHidden/>
              </w:rPr>
              <w:fldChar w:fldCharType="end"/>
            </w:r>
          </w:hyperlink>
        </w:p>
        <w:p w14:paraId="1A5470E0" w14:textId="1442C973" w:rsidR="00412E0D" w:rsidRDefault="008B2CF0">
          <w:pPr>
            <w:pStyle w:val="TOC2"/>
            <w:rPr>
              <w:rFonts w:eastAsiaTheme="minorEastAsia"/>
              <w:noProof/>
              <w:kern w:val="2"/>
              <w:lang w:eastAsia="en-AU"/>
              <w14:ligatures w14:val="standardContextual"/>
            </w:rPr>
          </w:pPr>
          <w:hyperlink w:anchor="_Toc143696601" w:history="1">
            <w:r w:rsidR="00412E0D" w:rsidRPr="00B460B3">
              <w:rPr>
                <w:rStyle w:val="Hyperlink"/>
                <w:noProof/>
              </w:rPr>
              <w:t>Limitations</w:t>
            </w:r>
            <w:r w:rsidR="00412E0D">
              <w:rPr>
                <w:noProof/>
                <w:webHidden/>
              </w:rPr>
              <w:tab/>
            </w:r>
            <w:r w:rsidR="00412E0D">
              <w:rPr>
                <w:noProof/>
                <w:webHidden/>
              </w:rPr>
              <w:fldChar w:fldCharType="begin"/>
            </w:r>
            <w:r w:rsidR="00412E0D">
              <w:rPr>
                <w:noProof/>
                <w:webHidden/>
              </w:rPr>
              <w:instrText xml:space="preserve"> PAGEREF _Toc143696601 \h </w:instrText>
            </w:r>
            <w:r w:rsidR="00412E0D">
              <w:rPr>
                <w:noProof/>
                <w:webHidden/>
              </w:rPr>
            </w:r>
            <w:r w:rsidR="00412E0D">
              <w:rPr>
                <w:noProof/>
                <w:webHidden/>
              </w:rPr>
              <w:fldChar w:fldCharType="separate"/>
            </w:r>
            <w:r w:rsidR="0078258F">
              <w:rPr>
                <w:noProof/>
                <w:webHidden/>
              </w:rPr>
              <w:t>46</w:t>
            </w:r>
            <w:r w:rsidR="00412E0D">
              <w:rPr>
                <w:noProof/>
                <w:webHidden/>
              </w:rPr>
              <w:fldChar w:fldCharType="end"/>
            </w:r>
          </w:hyperlink>
        </w:p>
        <w:p w14:paraId="347B0A5B" w14:textId="160E3EBA" w:rsidR="00412E0D" w:rsidRDefault="008B2CF0">
          <w:pPr>
            <w:pStyle w:val="TOC2"/>
            <w:rPr>
              <w:rFonts w:eastAsiaTheme="minorEastAsia"/>
              <w:noProof/>
              <w:kern w:val="2"/>
              <w:lang w:eastAsia="en-AU"/>
              <w14:ligatures w14:val="standardContextual"/>
            </w:rPr>
          </w:pPr>
          <w:hyperlink w:anchor="_Toc143696602" w:history="1">
            <w:r w:rsidR="00412E0D" w:rsidRPr="00B460B3">
              <w:rPr>
                <w:rStyle w:val="Hyperlink"/>
                <w:noProof/>
              </w:rPr>
              <w:t>Tables</w:t>
            </w:r>
            <w:r w:rsidR="00412E0D">
              <w:rPr>
                <w:noProof/>
                <w:webHidden/>
              </w:rPr>
              <w:tab/>
            </w:r>
            <w:r w:rsidR="00412E0D">
              <w:rPr>
                <w:noProof/>
                <w:webHidden/>
              </w:rPr>
              <w:fldChar w:fldCharType="begin"/>
            </w:r>
            <w:r w:rsidR="00412E0D">
              <w:rPr>
                <w:noProof/>
                <w:webHidden/>
              </w:rPr>
              <w:instrText xml:space="preserve"> PAGEREF _Toc143696602 \h </w:instrText>
            </w:r>
            <w:r w:rsidR="00412E0D">
              <w:rPr>
                <w:noProof/>
                <w:webHidden/>
              </w:rPr>
            </w:r>
            <w:r w:rsidR="00412E0D">
              <w:rPr>
                <w:noProof/>
                <w:webHidden/>
              </w:rPr>
              <w:fldChar w:fldCharType="separate"/>
            </w:r>
            <w:r w:rsidR="0078258F">
              <w:rPr>
                <w:noProof/>
                <w:webHidden/>
              </w:rPr>
              <w:t>48</w:t>
            </w:r>
            <w:r w:rsidR="00412E0D">
              <w:rPr>
                <w:noProof/>
                <w:webHidden/>
              </w:rPr>
              <w:fldChar w:fldCharType="end"/>
            </w:r>
          </w:hyperlink>
        </w:p>
        <w:p w14:paraId="6F491BC0" w14:textId="150B991D" w:rsidR="00412E0D" w:rsidRDefault="008B2CF0" w:rsidP="00412E0D">
          <w:pPr>
            <w:pStyle w:val="TOC1"/>
            <w:rPr>
              <w:rFonts w:eastAsiaTheme="minorEastAsia"/>
              <w:noProof/>
              <w:kern w:val="2"/>
              <w:lang w:eastAsia="en-AU"/>
              <w14:ligatures w14:val="standardContextual"/>
            </w:rPr>
          </w:pPr>
          <w:hyperlink w:anchor="_Toc143696603" w:history="1">
            <w:r w:rsidR="00412E0D" w:rsidRPr="00B460B3">
              <w:rPr>
                <w:rStyle w:val="Hyperlink"/>
                <w:noProof/>
              </w:rPr>
              <w:t>ANNEXURE D</w:t>
            </w:r>
            <w:r w:rsidR="00412E0D">
              <w:rPr>
                <w:noProof/>
                <w:webHidden/>
              </w:rPr>
              <w:tab/>
            </w:r>
            <w:r w:rsidR="00412E0D">
              <w:rPr>
                <w:noProof/>
                <w:webHidden/>
              </w:rPr>
              <w:fldChar w:fldCharType="begin"/>
            </w:r>
            <w:r w:rsidR="00412E0D">
              <w:rPr>
                <w:noProof/>
                <w:webHidden/>
              </w:rPr>
              <w:instrText xml:space="preserve"> PAGEREF _Toc143696603 \h </w:instrText>
            </w:r>
            <w:r w:rsidR="00412E0D">
              <w:rPr>
                <w:noProof/>
                <w:webHidden/>
              </w:rPr>
            </w:r>
            <w:r w:rsidR="00412E0D">
              <w:rPr>
                <w:noProof/>
                <w:webHidden/>
              </w:rPr>
              <w:fldChar w:fldCharType="separate"/>
            </w:r>
            <w:r w:rsidR="0078258F">
              <w:rPr>
                <w:noProof/>
                <w:webHidden/>
              </w:rPr>
              <w:t>51</w:t>
            </w:r>
            <w:r w:rsidR="00412E0D">
              <w:rPr>
                <w:noProof/>
                <w:webHidden/>
              </w:rPr>
              <w:fldChar w:fldCharType="end"/>
            </w:r>
          </w:hyperlink>
        </w:p>
        <w:p w14:paraId="62BA74A8" w14:textId="354D5F4E" w:rsidR="00412E0D" w:rsidRDefault="008B2CF0">
          <w:pPr>
            <w:pStyle w:val="TOC2"/>
            <w:rPr>
              <w:rFonts w:eastAsiaTheme="minorEastAsia"/>
              <w:noProof/>
              <w:kern w:val="2"/>
              <w:lang w:eastAsia="en-AU"/>
              <w14:ligatures w14:val="standardContextual"/>
            </w:rPr>
          </w:pPr>
          <w:hyperlink w:anchor="_Toc143696604" w:history="1">
            <w:r w:rsidR="00412E0D" w:rsidRPr="00B460B3">
              <w:rPr>
                <w:rStyle w:val="Hyperlink"/>
                <w:noProof/>
              </w:rPr>
              <w:t>Time taken to read guidance materials and underlying cost assumptions</w:t>
            </w:r>
            <w:r w:rsidR="00412E0D">
              <w:rPr>
                <w:noProof/>
                <w:webHidden/>
              </w:rPr>
              <w:tab/>
            </w:r>
            <w:r w:rsidR="00412E0D">
              <w:rPr>
                <w:noProof/>
                <w:webHidden/>
              </w:rPr>
              <w:fldChar w:fldCharType="begin"/>
            </w:r>
            <w:r w:rsidR="00412E0D">
              <w:rPr>
                <w:noProof/>
                <w:webHidden/>
              </w:rPr>
              <w:instrText xml:space="preserve"> PAGEREF _Toc143696604 \h </w:instrText>
            </w:r>
            <w:r w:rsidR="00412E0D">
              <w:rPr>
                <w:noProof/>
                <w:webHidden/>
              </w:rPr>
            </w:r>
            <w:r w:rsidR="00412E0D">
              <w:rPr>
                <w:noProof/>
                <w:webHidden/>
              </w:rPr>
              <w:fldChar w:fldCharType="separate"/>
            </w:r>
            <w:r w:rsidR="0078258F">
              <w:rPr>
                <w:noProof/>
                <w:webHidden/>
              </w:rPr>
              <w:t>51</w:t>
            </w:r>
            <w:r w:rsidR="00412E0D">
              <w:rPr>
                <w:noProof/>
                <w:webHidden/>
              </w:rPr>
              <w:fldChar w:fldCharType="end"/>
            </w:r>
          </w:hyperlink>
        </w:p>
        <w:p w14:paraId="261A3E0E" w14:textId="71118C61" w:rsidR="00412E0D" w:rsidRDefault="008B2CF0">
          <w:pPr>
            <w:pStyle w:val="TOC2"/>
            <w:rPr>
              <w:rFonts w:eastAsiaTheme="minorEastAsia"/>
              <w:noProof/>
              <w:kern w:val="2"/>
              <w:lang w:eastAsia="en-AU"/>
              <w14:ligatures w14:val="standardContextual"/>
            </w:rPr>
          </w:pPr>
          <w:hyperlink w:anchor="_Toc143696605" w:history="1">
            <w:r w:rsidR="00412E0D" w:rsidRPr="00B460B3">
              <w:rPr>
                <w:rStyle w:val="Hyperlink"/>
                <w:noProof/>
              </w:rPr>
              <w:t>The cost to hosts</w:t>
            </w:r>
            <w:r w:rsidR="00412E0D">
              <w:rPr>
                <w:noProof/>
                <w:webHidden/>
              </w:rPr>
              <w:tab/>
            </w:r>
            <w:r w:rsidR="00412E0D">
              <w:rPr>
                <w:noProof/>
                <w:webHidden/>
              </w:rPr>
              <w:fldChar w:fldCharType="begin"/>
            </w:r>
            <w:r w:rsidR="00412E0D">
              <w:rPr>
                <w:noProof/>
                <w:webHidden/>
              </w:rPr>
              <w:instrText xml:space="preserve"> PAGEREF _Toc143696605 \h </w:instrText>
            </w:r>
            <w:r w:rsidR="00412E0D">
              <w:rPr>
                <w:noProof/>
                <w:webHidden/>
              </w:rPr>
            </w:r>
            <w:r w:rsidR="00412E0D">
              <w:rPr>
                <w:noProof/>
                <w:webHidden/>
              </w:rPr>
              <w:fldChar w:fldCharType="separate"/>
            </w:r>
            <w:r w:rsidR="0078258F">
              <w:rPr>
                <w:noProof/>
                <w:webHidden/>
              </w:rPr>
              <w:t>52</w:t>
            </w:r>
            <w:r w:rsidR="00412E0D">
              <w:rPr>
                <w:noProof/>
                <w:webHidden/>
              </w:rPr>
              <w:fldChar w:fldCharType="end"/>
            </w:r>
          </w:hyperlink>
        </w:p>
        <w:p w14:paraId="57CB5D93" w14:textId="38558048" w:rsidR="00412E0D" w:rsidRDefault="008B2CF0">
          <w:pPr>
            <w:pStyle w:val="TOC2"/>
            <w:rPr>
              <w:rFonts w:eastAsiaTheme="minorEastAsia"/>
              <w:noProof/>
              <w:kern w:val="2"/>
              <w:lang w:eastAsia="en-AU"/>
              <w14:ligatures w14:val="standardContextual"/>
            </w:rPr>
          </w:pPr>
          <w:hyperlink w:anchor="_Toc143696606" w:history="1">
            <w:r w:rsidR="00412E0D" w:rsidRPr="00B460B3">
              <w:rPr>
                <w:rStyle w:val="Hyperlink"/>
                <w:noProof/>
              </w:rPr>
              <w:t>The cost to labour hire employers</w:t>
            </w:r>
            <w:r w:rsidR="00412E0D">
              <w:rPr>
                <w:noProof/>
                <w:webHidden/>
              </w:rPr>
              <w:tab/>
            </w:r>
            <w:r w:rsidR="00412E0D">
              <w:rPr>
                <w:noProof/>
                <w:webHidden/>
              </w:rPr>
              <w:fldChar w:fldCharType="begin"/>
            </w:r>
            <w:r w:rsidR="00412E0D">
              <w:rPr>
                <w:noProof/>
                <w:webHidden/>
              </w:rPr>
              <w:instrText xml:space="preserve"> PAGEREF _Toc143696606 \h </w:instrText>
            </w:r>
            <w:r w:rsidR="00412E0D">
              <w:rPr>
                <w:noProof/>
                <w:webHidden/>
              </w:rPr>
            </w:r>
            <w:r w:rsidR="00412E0D">
              <w:rPr>
                <w:noProof/>
                <w:webHidden/>
              </w:rPr>
              <w:fldChar w:fldCharType="separate"/>
            </w:r>
            <w:r w:rsidR="0078258F">
              <w:rPr>
                <w:noProof/>
                <w:webHidden/>
              </w:rPr>
              <w:t>52</w:t>
            </w:r>
            <w:r w:rsidR="00412E0D">
              <w:rPr>
                <w:noProof/>
                <w:webHidden/>
              </w:rPr>
              <w:fldChar w:fldCharType="end"/>
            </w:r>
          </w:hyperlink>
        </w:p>
        <w:p w14:paraId="0EAD83CE" w14:textId="2FD1BCFA" w:rsidR="007855CC" w:rsidRPr="00603981" w:rsidRDefault="0095636C" w:rsidP="00206E10">
          <w:pPr>
            <w:pStyle w:val="TOC2"/>
          </w:pPr>
          <w:r w:rsidRPr="00603981">
            <w:rPr>
              <w:rFonts w:ascii="Calibri" w:eastAsiaTheme="majorEastAsia" w:hAnsi="Calibri" w:cstheme="majorBidi"/>
              <w:b/>
              <w:color w:val="343741"/>
              <w:sz w:val="32"/>
              <w:szCs w:val="32"/>
            </w:rPr>
            <w:fldChar w:fldCharType="end"/>
          </w:r>
        </w:p>
      </w:sdtContent>
    </w:sdt>
    <w:p w14:paraId="06FD9052" w14:textId="77777777" w:rsidR="00EA3E3E" w:rsidRDefault="00EA3E3E">
      <w:pPr>
        <w:spacing w:after="160" w:line="259" w:lineRule="auto"/>
        <w:rPr>
          <w:rFonts w:ascii="Calibri" w:eastAsiaTheme="majorEastAsia" w:hAnsi="Calibri" w:cstheme="majorBidi"/>
          <w:b/>
          <w:color w:val="404246"/>
          <w:sz w:val="32"/>
          <w:szCs w:val="32"/>
          <w:u w:val="single"/>
        </w:rPr>
      </w:pPr>
      <w:r>
        <w:rPr>
          <w:u w:val="single"/>
        </w:rPr>
        <w:br w:type="page"/>
      </w:r>
    </w:p>
    <w:p w14:paraId="13A7AB08" w14:textId="1526A7BC" w:rsidR="001E3F67" w:rsidRPr="00603981" w:rsidRDefault="003E1DA1" w:rsidP="001E3F67">
      <w:pPr>
        <w:pStyle w:val="Heading1"/>
        <w:jc w:val="right"/>
        <w:rPr>
          <w:b w:val="0"/>
          <w:u w:val="single"/>
        </w:rPr>
      </w:pPr>
      <w:bookmarkStart w:id="2" w:name="_Toc143696556"/>
      <w:r w:rsidRPr="00603981">
        <w:rPr>
          <w:u w:val="single"/>
        </w:rPr>
        <w:lastRenderedPageBreak/>
        <w:t>ANNEXURE A</w:t>
      </w:r>
      <w:bookmarkEnd w:id="2"/>
    </w:p>
    <w:p w14:paraId="549164F7" w14:textId="101BC029" w:rsidR="003E1DA1" w:rsidRPr="00603981" w:rsidRDefault="003E1DA1" w:rsidP="009F3110">
      <w:pPr>
        <w:spacing w:after="160" w:line="259" w:lineRule="auto"/>
        <w:jc w:val="center"/>
        <w:rPr>
          <w:b/>
          <w:bCs/>
          <w:color w:val="404246"/>
          <w:sz w:val="32"/>
          <w:szCs w:val="32"/>
        </w:rPr>
      </w:pPr>
      <w:r w:rsidRPr="00603981">
        <w:rPr>
          <w:b/>
          <w:bCs/>
          <w:color w:val="404246"/>
          <w:sz w:val="32"/>
          <w:szCs w:val="32"/>
        </w:rPr>
        <w:t xml:space="preserve">Summary of the Reviews and how they address </w:t>
      </w:r>
      <w:r w:rsidRPr="00603981">
        <w:rPr>
          <w:b/>
          <w:bCs/>
          <w:color w:val="404246"/>
          <w:sz w:val="32"/>
          <w:szCs w:val="32"/>
        </w:rPr>
        <w:br/>
        <w:t>Impact Analysis Questions 1-3</w:t>
      </w:r>
    </w:p>
    <w:p w14:paraId="68420914" w14:textId="77777777" w:rsidR="007075B5" w:rsidRPr="00603981" w:rsidRDefault="007075B5" w:rsidP="007075B5">
      <w:pPr>
        <w:pStyle w:val="Heading2"/>
      </w:pPr>
      <w:bookmarkStart w:id="3" w:name="_Toc143696557"/>
      <w:r w:rsidRPr="00603981">
        <w:t>Summary of the Reviews</w:t>
      </w:r>
      <w:bookmarkEnd w:id="3"/>
    </w:p>
    <w:p w14:paraId="48633136" w14:textId="77777777" w:rsidR="007075B5" w:rsidRPr="00603981" w:rsidRDefault="007075B5" w:rsidP="007075B5">
      <w:pPr>
        <w:pStyle w:val="Heading3"/>
      </w:pPr>
      <w:bookmarkStart w:id="4" w:name="_Toc143696558"/>
      <w:r w:rsidRPr="00603981">
        <w:t>The Reviews</w:t>
      </w:r>
      <w:bookmarkEnd w:id="4"/>
    </w:p>
    <w:p w14:paraId="2063C281" w14:textId="429FE667" w:rsidR="007075B5" w:rsidRPr="00603981" w:rsidRDefault="00807486" w:rsidP="4EC0CE1B">
      <w:pPr>
        <w:spacing w:after="160" w:line="259" w:lineRule="auto"/>
      </w:pPr>
      <w:r w:rsidRPr="00603981">
        <w:t xml:space="preserve">After consulting </w:t>
      </w:r>
      <w:r w:rsidR="007075B5" w:rsidRPr="00603981">
        <w:t>with the Office of Impact Analysis</w:t>
      </w:r>
      <w:r w:rsidR="00D91867" w:rsidRPr="00603981">
        <w:t xml:space="preserve"> (</w:t>
      </w:r>
      <w:r w:rsidR="00D91867" w:rsidRPr="00603981">
        <w:rPr>
          <w:b/>
          <w:bCs/>
        </w:rPr>
        <w:t>OIA</w:t>
      </w:r>
      <w:r w:rsidR="00D91867" w:rsidRPr="00603981">
        <w:t>)</w:t>
      </w:r>
      <w:r w:rsidRPr="00603981">
        <w:t xml:space="preserve"> in accordance with the </w:t>
      </w:r>
      <w:r w:rsidR="00C97C60" w:rsidRPr="00603981">
        <w:t>2023 Australian Government Guide to Policy Impact Analysis</w:t>
      </w:r>
      <w:r w:rsidR="007075B5" w:rsidRPr="00603981">
        <w:t>, the independent reviews listed below</w:t>
      </w:r>
      <w:r w:rsidR="00D3160A">
        <w:t xml:space="preserve"> </w:t>
      </w:r>
      <w:r w:rsidR="00D3160A" w:rsidRPr="00603981">
        <w:t>(</w:t>
      </w:r>
      <w:r w:rsidR="00D3160A" w:rsidRPr="00603981">
        <w:rPr>
          <w:b/>
          <w:bCs/>
        </w:rPr>
        <w:t>Reviews</w:t>
      </w:r>
      <w:r w:rsidR="00D3160A" w:rsidRPr="00603981">
        <w:t>)</w:t>
      </w:r>
      <w:r w:rsidR="00D3160A" w:rsidRPr="00603981">
        <w:rPr>
          <w:b/>
          <w:bCs/>
        </w:rPr>
        <w:t xml:space="preserve"> </w:t>
      </w:r>
      <w:r w:rsidR="007075B5" w:rsidRPr="00603981">
        <w:t xml:space="preserve">have been considered and relied upon by the </w:t>
      </w:r>
      <w:r w:rsidR="7B80C3A6" w:rsidRPr="00603981">
        <w:t>Department of Employment and Workplace Relations (</w:t>
      </w:r>
      <w:r w:rsidR="7B80C3A6" w:rsidRPr="00603981">
        <w:rPr>
          <w:b/>
          <w:bCs/>
        </w:rPr>
        <w:t>the</w:t>
      </w:r>
      <w:r w:rsidR="00D91867" w:rsidRPr="00603981">
        <w:rPr>
          <w:b/>
          <w:bCs/>
        </w:rPr>
        <w:t> </w:t>
      </w:r>
      <w:r w:rsidR="007075B5" w:rsidRPr="00603981">
        <w:rPr>
          <w:b/>
          <w:bCs/>
        </w:rPr>
        <w:t>department</w:t>
      </w:r>
      <w:r w:rsidR="17294B24" w:rsidRPr="00603981">
        <w:t>)</w:t>
      </w:r>
      <w:r w:rsidR="007075B5" w:rsidRPr="00603981">
        <w:t xml:space="preserve"> to satisfy impact analysis for Impact Analysis Questions 1-3,</w:t>
      </w:r>
      <w:r w:rsidR="007075B5" w:rsidRPr="00603981">
        <w:rPr>
          <w:rStyle w:val="FootnoteReference"/>
        </w:rPr>
        <w:footnoteReference w:id="2"/>
      </w:r>
      <w:r w:rsidR="007075B5" w:rsidRPr="00603981">
        <w:t xml:space="preserve"> for the Government’s ‘Closing</w:t>
      </w:r>
      <w:r w:rsidR="00D3160A">
        <w:t xml:space="preserve"> the</w:t>
      </w:r>
      <w:r w:rsidR="007075B5" w:rsidRPr="00603981">
        <w:t xml:space="preserve"> labour hire loophole’ </w:t>
      </w:r>
      <w:r w:rsidR="1C9DD8D6" w:rsidRPr="00603981">
        <w:t>election commitment</w:t>
      </w:r>
      <w:r w:rsidR="007075B5" w:rsidRPr="00603981">
        <w:t>:</w:t>
      </w:r>
    </w:p>
    <w:p w14:paraId="2E299932" w14:textId="35BFDAED" w:rsidR="007075B5" w:rsidRPr="00603981" w:rsidRDefault="007075B5" w:rsidP="00024B72">
      <w:pPr>
        <w:pStyle w:val="ListParagraph"/>
        <w:numPr>
          <w:ilvl w:val="1"/>
          <w:numId w:val="7"/>
        </w:numPr>
        <w:spacing w:after="160" w:line="259" w:lineRule="auto"/>
        <w:contextualSpacing w:val="0"/>
        <w:rPr>
          <w:rFonts w:cstheme="minorHAnsi"/>
        </w:rPr>
      </w:pPr>
      <w:r w:rsidRPr="00603981">
        <w:rPr>
          <w:rFonts w:cstheme="minorHAnsi"/>
        </w:rPr>
        <w:t>Victorian Inquiry into the Labour Hire Industry and Insecure Work (Report, 31 August 2016) (</w:t>
      </w:r>
      <w:r w:rsidRPr="00603981">
        <w:rPr>
          <w:rFonts w:cstheme="minorHAnsi"/>
          <w:b/>
          <w:bCs/>
        </w:rPr>
        <w:t>Victorian Inquiry</w:t>
      </w:r>
      <w:r w:rsidR="0034375B" w:rsidRPr="00603981">
        <w:rPr>
          <w:rFonts w:cstheme="minorHAnsi"/>
          <w:b/>
          <w:bCs/>
        </w:rPr>
        <w:t xml:space="preserve"> Report</w:t>
      </w:r>
      <w:r w:rsidRPr="00603981">
        <w:rPr>
          <w:rFonts w:cstheme="minorHAnsi"/>
        </w:rPr>
        <w:t>)</w:t>
      </w:r>
      <w:r w:rsidR="00BC056F" w:rsidRPr="00603981">
        <w:rPr>
          <w:rStyle w:val="FootnoteReference"/>
          <w:rFonts w:cstheme="minorHAnsi"/>
        </w:rPr>
        <w:footnoteReference w:id="3"/>
      </w:r>
    </w:p>
    <w:p w14:paraId="0CE6CDD6" w14:textId="461E0C14" w:rsidR="007075B5" w:rsidRPr="00603981" w:rsidRDefault="007075B5" w:rsidP="00024B72">
      <w:pPr>
        <w:pStyle w:val="ListParagraph"/>
        <w:numPr>
          <w:ilvl w:val="1"/>
          <w:numId w:val="7"/>
        </w:numPr>
        <w:spacing w:after="160" w:line="259" w:lineRule="auto"/>
        <w:contextualSpacing w:val="0"/>
        <w:rPr>
          <w:rFonts w:cstheme="minorHAnsi"/>
        </w:rPr>
      </w:pPr>
      <w:r w:rsidRPr="00603981">
        <w:rPr>
          <w:rFonts w:cstheme="minorHAnsi"/>
        </w:rPr>
        <w:t>Senate Select Committee on Job Security, Third interim report: labour hire and contracting</w:t>
      </w:r>
      <w:r w:rsidRPr="00603981">
        <w:rPr>
          <w:rFonts w:cstheme="minorHAnsi"/>
          <w:i/>
          <w:iCs/>
        </w:rPr>
        <w:t xml:space="preserve"> </w:t>
      </w:r>
      <w:r w:rsidRPr="00603981">
        <w:rPr>
          <w:rFonts w:cstheme="minorHAnsi"/>
        </w:rPr>
        <w:t>(Report, November 2021) (</w:t>
      </w:r>
      <w:r w:rsidRPr="00603981">
        <w:rPr>
          <w:rFonts w:cstheme="minorHAnsi"/>
          <w:b/>
          <w:bCs/>
        </w:rPr>
        <w:t>Third Interim Report</w:t>
      </w:r>
      <w:r w:rsidRPr="00603981">
        <w:rPr>
          <w:rFonts w:cstheme="minorHAnsi"/>
        </w:rPr>
        <w:t>)</w:t>
      </w:r>
      <w:r w:rsidR="00572732" w:rsidRPr="00603981">
        <w:rPr>
          <w:rStyle w:val="FootnoteReference"/>
          <w:rFonts w:cstheme="minorHAnsi"/>
        </w:rPr>
        <w:footnoteReference w:id="4"/>
      </w:r>
    </w:p>
    <w:p w14:paraId="0D7346D7" w14:textId="51972A59" w:rsidR="007075B5" w:rsidRPr="00603981" w:rsidRDefault="007075B5" w:rsidP="00024B72">
      <w:pPr>
        <w:pStyle w:val="ListParagraph"/>
        <w:numPr>
          <w:ilvl w:val="1"/>
          <w:numId w:val="7"/>
        </w:numPr>
        <w:spacing w:after="160" w:line="259" w:lineRule="auto"/>
        <w:contextualSpacing w:val="0"/>
        <w:rPr>
          <w:rFonts w:cstheme="minorHAnsi"/>
        </w:rPr>
      </w:pPr>
      <w:r w:rsidRPr="00603981">
        <w:rPr>
          <w:rFonts w:cstheme="minorHAnsi"/>
        </w:rPr>
        <w:t>Senate Education and Employment Legislation Committee, Fair Work Amendment (Equal Pay for Equal Work) Bill 2022 (Report, October 2022) (</w:t>
      </w:r>
      <w:r w:rsidRPr="00603981">
        <w:rPr>
          <w:rFonts w:cstheme="minorHAnsi"/>
          <w:b/>
          <w:bCs/>
        </w:rPr>
        <w:t>EPEW Report</w:t>
      </w:r>
      <w:r w:rsidRPr="00603981">
        <w:rPr>
          <w:rFonts w:cstheme="minorHAnsi"/>
        </w:rPr>
        <w:t>)</w:t>
      </w:r>
      <w:r w:rsidR="005C70C8" w:rsidRPr="00603981">
        <w:rPr>
          <w:rStyle w:val="FootnoteReference"/>
          <w:rFonts w:cstheme="minorHAnsi"/>
        </w:rPr>
        <w:footnoteReference w:id="5"/>
      </w:r>
    </w:p>
    <w:p w14:paraId="1A714D25" w14:textId="4F1D487B" w:rsidR="007075B5" w:rsidRPr="00603981" w:rsidRDefault="007075B5" w:rsidP="007075B5">
      <w:pPr>
        <w:pStyle w:val="Heading3"/>
      </w:pPr>
      <w:bookmarkStart w:id="5" w:name="_Toc143696559"/>
      <w:r w:rsidRPr="00603981">
        <w:t>Victorian Inquiry</w:t>
      </w:r>
      <w:r w:rsidR="00FB2225" w:rsidRPr="00603981">
        <w:t xml:space="preserve"> Report</w:t>
      </w:r>
      <w:bookmarkEnd w:id="5"/>
    </w:p>
    <w:p w14:paraId="07A95046" w14:textId="1E5BC757" w:rsidR="007075B5" w:rsidRPr="00603981" w:rsidRDefault="007075B5" w:rsidP="007075B5">
      <w:pPr>
        <w:spacing w:after="160" w:line="259" w:lineRule="auto"/>
        <w:rPr>
          <w:rFonts w:cstheme="minorHAnsi"/>
        </w:rPr>
      </w:pPr>
      <w:r w:rsidRPr="00603981">
        <w:rPr>
          <w:rFonts w:cstheme="minorHAnsi"/>
        </w:rPr>
        <w:t xml:space="preserve">On 13 October 2015, the Victorian Government established the Victorian Inquiry </w:t>
      </w:r>
      <w:r w:rsidR="006C0A68" w:rsidRPr="00603981">
        <w:rPr>
          <w:rFonts w:cstheme="minorHAnsi"/>
        </w:rPr>
        <w:t xml:space="preserve">into the Labour Hire Industry and Insecure Work </w:t>
      </w:r>
      <w:r w:rsidR="00BA7F02" w:rsidRPr="00603981">
        <w:rPr>
          <w:rFonts w:cstheme="minorHAnsi"/>
        </w:rPr>
        <w:t>(</w:t>
      </w:r>
      <w:r w:rsidR="00CF1B67" w:rsidRPr="00603981">
        <w:rPr>
          <w:rFonts w:cstheme="minorHAnsi"/>
          <w:b/>
          <w:bCs/>
        </w:rPr>
        <w:t>Victorian</w:t>
      </w:r>
      <w:r w:rsidR="00BA7F02" w:rsidRPr="00603981">
        <w:rPr>
          <w:rFonts w:cstheme="minorHAnsi"/>
          <w:b/>
          <w:bCs/>
        </w:rPr>
        <w:t xml:space="preserve"> Inquiry</w:t>
      </w:r>
      <w:r w:rsidR="00BA7F02" w:rsidRPr="00603981">
        <w:rPr>
          <w:rFonts w:cstheme="minorHAnsi"/>
        </w:rPr>
        <w:t xml:space="preserve">) </w:t>
      </w:r>
      <w:r w:rsidRPr="00603981">
        <w:rPr>
          <w:rFonts w:cstheme="minorHAnsi"/>
        </w:rPr>
        <w:t xml:space="preserve">to report on the extent, nature, and consequence of labour hire </w:t>
      </w:r>
      <w:r w:rsidR="00A41C35" w:rsidRPr="00603981">
        <w:rPr>
          <w:rFonts w:cstheme="minorHAnsi"/>
        </w:rPr>
        <w:t>employment</w:t>
      </w:r>
      <w:r w:rsidRPr="00603981">
        <w:rPr>
          <w:rFonts w:cstheme="minorHAnsi"/>
        </w:rPr>
        <w:t xml:space="preserve"> in Victoria.</w:t>
      </w:r>
      <w:r w:rsidRPr="00603981">
        <w:rPr>
          <w:rStyle w:val="FootnoteReference"/>
          <w:rFonts w:cstheme="minorHAnsi"/>
        </w:rPr>
        <w:footnoteReference w:id="6"/>
      </w:r>
      <w:r w:rsidRPr="00603981">
        <w:rPr>
          <w:rFonts w:cstheme="minorHAnsi"/>
        </w:rPr>
        <w:t xml:space="preserve"> </w:t>
      </w:r>
    </w:p>
    <w:p w14:paraId="05793A04" w14:textId="41FB11D2" w:rsidR="007075B5" w:rsidRPr="00603981" w:rsidRDefault="007075B5" w:rsidP="007075B5">
      <w:pPr>
        <w:spacing w:after="160" w:line="259" w:lineRule="auto"/>
        <w:rPr>
          <w:rFonts w:cstheme="minorHAnsi"/>
        </w:rPr>
      </w:pPr>
      <w:r w:rsidRPr="00603981">
        <w:rPr>
          <w:rFonts w:cstheme="minorHAnsi"/>
        </w:rPr>
        <w:t>The Victorian Inquiry received 695 primary written submissions</w:t>
      </w:r>
      <w:r w:rsidR="00191B16" w:rsidRPr="00603981">
        <w:rPr>
          <w:rFonts w:cstheme="minorHAnsi"/>
        </w:rPr>
        <w:t xml:space="preserve"> (</w:t>
      </w:r>
      <w:r w:rsidR="00B458EE" w:rsidRPr="00603981">
        <w:rPr>
          <w:rFonts w:cstheme="minorHAnsi"/>
        </w:rPr>
        <w:t>comprising 91 from organisations and 604 from individuals)</w:t>
      </w:r>
      <w:r w:rsidRPr="00603981">
        <w:rPr>
          <w:rFonts w:cstheme="minorHAnsi"/>
        </w:rPr>
        <w:t xml:space="preserve"> and heard from 221 witnesses during 113 </w:t>
      </w:r>
      <w:r w:rsidR="00B458EE" w:rsidRPr="00603981">
        <w:rPr>
          <w:rFonts w:cstheme="minorHAnsi"/>
        </w:rPr>
        <w:t xml:space="preserve">hearing </w:t>
      </w:r>
      <w:r w:rsidRPr="00603981">
        <w:rPr>
          <w:rFonts w:cstheme="minorHAnsi"/>
        </w:rPr>
        <w:t xml:space="preserve">sessions, over 17 days of hearings </w:t>
      </w:r>
      <w:r w:rsidR="00B458EE" w:rsidRPr="00603981">
        <w:rPr>
          <w:rFonts w:cstheme="minorHAnsi"/>
        </w:rPr>
        <w:t>held from</w:t>
      </w:r>
      <w:r w:rsidRPr="00603981">
        <w:rPr>
          <w:rFonts w:cstheme="minorHAnsi"/>
        </w:rPr>
        <w:t xml:space="preserve"> November 2015 to March 2016.</w:t>
      </w:r>
      <w:r w:rsidRPr="00603981">
        <w:rPr>
          <w:rStyle w:val="FootnoteReference"/>
          <w:rFonts w:cstheme="minorHAnsi"/>
        </w:rPr>
        <w:footnoteReference w:id="7"/>
      </w:r>
      <w:r w:rsidRPr="00603981">
        <w:rPr>
          <w:rFonts w:cstheme="minorHAnsi"/>
        </w:rPr>
        <w:t xml:space="preserve"> The Victorian Inquiry heard evidence from stakeholders that </w:t>
      </w:r>
      <w:r w:rsidR="002102B9" w:rsidRPr="00603981">
        <w:rPr>
          <w:rFonts w:cstheme="minorHAnsi"/>
        </w:rPr>
        <w:t xml:space="preserve">it is common for the applicable rate </w:t>
      </w:r>
      <w:r w:rsidR="00520B86">
        <w:rPr>
          <w:rFonts w:cstheme="minorHAnsi"/>
        </w:rPr>
        <w:t xml:space="preserve">of pay </w:t>
      </w:r>
      <w:r w:rsidR="002102B9" w:rsidRPr="00603981">
        <w:rPr>
          <w:rFonts w:cstheme="minorHAnsi"/>
        </w:rPr>
        <w:t xml:space="preserve">for labour hire workers at a site with an enterprise agreement </w:t>
      </w:r>
      <w:r w:rsidR="00926200" w:rsidRPr="00603981">
        <w:rPr>
          <w:rFonts w:cstheme="minorHAnsi"/>
        </w:rPr>
        <w:t xml:space="preserve">to be less than </w:t>
      </w:r>
      <w:r w:rsidR="00F87E72">
        <w:rPr>
          <w:rFonts w:cstheme="minorHAnsi"/>
        </w:rPr>
        <w:t>the rates</w:t>
      </w:r>
      <w:r w:rsidR="00F87E72" w:rsidRPr="00603981">
        <w:rPr>
          <w:rFonts w:cstheme="minorHAnsi"/>
        </w:rPr>
        <w:t xml:space="preserve"> </w:t>
      </w:r>
      <w:r w:rsidR="00926200" w:rsidRPr="00603981">
        <w:rPr>
          <w:rFonts w:cstheme="minorHAnsi"/>
        </w:rPr>
        <w:t>provided by the host’s enterprise agreement</w:t>
      </w:r>
      <w:r w:rsidRPr="00603981">
        <w:rPr>
          <w:rFonts w:cstheme="minorHAnsi"/>
        </w:rPr>
        <w:t>.</w:t>
      </w:r>
      <w:r w:rsidRPr="00603981">
        <w:rPr>
          <w:vertAlign w:val="superscript"/>
        </w:rPr>
        <w:footnoteReference w:id="8"/>
      </w:r>
    </w:p>
    <w:p w14:paraId="16B361DB" w14:textId="57E78E7D" w:rsidR="007075B5" w:rsidRPr="00603981" w:rsidRDefault="007075B5" w:rsidP="007075B5">
      <w:pPr>
        <w:spacing w:after="160" w:line="259" w:lineRule="auto"/>
        <w:rPr>
          <w:rFonts w:cstheme="minorHAnsi"/>
        </w:rPr>
      </w:pPr>
      <w:r w:rsidRPr="00603981">
        <w:rPr>
          <w:rFonts w:cstheme="minorHAnsi"/>
        </w:rPr>
        <w:lastRenderedPageBreak/>
        <w:t>In making its recommendations, the Victorian Inquiry had regard to the limitations of Victoria’s state-based legislative powers over workplace relations and the Victorian Government’s capacity to regulate these matters.</w:t>
      </w:r>
      <w:r w:rsidRPr="00603981">
        <w:rPr>
          <w:rStyle w:val="FootnoteReference"/>
          <w:rFonts w:cstheme="minorHAnsi"/>
        </w:rPr>
        <w:footnoteReference w:id="9"/>
      </w:r>
      <w:r w:rsidRPr="00603981">
        <w:rPr>
          <w:rFonts w:cstheme="minorHAnsi"/>
        </w:rPr>
        <w:t xml:space="preserve"> </w:t>
      </w:r>
      <w:r w:rsidR="00032A4B" w:rsidRPr="00603981">
        <w:rPr>
          <w:rFonts w:cstheme="minorHAnsi"/>
        </w:rPr>
        <w:t xml:space="preserve">The Victorian Inquiry Report </w:t>
      </w:r>
      <w:r w:rsidRPr="00603981">
        <w:rPr>
          <w:rFonts w:cstheme="minorHAnsi"/>
        </w:rPr>
        <w:t>recommend</w:t>
      </w:r>
      <w:r w:rsidRPr="00603981" w:rsidDel="20A55801">
        <w:rPr>
          <w:rFonts w:cstheme="minorHAnsi"/>
        </w:rPr>
        <w:t>ed</w:t>
      </w:r>
      <w:r w:rsidRPr="00603981">
        <w:rPr>
          <w:rFonts w:cstheme="minorHAnsi"/>
        </w:rPr>
        <w:t xml:space="preserve"> that labour hire workers should have the opportunity to be covered by enterprise agreements applying at a host’s workplace, and that this </w:t>
      </w:r>
      <w:r w:rsidRPr="00603981">
        <w:rPr>
          <w:rFonts w:cstheme="minorHAnsi"/>
          <w:i/>
          <w:iCs/>
        </w:rPr>
        <w:t>could</w:t>
      </w:r>
      <w:r w:rsidRPr="00603981">
        <w:rPr>
          <w:rFonts w:cstheme="minorHAnsi"/>
        </w:rPr>
        <w:t xml:space="preserve"> occur by a voluntary decision of the labour hire employer to apply the </w:t>
      </w:r>
      <w:r w:rsidR="000C5E85" w:rsidRPr="00603981">
        <w:rPr>
          <w:rFonts w:cstheme="minorHAnsi"/>
        </w:rPr>
        <w:t>host’s</w:t>
      </w:r>
      <w:r w:rsidRPr="00603981">
        <w:rPr>
          <w:rFonts w:cstheme="minorHAnsi"/>
        </w:rPr>
        <w:t xml:space="preserve"> enterprise agreement, or by </w:t>
      </w:r>
      <w:r w:rsidR="000C5E85" w:rsidRPr="00603981">
        <w:rPr>
          <w:rFonts w:cstheme="minorHAnsi"/>
        </w:rPr>
        <w:t xml:space="preserve">application of a </w:t>
      </w:r>
      <w:r w:rsidR="00533FEE">
        <w:rPr>
          <w:rFonts w:cstheme="minorHAnsi"/>
        </w:rPr>
        <w:t xml:space="preserve">pay </w:t>
      </w:r>
      <w:r w:rsidR="000C5E85" w:rsidRPr="00603981">
        <w:rPr>
          <w:rFonts w:cstheme="minorHAnsi"/>
        </w:rPr>
        <w:t xml:space="preserve">parity clause in the </w:t>
      </w:r>
      <w:r w:rsidRPr="00603981">
        <w:rPr>
          <w:rFonts w:cstheme="minorHAnsi"/>
        </w:rPr>
        <w:t>host</w:t>
      </w:r>
      <w:r w:rsidR="00A958BD" w:rsidRPr="00603981">
        <w:rPr>
          <w:rFonts w:cstheme="minorHAnsi"/>
        </w:rPr>
        <w:t>’s</w:t>
      </w:r>
      <w:r w:rsidRPr="00603981">
        <w:rPr>
          <w:rFonts w:cstheme="minorHAnsi"/>
        </w:rPr>
        <w:t xml:space="preserve"> enterprise agreement.</w:t>
      </w:r>
      <w:r w:rsidR="00A958BD" w:rsidRPr="00603981">
        <w:rPr>
          <w:rStyle w:val="FootnoteReference"/>
          <w:rFonts w:cstheme="minorHAnsi"/>
        </w:rPr>
        <w:footnoteReference w:id="10"/>
      </w:r>
    </w:p>
    <w:p w14:paraId="7ABDBD16" w14:textId="77777777" w:rsidR="007075B5" w:rsidRPr="00603981" w:rsidRDefault="007075B5" w:rsidP="007075B5">
      <w:pPr>
        <w:pStyle w:val="Heading3"/>
      </w:pPr>
      <w:bookmarkStart w:id="6" w:name="_Toc143696560"/>
      <w:r w:rsidRPr="00603981">
        <w:t>Third Interim Report</w:t>
      </w:r>
      <w:bookmarkEnd w:id="6"/>
    </w:p>
    <w:p w14:paraId="5C0BED7A" w14:textId="61E219FB" w:rsidR="007075B5" w:rsidRPr="00603981" w:rsidRDefault="007075B5" w:rsidP="007075B5">
      <w:pPr>
        <w:spacing w:after="160" w:line="259" w:lineRule="auto"/>
        <w:rPr>
          <w:rFonts w:cstheme="minorHAnsi"/>
        </w:rPr>
      </w:pPr>
      <w:r w:rsidRPr="00603981">
        <w:rPr>
          <w:rFonts w:cstheme="minorHAnsi"/>
        </w:rPr>
        <w:t xml:space="preserve">On 10 December 2020, the </w:t>
      </w:r>
      <w:r w:rsidR="00453434" w:rsidRPr="00603981">
        <w:rPr>
          <w:rFonts w:cstheme="minorHAnsi"/>
        </w:rPr>
        <w:t>Senate Select Committee on Job Security (</w:t>
      </w:r>
      <w:r w:rsidR="00453434" w:rsidRPr="00603981">
        <w:rPr>
          <w:rFonts w:cstheme="minorHAnsi"/>
          <w:b/>
          <w:bCs/>
        </w:rPr>
        <w:t>Job Security Committee</w:t>
      </w:r>
      <w:r w:rsidR="00453434" w:rsidRPr="00603981">
        <w:rPr>
          <w:rFonts w:cstheme="minorHAnsi"/>
        </w:rPr>
        <w:t>)</w:t>
      </w:r>
      <w:r w:rsidRPr="00603981">
        <w:rPr>
          <w:rFonts w:cstheme="minorHAnsi"/>
        </w:rPr>
        <w:t xml:space="preserve"> was appointed by resolution of the Senate.</w:t>
      </w:r>
      <w:r w:rsidRPr="00603981">
        <w:rPr>
          <w:rStyle w:val="FootnoteReference"/>
          <w:rFonts w:cstheme="minorHAnsi"/>
        </w:rPr>
        <w:footnoteReference w:id="11"/>
      </w:r>
      <w:r w:rsidRPr="00603981">
        <w:rPr>
          <w:rFonts w:cstheme="minorHAnsi"/>
        </w:rPr>
        <w:t xml:space="preserve"> The Job Security Committee was ‘established to enquire into and report on [among other things] the impact of insecure or precarious employment on the economy, wages, social cohesion and workplace rights and conditions’</w:t>
      </w:r>
      <w:r w:rsidR="001C6F2D">
        <w:rPr>
          <w:rFonts w:cstheme="minorHAnsi"/>
        </w:rPr>
        <w:t>,</w:t>
      </w:r>
      <w:r w:rsidRPr="00603981">
        <w:rPr>
          <w:rFonts w:cstheme="minorHAnsi"/>
          <w:color w:val="222222"/>
          <w:shd w:val="clear" w:color="auto" w:fill="FFFFFF"/>
        </w:rPr>
        <w:t xml:space="preserve"> </w:t>
      </w:r>
      <w:r w:rsidRPr="00603981">
        <w:rPr>
          <w:rFonts w:cstheme="minorHAnsi"/>
        </w:rPr>
        <w:t>with particular reference to the extent and nature of insecure or precarious employment in Australia.</w:t>
      </w:r>
      <w:r w:rsidRPr="00603981">
        <w:rPr>
          <w:rStyle w:val="FootnoteReference"/>
          <w:rFonts w:cstheme="minorHAnsi"/>
        </w:rPr>
        <w:footnoteReference w:id="12"/>
      </w:r>
    </w:p>
    <w:p w14:paraId="50A23E28" w14:textId="69522C25" w:rsidR="007075B5" w:rsidRPr="00603981" w:rsidRDefault="00326F9D" w:rsidP="007075B5">
      <w:pPr>
        <w:spacing w:after="160" w:line="259" w:lineRule="auto"/>
        <w:rPr>
          <w:rFonts w:cstheme="minorHAnsi"/>
        </w:rPr>
      </w:pPr>
      <w:r>
        <w:rPr>
          <w:rFonts w:cstheme="minorHAnsi"/>
        </w:rPr>
        <w:t>T</w:t>
      </w:r>
      <w:r w:rsidR="007075B5" w:rsidRPr="00603981">
        <w:rPr>
          <w:rFonts w:cstheme="minorHAnsi"/>
        </w:rPr>
        <w:t>he Job Security Committee published the following reports:</w:t>
      </w:r>
    </w:p>
    <w:p w14:paraId="7B376064" w14:textId="77777777" w:rsidR="007075B5" w:rsidRPr="00603981" w:rsidRDefault="007075B5" w:rsidP="00024B72">
      <w:pPr>
        <w:pStyle w:val="ListParagraph"/>
        <w:numPr>
          <w:ilvl w:val="0"/>
          <w:numId w:val="5"/>
        </w:numPr>
        <w:spacing w:after="160" w:line="259" w:lineRule="auto"/>
        <w:contextualSpacing w:val="0"/>
        <w:rPr>
          <w:rFonts w:cstheme="minorHAnsi"/>
        </w:rPr>
      </w:pPr>
      <w:r w:rsidRPr="00603981">
        <w:rPr>
          <w:rFonts w:cstheme="minorHAnsi"/>
        </w:rPr>
        <w:t>The First Interim Report on on-demand platform work in Australia (June 2021)</w:t>
      </w:r>
    </w:p>
    <w:p w14:paraId="1679D0B2" w14:textId="77777777" w:rsidR="007075B5" w:rsidRPr="00603981" w:rsidRDefault="007075B5" w:rsidP="00024B72">
      <w:pPr>
        <w:pStyle w:val="ListParagraph"/>
        <w:numPr>
          <w:ilvl w:val="0"/>
          <w:numId w:val="5"/>
        </w:numPr>
        <w:spacing w:after="160" w:line="259" w:lineRule="auto"/>
        <w:contextualSpacing w:val="0"/>
        <w:rPr>
          <w:rFonts w:cstheme="minorHAnsi"/>
        </w:rPr>
      </w:pPr>
      <w:r w:rsidRPr="00603981">
        <w:rPr>
          <w:rFonts w:cstheme="minorHAnsi"/>
        </w:rPr>
        <w:t>The Second Interim Report on insecurity in publicly-funded jobs</w:t>
      </w:r>
      <w:r w:rsidRPr="00603981" w:rsidDel="008E7246">
        <w:rPr>
          <w:rFonts w:cstheme="minorHAnsi"/>
        </w:rPr>
        <w:t xml:space="preserve"> </w:t>
      </w:r>
      <w:r w:rsidRPr="00603981">
        <w:rPr>
          <w:rFonts w:cstheme="minorHAnsi"/>
        </w:rPr>
        <w:t>(October 2021)</w:t>
      </w:r>
    </w:p>
    <w:p w14:paraId="5A47F396" w14:textId="77777777" w:rsidR="007075B5" w:rsidRPr="00603981" w:rsidRDefault="007075B5" w:rsidP="00024B72">
      <w:pPr>
        <w:pStyle w:val="ListParagraph"/>
        <w:numPr>
          <w:ilvl w:val="0"/>
          <w:numId w:val="5"/>
        </w:numPr>
        <w:spacing w:after="160" w:line="259" w:lineRule="auto"/>
        <w:contextualSpacing w:val="0"/>
        <w:rPr>
          <w:rFonts w:cstheme="minorHAnsi"/>
        </w:rPr>
      </w:pPr>
      <w:r w:rsidRPr="00603981">
        <w:rPr>
          <w:rFonts w:cstheme="minorHAnsi"/>
        </w:rPr>
        <w:t>The Third Interim Report on labour hire and contracting (November 2021)</w:t>
      </w:r>
    </w:p>
    <w:p w14:paraId="1558A0CE" w14:textId="77777777" w:rsidR="007075B5" w:rsidRPr="00603981" w:rsidRDefault="007075B5" w:rsidP="00024B72">
      <w:pPr>
        <w:pStyle w:val="ListParagraph"/>
        <w:numPr>
          <w:ilvl w:val="0"/>
          <w:numId w:val="5"/>
        </w:numPr>
        <w:spacing w:after="160" w:line="259" w:lineRule="auto"/>
        <w:contextualSpacing w:val="0"/>
        <w:rPr>
          <w:rFonts w:cstheme="minorHAnsi"/>
        </w:rPr>
      </w:pPr>
      <w:r w:rsidRPr="00603981">
        <w:rPr>
          <w:rFonts w:cstheme="minorHAnsi"/>
        </w:rPr>
        <w:t>The Fourth Interim Report on job insecurity (February 2022)</w:t>
      </w:r>
    </w:p>
    <w:p w14:paraId="041DB41D" w14:textId="77777777" w:rsidR="007075B5" w:rsidRPr="00603981" w:rsidRDefault="007075B5" w:rsidP="00024B72">
      <w:pPr>
        <w:pStyle w:val="ListParagraph"/>
        <w:numPr>
          <w:ilvl w:val="0"/>
          <w:numId w:val="5"/>
        </w:numPr>
        <w:spacing w:after="160" w:line="259" w:lineRule="auto"/>
        <w:contextualSpacing w:val="0"/>
        <w:rPr>
          <w:rFonts w:cstheme="minorHAnsi"/>
        </w:rPr>
      </w:pPr>
      <w:r w:rsidRPr="00603981">
        <w:rPr>
          <w:rFonts w:cstheme="minorHAnsi"/>
        </w:rPr>
        <w:t>The Final Report on the matter of possible privilege (March 2022)</w:t>
      </w:r>
    </w:p>
    <w:p w14:paraId="194E29FB" w14:textId="10748660" w:rsidR="00D23166" w:rsidRPr="00603981" w:rsidRDefault="6BA5D00B" w:rsidP="4EC0CE1B">
      <w:pPr>
        <w:spacing w:after="160" w:line="259" w:lineRule="auto"/>
      </w:pPr>
      <w:r w:rsidRPr="00603981">
        <w:t xml:space="preserve">The Third Interim Report is directly relevant to the Government’s ‘Closing </w:t>
      </w:r>
      <w:r w:rsidR="00AD60E7">
        <w:t xml:space="preserve">the </w:t>
      </w:r>
      <w:r w:rsidRPr="00603981">
        <w:t xml:space="preserve">labour hire loophole’ proposal. </w:t>
      </w:r>
    </w:p>
    <w:p w14:paraId="029375A2" w14:textId="63E5D648" w:rsidR="007075B5" w:rsidRPr="00603981" w:rsidRDefault="00F82978" w:rsidP="4EC0CE1B">
      <w:pPr>
        <w:spacing w:after="160" w:line="259" w:lineRule="auto"/>
      </w:pPr>
      <w:r>
        <w:t>When</w:t>
      </w:r>
      <w:r w:rsidR="6BA5D00B" w:rsidRPr="00603981">
        <w:t xml:space="preserve"> the Third Interim Report </w:t>
      </w:r>
      <w:r>
        <w:t xml:space="preserve">was published </w:t>
      </w:r>
      <w:r w:rsidR="6BA5D00B" w:rsidRPr="00603981">
        <w:t xml:space="preserve">in November 2021, the Job Security Committee had held 20 public hearings, 6 </w:t>
      </w:r>
      <w:r w:rsidR="0014211F" w:rsidRPr="00603981">
        <w:t>private</w:t>
      </w:r>
      <w:r w:rsidR="6BA5D00B" w:rsidRPr="00603981">
        <w:t xml:space="preserve"> hearings, and received and published 219 submissions.</w:t>
      </w:r>
      <w:r w:rsidR="007075B5" w:rsidRPr="00603981">
        <w:rPr>
          <w:rStyle w:val="FootnoteReference"/>
        </w:rPr>
        <w:footnoteReference w:id="13"/>
      </w:r>
      <w:r w:rsidR="6BA5D00B" w:rsidRPr="00603981">
        <w:t xml:space="preserve"> The Job</w:t>
      </w:r>
      <w:r>
        <w:t> </w:t>
      </w:r>
      <w:r w:rsidR="6BA5D00B" w:rsidRPr="00603981">
        <w:t>Security Committee heard from workers, employers, unions, experts, sector organisations and industry bodies, and collected a significant amount of data and information from government agencies, private companies, and not-for-profit services providers.</w:t>
      </w:r>
      <w:r w:rsidR="004B0910" w:rsidRPr="00603981">
        <w:rPr>
          <w:rStyle w:val="FootnoteReference"/>
        </w:rPr>
        <w:footnoteReference w:id="14"/>
      </w:r>
    </w:p>
    <w:p w14:paraId="6E148B0F" w14:textId="77777777" w:rsidR="007075B5" w:rsidRPr="00603981" w:rsidRDefault="007075B5" w:rsidP="007075B5">
      <w:pPr>
        <w:spacing w:after="160" w:line="259" w:lineRule="auto"/>
        <w:rPr>
          <w:rFonts w:cstheme="minorHAnsi"/>
        </w:rPr>
      </w:pPr>
      <w:r w:rsidRPr="00603981">
        <w:rPr>
          <w:rFonts w:cstheme="minorHAnsi"/>
        </w:rPr>
        <w:t xml:space="preserve">The Third Interim Report recommended that the Government amend the </w:t>
      </w:r>
      <w:r w:rsidRPr="00603981">
        <w:rPr>
          <w:rFonts w:cstheme="minorHAnsi"/>
          <w:i/>
          <w:iCs/>
        </w:rPr>
        <w:t xml:space="preserve">Fair Work Act 2009 </w:t>
      </w:r>
      <w:r w:rsidRPr="00603981">
        <w:rPr>
          <w:rFonts w:cstheme="minorHAnsi"/>
        </w:rPr>
        <w:t>(</w:t>
      </w:r>
      <w:r w:rsidRPr="00603981">
        <w:rPr>
          <w:rFonts w:cstheme="minorHAnsi"/>
          <w:b/>
          <w:bCs/>
        </w:rPr>
        <w:t>Fair Work Act</w:t>
      </w:r>
      <w:r w:rsidRPr="00603981">
        <w:rPr>
          <w:rFonts w:cstheme="minorHAnsi"/>
        </w:rPr>
        <w:t>) to ensure the wages and conditions of labour hire workers are at least equivalent to those that would apply had those workers been directly employed by their host entities.</w:t>
      </w:r>
      <w:r w:rsidRPr="00603981">
        <w:rPr>
          <w:rStyle w:val="FootnoteReference"/>
          <w:rFonts w:cstheme="minorHAnsi"/>
        </w:rPr>
        <w:footnoteReference w:id="15"/>
      </w:r>
    </w:p>
    <w:p w14:paraId="2527BC09" w14:textId="77777777" w:rsidR="007075B5" w:rsidRPr="00603981" w:rsidRDefault="007075B5" w:rsidP="007075B5">
      <w:pPr>
        <w:pStyle w:val="Heading3"/>
      </w:pPr>
      <w:bookmarkStart w:id="7" w:name="_Toc143696561"/>
      <w:r w:rsidRPr="00603981">
        <w:t>EPEW Report</w:t>
      </w:r>
      <w:bookmarkEnd w:id="7"/>
    </w:p>
    <w:p w14:paraId="006559F3" w14:textId="1933D7C3" w:rsidR="007075B5" w:rsidRPr="00603981" w:rsidRDefault="007075B5" w:rsidP="007075B5">
      <w:pPr>
        <w:spacing w:after="160" w:line="259" w:lineRule="auto"/>
        <w:rPr>
          <w:rFonts w:cstheme="minorHAnsi"/>
        </w:rPr>
      </w:pPr>
      <w:r w:rsidRPr="00603981">
        <w:rPr>
          <w:rFonts w:cstheme="minorHAnsi"/>
        </w:rPr>
        <w:t>On 10 February 2022, the Fair Work Amendment (Equal Pay for Equal Work) Bill 2022 (</w:t>
      </w:r>
      <w:r w:rsidRPr="00603981">
        <w:rPr>
          <w:rFonts w:cstheme="minorHAnsi"/>
          <w:b/>
          <w:bCs/>
        </w:rPr>
        <w:t>EPEW Bill</w:t>
      </w:r>
      <w:r w:rsidRPr="00603981">
        <w:rPr>
          <w:rFonts w:cstheme="minorHAnsi"/>
        </w:rPr>
        <w:t>) was introduced to the Parliament by Senator Malcolm Roberts. On 28 July 2022, the EPEW Bill was referred to the Senate Education and Employment Legislation Committee</w:t>
      </w:r>
      <w:r w:rsidR="00D5036E" w:rsidRPr="00603981">
        <w:rPr>
          <w:rFonts w:cstheme="minorHAnsi"/>
        </w:rPr>
        <w:t xml:space="preserve"> (</w:t>
      </w:r>
      <w:r w:rsidR="005D65D8" w:rsidRPr="00603981">
        <w:rPr>
          <w:rFonts w:cstheme="minorHAnsi"/>
          <w:b/>
          <w:bCs/>
        </w:rPr>
        <w:t xml:space="preserve">SEEL </w:t>
      </w:r>
      <w:r w:rsidR="00D5036E" w:rsidRPr="00603981">
        <w:rPr>
          <w:rFonts w:cstheme="minorHAnsi"/>
          <w:b/>
          <w:bCs/>
        </w:rPr>
        <w:t>Committee</w:t>
      </w:r>
      <w:r w:rsidR="00D5036E" w:rsidRPr="00603981">
        <w:rPr>
          <w:rFonts w:cstheme="minorHAnsi"/>
        </w:rPr>
        <w:t>)</w:t>
      </w:r>
      <w:r w:rsidRPr="00603981">
        <w:rPr>
          <w:rFonts w:cstheme="minorHAnsi"/>
        </w:rPr>
        <w:t xml:space="preserve">. </w:t>
      </w:r>
      <w:r w:rsidRPr="00603981">
        <w:rPr>
          <w:rFonts w:cstheme="minorHAnsi"/>
        </w:rPr>
        <w:lastRenderedPageBreak/>
        <w:t>On</w:t>
      </w:r>
      <w:r w:rsidR="00B84660" w:rsidRPr="00603981">
        <w:rPr>
          <w:rFonts w:cstheme="minorHAnsi"/>
        </w:rPr>
        <w:t> </w:t>
      </w:r>
      <w:r w:rsidRPr="00603981">
        <w:rPr>
          <w:rFonts w:cstheme="minorHAnsi"/>
        </w:rPr>
        <w:t>24</w:t>
      </w:r>
      <w:r w:rsidR="00B949BB" w:rsidRPr="00603981">
        <w:rPr>
          <w:rFonts w:cstheme="minorHAnsi"/>
        </w:rPr>
        <w:t> </w:t>
      </w:r>
      <w:r w:rsidRPr="00603981">
        <w:rPr>
          <w:rFonts w:cstheme="minorHAnsi"/>
        </w:rPr>
        <w:t xml:space="preserve">October 2022, the </w:t>
      </w:r>
      <w:r w:rsidR="005D65D8" w:rsidRPr="00603981">
        <w:rPr>
          <w:rFonts w:cstheme="minorHAnsi"/>
        </w:rPr>
        <w:t xml:space="preserve">SEEL </w:t>
      </w:r>
      <w:r w:rsidRPr="00603981">
        <w:rPr>
          <w:rFonts w:cstheme="minorHAnsi"/>
        </w:rPr>
        <w:t>Committee issued a report on the EPEW Bill, having held one public hearing, and having received and published 18 submissions.</w:t>
      </w:r>
    </w:p>
    <w:p w14:paraId="4B3866FD" w14:textId="035A7661" w:rsidR="007075B5" w:rsidRPr="00603981" w:rsidRDefault="007075B5" w:rsidP="007075B5">
      <w:pPr>
        <w:spacing w:after="160" w:line="259" w:lineRule="auto"/>
        <w:rPr>
          <w:rFonts w:cstheme="minorHAnsi"/>
        </w:rPr>
      </w:pPr>
      <w:r w:rsidRPr="00603981">
        <w:rPr>
          <w:rFonts w:cstheme="minorHAnsi"/>
        </w:rPr>
        <w:t xml:space="preserve">While recommending that the EPEW Bill not be passed (including because of its limited scope), the </w:t>
      </w:r>
      <w:r w:rsidR="005D65D8" w:rsidRPr="00603981">
        <w:rPr>
          <w:rFonts w:cstheme="minorHAnsi"/>
        </w:rPr>
        <w:t xml:space="preserve">SEEL </w:t>
      </w:r>
      <w:r w:rsidRPr="00603981">
        <w:rPr>
          <w:rFonts w:cstheme="minorHAnsi"/>
        </w:rPr>
        <w:t>Committee supported calls for the Government to work with stakeholders to give effect to the policy intent behind the EPEW Bill in a more comprehensive manner</w:t>
      </w:r>
      <w:r w:rsidR="00720B7C" w:rsidRPr="00603981">
        <w:rPr>
          <w:rFonts w:cstheme="minorHAnsi"/>
        </w:rPr>
        <w:t>,</w:t>
      </w:r>
      <w:r w:rsidRPr="00603981">
        <w:rPr>
          <w:rStyle w:val="FootnoteReference"/>
          <w:rFonts w:cstheme="minorHAnsi"/>
        </w:rPr>
        <w:footnoteReference w:id="16"/>
      </w:r>
      <w:r w:rsidR="00720B7C" w:rsidRPr="00603981">
        <w:rPr>
          <w:rFonts w:cstheme="minorHAnsi"/>
        </w:rPr>
        <w:t xml:space="preserve"> </w:t>
      </w:r>
      <w:r w:rsidR="00015D48" w:rsidRPr="00603981">
        <w:rPr>
          <w:rFonts w:cstheme="minorHAnsi"/>
        </w:rPr>
        <w:t>given</w:t>
      </w:r>
      <w:r w:rsidR="00720B7C" w:rsidRPr="00603981">
        <w:rPr>
          <w:rFonts w:cstheme="minorHAnsi"/>
        </w:rPr>
        <w:t xml:space="preserve"> the Committee broadly supported the aim of the EPEW Bill to ensure that a labour hire </w:t>
      </w:r>
      <w:r w:rsidR="00DD296B" w:rsidRPr="00603981">
        <w:rPr>
          <w:rFonts w:cstheme="minorHAnsi"/>
        </w:rPr>
        <w:t>worker</w:t>
      </w:r>
      <w:r w:rsidR="00720B7C" w:rsidRPr="00603981">
        <w:rPr>
          <w:rFonts w:cstheme="minorHAnsi"/>
        </w:rPr>
        <w:t xml:space="preserve"> doing the same job as a directly engaged employee</w:t>
      </w:r>
      <w:r w:rsidR="00DD296B" w:rsidRPr="00603981">
        <w:rPr>
          <w:rFonts w:cstheme="minorHAnsi"/>
        </w:rPr>
        <w:t xml:space="preserve"> receives the same rate of pay</w:t>
      </w:r>
      <w:r w:rsidR="00AE441A" w:rsidRPr="00603981">
        <w:rPr>
          <w:rFonts w:cstheme="minorHAnsi"/>
        </w:rPr>
        <w:t>.</w:t>
      </w:r>
      <w:r w:rsidRPr="00603981">
        <w:rPr>
          <w:rStyle w:val="FootnoteReference"/>
          <w:rFonts w:eastAsia="Calibri" w:cstheme="minorHAnsi"/>
          <w:color w:val="000000" w:themeColor="text1"/>
        </w:rPr>
        <w:footnoteReference w:id="17"/>
      </w:r>
      <w:r w:rsidRPr="00603981">
        <w:rPr>
          <w:rFonts w:eastAsia="Calibri" w:cstheme="minorHAnsi"/>
        </w:rPr>
        <w:t xml:space="preserve"> </w:t>
      </w:r>
      <w:r w:rsidRPr="00603981">
        <w:rPr>
          <w:rFonts w:eastAsia="Calibri" w:cstheme="minorHAnsi"/>
          <w:color w:val="000000" w:themeColor="text1"/>
        </w:rPr>
        <w:t xml:space="preserve">The Government’s ‘Closing </w:t>
      </w:r>
      <w:r w:rsidR="00790A4C">
        <w:rPr>
          <w:rFonts w:eastAsia="Calibri" w:cstheme="minorHAnsi"/>
          <w:color w:val="000000" w:themeColor="text1"/>
        </w:rPr>
        <w:t xml:space="preserve">the </w:t>
      </w:r>
      <w:r w:rsidRPr="00603981">
        <w:rPr>
          <w:rFonts w:eastAsia="Calibri" w:cstheme="minorHAnsi"/>
          <w:color w:val="000000" w:themeColor="text1"/>
        </w:rPr>
        <w:t>labour hire loophole’ proposal broadly aligns with this policy intent, with respect to limiting the circumstances in which the use of labour hire undercuts the wages in enterprise agreements.</w:t>
      </w:r>
    </w:p>
    <w:p w14:paraId="4DD3DC17" w14:textId="77777777" w:rsidR="007075B5" w:rsidRPr="00603981" w:rsidRDefault="007075B5" w:rsidP="007075B5">
      <w:pPr>
        <w:pStyle w:val="Heading2"/>
      </w:pPr>
      <w:bookmarkStart w:id="8" w:name="_Toc143696562"/>
      <w:r w:rsidRPr="00603981">
        <w:t xml:space="preserve">Impact Analysis Question 1: </w:t>
      </w:r>
      <w:r w:rsidRPr="00603981">
        <w:br/>
        <w:t>What is the problem you are trying to solve and what data is available?</w:t>
      </w:r>
      <w:bookmarkEnd w:id="8"/>
    </w:p>
    <w:p w14:paraId="53AF40F6" w14:textId="6CD0BD3F" w:rsidR="007075B5" w:rsidRPr="00603981" w:rsidRDefault="007075B5" w:rsidP="4EC0CE1B">
      <w:pPr>
        <w:spacing w:after="160" w:line="259" w:lineRule="auto"/>
        <w:rPr>
          <w:rFonts w:cstheme="minorHAnsi"/>
        </w:rPr>
      </w:pPr>
      <w:r w:rsidRPr="00603981">
        <w:rPr>
          <w:rFonts w:cstheme="minorHAnsi"/>
        </w:rPr>
        <w:t xml:space="preserve">The policy problem the Government is addressing with its ‘Closing </w:t>
      </w:r>
      <w:r w:rsidR="003A5CC6">
        <w:rPr>
          <w:rFonts w:cstheme="minorHAnsi"/>
        </w:rPr>
        <w:t xml:space="preserve">the </w:t>
      </w:r>
      <w:r w:rsidRPr="00603981">
        <w:rPr>
          <w:rFonts w:cstheme="minorHAnsi"/>
        </w:rPr>
        <w:t xml:space="preserve">labour hire loophole’ proposal is that bargained wages in enterprise agreements can be undercut by the use of </w:t>
      </w:r>
      <w:r w:rsidR="00281690" w:rsidRPr="00603981">
        <w:rPr>
          <w:rFonts w:cstheme="minorHAnsi"/>
        </w:rPr>
        <w:t xml:space="preserve">labour hire </w:t>
      </w:r>
      <w:r w:rsidR="00465178">
        <w:rPr>
          <w:rFonts w:cstheme="minorHAnsi"/>
        </w:rPr>
        <w:t>employees</w:t>
      </w:r>
      <w:r w:rsidR="00465178" w:rsidRPr="00603981">
        <w:rPr>
          <w:rFonts w:cstheme="minorHAnsi"/>
        </w:rPr>
        <w:t xml:space="preserve"> </w:t>
      </w:r>
      <w:r w:rsidRPr="00603981">
        <w:rPr>
          <w:rFonts w:cstheme="minorHAnsi"/>
        </w:rPr>
        <w:t xml:space="preserve">who are paid less than the wages </w:t>
      </w:r>
      <w:r w:rsidR="00465178">
        <w:rPr>
          <w:rFonts w:cstheme="minorHAnsi"/>
        </w:rPr>
        <w:t>set out</w:t>
      </w:r>
      <w:r w:rsidR="0001038E" w:rsidRPr="00603981">
        <w:rPr>
          <w:rFonts w:cstheme="minorHAnsi"/>
        </w:rPr>
        <w:t xml:space="preserve"> </w:t>
      </w:r>
      <w:r w:rsidRPr="00603981">
        <w:rPr>
          <w:rFonts w:cstheme="minorHAnsi"/>
        </w:rPr>
        <w:t>in the host</w:t>
      </w:r>
      <w:r w:rsidR="00032766" w:rsidRPr="00603981">
        <w:rPr>
          <w:rFonts w:cstheme="minorHAnsi"/>
        </w:rPr>
        <w:t xml:space="preserve"> employer’s</w:t>
      </w:r>
      <w:r w:rsidRPr="00603981">
        <w:rPr>
          <w:rFonts w:cstheme="minorHAnsi"/>
        </w:rPr>
        <w:t xml:space="preserve"> enterprise agreement.</w:t>
      </w:r>
    </w:p>
    <w:p w14:paraId="13759BB8" w14:textId="1BC56327" w:rsidR="00E55277" w:rsidRDefault="00D21E05" w:rsidP="00D21E05">
      <w:pPr>
        <w:spacing w:after="160" w:line="259" w:lineRule="auto"/>
        <w:rPr>
          <w:rStyle w:val="cf01"/>
          <w:rFonts w:asciiTheme="minorHAnsi" w:hAnsiTheme="minorHAnsi" w:cstheme="minorBidi"/>
          <w:sz w:val="22"/>
          <w:szCs w:val="22"/>
        </w:rPr>
      </w:pPr>
      <w:r w:rsidRPr="00603981">
        <w:rPr>
          <w:rStyle w:val="cf01"/>
          <w:rFonts w:asciiTheme="minorHAnsi" w:hAnsiTheme="minorHAnsi" w:cstheme="minorBidi"/>
          <w:sz w:val="22"/>
          <w:szCs w:val="22"/>
        </w:rPr>
        <w:t xml:space="preserve">Addressing the disparate wage payments made to some labour hire </w:t>
      </w:r>
      <w:r w:rsidR="00465178">
        <w:rPr>
          <w:rStyle w:val="cf01"/>
          <w:rFonts w:asciiTheme="minorHAnsi" w:hAnsiTheme="minorHAnsi" w:cstheme="minorBidi"/>
          <w:sz w:val="22"/>
          <w:szCs w:val="22"/>
        </w:rPr>
        <w:t>employees</w:t>
      </w:r>
      <w:r w:rsidRPr="00603981">
        <w:rPr>
          <w:rStyle w:val="cf01"/>
          <w:rFonts w:asciiTheme="minorHAnsi" w:hAnsiTheme="minorHAnsi" w:cstheme="minorBidi"/>
          <w:sz w:val="22"/>
          <w:szCs w:val="22"/>
        </w:rPr>
        <w:t xml:space="preserve">, compared with the wages paid to </w:t>
      </w:r>
      <w:r w:rsidR="00465178">
        <w:rPr>
          <w:rStyle w:val="cf01"/>
          <w:rFonts w:asciiTheme="minorHAnsi" w:hAnsiTheme="minorHAnsi" w:cstheme="minorBidi"/>
          <w:sz w:val="22"/>
          <w:szCs w:val="22"/>
        </w:rPr>
        <w:t>host</w:t>
      </w:r>
      <w:r w:rsidRPr="00603981">
        <w:rPr>
          <w:rStyle w:val="cf01"/>
          <w:rFonts w:asciiTheme="minorHAnsi" w:hAnsiTheme="minorHAnsi" w:cstheme="minorBidi"/>
          <w:sz w:val="22"/>
          <w:szCs w:val="22"/>
        </w:rPr>
        <w:t xml:space="preserve"> employees under a host’s enterprise agreement, is consistent with the Government’s Secure Australian Jobs election commitment to address circumstances in </w:t>
      </w:r>
      <w:r w:rsidR="0097336D" w:rsidRPr="00603981">
        <w:rPr>
          <w:rStyle w:val="cf01"/>
          <w:rFonts w:asciiTheme="minorHAnsi" w:hAnsiTheme="minorHAnsi" w:cstheme="minorBidi"/>
          <w:sz w:val="22"/>
          <w:szCs w:val="22"/>
        </w:rPr>
        <w:t xml:space="preserve">which </w:t>
      </w:r>
      <w:r w:rsidRPr="00603981">
        <w:rPr>
          <w:rStyle w:val="cf01"/>
          <w:rFonts w:asciiTheme="minorHAnsi" w:hAnsiTheme="minorHAnsi" w:cstheme="minorBidi"/>
          <w:sz w:val="22"/>
          <w:szCs w:val="22"/>
        </w:rPr>
        <w:t xml:space="preserve">workers doing comparable work on the same site, working the same shifts, are paid differently. </w:t>
      </w:r>
    </w:p>
    <w:p w14:paraId="49DBD566" w14:textId="7B854CC3" w:rsidR="00D21E05" w:rsidRPr="00603981" w:rsidRDefault="00E55277" w:rsidP="00D21E05">
      <w:pPr>
        <w:spacing w:after="160" w:line="259" w:lineRule="auto"/>
        <w:rPr>
          <w:rStyle w:val="cf01"/>
          <w:rFonts w:asciiTheme="minorHAnsi" w:hAnsiTheme="minorHAnsi" w:cstheme="minorBidi"/>
          <w:sz w:val="22"/>
          <w:szCs w:val="22"/>
        </w:rPr>
      </w:pPr>
      <w:r>
        <w:rPr>
          <w:rStyle w:val="cf01"/>
          <w:rFonts w:asciiTheme="minorHAnsi" w:hAnsiTheme="minorHAnsi" w:cstheme="minorBidi"/>
          <w:sz w:val="22"/>
          <w:szCs w:val="22"/>
        </w:rPr>
        <w:t>T</w:t>
      </w:r>
      <w:r w:rsidR="00D21E05" w:rsidRPr="00603981">
        <w:rPr>
          <w:rStyle w:val="cf01"/>
          <w:rFonts w:asciiTheme="minorHAnsi" w:hAnsiTheme="minorHAnsi" w:cstheme="minorBidi"/>
          <w:sz w:val="22"/>
          <w:szCs w:val="22"/>
        </w:rPr>
        <w:t xml:space="preserve">his issue </w:t>
      </w:r>
      <w:r w:rsidR="0014219B" w:rsidRPr="00603981">
        <w:rPr>
          <w:rStyle w:val="cf01"/>
          <w:rFonts w:asciiTheme="minorHAnsi" w:hAnsiTheme="minorHAnsi" w:cstheme="minorBidi"/>
          <w:sz w:val="22"/>
          <w:szCs w:val="22"/>
        </w:rPr>
        <w:t>does not</w:t>
      </w:r>
      <w:r w:rsidR="00D21E05" w:rsidRPr="00603981">
        <w:rPr>
          <w:rStyle w:val="cf01"/>
          <w:rFonts w:asciiTheme="minorHAnsi" w:hAnsiTheme="minorHAnsi" w:cstheme="minorBidi"/>
          <w:sz w:val="22"/>
          <w:szCs w:val="22"/>
        </w:rPr>
        <w:t xml:space="preserve"> impact all labour hire </w:t>
      </w:r>
      <w:r w:rsidR="00905D32">
        <w:rPr>
          <w:rStyle w:val="cf01"/>
          <w:rFonts w:asciiTheme="minorHAnsi" w:hAnsiTheme="minorHAnsi" w:cstheme="minorBidi"/>
          <w:sz w:val="22"/>
          <w:szCs w:val="22"/>
        </w:rPr>
        <w:t>employees</w:t>
      </w:r>
      <w:r w:rsidR="00D21E05" w:rsidRPr="00603981">
        <w:rPr>
          <w:rStyle w:val="cf01"/>
          <w:rFonts w:asciiTheme="minorHAnsi" w:hAnsiTheme="minorHAnsi" w:cstheme="minorBidi"/>
          <w:sz w:val="22"/>
          <w:szCs w:val="22"/>
        </w:rPr>
        <w:t xml:space="preserve"> or </w:t>
      </w:r>
      <w:r w:rsidR="00125A7B" w:rsidRPr="00603981">
        <w:rPr>
          <w:rStyle w:val="cf01"/>
          <w:rFonts w:asciiTheme="minorHAnsi" w:hAnsiTheme="minorHAnsi" w:cstheme="minorBidi"/>
          <w:sz w:val="22"/>
          <w:szCs w:val="22"/>
        </w:rPr>
        <w:t>have</w:t>
      </w:r>
      <w:r w:rsidR="00D21E05" w:rsidRPr="00603981">
        <w:rPr>
          <w:rStyle w:val="cf01"/>
          <w:rFonts w:asciiTheme="minorHAnsi" w:hAnsiTheme="minorHAnsi" w:cstheme="minorBidi"/>
          <w:sz w:val="22"/>
          <w:szCs w:val="22"/>
        </w:rPr>
        <w:t xml:space="preserve"> a direct impact on the majority of Australian workers. However, the undercutting of bargained wages</w:t>
      </w:r>
      <w:r w:rsidR="002C6F54">
        <w:rPr>
          <w:rStyle w:val="cf01"/>
          <w:rFonts w:asciiTheme="minorHAnsi" w:hAnsiTheme="minorHAnsi" w:cstheme="minorBidi"/>
          <w:sz w:val="22"/>
          <w:szCs w:val="22"/>
        </w:rPr>
        <w:t xml:space="preserve"> – </w:t>
      </w:r>
      <w:r w:rsidR="009559B0" w:rsidRPr="00603981">
        <w:rPr>
          <w:rStyle w:val="cf01"/>
          <w:rFonts w:asciiTheme="minorHAnsi" w:hAnsiTheme="minorHAnsi" w:cstheme="minorBidi"/>
          <w:sz w:val="22"/>
          <w:szCs w:val="22"/>
        </w:rPr>
        <w:t xml:space="preserve">which </w:t>
      </w:r>
      <w:r w:rsidR="00B4640B">
        <w:rPr>
          <w:rStyle w:val="cf01"/>
          <w:rFonts w:asciiTheme="minorHAnsi" w:hAnsiTheme="minorHAnsi" w:cstheme="minorBidi"/>
          <w:sz w:val="22"/>
          <w:szCs w:val="22"/>
        </w:rPr>
        <w:t xml:space="preserve">have been agreed by employees and their employer as minimum rates of pay </w:t>
      </w:r>
      <w:r w:rsidR="002C6F54">
        <w:rPr>
          <w:rStyle w:val="cf01"/>
          <w:rFonts w:asciiTheme="minorHAnsi" w:hAnsiTheme="minorHAnsi" w:cstheme="minorBidi"/>
          <w:sz w:val="22"/>
          <w:szCs w:val="22"/>
        </w:rPr>
        <w:t xml:space="preserve">for </w:t>
      </w:r>
      <w:r w:rsidR="00D21E05" w:rsidRPr="00603981">
        <w:rPr>
          <w:rStyle w:val="cf01"/>
          <w:rFonts w:asciiTheme="minorHAnsi" w:hAnsiTheme="minorHAnsi" w:cstheme="minorBidi"/>
          <w:sz w:val="22"/>
          <w:szCs w:val="22"/>
        </w:rPr>
        <w:t>a workplace</w:t>
      </w:r>
      <w:r w:rsidR="002C6F54">
        <w:rPr>
          <w:rStyle w:val="cf01"/>
          <w:rFonts w:asciiTheme="minorHAnsi" w:hAnsiTheme="minorHAnsi" w:cstheme="minorBidi"/>
          <w:sz w:val="22"/>
          <w:szCs w:val="22"/>
        </w:rPr>
        <w:t xml:space="preserve"> – by</w:t>
      </w:r>
      <w:r w:rsidR="00387212" w:rsidRPr="00603981">
        <w:rPr>
          <w:rStyle w:val="cf01"/>
          <w:rFonts w:asciiTheme="minorHAnsi" w:hAnsiTheme="minorHAnsi" w:cstheme="minorBidi"/>
          <w:sz w:val="22"/>
          <w:szCs w:val="22"/>
        </w:rPr>
        <w:t xml:space="preserve"> the use of labour hire </w:t>
      </w:r>
      <w:r w:rsidR="00D21E05" w:rsidRPr="00603981">
        <w:rPr>
          <w:rStyle w:val="cf01"/>
          <w:rFonts w:asciiTheme="minorHAnsi" w:hAnsiTheme="minorHAnsi" w:cstheme="minorBidi"/>
          <w:sz w:val="22"/>
          <w:szCs w:val="22"/>
        </w:rPr>
        <w:t>is a loophole in the workplace relations framework that the Government seeks to close.</w:t>
      </w:r>
    </w:p>
    <w:p w14:paraId="11967A28" w14:textId="05D3D84D" w:rsidR="00D21E05" w:rsidRPr="00603981" w:rsidRDefault="00D21E05" w:rsidP="00D21E05">
      <w:pPr>
        <w:spacing w:after="160" w:line="259" w:lineRule="auto"/>
      </w:pPr>
      <w:r w:rsidRPr="00603981">
        <w:t xml:space="preserve">Emphasising the confined scope and impact of the issue being addressed (and the solution proposed by </w:t>
      </w:r>
      <w:r w:rsidR="00B91196">
        <w:t xml:space="preserve">the </w:t>
      </w:r>
      <w:r w:rsidRPr="00603981">
        <w:t>Government), it is important to note that labour hire workers represent only around 2.3 per cent of employed people in Australia (</w:t>
      </w:r>
      <w:r w:rsidR="00B91196">
        <w:t xml:space="preserve">around </w:t>
      </w:r>
      <w:r w:rsidRPr="00603981">
        <w:t>319,</w:t>
      </w:r>
      <w:r w:rsidR="00FE74A8">
        <w:t>9</w:t>
      </w:r>
      <w:r w:rsidRPr="00603981">
        <w:t>00 of 13,852,900).</w:t>
      </w:r>
      <w:r w:rsidRPr="00603981">
        <w:rPr>
          <w:rStyle w:val="FootnoteReference"/>
        </w:rPr>
        <w:footnoteReference w:id="18"/>
      </w:r>
      <w:r w:rsidRPr="00603981">
        <w:t xml:space="preserve"> However, evidence accepted </w:t>
      </w:r>
      <w:r w:rsidR="001A0E02" w:rsidRPr="00603981">
        <w:t>in the Reviews</w:t>
      </w:r>
      <w:r w:rsidRPr="00603981">
        <w:t xml:space="preserve"> suggests that some employers engage in sharp business practices and use labour hire to undercut wages in enterprise agreements.</w:t>
      </w:r>
      <w:r w:rsidRPr="00603981">
        <w:rPr>
          <w:rStyle w:val="FootnoteReference"/>
        </w:rPr>
        <w:footnoteReference w:id="19"/>
      </w:r>
      <w:r w:rsidR="00BE5AF8" w:rsidRPr="00603981">
        <w:t xml:space="preserve"> </w:t>
      </w:r>
      <w:r w:rsidRPr="00603981">
        <w:t xml:space="preserve">For example, in the Third Interim Report, the </w:t>
      </w:r>
      <w:r w:rsidR="002A6036" w:rsidRPr="00603981">
        <w:t>Job</w:t>
      </w:r>
      <w:r w:rsidR="003951CA">
        <w:t> </w:t>
      </w:r>
      <w:r w:rsidR="002A6036" w:rsidRPr="00603981">
        <w:t>Security Committee</w:t>
      </w:r>
      <w:r w:rsidRPr="00603981">
        <w:t xml:space="preserve"> acknowledged submissions made about issues regarding </w:t>
      </w:r>
      <w:r w:rsidR="000E33EB" w:rsidRPr="00603981">
        <w:t xml:space="preserve">workforce arrangements </w:t>
      </w:r>
      <w:r w:rsidRPr="00603981">
        <w:t>in the mining, agriculture and transport and distribution sectors.</w:t>
      </w:r>
      <w:r w:rsidRPr="00603981">
        <w:rPr>
          <w:rStyle w:val="FootnoteReference"/>
        </w:rPr>
        <w:footnoteReference w:id="20"/>
      </w:r>
      <w:r w:rsidRPr="00603981">
        <w:t xml:space="preserve"> However, the issues identified – particularly in relation to labour hire </w:t>
      </w:r>
      <w:r w:rsidR="00905D32">
        <w:t>employees</w:t>
      </w:r>
      <w:r w:rsidR="00905D32" w:rsidRPr="00603981">
        <w:t xml:space="preserve"> </w:t>
      </w:r>
      <w:r w:rsidRPr="00603981">
        <w:t>being paid less than what they would be paid under a host’s enterprise agreement – are not unique to those industries.</w:t>
      </w:r>
    </w:p>
    <w:p w14:paraId="07C992E1" w14:textId="45A35D79" w:rsidR="00D82B90" w:rsidRPr="00603981" w:rsidRDefault="00300BB8" w:rsidP="00D52E58">
      <w:pPr>
        <w:spacing w:after="160" w:line="259" w:lineRule="auto"/>
        <w:rPr>
          <w:rStyle w:val="cf01"/>
          <w:rFonts w:asciiTheme="minorHAnsi" w:hAnsiTheme="minorHAnsi" w:cstheme="minorBidi"/>
          <w:sz w:val="22"/>
          <w:szCs w:val="22"/>
        </w:rPr>
      </w:pPr>
      <w:r w:rsidRPr="00603981">
        <w:t>M</w:t>
      </w:r>
      <w:r w:rsidR="00016CFB" w:rsidRPr="00603981">
        <w:rPr>
          <w:rStyle w:val="cf01"/>
          <w:rFonts w:asciiTheme="minorHAnsi" w:hAnsiTheme="minorHAnsi" w:cstheme="minorBidi"/>
          <w:sz w:val="22"/>
          <w:szCs w:val="22"/>
        </w:rPr>
        <w:t>any</w:t>
      </w:r>
      <w:r w:rsidR="00D21E05" w:rsidRPr="00603981">
        <w:rPr>
          <w:rStyle w:val="cf01"/>
          <w:rFonts w:asciiTheme="minorHAnsi" w:hAnsiTheme="minorHAnsi" w:cstheme="minorBidi"/>
          <w:sz w:val="22"/>
          <w:szCs w:val="22"/>
        </w:rPr>
        <w:t xml:space="preserve"> labour hire firms operate in a fair way to support business to deal with a genuine need to bring on additional workers. However, some labour hire </w:t>
      </w:r>
      <w:r w:rsidR="00865B97">
        <w:rPr>
          <w:rStyle w:val="cf01"/>
          <w:rFonts w:asciiTheme="minorHAnsi" w:hAnsiTheme="minorHAnsi" w:cstheme="minorBidi"/>
          <w:sz w:val="22"/>
          <w:szCs w:val="22"/>
        </w:rPr>
        <w:t>firms</w:t>
      </w:r>
      <w:r w:rsidR="00865B97" w:rsidRPr="00603981">
        <w:rPr>
          <w:rStyle w:val="cf01"/>
          <w:rFonts w:asciiTheme="minorHAnsi" w:hAnsiTheme="minorHAnsi" w:cstheme="minorBidi"/>
          <w:sz w:val="22"/>
          <w:szCs w:val="22"/>
        </w:rPr>
        <w:t xml:space="preserve"> </w:t>
      </w:r>
      <w:r w:rsidR="00D21E05" w:rsidRPr="00603981">
        <w:rPr>
          <w:rStyle w:val="cf01"/>
          <w:rFonts w:asciiTheme="minorHAnsi" w:hAnsiTheme="minorHAnsi" w:cstheme="minorBidi"/>
          <w:sz w:val="22"/>
          <w:szCs w:val="22"/>
        </w:rPr>
        <w:t xml:space="preserve">provide workers to businesses at lower wages than what </w:t>
      </w:r>
      <w:r w:rsidR="00865B97">
        <w:rPr>
          <w:rStyle w:val="cf01"/>
          <w:rFonts w:asciiTheme="minorHAnsi" w:hAnsiTheme="minorHAnsi" w:cstheme="minorBidi"/>
          <w:sz w:val="22"/>
          <w:szCs w:val="22"/>
        </w:rPr>
        <w:t xml:space="preserve">they </w:t>
      </w:r>
      <w:r w:rsidR="00D21E05" w:rsidRPr="00603981">
        <w:rPr>
          <w:rStyle w:val="cf01"/>
          <w:rFonts w:asciiTheme="minorHAnsi" w:hAnsiTheme="minorHAnsi" w:cstheme="minorBidi"/>
          <w:sz w:val="22"/>
          <w:szCs w:val="22"/>
        </w:rPr>
        <w:t>would be paid if the</w:t>
      </w:r>
      <w:r w:rsidR="0095384E">
        <w:rPr>
          <w:rStyle w:val="cf01"/>
          <w:rFonts w:asciiTheme="minorHAnsi" w:hAnsiTheme="minorHAnsi" w:cstheme="minorBidi"/>
          <w:sz w:val="22"/>
          <w:szCs w:val="22"/>
        </w:rPr>
        <w:t>y were directly employed by the</w:t>
      </w:r>
      <w:r w:rsidR="00D21E05" w:rsidRPr="00603981">
        <w:rPr>
          <w:rStyle w:val="cf01"/>
          <w:rFonts w:asciiTheme="minorHAnsi" w:hAnsiTheme="minorHAnsi" w:cstheme="minorBidi"/>
          <w:sz w:val="22"/>
          <w:szCs w:val="22"/>
        </w:rPr>
        <w:t xml:space="preserve"> host . This arises in</w:t>
      </w:r>
      <w:r w:rsidR="002A6036" w:rsidRPr="00603981">
        <w:rPr>
          <w:rStyle w:val="cf01"/>
          <w:rFonts w:asciiTheme="minorHAnsi" w:hAnsiTheme="minorHAnsi" w:cstheme="minorBidi"/>
          <w:sz w:val="22"/>
          <w:szCs w:val="22"/>
        </w:rPr>
        <w:t xml:space="preserve"> both</w:t>
      </w:r>
      <w:r w:rsidR="00D21E05" w:rsidRPr="00603981">
        <w:rPr>
          <w:rStyle w:val="cf01"/>
          <w:rFonts w:asciiTheme="minorHAnsi" w:hAnsiTheme="minorHAnsi" w:cstheme="minorBidi"/>
          <w:sz w:val="22"/>
          <w:szCs w:val="22"/>
        </w:rPr>
        <w:t xml:space="preserve"> ‘external’ labour hire arrangements (where a labour hire provider is a distinct business from the host employer) and in ‘internal’ labour hire arrangements (</w:t>
      </w:r>
      <w:r w:rsidR="0095384E">
        <w:rPr>
          <w:lang w:val="en-GB"/>
        </w:rPr>
        <w:t>where</w:t>
      </w:r>
      <w:r w:rsidR="00214E15" w:rsidRPr="00603981">
        <w:rPr>
          <w:lang w:val="en-GB"/>
        </w:rPr>
        <w:t xml:space="preserve"> labour </w:t>
      </w:r>
      <w:r w:rsidR="0095384E">
        <w:rPr>
          <w:lang w:val="en-GB"/>
        </w:rPr>
        <w:t xml:space="preserve">is provided </w:t>
      </w:r>
      <w:r w:rsidR="00214E15" w:rsidRPr="00603981">
        <w:rPr>
          <w:lang w:val="en-GB"/>
        </w:rPr>
        <w:t xml:space="preserve">from one corporate </w:t>
      </w:r>
      <w:r w:rsidR="00214E15" w:rsidRPr="00603981">
        <w:rPr>
          <w:lang w:val="en-GB"/>
        </w:rPr>
        <w:lastRenderedPageBreak/>
        <w:t>entity to another</w:t>
      </w:r>
      <w:r w:rsidR="00D21E05" w:rsidRPr="00603981">
        <w:rPr>
          <w:rStyle w:val="cf01"/>
          <w:rFonts w:asciiTheme="minorHAnsi" w:hAnsiTheme="minorHAnsi" w:cstheme="minorBidi"/>
          <w:sz w:val="22"/>
          <w:szCs w:val="22"/>
        </w:rPr>
        <w:t xml:space="preserve">). The result is that </w:t>
      </w:r>
      <w:r w:rsidR="001E50D4" w:rsidRPr="00603981">
        <w:rPr>
          <w:rStyle w:val="cf01"/>
          <w:rFonts w:asciiTheme="minorHAnsi" w:hAnsiTheme="minorHAnsi" w:cstheme="minorBidi"/>
          <w:sz w:val="22"/>
          <w:szCs w:val="22"/>
        </w:rPr>
        <w:t xml:space="preserve">labour hire </w:t>
      </w:r>
      <w:r w:rsidR="00905D32">
        <w:rPr>
          <w:rStyle w:val="cf01"/>
          <w:rFonts w:asciiTheme="minorHAnsi" w:hAnsiTheme="minorHAnsi" w:cstheme="minorBidi"/>
          <w:sz w:val="22"/>
          <w:szCs w:val="22"/>
        </w:rPr>
        <w:t>employees</w:t>
      </w:r>
      <w:r w:rsidR="00D21E05" w:rsidRPr="00603981">
        <w:rPr>
          <w:rStyle w:val="cf01"/>
          <w:rFonts w:asciiTheme="minorHAnsi" w:hAnsiTheme="minorHAnsi" w:cstheme="minorBidi"/>
          <w:sz w:val="22"/>
          <w:szCs w:val="22"/>
        </w:rPr>
        <w:t xml:space="preserve"> are </w:t>
      </w:r>
      <w:r w:rsidR="008526C3">
        <w:rPr>
          <w:rStyle w:val="cf01"/>
          <w:rFonts w:asciiTheme="minorHAnsi" w:hAnsiTheme="minorHAnsi" w:cstheme="minorBidi"/>
          <w:sz w:val="22"/>
          <w:szCs w:val="22"/>
        </w:rPr>
        <w:t xml:space="preserve">sometimes </w:t>
      </w:r>
      <w:r w:rsidR="00D21E05" w:rsidRPr="00603981">
        <w:rPr>
          <w:rStyle w:val="cf01"/>
          <w:rFonts w:asciiTheme="minorHAnsi" w:hAnsiTheme="minorHAnsi" w:cstheme="minorBidi"/>
          <w:sz w:val="22"/>
          <w:szCs w:val="22"/>
        </w:rPr>
        <w:t xml:space="preserve">paid less, and have less job security, than if they had been directly hired by a </w:t>
      </w:r>
      <w:r w:rsidR="001E50D4" w:rsidRPr="00603981">
        <w:rPr>
          <w:rStyle w:val="cf01"/>
          <w:rFonts w:asciiTheme="minorHAnsi" w:hAnsiTheme="minorHAnsi" w:cstheme="minorBidi"/>
          <w:sz w:val="22"/>
          <w:szCs w:val="22"/>
        </w:rPr>
        <w:t>host</w:t>
      </w:r>
      <w:r w:rsidR="00D21E05" w:rsidRPr="00603981">
        <w:rPr>
          <w:rStyle w:val="cf01"/>
          <w:rFonts w:asciiTheme="minorHAnsi" w:hAnsiTheme="minorHAnsi" w:cstheme="minorBidi"/>
          <w:sz w:val="22"/>
          <w:szCs w:val="22"/>
        </w:rPr>
        <w:t xml:space="preserve">. This loophole in </w:t>
      </w:r>
      <w:r w:rsidR="00553044" w:rsidRPr="00603981">
        <w:rPr>
          <w:rStyle w:val="cf01"/>
          <w:rFonts w:asciiTheme="minorHAnsi" w:hAnsiTheme="minorHAnsi" w:cstheme="minorBidi"/>
          <w:sz w:val="22"/>
          <w:szCs w:val="22"/>
        </w:rPr>
        <w:t>the</w:t>
      </w:r>
      <w:r w:rsidR="00D21E05" w:rsidRPr="00603981">
        <w:rPr>
          <w:rStyle w:val="cf01"/>
          <w:rFonts w:asciiTheme="minorHAnsi" w:hAnsiTheme="minorHAnsi" w:cstheme="minorBidi"/>
          <w:sz w:val="22"/>
          <w:szCs w:val="22"/>
        </w:rPr>
        <w:t xml:space="preserve"> </w:t>
      </w:r>
      <w:r w:rsidR="008526C3">
        <w:rPr>
          <w:rStyle w:val="cf01"/>
          <w:rFonts w:asciiTheme="minorHAnsi" w:hAnsiTheme="minorHAnsi" w:cstheme="minorBidi"/>
          <w:sz w:val="22"/>
          <w:szCs w:val="22"/>
        </w:rPr>
        <w:t>Fair Work Act</w:t>
      </w:r>
      <w:r w:rsidR="00D21E05" w:rsidRPr="00603981">
        <w:rPr>
          <w:rStyle w:val="cf01"/>
          <w:rFonts w:asciiTheme="minorHAnsi" w:hAnsiTheme="minorHAnsi" w:cstheme="minorBidi"/>
          <w:sz w:val="22"/>
          <w:szCs w:val="22"/>
        </w:rPr>
        <w:t xml:space="preserve"> allows business</w:t>
      </w:r>
      <w:r w:rsidR="001E50D4" w:rsidRPr="00603981">
        <w:rPr>
          <w:rStyle w:val="cf01"/>
          <w:rFonts w:asciiTheme="minorHAnsi" w:hAnsiTheme="minorHAnsi" w:cstheme="minorBidi"/>
          <w:sz w:val="22"/>
          <w:szCs w:val="22"/>
        </w:rPr>
        <w:t>es</w:t>
      </w:r>
      <w:r w:rsidR="00D21E05" w:rsidRPr="00603981">
        <w:rPr>
          <w:rStyle w:val="cf01"/>
          <w:rFonts w:asciiTheme="minorHAnsi" w:hAnsiTheme="minorHAnsi" w:cstheme="minorBidi"/>
          <w:sz w:val="22"/>
          <w:szCs w:val="22"/>
        </w:rPr>
        <w:t xml:space="preserve"> to bypass genuinely bargained wages intended to apply </w:t>
      </w:r>
      <w:r w:rsidR="00552BE3" w:rsidRPr="00603981">
        <w:rPr>
          <w:rStyle w:val="cf01"/>
          <w:rFonts w:asciiTheme="minorHAnsi" w:hAnsiTheme="minorHAnsi" w:cstheme="minorBidi"/>
          <w:sz w:val="22"/>
          <w:szCs w:val="22"/>
        </w:rPr>
        <w:t>at</w:t>
      </w:r>
      <w:r w:rsidR="00D21E05" w:rsidRPr="00603981">
        <w:rPr>
          <w:rStyle w:val="cf01"/>
          <w:rFonts w:asciiTheme="minorHAnsi" w:hAnsiTheme="minorHAnsi" w:cstheme="minorBidi"/>
          <w:sz w:val="22"/>
          <w:szCs w:val="22"/>
        </w:rPr>
        <w:t xml:space="preserve"> a particular workplace.</w:t>
      </w:r>
    </w:p>
    <w:p w14:paraId="3617CB05" w14:textId="37FDD5EA" w:rsidR="00257A70" w:rsidRPr="00603981" w:rsidRDefault="00861BA1" w:rsidP="4EC0CE1B">
      <w:pPr>
        <w:spacing w:after="160" w:line="259" w:lineRule="auto"/>
        <w:rPr>
          <w:rFonts w:cstheme="minorHAnsi"/>
        </w:rPr>
      </w:pPr>
      <w:r w:rsidRPr="00603981">
        <w:rPr>
          <w:rStyle w:val="cf01"/>
          <w:rFonts w:asciiTheme="minorHAnsi" w:hAnsiTheme="minorHAnsi" w:cstheme="minorHAnsi"/>
          <w:sz w:val="22"/>
          <w:szCs w:val="22"/>
        </w:rPr>
        <w:t xml:space="preserve">The Reviews each speak to this as an issue in the federal workplace relations </w:t>
      </w:r>
      <w:r w:rsidR="00324EE9" w:rsidRPr="00603981">
        <w:rPr>
          <w:rStyle w:val="cf01"/>
          <w:rFonts w:asciiTheme="minorHAnsi" w:hAnsiTheme="minorHAnsi" w:cstheme="minorHAnsi"/>
          <w:sz w:val="22"/>
          <w:szCs w:val="22"/>
        </w:rPr>
        <w:t>system</w:t>
      </w:r>
      <w:r w:rsidRPr="00603981">
        <w:rPr>
          <w:rStyle w:val="cf01"/>
          <w:rFonts w:asciiTheme="minorHAnsi" w:hAnsiTheme="minorHAnsi" w:cstheme="minorHAnsi"/>
          <w:sz w:val="22"/>
          <w:szCs w:val="22"/>
        </w:rPr>
        <w:t xml:space="preserve">. This </w:t>
      </w:r>
      <w:r w:rsidR="005C69ED">
        <w:rPr>
          <w:rStyle w:val="cf01"/>
          <w:rFonts w:asciiTheme="minorHAnsi" w:hAnsiTheme="minorHAnsi" w:cstheme="minorHAnsi"/>
          <w:sz w:val="22"/>
          <w:szCs w:val="22"/>
        </w:rPr>
        <w:t>shows</w:t>
      </w:r>
      <w:r w:rsidR="005C69ED" w:rsidRPr="00603981">
        <w:rPr>
          <w:rStyle w:val="cf01"/>
          <w:rFonts w:asciiTheme="minorHAnsi" w:hAnsiTheme="minorHAnsi" w:cstheme="minorHAnsi"/>
          <w:sz w:val="22"/>
          <w:szCs w:val="22"/>
        </w:rPr>
        <w:t xml:space="preserve"> </w:t>
      </w:r>
      <w:r w:rsidRPr="00603981">
        <w:rPr>
          <w:rStyle w:val="cf01"/>
          <w:rFonts w:asciiTheme="minorHAnsi" w:hAnsiTheme="minorHAnsi" w:cstheme="minorHAnsi"/>
          <w:sz w:val="22"/>
          <w:szCs w:val="22"/>
        </w:rPr>
        <w:t>that the Fair Work Act</w:t>
      </w:r>
      <w:r w:rsidR="0053262B" w:rsidRPr="00603981">
        <w:rPr>
          <w:rStyle w:val="cf01"/>
          <w:rFonts w:asciiTheme="minorHAnsi" w:hAnsiTheme="minorHAnsi" w:cstheme="minorHAnsi"/>
          <w:sz w:val="22"/>
          <w:szCs w:val="22"/>
        </w:rPr>
        <w:t xml:space="preserve"> </w:t>
      </w:r>
      <w:r w:rsidR="00F44553" w:rsidRPr="00603981">
        <w:rPr>
          <w:rStyle w:val="cf01"/>
          <w:rFonts w:asciiTheme="minorHAnsi" w:hAnsiTheme="minorHAnsi" w:cstheme="minorHAnsi"/>
          <w:sz w:val="22"/>
          <w:szCs w:val="22"/>
        </w:rPr>
        <w:t>has</w:t>
      </w:r>
      <w:r w:rsidRPr="00603981">
        <w:rPr>
          <w:rStyle w:val="cf01"/>
          <w:rFonts w:asciiTheme="minorHAnsi" w:hAnsiTheme="minorHAnsi" w:cstheme="minorHAnsi"/>
          <w:sz w:val="22"/>
          <w:szCs w:val="22"/>
        </w:rPr>
        <w:t xml:space="preserve"> not kept pace with the changing nature of work and working arrangements across Australian businesses, which has led to greater insecurity and inequitable treatment between workers. The Government</w:t>
      </w:r>
      <w:r w:rsidR="00C82FE2" w:rsidRPr="00603981">
        <w:rPr>
          <w:rStyle w:val="cf01"/>
          <w:rFonts w:asciiTheme="minorHAnsi" w:hAnsiTheme="minorHAnsi" w:cstheme="minorHAnsi"/>
          <w:sz w:val="22"/>
          <w:szCs w:val="22"/>
        </w:rPr>
        <w:t>’</w:t>
      </w:r>
      <w:r w:rsidRPr="00603981">
        <w:rPr>
          <w:rStyle w:val="cf01"/>
          <w:rFonts w:asciiTheme="minorHAnsi" w:hAnsiTheme="minorHAnsi" w:cstheme="minorHAnsi"/>
          <w:sz w:val="22"/>
          <w:szCs w:val="22"/>
        </w:rPr>
        <w:t>s proposal, alongside others proposed for introduction</w:t>
      </w:r>
      <w:r w:rsidR="00C43195">
        <w:rPr>
          <w:rStyle w:val="cf01"/>
          <w:rFonts w:asciiTheme="minorHAnsi" w:hAnsiTheme="minorHAnsi" w:cstheme="minorHAnsi"/>
          <w:sz w:val="22"/>
          <w:szCs w:val="22"/>
        </w:rPr>
        <w:t xml:space="preserve"> to the Parliament</w:t>
      </w:r>
      <w:r w:rsidRPr="00603981">
        <w:rPr>
          <w:rStyle w:val="cf01"/>
          <w:rFonts w:asciiTheme="minorHAnsi" w:hAnsiTheme="minorHAnsi" w:cstheme="minorHAnsi"/>
          <w:sz w:val="22"/>
          <w:szCs w:val="22"/>
        </w:rPr>
        <w:t xml:space="preserve"> in Spring 2023, seeks to address that insecurity and inequitable treatment</w:t>
      </w:r>
      <w:r w:rsidR="00DD6D10" w:rsidRPr="00603981">
        <w:rPr>
          <w:rStyle w:val="cf01"/>
          <w:rFonts w:asciiTheme="minorHAnsi" w:hAnsiTheme="minorHAnsi" w:cstheme="minorHAnsi"/>
          <w:sz w:val="22"/>
          <w:szCs w:val="22"/>
        </w:rPr>
        <w:t>, and the emergence of sharp business practices with respect to the use of labour hire and the undercutting of wages</w:t>
      </w:r>
      <w:r w:rsidRPr="00603981">
        <w:rPr>
          <w:rStyle w:val="cf01"/>
          <w:rFonts w:asciiTheme="minorHAnsi" w:hAnsiTheme="minorHAnsi" w:cstheme="minorHAnsi"/>
          <w:sz w:val="22"/>
          <w:szCs w:val="22"/>
        </w:rPr>
        <w:t>.</w:t>
      </w:r>
    </w:p>
    <w:p w14:paraId="055BF8B5" w14:textId="6AB05E79" w:rsidR="007075B5" w:rsidRPr="00603981" w:rsidRDefault="007075B5" w:rsidP="007075B5">
      <w:pPr>
        <w:pStyle w:val="Heading3"/>
      </w:pPr>
      <w:bookmarkStart w:id="9" w:name="_Toc143696563"/>
      <w:r w:rsidRPr="00603981">
        <w:t>Victorian Inquiry</w:t>
      </w:r>
      <w:r w:rsidR="00FB2225" w:rsidRPr="00603981">
        <w:t xml:space="preserve"> Report</w:t>
      </w:r>
      <w:bookmarkEnd w:id="9"/>
    </w:p>
    <w:p w14:paraId="3460FB57" w14:textId="20044C86" w:rsidR="007075B5" w:rsidRPr="00603981" w:rsidRDefault="007075B5" w:rsidP="007075B5">
      <w:pPr>
        <w:spacing w:after="160" w:line="259" w:lineRule="auto"/>
        <w:rPr>
          <w:rFonts w:cstheme="minorHAnsi"/>
          <w:b/>
          <w:bCs/>
          <w:szCs w:val="24"/>
          <w:u w:val="single"/>
        </w:rPr>
      </w:pPr>
      <w:r w:rsidRPr="00603981">
        <w:rPr>
          <w:rFonts w:cstheme="minorHAnsi"/>
        </w:rPr>
        <w:t>The Victorian Inquiry found some labour hire employers seek to use enterprise agreements as a mechanism to drive down employment conditions.</w:t>
      </w:r>
      <w:r w:rsidRPr="00603981">
        <w:rPr>
          <w:rStyle w:val="FootnoteReference"/>
          <w:rFonts w:cstheme="minorHAnsi"/>
        </w:rPr>
        <w:footnoteReference w:id="21"/>
      </w:r>
      <w:r w:rsidRPr="00603981">
        <w:rPr>
          <w:rFonts w:cstheme="minorHAnsi"/>
        </w:rPr>
        <w:t xml:space="preserve"> </w:t>
      </w:r>
      <w:r w:rsidR="00DA0842" w:rsidRPr="00603981">
        <w:rPr>
          <w:rFonts w:cstheme="minorHAnsi"/>
        </w:rPr>
        <w:t>Further, t</w:t>
      </w:r>
      <w:r w:rsidRPr="00603981">
        <w:rPr>
          <w:rFonts w:cstheme="minorHAnsi"/>
        </w:rPr>
        <w:t xml:space="preserve">he fact that host enterprise agreements do not </w:t>
      </w:r>
      <w:r w:rsidR="00EE7810" w:rsidRPr="00603981">
        <w:rPr>
          <w:rFonts w:cstheme="minorHAnsi"/>
        </w:rPr>
        <w:t xml:space="preserve">generally </w:t>
      </w:r>
      <w:r w:rsidRPr="00603981">
        <w:rPr>
          <w:rFonts w:cstheme="minorHAnsi"/>
        </w:rPr>
        <w:t>apply to labour hire workers</w:t>
      </w:r>
      <w:r w:rsidR="00DA0842" w:rsidRPr="00603981">
        <w:rPr>
          <w:rFonts w:cstheme="minorHAnsi"/>
        </w:rPr>
        <w:t xml:space="preserve"> </w:t>
      </w:r>
      <w:r w:rsidRPr="00603981">
        <w:rPr>
          <w:rFonts w:cstheme="minorHAnsi"/>
        </w:rPr>
        <w:t xml:space="preserve">results in lower pay for some </w:t>
      </w:r>
      <w:r w:rsidR="00BE57A2">
        <w:rPr>
          <w:rFonts w:cstheme="minorHAnsi"/>
        </w:rPr>
        <w:t>of those</w:t>
      </w:r>
      <w:r w:rsidRPr="00603981">
        <w:rPr>
          <w:rFonts w:cstheme="minorHAnsi"/>
        </w:rPr>
        <w:t xml:space="preserve"> workers when compared with directly engaged employees.</w:t>
      </w:r>
      <w:r w:rsidRPr="00603981">
        <w:rPr>
          <w:rStyle w:val="FootnoteReference"/>
          <w:rFonts w:cstheme="minorHAnsi"/>
        </w:rPr>
        <w:footnoteReference w:id="22"/>
      </w:r>
      <w:r w:rsidRPr="00603981">
        <w:rPr>
          <w:rFonts w:cstheme="minorHAnsi"/>
        </w:rPr>
        <w:t xml:space="preserve"> Th</w:t>
      </w:r>
      <w:r w:rsidR="00C2794B" w:rsidRPr="00603981">
        <w:rPr>
          <w:rFonts w:cstheme="minorHAnsi"/>
        </w:rPr>
        <w:t>e</w:t>
      </w:r>
      <w:r w:rsidRPr="00603981">
        <w:rPr>
          <w:rFonts w:cstheme="minorHAnsi"/>
        </w:rPr>
        <w:t xml:space="preserve"> problem </w:t>
      </w:r>
      <w:r w:rsidR="00C2794B" w:rsidRPr="00603981">
        <w:rPr>
          <w:rFonts w:cstheme="minorHAnsi"/>
        </w:rPr>
        <w:t xml:space="preserve">becomes </w:t>
      </w:r>
      <w:r w:rsidRPr="00603981">
        <w:rPr>
          <w:rFonts w:cstheme="minorHAnsi"/>
        </w:rPr>
        <w:t>more pronounced</w:t>
      </w:r>
      <w:r w:rsidR="00355051" w:rsidRPr="00603981">
        <w:rPr>
          <w:rFonts w:cstheme="minorHAnsi"/>
        </w:rPr>
        <w:t>, and has become common in some sectors,</w:t>
      </w:r>
      <w:r w:rsidRPr="00603981">
        <w:rPr>
          <w:rFonts w:cstheme="minorHAnsi"/>
        </w:rPr>
        <w:t xml:space="preserve"> where labour hire workers </w:t>
      </w:r>
      <w:r w:rsidR="00C2794B" w:rsidRPr="00603981">
        <w:rPr>
          <w:rFonts w:cstheme="minorHAnsi"/>
        </w:rPr>
        <w:t>work</w:t>
      </w:r>
      <w:r w:rsidRPr="00603981">
        <w:rPr>
          <w:rFonts w:cstheme="minorHAnsi"/>
        </w:rPr>
        <w:t xml:space="preserve"> at the site of one host over a lengthy period.</w:t>
      </w:r>
      <w:r w:rsidRPr="00603981">
        <w:rPr>
          <w:rStyle w:val="FootnoteReference"/>
          <w:rFonts w:cstheme="minorHAnsi"/>
        </w:rPr>
        <w:footnoteReference w:id="23"/>
      </w:r>
    </w:p>
    <w:p w14:paraId="07970C4E" w14:textId="731912CA" w:rsidR="007075B5" w:rsidRPr="00603981" w:rsidRDefault="007075B5" w:rsidP="007075B5">
      <w:pPr>
        <w:pStyle w:val="Heading3"/>
      </w:pPr>
      <w:bookmarkStart w:id="10" w:name="_Toc143696564"/>
      <w:r w:rsidRPr="00603981">
        <w:t>Third Interim Report</w:t>
      </w:r>
      <w:bookmarkEnd w:id="10"/>
    </w:p>
    <w:p w14:paraId="48BFBBB1" w14:textId="1F0E10AA" w:rsidR="007075B5" w:rsidRPr="00603981" w:rsidRDefault="007075B5" w:rsidP="007075B5">
      <w:pPr>
        <w:spacing w:after="160" w:line="259" w:lineRule="auto"/>
        <w:rPr>
          <w:rFonts w:cstheme="minorHAnsi"/>
        </w:rPr>
      </w:pPr>
      <w:r w:rsidRPr="00603981">
        <w:rPr>
          <w:rFonts w:cstheme="minorHAnsi"/>
        </w:rPr>
        <w:t xml:space="preserve">In the context of labour hire, the Job Security Committee observed that host enterprise agreements do not </w:t>
      </w:r>
      <w:r w:rsidR="006023D6" w:rsidRPr="00603981">
        <w:rPr>
          <w:rFonts w:cstheme="minorHAnsi"/>
        </w:rPr>
        <w:t xml:space="preserve">commonly </w:t>
      </w:r>
      <w:r w:rsidRPr="00603981">
        <w:rPr>
          <w:rFonts w:cstheme="minorHAnsi"/>
        </w:rPr>
        <w:t>apply to labour hire workers working within the host</w:t>
      </w:r>
      <w:r w:rsidR="00625A98" w:rsidRPr="00603981">
        <w:rPr>
          <w:rFonts w:cstheme="minorHAnsi"/>
        </w:rPr>
        <w:t>, resulting in differential treatment between labour hire workers</w:t>
      </w:r>
      <w:r w:rsidR="00286B86" w:rsidRPr="00603981">
        <w:rPr>
          <w:rFonts w:cstheme="minorHAnsi"/>
        </w:rPr>
        <w:t xml:space="preserve"> and </w:t>
      </w:r>
      <w:r w:rsidR="006A39AF">
        <w:rPr>
          <w:rFonts w:cstheme="minorHAnsi"/>
        </w:rPr>
        <w:t>directly engaged employees</w:t>
      </w:r>
      <w:r w:rsidR="00286B86" w:rsidRPr="00603981">
        <w:rPr>
          <w:rFonts w:cstheme="minorHAnsi"/>
        </w:rPr>
        <w:t>.</w:t>
      </w:r>
      <w:r w:rsidRPr="00603981">
        <w:rPr>
          <w:rStyle w:val="FootnoteReference"/>
          <w:rFonts w:cstheme="minorHAnsi"/>
        </w:rPr>
        <w:footnoteReference w:id="24"/>
      </w:r>
      <w:r w:rsidRPr="00603981">
        <w:rPr>
          <w:rFonts w:cstheme="minorHAnsi"/>
        </w:rPr>
        <w:t xml:space="preserve"> The Committee expressed that it was ‘very concerned’ that labour hire workers ‘</w:t>
      </w:r>
      <w:r w:rsidR="00952D47" w:rsidRPr="00603981">
        <w:rPr>
          <w:rFonts w:cstheme="minorHAnsi"/>
        </w:rPr>
        <w:t xml:space="preserve">commonly </w:t>
      </w:r>
      <w:r w:rsidRPr="00603981">
        <w:rPr>
          <w:rFonts w:cstheme="minorHAnsi"/>
        </w:rPr>
        <w:t xml:space="preserve">receive lower pay’ than </w:t>
      </w:r>
      <w:r w:rsidR="00B14879" w:rsidRPr="00603981">
        <w:rPr>
          <w:rFonts w:cstheme="minorHAnsi"/>
        </w:rPr>
        <w:t>those workers who are directly employed</w:t>
      </w:r>
      <w:r w:rsidRPr="00603981">
        <w:rPr>
          <w:rFonts w:cstheme="minorHAnsi"/>
        </w:rPr>
        <w:t>.</w:t>
      </w:r>
      <w:r w:rsidRPr="00603981">
        <w:rPr>
          <w:rStyle w:val="FootnoteReference"/>
          <w:rFonts w:cstheme="minorHAnsi"/>
        </w:rPr>
        <w:footnoteReference w:id="25"/>
      </w:r>
    </w:p>
    <w:p w14:paraId="7E904758" w14:textId="77777777" w:rsidR="007075B5" w:rsidRPr="00603981" w:rsidRDefault="007075B5" w:rsidP="007075B5">
      <w:pPr>
        <w:pStyle w:val="Heading3"/>
      </w:pPr>
      <w:bookmarkStart w:id="11" w:name="_Toc143696565"/>
      <w:r w:rsidRPr="00603981">
        <w:t>EPEW Report</w:t>
      </w:r>
      <w:bookmarkEnd w:id="11"/>
    </w:p>
    <w:p w14:paraId="32D13FA9" w14:textId="79A21C2D" w:rsidR="007075B5" w:rsidRPr="00603981" w:rsidRDefault="007075B5" w:rsidP="4EC0CE1B">
      <w:pPr>
        <w:spacing w:after="160" w:line="259" w:lineRule="auto"/>
      </w:pPr>
      <w:r w:rsidRPr="00603981">
        <w:rPr>
          <w:rFonts w:cstheme="minorHAnsi"/>
        </w:rPr>
        <w:t xml:space="preserve">A finding of the EPEW Report was that the use of labour hire had become an established mechanism for lowering </w:t>
      </w:r>
      <w:r w:rsidR="00911065" w:rsidRPr="00603981">
        <w:rPr>
          <w:rFonts w:cstheme="minorHAnsi"/>
        </w:rPr>
        <w:t xml:space="preserve">business </w:t>
      </w:r>
      <w:r w:rsidRPr="00603981">
        <w:rPr>
          <w:rFonts w:cstheme="minorHAnsi"/>
        </w:rPr>
        <w:t>operating costs by undercutting wages.</w:t>
      </w:r>
      <w:r w:rsidRPr="00603981">
        <w:rPr>
          <w:rStyle w:val="FootnoteReference"/>
          <w:rFonts w:cstheme="minorHAnsi"/>
        </w:rPr>
        <w:footnoteReference w:id="26"/>
      </w:r>
      <w:r w:rsidRPr="00603981">
        <w:rPr>
          <w:rFonts w:cstheme="minorHAnsi"/>
        </w:rPr>
        <w:t xml:space="preserve"> It set out</w:t>
      </w:r>
      <w:r w:rsidRPr="00603981" w:rsidDel="00EC72AB">
        <w:rPr>
          <w:rFonts w:cstheme="minorHAnsi"/>
        </w:rPr>
        <w:t xml:space="preserve"> concern</w:t>
      </w:r>
      <w:r w:rsidRPr="00603981">
        <w:rPr>
          <w:rFonts w:cstheme="minorHAnsi"/>
        </w:rPr>
        <w:t xml:space="preserve">s from </w:t>
      </w:r>
      <w:r w:rsidR="002356D8" w:rsidRPr="00603981">
        <w:rPr>
          <w:rFonts w:cstheme="minorHAnsi"/>
        </w:rPr>
        <w:t>SEEL </w:t>
      </w:r>
      <w:r w:rsidRPr="00603981">
        <w:rPr>
          <w:rFonts w:cstheme="minorHAnsi"/>
        </w:rPr>
        <w:t xml:space="preserve">Committee members that labour hire workers in some industries may be earning 30 to 40 per cent less than directly-employed </w:t>
      </w:r>
      <w:r w:rsidR="0048231D" w:rsidRPr="00603981">
        <w:rPr>
          <w:rFonts w:cstheme="minorHAnsi"/>
        </w:rPr>
        <w:t>employees in the same role</w:t>
      </w:r>
      <w:r w:rsidR="00F46CC3" w:rsidRPr="00603981">
        <w:rPr>
          <w:rFonts w:cstheme="minorHAnsi"/>
        </w:rPr>
        <w:t>, despite performing the same duties</w:t>
      </w:r>
      <w:r w:rsidRPr="00603981">
        <w:rPr>
          <w:rFonts w:cstheme="minorHAnsi"/>
        </w:rPr>
        <w:t>.</w:t>
      </w:r>
      <w:r w:rsidRPr="00603981">
        <w:rPr>
          <w:rStyle w:val="FootnoteReference"/>
          <w:rFonts w:cstheme="minorHAnsi"/>
        </w:rPr>
        <w:footnoteReference w:id="27"/>
      </w:r>
      <w:r w:rsidR="00984B87" w:rsidRPr="00603981">
        <w:rPr>
          <w:rFonts w:cstheme="minorHAnsi"/>
        </w:rPr>
        <w:t xml:space="preserve"> </w:t>
      </w:r>
      <w:r w:rsidR="00FB603E" w:rsidRPr="00603981">
        <w:t>Additional comments in t</w:t>
      </w:r>
      <w:r w:rsidR="6BA5D00B" w:rsidRPr="00603981">
        <w:t xml:space="preserve">he EPEW Report also acknowledged evidence of pay disparity in some sectors, </w:t>
      </w:r>
      <w:r w:rsidR="00E25C64" w:rsidRPr="00603981">
        <w:t xml:space="preserve">for example, </w:t>
      </w:r>
      <w:r w:rsidR="6BA5D00B" w:rsidRPr="00603981">
        <w:t>coal mining, where the average wage is estimated to be $144,000 compared with the average pay for labour hire workers</w:t>
      </w:r>
      <w:r w:rsidR="00E25C64" w:rsidRPr="00603981">
        <w:t xml:space="preserve"> in that sector </w:t>
      </w:r>
      <w:r w:rsidR="006B7F8A">
        <w:t>estimated to be</w:t>
      </w:r>
      <w:r w:rsidR="006B7F8A" w:rsidRPr="00603981">
        <w:t xml:space="preserve"> </w:t>
      </w:r>
      <w:r w:rsidR="6BA5D00B" w:rsidRPr="00603981">
        <w:t>$120,000.</w:t>
      </w:r>
      <w:r w:rsidRPr="00603981">
        <w:rPr>
          <w:rStyle w:val="FootnoteReference"/>
        </w:rPr>
        <w:footnoteReference w:id="28"/>
      </w:r>
    </w:p>
    <w:p w14:paraId="208411F6" w14:textId="77777777" w:rsidR="007075B5" w:rsidRPr="00603981" w:rsidRDefault="007075B5" w:rsidP="00B84660">
      <w:pPr>
        <w:pStyle w:val="Heading3"/>
      </w:pPr>
      <w:bookmarkStart w:id="12" w:name="_Toc143696566"/>
      <w:r w:rsidRPr="00603981">
        <w:t>Available data regarding the problem to be solved</w:t>
      </w:r>
      <w:bookmarkEnd w:id="12"/>
    </w:p>
    <w:p w14:paraId="05B1CA23" w14:textId="77777777" w:rsidR="007075B5" w:rsidRPr="00603981" w:rsidRDefault="007075B5" w:rsidP="00B84660">
      <w:pPr>
        <w:keepNext/>
        <w:spacing w:after="160" w:line="259" w:lineRule="auto"/>
        <w:rPr>
          <w:rFonts w:cstheme="minorHAnsi"/>
          <w:u w:val="single"/>
          <w:lang w:val="en-GB"/>
        </w:rPr>
      </w:pPr>
      <w:r w:rsidRPr="00603981">
        <w:rPr>
          <w:rFonts w:cstheme="minorHAnsi"/>
          <w:u w:val="single"/>
          <w:lang w:val="en-GB"/>
        </w:rPr>
        <w:t>Data limitations and their influence on estimating regulatory burden and costs</w:t>
      </w:r>
    </w:p>
    <w:p w14:paraId="10A443EF" w14:textId="5B1FE30E" w:rsidR="007075B5" w:rsidRPr="00603981" w:rsidRDefault="007075B5" w:rsidP="00F870B7">
      <w:pPr>
        <w:spacing w:after="160" w:line="259" w:lineRule="auto"/>
        <w:rPr>
          <w:rFonts w:cstheme="minorHAnsi"/>
          <w:lang w:val="en-GB"/>
        </w:rPr>
      </w:pPr>
      <w:r w:rsidRPr="00603981">
        <w:rPr>
          <w:rFonts w:cstheme="minorHAnsi"/>
          <w:lang w:val="en-GB"/>
        </w:rPr>
        <w:t>Estimates in these Annexures regarding the extent of the problem, the regulatory burden of any proposed response, and cost of the</w:t>
      </w:r>
      <w:r w:rsidR="00A21C0C">
        <w:rPr>
          <w:rFonts w:cstheme="minorHAnsi"/>
          <w:lang w:val="en-GB"/>
        </w:rPr>
        <w:t xml:space="preserve"> Government’s</w:t>
      </w:r>
      <w:r w:rsidRPr="00603981">
        <w:rPr>
          <w:rFonts w:cstheme="minorHAnsi"/>
          <w:lang w:val="en-GB"/>
        </w:rPr>
        <w:t xml:space="preserve"> ‘Closing </w:t>
      </w:r>
      <w:r w:rsidR="00A21C0C">
        <w:rPr>
          <w:rFonts w:cstheme="minorHAnsi"/>
          <w:lang w:val="en-GB"/>
        </w:rPr>
        <w:t xml:space="preserve">the </w:t>
      </w:r>
      <w:r w:rsidRPr="00603981">
        <w:rPr>
          <w:rFonts w:cstheme="minorHAnsi"/>
          <w:lang w:val="en-GB"/>
        </w:rPr>
        <w:t xml:space="preserve">labour hire loophole’ proposal, have </w:t>
      </w:r>
      <w:r w:rsidRPr="00603981">
        <w:rPr>
          <w:rFonts w:cstheme="minorHAnsi"/>
          <w:lang w:val="en-GB"/>
        </w:rPr>
        <w:lastRenderedPageBreak/>
        <w:t>been informed by available data on, for example, the use of labour hire in Australia. However, there are several limitations with current data, and they are described below.</w:t>
      </w:r>
    </w:p>
    <w:p w14:paraId="08CEE98A" w14:textId="567C6698" w:rsidR="007075B5" w:rsidRPr="00603981" w:rsidRDefault="007075B5" w:rsidP="007075B5">
      <w:pPr>
        <w:spacing w:after="160" w:line="259" w:lineRule="auto"/>
        <w:rPr>
          <w:rFonts w:cstheme="minorHAnsi"/>
          <w:lang w:val="en-GB"/>
        </w:rPr>
      </w:pPr>
      <w:r w:rsidRPr="00603981">
        <w:rPr>
          <w:rFonts w:cstheme="minorHAnsi"/>
          <w:lang w:val="en-GB"/>
        </w:rPr>
        <w:t>Where reliable data is unavailable with respect to one or more elements of the</w:t>
      </w:r>
      <w:r w:rsidR="002A5B10" w:rsidRPr="00603981">
        <w:rPr>
          <w:rFonts w:cstheme="minorHAnsi"/>
          <w:lang w:val="en-GB"/>
        </w:rPr>
        <w:t xml:space="preserve"> Government’s</w:t>
      </w:r>
      <w:r w:rsidRPr="00603981">
        <w:rPr>
          <w:rFonts w:cstheme="minorHAnsi"/>
          <w:lang w:val="en-GB"/>
        </w:rPr>
        <w:t xml:space="preserve"> proposal, this is noted at relevant sections throughout the Annexures (including where a particular cost or impact cannot reasonably be quantified). This has been done to minimise the extent to which analysis about the impact of the proposal would be speculative without supporting data. However, limitations are expressly noted in the analysis to ensure estimated costs and impacts are considered by decision-makers with appropriate caveats front of mind.</w:t>
      </w:r>
    </w:p>
    <w:p w14:paraId="04E21214" w14:textId="77777777" w:rsidR="007075B5" w:rsidRPr="00603981" w:rsidRDefault="007075B5" w:rsidP="007075B5">
      <w:pPr>
        <w:spacing w:after="160" w:line="259" w:lineRule="auto"/>
        <w:rPr>
          <w:rFonts w:cstheme="minorHAnsi"/>
        </w:rPr>
      </w:pPr>
      <w:r w:rsidRPr="00603981">
        <w:rPr>
          <w:rFonts w:cstheme="minorHAnsi"/>
          <w:lang w:val="en-GB"/>
        </w:rPr>
        <w:t xml:space="preserve">Overall, data limitations mean estimating the regulatory impact of the proposal is complex, and </w:t>
      </w:r>
      <w:r w:rsidRPr="00603981">
        <w:rPr>
          <w:rFonts w:cstheme="minorHAnsi"/>
        </w:rPr>
        <w:t>calculating</w:t>
      </w:r>
      <w:r w:rsidRPr="00603981">
        <w:rPr>
          <w:rFonts w:cstheme="minorHAnsi"/>
          <w:lang w:val="en-GB"/>
        </w:rPr>
        <w:t xml:space="preserve"> costs other than at a very high level is challenging.</w:t>
      </w:r>
    </w:p>
    <w:p w14:paraId="6FDC2C8E" w14:textId="77777777" w:rsidR="007075B5" w:rsidRPr="00603981" w:rsidRDefault="007075B5" w:rsidP="007075B5">
      <w:pPr>
        <w:keepNext/>
        <w:spacing w:after="160" w:line="259" w:lineRule="auto"/>
        <w:rPr>
          <w:rFonts w:cstheme="minorHAnsi"/>
          <w:lang w:val="en-GB"/>
        </w:rPr>
      </w:pPr>
      <w:r w:rsidRPr="00603981">
        <w:rPr>
          <w:rFonts w:cstheme="minorHAnsi"/>
          <w:u w:val="single"/>
          <w:lang w:val="en-GB"/>
        </w:rPr>
        <w:t>The data</w:t>
      </w:r>
    </w:p>
    <w:p w14:paraId="6CA632A1" w14:textId="77777777" w:rsidR="007075B5" w:rsidRPr="00603981" w:rsidRDefault="007075B5" w:rsidP="007075B5">
      <w:pPr>
        <w:keepNext/>
        <w:spacing w:after="160" w:line="259" w:lineRule="auto"/>
        <w:rPr>
          <w:rFonts w:cstheme="minorHAnsi"/>
          <w:lang w:val="en-GB"/>
        </w:rPr>
      </w:pPr>
      <w:r w:rsidRPr="00603981">
        <w:rPr>
          <w:rFonts w:cstheme="minorHAnsi"/>
          <w:lang w:val="en-GB"/>
        </w:rPr>
        <w:t>The Australian Bureau of Statistics (ABS) releases data on the volume and characteristics of labour hire workers, drawn from different sources.</w:t>
      </w:r>
      <w:r w:rsidRPr="00603981">
        <w:rPr>
          <w:rStyle w:val="FootnoteReference"/>
          <w:rFonts w:cstheme="minorHAnsi"/>
          <w:lang w:val="en-GB"/>
        </w:rPr>
        <w:footnoteReference w:id="29"/>
      </w:r>
      <w:r w:rsidRPr="00603981">
        <w:rPr>
          <w:rFonts w:cstheme="minorHAnsi"/>
          <w:lang w:val="en-GB"/>
        </w:rPr>
        <w:t xml:space="preserve"> However, the multi-party nature of labour hire work makes it challenging to assess statistically. </w:t>
      </w:r>
    </w:p>
    <w:p w14:paraId="7CE88ABB" w14:textId="39308E7C" w:rsidR="002326DD" w:rsidRPr="00603981" w:rsidRDefault="007075B5" w:rsidP="007075B5">
      <w:pPr>
        <w:keepNext/>
        <w:spacing w:after="160" w:line="259" w:lineRule="auto"/>
        <w:rPr>
          <w:rFonts w:eastAsiaTheme="minorEastAsia"/>
          <w:color w:val="000000" w:themeColor="text1"/>
          <w:lang w:val="en-GB"/>
        </w:rPr>
      </w:pPr>
      <w:r w:rsidRPr="00603981">
        <w:rPr>
          <w:rFonts w:eastAsiaTheme="minorEastAsia"/>
          <w:color w:val="000000" w:themeColor="text1"/>
          <w:lang w:val="en-GB"/>
        </w:rPr>
        <w:t xml:space="preserve">For example, there is no authoritative data on the prevalence of </w:t>
      </w:r>
      <w:r w:rsidRPr="00603981">
        <w:rPr>
          <w:rFonts w:eastAsiaTheme="minorEastAsia"/>
          <w:i/>
          <w:color w:val="000000" w:themeColor="text1"/>
          <w:lang w:val="en-GB"/>
        </w:rPr>
        <w:t>internal</w:t>
      </w:r>
      <w:r w:rsidRPr="00603981">
        <w:rPr>
          <w:rFonts w:eastAsiaTheme="minorEastAsia"/>
          <w:color w:val="000000" w:themeColor="text1"/>
          <w:lang w:val="en-GB"/>
        </w:rPr>
        <w:t xml:space="preserve"> labour hire arrangements within corporate groups.</w:t>
      </w:r>
      <w:r w:rsidR="00BA2E50" w:rsidRPr="00603981">
        <w:rPr>
          <w:rFonts w:eastAsiaTheme="minorEastAsia"/>
          <w:color w:val="000000" w:themeColor="text1"/>
          <w:lang w:val="en-GB"/>
        </w:rPr>
        <w:t xml:space="preserve"> This has required the department to base internal labour hire cost analys</w:t>
      </w:r>
      <w:r w:rsidR="002A1E77" w:rsidRPr="00603981">
        <w:rPr>
          <w:rFonts w:eastAsiaTheme="minorEastAsia"/>
          <w:color w:val="000000" w:themeColor="text1"/>
          <w:lang w:val="en-GB"/>
        </w:rPr>
        <w:t>e</w:t>
      </w:r>
      <w:r w:rsidR="00BA2E50" w:rsidRPr="00603981">
        <w:rPr>
          <w:rFonts w:eastAsiaTheme="minorEastAsia"/>
          <w:color w:val="000000" w:themeColor="text1"/>
          <w:lang w:val="en-GB"/>
        </w:rPr>
        <w:t xml:space="preserve">s on </w:t>
      </w:r>
      <w:r w:rsidR="002A1E77" w:rsidRPr="00603981">
        <w:rPr>
          <w:rFonts w:eastAsiaTheme="minorEastAsia"/>
          <w:color w:val="000000" w:themeColor="text1"/>
          <w:lang w:val="en-GB"/>
        </w:rPr>
        <w:t xml:space="preserve">a rudimentary assumption about the number of workers who </w:t>
      </w:r>
      <w:r w:rsidR="002A1E77" w:rsidRPr="00603981">
        <w:rPr>
          <w:rFonts w:eastAsiaTheme="minorEastAsia"/>
          <w:i/>
          <w:color w:val="000000" w:themeColor="text1"/>
          <w:lang w:val="en-GB"/>
        </w:rPr>
        <w:t>may</w:t>
      </w:r>
      <w:r w:rsidR="002A1E77" w:rsidRPr="00603981">
        <w:rPr>
          <w:rFonts w:eastAsiaTheme="minorEastAsia"/>
          <w:color w:val="000000" w:themeColor="text1"/>
          <w:lang w:val="en-GB"/>
        </w:rPr>
        <w:t xml:space="preserve"> be captured by </w:t>
      </w:r>
      <w:r w:rsidR="00005951" w:rsidRPr="00603981">
        <w:rPr>
          <w:rFonts w:eastAsiaTheme="minorEastAsia"/>
          <w:color w:val="000000" w:themeColor="text1"/>
          <w:lang w:val="en-GB"/>
        </w:rPr>
        <w:t xml:space="preserve">the </w:t>
      </w:r>
      <w:r w:rsidR="00574A87" w:rsidRPr="00603981">
        <w:rPr>
          <w:rFonts w:eastAsiaTheme="minorEastAsia"/>
          <w:color w:val="000000" w:themeColor="text1"/>
          <w:lang w:val="en-GB"/>
        </w:rPr>
        <w:t>concept</w:t>
      </w:r>
      <w:r w:rsidR="00005951" w:rsidRPr="00603981">
        <w:rPr>
          <w:rFonts w:eastAsiaTheme="minorEastAsia"/>
          <w:color w:val="000000" w:themeColor="text1"/>
          <w:lang w:val="en-GB"/>
        </w:rPr>
        <w:t xml:space="preserve"> of internal labour hire, with a clear caveat that this number may be higher, and consequently, may </w:t>
      </w:r>
      <w:r w:rsidR="00521A28" w:rsidRPr="00603981">
        <w:rPr>
          <w:rFonts w:eastAsiaTheme="minorEastAsia"/>
          <w:color w:val="000000" w:themeColor="text1"/>
          <w:lang w:val="en-GB"/>
        </w:rPr>
        <w:t xml:space="preserve">result </w:t>
      </w:r>
      <w:r w:rsidR="009F2637" w:rsidRPr="00603981">
        <w:rPr>
          <w:rFonts w:eastAsiaTheme="minorEastAsia"/>
          <w:color w:val="000000" w:themeColor="text1"/>
          <w:lang w:val="en-GB"/>
        </w:rPr>
        <w:t>in</w:t>
      </w:r>
      <w:r w:rsidR="00005951" w:rsidRPr="00603981">
        <w:rPr>
          <w:rFonts w:eastAsiaTheme="minorEastAsia"/>
          <w:color w:val="000000" w:themeColor="text1"/>
          <w:lang w:val="en-GB"/>
        </w:rPr>
        <w:t xml:space="preserve"> higher </w:t>
      </w:r>
      <w:r w:rsidR="002326DD" w:rsidRPr="00603981">
        <w:rPr>
          <w:rFonts w:eastAsiaTheme="minorEastAsia"/>
          <w:color w:val="000000" w:themeColor="text1"/>
          <w:lang w:val="en-GB"/>
        </w:rPr>
        <w:t>cost</w:t>
      </w:r>
      <w:r w:rsidR="00A323B1" w:rsidRPr="00603981">
        <w:rPr>
          <w:rFonts w:eastAsiaTheme="minorEastAsia"/>
          <w:color w:val="000000" w:themeColor="text1"/>
          <w:lang w:val="en-GB"/>
        </w:rPr>
        <w:t>s</w:t>
      </w:r>
      <w:r w:rsidR="002326DD" w:rsidRPr="00603981">
        <w:rPr>
          <w:rFonts w:eastAsiaTheme="minorEastAsia"/>
          <w:color w:val="000000" w:themeColor="text1"/>
          <w:lang w:val="en-GB"/>
        </w:rPr>
        <w:t>.</w:t>
      </w:r>
      <w:r w:rsidRPr="00603981">
        <w:rPr>
          <w:rFonts w:eastAsiaTheme="minorEastAsia"/>
          <w:color w:val="000000" w:themeColor="text1"/>
          <w:lang w:val="en-GB"/>
        </w:rPr>
        <w:t xml:space="preserve"> </w:t>
      </w:r>
    </w:p>
    <w:p w14:paraId="3EF12BD2" w14:textId="437A98C6" w:rsidR="007075B5" w:rsidRPr="00603981" w:rsidRDefault="007075B5" w:rsidP="007075B5">
      <w:pPr>
        <w:keepNext/>
        <w:spacing w:after="160" w:line="259" w:lineRule="auto"/>
        <w:rPr>
          <w:rFonts w:eastAsiaTheme="minorEastAsia" w:cstheme="minorHAnsi"/>
          <w:color w:val="000000" w:themeColor="text1"/>
          <w:lang w:val="en-GB"/>
        </w:rPr>
      </w:pPr>
      <w:r w:rsidRPr="00603981">
        <w:rPr>
          <w:rFonts w:eastAsiaTheme="minorEastAsia" w:cstheme="minorHAnsi"/>
          <w:color w:val="000000" w:themeColor="text1"/>
          <w:lang w:val="en-GB"/>
        </w:rPr>
        <w:t xml:space="preserve">Also, as ABS data is only available at the aggregate level, a direct comparison of the earnings of labour hire workers with the earnings of directly engaged employees performing work that would be covered by the same enterprise agreement classification is not possible. </w:t>
      </w:r>
    </w:p>
    <w:p w14:paraId="452AEF54" w14:textId="216A81FD" w:rsidR="007075B5" w:rsidRPr="00603981" w:rsidRDefault="12DADD84" w:rsidP="240C7094">
      <w:pPr>
        <w:keepNext/>
        <w:spacing w:after="160" w:line="259" w:lineRule="auto"/>
        <w:rPr>
          <w:lang w:val="en-GB"/>
        </w:rPr>
      </w:pPr>
      <w:r w:rsidRPr="00603981">
        <w:rPr>
          <w:lang w:val="en-GB"/>
        </w:rPr>
        <w:t xml:space="preserve">There is also limited information on the arrangements between </w:t>
      </w:r>
      <w:r w:rsidR="570FF233" w:rsidRPr="00603981">
        <w:rPr>
          <w:lang w:val="en-GB"/>
        </w:rPr>
        <w:t>labour hire provider</w:t>
      </w:r>
      <w:r w:rsidRPr="00603981">
        <w:rPr>
          <w:lang w:val="en-GB"/>
        </w:rPr>
        <w:t xml:space="preserve">s and host employers. For example, there is no reliable data on how many Australian businesses use labour hire. This means the department is unable to estimate the number of businesses that </w:t>
      </w:r>
      <w:r w:rsidR="005D5CA9">
        <w:rPr>
          <w:lang w:val="en-GB"/>
        </w:rPr>
        <w:t>may</w:t>
      </w:r>
      <w:r w:rsidR="005D5CA9" w:rsidRPr="00603981">
        <w:rPr>
          <w:lang w:val="en-GB"/>
        </w:rPr>
        <w:t xml:space="preserve"> </w:t>
      </w:r>
      <w:r w:rsidRPr="00603981">
        <w:rPr>
          <w:lang w:val="en-GB"/>
        </w:rPr>
        <w:t xml:space="preserve">be affected by the proposal or </w:t>
      </w:r>
      <w:r w:rsidR="002E0CF9" w:rsidRPr="00603981">
        <w:rPr>
          <w:lang w:val="en-GB"/>
        </w:rPr>
        <w:t xml:space="preserve">consider a range of potential </w:t>
      </w:r>
      <w:r w:rsidRPr="00603981">
        <w:rPr>
          <w:lang w:val="en-GB"/>
        </w:rPr>
        <w:t>distributional impacts</w:t>
      </w:r>
      <w:r w:rsidR="00F1721C" w:rsidRPr="00603981">
        <w:rPr>
          <w:lang w:val="en-GB"/>
        </w:rPr>
        <w:t xml:space="preserve"> </w:t>
      </w:r>
      <w:r w:rsidRPr="00603981">
        <w:rPr>
          <w:lang w:val="en-GB"/>
        </w:rPr>
        <w:t>(such as whether small</w:t>
      </w:r>
      <w:r w:rsidR="005D5CA9">
        <w:rPr>
          <w:lang w:val="en-GB"/>
        </w:rPr>
        <w:t>er</w:t>
      </w:r>
      <w:r w:rsidRPr="00603981">
        <w:rPr>
          <w:lang w:val="en-GB"/>
        </w:rPr>
        <w:t xml:space="preserve"> businesses may be impacted differently to larger businesses).</w:t>
      </w:r>
      <w:r w:rsidR="00572D24" w:rsidRPr="00603981">
        <w:rPr>
          <w:lang w:val="en-GB"/>
        </w:rPr>
        <w:t xml:space="preserve"> That noted, </w:t>
      </w:r>
      <w:r w:rsidR="008802A4">
        <w:rPr>
          <w:lang w:val="en-GB"/>
        </w:rPr>
        <w:t>host</w:t>
      </w:r>
      <w:r w:rsidR="0071510B">
        <w:rPr>
          <w:lang w:val="en-GB"/>
        </w:rPr>
        <w:t>s</w:t>
      </w:r>
      <w:r w:rsidR="008802A4">
        <w:rPr>
          <w:lang w:val="en-GB"/>
        </w:rPr>
        <w:t xml:space="preserve"> that are small businesses </w:t>
      </w:r>
      <w:r w:rsidR="008A2DBF">
        <w:rPr>
          <w:lang w:val="en-GB"/>
        </w:rPr>
        <w:t xml:space="preserve">within the meaning of </w:t>
      </w:r>
      <w:r w:rsidR="00FC068F">
        <w:rPr>
          <w:lang w:val="en-GB"/>
        </w:rPr>
        <w:t>s</w:t>
      </w:r>
      <w:r w:rsidR="008A2DBF">
        <w:rPr>
          <w:lang w:val="en-GB"/>
        </w:rPr>
        <w:t>ection</w:t>
      </w:r>
      <w:r w:rsidR="00FC068F">
        <w:rPr>
          <w:lang w:val="en-GB"/>
        </w:rPr>
        <w:t xml:space="preserve"> 23 of the </w:t>
      </w:r>
      <w:r w:rsidR="00FC068F" w:rsidRPr="006F7EC1">
        <w:rPr>
          <w:lang w:val="en-GB"/>
        </w:rPr>
        <w:t>Fair Work Act</w:t>
      </w:r>
      <w:r w:rsidR="008A2DBF">
        <w:rPr>
          <w:i/>
          <w:iCs/>
          <w:lang w:val="en-GB"/>
        </w:rPr>
        <w:t xml:space="preserve"> – </w:t>
      </w:r>
      <w:r w:rsidR="00FC068F">
        <w:rPr>
          <w:lang w:val="en-GB"/>
        </w:rPr>
        <w:t>that is</w:t>
      </w:r>
      <w:r w:rsidR="00C0776D">
        <w:rPr>
          <w:lang w:val="en-GB"/>
        </w:rPr>
        <w:t>, a business that employs</w:t>
      </w:r>
      <w:r w:rsidR="00FC068F">
        <w:rPr>
          <w:lang w:val="en-GB"/>
        </w:rPr>
        <w:t xml:space="preserve"> fewer than 15</w:t>
      </w:r>
      <w:r w:rsidR="008A2DBF">
        <w:rPr>
          <w:lang w:val="en-GB"/>
        </w:rPr>
        <w:t> </w:t>
      </w:r>
      <w:r w:rsidR="00FC068F">
        <w:rPr>
          <w:lang w:val="en-GB"/>
        </w:rPr>
        <w:t>employees</w:t>
      </w:r>
      <w:r w:rsidR="008A2DBF">
        <w:rPr>
          <w:lang w:val="en-GB"/>
        </w:rPr>
        <w:t xml:space="preserve"> – </w:t>
      </w:r>
      <w:r w:rsidR="00FC068F">
        <w:rPr>
          <w:lang w:val="en-GB"/>
        </w:rPr>
        <w:t xml:space="preserve">will be excluded from </w:t>
      </w:r>
      <w:r w:rsidR="00077085">
        <w:rPr>
          <w:lang w:val="en-GB"/>
        </w:rPr>
        <w:t>this</w:t>
      </w:r>
      <w:r w:rsidR="00FC068F">
        <w:rPr>
          <w:lang w:val="en-GB"/>
        </w:rPr>
        <w:t xml:space="preserve"> </w:t>
      </w:r>
      <w:r w:rsidR="00077085">
        <w:rPr>
          <w:lang w:val="en-GB"/>
        </w:rPr>
        <w:t>proposal</w:t>
      </w:r>
      <w:r w:rsidR="00FC068F">
        <w:rPr>
          <w:lang w:val="en-GB"/>
        </w:rPr>
        <w:t>.</w:t>
      </w:r>
      <w:r w:rsidR="000836D4" w:rsidRPr="00603981">
        <w:rPr>
          <w:lang w:val="en-GB"/>
        </w:rPr>
        <w:t xml:space="preserve"> Further details about the scope of the proposal are set out under Impact Analysis Question 3.</w:t>
      </w:r>
    </w:p>
    <w:p w14:paraId="1B2C53C4" w14:textId="40A9E719" w:rsidR="007075B5" w:rsidRPr="00603981" w:rsidRDefault="007075B5" w:rsidP="007075B5">
      <w:pPr>
        <w:spacing w:after="160" w:line="259" w:lineRule="auto"/>
        <w:rPr>
          <w:rFonts w:cstheme="minorHAnsi"/>
        </w:rPr>
      </w:pPr>
      <w:r w:rsidRPr="00603981">
        <w:rPr>
          <w:rFonts w:cstheme="minorHAnsi"/>
          <w:lang w:val="en-GB"/>
        </w:rPr>
        <w:t>Further, published</w:t>
      </w:r>
      <w:r w:rsidRPr="00603981">
        <w:rPr>
          <w:rFonts w:cstheme="minorHAnsi"/>
        </w:rPr>
        <w:t xml:space="preserve"> data from the ABS show</w:t>
      </w:r>
      <w:r w:rsidR="004A426A" w:rsidRPr="00603981">
        <w:rPr>
          <w:rFonts w:cstheme="minorHAnsi"/>
        </w:rPr>
        <w:t>s</w:t>
      </w:r>
      <w:r w:rsidRPr="00603981">
        <w:rPr>
          <w:rFonts w:cstheme="minorHAnsi"/>
        </w:rPr>
        <w:t xml:space="preserve"> that, </w:t>
      </w:r>
      <w:r w:rsidRPr="00603981">
        <w:rPr>
          <w:rStyle w:val="cf01"/>
          <w:rFonts w:asciiTheme="minorHAnsi" w:hAnsiTheme="minorHAnsi" w:cstheme="minorHAnsi"/>
          <w:sz w:val="22"/>
          <w:szCs w:val="22"/>
        </w:rPr>
        <w:t xml:space="preserve">despite a high number of labour hire workers working full-time hours (81 per cent), those workers are comparatively low paid when assessed against </w:t>
      </w:r>
      <w:r w:rsidRPr="00060A19">
        <w:rPr>
          <w:rStyle w:val="cf01"/>
          <w:rFonts w:asciiTheme="minorHAnsi" w:hAnsiTheme="minorHAnsi" w:cstheme="minorHAnsi"/>
          <w:sz w:val="22"/>
          <w:szCs w:val="22"/>
          <w:u w:val="single"/>
        </w:rPr>
        <w:t>all</w:t>
      </w:r>
      <w:r w:rsidRPr="00603981">
        <w:rPr>
          <w:rStyle w:val="cf01"/>
          <w:rFonts w:asciiTheme="minorHAnsi" w:hAnsiTheme="minorHAnsi" w:cstheme="minorHAnsi"/>
          <w:sz w:val="22"/>
          <w:szCs w:val="22"/>
        </w:rPr>
        <w:t xml:space="preserve"> full-time employees. Median hourly earnings for full-time labour hire employees stood at $34.80 in August 2022, compared with $40.70 for all full-time employees (see Table 1 below).</w:t>
      </w:r>
      <w:r w:rsidRPr="00603981">
        <w:rPr>
          <w:rStyle w:val="FootnoteReference"/>
          <w:rFonts w:cstheme="minorHAnsi"/>
        </w:rPr>
        <w:footnoteReference w:id="30"/>
      </w:r>
      <w:r w:rsidRPr="00603981">
        <w:rPr>
          <w:rStyle w:val="cf01"/>
          <w:rFonts w:asciiTheme="minorHAnsi" w:hAnsiTheme="minorHAnsi" w:cstheme="minorHAnsi"/>
          <w:sz w:val="22"/>
          <w:szCs w:val="22"/>
        </w:rPr>
        <w:t xml:space="preserve"> </w:t>
      </w:r>
      <w:r w:rsidRPr="00603981">
        <w:rPr>
          <w:rFonts w:cstheme="minorHAnsi"/>
        </w:rPr>
        <w:t>While this ‘all full-time employees’ statistic includes labour hire workers, they are a small proportion of all employed persons (2.3 per cent), and it is standard practice by the ABS to compare statistics by form of employment with those statistics for all employees.</w:t>
      </w:r>
      <w:r w:rsidR="00B81E28" w:rsidRPr="00603981">
        <w:rPr>
          <w:rFonts w:cstheme="minorHAnsi"/>
        </w:rPr>
        <w:t xml:space="preserve"> The department has adopted this approach.</w:t>
      </w:r>
    </w:p>
    <w:p w14:paraId="0E964F69" w14:textId="77777777" w:rsidR="007075B5" w:rsidRPr="00603981" w:rsidRDefault="007075B5" w:rsidP="007075B5">
      <w:pPr>
        <w:keepNext/>
        <w:spacing w:after="120"/>
        <w:rPr>
          <w:rFonts w:cstheme="minorHAnsi"/>
        </w:rPr>
      </w:pPr>
      <w:r w:rsidRPr="00603981">
        <w:rPr>
          <w:rFonts w:cstheme="minorHAnsi"/>
        </w:rPr>
        <w:lastRenderedPageBreak/>
        <w:t xml:space="preserve">Table 1: </w:t>
      </w:r>
      <w:r w:rsidRPr="00603981">
        <w:rPr>
          <w:rFonts w:cstheme="minorHAnsi"/>
          <w:i/>
          <w:iCs/>
        </w:rPr>
        <w:t>Median hourly earnings for employees paid by a labour hire firm, August 2022</w:t>
      </w:r>
    </w:p>
    <w:tbl>
      <w:tblPr>
        <w:tblStyle w:val="TableGrid"/>
        <w:tblW w:w="4636" w:type="pct"/>
        <w:tblLook w:val="04A0" w:firstRow="1" w:lastRow="0" w:firstColumn="1" w:lastColumn="0" w:noHBand="0" w:noVBand="1"/>
      </w:tblPr>
      <w:tblGrid>
        <w:gridCol w:w="1281"/>
        <w:gridCol w:w="2564"/>
        <w:gridCol w:w="2281"/>
        <w:gridCol w:w="2279"/>
      </w:tblGrid>
      <w:tr w:rsidR="007075B5" w:rsidRPr="00603981" w14:paraId="6B0926CC" w14:textId="77777777">
        <w:trPr>
          <w:trHeight w:val="176"/>
        </w:trPr>
        <w:tc>
          <w:tcPr>
            <w:tcW w:w="762" w:type="pct"/>
            <w:vMerge w:val="restart"/>
            <w:tcBorders>
              <w:top w:val="nil"/>
              <w:left w:val="nil"/>
            </w:tcBorders>
            <w:noWrap/>
            <w:vAlign w:val="center"/>
          </w:tcPr>
          <w:p w14:paraId="37713461" w14:textId="77777777" w:rsidR="007075B5" w:rsidRPr="00603981" w:rsidRDefault="007075B5" w:rsidP="00EB6C3E">
            <w:pPr>
              <w:keepNext/>
              <w:keepLines/>
              <w:spacing w:before="40" w:after="40" w:line="240" w:lineRule="auto"/>
              <w:jc w:val="center"/>
              <w:rPr>
                <w:rFonts w:cstheme="minorHAnsi"/>
                <w:lang w:eastAsia="en-AU"/>
              </w:rPr>
            </w:pPr>
          </w:p>
        </w:tc>
        <w:tc>
          <w:tcPr>
            <w:tcW w:w="4238" w:type="pct"/>
            <w:gridSpan w:val="3"/>
            <w:shd w:val="clear" w:color="auto" w:fill="404246"/>
            <w:vAlign w:val="center"/>
          </w:tcPr>
          <w:p w14:paraId="0CF340C9" w14:textId="77777777" w:rsidR="007075B5" w:rsidRPr="00603981" w:rsidRDefault="007075B5" w:rsidP="00EB6C3E">
            <w:pPr>
              <w:keepNext/>
              <w:keepLines/>
              <w:spacing w:before="40" w:after="40" w:line="240" w:lineRule="auto"/>
              <w:jc w:val="center"/>
              <w:rPr>
                <w:rFonts w:cstheme="minorHAnsi"/>
                <w:b/>
                <w:bCs/>
                <w:color w:val="FFFFFF" w:themeColor="background1"/>
                <w:lang w:eastAsia="en-AU"/>
              </w:rPr>
            </w:pPr>
            <w:r w:rsidRPr="00603981">
              <w:rPr>
                <w:rFonts w:cstheme="minorHAnsi"/>
                <w:b/>
                <w:bCs/>
                <w:color w:val="FFFFFF" w:themeColor="background1"/>
                <w:lang w:eastAsia="en-AU"/>
              </w:rPr>
              <w:t>Median hourly earnings</w:t>
            </w:r>
          </w:p>
        </w:tc>
      </w:tr>
      <w:tr w:rsidR="007075B5" w:rsidRPr="00603981" w14:paraId="17367C6E" w14:textId="77777777">
        <w:trPr>
          <w:trHeight w:val="176"/>
        </w:trPr>
        <w:tc>
          <w:tcPr>
            <w:tcW w:w="762" w:type="pct"/>
            <w:vMerge/>
            <w:tcBorders>
              <w:left w:val="nil"/>
            </w:tcBorders>
            <w:noWrap/>
            <w:vAlign w:val="center"/>
          </w:tcPr>
          <w:p w14:paraId="592260C3" w14:textId="77777777" w:rsidR="007075B5" w:rsidRPr="00603981" w:rsidRDefault="007075B5" w:rsidP="00EB6C3E">
            <w:pPr>
              <w:keepNext/>
              <w:keepLines/>
              <w:spacing w:before="40" w:after="40" w:line="240" w:lineRule="auto"/>
              <w:jc w:val="center"/>
              <w:rPr>
                <w:rFonts w:cstheme="minorHAnsi"/>
                <w:lang w:eastAsia="en-AU"/>
              </w:rPr>
            </w:pPr>
          </w:p>
        </w:tc>
        <w:tc>
          <w:tcPr>
            <w:tcW w:w="1525" w:type="pct"/>
            <w:shd w:val="clear" w:color="auto" w:fill="7A9F4C"/>
            <w:vAlign w:val="center"/>
          </w:tcPr>
          <w:p w14:paraId="16E6EE09" w14:textId="77777777" w:rsidR="007075B5" w:rsidRPr="00603981" w:rsidRDefault="007075B5" w:rsidP="00EB6C3E">
            <w:pPr>
              <w:keepNext/>
              <w:keepLines/>
              <w:spacing w:before="40" w:after="40" w:line="240" w:lineRule="auto"/>
              <w:jc w:val="center"/>
              <w:rPr>
                <w:rFonts w:cstheme="minorHAnsi"/>
                <w:b/>
                <w:bCs/>
                <w:color w:val="FFFFFF" w:themeColor="background1"/>
                <w:lang w:eastAsia="en-AU"/>
              </w:rPr>
            </w:pPr>
            <w:r w:rsidRPr="00603981">
              <w:rPr>
                <w:rFonts w:cstheme="minorHAnsi"/>
                <w:b/>
                <w:bCs/>
                <w:color w:val="FFFFFF" w:themeColor="background1"/>
                <w:lang w:eastAsia="en-AU"/>
              </w:rPr>
              <w:t>Employees paid by a labour hire firm</w:t>
            </w:r>
          </w:p>
        </w:tc>
        <w:tc>
          <w:tcPr>
            <w:tcW w:w="1357" w:type="pct"/>
            <w:shd w:val="clear" w:color="auto" w:fill="7A9F4C"/>
            <w:vAlign w:val="center"/>
          </w:tcPr>
          <w:p w14:paraId="344696E7" w14:textId="77777777" w:rsidR="007075B5" w:rsidRPr="00603981" w:rsidRDefault="007075B5" w:rsidP="00EB6C3E">
            <w:pPr>
              <w:keepNext/>
              <w:keepLines/>
              <w:spacing w:before="40" w:after="40" w:line="240" w:lineRule="auto"/>
              <w:jc w:val="center"/>
              <w:rPr>
                <w:rFonts w:cstheme="minorHAnsi"/>
                <w:b/>
                <w:bCs/>
                <w:color w:val="FFFFFF" w:themeColor="background1"/>
                <w:lang w:eastAsia="en-AU"/>
              </w:rPr>
            </w:pPr>
            <w:r w:rsidRPr="00603981">
              <w:rPr>
                <w:rFonts w:cstheme="minorHAnsi"/>
                <w:b/>
                <w:bCs/>
                <w:color w:val="FFFFFF" w:themeColor="background1"/>
                <w:lang w:eastAsia="en-AU"/>
              </w:rPr>
              <w:t>All Employees</w:t>
            </w:r>
          </w:p>
        </w:tc>
        <w:tc>
          <w:tcPr>
            <w:tcW w:w="1356" w:type="pct"/>
            <w:shd w:val="clear" w:color="auto" w:fill="5D7A38"/>
            <w:vAlign w:val="center"/>
          </w:tcPr>
          <w:p w14:paraId="1317E846" w14:textId="77777777" w:rsidR="007075B5" w:rsidRPr="00603981" w:rsidRDefault="007075B5" w:rsidP="00EB6C3E">
            <w:pPr>
              <w:keepNext/>
              <w:keepLines/>
              <w:spacing w:before="40" w:after="40" w:line="240" w:lineRule="auto"/>
              <w:jc w:val="center"/>
              <w:rPr>
                <w:rFonts w:cstheme="minorHAnsi"/>
                <w:b/>
                <w:bCs/>
                <w:color w:val="FFFFFF" w:themeColor="background1"/>
                <w:lang w:eastAsia="en-AU"/>
              </w:rPr>
            </w:pPr>
            <w:r w:rsidRPr="00603981">
              <w:rPr>
                <w:rFonts w:cstheme="minorHAnsi"/>
                <w:b/>
                <w:bCs/>
                <w:color w:val="FFFFFF" w:themeColor="background1"/>
                <w:lang w:eastAsia="en-AU"/>
              </w:rPr>
              <w:t>Difference</w:t>
            </w:r>
          </w:p>
        </w:tc>
      </w:tr>
      <w:tr w:rsidR="007075B5" w:rsidRPr="00603981" w14:paraId="3C0A8C8A" w14:textId="77777777">
        <w:trPr>
          <w:trHeight w:val="336"/>
        </w:trPr>
        <w:tc>
          <w:tcPr>
            <w:tcW w:w="762" w:type="pct"/>
            <w:noWrap/>
            <w:vAlign w:val="center"/>
            <w:hideMark/>
          </w:tcPr>
          <w:p w14:paraId="205047E1" w14:textId="77777777" w:rsidR="007075B5" w:rsidRPr="00603981" w:rsidRDefault="007075B5" w:rsidP="00EB6C3E">
            <w:pPr>
              <w:keepNext/>
              <w:keepLines/>
              <w:spacing w:before="40" w:after="40" w:line="240" w:lineRule="auto"/>
              <w:rPr>
                <w:rFonts w:cstheme="minorHAnsi"/>
                <w:b/>
                <w:bCs/>
                <w:lang w:eastAsia="en-AU"/>
              </w:rPr>
            </w:pPr>
            <w:r w:rsidRPr="00603981">
              <w:rPr>
                <w:rFonts w:cstheme="minorHAnsi"/>
                <w:b/>
                <w:bCs/>
                <w:lang w:eastAsia="en-AU"/>
              </w:rPr>
              <w:t>Full-time</w:t>
            </w:r>
          </w:p>
        </w:tc>
        <w:tc>
          <w:tcPr>
            <w:tcW w:w="1525" w:type="pct"/>
            <w:vAlign w:val="center"/>
          </w:tcPr>
          <w:p w14:paraId="42E233E4" w14:textId="77777777" w:rsidR="007075B5" w:rsidRPr="00603981" w:rsidRDefault="007075B5" w:rsidP="00EB6C3E">
            <w:pPr>
              <w:keepNext/>
              <w:keepLines/>
              <w:spacing w:before="40" w:after="40" w:line="240" w:lineRule="auto"/>
              <w:jc w:val="center"/>
              <w:rPr>
                <w:rFonts w:cstheme="minorHAnsi"/>
                <w:lang w:eastAsia="en-AU"/>
              </w:rPr>
            </w:pPr>
            <w:r w:rsidRPr="00603981">
              <w:rPr>
                <w:rFonts w:cstheme="minorHAnsi"/>
                <w:lang w:eastAsia="en-AU"/>
              </w:rPr>
              <w:t>$34.80</w:t>
            </w:r>
          </w:p>
        </w:tc>
        <w:tc>
          <w:tcPr>
            <w:tcW w:w="1357" w:type="pct"/>
            <w:vAlign w:val="center"/>
          </w:tcPr>
          <w:p w14:paraId="7AED91A8" w14:textId="77777777" w:rsidR="007075B5" w:rsidRPr="00603981" w:rsidRDefault="007075B5" w:rsidP="00EB6C3E">
            <w:pPr>
              <w:keepNext/>
              <w:keepLines/>
              <w:spacing w:before="40" w:after="40" w:line="240" w:lineRule="auto"/>
              <w:jc w:val="center"/>
              <w:rPr>
                <w:rFonts w:cstheme="minorHAnsi"/>
                <w:lang w:eastAsia="en-AU"/>
              </w:rPr>
            </w:pPr>
            <w:r w:rsidRPr="00603981">
              <w:rPr>
                <w:rFonts w:cstheme="minorHAnsi"/>
                <w:lang w:eastAsia="en-AU"/>
              </w:rPr>
              <w:t>$40.70</w:t>
            </w:r>
          </w:p>
        </w:tc>
        <w:tc>
          <w:tcPr>
            <w:tcW w:w="1356" w:type="pct"/>
            <w:vAlign w:val="center"/>
          </w:tcPr>
          <w:p w14:paraId="06F9E673" w14:textId="77777777" w:rsidR="007075B5" w:rsidRPr="00603981" w:rsidRDefault="007075B5" w:rsidP="00EB6C3E">
            <w:pPr>
              <w:keepNext/>
              <w:keepLines/>
              <w:spacing w:before="40" w:after="40" w:line="240" w:lineRule="auto"/>
              <w:jc w:val="center"/>
              <w:rPr>
                <w:rFonts w:cstheme="minorHAnsi"/>
                <w:lang w:eastAsia="en-AU"/>
              </w:rPr>
            </w:pPr>
            <w:r w:rsidRPr="00603981">
              <w:rPr>
                <w:rFonts w:cstheme="minorHAnsi"/>
                <w:lang w:eastAsia="en-AU"/>
              </w:rPr>
              <w:t>-$5.9</w:t>
            </w:r>
          </w:p>
        </w:tc>
      </w:tr>
      <w:tr w:rsidR="007075B5" w:rsidRPr="00603981" w14:paraId="69FF60FC" w14:textId="77777777">
        <w:trPr>
          <w:trHeight w:val="336"/>
        </w:trPr>
        <w:tc>
          <w:tcPr>
            <w:tcW w:w="762" w:type="pct"/>
            <w:noWrap/>
            <w:vAlign w:val="center"/>
          </w:tcPr>
          <w:p w14:paraId="7BBE5DE6" w14:textId="77777777" w:rsidR="007075B5" w:rsidRPr="00603981" w:rsidRDefault="007075B5" w:rsidP="00EB6C3E">
            <w:pPr>
              <w:keepNext/>
              <w:keepLines/>
              <w:spacing w:before="40" w:after="40" w:line="240" w:lineRule="auto"/>
              <w:rPr>
                <w:rFonts w:cstheme="minorHAnsi"/>
                <w:b/>
                <w:bCs/>
                <w:lang w:eastAsia="en-AU"/>
              </w:rPr>
            </w:pPr>
            <w:r w:rsidRPr="00603981">
              <w:rPr>
                <w:rFonts w:cstheme="minorHAnsi"/>
                <w:b/>
                <w:bCs/>
                <w:lang w:eastAsia="en-AU"/>
              </w:rPr>
              <w:t>Part-time</w:t>
            </w:r>
          </w:p>
        </w:tc>
        <w:tc>
          <w:tcPr>
            <w:tcW w:w="1525" w:type="pct"/>
            <w:vAlign w:val="center"/>
          </w:tcPr>
          <w:p w14:paraId="5125439B" w14:textId="77777777" w:rsidR="007075B5" w:rsidRPr="00603981" w:rsidRDefault="007075B5" w:rsidP="00EB6C3E">
            <w:pPr>
              <w:keepNext/>
              <w:keepLines/>
              <w:spacing w:before="40" w:after="40" w:line="240" w:lineRule="auto"/>
              <w:jc w:val="center"/>
              <w:rPr>
                <w:rFonts w:cstheme="minorHAnsi"/>
                <w:lang w:eastAsia="en-AU"/>
              </w:rPr>
            </w:pPr>
            <w:r w:rsidRPr="00603981">
              <w:rPr>
                <w:rFonts w:cstheme="minorHAnsi"/>
                <w:lang w:eastAsia="en-AU"/>
              </w:rPr>
              <w:t>$35.50</w:t>
            </w:r>
          </w:p>
        </w:tc>
        <w:tc>
          <w:tcPr>
            <w:tcW w:w="1357" w:type="pct"/>
            <w:vAlign w:val="center"/>
          </w:tcPr>
          <w:p w14:paraId="1D9F5F50" w14:textId="77777777" w:rsidR="007075B5" w:rsidRPr="00603981" w:rsidRDefault="007075B5" w:rsidP="00EB6C3E">
            <w:pPr>
              <w:keepNext/>
              <w:keepLines/>
              <w:spacing w:before="40" w:after="40" w:line="240" w:lineRule="auto"/>
              <w:jc w:val="center"/>
              <w:rPr>
                <w:rFonts w:cstheme="minorHAnsi"/>
                <w:lang w:eastAsia="en-AU"/>
              </w:rPr>
            </w:pPr>
            <w:r w:rsidRPr="00603981">
              <w:rPr>
                <w:rFonts w:cstheme="minorHAnsi"/>
                <w:lang w:eastAsia="en-AU"/>
              </w:rPr>
              <w:t>$30.50</w:t>
            </w:r>
          </w:p>
        </w:tc>
        <w:tc>
          <w:tcPr>
            <w:tcW w:w="1356" w:type="pct"/>
            <w:vAlign w:val="center"/>
          </w:tcPr>
          <w:p w14:paraId="061836EA" w14:textId="77777777" w:rsidR="007075B5" w:rsidRPr="00603981" w:rsidRDefault="007075B5" w:rsidP="00EB6C3E">
            <w:pPr>
              <w:keepNext/>
              <w:keepLines/>
              <w:spacing w:before="40" w:after="40" w:line="240" w:lineRule="auto"/>
              <w:jc w:val="center"/>
              <w:rPr>
                <w:rFonts w:cstheme="minorHAnsi"/>
                <w:lang w:eastAsia="en-AU"/>
              </w:rPr>
            </w:pPr>
            <w:r w:rsidRPr="00603981">
              <w:rPr>
                <w:rFonts w:cstheme="minorHAnsi"/>
                <w:lang w:eastAsia="en-AU"/>
              </w:rPr>
              <w:t>+$5</w:t>
            </w:r>
          </w:p>
        </w:tc>
      </w:tr>
      <w:tr w:rsidR="007075B5" w:rsidRPr="00603981" w14:paraId="4F67F7AC" w14:textId="77777777">
        <w:trPr>
          <w:trHeight w:val="336"/>
        </w:trPr>
        <w:tc>
          <w:tcPr>
            <w:tcW w:w="762" w:type="pct"/>
            <w:noWrap/>
            <w:vAlign w:val="center"/>
          </w:tcPr>
          <w:p w14:paraId="0538834F" w14:textId="77777777" w:rsidR="007075B5" w:rsidRPr="00603981" w:rsidRDefault="007075B5" w:rsidP="00EB6C3E">
            <w:pPr>
              <w:keepNext/>
              <w:keepLines/>
              <w:spacing w:before="40" w:after="40" w:line="240" w:lineRule="auto"/>
              <w:rPr>
                <w:rFonts w:cstheme="minorHAnsi"/>
                <w:b/>
                <w:bCs/>
                <w:lang w:eastAsia="en-AU"/>
              </w:rPr>
            </w:pPr>
            <w:r w:rsidRPr="00603981">
              <w:rPr>
                <w:rFonts w:cstheme="minorHAnsi"/>
                <w:b/>
                <w:bCs/>
                <w:lang w:eastAsia="en-AU"/>
              </w:rPr>
              <w:t>Permanent</w:t>
            </w:r>
          </w:p>
        </w:tc>
        <w:tc>
          <w:tcPr>
            <w:tcW w:w="1525" w:type="pct"/>
            <w:vAlign w:val="center"/>
          </w:tcPr>
          <w:p w14:paraId="6412266B" w14:textId="77777777" w:rsidR="007075B5" w:rsidRPr="00603981" w:rsidRDefault="007075B5" w:rsidP="00EB6C3E">
            <w:pPr>
              <w:keepNext/>
              <w:keepLines/>
              <w:spacing w:before="40" w:after="40" w:line="240" w:lineRule="auto"/>
              <w:jc w:val="center"/>
              <w:rPr>
                <w:rFonts w:cstheme="minorHAnsi"/>
                <w:lang w:eastAsia="en-AU"/>
              </w:rPr>
            </w:pPr>
            <w:r w:rsidRPr="00603981">
              <w:rPr>
                <w:rFonts w:cstheme="minorHAnsi"/>
                <w:lang w:eastAsia="en-AU"/>
              </w:rPr>
              <w:t>$30.00</w:t>
            </w:r>
          </w:p>
        </w:tc>
        <w:tc>
          <w:tcPr>
            <w:tcW w:w="1357" w:type="pct"/>
            <w:vAlign w:val="center"/>
          </w:tcPr>
          <w:p w14:paraId="2758C3F8" w14:textId="77777777" w:rsidR="007075B5" w:rsidRPr="00603981" w:rsidRDefault="007075B5" w:rsidP="00EB6C3E">
            <w:pPr>
              <w:keepNext/>
              <w:keepLines/>
              <w:spacing w:before="40" w:after="40" w:line="240" w:lineRule="auto"/>
              <w:jc w:val="center"/>
              <w:rPr>
                <w:rFonts w:cstheme="minorHAnsi"/>
                <w:lang w:eastAsia="en-AU"/>
              </w:rPr>
            </w:pPr>
            <w:r w:rsidRPr="00603981">
              <w:rPr>
                <w:rFonts w:cstheme="minorHAnsi"/>
                <w:lang w:eastAsia="en-AU"/>
              </w:rPr>
              <w:t>$40.60</w:t>
            </w:r>
          </w:p>
        </w:tc>
        <w:tc>
          <w:tcPr>
            <w:tcW w:w="1356" w:type="pct"/>
            <w:vAlign w:val="center"/>
          </w:tcPr>
          <w:p w14:paraId="1362C68E" w14:textId="77777777" w:rsidR="007075B5" w:rsidRPr="00603981" w:rsidRDefault="007075B5" w:rsidP="00EB6C3E">
            <w:pPr>
              <w:keepNext/>
              <w:keepLines/>
              <w:spacing w:before="40" w:after="40" w:line="240" w:lineRule="auto"/>
              <w:jc w:val="center"/>
              <w:rPr>
                <w:rFonts w:cstheme="minorHAnsi"/>
                <w:lang w:eastAsia="en-AU"/>
              </w:rPr>
            </w:pPr>
            <w:r w:rsidRPr="00603981">
              <w:rPr>
                <w:rFonts w:cstheme="minorHAnsi"/>
                <w:lang w:eastAsia="en-AU"/>
              </w:rPr>
              <w:t>-$10.6</w:t>
            </w:r>
          </w:p>
        </w:tc>
      </w:tr>
      <w:tr w:rsidR="007075B5" w:rsidRPr="00603981" w14:paraId="4E7B6FB9" w14:textId="77777777">
        <w:trPr>
          <w:trHeight w:val="336"/>
        </w:trPr>
        <w:tc>
          <w:tcPr>
            <w:tcW w:w="762" w:type="pct"/>
            <w:noWrap/>
            <w:vAlign w:val="center"/>
          </w:tcPr>
          <w:p w14:paraId="62956344" w14:textId="77777777" w:rsidR="007075B5" w:rsidRPr="00603981" w:rsidRDefault="007075B5" w:rsidP="00EB6C3E">
            <w:pPr>
              <w:keepNext/>
              <w:keepLines/>
              <w:spacing w:before="40" w:after="40" w:line="240" w:lineRule="auto"/>
              <w:rPr>
                <w:rFonts w:cstheme="minorHAnsi"/>
                <w:b/>
                <w:bCs/>
                <w:lang w:eastAsia="en-AU"/>
              </w:rPr>
            </w:pPr>
            <w:r w:rsidRPr="00603981">
              <w:rPr>
                <w:rFonts w:cstheme="minorHAnsi"/>
                <w:b/>
                <w:bCs/>
                <w:lang w:eastAsia="en-AU"/>
              </w:rPr>
              <w:t>Casual</w:t>
            </w:r>
          </w:p>
        </w:tc>
        <w:tc>
          <w:tcPr>
            <w:tcW w:w="1525" w:type="pct"/>
            <w:vAlign w:val="center"/>
          </w:tcPr>
          <w:p w14:paraId="180E031E" w14:textId="77777777" w:rsidR="007075B5" w:rsidRPr="00603981" w:rsidRDefault="007075B5" w:rsidP="00EB6C3E">
            <w:pPr>
              <w:keepNext/>
              <w:keepLines/>
              <w:spacing w:before="40" w:after="40" w:line="240" w:lineRule="auto"/>
              <w:jc w:val="center"/>
              <w:rPr>
                <w:rFonts w:cstheme="minorHAnsi"/>
                <w:lang w:eastAsia="en-AU"/>
              </w:rPr>
            </w:pPr>
            <w:r w:rsidRPr="00603981">
              <w:rPr>
                <w:rFonts w:cstheme="minorHAnsi"/>
                <w:lang w:eastAsia="en-AU"/>
              </w:rPr>
              <w:t>$35.20</w:t>
            </w:r>
          </w:p>
        </w:tc>
        <w:tc>
          <w:tcPr>
            <w:tcW w:w="1357" w:type="pct"/>
            <w:vAlign w:val="center"/>
          </w:tcPr>
          <w:p w14:paraId="6C9A6073" w14:textId="77777777" w:rsidR="007075B5" w:rsidRPr="00603981" w:rsidRDefault="007075B5" w:rsidP="00EB6C3E">
            <w:pPr>
              <w:keepNext/>
              <w:keepLines/>
              <w:spacing w:before="40" w:after="40" w:line="240" w:lineRule="auto"/>
              <w:jc w:val="center"/>
              <w:rPr>
                <w:rFonts w:cstheme="minorHAnsi"/>
                <w:lang w:eastAsia="en-AU"/>
              </w:rPr>
            </w:pPr>
            <w:r w:rsidRPr="00603981">
              <w:rPr>
                <w:rFonts w:cstheme="minorHAnsi"/>
                <w:lang w:eastAsia="en-AU"/>
              </w:rPr>
              <w:t>$29.20</w:t>
            </w:r>
          </w:p>
        </w:tc>
        <w:tc>
          <w:tcPr>
            <w:tcW w:w="1356" w:type="pct"/>
            <w:vAlign w:val="center"/>
          </w:tcPr>
          <w:p w14:paraId="797311B6" w14:textId="77777777" w:rsidR="007075B5" w:rsidRPr="00603981" w:rsidRDefault="007075B5" w:rsidP="00EB6C3E">
            <w:pPr>
              <w:keepNext/>
              <w:keepLines/>
              <w:spacing w:before="40" w:after="40" w:line="240" w:lineRule="auto"/>
              <w:jc w:val="center"/>
              <w:rPr>
                <w:rFonts w:cstheme="minorHAnsi"/>
                <w:lang w:eastAsia="en-AU"/>
              </w:rPr>
            </w:pPr>
            <w:r w:rsidRPr="00603981">
              <w:rPr>
                <w:rFonts w:cstheme="minorHAnsi"/>
                <w:lang w:eastAsia="en-AU"/>
              </w:rPr>
              <w:t>+$6</w:t>
            </w:r>
          </w:p>
        </w:tc>
      </w:tr>
      <w:tr w:rsidR="007075B5" w:rsidRPr="00603981" w14:paraId="32130F90" w14:textId="77777777">
        <w:trPr>
          <w:trHeight w:val="336"/>
        </w:trPr>
        <w:tc>
          <w:tcPr>
            <w:tcW w:w="762" w:type="pct"/>
            <w:noWrap/>
            <w:vAlign w:val="center"/>
          </w:tcPr>
          <w:p w14:paraId="7079E8BE" w14:textId="77777777" w:rsidR="007075B5" w:rsidRPr="00603981" w:rsidRDefault="007075B5" w:rsidP="00EB6C3E">
            <w:pPr>
              <w:keepNext/>
              <w:keepLines/>
              <w:spacing w:before="40" w:after="40" w:line="240" w:lineRule="auto"/>
              <w:rPr>
                <w:rFonts w:cstheme="minorHAnsi"/>
                <w:b/>
                <w:bCs/>
                <w:lang w:eastAsia="en-AU"/>
              </w:rPr>
            </w:pPr>
            <w:r w:rsidRPr="00603981">
              <w:rPr>
                <w:rFonts w:cstheme="minorHAnsi"/>
                <w:b/>
                <w:bCs/>
                <w:lang w:eastAsia="en-AU"/>
              </w:rPr>
              <w:t>Total</w:t>
            </w:r>
          </w:p>
        </w:tc>
        <w:tc>
          <w:tcPr>
            <w:tcW w:w="1525" w:type="pct"/>
            <w:vAlign w:val="center"/>
          </w:tcPr>
          <w:p w14:paraId="0FE2A761" w14:textId="77777777" w:rsidR="007075B5" w:rsidRPr="00603981" w:rsidRDefault="007075B5" w:rsidP="00EB6C3E">
            <w:pPr>
              <w:keepNext/>
              <w:keepLines/>
              <w:spacing w:before="40" w:after="40" w:line="240" w:lineRule="auto"/>
              <w:jc w:val="center"/>
              <w:rPr>
                <w:rFonts w:cstheme="minorHAnsi"/>
                <w:lang w:eastAsia="en-AU"/>
              </w:rPr>
            </w:pPr>
            <w:r w:rsidRPr="00603981">
              <w:rPr>
                <w:rFonts w:cstheme="minorHAnsi"/>
                <w:lang w:eastAsia="en-AU"/>
              </w:rPr>
              <w:t>$34.90</w:t>
            </w:r>
          </w:p>
        </w:tc>
        <w:tc>
          <w:tcPr>
            <w:tcW w:w="1357" w:type="pct"/>
            <w:vAlign w:val="center"/>
          </w:tcPr>
          <w:p w14:paraId="053BEC83" w14:textId="77777777" w:rsidR="007075B5" w:rsidRPr="00603981" w:rsidRDefault="007075B5" w:rsidP="00EB6C3E">
            <w:pPr>
              <w:keepNext/>
              <w:keepLines/>
              <w:spacing w:before="40" w:after="40" w:line="240" w:lineRule="auto"/>
              <w:jc w:val="center"/>
              <w:rPr>
                <w:rFonts w:cstheme="minorHAnsi"/>
                <w:lang w:eastAsia="en-AU"/>
              </w:rPr>
            </w:pPr>
            <w:r w:rsidRPr="00603981">
              <w:rPr>
                <w:rFonts w:cstheme="minorHAnsi"/>
                <w:lang w:eastAsia="en-AU"/>
              </w:rPr>
              <w:t>$37.30</w:t>
            </w:r>
          </w:p>
        </w:tc>
        <w:tc>
          <w:tcPr>
            <w:tcW w:w="1356" w:type="pct"/>
            <w:vAlign w:val="center"/>
          </w:tcPr>
          <w:p w14:paraId="66ED20E0" w14:textId="77777777" w:rsidR="007075B5" w:rsidRPr="00603981" w:rsidRDefault="007075B5" w:rsidP="00EB6C3E">
            <w:pPr>
              <w:keepNext/>
              <w:keepLines/>
              <w:spacing w:before="40" w:after="40" w:line="240" w:lineRule="auto"/>
              <w:jc w:val="center"/>
              <w:rPr>
                <w:rFonts w:cstheme="minorHAnsi"/>
                <w:lang w:eastAsia="en-AU"/>
              </w:rPr>
            </w:pPr>
            <w:r w:rsidRPr="00603981">
              <w:rPr>
                <w:rFonts w:cstheme="minorHAnsi"/>
                <w:lang w:eastAsia="en-AU"/>
              </w:rPr>
              <w:t>-$2.4</w:t>
            </w:r>
          </w:p>
        </w:tc>
      </w:tr>
    </w:tbl>
    <w:p w14:paraId="2048C727" w14:textId="77777777" w:rsidR="007075B5" w:rsidRPr="00603981" w:rsidRDefault="007075B5" w:rsidP="007075B5">
      <w:pPr>
        <w:rPr>
          <w:rFonts w:cstheme="minorHAnsi"/>
          <w:sz w:val="20"/>
          <w:szCs w:val="16"/>
        </w:rPr>
      </w:pPr>
      <w:r w:rsidRPr="00603981">
        <w:rPr>
          <w:rFonts w:cstheme="minorHAnsi"/>
          <w:b/>
          <w:sz w:val="20"/>
          <w:szCs w:val="16"/>
        </w:rPr>
        <w:t>Source</w:t>
      </w:r>
      <w:r w:rsidRPr="00603981">
        <w:rPr>
          <w:rFonts w:cstheme="minorHAnsi"/>
          <w:sz w:val="20"/>
          <w:szCs w:val="16"/>
        </w:rPr>
        <w:t xml:space="preserve">: ABS, </w:t>
      </w:r>
      <w:r w:rsidRPr="00603981">
        <w:rPr>
          <w:rFonts w:cstheme="minorHAnsi"/>
          <w:i/>
          <w:sz w:val="20"/>
          <w:szCs w:val="16"/>
        </w:rPr>
        <w:t>Labour hire workers, June 2022</w:t>
      </w:r>
      <w:r w:rsidRPr="00603981">
        <w:rPr>
          <w:rFonts w:cstheme="minorHAnsi"/>
          <w:sz w:val="20"/>
          <w:szCs w:val="16"/>
        </w:rPr>
        <w:t xml:space="preserve">, using </w:t>
      </w:r>
      <w:r w:rsidRPr="00603981">
        <w:rPr>
          <w:rFonts w:cstheme="minorHAnsi"/>
          <w:i/>
          <w:sz w:val="20"/>
          <w:szCs w:val="16"/>
        </w:rPr>
        <w:t>Characteristics of Employment, August 2022</w:t>
      </w:r>
      <w:r w:rsidRPr="00603981">
        <w:rPr>
          <w:rFonts w:cstheme="minorHAnsi"/>
          <w:sz w:val="20"/>
          <w:szCs w:val="16"/>
        </w:rPr>
        <w:t>.</w:t>
      </w:r>
    </w:p>
    <w:p w14:paraId="42EE976F" w14:textId="548BFB5D" w:rsidR="007075B5" w:rsidRPr="00603981" w:rsidRDefault="000F0AB4" w:rsidP="007075B5">
      <w:pPr>
        <w:spacing w:after="160" w:line="259" w:lineRule="auto"/>
      </w:pPr>
      <w:r w:rsidRPr="00603981">
        <w:t xml:space="preserve">Table 1 </w:t>
      </w:r>
      <w:r w:rsidR="00B84CD5" w:rsidRPr="00603981">
        <w:t xml:space="preserve">shows the </w:t>
      </w:r>
      <w:r w:rsidR="00947146" w:rsidRPr="00603981">
        <w:t>difference in median hourly earnings for employees paid by a labour hire firm</w:t>
      </w:r>
      <w:r w:rsidR="00F50D24" w:rsidRPr="00603981">
        <w:t xml:space="preserve"> </w:t>
      </w:r>
      <w:r w:rsidR="00BC739C" w:rsidRPr="00603981">
        <w:t>and</w:t>
      </w:r>
      <w:r w:rsidR="00F50D24" w:rsidRPr="00603981">
        <w:t xml:space="preserve"> all employees.</w:t>
      </w:r>
      <w:r w:rsidR="00B571FF" w:rsidRPr="00603981">
        <w:t xml:space="preserve"> </w:t>
      </w:r>
      <w:r w:rsidR="007075B5" w:rsidRPr="00603981">
        <w:t>These differences, however, are to some extent due to labour hire workers having different characteristics to the larger group of ‘all employees’. For instance, Managers (median hourly earnings of $52.00) and Professionals (median hourly earnings of $52.60) have median hourly earnings almost 50 per cent higher than any other of the 8 broad occupation groups.</w:t>
      </w:r>
      <w:r w:rsidR="007075B5" w:rsidRPr="00603981">
        <w:rPr>
          <w:rStyle w:val="FootnoteReference"/>
        </w:rPr>
        <w:footnoteReference w:id="31"/>
      </w:r>
      <w:r w:rsidR="007075B5" w:rsidRPr="00603981">
        <w:t xml:space="preserve"> However, just 21.4 per cent of labour hire employees work as ‘Managers’ or ‘Professionals’, compared with 38.4</w:t>
      </w:r>
      <w:r w:rsidR="00F870B7" w:rsidRPr="00603981">
        <w:t> </w:t>
      </w:r>
      <w:r w:rsidR="007075B5" w:rsidRPr="00603981">
        <w:t>per cent of all employees.</w:t>
      </w:r>
    </w:p>
    <w:p w14:paraId="32C6E37F" w14:textId="378E0278" w:rsidR="007075B5" w:rsidRPr="00603981" w:rsidRDefault="007075B5" w:rsidP="00570564">
      <w:pPr>
        <w:widowControl w:val="0"/>
        <w:spacing w:after="160" w:line="259" w:lineRule="auto"/>
      </w:pPr>
      <w:r w:rsidRPr="00603981">
        <w:rPr>
          <w:rFonts w:cstheme="minorHAnsi"/>
        </w:rPr>
        <w:t>In addition, labour hire workers are not a homogeneous group. The difference in median hourly earnings is largely driven by full-time and permanent workers paid by a labour hire firm, who earn less than ‘all employees’.</w:t>
      </w:r>
      <w:r w:rsidRPr="00603981">
        <w:rPr>
          <w:rStyle w:val="FootnoteReference"/>
          <w:rFonts w:cstheme="minorHAnsi"/>
        </w:rPr>
        <w:footnoteReference w:id="32"/>
      </w:r>
      <w:r w:rsidRPr="00603981">
        <w:rPr>
          <w:rFonts w:cstheme="minorHAnsi"/>
        </w:rPr>
        <w:t xml:space="preserve"> Conversely, part-time and casual labour hire workers </w:t>
      </w:r>
      <w:r w:rsidR="009B1BCA">
        <w:rPr>
          <w:rFonts w:cstheme="minorHAnsi"/>
        </w:rPr>
        <w:t xml:space="preserve">often </w:t>
      </w:r>
      <w:r w:rsidRPr="00603981">
        <w:rPr>
          <w:rFonts w:cstheme="minorHAnsi"/>
        </w:rPr>
        <w:t>earn more.</w:t>
      </w:r>
      <w:r w:rsidRPr="00603981">
        <w:rPr>
          <w:rStyle w:val="FootnoteReference"/>
          <w:rFonts w:cstheme="minorHAnsi"/>
        </w:rPr>
        <w:footnoteReference w:id="33"/>
      </w:r>
      <w:r w:rsidR="00A40619" w:rsidRPr="00603981">
        <w:rPr>
          <w:rFonts w:cstheme="minorHAnsi"/>
        </w:rPr>
        <w:t xml:space="preserve"> </w:t>
      </w:r>
      <w:r w:rsidRPr="00603981">
        <w:t xml:space="preserve">This is consistent with other research undertaken </w:t>
      </w:r>
      <w:r w:rsidR="00740A5B" w:rsidRPr="00603981">
        <w:t>in</w:t>
      </w:r>
      <w:r w:rsidRPr="00603981">
        <w:t>to labour hire. For example, Laß and Wooden (2019)</w:t>
      </w:r>
      <w:r w:rsidRPr="00603981">
        <w:rPr>
          <w:rStyle w:val="FootnoteReference"/>
        </w:rPr>
        <w:footnoteReference w:id="34"/>
      </w:r>
      <w:r w:rsidRPr="00603981">
        <w:t xml:space="preserve"> used data from the Household Income and Labour Dynamics (HILDA) Survey and conducted analysis incorporating fixed effects, removing the effect of unobserved person-specific traits.</w:t>
      </w:r>
      <w:r w:rsidRPr="00603981">
        <w:rPr>
          <w:rStyle w:val="FootnoteReference"/>
        </w:rPr>
        <w:footnoteReference w:id="35"/>
      </w:r>
      <w:r w:rsidRPr="00603981">
        <w:t xml:space="preserve"> They found that labour hire workers at the top end of the income distribution experience a wage premium, while those at the bottom end appear to receive a small penalty. Laß and Wooden </w:t>
      </w:r>
      <w:r w:rsidR="00841CF2" w:rsidRPr="00603981">
        <w:t xml:space="preserve">also </w:t>
      </w:r>
      <w:r w:rsidRPr="00603981">
        <w:t>outlined that there may be a range of circumstances as to why an individual might be in a labour hire arrangement. For</w:t>
      </w:r>
      <w:r w:rsidR="00E31BC7">
        <w:t> </w:t>
      </w:r>
      <w:r w:rsidRPr="00603981">
        <w:t>example, a labour hire arrangement may exist so</w:t>
      </w:r>
      <w:r w:rsidR="00860A13">
        <w:t xml:space="preserve"> that</w:t>
      </w:r>
      <w:r w:rsidRPr="00603981">
        <w:t xml:space="preserve"> low paid temporary workers can be hired to accommodate fluctuations in demand. Another arrangement might be that labour hire</w:t>
      </w:r>
      <w:r w:rsidR="00470E1B" w:rsidRPr="00603981">
        <w:t xml:space="preserve"> </w:t>
      </w:r>
      <w:r w:rsidRPr="00603981">
        <w:t xml:space="preserve">is required so </w:t>
      </w:r>
      <w:r w:rsidR="00D524DC">
        <w:t xml:space="preserve">that </w:t>
      </w:r>
      <w:r w:rsidRPr="00603981">
        <w:t xml:space="preserve">high paid temporary workers (with far greater bargaining power) can be </w:t>
      </w:r>
      <w:r w:rsidRPr="00603981">
        <w:lastRenderedPageBreak/>
        <w:t xml:space="preserve">engaged to meet sudden or short-term demand for specific skills. </w:t>
      </w:r>
    </w:p>
    <w:p w14:paraId="42033F75" w14:textId="6804D4E5" w:rsidR="007075B5" w:rsidRPr="00603981" w:rsidRDefault="007075B5" w:rsidP="00570564">
      <w:pPr>
        <w:widowControl w:val="0"/>
        <w:spacing w:after="160" w:line="259" w:lineRule="auto"/>
        <w:rPr>
          <w:rFonts w:cstheme="minorHAnsi"/>
        </w:rPr>
      </w:pPr>
      <w:r w:rsidRPr="00603981">
        <w:rPr>
          <w:rFonts w:cstheme="minorHAnsi"/>
        </w:rPr>
        <w:t xml:space="preserve">That noted, there is no data on the proportion of labour hire </w:t>
      </w:r>
      <w:r w:rsidR="00D2461E">
        <w:rPr>
          <w:rFonts w:cstheme="minorHAnsi"/>
        </w:rPr>
        <w:t>employees</w:t>
      </w:r>
      <w:r w:rsidR="00D2461E" w:rsidRPr="00603981">
        <w:rPr>
          <w:rFonts w:cstheme="minorHAnsi"/>
        </w:rPr>
        <w:t xml:space="preserve"> </w:t>
      </w:r>
      <w:r w:rsidRPr="00603981">
        <w:rPr>
          <w:rFonts w:cstheme="minorHAnsi"/>
        </w:rPr>
        <w:t xml:space="preserve">that are paid less, the same, or more than </w:t>
      </w:r>
      <w:r w:rsidR="00911B25" w:rsidRPr="00603981">
        <w:rPr>
          <w:rFonts w:cstheme="minorHAnsi"/>
        </w:rPr>
        <w:t>what they would be paid under a host’s enterprise agreement</w:t>
      </w:r>
      <w:r w:rsidRPr="00603981">
        <w:rPr>
          <w:rFonts w:cstheme="minorHAnsi"/>
        </w:rPr>
        <w:t xml:space="preserve">. Some labour hire </w:t>
      </w:r>
      <w:r w:rsidR="00D2461E">
        <w:rPr>
          <w:rFonts w:cstheme="minorHAnsi"/>
        </w:rPr>
        <w:t>employees</w:t>
      </w:r>
      <w:r w:rsidRPr="00603981">
        <w:rPr>
          <w:rFonts w:cstheme="minorHAnsi"/>
        </w:rPr>
        <w:t xml:space="preserve"> may be paid the same,</w:t>
      </w:r>
      <w:r w:rsidRPr="00603981">
        <w:rPr>
          <w:rStyle w:val="FootnoteReference"/>
          <w:rFonts w:cstheme="minorHAnsi"/>
        </w:rPr>
        <w:footnoteReference w:id="36"/>
      </w:r>
      <w:r w:rsidRPr="00603981">
        <w:rPr>
          <w:rFonts w:cstheme="minorHAnsi"/>
        </w:rPr>
        <w:t xml:space="preserve"> some may be paid less, and some may be paid more. This makes it challenging to estimate what proportion of labour hire </w:t>
      </w:r>
      <w:r w:rsidR="00441DC0">
        <w:rPr>
          <w:rFonts w:cstheme="minorHAnsi"/>
        </w:rPr>
        <w:t>employees</w:t>
      </w:r>
      <w:r w:rsidR="00441DC0" w:rsidRPr="00603981">
        <w:rPr>
          <w:rFonts w:cstheme="minorHAnsi"/>
        </w:rPr>
        <w:t xml:space="preserve"> </w:t>
      </w:r>
      <w:r w:rsidR="00BF4275">
        <w:rPr>
          <w:rFonts w:cstheme="minorHAnsi"/>
        </w:rPr>
        <w:t>may</w:t>
      </w:r>
      <w:r w:rsidR="00BF4275" w:rsidRPr="00603981">
        <w:rPr>
          <w:rFonts w:cstheme="minorHAnsi"/>
        </w:rPr>
        <w:t xml:space="preserve"> </w:t>
      </w:r>
      <w:r w:rsidRPr="00603981">
        <w:rPr>
          <w:rFonts w:cstheme="minorHAnsi"/>
        </w:rPr>
        <w:t xml:space="preserve">receive a pay increase once the </w:t>
      </w:r>
      <w:r w:rsidR="00BF4275">
        <w:rPr>
          <w:rFonts w:cstheme="minorHAnsi"/>
        </w:rPr>
        <w:t xml:space="preserve">Government’s </w:t>
      </w:r>
      <w:r w:rsidRPr="00603981">
        <w:rPr>
          <w:rFonts w:cstheme="minorHAnsi"/>
        </w:rPr>
        <w:t xml:space="preserve">‘Closing </w:t>
      </w:r>
      <w:r w:rsidR="00BF4275">
        <w:rPr>
          <w:rFonts w:cstheme="minorHAnsi"/>
        </w:rPr>
        <w:t xml:space="preserve">the </w:t>
      </w:r>
      <w:r w:rsidRPr="00603981">
        <w:rPr>
          <w:rFonts w:cstheme="minorHAnsi"/>
        </w:rPr>
        <w:t xml:space="preserve">labour hire loophole’ proposal is legislated, and how much the proposal </w:t>
      </w:r>
      <w:r w:rsidR="00BF4275">
        <w:rPr>
          <w:rFonts w:cstheme="minorHAnsi"/>
        </w:rPr>
        <w:t>may</w:t>
      </w:r>
      <w:r w:rsidR="00BF4275" w:rsidRPr="00603981">
        <w:rPr>
          <w:rFonts w:cstheme="minorHAnsi"/>
        </w:rPr>
        <w:t xml:space="preserve"> </w:t>
      </w:r>
      <w:r w:rsidRPr="00603981">
        <w:rPr>
          <w:rFonts w:cstheme="minorHAnsi"/>
        </w:rPr>
        <w:t xml:space="preserve">cost business (high-level estimates are </w:t>
      </w:r>
      <w:r w:rsidR="00ED2398" w:rsidRPr="00603981">
        <w:rPr>
          <w:rFonts w:cstheme="minorHAnsi"/>
        </w:rPr>
        <w:t xml:space="preserve">set out </w:t>
      </w:r>
      <w:r w:rsidRPr="00603981">
        <w:rPr>
          <w:rFonts w:cstheme="minorHAnsi"/>
        </w:rPr>
        <w:t>in answer to Impact Analysis Question 4).</w:t>
      </w:r>
      <w:r w:rsidR="00ED2398" w:rsidRPr="00603981">
        <w:rPr>
          <w:rFonts w:cstheme="minorHAnsi"/>
        </w:rPr>
        <w:t xml:space="preserve"> </w:t>
      </w:r>
      <w:r w:rsidRPr="00603981">
        <w:rPr>
          <w:rFonts w:cstheme="minorHAnsi"/>
        </w:rPr>
        <w:t xml:space="preserve">However, further analysis of ABS data on </w:t>
      </w:r>
      <w:r w:rsidR="00C575E5">
        <w:rPr>
          <w:rFonts w:cstheme="minorHAnsi"/>
        </w:rPr>
        <w:t xml:space="preserve">the </w:t>
      </w:r>
      <w:r w:rsidRPr="00603981">
        <w:rPr>
          <w:rFonts w:cstheme="minorHAnsi"/>
        </w:rPr>
        <w:t xml:space="preserve">distribution of earnings shows that there may be a premium for labour hire </w:t>
      </w:r>
      <w:r w:rsidR="00441DC0">
        <w:rPr>
          <w:rFonts w:cstheme="minorHAnsi"/>
        </w:rPr>
        <w:t>employees</w:t>
      </w:r>
      <w:r w:rsidR="00441DC0" w:rsidRPr="00603981">
        <w:rPr>
          <w:rFonts w:cstheme="minorHAnsi"/>
        </w:rPr>
        <w:t xml:space="preserve"> </w:t>
      </w:r>
      <w:r w:rsidRPr="00603981">
        <w:rPr>
          <w:rFonts w:cstheme="minorHAnsi"/>
        </w:rPr>
        <w:t>at the top and bottom ends of the earnings distribution, but a penalty for the bulk of employees in the middle of the distribution.</w:t>
      </w:r>
      <w:r w:rsidRPr="00603981">
        <w:rPr>
          <w:rStyle w:val="FootnoteReference"/>
          <w:rFonts w:cstheme="minorHAnsi"/>
        </w:rPr>
        <w:footnoteReference w:id="37"/>
      </w:r>
    </w:p>
    <w:p w14:paraId="11A64A4B" w14:textId="697E56EA" w:rsidR="007075B5" w:rsidRPr="00603981" w:rsidRDefault="6BA5D00B" w:rsidP="62A1ECDA">
      <w:pPr>
        <w:widowControl w:val="0"/>
        <w:spacing w:after="160" w:line="259" w:lineRule="auto"/>
      </w:pPr>
      <w:r w:rsidRPr="00603981">
        <w:t>Taking these issues together, accurately estimating the scope of the problem and anticipated impact of the</w:t>
      </w:r>
      <w:r w:rsidR="002338DA" w:rsidRPr="00603981">
        <w:t xml:space="preserve"> Government’s</w:t>
      </w:r>
      <w:r w:rsidRPr="00603981">
        <w:t xml:space="preserve"> ‘Closing </w:t>
      </w:r>
      <w:r w:rsidR="00C575E5">
        <w:t xml:space="preserve">the </w:t>
      </w:r>
      <w:r w:rsidRPr="00603981">
        <w:t xml:space="preserve">labour hire loophole’ </w:t>
      </w:r>
      <w:r w:rsidR="09C5F632" w:rsidRPr="00603981">
        <w:t xml:space="preserve">proposal </w:t>
      </w:r>
      <w:r w:rsidRPr="00603981">
        <w:t xml:space="preserve">is difficult, but reliance on latest data from sources such as the ABS has informed commentary to supplement the additional analysis in </w:t>
      </w:r>
      <w:r w:rsidR="000E50D4">
        <w:t>these</w:t>
      </w:r>
      <w:r w:rsidR="000E50D4" w:rsidRPr="00603981">
        <w:t xml:space="preserve"> </w:t>
      </w:r>
      <w:r w:rsidRPr="00603981">
        <w:t>Annexure</w:t>
      </w:r>
      <w:r w:rsidR="002338DA" w:rsidRPr="00603981">
        <w:t>s</w:t>
      </w:r>
      <w:r w:rsidRPr="00603981">
        <w:t>.</w:t>
      </w:r>
    </w:p>
    <w:p w14:paraId="337CCA1B" w14:textId="77777777" w:rsidR="007075B5" w:rsidRPr="00603981" w:rsidRDefault="007075B5" w:rsidP="007075B5">
      <w:pPr>
        <w:pStyle w:val="Heading2"/>
      </w:pPr>
      <w:bookmarkStart w:id="13" w:name="_Toc143696567"/>
      <w:r w:rsidRPr="00603981">
        <w:t xml:space="preserve">Impact Analysis Question 2: </w:t>
      </w:r>
      <w:r w:rsidRPr="00603981">
        <w:br/>
        <w:t>Why is government action needed?</w:t>
      </w:r>
      <w:bookmarkEnd w:id="13"/>
    </w:p>
    <w:p w14:paraId="556243C0" w14:textId="2ED9337D" w:rsidR="007075B5" w:rsidRPr="00603981" w:rsidRDefault="007075B5" w:rsidP="007075B5">
      <w:pPr>
        <w:spacing w:after="160" w:line="259" w:lineRule="auto"/>
        <w:rPr>
          <w:rFonts w:cstheme="minorHAnsi"/>
        </w:rPr>
      </w:pPr>
      <w:r w:rsidRPr="00603981">
        <w:rPr>
          <w:rFonts w:cstheme="minorHAnsi"/>
        </w:rPr>
        <w:t xml:space="preserve">The policy problem – that is, the use of labour hire </w:t>
      </w:r>
      <w:bookmarkStart w:id="14" w:name="_Hlk137884530"/>
      <w:r w:rsidRPr="00603981">
        <w:rPr>
          <w:rFonts w:cstheme="minorHAnsi"/>
        </w:rPr>
        <w:t xml:space="preserve">undercutting bargained wages in a host’s enterprise agreement </w:t>
      </w:r>
      <w:bookmarkEnd w:id="14"/>
      <w:r w:rsidRPr="00603981">
        <w:rPr>
          <w:rFonts w:cstheme="minorHAnsi"/>
        </w:rPr>
        <w:t>– arises because the Fair Work Act</w:t>
      </w:r>
      <w:r w:rsidRPr="00603981">
        <w:rPr>
          <w:rFonts w:cstheme="minorHAnsi"/>
          <w:i/>
          <w:iCs/>
        </w:rPr>
        <w:t xml:space="preserve"> </w:t>
      </w:r>
      <w:r w:rsidRPr="00603981">
        <w:rPr>
          <w:rFonts w:cstheme="minorHAnsi"/>
        </w:rPr>
        <w:t xml:space="preserve">currently allows this to occur. Addressing this can only be achieved by government action (that is, legislative amendment to the Fair Work Act), which </w:t>
      </w:r>
      <w:r w:rsidR="00D710E2" w:rsidRPr="00603981">
        <w:rPr>
          <w:rFonts w:cstheme="minorHAnsi"/>
        </w:rPr>
        <w:t xml:space="preserve">broadly </w:t>
      </w:r>
      <w:r w:rsidRPr="00603981">
        <w:rPr>
          <w:rFonts w:cstheme="minorHAnsi"/>
        </w:rPr>
        <w:t>aligns with recommendations from each of the Reviews.</w:t>
      </w:r>
    </w:p>
    <w:p w14:paraId="35CE03B4" w14:textId="73DADB72" w:rsidR="007075B5" w:rsidRPr="00603981" w:rsidRDefault="007075B5" w:rsidP="007075B5">
      <w:pPr>
        <w:pStyle w:val="Heading3"/>
      </w:pPr>
      <w:bookmarkStart w:id="15" w:name="_Toc143696568"/>
      <w:r w:rsidRPr="00603981">
        <w:t>Victorian Inquiry</w:t>
      </w:r>
      <w:r w:rsidR="00FB2225" w:rsidRPr="00603981">
        <w:t xml:space="preserve"> Report</w:t>
      </w:r>
      <w:bookmarkEnd w:id="15"/>
    </w:p>
    <w:p w14:paraId="3B70D9E5" w14:textId="5D990C23" w:rsidR="007075B5" w:rsidRPr="00603981" w:rsidRDefault="6BA5D00B" w:rsidP="62A1ECDA">
      <w:pPr>
        <w:spacing w:after="160" w:line="259" w:lineRule="auto"/>
      </w:pPr>
      <w:r w:rsidRPr="00603981">
        <w:t>The Victorian Inquiry</w:t>
      </w:r>
      <w:r w:rsidRPr="00603981">
        <w:rPr>
          <w:b/>
          <w:bCs/>
        </w:rPr>
        <w:t xml:space="preserve"> </w:t>
      </w:r>
      <w:r w:rsidRPr="00603981">
        <w:t xml:space="preserve">found there were two aspects of the Fair Work framework regarding enterprise agreements and bargaining in the labour hire context that gave rise to the issues that will be addressed by the ‘Closing </w:t>
      </w:r>
      <w:r w:rsidR="009E1332">
        <w:t xml:space="preserve">the </w:t>
      </w:r>
      <w:r w:rsidRPr="00603981">
        <w:t>labour hire loophole’ proposal</w:t>
      </w:r>
      <w:r w:rsidR="00C71AD0" w:rsidRPr="00603981">
        <w:t>: f</w:t>
      </w:r>
      <w:r w:rsidRPr="00603981">
        <w:t>irst, some labour hire providers seek to use enterprise agreements as a mechanism to drive down employment conditions</w:t>
      </w:r>
      <w:r w:rsidR="00C71AD0" w:rsidRPr="00603981">
        <w:t>; s</w:t>
      </w:r>
      <w:r w:rsidRPr="00603981">
        <w:t xml:space="preserve">econd, host enterprise agreements do not </w:t>
      </w:r>
      <w:r w:rsidR="000829AE" w:rsidRPr="00603981">
        <w:t xml:space="preserve">generally </w:t>
      </w:r>
      <w:r w:rsidRPr="00603981">
        <w:t>apply to labour hire workers, which can result in differential treatment (</w:t>
      </w:r>
      <w:r w:rsidR="004647F6" w:rsidRPr="00603981">
        <w:t>that is</w:t>
      </w:r>
      <w:r w:rsidRPr="00603981">
        <w:t>,</w:t>
      </w:r>
      <w:r w:rsidR="004647F6" w:rsidRPr="00603981">
        <w:t xml:space="preserve"> in some instances,</w:t>
      </w:r>
      <w:r w:rsidRPr="00603981">
        <w:t xml:space="preserve"> lower pay).</w:t>
      </w:r>
      <w:r w:rsidR="007075B5" w:rsidRPr="00603981">
        <w:rPr>
          <w:rStyle w:val="FootnoteReference"/>
        </w:rPr>
        <w:footnoteReference w:id="38"/>
      </w:r>
    </w:p>
    <w:p w14:paraId="7364074C" w14:textId="6E4B3292" w:rsidR="007075B5" w:rsidRPr="00603981" w:rsidRDefault="007075B5" w:rsidP="007075B5">
      <w:pPr>
        <w:spacing w:after="160" w:line="259" w:lineRule="auto"/>
        <w:rPr>
          <w:rFonts w:cstheme="minorHAnsi"/>
          <w:b/>
          <w:bCs/>
          <w:szCs w:val="24"/>
          <w:u w:val="single"/>
        </w:rPr>
      </w:pPr>
      <w:r w:rsidRPr="00603981">
        <w:rPr>
          <w:rFonts w:cstheme="minorHAnsi"/>
        </w:rPr>
        <w:t xml:space="preserve">Having regard to these issues, the </w:t>
      </w:r>
      <w:r w:rsidR="00F4789E" w:rsidRPr="00603981">
        <w:rPr>
          <w:rFonts w:cstheme="minorHAnsi"/>
        </w:rPr>
        <w:t xml:space="preserve">Victorian </w:t>
      </w:r>
      <w:r w:rsidRPr="00603981">
        <w:rPr>
          <w:rFonts w:cstheme="minorHAnsi"/>
        </w:rPr>
        <w:t xml:space="preserve">Inquiry </w:t>
      </w:r>
      <w:r w:rsidR="00F4789E" w:rsidRPr="00603981">
        <w:rPr>
          <w:rFonts w:cstheme="minorHAnsi"/>
        </w:rPr>
        <w:t>Report</w:t>
      </w:r>
      <w:r w:rsidRPr="00603981">
        <w:rPr>
          <w:rFonts w:cstheme="minorHAnsi"/>
        </w:rPr>
        <w:t xml:space="preserve"> recommended that labour hire workers should have the opportunity to be covered by host enterprise agreements, </w:t>
      </w:r>
      <w:r w:rsidR="00BA5920">
        <w:rPr>
          <w:rFonts w:cstheme="minorHAnsi"/>
        </w:rPr>
        <w:t xml:space="preserve">and that this could </w:t>
      </w:r>
      <w:r w:rsidR="005E6432">
        <w:rPr>
          <w:rFonts w:cstheme="minorHAnsi"/>
        </w:rPr>
        <w:t>occur</w:t>
      </w:r>
      <w:r w:rsidR="00BA5920">
        <w:rPr>
          <w:rFonts w:cstheme="minorHAnsi"/>
        </w:rPr>
        <w:t xml:space="preserve"> </w:t>
      </w:r>
      <w:r w:rsidRPr="00603981">
        <w:rPr>
          <w:rFonts w:cstheme="minorHAnsi"/>
        </w:rPr>
        <w:t>through the voluntary decision of the labour hire provider to apply host rates of pay or by including pay parity clauses in enterprise agreements.</w:t>
      </w:r>
      <w:r w:rsidRPr="00603981">
        <w:rPr>
          <w:rStyle w:val="FootnoteReference"/>
          <w:rFonts w:cstheme="minorHAnsi"/>
        </w:rPr>
        <w:footnoteReference w:id="39"/>
      </w:r>
    </w:p>
    <w:p w14:paraId="5F78D808" w14:textId="77777777" w:rsidR="007075B5" w:rsidRPr="00603981" w:rsidRDefault="007075B5" w:rsidP="00F870B7">
      <w:pPr>
        <w:pStyle w:val="Heading3"/>
        <w:keepNext w:val="0"/>
        <w:keepLines w:val="0"/>
      </w:pPr>
      <w:bookmarkStart w:id="16" w:name="_Toc143696569"/>
      <w:r w:rsidRPr="00603981">
        <w:t>Third Interim Report</w:t>
      </w:r>
      <w:bookmarkEnd w:id="16"/>
    </w:p>
    <w:p w14:paraId="3A049AA0" w14:textId="1BB802DC" w:rsidR="007075B5" w:rsidRPr="00603981" w:rsidRDefault="007075B5" w:rsidP="00F870B7">
      <w:pPr>
        <w:spacing w:after="160" w:line="259" w:lineRule="auto"/>
        <w:rPr>
          <w:rFonts w:cstheme="minorHAnsi"/>
        </w:rPr>
      </w:pPr>
      <w:r w:rsidRPr="00603981">
        <w:rPr>
          <w:rFonts w:cstheme="minorHAnsi"/>
        </w:rPr>
        <w:t xml:space="preserve">The Job Security Committee </w:t>
      </w:r>
      <w:r w:rsidR="00306055" w:rsidRPr="00603981">
        <w:rPr>
          <w:rFonts w:cstheme="minorHAnsi"/>
        </w:rPr>
        <w:t>recommended</w:t>
      </w:r>
      <w:r w:rsidRPr="00603981">
        <w:rPr>
          <w:rFonts w:cstheme="minorHAnsi"/>
        </w:rPr>
        <w:t xml:space="preserve"> the Fair Work Act be amended to ‘ensure that the wages and conditions of labour hire workers are at least equivalent to those that would apply had these workers been directly employed by their host entities.’</w:t>
      </w:r>
      <w:r w:rsidRPr="00603981">
        <w:rPr>
          <w:rStyle w:val="FootnoteReference"/>
          <w:rFonts w:cstheme="minorHAnsi"/>
        </w:rPr>
        <w:footnoteReference w:id="40"/>
      </w:r>
    </w:p>
    <w:p w14:paraId="5DACBF4B" w14:textId="77777777" w:rsidR="007075B5" w:rsidRPr="00603981" w:rsidRDefault="007075B5" w:rsidP="00740A5B">
      <w:pPr>
        <w:pStyle w:val="Heading3"/>
        <w:keepLines w:val="0"/>
      </w:pPr>
      <w:bookmarkStart w:id="17" w:name="_Toc143696570"/>
      <w:r w:rsidRPr="00603981">
        <w:lastRenderedPageBreak/>
        <w:t>EPEW Report</w:t>
      </w:r>
      <w:bookmarkEnd w:id="17"/>
    </w:p>
    <w:p w14:paraId="473391EA" w14:textId="537390BA" w:rsidR="007075B5" w:rsidRPr="00603981" w:rsidRDefault="007075B5" w:rsidP="00740A5B">
      <w:pPr>
        <w:keepNext/>
        <w:spacing w:after="160" w:line="259" w:lineRule="auto"/>
        <w:rPr>
          <w:rFonts w:cstheme="minorHAnsi"/>
        </w:rPr>
      </w:pPr>
      <w:r w:rsidRPr="00603981">
        <w:rPr>
          <w:rFonts w:cstheme="minorHAnsi"/>
        </w:rPr>
        <w:t>The EPEW Report broadly supported steps being taken to ensure that labour hire workers doing the same job as directly engaged workers receive the same rate of pay</w:t>
      </w:r>
      <w:r w:rsidR="005A722B" w:rsidRPr="00603981">
        <w:rPr>
          <w:rFonts w:cstheme="minorHAnsi"/>
        </w:rPr>
        <w:t>,</w:t>
      </w:r>
      <w:r w:rsidRPr="00603981">
        <w:rPr>
          <w:rStyle w:val="FootnoteReference"/>
          <w:rFonts w:cstheme="minorHAnsi"/>
        </w:rPr>
        <w:footnoteReference w:id="41"/>
      </w:r>
      <w:r w:rsidRPr="00603981">
        <w:rPr>
          <w:rFonts w:cstheme="minorHAnsi"/>
        </w:rPr>
        <w:t xml:space="preserve"> and stakeholder calls for all parties to work with the Government on legislation that gives effect to that policy intent more comprehensively than what was proposed in the EPEW Bill.</w:t>
      </w:r>
      <w:r w:rsidRPr="00603981">
        <w:rPr>
          <w:rStyle w:val="FootnoteReference"/>
          <w:rFonts w:cstheme="minorHAnsi"/>
        </w:rPr>
        <w:footnoteReference w:id="42"/>
      </w:r>
      <w:r w:rsidR="00D100F2" w:rsidRPr="00603981">
        <w:rPr>
          <w:rFonts w:cstheme="minorHAnsi"/>
        </w:rPr>
        <w:t xml:space="preserve"> </w:t>
      </w:r>
      <w:r w:rsidR="00D100F2" w:rsidRPr="00603981">
        <w:t xml:space="preserve">However, in </w:t>
      </w:r>
      <w:r w:rsidR="0001556E" w:rsidRPr="00603981">
        <w:t xml:space="preserve">additional comments made in the </w:t>
      </w:r>
      <w:r w:rsidR="00D648EE" w:rsidRPr="00603981">
        <w:t xml:space="preserve">EPEW </w:t>
      </w:r>
      <w:r w:rsidR="0001556E" w:rsidRPr="00603981">
        <w:t>Report,</w:t>
      </w:r>
      <w:r w:rsidR="00D100F2" w:rsidRPr="00603981">
        <w:t xml:space="preserve"> Coalition Senators stated that a one-size-fits-all approach risks overlooking the nuances of the labour</w:t>
      </w:r>
      <w:r w:rsidR="00F94334" w:rsidRPr="00603981">
        <w:t xml:space="preserve"> </w:t>
      </w:r>
      <w:r w:rsidR="00D100F2" w:rsidRPr="00603981">
        <w:t xml:space="preserve">hire industry and </w:t>
      </w:r>
      <w:r w:rsidR="00C85005">
        <w:t>lead</w:t>
      </w:r>
      <w:r w:rsidR="00387D39">
        <w:t>ing</w:t>
      </w:r>
      <w:r w:rsidR="00C85005">
        <w:t xml:space="preserve"> to</w:t>
      </w:r>
      <w:r w:rsidR="00D100F2" w:rsidRPr="00603981">
        <w:t xml:space="preserve"> unintended consequences, such as impacts on flexibility and other benefits.</w:t>
      </w:r>
      <w:r w:rsidR="00D100F2" w:rsidRPr="00603981">
        <w:rPr>
          <w:rStyle w:val="FootnoteReference"/>
        </w:rPr>
        <w:footnoteReference w:id="43"/>
      </w:r>
    </w:p>
    <w:p w14:paraId="2071868A" w14:textId="77777777" w:rsidR="007075B5" w:rsidRPr="00603981" w:rsidRDefault="007075B5" w:rsidP="007075B5">
      <w:pPr>
        <w:pStyle w:val="Heading3"/>
      </w:pPr>
      <w:bookmarkStart w:id="18" w:name="_Toc143696571"/>
      <w:r w:rsidRPr="00603981">
        <w:t>The need for Government action</w:t>
      </w:r>
      <w:bookmarkEnd w:id="18"/>
    </w:p>
    <w:p w14:paraId="121EAA17" w14:textId="13840CA2" w:rsidR="006840FB" w:rsidRDefault="007075B5" w:rsidP="007075B5">
      <w:pPr>
        <w:spacing w:after="160" w:line="259" w:lineRule="auto"/>
        <w:rPr>
          <w:rFonts w:cstheme="minorHAnsi"/>
        </w:rPr>
      </w:pPr>
      <w:r w:rsidRPr="00603981">
        <w:rPr>
          <w:rFonts w:cstheme="minorHAnsi"/>
        </w:rPr>
        <w:t xml:space="preserve">The Victorian Inquiry handed down its findings in 2016, recommending that the issue to be addressed by </w:t>
      </w:r>
      <w:r w:rsidR="006840FB">
        <w:rPr>
          <w:rFonts w:cstheme="minorHAnsi"/>
        </w:rPr>
        <w:t>the Government’s</w:t>
      </w:r>
      <w:r w:rsidR="006840FB" w:rsidRPr="00603981">
        <w:rPr>
          <w:rFonts w:cstheme="minorHAnsi"/>
        </w:rPr>
        <w:t xml:space="preserve"> </w:t>
      </w:r>
      <w:r w:rsidRPr="00603981">
        <w:rPr>
          <w:rFonts w:cstheme="minorHAnsi"/>
        </w:rPr>
        <w:t xml:space="preserve">proposal could be resolved by </w:t>
      </w:r>
      <w:r w:rsidR="00503061" w:rsidRPr="00603981">
        <w:rPr>
          <w:rFonts w:cstheme="minorHAnsi"/>
        </w:rPr>
        <w:t>labour hire provider</w:t>
      </w:r>
      <w:r w:rsidRPr="00603981">
        <w:rPr>
          <w:rFonts w:cstheme="minorHAnsi"/>
        </w:rPr>
        <w:t xml:space="preserve">s voluntarily paying host enterprise agreement wages to their workers, or by exploring pay parity clauses in enterprise agreements. </w:t>
      </w:r>
    </w:p>
    <w:p w14:paraId="3E432F61" w14:textId="1A77EB5F" w:rsidR="007075B5" w:rsidRPr="00603981" w:rsidRDefault="007075B5" w:rsidP="007075B5">
      <w:pPr>
        <w:spacing w:after="160" w:line="259" w:lineRule="auto"/>
        <w:rPr>
          <w:rFonts w:cstheme="minorHAnsi"/>
        </w:rPr>
      </w:pPr>
      <w:r w:rsidRPr="00603981">
        <w:rPr>
          <w:rFonts w:cstheme="minorHAnsi"/>
        </w:rPr>
        <w:t xml:space="preserve">However, following the Victorian Inquiry </w:t>
      </w:r>
      <w:r w:rsidR="00BD63E3" w:rsidRPr="00603981">
        <w:rPr>
          <w:rFonts w:cstheme="minorHAnsi"/>
        </w:rPr>
        <w:t>R</w:t>
      </w:r>
      <w:r w:rsidRPr="00603981">
        <w:rPr>
          <w:rFonts w:cstheme="minorHAnsi"/>
        </w:rPr>
        <w:t xml:space="preserve">eport, </w:t>
      </w:r>
      <w:r w:rsidR="00826D1B" w:rsidRPr="00603981">
        <w:rPr>
          <w:rFonts w:cstheme="minorHAnsi"/>
        </w:rPr>
        <w:t>the Third Interim Report and the EPEW Report</w:t>
      </w:r>
      <w:r w:rsidRPr="00603981">
        <w:rPr>
          <w:rFonts w:cstheme="minorHAnsi"/>
        </w:rPr>
        <w:t xml:space="preserve"> (handed down in 2021 and 2022</w:t>
      </w:r>
      <w:r w:rsidR="006840FB">
        <w:rPr>
          <w:rFonts w:cstheme="minorHAnsi"/>
        </w:rPr>
        <w:t>, respectively</w:t>
      </w:r>
      <w:r w:rsidRPr="00603981">
        <w:rPr>
          <w:rFonts w:cstheme="minorHAnsi"/>
        </w:rPr>
        <w:t xml:space="preserve">) found that labour hire workers often receive lower pay than what they would receive if a host’s enterprise agreement applied. These findings, and the time passed since the conclusion of the Victorian Inquiry, suggest a continuing market failure that has not since been resolved through voluntary action by </w:t>
      </w:r>
      <w:r w:rsidR="00503061" w:rsidRPr="00603981">
        <w:rPr>
          <w:rFonts w:cstheme="minorHAnsi"/>
        </w:rPr>
        <w:t>labour hire provider</w:t>
      </w:r>
      <w:r w:rsidRPr="00603981">
        <w:rPr>
          <w:rFonts w:cstheme="minorHAnsi"/>
        </w:rPr>
        <w:t>s or host employers</w:t>
      </w:r>
      <w:r w:rsidR="009326D2" w:rsidRPr="00603981">
        <w:rPr>
          <w:rFonts w:cstheme="minorHAnsi"/>
        </w:rPr>
        <w:t>,</w:t>
      </w:r>
      <w:r w:rsidR="00425C96" w:rsidRPr="00603981">
        <w:rPr>
          <w:rFonts w:cstheme="minorHAnsi"/>
        </w:rPr>
        <w:t xml:space="preserve"> and that Government action is required</w:t>
      </w:r>
      <w:r w:rsidRPr="00603981">
        <w:rPr>
          <w:rFonts w:cstheme="minorHAnsi"/>
        </w:rPr>
        <w:t xml:space="preserve">. </w:t>
      </w:r>
    </w:p>
    <w:p w14:paraId="11055C01" w14:textId="53CE65B6" w:rsidR="007075B5" w:rsidRPr="00603981" w:rsidRDefault="007075B5" w:rsidP="007075B5">
      <w:pPr>
        <w:spacing w:after="160" w:line="259" w:lineRule="auto"/>
        <w:rPr>
          <w:rFonts w:cstheme="minorHAnsi"/>
        </w:rPr>
      </w:pPr>
      <w:r w:rsidRPr="00603981">
        <w:rPr>
          <w:rFonts w:cstheme="minorHAnsi"/>
        </w:rPr>
        <w:t xml:space="preserve">In the absence of </w:t>
      </w:r>
      <w:r w:rsidR="009F236C">
        <w:rPr>
          <w:rFonts w:cstheme="minorHAnsi"/>
        </w:rPr>
        <w:t>G</w:t>
      </w:r>
      <w:r w:rsidRPr="00603981">
        <w:rPr>
          <w:rFonts w:cstheme="minorHAnsi"/>
        </w:rPr>
        <w:t xml:space="preserve">overnment action, there are also risks that only </w:t>
      </w:r>
      <w:r w:rsidRPr="00603981">
        <w:rPr>
          <w:rFonts w:cstheme="minorHAnsi"/>
          <w:i/>
          <w:iCs/>
        </w:rPr>
        <w:t>some</w:t>
      </w:r>
      <w:r w:rsidRPr="00603981">
        <w:rPr>
          <w:rFonts w:cstheme="minorHAnsi"/>
        </w:rPr>
        <w:t xml:space="preserve"> workers would benefit from a voluntary approach by industry participants to address discrepancies in pay to labour hire </w:t>
      </w:r>
      <w:r w:rsidR="00B22030">
        <w:rPr>
          <w:rFonts w:cstheme="minorHAnsi"/>
        </w:rPr>
        <w:t>employees</w:t>
      </w:r>
      <w:r w:rsidRPr="00603981">
        <w:rPr>
          <w:rFonts w:cstheme="minorHAnsi"/>
        </w:rPr>
        <w:t>. Power imbalances inherent in the bargaining system can lead to disparate outcomes, even within the same industry. This would extend to differences with respect to the inclusion of pay parity clauses in enterprise agreements – that is, if only some host</w:t>
      </w:r>
      <w:r w:rsidR="00B22030">
        <w:rPr>
          <w:rFonts w:cstheme="minorHAnsi"/>
        </w:rPr>
        <w:t>s</w:t>
      </w:r>
      <w:r w:rsidRPr="00603981">
        <w:rPr>
          <w:rFonts w:cstheme="minorHAnsi"/>
        </w:rPr>
        <w:t xml:space="preserve"> include pay parity clauses but not others, that action will only benefit labour hire </w:t>
      </w:r>
      <w:r w:rsidR="00B22030">
        <w:rPr>
          <w:rFonts w:cstheme="minorHAnsi"/>
        </w:rPr>
        <w:t>employees</w:t>
      </w:r>
      <w:r w:rsidR="00B22030" w:rsidRPr="00603981">
        <w:rPr>
          <w:rFonts w:cstheme="minorHAnsi"/>
        </w:rPr>
        <w:t xml:space="preserve"> </w:t>
      </w:r>
      <w:r w:rsidRPr="00603981">
        <w:rPr>
          <w:rFonts w:cstheme="minorHAnsi"/>
        </w:rPr>
        <w:t>provided to those hosts and not labour hire workers of hosts without such clauses.</w:t>
      </w:r>
      <w:r w:rsidR="00447BB8" w:rsidRPr="00603981">
        <w:rPr>
          <w:rFonts w:cstheme="minorHAnsi"/>
        </w:rPr>
        <w:t xml:space="preserve"> </w:t>
      </w:r>
      <w:r w:rsidRPr="00603981">
        <w:rPr>
          <w:rFonts w:cstheme="minorHAnsi"/>
        </w:rPr>
        <w:t xml:space="preserve">Taking this into account, it is unlikely that voluntary behavioural change will comprehensively address the problem the Government’s proposal seeks to address. </w:t>
      </w:r>
    </w:p>
    <w:p w14:paraId="15A73F9F" w14:textId="77777777" w:rsidR="007075B5" w:rsidRPr="00603981" w:rsidRDefault="007075B5" w:rsidP="00FB2225">
      <w:pPr>
        <w:pStyle w:val="Heading2"/>
      </w:pPr>
      <w:bookmarkStart w:id="19" w:name="_Toc143696572"/>
      <w:r w:rsidRPr="00603981">
        <w:t>Impact Analysis Question 3:</w:t>
      </w:r>
      <w:r w:rsidRPr="00603981">
        <w:br/>
        <w:t>What policy options are you considering?</w:t>
      </w:r>
      <w:bookmarkEnd w:id="19"/>
    </w:p>
    <w:p w14:paraId="4C408583" w14:textId="57255C05" w:rsidR="007075B5" w:rsidRPr="00603981" w:rsidRDefault="007075B5" w:rsidP="00FB2225">
      <w:pPr>
        <w:keepNext/>
        <w:spacing w:after="160" w:line="259" w:lineRule="auto"/>
        <w:rPr>
          <w:rFonts w:cstheme="minorHAnsi"/>
          <w:color w:val="000000"/>
          <w:shd w:val="clear" w:color="auto" w:fill="FFFFFF"/>
        </w:rPr>
      </w:pPr>
      <w:r w:rsidRPr="00603981">
        <w:rPr>
          <w:rFonts w:cstheme="minorHAnsi"/>
          <w:color w:val="000000"/>
          <w:shd w:val="clear" w:color="auto" w:fill="FFFFFF"/>
        </w:rPr>
        <w:t xml:space="preserve">This proposal addresses an issue considered by the Government in </w:t>
      </w:r>
      <w:r w:rsidR="008A0076" w:rsidRPr="00603981">
        <w:rPr>
          <w:rFonts w:cstheme="minorHAnsi"/>
          <w:color w:val="000000"/>
          <w:shd w:val="clear" w:color="auto" w:fill="FFFFFF"/>
        </w:rPr>
        <w:t>its Secure Australian Jobs</w:t>
      </w:r>
      <w:r w:rsidRPr="00603981">
        <w:rPr>
          <w:rFonts w:cstheme="minorHAnsi"/>
          <w:color w:val="000000"/>
          <w:shd w:val="clear" w:color="auto" w:fill="FFFFFF"/>
        </w:rPr>
        <w:t xml:space="preserve"> election commitment.</w:t>
      </w:r>
      <w:r w:rsidRPr="00603981">
        <w:rPr>
          <w:rFonts w:cstheme="minorHAnsi"/>
          <w:color w:val="000000" w:themeColor="text1"/>
        </w:rPr>
        <w:t xml:space="preserve"> Therefore, the policy options considered are:</w:t>
      </w:r>
    </w:p>
    <w:p w14:paraId="624EC8C1" w14:textId="3020E0C4" w:rsidR="007075B5" w:rsidRPr="00603981" w:rsidRDefault="007075B5" w:rsidP="00FB2225">
      <w:pPr>
        <w:pStyle w:val="ListParagraph"/>
        <w:keepNext/>
        <w:numPr>
          <w:ilvl w:val="0"/>
          <w:numId w:val="6"/>
        </w:numPr>
        <w:spacing w:after="160" w:line="259" w:lineRule="auto"/>
        <w:contextualSpacing w:val="0"/>
        <w:rPr>
          <w:rFonts w:cstheme="minorHAnsi"/>
          <w:color w:val="000000"/>
          <w:shd w:val="clear" w:color="auto" w:fill="FFFFFF"/>
        </w:rPr>
      </w:pPr>
      <w:r w:rsidRPr="00603981">
        <w:rPr>
          <w:rFonts w:cstheme="minorHAnsi"/>
          <w:color w:val="000000"/>
          <w:u w:val="single"/>
          <w:shd w:val="clear" w:color="auto" w:fill="FFFFFF"/>
        </w:rPr>
        <w:t>Option 1</w:t>
      </w:r>
      <w:r w:rsidRPr="00603981">
        <w:rPr>
          <w:rFonts w:cstheme="minorHAnsi"/>
          <w:color w:val="000000"/>
          <w:shd w:val="clear" w:color="auto" w:fill="FFFFFF"/>
        </w:rPr>
        <w:t xml:space="preserve">: Legislate a ‘Closing </w:t>
      </w:r>
      <w:r w:rsidR="003D2FDF">
        <w:rPr>
          <w:rFonts w:cstheme="minorHAnsi"/>
          <w:color w:val="000000"/>
          <w:shd w:val="clear" w:color="auto" w:fill="FFFFFF"/>
        </w:rPr>
        <w:t xml:space="preserve">the </w:t>
      </w:r>
      <w:r w:rsidRPr="00603981">
        <w:rPr>
          <w:rFonts w:cstheme="minorHAnsi"/>
          <w:color w:val="000000"/>
          <w:shd w:val="clear" w:color="auto" w:fill="FFFFFF"/>
        </w:rPr>
        <w:t>labour hire loophole’ measure</w:t>
      </w:r>
    </w:p>
    <w:p w14:paraId="03788FF9" w14:textId="62E30C20" w:rsidR="007075B5" w:rsidRPr="00603981" w:rsidRDefault="007075B5" w:rsidP="00024B72">
      <w:pPr>
        <w:pStyle w:val="ListParagraph"/>
        <w:numPr>
          <w:ilvl w:val="0"/>
          <w:numId w:val="6"/>
        </w:numPr>
        <w:spacing w:after="160" w:line="259" w:lineRule="auto"/>
        <w:contextualSpacing w:val="0"/>
        <w:rPr>
          <w:rFonts w:cstheme="minorHAnsi"/>
          <w:color w:val="000000"/>
          <w:shd w:val="clear" w:color="auto" w:fill="FFFFFF"/>
        </w:rPr>
      </w:pPr>
      <w:r w:rsidRPr="00603981">
        <w:rPr>
          <w:rFonts w:cstheme="minorHAnsi"/>
          <w:color w:val="000000"/>
          <w:u w:val="single"/>
          <w:shd w:val="clear" w:color="auto" w:fill="FFFFFF"/>
        </w:rPr>
        <w:t>Option 2</w:t>
      </w:r>
      <w:r w:rsidRPr="00603981">
        <w:rPr>
          <w:rFonts w:cstheme="minorHAnsi"/>
          <w:color w:val="000000"/>
          <w:shd w:val="clear" w:color="auto" w:fill="FFFFFF"/>
        </w:rPr>
        <w:t xml:space="preserve">: Take no action (that is, </w:t>
      </w:r>
      <w:r w:rsidRPr="00603981">
        <w:rPr>
          <w:rFonts w:cstheme="minorHAnsi"/>
        </w:rPr>
        <w:t>maintain</w:t>
      </w:r>
      <w:r w:rsidRPr="00603981">
        <w:rPr>
          <w:rFonts w:cstheme="minorHAnsi"/>
          <w:color w:val="000000"/>
          <w:shd w:val="clear" w:color="auto" w:fill="FFFFFF"/>
        </w:rPr>
        <w:t xml:space="preserve"> the status quo)</w:t>
      </w:r>
    </w:p>
    <w:p w14:paraId="43380099" w14:textId="785B9D63" w:rsidR="007075B5" w:rsidRPr="00603981" w:rsidRDefault="007075B5" w:rsidP="007075B5">
      <w:pPr>
        <w:spacing w:after="160" w:line="259" w:lineRule="auto"/>
        <w:rPr>
          <w:rFonts w:cstheme="minorHAnsi"/>
          <w:color w:val="000000"/>
          <w:shd w:val="clear" w:color="auto" w:fill="FFFFFF"/>
        </w:rPr>
      </w:pPr>
      <w:r w:rsidRPr="00603981">
        <w:rPr>
          <w:rFonts w:cstheme="minorHAnsi"/>
          <w:color w:val="000000"/>
          <w:shd w:val="clear" w:color="auto" w:fill="FFFFFF"/>
        </w:rPr>
        <w:t xml:space="preserve">The findings and recommendations of the </w:t>
      </w:r>
      <w:r w:rsidR="00C54612" w:rsidRPr="00603981">
        <w:rPr>
          <w:rFonts w:cstheme="minorHAnsi"/>
          <w:color w:val="000000"/>
          <w:shd w:val="clear" w:color="auto" w:fill="FFFFFF"/>
        </w:rPr>
        <w:t>Reviews</w:t>
      </w:r>
      <w:r w:rsidRPr="00603981">
        <w:rPr>
          <w:rFonts w:cstheme="minorHAnsi"/>
          <w:color w:val="000000"/>
          <w:shd w:val="clear" w:color="auto" w:fill="FFFFFF"/>
        </w:rPr>
        <w:t xml:space="preserve"> support pursuing Option 1 – that is, pursuing legislative amendments to the Fair Work Act to give effect to the Government’s proposal. Such amendments are intended to reflect the following parameters.</w:t>
      </w:r>
    </w:p>
    <w:p w14:paraId="567BCFD0" w14:textId="6DB1C52A" w:rsidR="007075B5" w:rsidRPr="00603981" w:rsidRDefault="00B17B60" w:rsidP="007075B5">
      <w:pPr>
        <w:pStyle w:val="Heading3"/>
      </w:pPr>
      <w:bookmarkStart w:id="20" w:name="_Toc143696573"/>
      <w:r>
        <w:lastRenderedPageBreak/>
        <w:t xml:space="preserve">When the </w:t>
      </w:r>
      <w:r w:rsidR="00127816">
        <w:t>measure</w:t>
      </w:r>
      <w:r>
        <w:t xml:space="preserve"> </w:t>
      </w:r>
      <w:r w:rsidR="00127816">
        <w:t xml:space="preserve">is </w:t>
      </w:r>
      <w:r w:rsidR="003D6FAC">
        <w:t>activated</w:t>
      </w:r>
      <w:bookmarkEnd w:id="20"/>
    </w:p>
    <w:p w14:paraId="73FFA3EC" w14:textId="57E5D32B" w:rsidR="003A1496" w:rsidRDefault="003A1496" w:rsidP="003A1496">
      <w:r>
        <w:t xml:space="preserve">The Government’s ‘Closing the labour hire loophole’ proposal </w:t>
      </w:r>
      <w:r w:rsidR="00994E0B">
        <w:t>i</w:t>
      </w:r>
      <w:r>
        <w:t xml:space="preserve">s an application-based model. This means obligations on businesses, and entitlements for workers, are not </w:t>
      </w:r>
      <w:r w:rsidR="003825BD">
        <w:t>activated</w:t>
      </w:r>
      <w:r>
        <w:t xml:space="preserve"> until an application is made to the Fair Work Commission and an order is made that </w:t>
      </w:r>
      <w:r w:rsidR="0022348B">
        <w:t>activates</w:t>
      </w:r>
      <w:r>
        <w:t xml:space="preserve"> these obligations and entitlements.</w:t>
      </w:r>
    </w:p>
    <w:p w14:paraId="31408DD2" w14:textId="14B7921B" w:rsidR="003A1496" w:rsidRDefault="00E84D14" w:rsidP="003A1496">
      <w:r>
        <w:t>A</w:t>
      </w:r>
      <w:r w:rsidR="00134EBC">
        <w:t>pplications can be made before and after obligations under this reform are proposed to take effect</w:t>
      </w:r>
      <w:r w:rsidR="003E1E43">
        <w:t xml:space="preserve"> – </w:t>
      </w:r>
      <w:r w:rsidR="00175753">
        <w:t>1 November 2024</w:t>
      </w:r>
      <w:r w:rsidR="003A1496">
        <w:t xml:space="preserve">. The </w:t>
      </w:r>
      <w:r w:rsidR="00175753">
        <w:t xml:space="preserve">Fair Work </w:t>
      </w:r>
      <w:r w:rsidR="003A1496">
        <w:t xml:space="preserve">Commission must make an order if it is satisfied that: </w:t>
      </w:r>
    </w:p>
    <w:p w14:paraId="148D7926" w14:textId="77777777" w:rsidR="003A1496" w:rsidRDefault="003A1496" w:rsidP="003A1496">
      <w:pPr>
        <w:pStyle w:val="ListParagraph"/>
        <w:numPr>
          <w:ilvl w:val="0"/>
          <w:numId w:val="38"/>
        </w:numPr>
        <w:spacing w:after="160" w:line="259" w:lineRule="auto"/>
        <w:contextualSpacing w:val="0"/>
      </w:pPr>
      <w:r>
        <w:t xml:space="preserve">a labour hire employer supplies or will supply one or more </w:t>
      </w:r>
      <w:r w:rsidRPr="001247F4">
        <w:rPr>
          <w:i/>
          <w:iCs/>
        </w:rPr>
        <w:t>employees</w:t>
      </w:r>
      <w:r>
        <w:t xml:space="preserve"> to a host to perform work for the host (meaning the proposal does not apply to independent contractors);</w:t>
      </w:r>
    </w:p>
    <w:p w14:paraId="126D61B4" w14:textId="77777777" w:rsidR="003A1496" w:rsidRDefault="003A1496" w:rsidP="003A1496">
      <w:pPr>
        <w:pStyle w:val="ListParagraph"/>
        <w:numPr>
          <w:ilvl w:val="0"/>
          <w:numId w:val="38"/>
        </w:numPr>
        <w:spacing w:after="160" w:line="259" w:lineRule="auto"/>
        <w:contextualSpacing w:val="0"/>
      </w:pPr>
      <w:r>
        <w:t>an enterprise agreement</w:t>
      </w:r>
      <w:r>
        <w:rPr>
          <w:rStyle w:val="FootnoteReference"/>
        </w:rPr>
        <w:footnoteReference w:id="44"/>
      </w:r>
      <w:r>
        <w:t xml:space="preserve"> applies to the host and would apply to the labour hire employees being provided to work for the host, if they were directly employed by the host; and</w:t>
      </w:r>
    </w:p>
    <w:p w14:paraId="0949E107" w14:textId="020ADED4" w:rsidR="003A1496" w:rsidRDefault="003A1496" w:rsidP="003A1496">
      <w:pPr>
        <w:pStyle w:val="ListParagraph"/>
        <w:numPr>
          <w:ilvl w:val="0"/>
          <w:numId w:val="38"/>
        </w:numPr>
        <w:spacing w:after="160" w:line="259" w:lineRule="auto"/>
        <w:contextualSpacing w:val="0"/>
      </w:pPr>
      <w:r>
        <w:t>the host is not a small business</w:t>
      </w:r>
      <w:r w:rsidR="002B35D7">
        <w:t xml:space="preserve"> employer</w:t>
      </w:r>
      <w:r>
        <w:t>.</w:t>
      </w:r>
    </w:p>
    <w:p w14:paraId="724A8A94" w14:textId="2652FD1B" w:rsidR="003A1496" w:rsidRDefault="003A1496" w:rsidP="003A1496">
      <w:r>
        <w:t xml:space="preserve">However, the Fair Work Commission </w:t>
      </w:r>
      <w:r w:rsidR="007940C8">
        <w:t xml:space="preserve">must </w:t>
      </w:r>
      <w:r w:rsidRPr="00306F23">
        <w:t>not</w:t>
      </w:r>
      <w:r>
        <w:t xml:space="preserve"> make an order if it is satisfied that it is not fair and reasonable to do so, having regard to any of the following matters:</w:t>
      </w:r>
    </w:p>
    <w:p w14:paraId="30B34315" w14:textId="5F02D253" w:rsidR="003A1496" w:rsidRDefault="003A1496" w:rsidP="003A1496">
      <w:pPr>
        <w:pStyle w:val="ListParagraph"/>
        <w:numPr>
          <w:ilvl w:val="0"/>
          <w:numId w:val="38"/>
        </w:numPr>
        <w:spacing w:after="160" w:line="259" w:lineRule="auto"/>
        <w:contextualSpacing w:val="0"/>
      </w:pPr>
      <w:r>
        <w:t xml:space="preserve">the pay arrangements applying to the labour hire employees and the host’s employees (which, for example, may demonstrate that the labour hire employees are being paid more than directly engaged employees such that an order does not need </w:t>
      </w:r>
      <w:r w:rsidR="005D4667">
        <w:t xml:space="preserve">to </w:t>
      </w:r>
      <w:r>
        <w:t>be made);</w:t>
      </w:r>
    </w:p>
    <w:p w14:paraId="68214515" w14:textId="77777777" w:rsidR="003A1496" w:rsidRDefault="003A1496" w:rsidP="003A1496">
      <w:pPr>
        <w:pStyle w:val="ListParagraph"/>
        <w:numPr>
          <w:ilvl w:val="0"/>
          <w:numId w:val="38"/>
        </w:numPr>
        <w:spacing w:after="160" w:line="259" w:lineRule="auto"/>
        <w:contextualSpacing w:val="0"/>
      </w:pPr>
      <w:r>
        <w:t>whether the work being performed by the labour hire employees is the provision of a service, rather than the supply of labour (for example, under a service contracting arrangement), having regard to factors including:</w:t>
      </w:r>
    </w:p>
    <w:p w14:paraId="5F642945" w14:textId="3FC67D2F" w:rsidR="003A1496" w:rsidRDefault="003A1496" w:rsidP="003A1496">
      <w:pPr>
        <w:pStyle w:val="ListParagraph"/>
        <w:numPr>
          <w:ilvl w:val="1"/>
          <w:numId w:val="38"/>
        </w:numPr>
        <w:spacing w:after="160" w:line="259" w:lineRule="auto"/>
        <w:contextualSpacing w:val="0"/>
      </w:pPr>
      <w:r>
        <w:t>the labour hire employer</w:t>
      </w:r>
      <w:r w:rsidR="009238D3">
        <w:t>’s involvement</w:t>
      </w:r>
      <w:r>
        <w:t xml:space="preserve"> in matters </w:t>
      </w:r>
      <w:r w:rsidR="009238D3">
        <w:t>about</w:t>
      </w:r>
      <w:r>
        <w:t xml:space="preserve"> the performance of work;</w:t>
      </w:r>
    </w:p>
    <w:p w14:paraId="20901276" w14:textId="77777777" w:rsidR="003A1496" w:rsidRDefault="003A1496" w:rsidP="003A1496">
      <w:pPr>
        <w:pStyle w:val="ListParagraph"/>
        <w:numPr>
          <w:ilvl w:val="1"/>
          <w:numId w:val="38"/>
        </w:numPr>
        <w:spacing w:after="160" w:line="259" w:lineRule="auto"/>
        <w:contextualSpacing w:val="0"/>
      </w:pPr>
      <w:r>
        <w:t>the extent to which the labour hire employer directs, supervises or controls the labour hire employees when they are working for the host; and</w:t>
      </w:r>
    </w:p>
    <w:p w14:paraId="5220FCE7" w14:textId="5961D1C2" w:rsidR="003A1496" w:rsidRDefault="003A1496" w:rsidP="003A1496">
      <w:pPr>
        <w:pStyle w:val="ListParagraph"/>
        <w:numPr>
          <w:ilvl w:val="1"/>
          <w:numId w:val="38"/>
        </w:numPr>
        <w:spacing w:after="160" w:line="259" w:lineRule="auto"/>
        <w:contextualSpacing w:val="0"/>
      </w:pPr>
      <w:r>
        <w:t>the extent to which the work for the host is of a specialist or expert nature.</w:t>
      </w:r>
    </w:p>
    <w:p w14:paraId="5693010F" w14:textId="77777777" w:rsidR="003A1496" w:rsidRDefault="003A1496" w:rsidP="003A1496">
      <w:pPr>
        <w:pStyle w:val="ListParagraph"/>
        <w:numPr>
          <w:ilvl w:val="0"/>
          <w:numId w:val="38"/>
        </w:numPr>
        <w:spacing w:after="160" w:line="259" w:lineRule="auto"/>
        <w:contextualSpacing w:val="0"/>
      </w:pPr>
      <w:r>
        <w:t>the history of industrial arrangements applying to the host and labour hire employer;</w:t>
      </w:r>
    </w:p>
    <w:p w14:paraId="609C7FCD" w14:textId="77777777" w:rsidR="003A1496" w:rsidRDefault="003A1496" w:rsidP="003A1496">
      <w:pPr>
        <w:pStyle w:val="ListParagraph"/>
        <w:numPr>
          <w:ilvl w:val="0"/>
          <w:numId w:val="38"/>
        </w:numPr>
        <w:spacing w:after="160" w:line="259" w:lineRule="auto"/>
        <w:contextualSpacing w:val="0"/>
      </w:pPr>
      <w:r>
        <w:t>the relationship between the host and labour hire employer – such as whether they are related bodies corporate;</w:t>
      </w:r>
    </w:p>
    <w:p w14:paraId="6EDFD621" w14:textId="77777777" w:rsidR="003A1496" w:rsidRDefault="003A1496" w:rsidP="003A1496">
      <w:pPr>
        <w:pStyle w:val="ListParagraph"/>
        <w:numPr>
          <w:ilvl w:val="0"/>
          <w:numId w:val="38"/>
        </w:numPr>
        <w:spacing w:after="160" w:line="259" w:lineRule="auto"/>
        <w:contextualSpacing w:val="0"/>
      </w:pPr>
      <w:r>
        <w:t>the terms and nature of the arrangement under which work is done for the host; and</w:t>
      </w:r>
    </w:p>
    <w:p w14:paraId="1786C1DE" w14:textId="758E127D" w:rsidR="00F96B98" w:rsidRPr="00060A19" w:rsidRDefault="003A1496" w:rsidP="00060A19">
      <w:pPr>
        <w:pStyle w:val="ListParagraph"/>
        <w:numPr>
          <w:ilvl w:val="0"/>
          <w:numId w:val="38"/>
        </w:numPr>
        <w:spacing w:after="160" w:line="259" w:lineRule="auto"/>
        <w:contextualSpacing w:val="0"/>
      </w:pPr>
      <w:r>
        <w:t>any other matter the Fair Work Commission considers relevant.</w:t>
      </w:r>
      <w:r w:rsidR="00F96B98" w:rsidRPr="00060A19">
        <w:t xml:space="preserve"> </w:t>
      </w:r>
    </w:p>
    <w:p w14:paraId="700A1479" w14:textId="4909EC5E" w:rsidR="007075B5" w:rsidRPr="00603981" w:rsidRDefault="007E4AF9" w:rsidP="007075B5">
      <w:pPr>
        <w:pStyle w:val="Heading3"/>
      </w:pPr>
      <w:bookmarkStart w:id="21" w:name="_Toc143696574"/>
      <w:r>
        <w:t>What happens when an order is made</w:t>
      </w:r>
      <w:bookmarkEnd w:id="21"/>
    </w:p>
    <w:p w14:paraId="1103ACF3" w14:textId="5AAA4C4A" w:rsidR="000816CB" w:rsidRDefault="008D5DCB" w:rsidP="00060A19">
      <w:pPr>
        <w:keepNext/>
      </w:pPr>
      <w:r>
        <w:t>When</w:t>
      </w:r>
      <w:r w:rsidR="000816CB">
        <w:t xml:space="preserve"> an order is made by the Fair Work Commission and applies to a</w:t>
      </w:r>
      <w:r w:rsidR="00C629C6">
        <w:t>n</w:t>
      </w:r>
      <w:r w:rsidR="000816CB">
        <w:t xml:space="preserve"> arrangement between a labour hire employer and a host, the labour hire employer must pay affected employees no less than the ‘protected rate of pay’ for the employee in connection with the work they perform for the host, calculated with reference to the host’s enterprise agreement.</w:t>
      </w:r>
      <w:r w:rsidR="00C629C6">
        <w:t xml:space="preserve"> </w:t>
      </w:r>
      <w:r w:rsidR="000816CB">
        <w:t xml:space="preserve">The ‘protected rate of pay’ is the </w:t>
      </w:r>
      <w:r w:rsidR="000816CB">
        <w:lastRenderedPageBreak/>
        <w:t>‘full</w:t>
      </w:r>
      <w:r w:rsidR="00C629C6">
        <w:t> </w:t>
      </w:r>
      <w:r w:rsidR="000816CB">
        <w:t>rate of pay’</w:t>
      </w:r>
      <w:r w:rsidR="000816CB">
        <w:rPr>
          <w:rStyle w:val="FootnoteReference"/>
        </w:rPr>
        <w:footnoteReference w:id="45"/>
      </w:r>
      <w:r w:rsidR="000816CB">
        <w:t xml:space="preserve"> </w:t>
      </w:r>
      <w:r w:rsidR="00FB7CB0">
        <w:t>that would be payable if the host’s enterprise agreement applied</w:t>
      </w:r>
      <w:r w:rsidR="000816CB">
        <w:t>. However, the protected rate of pay does not include benefits that cannot reasonably be provided by the labour hire employer to a labour hire employee, or benefits that cannot reasonably be converted to an amount of money.</w:t>
      </w:r>
    </w:p>
    <w:p w14:paraId="550EA285" w14:textId="3131BEC4" w:rsidR="000816CB" w:rsidRDefault="000816CB" w:rsidP="000816CB">
      <w:r>
        <w:t>Assuming other criteria are satisfied, if a labour hire employee is a casual employee and works for a host with an enterprise agreement that does not provide for work to be performed on a casual basis, the protected rate of pay is calculated by adding a 25 per cent loading to the ‘base rate’ component of the full rate of pay that would be payable to that employee.</w:t>
      </w:r>
    </w:p>
    <w:p w14:paraId="61E0CE0E" w14:textId="77777777" w:rsidR="0021563B" w:rsidRDefault="000E2ABA" w:rsidP="000816CB">
      <w:r>
        <w:t xml:space="preserve">There are exemptions to when an order of the </w:t>
      </w:r>
      <w:r w:rsidR="000816CB">
        <w:t xml:space="preserve">Fair Work Commission </w:t>
      </w:r>
      <w:r>
        <w:t>applies. O</w:t>
      </w:r>
      <w:r w:rsidR="000816CB">
        <w:t>rders do not apply to labour hire employees if a training arrangement also applies to them in relation to their work for the host, nor does an order apply to labour hire arrangements of less than 3 months (the ‘default exemption period’) – or a different period of time if, by application by one or more parties, the Fair</w:t>
      </w:r>
      <w:r w:rsidR="00290815">
        <w:t> </w:t>
      </w:r>
      <w:r w:rsidR="000816CB">
        <w:t xml:space="preserve">Work Commission extends or shortens the exemption period. </w:t>
      </w:r>
    </w:p>
    <w:p w14:paraId="47FC279E" w14:textId="2E00704C" w:rsidR="000816CB" w:rsidRDefault="000816CB" w:rsidP="000816CB">
      <w:r>
        <w:t>The Fair Work Commission will also have the power to determine an ‘alternative protected rate of pay’, if satisfied that it would be unreasonable for the labour hire employer to pay its employees no less than the protected rate of pay (such as, for example, where the rate would be excessive).</w:t>
      </w:r>
    </w:p>
    <w:p w14:paraId="2F88AC18" w14:textId="35614A32" w:rsidR="000816CB" w:rsidRDefault="000816CB" w:rsidP="000816CB">
      <w:r>
        <w:t xml:space="preserve">Once an order is made, labour hire employers </w:t>
      </w:r>
      <w:r w:rsidR="00567D7A">
        <w:t>can</w:t>
      </w:r>
      <w:r>
        <w:t xml:space="preserve"> request additional information from a host</w:t>
      </w:r>
      <w:r w:rsidR="00567D7A">
        <w:t xml:space="preserve"> in order to </w:t>
      </w:r>
      <w:r w:rsidR="005A0CC8">
        <w:t>calculate</w:t>
      </w:r>
      <w:r w:rsidR="00567D7A">
        <w:t xml:space="preserve"> </w:t>
      </w:r>
      <w:r>
        <w:t>the protected rate of pay. The host must either provide the information requested or inform the labour hire employer what to pay affected employees. This second option provides hosts with a pathway to complying with information sharing obligations if there are concerns that sharing information (for example, internal company policies) may expose confidential or commercially sensitive information.</w:t>
      </w:r>
    </w:p>
    <w:p w14:paraId="78F3C174" w14:textId="1E3D7A21" w:rsidR="007075B5" w:rsidRPr="00603981" w:rsidRDefault="000816CB" w:rsidP="007075B5">
      <w:pPr>
        <w:spacing w:after="160" w:line="259" w:lineRule="auto"/>
        <w:rPr>
          <w:color w:val="000000"/>
          <w:shd w:val="clear" w:color="auto" w:fill="FFFFFF"/>
        </w:rPr>
      </w:pPr>
      <w:r>
        <w:t>Parties will be bound by anti-avoidance provisions in the Bill</w:t>
      </w:r>
      <w:r w:rsidR="00414096">
        <w:t>, including those</w:t>
      </w:r>
      <w:r>
        <w:t xml:space="preserve"> that prohibit </w:t>
      </w:r>
      <w:r w:rsidRPr="0015228F">
        <w:t xml:space="preserve">actions to prevent a Fair Work Commission order being made or to avoid obligations after an order </w:t>
      </w:r>
      <w:r w:rsidR="00414096">
        <w:t>is</w:t>
      </w:r>
      <w:r w:rsidRPr="0015228F">
        <w:t xml:space="preserve"> made</w:t>
      </w:r>
      <w:r>
        <w:t>.</w:t>
      </w:r>
    </w:p>
    <w:p w14:paraId="3A51771A" w14:textId="0A963C5F" w:rsidR="007075B5" w:rsidRPr="00603981" w:rsidRDefault="000816CB" w:rsidP="007075B5">
      <w:pPr>
        <w:pStyle w:val="Heading3"/>
      </w:pPr>
      <w:bookmarkStart w:id="22" w:name="_Toc143696575"/>
      <w:r>
        <w:t>How are disputes resolved</w:t>
      </w:r>
      <w:bookmarkEnd w:id="22"/>
    </w:p>
    <w:p w14:paraId="161822BE" w14:textId="2EC8F6B7" w:rsidR="002E5B8C" w:rsidRDefault="002E5B8C" w:rsidP="002E5B8C">
      <w:r>
        <w:t xml:space="preserve">When disputes arise, parties must take steps at the workplace level to seek to resolve the issue. If </w:t>
      </w:r>
      <w:r w:rsidR="007562A5">
        <w:t>these discussions</w:t>
      </w:r>
      <w:r>
        <w:t xml:space="preserve"> are unsuccessful, disputes can be brought to the Fair Work Commission for resolution by way of mediation, conciliation and arbitration.</w:t>
      </w:r>
    </w:p>
    <w:p w14:paraId="1E31450B" w14:textId="77777777" w:rsidR="001D03A4" w:rsidRDefault="007562A5" w:rsidP="00F870B7">
      <w:pPr>
        <w:spacing w:after="160" w:line="259" w:lineRule="auto"/>
      </w:pPr>
      <w:r>
        <w:t>U</w:t>
      </w:r>
      <w:r w:rsidR="002E5B8C">
        <w:t xml:space="preserve">nless by consent of the parties, the Fair Work Commission will not be able to order backpay if a dispute reveals that a labour hire employer has paid employees less than the protected rate of pay – resolving backpay issues </w:t>
      </w:r>
      <w:r>
        <w:t>remains a matter for</w:t>
      </w:r>
      <w:r w:rsidR="002E5B8C">
        <w:t xml:space="preserve"> court proceedings, in line with the current operation of the Fair Work system.</w:t>
      </w:r>
      <w:r w:rsidR="0021563B">
        <w:t xml:space="preserve"> </w:t>
      </w:r>
    </w:p>
    <w:p w14:paraId="504488D3" w14:textId="4E349502" w:rsidR="6B82EB2F" w:rsidRPr="00603981" w:rsidRDefault="002E5B8C" w:rsidP="00F870B7">
      <w:pPr>
        <w:spacing w:after="160" w:line="259" w:lineRule="auto"/>
      </w:pPr>
      <w:r>
        <w:t>Affected parties and the Fair Work Ombudsman will be able to commence court proceedings, including in relation to alleged avoidance behaviour and underpayments, and existing ‘small claims’ and ‘serious contravention’ provisions in the Fair Work Act will apply.</w:t>
      </w:r>
      <w:r w:rsidR="00090C53">
        <w:rPr>
          <w:rFonts w:cstheme="minorHAnsi"/>
        </w:rPr>
        <w:t xml:space="preserve"> </w:t>
      </w:r>
      <w:r w:rsidR="6B82EB2F" w:rsidRPr="00603981">
        <w:br w:type="page"/>
      </w:r>
    </w:p>
    <w:p w14:paraId="28991C3A" w14:textId="69E535BE" w:rsidR="001E3F67" w:rsidRPr="00603981" w:rsidRDefault="000207E6" w:rsidP="001E3F67">
      <w:pPr>
        <w:pStyle w:val="Heading1"/>
        <w:jc w:val="right"/>
        <w:rPr>
          <w:u w:val="single"/>
        </w:rPr>
      </w:pPr>
      <w:bookmarkStart w:id="23" w:name="_Toc143696576"/>
      <w:r w:rsidRPr="00603981">
        <w:rPr>
          <w:u w:val="single"/>
        </w:rPr>
        <w:lastRenderedPageBreak/>
        <w:t>ANNEXURE</w:t>
      </w:r>
      <w:r w:rsidRPr="00603981">
        <w:rPr>
          <w:rFonts w:asciiTheme="minorHAnsi" w:eastAsiaTheme="minorHAnsi" w:hAnsiTheme="minorHAnsi" w:cstheme="minorBidi"/>
          <w:u w:val="single"/>
        </w:rPr>
        <w:t xml:space="preserve"> B</w:t>
      </w:r>
      <w:bookmarkEnd w:id="23"/>
    </w:p>
    <w:p w14:paraId="6B1A5C4B" w14:textId="1C349732" w:rsidR="000207E6" w:rsidRPr="00603981" w:rsidRDefault="000207E6" w:rsidP="009F3110">
      <w:pPr>
        <w:spacing w:after="160" w:line="259" w:lineRule="auto"/>
        <w:jc w:val="center"/>
        <w:rPr>
          <w:b/>
          <w:bCs/>
          <w:color w:val="404246"/>
          <w:sz w:val="32"/>
          <w:szCs w:val="32"/>
        </w:rPr>
      </w:pPr>
      <w:r w:rsidRPr="00603981">
        <w:rPr>
          <w:b/>
          <w:bCs/>
          <w:color w:val="404246"/>
          <w:sz w:val="32"/>
          <w:szCs w:val="32"/>
        </w:rPr>
        <w:t xml:space="preserve">Supplementary analysis to address </w:t>
      </w:r>
      <w:r w:rsidRPr="00603981">
        <w:rPr>
          <w:b/>
          <w:bCs/>
          <w:color w:val="404246"/>
          <w:sz w:val="32"/>
          <w:szCs w:val="32"/>
        </w:rPr>
        <w:br/>
        <w:t>Impact Analysis Questions 4-7</w:t>
      </w:r>
    </w:p>
    <w:p w14:paraId="71EC7DBF" w14:textId="37B85797" w:rsidR="00AE4775" w:rsidRPr="00603981" w:rsidRDefault="00AE4775" w:rsidP="00D52E58">
      <w:pPr>
        <w:spacing w:after="160" w:line="259" w:lineRule="auto"/>
        <w:rPr>
          <w:rFonts w:cstheme="minorHAnsi"/>
        </w:rPr>
      </w:pPr>
      <w:r w:rsidRPr="00603981">
        <w:rPr>
          <w:rFonts w:cstheme="minorHAnsi"/>
        </w:rPr>
        <w:t>Annexure B sets out supplementary analysis to answer Impact Analysis Questions 4-7 regarding the Government’s ‘Closing</w:t>
      </w:r>
      <w:r w:rsidR="000766A3">
        <w:rPr>
          <w:rFonts w:cstheme="minorHAnsi"/>
        </w:rPr>
        <w:t xml:space="preserve"> the</w:t>
      </w:r>
      <w:r w:rsidRPr="00603981">
        <w:rPr>
          <w:rFonts w:cstheme="minorHAnsi"/>
        </w:rPr>
        <w:t xml:space="preserve"> labour hire loophole’ proposal</w:t>
      </w:r>
      <w:r w:rsidR="000766A3">
        <w:rPr>
          <w:rFonts w:cstheme="minorHAnsi"/>
        </w:rPr>
        <w:t xml:space="preserve"> and </w:t>
      </w:r>
      <w:r w:rsidRPr="00603981">
        <w:rPr>
          <w:rFonts w:cstheme="minorHAnsi"/>
        </w:rPr>
        <w:t>should be read with Annexure A.</w:t>
      </w:r>
    </w:p>
    <w:p w14:paraId="18A0F64F" w14:textId="77777777" w:rsidR="00AE4775" w:rsidRPr="00603981" w:rsidRDefault="00AE4775" w:rsidP="00C3303A">
      <w:pPr>
        <w:pStyle w:val="Heading2"/>
      </w:pPr>
      <w:bookmarkStart w:id="24" w:name="_Toc143696577"/>
      <w:r w:rsidRPr="00603981">
        <w:t xml:space="preserve">Impact Analysis Question 4: </w:t>
      </w:r>
      <w:r w:rsidRPr="00603981">
        <w:br/>
        <w:t>What is the likely net benefit of each option?</w:t>
      </w:r>
      <w:bookmarkEnd w:id="24"/>
    </w:p>
    <w:p w14:paraId="7215FA28" w14:textId="7A74B279" w:rsidR="00AE4775" w:rsidRPr="00603981" w:rsidRDefault="007B2734" w:rsidP="00D52E58">
      <w:pPr>
        <w:spacing w:after="160" w:line="259" w:lineRule="auto"/>
        <w:rPr>
          <w:rFonts w:cstheme="minorHAnsi"/>
        </w:rPr>
      </w:pPr>
      <w:r>
        <w:rPr>
          <w:rFonts w:cstheme="minorHAnsi"/>
        </w:rPr>
        <w:t>T</w:t>
      </w:r>
      <w:r w:rsidR="00AE4775" w:rsidRPr="00603981">
        <w:rPr>
          <w:rFonts w:cstheme="minorHAnsi"/>
        </w:rPr>
        <w:t>he policy options being considered (as described in answer to Impact Analysis Question 3) are:</w:t>
      </w:r>
    </w:p>
    <w:p w14:paraId="502AB8FB" w14:textId="69EFC7D0" w:rsidR="00AE4775" w:rsidRPr="00603981" w:rsidRDefault="00AE4775" w:rsidP="00F207DC">
      <w:pPr>
        <w:pStyle w:val="ListParagraph"/>
        <w:numPr>
          <w:ilvl w:val="0"/>
          <w:numId w:val="6"/>
        </w:numPr>
        <w:spacing w:after="160" w:line="259" w:lineRule="auto"/>
        <w:contextualSpacing w:val="0"/>
        <w:rPr>
          <w:rFonts w:cstheme="minorHAnsi"/>
          <w:color w:val="000000"/>
          <w:shd w:val="clear" w:color="auto" w:fill="FFFFFF"/>
        </w:rPr>
      </w:pPr>
      <w:r w:rsidRPr="717F6999">
        <w:rPr>
          <w:color w:val="000000"/>
          <w:u w:val="single"/>
          <w:shd w:val="clear" w:color="auto" w:fill="FFFFFF"/>
        </w:rPr>
        <w:t>Option 1</w:t>
      </w:r>
      <w:r w:rsidRPr="717F6999">
        <w:rPr>
          <w:color w:val="000000"/>
          <w:shd w:val="clear" w:color="auto" w:fill="FFFFFF"/>
        </w:rPr>
        <w:t xml:space="preserve">: Legislate a ‘Closing </w:t>
      </w:r>
      <w:r w:rsidR="007B2734" w:rsidRPr="7C59B8DA">
        <w:rPr>
          <w:color w:val="000000" w:themeColor="text1"/>
        </w:rPr>
        <w:t xml:space="preserve">the </w:t>
      </w:r>
      <w:r w:rsidRPr="717F6999">
        <w:rPr>
          <w:color w:val="000000"/>
          <w:shd w:val="clear" w:color="auto" w:fill="FFFFFF"/>
        </w:rPr>
        <w:t>labour hire loophole’ measure</w:t>
      </w:r>
    </w:p>
    <w:p w14:paraId="1207571E" w14:textId="77777777" w:rsidR="00AE4775" w:rsidRPr="00603981" w:rsidRDefault="00AE4775" w:rsidP="00F207DC">
      <w:pPr>
        <w:pStyle w:val="ListParagraph"/>
        <w:numPr>
          <w:ilvl w:val="0"/>
          <w:numId w:val="6"/>
        </w:numPr>
        <w:spacing w:after="160" w:line="259" w:lineRule="auto"/>
        <w:contextualSpacing w:val="0"/>
        <w:rPr>
          <w:rFonts w:cstheme="minorHAnsi"/>
          <w:color w:val="000000"/>
          <w:shd w:val="clear" w:color="auto" w:fill="FFFFFF"/>
        </w:rPr>
      </w:pPr>
      <w:r w:rsidRPr="717F6999">
        <w:rPr>
          <w:color w:val="000000"/>
          <w:u w:val="single"/>
          <w:shd w:val="clear" w:color="auto" w:fill="FFFFFF"/>
        </w:rPr>
        <w:t>Option 2</w:t>
      </w:r>
      <w:r w:rsidRPr="717F6999">
        <w:rPr>
          <w:color w:val="000000"/>
          <w:shd w:val="clear" w:color="auto" w:fill="FFFFFF"/>
        </w:rPr>
        <w:t xml:space="preserve">: Take no action (that is, </w:t>
      </w:r>
      <w:r w:rsidRPr="717F6999">
        <w:t>maintain</w:t>
      </w:r>
      <w:r w:rsidRPr="717F6999">
        <w:rPr>
          <w:color w:val="000000"/>
          <w:shd w:val="clear" w:color="auto" w:fill="FFFFFF"/>
        </w:rPr>
        <w:t xml:space="preserve"> the status quo)</w:t>
      </w:r>
    </w:p>
    <w:p w14:paraId="3EA5DCE2" w14:textId="7A4206A4" w:rsidR="00AE4775" w:rsidRPr="00603981" w:rsidRDefault="00AE4775" w:rsidP="00D52E58">
      <w:pPr>
        <w:spacing w:after="160" w:line="259" w:lineRule="auto"/>
        <w:rPr>
          <w:rFonts w:cstheme="minorHAnsi"/>
        </w:rPr>
      </w:pPr>
      <w:r w:rsidRPr="00603981">
        <w:rPr>
          <w:rFonts w:cstheme="minorHAnsi"/>
        </w:rPr>
        <w:t xml:space="preserve">To inform </w:t>
      </w:r>
      <w:r w:rsidR="001666A3" w:rsidRPr="00603981">
        <w:rPr>
          <w:rFonts w:cstheme="minorHAnsi"/>
        </w:rPr>
        <w:t>an assessmen</w:t>
      </w:r>
      <w:r w:rsidR="00DF1003" w:rsidRPr="00603981">
        <w:rPr>
          <w:rFonts w:cstheme="minorHAnsi"/>
        </w:rPr>
        <w:t>t</w:t>
      </w:r>
      <w:r w:rsidR="001666A3" w:rsidRPr="00603981">
        <w:rPr>
          <w:rFonts w:cstheme="minorHAnsi"/>
        </w:rPr>
        <w:t xml:space="preserve"> of </w:t>
      </w:r>
      <w:r w:rsidRPr="00603981">
        <w:rPr>
          <w:rFonts w:cstheme="minorHAnsi"/>
        </w:rPr>
        <w:t xml:space="preserve">the benefits, costs and impacts of these </w:t>
      </w:r>
      <w:r w:rsidR="001F4098" w:rsidRPr="00603981">
        <w:rPr>
          <w:rFonts w:cstheme="minorHAnsi"/>
        </w:rPr>
        <w:t>two</w:t>
      </w:r>
      <w:r w:rsidRPr="00603981">
        <w:rPr>
          <w:rFonts w:cstheme="minorHAnsi"/>
        </w:rPr>
        <w:t xml:space="preserve"> options, the</w:t>
      </w:r>
      <w:r w:rsidR="001666A3" w:rsidRPr="00603981">
        <w:rPr>
          <w:rFonts w:cstheme="minorHAnsi"/>
        </w:rPr>
        <w:t xml:space="preserve"> department has undertaken </w:t>
      </w:r>
      <w:r w:rsidRPr="00603981">
        <w:rPr>
          <w:rFonts w:cstheme="minorHAnsi"/>
        </w:rPr>
        <w:t>extensive stakeholder consultation with employers and their representatives, unions and academics, which commenced in 2022. In April 2023, the department published a detailed consultation paper about the proposal (</w:t>
      </w:r>
      <w:r w:rsidRPr="00D0307B">
        <w:rPr>
          <w:rFonts w:cstheme="minorHAnsi"/>
          <w:b/>
        </w:rPr>
        <w:t>Consultation Paper</w:t>
      </w:r>
      <w:r w:rsidRPr="00603981">
        <w:rPr>
          <w:rFonts w:cstheme="minorHAnsi"/>
        </w:rPr>
        <w:t>).</w:t>
      </w:r>
    </w:p>
    <w:p w14:paraId="7C17B2C6" w14:textId="7D1F0232" w:rsidR="00AE4775" w:rsidRPr="00603981" w:rsidRDefault="00AE4775" w:rsidP="00D52E58">
      <w:pPr>
        <w:spacing w:after="160" w:line="259" w:lineRule="auto"/>
        <w:rPr>
          <w:rFonts w:cstheme="minorHAnsi"/>
        </w:rPr>
      </w:pPr>
      <w:r w:rsidRPr="00603981">
        <w:rPr>
          <w:rFonts w:cstheme="minorHAnsi"/>
        </w:rPr>
        <w:t>Through the Consultation Paper, stakeholders were asked to consider and provide views on a broad range of policy considerations, including the scope, application, and potential cost impacts that may flow to affected parties and the broader economy.</w:t>
      </w:r>
      <w:r w:rsidRPr="00603981">
        <w:rPr>
          <w:rStyle w:val="FootnoteReference"/>
          <w:rFonts w:cstheme="minorHAnsi"/>
        </w:rPr>
        <w:footnoteReference w:id="46"/>
      </w:r>
      <w:r w:rsidRPr="00603981">
        <w:rPr>
          <w:rFonts w:cstheme="minorHAnsi"/>
        </w:rPr>
        <w:t xml:space="preserve"> The impacts identified by stakeholders are described in the analysis below about the costs and benefits for businesses (hosts and labour hire </w:t>
      </w:r>
      <w:r w:rsidR="002F7B3A">
        <w:rPr>
          <w:rFonts w:cstheme="minorHAnsi"/>
        </w:rPr>
        <w:t>employers</w:t>
      </w:r>
      <w:r w:rsidRPr="00603981">
        <w:rPr>
          <w:rFonts w:cstheme="minorHAnsi"/>
        </w:rPr>
        <w:t xml:space="preserve">) and individuals (labour hire </w:t>
      </w:r>
      <w:r w:rsidR="002F7B3A">
        <w:rPr>
          <w:rFonts w:cstheme="minorHAnsi"/>
        </w:rPr>
        <w:t>employees</w:t>
      </w:r>
      <w:r w:rsidR="002F7B3A" w:rsidRPr="00603981">
        <w:rPr>
          <w:rFonts w:cstheme="minorHAnsi"/>
        </w:rPr>
        <w:t xml:space="preserve"> </w:t>
      </w:r>
      <w:r w:rsidRPr="00603981">
        <w:rPr>
          <w:rFonts w:cstheme="minorHAnsi"/>
        </w:rPr>
        <w:t xml:space="preserve">and </w:t>
      </w:r>
      <w:r w:rsidR="002F7B3A">
        <w:rPr>
          <w:rFonts w:cstheme="minorHAnsi"/>
        </w:rPr>
        <w:t>host</w:t>
      </w:r>
      <w:r w:rsidRPr="00603981">
        <w:rPr>
          <w:rFonts w:cstheme="minorHAnsi"/>
        </w:rPr>
        <w:t xml:space="preserve"> employees) (for further detail on consultation generally, see Impact Analysis Question 5).</w:t>
      </w:r>
    </w:p>
    <w:p w14:paraId="34324C9E" w14:textId="3E728F3C" w:rsidR="00AE4775" w:rsidRPr="00603981" w:rsidRDefault="00AE4775" w:rsidP="00D52E58">
      <w:pPr>
        <w:spacing w:after="160" w:line="259" w:lineRule="auto"/>
        <w:rPr>
          <w:rFonts w:cstheme="minorHAnsi"/>
        </w:rPr>
      </w:pPr>
      <w:r w:rsidRPr="00603981">
        <w:rPr>
          <w:rFonts w:cstheme="minorHAnsi"/>
        </w:rPr>
        <w:t xml:space="preserve">With the benefit of views provided by stakeholders during consultation, the department has assessed the </w:t>
      </w:r>
      <w:r w:rsidR="00BB4FD7" w:rsidRPr="00603981">
        <w:rPr>
          <w:rFonts w:cstheme="minorHAnsi"/>
        </w:rPr>
        <w:t>two</w:t>
      </w:r>
      <w:r w:rsidRPr="00603981">
        <w:rPr>
          <w:rFonts w:cstheme="minorHAnsi"/>
        </w:rPr>
        <w:t xml:space="preserve"> options with reference to the following guiding principles (noting these are informed by, and have developed from, the guiding principles </w:t>
      </w:r>
      <w:r w:rsidR="00CC5DF6" w:rsidRPr="00603981">
        <w:rPr>
          <w:rFonts w:cstheme="minorHAnsi"/>
        </w:rPr>
        <w:t>in the Consultation Paper</w:t>
      </w:r>
      <w:r w:rsidRPr="00603981">
        <w:rPr>
          <w:rFonts w:cstheme="minorHAnsi"/>
        </w:rPr>
        <w:t>):</w:t>
      </w:r>
    </w:p>
    <w:p w14:paraId="08B21874" w14:textId="6E82934E" w:rsidR="00AE4775" w:rsidRPr="00603981" w:rsidRDefault="00AE4775" w:rsidP="00024B72">
      <w:pPr>
        <w:pStyle w:val="ListParagraph"/>
        <w:numPr>
          <w:ilvl w:val="0"/>
          <w:numId w:val="10"/>
        </w:numPr>
        <w:spacing w:after="160" w:line="259" w:lineRule="auto"/>
        <w:contextualSpacing w:val="0"/>
        <w:rPr>
          <w:rFonts w:cstheme="minorHAnsi"/>
        </w:rPr>
      </w:pPr>
      <w:r w:rsidRPr="00603981">
        <w:rPr>
          <w:rFonts w:cstheme="minorHAnsi"/>
        </w:rPr>
        <w:t>Business should be able to access labour hire for genuine work surges and short-term needs</w:t>
      </w:r>
      <w:r w:rsidR="0087154F">
        <w:rPr>
          <w:rFonts w:cstheme="minorHAnsi"/>
        </w:rPr>
        <w:t>.</w:t>
      </w:r>
    </w:p>
    <w:p w14:paraId="3360BF75" w14:textId="4783CECA" w:rsidR="00AE4775" w:rsidRPr="00603981" w:rsidRDefault="00AE4775" w:rsidP="00024B72">
      <w:pPr>
        <w:pStyle w:val="ListParagraph"/>
        <w:numPr>
          <w:ilvl w:val="0"/>
          <w:numId w:val="10"/>
        </w:numPr>
        <w:spacing w:after="160" w:line="259" w:lineRule="auto"/>
        <w:contextualSpacing w:val="0"/>
        <w:rPr>
          <w:rFonts w:cstheme="minorHAnsi"/>
        </w:rPr>
      </w:pPr>
      <w:r w:rsidRPr="00603981">
        <w:rPr>
          <w:rFonts w:cstheme="minorHAnsi"/>
        </w:rPr>
        <w:t xml:space="preserve">Labour hire </w:t>
      </w:r>
      <w:r w:rsidR="00890C4A">
        <w:rPr>
          <w:rFonts w:cstheme="minorHAnsi"/>
        </w:rPr>
        <w:t>employees</w:t>
      </w:r>
      <w:r w:rsidR="00890C4A" w:rsidRPr="00603981">
        <w:rPr>
          <w:rFonts w:cstheme="minorHAnsi"/>
        </w:rPr>
        <w:t xml:space="preserve"> </w:t>
      </w:r>
      <w:r w:rsidRPr="00603981">
        <w:rPr>
          <w:rFonts w:cstheme="minorHAnsi"/>
        </w:rPr>
        <w:t>should be paid at least the amount provided in a host’s enterprise agreement, where that agreement would apply if they were directly employed</w:t>
      </w:r>
      <w:r w:rsidR="0087154F">
        <w:rPr>
          <w:rFonts w:cstheme="minorHAnsi"/>
        </w:rPr>
        <w:t>.</w:t>
      </w:r>
    </w:p>
    <w:p w14:paraId="219DB084" w14:textId="1C87C4FD" w:rsidR="00AE4775" w:rsidRPr="00603981" w:rsidRDefault="00890C4A" w:rsidP="00024B72">
      <w:pPr>
        <w:pStyle w:val="ListParagraph"/>
        <w:numPr>
          <w:ilvl w:val="0"/>
          <w:numId w:val="10"/>
        </w:numPr>
        <w:spacing w:after="160" w:line="259" w:lineRule="auto"/>
        <w:contextualSpacing w:val="0"/>
        <w:rPr>
          <w:rFonts w:cstheme="minorHAnsi"/>
        </w:rPr>
      </w:pPr>
      <w:r>
        <w:rPr>
          <w:rFonts w:cstheme="minorHAnsi"/>
        </w:rPr>
        <w:t>Host</w:t>
      </w:r>
      <w:r w:rsidR="00065E78">
        <w:rPr>
          <w:rFonts w:cstheme="minorHAnsi"/>
        </w:rPr>
        <w:t>s</w:t>
      </w:r>
      <w:r>
        <w:rPr>
          <w:rFonts w:cstheme="minorHAnsi"/>
        </w:rPr>
        <w:t xml:space="preserve"> </w:t>
      </w:r>
      <w:r w:rsidR="00AE4775" w:rsidRPr="00603981">
        <w:rPr>
          <w:rFonts w:cstheme="minorHAnsi"/>
        </w:rPr>
        <w:t xml:space="preserve">should not be able to undercut </w:t>
      </w:r>
      <w:r w:rsidR="00887499">
        <w:rPr>
          <w:rFonts w:cstheme="minorHAnsi"/>
        </w:rPr>
        <w:t>bargained wages</w:t>
      </w:r>
      <w:r w:rsidR="00AE4775" w:rsidRPr="00603981">
        <w:rPr>
          <w:rFonts w:cstheme="minorHAnsi"/>
        </w:rPr>
        <w:t xml:space="preserve"> </w:t>
      </w:r>
      <w:r w:rsidR="00887499">
        <w:rPr>
          <w:rFonts w:cstheme="minorHAnsi"/>
        </w:rPr>
        <w:t>by using</w:t>
      </w:r>
      <w:r w:rsidR="00887499" w:rsidRPr="00603981">
        <w:rPr>
          <w:rFonts w:cstheme="minorHAnsi"/>
        </w:rPr>
        <w:t xml:space="preserve"> </w:t>
      </w:r>
      <w:r w:rsidR="00AE4775" w:rsidRPr="00603981">
        <w:rPr>
          <w:rFonts w:cstheme="minorHAnsi"/>
        </w:rPr>
        <w:t>labour hire</w:t>
      </w:r>
      <w:r w:rsidR="0087154F">
        <w:rPr>
          <w:rFonts w:cstheme="minorHAnsi"/>
        </w:rPr>
        <w:t>.</w:t>
      </w:r>
      <w:r w:rsidR="00AE4775" w:rsidRPr="00603981">
        <w:rPr>
          <w:rFonts w:cstheme="minorHAnsi"/>
        </w:rPr>
        <w:t xml:space="preserve"> </w:t>
      </w:r>
    </w:p>
    <w:p w14:paraId="39897698" w14:textId="77777777" w:rsidR="00AE4775" w:rsidRPr="00603981" w:rsidRDefault="00AE4775" w:rsidP="00024B72">
      <w:pPr>
        <w:pStyle w:val="ListParagraph"/>
        <w:numPr>
          <w:ilvl w:val="0"/>
          <w:numId w:val="10"/>
        </w:numPr>
        <w:spacing w:after="160" w:line="259" w:lineRule="auto"/>
        <w:contextualSpacing w:val="0"/>
        <w:rPr>
          <w:rFonts w:cstheme="minorHAnsi"/>
        </w:rPr>
      </w:pPr>
      <w:r w:rsidRPr="00603981">
        <w:rPr>
          <w:rFonts w:cstheme="minorHAnsi"/>
        </w:rPr>
        <w:t>The proposal should only impose a reasonable regulatory burden on businesses.</w:t>
      </w:r>
    </w:p>
    <w:p w14:paraId="7317BDF2" w14:textId="644D7590" w:rsidR="00AE4775" w:rsidRPr="00603981" w:rsidRDefault="00AE4775" w:rsidP="00D52E58">
      <w:pPr>
        <w:spacing w:after="160" w:line="259" w:lineRule="auto"/>
        <w:rPr>
          <w:rFonts w:cstheme="minorHAnsi"/>
        </w:rPr>
      </w:pPr>
      <w:r w:rsidRPr="00603981">
        <w:rPr>
          <w:rFonts w:cstheme="minorHAnsi"/>
        </w:rPr>
        <w:t xml:space="preserve">These principles reflect the Government’s aim to close </w:t>
      </w:r>
      <w:r w:rsidR="00887499">
        <w:rPr>
          <w:rFonts w:cstheme="minorHAnsi"/>
        </w:rPr>
        <w:t xml:space="preserve">the </w:t>
      </w:r>
      <w:r w:rsidRPr="00603981">
        <w:rPr>
          <w:rFonts w:cstheme="minorHAnsi"/>
        </w:rPr>
        <w:t>loophole</w:t>
      </w:r>
      <w:r w:rsidR="00887499">
        <w:rPr>
          <w:rFonts w:cstheme="minorHAnsi"/>
        </w:rPr>
        <w:t xml:space="preserve"> in the Fair Work Act</w:t>
      </w:r>
      <w:r w:rsidRPr="00603981">
        <w:rPr>
          <w:rFonts w:cstheme="minorHAnsi"/>
        </w:rPr>
        <w:t xml:space="preserve"> that allow</w:t>
      </w:r>
      <w:r w:rsidR="00887499">
        <w:rPr>
          <w:rFonts w:cstheme="minorHAnsi"/>
        </w:rPr>
        <w:t>s</w:t>
      </w:r>
      <w:r w:rsidRPr="00603981">
        <w:rPr>
          <w:rFonts w:cstheme="minorHAnsi"/>
        </w:rPr>
        <w:t xml:space="preserve"> the use of labour hire to undercut bargained wages. </w:t>
      </w:r>
      <w:bookmarkStart w:id="25" w:name="_Hlk137883845"/>
      <w:r w:rsidRPr="00603981">
        <w:rPr>
          <w:rFonts w:cstheme="minorHAnsi"/>
        </w:rPr>
        <w:t>Overall, Options 1 and 2 lead to different net benefits and impacts on host</w:t>
      </w:r>
      <w:r w:rsidR="00DA4321">
        <w:rPr>
          <w:rFonts w:cstheme="minorHAnsi"/>
        </w:rPr>
        <w:t>s</w:t>
      </w:r>
      <w:r w:rsidRPr="00603981">
        <w:rPr>
          <w:rFonts w:cstheme="minorHAnsi"/>
        </w:rPr>
        <w:t xml:space="preserve">, labour hire </w:t>
      </w:r>
      <w:r w:rsidR="00DA4321">
        <w:rPr>
          <w:rFonts w:cstheme="minorHAnsi"/>
        </w:rPr>
        <w:t>employers</w:t>
      </w:r>
      <w:r w:rsidRPr="00603981">
        <w:rPr>
          <w:rFonts w:cstheme="minorHAnsi"/>
        </w:rPr>
        <w:t xml:space="preserve">, labour hire </w:t>
      </w:r>
      <w:r w:rsidR="00DA4321">
        <w:rPr>
          <w:rFonts w:cstheme="minorHAnsi"/>
        </w:rPr>
        <w:t>employees</w:t>
      </w:r>
      <w:r w:rsidR="00DA4321" w:rsidRPr="00603981">
        <w:rPr>
          <w:rFonts w:cstheme="minorHAnsi"/>
        </w:rPr>
        <w:t xml:space="preserve"> </w:t>
      </w:r>
      <w:r w:rsidRPr="00603981">
        <w:rPr>
          <w:rFonts w:cstheme="minorHAnsi"/>
        </w:rPr>
        <w:t xml:space="preserve">and </w:t>
      </w:r>
      <w:r w:rsidR="00DA4321">
        <w:rPr>
          <w:rFonts w:cstheme="minorHAnsi"/>
        </w:rPr>
        <w:t>host</w:t>
      </w:r>
      <w:r w:rsidRPr="00603981">
        <w:rPr>
          <w:rFonts w:cstheme="minorHAnsi"/>
        </w:rPr>
        <w:t xml:space="preserve"> employees. These are outlined below.</w:t>
      </w:r>
    </w:p>
    <w:p w14:paraId="70DEF2F5" w14:textId="0AA4057C" w:rsidR="00AE4775" w:rsidRPr="00603981" w:rsidRDefault="00AE4775" w:rsidP="00DA4321">
      <w:pPr>
        <w:pStyle w:val="Heading3"/>
      </w:pPr>
      <w:bookmarkStart w:id="26" w:name="_Toc143696578"/>
      <w:bookmarkEnd w:id="25"/>
      <w:r w:rsidRPr="00603981">
        <w:lastRenderedPageBreak/>
        <w:t xml:space="preserve">Option 1 – Legislate a ‘Closing </w:t>
      </w:r>
      <w:r w:rsidR="00DA4321">
        <w:t xml:space="preserve">the </w:t>
      </w:r>
      <w:r w:rsidRPr="00603981">
        <w:t>labour hire loophole’ measure</w:t>
      </w:r>
      <w:bookmarkEnd w:id="26"/>
    </w:p>
    <w:p w14:paraId="341B9F8F" w14:textId="77777777" w:rsidR="00AE4775" w:rsidRPr="00603981" w:rsidRDefault="00AE4775" w:rsidP="00D0307B">
      <w:pPr>
        <w:keepNext/>
        <w:spacing w:after="160" w:line="259" w:lineRule="auto"/>
        <w:rPr>
          <w:rFonts w:cstheme="minorHAnsi"/>
          <w:u w:val="single"/>
        </w:rPr>
      </w:pPr>
      <w:r w:rsidRPr="00603981">
        <w:rPr>
          <w:rFonts w:cstheme="minorHAnsi"/>
          <w:u w:val="single"/>
        </w:rPr>
        <w:t>Summary of net benefit and impact</w:t>
      </w:r>
    </w:p>
    <w:p w14:paraId="1BDBD823" w14:textId="1CFDF280" w:rsidR="0053004A" w:rsidRDefault="00AE4775" w:rsidP="00DA4321">
      <w:pPr>
        <w:keepNext/>
        <w:spacing w:after="160" w:line="259" w:lineRule="auto"/>
        <w:rPr>
          <w:rFonts w:cstheme="minorHAnsi"/>
        </w:rPr>
      </w:pPr>
      <w:r w:rsidRPr="00603981">
        <w:rPr>
          <w:rFonts w:cstheme="minorHAnsi"/>
        </w:rPr>
        <w:t>Option 1 give</w:t>
      </w:r>
      <w:r w:rsidR="0053004A">
        <w:rPr>
          <w:rFonts w:cstheme="minorHAnsi"/>
        </w:rPr>
        <w:t>s</w:t>
      </w:r>
      <w:r w:rsidRPr="00603981">
        <w:rPr>
          <w:rFonts w:cstheme="minorHAnsi"/>
        </w:rPr>
        <w:t xml:space="preserve"> rise to varied impacts across workplaces and industries. This is because, for example, the use of labour hire differs across industries, and the terms and conditions of employment that apply to host</w:t>
      </w:r>
      <w:r w:rsidR="0053004A">
        <w:rPr>
          <w:rFonts w:cstheme="minorHAnsi"/>
        </w:rPr>
        <w:t>s</w:t>
      </w:r>
      <w:r w:rsidRPr="00603981">
        <w:rPr>
          <w:rFonts w:cstheme="minorHAnsi"/>
        </w:rPr>
        <w:t xml:space="preserve"> and </w:t>
      </w:r>
      <w:r w:rsidR="00503061" w:rsidRPr="00603981">
        <w:rPr>
          <w:rFonts w:cstheme="minorHAnsi"/>
        </w:rPr>
        <w:t xml:space="preserve">labour hire </w:t>
      </w:r>
      <w:r w:rsidR="0053004A">
        <w:rPr>
          <w:rFonts w:cstheme="minorHAnsi"/>
        </w:rPr>
        <w:t>employers</w:t>
      </w:r>
      <w:r w:rsidR="0053004A" w:rsidRPr="00603981">
        <w:rPr>
          <w:rFonts w:cstheme="minorHAnsi"/>
        </w:rPr>
        <w:t xml:space="preserve"> </w:t>
      </w:r>
      <w:r w:rsidRPr="00603981">
        <w:rPr>
          <w:rFonts w:cstheme="minorHAnsi"/>
        </w:rPr>
        <w:t xml:space="preserve">is often disparate. </w:t>
      </w:r>
    </w:p>
    <w:p w14:paraId="7B0B06C3" w14:textId="2433F1BA" w:rsidR="00AE4775" w:rsidRPr="00603981" w:rsidRDefault="0053004A" w:rsidP="00D0307B">
      <w:pPr>
        <w:keepNext/>
        <w:spacing w:after="160" w:line="259" w:lineRule="auto"/>
        <w:rPr>
          <w:rFonts w:cstheme="minorHAnsi"/>
        </w:rPr>
      </w:pPr>
      <w:r>
        <w:rPr>
          <w:rFonts w:cstheme="minorHAnsi"/>
        </w:rPr>
        <w:t>I</w:t>
      </w:r>
      <w:r w:rsidR="00492E79">
        <w:rPr>
          <w:rFonts w:cstheme="minorHAnsi"/>
        </w:rPr>
        <w:t xml:space="preserve">t is difficult to estimate how </w:t>
      </w:r>
      <w:r w:rsidR="00A97A33">
        <w:rPr>
          <w:rFonts w:cstheme="minorHAnsi"/>
        </w:rPr>
        <w:t xml:space="preserve">many labour hire arrangements may be the subject of a Fair Work Commission order </w:t>
      </w:r>
      <w:r w:rsidR="00D20E96">
        <w:rPr>
          <w:rFonts w:cstheme="minorHAnsi"/>
        </w:rPr>
        <w:t>that actives relevant obligations and entitlements</w:t>
      </w:r>
      <w:r w:rsidR="00A97A33">
        <w:rPr>
          <w:rFonts w:cstheme="minorHAnsi"/>
        </w:rPr>
        <w:t xml:space="preserve">. </w:t>
      </w:r>
      <w:r w:rsidR="00E15F00">
        <w:rPr>
          <w:rFonts w:cstheme="minorHAnsi"/>
        </w:rPr>
        <w:t xml:space="preserve">There may be a number of reasons why an </w:t>
      </w:r>
      <w:r w:rsidR="00B35DCA">
        <w:rPr>
          <w:rFonts w:cstheme="minorHAnsi"/>
        </w:rPr>
        <w:t>eligible</w:t>
      </w:r>
      <w:r w:rsidR="00D20E96">
        <w:rPr>
          <w:rFonts w:cstheme="minorHAnsi"/>
        </w:rPr>
        <w:t xml:space="preserve"> labour hire</w:t>
      </w:r>
      <w:r w:rsidR="00B35DCA">
        <w:rPr>
          <w:rFonts w:cstheme="minorHAnsi"/>
        </w:rPr>
        <w:t xml:space="preserve"> </w:t>
      </w:r>
      <w:r w:rsidR="00E15F00">
        <w:rPr>
          <w:rFonts w:cstheme="minorHAnsi"/>
        </w:rPr>
        <w:t xml:space="preserve">employee </w:t>
      </w:r>
      <w:r w:rsidR="00B35DCA">
        <w:rPr>
          <w:rFonts w:cstheme="minorHAnsi"/>
        </w:rPr>
        <w:t xml:space="preserve">does not apply </w:t>
      </w:r>
      <w:r w:rsidR="00940783">
        <w:rPr>
          <w:rFonts w:cstheme="minorHAnsi"/>
        </w:rPr>
        <w:t>for</w:t>
      </w:r>
      <w:r w:rsidR="001E4841">
        <w:rPr>
          <w:rFonts w:cstheme="minorHAnsi"/>
        </w:rPr>
        <w:t xml:space="preserve"> an order</w:t>
      </w:r>
      <w:r w:rsidR="00DF004E">
        <w:rPr>
          <w:rFonts w:cstheme="minorHAnsi"/>
        </w:rPr>
        <w:t xml:space="preserve"> (see </w:t>
      </w:r>
      <w:r w:rsidR="00940783">
        <w:rPr>
          <w:rFonts w:cstheme="minorHAnsi"/>
        </w:rPr>
        <w:t xml:space="preserve">below </w:t>
      </w:r>
      <w:r w:rsidR="00DF004E">
        <w:rPr>
          <w:rFonts w:cstheme="minorHAnsi"/>
        </w:rPr>
        <w:t xml:space="preserve">for further </w:t>
      </w:r>
      <w:r w:rsidR="00940783">
        <w:rPr>
          <w:rFonts w:cstheme="minorHAnsi"/>
        </w:rPr>
        <w:t>details</w:t>
      </w:r>
      <w:r w:rsidR="00DF004E">
        <w:rPr>
          <w:rFonts w:cstheme="minorHAnsi"/>
        </w:rPr>
        <w:t xml:space="preserve">). </w:t>
      </w:r>
      <w:r w:rsidR="00940783">
        <w:rPr>
          <w:rFonts w:cstheme="minorHAnsi"/>
        </w:rPr>
        <w:t>I</w:t>
      </w:r>
      <w:r w:rsidR="00AE4775" w:rsidRPr="00603981">
        <w:rPr>
          <w:rFonts w:cstheme="minorHAnsi"/>
        </w:rPr>
        <w:t>n summary</w:t>
      </w:r>
      <w:r w:rsidR="00940783">
        <w:rPr>
          <w:rFonts w:cstheme="minorHAnsi"/>
        </w:rPr>
        <w:t>,</w:t>
      </w:r>
      <w:r w:rsidR="00AE4775" w:rsidRPr="00603981">
        <w:rPr>
          <w:rFonts w:cstheme="minorHAnsi"/>
        </w:rPr>
        <w:t xml:space="preserve"> and with regard to available data, pursuing Option 1 is expected to have the following calculable impact on</w:t>
      </w:r>
      <w:r w:rsidR="009B4B51" w:rsidRPr="00603981">
        <w:rPr>
          <w:rFonts w:cstheme="minorHAnsi"/>
        </w:rPr>
        <w:t xml:space="preserve"> businesses and </w:t>
      </w:r>
      <w:r w:rsidR="00145FE9" w:rsidRPr="00603981">
        <w:rPr>
          <w:rFonts w:cstheme="minorHAnsi"/>
        </w:rPr>
        <w:t>individuals</w:t>
      </w:r>
      <w:r w:rsidR="00772A8A">
        <w:rPr>
          <w:rFonts w:cstheme="minorHAnsi"/>
        </w:rPr>
        <w:t xml:space="preserve"> (further details at Annexure C)</w:t>
      </w:r>
      <w:r w:rsidR="00AE4775" w:rsidRPr="00603981">
        <w:rPr>
          <w:rFonts w:cstheme="minorHAnsi"/>
        </w:rPr>
        <w:t>:</w:t>
      </w:r>
      <w:r w:rsidR="00AE4775" w:rsidRPr="00603981">
        <w:rPr>
          <w:rStyle w:val="FootnoteReference"/>
          <w:rFonts w:cstheme="minorHAnsi"/>
        </w:rPr>
        <w:footnoteReference w:id="47"/>
      </w:r>
    </w:p>
    <w:tbl>
      <w:tblPr>
        <w:tblStyle w:val="LightGrid-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2000"/>
        <w:gridCol w:w="2376"/>
        <w:gridCol w:w="2376"/>
      </w:tblGrid>
      <w:tr w:rsidR="00A61C8D" w:rsidRPr="005310CF" w14:paraId="67573C2C" w14:textId="06A89CCF" w:rsidTr="38B846D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404040" w:themeFill="text1" w:themeFillTint="BF"/>
            <w:noWrap/>
          </w:tcPr>
          <w:p w14:paraId="21A48BC3" w14:textId="730D7D38" w:rsidR="00A61C8D" w:rsidRPr="005310CF" w:rsidRDefault="00A61C8D">
            <w:pPr>
              <w:spacing w:before="120" w:after="120" w:line="240" w:lineRule="auto"/>
              <w:rPr>
                <w:rFonts w:asciiTheme="minorHAnsi" w:hAnsiTheme="minorHAnsi" w:cstheme="minorHAnsi"/>
                <w:color w:val="FFFFFF" w:themeColor="background1"/>
                <w:sz w:val="22"/>
                <w:szCs w:val="22"/>
                <w:u w:val="single"/>
              </w:rPr>
            </w:pPr>
            <w:r w:rsidRPr="005310CF">
              <w:rPr>
                <w:rFonts w:asciiTheme="minorHAnsi" w:hAnsiTheme="minorHAnsi" w:cstheme="minorHAnsi"/>
                <w:color w:val="FFFFFF" w:themeColor="background1"/>
                <w:sz w:val="22"/>
                <w:szCs w:val="22"/>
                <w:u w:val="single"/>
              </w:rPr>
              <w:t>Regulatory burden estimate table</w:t>
            </w:r>
          </w:p>
          <w:p w14:paraId="0D946E7E" w14:textId="170FE65B" w:rsidR="00A61C8D" w:rsidRPr="005310CF" w:rsidRDefault="00A61C8D">
            <w:pPr>
              <w:spacing w:before="120" w:after="120" w:line="240" w:lineRule="auto"/>
              <w:rPr>
                <w:rStyle w:val="FootnoteReference"/>
                <w:rFonts w:asciiTheme="minorHAnsi" w:hAnsiTheme="minorHAnsi" w:cstheme="minorHAnsi"/>
                <w:color w:val="FFFFFF" w:themeColor="background1"/>
                <w:sz w:val="22"/>
                <w:szCs w:val="22"/>
              </w:rPr>
            </w:pPr>
            <w:r w:rsidRPr="005310CF">
              <w:rPr>
                <w:rFonts w:asciiTheme="minorHAnsi" w:hAnsiTheme="minorHAnsi" w:cstheme="minorHAnsi"/>
                <w:color w:val="FFFFFF" w:themeColor="background1"/>
                <w:sz w:val="22"/>
                <w:szCs w:val="22"/>
              </w:rPr>
              <w:t>Annual regulatory costs (from business as usual)</w:t>
            </w:r>
          </w:p>
        </w:tc>
      </w:tr>
      <w:tr w:rsidR="001B4551" w:rsidRPr="005310CF" w14:paraId="07461D0F" w14:textId="4F5E658A" w:rsidTr="38B846D2">
        <w:trPr>
          <w:trHeight w:val="300"/>
        </w:trPr>
        <w:tc>
          <w:tcPr>
            <w:cnfStyle w:val="001000000000" w:firstRow="0" w:lastRow="0" w:firstColumn="1" w:lastColumn="0" w:oddVBand="0" w:evenVBand="0" w:oddHBand="0" w:evenHBand="0" w:firstRowFirstColumn="0" w:firstRowLastColumn="0" w:lastRowFirstColumn="0" w:lastRowLastColumn="0"/>
            <w:tcW w:w="1274" w:type="pct"/>
            <w:shd w:val="clear" w:color="auto" w:fill="7A9F4C"/>
            <w:noWrap/>
          </w:tcPr>
          <w:p w14:paraId="18AC4146" w14:textId="7A72AC54" w:rsidR="001B4551" w:rsidRPr="005310CF" w:rsidRDefault="001B4551">
            <w:pPr>
              <w:pStyle w:val="TableText"/>
              <w:rPr>
                <w:rFonts w:asciiTheme="minorHAnsi" w:hAnsiTheme="minorHAnsi" w:cstheme="minorHAnsi"/>
                <w:color w:val="FFFFFF" w:themeColor="background1"/>
                <w:sz w:val="22"/>
                <w:szCs w:val="22"/>
              </w:rPr>
            </w:pPr>
            <w:r w:rsidRPr="005310CF">
              <w:rPr>
                <w:rFonts w:asciiTheme="minorHAnsi" w:hAnsiTheme="minorHAnsi" w:cstheme="minorHAnsi"/>
                <w:color w:val="FFFFFF" w:themeColor="background1"/>
                <w:sz w:val="22"/>
                <w:szCs w:val="22"/>
              </w:rPr>
              <w:t>Change in costs ($ million)</w:t>
            </w:r>
          </w:p>
        </w:tc>
        <w:tc>
          <w:tcPr>
            <w:tcW w:w="1104" w:type="pct"/>
            <w:noWrap/>
          </w:tcPr>
          <w:p w14:paraId="2350E1C3" w14:textId="0297505D" w:rsidR="001B4551" w:rsidRPr="005310CF" w:rsidRDefault="001B455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10CF">
              <w:rPr>
                <w:rFonts w:asciiTheme="minorHAnsi" w:hAnsiTheme="minorHAnsi" w:cstheme="minorHAnsi"/>
                <w:sz w:val="22"/>
                <w:szCs w:val="22"/>
              </w:rPr>
              <w:t>Business</w:t>
            </w:r>
          </w:p>
        </w:tc>
        <w:tc>
          <w:tcPr>
            <w:tcW w:w="1311" w:type="pct"/>
            <w:noWrap/>
          </w:tcPr>
          <w:p w14:paraId="70F1CCAE" w14:textId="4594C741" w:rsidR="001B4551" w:rsidRPr="005310CF" w:rsidRDefault="001B455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310CF">
              <w:rPr>
                <w:rFonts w:cstheme="minorHAnsi"/>
                <w:sz w:val="22"/>
                <w:szCs w:val="22"/>
              </w:rPr>
              <w:t>Individuals</w:t>
            </w:r>
          </w:p>
        </w:tc>
        <w:tc>
          <w:tcPr>
            <w:tcW w:w="1311" w:type="pct"/>
          </w:tcPr>
          <w:p w14:paraId="736A5059" w14:textId="09142696" w:rsidR="001B4551" w:rsidRPr="005310CF" w:rsidRDefault="001B455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310CF">
              <w:rPr>
                <w:rFonts w:cstheme="minorHAnsi"/>
                <w:sz w:val="22"/>
                <w:szCs w:val="22"/>
              </w:rPr>
              <w:t>Total change in costs</w:t>
            </w:r>
          </w:p>
        </w:tc>
      </w:tr>
      <w:tr w:rsidR="001B4551" w:rsidRPr="005310CF" w14:paraId="0E9F2D3E" w14:textId="3A055F78" w:rsidTr="38B846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uto"/>
              <w:left w:val="single" w:sz="4" w:space="0" w:color="auto"/>
              <w:bottom w:val="single" w:sz="4" w:space="0" w:color="auto"/>
              <w:right w:val="single" w:sz="4" w:space="0" w:color="auto"/>
            </w:tcBorders>
            <w:shd w:val="clear" w:color="auto" w:fill="5D7A38"/>
            <w:noWrap/>
          </w:tcPr>
          <w:p w14:paraId="27D58704" w14:textId="77777777" w:rsidR="001B4551" w:rsidRPr="005310CF" w:rsidRDefault="001B4551">
            <w:pPr>
              <w:spacing w:before="120" w:after="120" w:line="240" w:lineRule="auto"/>
              <w:rPr>
                <w:rFonts w:asciiTheme="minorHAnsi" w:hAnsiTheme="minorHAnsi" w:cstheme="minorHAnsi"/>
                <w:color w:val="FFFFFF" w:themeColor="background1"/>
                <w:sz w:val="22"/>
                <w:szCs w:val="22"/>
              </w:rPr>
            </w:pPr>
            <w:r w:rsidRPr="005310CF">
              <w:rPr>
                <w:rFonts w:asciiTheme="minorHAnsi" w:hAnsiTheme="minorHAnsi" w:cstheme="minorHAnsi"/>
                <w:color w:val="FFFFFF" w:themeColor="background1"/>
                <w:sz w:val="22"/>
                <w:szCs w:val="22"/>
              </w:rPr>
              <w:t>Total, by sector</w:t>
            </w:r>
          </w:p>
        </w:tc>
        <w:tc>
          <w:tcPr>
            <w:tcW w:w="1104" w:type="pct"/>
            <w:tcBorders>
              <w:top w:val="single" w:sz="4" w:space="0" w:color="auto"/>
              <w:left w:val="single" w:sz="4" w:space="0" w:color="auto"/>
              <w:bottom w:val="single" w:sz="4" w:space="0" w:color="auto"/>
              <w:right w:val="single" w:sz="4" w:space="0" w:color="auto"/>
            </w:tcBorders>
            <w:noWrap/>
          </w:tcPr>
          <w:p w14:paraId="45A971A1" w14:textId="5C78A76B" w:rsidR="001B4551" w:rsidRPr="005310CF" w:rsidRDefault="79E643C4">
            <w:pPr>
              <w:spacing w:before="120" w:after="120" w:line="240" w:lineRule="auto"/>
              <w:cnfStyle w:val="000000010000" w:firstRow="0" w:lastRow="0" w:firstColumn="0" w:lastColumn="0" w:oddVBand="0" w:evenVBand="0" w:oddHBand="0" w:evenHBand="1" w:firstRowFirstColumn="0" w:firstRowLastColumn="0" w:lastRowFirstColumn="0" w:lastRowLastColumn="0"/>
              <w:rPr>
                <w:rFonts w:cstheme="minorHAnsi"/>
                <w:sz w:val="22"/>
                <w:szCs w:val="22"/>
              </w:rPr>
            </w:pPr>
            <w:bookmarkStart w:id="27" w:name="_Hlk137887103"/>
            <w:r w:rsidRPr="005310CF">
              <w:rPr>
                <w:rFonts w:cstheme="minorHAnsi"/>
                <w:sz w:val="22"/>
                <w:szCs w:val="22"/>
              </w:rPr>
              <w:t>-</w:t>
            </w:r>
            <w:bookmarkEnd w:id="27"/>
            <w:r w:rsidR="318279A7" w:rsidRPr="005310CF">
              <w:rPr>
                <w:rFonts w:cstheme="minorHAnsi"/>
                <w:sz w:val="22"/>
                <w:szCs w:val="22"/>
              </w:rPr>
              <w:t>$</w:t>
            </w:r>
            <w:r w:rsidR="0783B10E" w:rsidRPr="005310CF">
              <w:rPr>
                <w:rFonts w:cstheme="minorHAnsi"/>
                <w:sz w:val="22"/>
                <w:szCs w:val="22"/>
              </w:rPr>
              <w:t>5</w:t>
            </w:r>
            <w:r w:rsidR="004E25D2" w:rsidRPr="005310CF">
              <w:rPr>
                <w:rFonts w:cstheme="minorHAnsi"/>
                <w:sz w:val="22"/>
                <w:szCs w:val="22"/>
              </w:rPr>
              <w:t>10</w:t>
            </w:r>
            <w:r w:rsidR="318279A7" w:rsidRPr="005310CF">
              <w:rPr>
                <w:rFonts w:cstheme="minorHAnsi"/>
                <w:sz w:val="22"/>
                <w:szCs w:val="22"/>
              </w:rPr>
              <w:t>.</w:t>
            </w:r>
            <w:r w:rsidR="00AA3141" w:rsidRPr="005310CF">
              <w:rPr>
                <w:rFonts w:cstheme="minorHAnsi"/>
                <w:sz w:val="22"/>
                <w:szCs w:val="22"/>
              </w:rPr>
              <w:t>8</w:t>
            </w:r>
            <w:r w:rsidR="318279A7" w:rsidRPr="005310CF">
              <w:rPr>
                <w:rFonts w:cstheme="minorHAnsi"/>
                <w:sz w:val="22"/>
                <w:szCs w:val="22"/>
              </w:rPr>
              <w:t>m</w:t>
            </w:r>
          </w:p>
        </w:tc>
        <w:tc>
          <w:tcPr>
            <w:tcW w:w="1311" w:type="pct"/>
            <w:tcBorders>
              <w:top w:val="single" w:sz="4" w:space="0" w:color="auto"/>
              <w:left w:val="single" w:sz="4" w:space="0" w:color="auto"/>
              <w:bottom w:val="single" w:sz="4" w:space="0" w:color="auto"/>
              <w:right w:val="single" w:sz="4" w:space="0" w:color="auto"/>
            </w:tcBorders>
            <w:noWrap/>
          </w:tcPr>
          <w:p w14:paraId="10790AC7" w14:textId="58BBAA74" w:rsidR="001B4551" w:rsidRPr="005310CF" w:rsidRDefault="4E7985BC">
            <w:pPr>
              <w:spacing w:before="120" w:after="120" w:line="240" w:lineRule="auto"/>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5310CF">
              <w:rPr>
                <w:rFonts w:cstheme="minorHAnsi"/>
                <w:sz w:val="22"/>
                <w:szCs w:val="22"/>
              </w:rPr>
              <w:t>(</w:t>
            </w:r>
            <w:r w:rsidR="7F0B2587" w:rsidRPr="005310CF">
              <w:rPr>
                <w:rFonts w:cstheme="minorHAnsi"/>
                <w:sz w:val="22"/>
                <w:szCs w:val="22"/>
              </w:rPr>
              <w:t>$</w:t>
            </w:r>
            <w:r w:rsidR="000F0A9C" w:rsidRPr="005310CF">
              <w:rPr>
                <w:rFonts w:cstheme="minorHAnsi"/>
                <w:sz w:val="22"/>
                <w:szCs w:val="22"/>
              </w:rPr>
              <w:t>510.6</w:t>
            </w:r>
            <w:r w:rsidR="402F7D67" w:rsidRPr="005310CF">
              <w:rPr>
                <w:rFonts w:cstheme="minorHAnsi"/>
                <w:sz w:val="22"/>
                <w:szCs w:val="22"/>
              </w:rPr>
              <w:t>m</w:t>
            </w:r>
            <w:r w:rsidR="0ABE2A04" w:rsidRPr="005310CF">
              <w:rPr>
                <w:rFonts w:cstheme="minorHAnsi"/>
                <w:color w:val="000000" w:themeColor="text1"/>
                <w:sz w:val="22"/>
                <w:szCs w:val="22"/>
              </w:rPr>
              <w:t>)</w:t>
            </w:r>
          </w:p>
        </w:tc>
        <w:tc>
          <w:tcPr>
            <w:tcW w:w="1311" w:type="pct"/>
            <w:tcBorders>
              <w:top w:val="single" w:sz="4" w:space="0" w:color="auto"/>
              <w:left w:val="single" w:sz="4" w:space="0" w:color="auto"/>
              <w:bottom w:val="single" w:sz="4" w:space="0" w:color="auto"/>
              <w:right w:val="single" w:sz="4" w:space="0" w:color="auto"/>
            </w:tcBorders>
          </w:tcPr>
          <w:p w14:paraId="7B2C4FE3" w14:textId="2F71D6D5" w:rsidR="001B4551" w:rsidRPr="005310CF" w:rsidRDefault="744587C0">
            <w:pPr>
              <w:spacing w:before="120" w:after="120" w:line="240" w:lineRule="auto"/>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5310CF">
              <w:rPr>
                <w:rFonts w:cstheme="minorHAnsi"/>
                <w:sz w:val="22"/>
                <w:szCs w:val="22"/>
              </w:rPr>
              <w:t>-</w:t>
            </w:r>
            <w:r w:rsidR="4443CC06" w:rsidRPr="005310CF">
              <w:rPr>
                <w:rFonts w:cstheme="minorHAnsi"/>
                <w:sz w:val="22"/>
                <w:szCs w:val="22"/>
              </w:rPr>
              <w:t>$</w:t>
            </w:r>
            <w:r w:rsidR="00FC2028" w:rsidRPr="005310CF">
              <w:rPr>
                <w:rFonts w:cstheme="minorHAnsi"/>
                <w:sz w:val="22"/>
                <w:szCs w:val="22"/>
              </w:rPr>
              <w:t>0.2</w:t>
            </w:r>
            <w:r w:rsidR="19FE9700" w:rsidRPr="005310CF">
              <w:rPr>
                <w:rFonts w:cstheme="minorHAnsi"/>
                <w:sz w:val="22"/>
                <w:szCs w:val="22"/>
              </w:rPr>
              <w:t>m</w:t>
            </w:r>
          </w:p>
        </w:tc>
      </w:tr>
    </w:tbl>
    <w:p w14:paraId="0625E752" w14:textId="77777777" w:rsidR="001E3C8F" w:rsidRPr="00603981" w:rsidRDefault="001E3C8F" w:rsidP="00AE4775">
      <w:pPr>
        <w:spacing w:after="0" w:line="240" w:lineRule="auto"/>
        <w:rPr>
          <w:rFonts w:cstheme="minorHAnsi"/>
          <w:u w:val="single"/>
        </w:rPr>
      </w:pPr>
    </w:p>
    <w:p w14:paraId="0748A032" w14:textId="3D4B87F0" w:rsidR="00B63012" w:rsidRDefault="000D2524" w:rsidP="008578E6">
      <w:pPr>
        <w:spacing w:after="160" w:line="259" w:lineRule="auto"/>
      </w:pPr>
      <w:r w:rsidRPr="00386145">
        <w:rPr>
          <w:rFonts w:cstheme="minorHAnsi"/>
        </w:rPr>
        <w:t xml:space="preserve">This cost estimate is at the upper </w:t>
      </w:r>
      <w:r w:rsidR="00BA5B03" w:rsidRPr="00386145">
        <w:rPr>
          <w:rFonts w:cstheme="minorHAnsi"/>
        </w:rPr>
        <w:t xml:space="preserve">limit </w:t>
      </w:r>
      <w:r w:rsidR="00BA5B03" w:rsidRPr="00940783">
        <w:t>o</w:t>
      </w:r>
      <w:r w:rsidR="00BA5B03">
        <w:t xml:space="preserve">f the </w:t>
      </w:r>
      <w:r w:rsidR="00A9240C">
        <w:t xml:space="preserve">estimated </w:t>
      </w:r>
      <w:r w:rsidR="00B1211B">
        <w:t>increase to costs</w:t>
      </w:r>
      <w:r w:rsidR="00BA5B03">
        <w:t xml:space="preserve"> </w:t>
      </w:r>
      <w:r w:rsidR="001A5603">
        <w:t xml:space="preserve">and </w:t>
      </w:r>
      <w:r w:rsidR="00BA5B03">
        <w:t xml:space="preserve">is informed by the assumption that </w:t>
      </w:r>
      <w:r w:rsidR="001A5603">
        <w:t>all</w:t>
      </w:r>
      <w:r w:rsidR="00BA5B03">
        <w:t xml:space="preserve"> in-scope</w:t>
      </w:r>
      <w:r w:rsidR="001A5603">
        <w:t xml:space="preserve"> labour hire </w:t>
      </w:r>
      <w:r w:rsidR="00A9240C">
        <w:t>employees</w:t>
      </w:r>
      <w:r w:rsidR="001A5603">
        <w:t xml:space="preserve"> will</w:t>
      </w:r>
      <w:r w:rsidR="00A9240C">
        <w:t xml:space="preserve"> be covered by a Fair Work Commission order and</w:t>
      </w:r>
      <w:r w:rsidR="001A5603">
        <w:t xml:space="preserve"> </w:t>
      </w:r>
      <w:r w:rsidR="00BB0E71">
        <w:t>receive a wage increase</w:t>
      </w:r>
      <w:r w:rsidR="00B63012">
        <w:t>, and by a consideration of:</w:t>
      </w:r>
    </w:p>
    <w:p w14:paraId="0394FFB3" w14:textId="537DD806" w:rsidR="00B63012" w:rsidRDefault="00B63012" w:rsidP="00B63012">
      <w:pPr>
        <w:pStyle w:val="ListParagraph"/>
        <w:numPr>
          <w:ilvl w:val="0"/>
          <w:numId w:val="6"/>
        </w:numPr>
        <w:spacing w:after="160" w:line="259" w:lineRule="auto"/>
        <w:contextualSpacing w:val="0"/>
        <w:rPr>
          <w:color w:val="000000"/>
          <w:shd w:val="clear" w:color="auto" w:fill="FFFFFF"/>
        </w:rPr>
      </w:pPr>
      <w:r>
        <w:rPr>
          <w:color w:val="000000"/>
          <w:shd w:val="clear" w:color="auto" w:fill="FFFFFF"/>
        </w:rPr>
        <w:t>how many businesses and individuals are expected to be impacted by the proposal; and</w:t>
      </w:r>
    </w:p>
    <w:p w14:paraId="19505B64" w14:textId="36AF6E3C" w:rsidR="00B63012" w:rsidRDefault="00B63012" w:rsidP="00B63012">
      <w:pPr>
        <w:pStyle w:val="ListParagraph"/>
        <w:numPr>
          <w:ilvl w:val="0"/>
          <w:numId w:val="6"/>
        </w:numPr>
        <w:spacing w:after="160" w:line="259" w:lineRule="auto"/>
        <w:contextualSpacing w:val="0"/>
        <w:rPr>
          <w:color w:val="000000"/>
          <w:shd w:val="clear" w:color="auto" w:fill="FFFFFF"/>
        </w:rPr>
      </w:pPr>
      <w:r>
        <w:rPr>
          <w:color w:val="000000"/>
          <w:shd w:val="clear" w:color="auto" w:fill="FFFFFF"/>
        </w:rPr>
        <w:t xml:space="preserve">for those groups, the estimated cost of engaging and complying with relevant obligations. </w:t>
      </w:r>
    </w:p>
    <w:p w14:paraId="067AAFFE" w14:textId="77777777" w:rsidR="00AE4775" w:rsidRPr="00603981" w:rsidRDefault="00AE4775" w:rsidP="000A26B5">
      <w:pPr>
        <w:keepNext/>
        <w:spacing w:after="160" w:line="259" w:lineRule="auto"/>
        <w:rPr>
          <w:rFonts w:cstheme="minorHAnsi"/>
          <w:u w:val="single"/>
        </w:rPr>
      </w:pPr>
      <w:r w:rsidRPr="00603981">
        <w:rPr>
          <w:rFonts w:cstheme="minorHAnsi"/>
          <w:u w:val="single"/>
        </w:rPr>
        <w:t>How many businesses and individuals are expected to be impacted by the proposal?</w:t>
      </w:r>
    </w:p>
    <w:p w14:paraId="0BBD97A5" w14:textId="37606036" w:rsidR="00A97A33" w:rsidRPr="00D0307B" w:rsidRDefault="00A97A33" w:rsidP="00D0307B">
      <w:pPr>
        <w:spacing w:after="160" w:line="259" w:lineRule="auto"/>
        <w:rPr>
          <w:rFonts w:cstheme="minorHAnsi"/>
        </w:rPr>
      </w:pPr>
      <w:r w:rsidRPr="00D0307B">
        <w:rPr>
          <w:rFonts w:cstheme="minorHAnsi"/>
        </w:rPr>
        <w:t xml:space="preserve">The following </w:t>
      </w:r>
      <w:r w:rsidR="006F2A49" w:rsidRPr="00D0307B">
        <w:rPr>
          <w:rFonts w:cstheme="minorHAnsi"/>
        </w:rPr>
        <w:t xml:space="preserve">section </w:t>
      </w:r>
      <w:r w:rsidR="00104D7E" w:rsidRPr="00D0307B">
        <w:rPr>
          <w:rFonts w:cstheme="minorHAnsi"/>
        </w:rPr>
        <w:t>provides an overview of</w:t>
      </w:r>
      <w:r w:rsidR="006F2A49" w:rsidRPr="00D0307B">
        <w:rPr>
          <w:rFonts w:cstheme="minorHAnsi"/>
        </w:rPr>
        <w:t xml:space="preserve"> how many businesses and individuals </w:t>
      </w:r>
      <w:r w:rsidR="006C3ABA">
        <w:rPr>
          <w:rFonts w:cstheme="minorHAnsi"/>
        </w:rPr>
        <w:t>may</w:t>
      </w:r>
      <w:r w:rsidR="006F2A49" w:rsidRPr="00D0307B">
        <w:rPr>
          <w:rFonts w:cstheme="minorHAnsi"/>
        </w:rPr>
        <w:t xml:space="preserve"> be </w:t>
      </w:r>
      <w:r w:rsidR="006C3ABA">
        <w:rPr>
          <w:rFonts w:cstheme="minorHAnsi"/>
        </w:rPr>
        <w:t>captured by this proposal</w:t>
      </w:r>
      <w:r w:rsidR="00104D7E" w:rsidRPr="00D0307B">
        <w:rPr>
          <w:rFonts w:cstheme="minorHAnsi"/>
        </w:rPr>
        <w:t xml:space="preserve">. However, </w:t>
      </w:r>
      <w:r w:rsidR="006C3ABA">
        <w:rPr>
          <w:rFonts w:cstheme="minorHAnsi"/>
        </w:rPr>
        <w:t>because</w:t>
      </w:r>
      <w:r w:rsidR="00104D7E" w:rsidRPr="00D0307B">
        <w:rPr>
          <w:rFonts w:cstheme="minorHAnsi"/>
        </w:rPr>
        <w:t xml:space="preserve"> the </w:t>
      </w:r>
      <w:r w:rsidR="004F5B3A">
        <w:rPr>
          <w:rFonts w:cstheme="minorHAnsi"/>
        </w:rPr>
        <w:t>proposal</w:t>
      </w:r>
      <w:r w:rsidR="00104D7E" w:rsidRPr="00D0307B">
        <w:rPr>
          <w:rFonts w:cstheme="minorHAnsi"/>
        </w:rPr>
        <w:t xml:space="preserve"> relies on parties </w:t>
      </w:r>
      <w:r w:rsidR="004F5B3A">
        <w:rPr>
          <w:rFonts w:cstheme="minorHAnsi"/>
        </w:rPr>
        <w:t>applying</w:t>
      </w:r>
      <w:r w:rsidR="00104D7E" w:rsidRPr="00D0307B">
        <w:rPr>
          <w:rFonts w:cstheme="minorHAnsi"/>
        </w:rPr>
        <w:t xml:space="preserve"> to the Fair</w:t>
      </w:r>
      <w:r w:rsidR="004F5B3A">
        <w:rPr>
          <w:rFonts w:cstheme="minorHAnsi"/>
        </w:rPr>
        <w:t> </w:t>
      </w:r>
      <w:r w:rsidR="00104D7E" w:rsidRPr="00D0307B">
        <w:rPr>
          <w:rFonts w:cstheme="minorHAnsi"/>
        </w:rPr>
        <w:t>Work Commission</w:t>
      </w:r>
      <w:r w:rsidR="004F5B3A">
        <w:rPr>
          <w:rFonts w:cstheme="minorHAnsi"/>
        </w:rPr>
        <w:t xml:space="preserve"> and an order being made, </w:t>
      </w:r>
      <w:r w:rsidR="00104D7E" w:rsidRPr="00D0307B">
        <w:rPr>
          <w:rFonts w:cstheme="minorHAnsi"/>
        </w:rPr>
        <w:t xml:space="preserve">only a </w:t>
      </w:r>
      <w:r w:rsidR="004F5B3A">
        <w:rPr>
          <w:rFonts w:cstheme="minorHAnsi"/>
        </w:rPr>
        <w:t>limited number</w:t>
      </w:r>
      <w:r w:rsidR="00104D7E" w:rsidRPr="00D0307B">
        <w:rPr>
          <w:rFonts w:cstheme="minorHAnsi"/>
        </w:rPr>
        <w:t xml:space="preserve"> of </w:t>
      </w:r>
      <w:r w:rsidR="004F5B3A">
        <w:rPr>
          <w:rFonts w:cstheme="minorHAnsi"/>
        </w:rPr>
        <w:t>those</w:t>
      </w:r>
      <w:r w:rsidR="00104D7E" w:rsidRPr="00D0307B">
        <w:rPr>
          <w:rFonts w:cstheme="minorHAnsi"/>
        </w:rPr>
        <w:t xml:space="preserve"> employers and employees </w:t>
      </w:r>
      <w:r w:rsidR="004F5B3A">
        <w:rPr>
          <w:rFonts w:cstheme="minorHAnsi"/>
          <w:i/>
          <w:iCs/>
        </w:rPr>
        <w:t xml:space="preserve">potentially </w:t>
      </w:r>
      <w:r w:rsidR="004F5B3A">
        <w:rPr>
          <w:rFonts w:cstheme="minorHAnsi"/>
        </w:rPr>
        <w:t xml:space="preserve">within scope will </w:t>
      </w:r>
      <w:r w:rsidR="004F5B3A">
        <w:rPr>
          <w:rFonts w:cstheme="minorHAnsi"/>
          <w:i/>
          <w:iCs/>
        </w:rPr>
        <w:t xml:space="preserve">actually </w:t>
      </w:r>
      <w:r w:rsidR="004F5B3A">
        <w:rPr>
          <w:rFonts w:cstheme="minorHAnsi"/>
        </w:rPr>
        <w:t>be caught by this proposal’s obligations and entitlements</w:t>
      </w:r>
      <w:r w:rsidR="00104D7E" w:rsidRPr="00D0307B">
        <w:rPr>
          <w:rFonts w:cstheme="minorHAnsi"/>
        </w:rPr>
        <w:t>.</w:t>
      </w:r>
    </w:p>
    <w:p w14:paraId="2BBE5D92" w14:textId="0757CF5D" w:rsidR="00AE4775" w:rsidRPr="00603981" w:rsidRDefault="00AE4775" w:rsidP="000A26B5">
      <w:pPr>
        <w:keepNext/>
        <w:spacing w:after="160" w:line="259" w:lineRule="auto"/>
        <w:rPr>
          <w:rStyle w:val="cf11"/>
          <w:rFonts w:asciiTheme="minorHAnsi" w:hAnsiTheme="minorHAnsi" w:cstheme="minorHAnsi"/>
          <w:i/>
          <w:iCs/>
          <w:sz w:val="22"/>
          <w:szCs w:val="22"/>
        </w:rPr>
      </w:pPr>
      <w:r w:rsidRPr="00603981">
        <w:rPr>
          <w:rStyle w:val="cf11"/>
          <w:rFonts w:asciiTheme="minorHAnsi" w:hAnsiTheme="minorHAnsi" w:cstheme="minorHAnsi"/>
          <w:i/>
          <w:iCs/>
          <w:sz w:val="22"/>
          <w:szCs w:val="22"/>
        </w:rPr>
        <w:t>Host</w:t>
      </w:r>
      <w:r w:rsidR="00CF4C5A">
        <w:rPr>
          <w:rStyle w:val="cf11"/>
          <w:rFonts w:asciiTheme="minorHAnsi" w:hAnsiTheme="minorHAnsi" w:cstheme="minorHAnsi"/>
          <w:i/>
          <w:iCs/>
          <w:sz w:val="22"/>
          <w:szCs w:val="22"/>
        </w:rPr>
        <w:t>s</w:t>
      </w:r>
    </w:p>
    <w:p w14:paraId="0D0495EA" w14:textId="599DF535" w:rsidR="005F295B" w:rsidRDefault="005F295B" w:rsidP="008578E6">
      <w:pPr>
        <w:spacing w:after="160" w:line="259" w:lineRule="auto"/>
        <w:rPr>
          <w:rFonts w:cstheme="minorHAnsi"/>
        </w:rPr>
      </w:pPr>
      <w:r>
        <w:rPr>
          <w:rFonts w:cstheme="minorHAnsi"/>
        </w:rPr>
        <w:t>I</w:t>
      </w:r>
      <w:r w:rsidR="00AE4775" w:rsidRPr="00603981">
        <w:rPr>
          <w:rFonts w:cstheme="minorHAnsi"/>
        </w:rPr>
        <w:t>t is unclear how many host</w:t>
      </w:r>
      <w:r>
        <w:rPr>
          <w:rFonts w:cstheme="minorHAnsi"/>
        </w:rPr>
        <w:t>s</w:t>
      </w:r>
      <w:r w:rsidR="00AE4775" w:rsidRPr="00603981">
        <w:rPr>
          <w:rFonts w:cstheme="minorHAnsi"/>
        </w:rPr>
        <w:t xml:space="preserve"> may be impacted by the proposal</w:t>
      </w:r>
      <w:r>
        <w:rPr>
          <w:rFonts w:cstheme="minorHAnsi"/>
        </w:rPr>
        <w:t>, because t</w:t>
      </w:r>
      <w:r w:rsidR="00AE4775" w:rsidRPr="00603981">
        <w:rPr>
          <w:rFonts w:cstheme="minorHAnsi"/>
        </w:rPr>
        <w:t>here is no reliable data on how many businesses use</w:t>
      </w:r>
      <w:r w:rsidR="00B02792" w:rsidRPr="00603981">
        <w:rPr>
          <w:rFonts w:cstheme="minorHAnsi"/>
        </w:rPr>
        <w:t xml:space="preserve"> internal or external</w:t>
      </w:r>
      <w:r w:rsidR="00AE4775" w:rsidRPr="00603981">
        <w:rPr>
          <w:rFonts w:cstheme="minorHAnsi"/>
        </w:rPr>
        <w:t xml:space="preserve"> labour hire.</w:t>
      </w:r>
      <w:r w:rsidR="00B02792" w:rsidRPr="00603981">
        <w:rPr>
          <w:rFonts w:cstheme="minorHAnsi"/>
        </w:rPr>
        <w:t xml:space="preserve"> </w:t>
      </w:r>
    </w:p>
    <w:p w14:paraId="110B6FCE" w14:textId="725486CD" w:rsidR="00AE4775" w:rsidRPr="00603981" w:rsidRDefault="00AE4775" w:rsidP="008578E6">
      <w:pPr>
        <w:spacing w:after="160" w:line="259" w:lineRule="auto"/>
        <w:rPr>
          <w:rStyle w:val="cf11"/>
          <w:rFonts w:asciiTheme="minorHAnsi" w:hAnsiTheme="minorHAnsi" w:cstheme="minorHAnsi"/>
          <w:sz w:val="22"/>
          <w:szCs w:val="22"/>
        </w:rPr>
      </w:pPr>
      <w:r w:rsidRPr="00603981">
        <w:rPr>
          <w:rFonts w:cstheme="minorHAnsi"/>
        </w:rPr>
        <w:t>In the absence of, for example,</w:t>
      </w:r>
      <w:r w:rsidRPr="00603981" w:rsidDel="00F33AE9">
        <w:rPr>
          <w:rFonts w:cstheme="minorHAnsi"/>
        </w:rPr>
        <w:t xml:space="preserve"> </w:t>
      </w:r>
      <w:r w:rsidRPr="00603981">
        <w:rPr>
          <w:rFonts w:cstheme="minorHAnsi"/>
        </w:rPr>
        <w:t xml:space="preserve">ABS data on the prevalence of labour hire use, the department has considered whether information published by companies </w:t>
      </w:r>
      <w:r w:rsidR="000B7313">
        <w:rPr>
          <w:rFonts w:cstheme="minorHAnsi"/>
        </w:rPr>
        <w:t xml:space="preserve">that are </w:t>
      </w:r>
      <w:r w:rsidRPr="00603981">
        <w:rPr>
          <w:rFonts w:cstheme="minorHAnsi"/>
        </w:rPr>
        <w:t xml:space="preserve">required to report </w:t>
      </w:r>
      <w:r w:rsidR="000B7313" w:rsidRPr="00603981">
        <w:rPr>
          <w:rFonts w:cstheme="minorHAnsi"/>
        </w:rPr>
        <w:t xml:space="preserve">publicly </w:t>
      </w:r>
      <w:r w:rsidRPr="00603981">
        <w:rPr>
          <w:rFonts w:cstheme="minorHAnsi"/>
        </w:rPr>
        <w:t xml:space="preserve">on their operations </w:t>
      </w:r>
      <w:r w:rsidR="000B7313" w:rsidRPr="00603981">
        <w:rPr>
          <w:rFonts w:cstheme="minorHAnsi"/>
        </w:rPr>
        <w:t>(for example, information published by ASX100 companies in annual reports)</w:t>
      </w:r>
      <w:r w:rsidR="000B7313">
        <w:rPr>
          <w:rFonts w:cstheme="minorHAnsi"/>
        </w:rPr>
        <w:t xml:space="preserve"> </w:t>
      </w:r>
      <w:r w:rsidRPr="00603981">
        <w:rPr>
          <w:rFonts w:cstheme="minorHAnsi"/>
        </w:rPr>
        <w:t xml:space="preserve">may </w:t>
      </w:r>
      <w:r w:rsidR="000B7313">
        <w:rPr>
          <w:rFonts w:cstheme="minorHAnsi"/>
        </w:rPr>
        <w:t>help discern</w:t>
      </w:r>
      <w:r w:rsidRPr="00603981">
        <w:rPr>
          <w:rFonts w:cstheme="minorHAnsi"/>
        </w:rPr>
        <w:t xml:space="preserve"> the impact of Option 1. However, it has been observed that few companies disclose whether they use labour hire, and if they do disclose this information, they do not generally report on the size of their labour hire workforce.</w:t>
      </w:r>
      <w:r w:rsidRPr="00603981">
        <w:rPr>
          <w:rStyle w:val="FootnoteReference"/>
          <w:rFonts w:cstheme="minorHAnsi"/>
        </w:rPr>
        <w:footnoteReference w:id="48"/>
      </w:r>
      <w:r w:rsidR="000F2B02" w:rsidRPr="00603981">
        <w:rPr>
          <w:rFonts w:cstheme="minorHAnsi"/>
        </w:rPr>
        <w:t xml:space="preserve"> </w:t>
      </w:r>
      <w:r w:rsidRPr="00603981">
        <w:rPr>
          <w:rFonts w:cstheme="minorHAnsi"/>
        </w:rPr>
        <w:t xml:space="preserve">The lack of reliable data on how many </w:t>
      </w:r>
      <w:r w:rsidR="00543B6D">
        <w:rPr>
          <w:rFonts w:cstheme="minorHAnsi"/>
        </w:rPr>
        <w:t>businesses</w:t>
      </w:r>
      <w:r w:rsidRPr="00603981">
        <w:rPr>
          <w:rFonts w:cstheme="minorHAnsi"/>
        </w:rPr>
        <w:t xml:space="preserve"> use labour hire makes it difficult to estimate how </w:t>
      </w:r>
      <w:r w:rsidRPr="00603981">
        <w:rPr>
          <w:rStyle w:val="cf11"/>
          <w:rFonts w:asciiTheme="minorHAnsi" w:hAnsiTheme="minorHAnsi" w:cstheme="minorHAnsi"/>
          <w:sz w:val="22"/>
          <w:szCs w:val="22"/>
        </w:rPr>
        <w:t>many businesses will be affected by Option 1.</w:t>
      </w:r>
    </w:p>
    <w:p w14:paraId="7ECCF006" w14:textId="2FC4531F" w:rsidR="00AE4775" w:rsidRPr="00603981" w:rsidRDefault="00AE4775" w:rsidP="00157D99">
      <w:pPr>
        <w:spacing w:after="160" w:line="259" w:lineRule="auto"/>
        <w:rPr>
          <w:rStyle w:val="cf11"/>
          <w:rFonts w:asciiTheme="minorHAnsi" w:hAnsiTheme="minorHAnsi" w:cstheme="minorHAnsi"/>
          <w:i/>
          <w:iCs/>
          <w:sz w:val="22"/>
          <w:szCs w:val="22"/>
        </w:rPr>
      </w:pPr>
      <w:r w:rsidRPr="00603981">
        <w:rPr>
          <w:rStyle w:val="cf11"/>
          <w:rFonts w:asciiTheme="minorHAnsi" w:hAnsiTheme="minorHAnsi" w:cstheme="minorHAnsi"/>
          <w:i/>
          <w:iCs/>
          <w:sz w:val="22"/>
          <w:szCs w:val="22"/>
        </w:rPr>
        <w:lastRenderedPageBreak/>
        <w:t xml:space="preserve">Labour hire </w:t>
      </w:r>
      <w:r w:rsidR="00543B6D">
        <w:rPr>
          <w:rStyle w:val="cf11"/>
          <w:rFonts w:asciiTheme="minorHAnsi" w:hAnsiTheme="minorHAnsi" w:cstheme="minorHAnsi"/>
          <w:i/>
          <w:iCs/>
          <w:sz w:val="22"/>
          <w:szCs w:val="22"/>
        </w:rPr>
        <w:t>employers</w:t>
      </w:r>
    </w:p>
    <w:p w14:paraId="124C3C36" w14:textId="17C401C4" w:rsidR="006C67D4" w:rsidRDefault="00AE4775" w:rsidP="008578E6">
      <w:pPr>
        <w:spacing w:after="160" w:line="259" w:lineRule="auto"/>
        <w:rPr>
          <w:rFonts w:cstheme="minorHAnsi"/>
        </w:rPr>
      </w:pPr>
      <w:r w:rsidRPr="00603981">
        <w:rPr>
          <w:rFonts w:cstheme="minorHAnsi"/>
        </w:rPr>
        <w:t>Host</w:t>
      </w:r>
      <w:r w:rsidR="00543B6D">
        <w:rPr>
          <w:rFonts w:cstheme="minorHAnsi"/>
        </w:rPr>
        <w:t>s</w:t>
      </w:r>
      <w:r w:rsidRPr="00603981">
        <w:rPr>
          <w:rFonts w:cstheme="minorHAnsi"/>
        </w:rPr>
        <w:t xml:space="preserve"> use a variety of third-party labour arrangements</w:t>
      </w:r>
      <w:r w:rsidR="00543B6D">
        <w:rPr>
          <w:rFonts w:cstheme="minorHAnsi"/>
        </w:rPr>
        <w:t xml:space="preserve">, including </w:t>
      </w:r>
      <w:r w:rsidRPr="00603981">
        <w:rPr>
          <w:rFonts w:cstheme="minorHAnsi"/>
        </w:rPr>
        <w:t xml:space="preserve">to supplement their workforce. This proposal will affect labour hire </w:t>
      </w:r>
      <w:r w:rsidR="00543B6D">
        <w:rPr>
          <w:rFonts w:cstheme="minorHAnsi"/>
        </w:rPr>
        <w:t>employers</w:t>
      </w:r>
      <w:r w:rsidR="00543B6D" w:rsidRPr="00603981">
        <w:rPr>
          <w:rFonts w:cstheme="minorHAnsi"/>
        </w:rPr>
        <w:t xml:space="preserve"> </w:t>
      </w:r>
      <w:r w:rsidRPr="00603981">
        <w:rPr>
          <w:rFonts w:cstheme="minorHAnsi"/>
        </w:rPr>
        <w:t xml:space="preserve">that provide </w:t>
      </w:r>
      <w:r w:rsidR="00543B6D">
        <w:rPr>
          <w:rFonts w:cstheme="minorHAnsi"/>
        </w:rPr>
        <w:t>employees</w:t>
      </w:r>
      <w:r w:rsidRPr="00603981">
        <w:rPr>
          <w:rFonts w:cstheme="minorHAnsi"/>
        </w:rPr>
        <w:t xml:space="preserve"> to </w:t>
      </w:r>
      <w:r w:rsidR="00543B6D">
        <w:rPr>
          <w:rFonts w:cstheme="minorHAnsi"/>
        </w:rPr>
        <w:t xml:space="preserve">work for </w:t>
      </w:r>
      <w:r w:rsidRPr="00603981">
        <w:rPr>
          <w:rFonts w:cstheme="minorHAnsi"/>
        </w:rPr>
        <w:t xml:space="preserve">a host (directly or indirectly), including within the same corporate group. </w:t>
      </w:r>
      <w:r w:rsidR="006C67D4">
        <w:rPr>
          <w:rFonts w:cstheme="minorHAnsi"/>
        </w:rPr>
        <w:t xml:space="preserve">The proposal is </w:t>
      </w:r>
      <w:r w:rsidR="006C67D4" w:rsidRPr="00D0307B">
        <w:rPr>
          <w:rFonts w:cstheme="minorHAnsi"/>
          <w:u w:val="single"/>
        </w:rPr>
        <w:t>not</w:t>
      </w:r>
      <w:r w:rsidR="006C67D4">
        <w:rPr>
          <w:rFonts w:cstheme="minorHAnsi"/>
        </w:rPr>
        <w:t xml:space="preserve"> intended to capture arrangements where one company provides a service to another company that is distinct from the supply of labour only – the factors that may be considered by the Fair Work Commission before deciding whether to make an order reflect this </w:t>
      </w:r>
      <w:r w:rsidR="00E34C05">
        <w:rPr>
          <w:rFonts w:cstheme="minorHAnsi"/>
        </w:rPr>
        <w:t xml:space="preserve">proposal </w:t>
      </w:r>
      <w:r w:rsidR="006C67D4">
        <w:rPr>
          <w:rFonts w:cstheme="minorHAnsi"/>
        </w:rPr>
        <w:t xml:space="preserve">intent, </w:t>
      </w:r>
      <w:r w:rsidR="00A547F6">
        <w:rPr>
          <w:rFonts w:cstheme="minorHAnsi"/>
        </w:rPr>
        <w:t>while giving the Commission t</w:t>
      </w:r>
      <w:r w:rsidR="00DA1442">
        <w:rPr>
          <w:rFonts w:cstheme="minorHAnsi"/>
        </w:rPr>
        <w:t>he</w:t>
      </w:r>
      <w:r w:rsidR="00A547F6">
        <w:rPr>
          <w:rFonts w:cstheme="minorHAnsi"/>
        </w:rPr>
        <w:t xml:space="preserve"> opportunity to scrutinise circumstances to determine the nature of </w:t>
      </w:r>
      <w:r w:rsidR="00E34C05">
        <w:rPr>
          <w:rFonts w:cstheme="minorHAnsi"/>
        </w:rPr>
        <w:t>an</w:t>
      </w:r>
      <w:r w:rsidR="00A547F6">
        <w:rPr>
          <w:rFonts w:cstheme="minorHAnsi"/>
        </w:rPr>
        <w:t xml:space="preserve"> arrangement between parties</w:t>
      </w:r>
      <w:r w:rsidR="00FC1C36">
        <w:rPr>
          <w:rFonts w:cstheme="minorHAnsi"/>
        </w:rPr>
        <w:t>.</w:t>
      </w:r>
    </w:p>
    <w:p w14:paraId="52E26712" w14:textId="2EB06BF7" w:rsidR="00134F7C" w:rsidRPr="00603981" w:rsidRDefault="00FC1C36" w:rsidP="00C96419">
      <w:pPr>
        <w:spacing w:after="160" w:line="259" w:lineRule="auto"/>
        <w:rPr>
          <w:rFonts w:cstheme="minorHAnsi"/>
        </w:rPr>
      </w:pPr>
      <w:r>
        <w:rPr>
          <w:rFonts w:cstheme="minorHAnsi"/>
        </w:rPr>
        <w:t xml:space="preserve">Assuming </w:t>
      </w:r>
      <w:r w:rsidR="00E92BBA">
        <w:rPr>
          <w:rFonts w:cstheme="minorHAnsi"/>
        </w:rPr>
        <w:t>companies that provide services</w:t>
      </w:r>
      <w:r w:rsidR="00FB5C15">
        <w:rPr>
          <w:rFonts w:cstheme="minorHAnsi"/>
        </w:rPr>
        <w:t xml:space="preserve">, rather than labour, </w:t>
      </w:r>
      <w:r w:rsidR="00E92BBA">
        <w:rPr>
          <w:rFonts w:cstheme="minorHAnsi"/>
        </w:rPr>
        <w:t>to other</w:t>
      </w:r>
      <w:r w:rsidR="00FB5C15">
        <w:rPr>
          <w:rFonts w:cstheme="minorHAnsi"/>
        </w:rPr>
        <w:t>s</w:t>
      </w:r>
      <w:r w:rsidR="00E92BBA">
        <w:rPr>
          <w:rFonts w:cstheme="minorHAnsi"/>
        </w:rPr>
        <w:t xml:space="preserve"> (for example, under service contracting arrangements) </w:t>
      </w:r>
      <w:r w:rsidR="003A05CB">
        <w:rPr>
          <w:rFonts w:cstheme="minorHAnsi"/>
        </w:rPr>
        <w:t>can</w:t>
      </w:r>
      <w:r w:rsidR="00E92BBA">
        <w:rPr>
          <w:rFonts w:cstheme="minorHAnsi"/>
        </w:rPr>
        <w:t xml:space="preserve"> demonstrate to the Fair Work Commission the nature of their arrangements such that an order is not made, the number of </w:t>
      </w:r>
      <w:r w:rsidR="00C96419">
        <w:rPr>
          <w:rFonts w:cstheme="minorHAnsi"/>
        </w:rPr>
        <w:t xml:space="preserve">providers expected </w:t>
      </w:r>
      <w:r w:rsidR="00AE4775" w:rsidRPr="00603981">
        <w:rPr>
          <w:rFonts w:cstheme="minorHAnsi"/>
        </w:rPr>
        <w:t xml:space="preserve">to be </w:t>
      </w:r>
      <w:r w:rsidR="00FB5C15">
        <w:rPr>
          <w:rFonts w:cstheme="minorHAnsi"/>
        </w:rPr>
        <w:t>covered</w:t>
      </w:r>
      <w:r w:rsidR="00FB5C15" w:rsidRPr="00603981">
        <w:rPr>
          <w:rFonts w:cstheme="minorHAnsi"/>
        </w:rPr>
        <w:t xml:space="preserve"> </w:t>
      </w:r>
      <w:r w:rsidR="00AE4775" w:rsidRPr="00603981">
        <w:rPr>
          <w:rFonts w:cstheme="minorHAnsi"/>
        </w:rPr>
        <w:t>by th</w:t>
      </w:r>
      <w:r w:rsidR="00FB5C15">
        <w:rPr>
          <w:rFonts w:cstheme="minorHAnsi"/>
        </w:rPr>
        <w:t>is</w:t>
      </w:r>
      <w:r w:rsidR="00AE4775" w:rsidRPr="00603981">
        <w:rPr>
          <w:rFonts w:cstheme="minorHAnsi"/>
        </w:rPr>
        <w:t xml:space="preserve"> proposal can be estimated </w:t>
      </w:r>
      <w:r w:rsidR="00C96419">
        <w:rPr>
          <w:rFonts w:cstheme="minorHAnsi"/>
        </w:rPr>
        <w:t>with reference to</w:t>
      </w:r>
      <w:r w:rsidR="00C96419" w:rsidRPr="00603981">
        <w:rPr>
          <w:rFonts w:cstheme="minorHAnsi"/>
        </w:rPr>
        <w:t xml:space="preserve"> </w:t>
      </w:r>
      <w:r w:rsidR="00AE4775" w:rsidRPr="00603981">
        <w:rPr>
          <w:rFonts w:cstheme="minorHAnsi"/>
        </w:rPr>
        <w:t xml:space="preserve">the number of labour hire providers in Australia. </w:t>
      </w:r>
    </w:p>
    <w:p w14:paraId="6906E5CC" w14:textId="0CB6C299" w:rsidR="00FF5F83" w:rsidRDefault="00AE4775" w:rsidP="00783630">
      <w:pPr>
        <w:spacing w:after="160" w:line="259" w:lineRule="auto"/>
        <w:rPr>
          <w:rFonts w:cstheme="minorHAnsi"/>
        </w:rPr>
      </w:pPr>
      <w:r w:rsidRPr="00603981">
        <w:rPr>
          <w:rFonts w:cstheme="minorHAnsi"/>
        </w:rPr>
        <w:t>The only reliable data on labour hire providers available is ABS data show</w:t>
      </w:r>
      <w:r w:rsidR="00FF5F83">
        <w:rPr>
          <w:rFonts w:cstheme="minorHAnsi"/>
        </w:rPr>
        <w:t>ing</w:t>
      </w:r>
      <w:r w:rsidRPr="00603981">
        <w:rPr>
          <w:rFonts w:cstheme="minorHAnsi"/>
        </w:rPr>
        <w:t xml:space="preserve"> that as of </w:t>
      </w:r>
      <w:r w:rsidR="00CD4788" w:rsidRPr="00603981">
        <w:rPr>
          <w:rFonts w:cstheme="minorHAnsi"/>
        </w:rPr>
        <w:br/>
      </w:r>
      <w:r w:rsidRPr="00603981">
        <w:rPr>
          <w:rFonts w:cstheme="minorHAnsi"/>
        </w:rPr>
        <w:t>30 June 2022, there were 13,195 actively trading labour hire providers in Australia.</w:t>
      </w:r>
      <w:r w:rsidRPr="00603981">
        <w:rPr>
          <w:rStyle w:val="FootnoteReference"/>
          <w:rFonts w:cstheme="minorHAnsi"/>
        </w:rPr>
        <w:footnoteReference w:id="49"/>
      </w:r>
      <w:r w:rsidRPr="00603981">
        <w:rPr>
          <w:rFonts w:cstheme="minorHAnsi"/>
        </w:rPr>
        <w:t xml:space="preserve"> </w:t>
      </w:r>
      <w:r w:rsidR="001D32DE" w:rsidRPr="00603981">
        <w:rPr>
          <w:rFonts w:cstheme="minorHAnsi"/>
        </w:rPr>
        <w:t xml:space="preserve">However, </w:t>
      </w:r>
      <w:r w:rsidR="00A0335C" w:rsidRPr="00603981">
        <w:rPr>
          <w:rFonts w:cstheme="minorHAnsi"/>
        </w:rPr>
        <w:t xml:space="preserve">there were only </w:t>
      </w:r>
      <w:r w:rsidR="003A15ED" w:rsidRPr="00603981">
        <w:rPr>
          <w:rFonts w:cstheme="minorHAnsi"/>
        </w:rPr>
        <w:t xml:space="preserve">6,245 </w:t>
      </w:r>
      <w:r w:rsidR="003A15ED" w:rsidRPr="00D0307B">
        <w:rPr>
          <w:rFonts w:cstheme="minorHAnsi"/>
          <w:i/>
          <w:iCs/>
        </w:rPr>
        <w:t>employing</w:t>
      </w:r>
      <w:r w:rsidR="003A15ED" w:rsidRPr="00603981">
        <w:rPr>
          <w:rFonts w:cstheme="minorHAnsi"/>
        </w:rPr>
        <w:t xml:space="preserve"> businesses in Labour Supply Services</w:t>
      </w:r>
      <w:r w:rsidR="00954CDE" w:rsidRPr="00603981">
        <w:rPr>
          <w:rFonts w:cstheme="minorHAnsi"/>
        </w:rPr>
        <w:t>,</w:t>
      </w:r>
      <w:r w:rsidR="0004376F" w:rsidRPr="00603981">
        <w:rPr>
          <w:rStyle w:val="FootnoteReference"/>
          <w:rFonts w:cstheme="minorHAnsi"/>
        </w:rPr>
        <w:footnoteReference w:id="50"/>
      </w:r>
      <w:r w:rsidR="003A15ED" w:rsidRPr="00603981">
        <w:rPr>
          <w:rFonts w:cstheme="minorHAnsi"/>
        </w:rPr>
        <w:t xml:space="preserve"> </w:t>
      </w:r>
      <w:r w:rsidR="00A1434C" w:rsidRPr="00603981">
        <w:rPr>
          <w:rFonts w:cstheme="minorHAnsi"/>
        </w:rPr>
        <w:t xml:space="preserve">and only these businesses would be able to provide </w:t>
      </w:r>
      <w:r w:rsidR="0004376F" w:rsidRPr="00603981">
        <w:rPr>
          <w:rFonts w:cstheme="minorHAnsi"/>
        </w:rPr>
        <w:t>labour hire to host</w:t>
      </w:r>
      <w:r w:rsidR="00FF5F83">
        <w:rPr>
          <w:rFonts w:cstheme="minorHAnsi"/>
        </w:rPr>
        <w:t>s</w:t>
      </w:r>
      <w:r w:rsidR="0004376F" w:rsidRPr="00603981">
        <w:rPr>
          <w:rFonts w:cstheme="minorHAnsi"/>
        </w:rPr>
        <w:t xml:space="preserve"> </w:t>
      </w:r>
      <w:r w:rsidR="00954CDE" w:rsidRPr="00603981">
        <w:rPr>
          <w:rFonts w:cstheme="minorHAnsi"/>
        </w:rPr>
        <w:t>for the purposes of the Government’s proposal</w:t>
      </w:r>
      <w:r w:rsidR="00FF5F83">
        <w:rPr>
          <w:rFonts w:cstheme="minorHAnsi"/>
        </w:rPr>
        <w:t xml:space="preserve"> – because the proposal is limited to labour hire </w:t>
      </w:r>
      <w:r w:rsidR="00FF5F83">
        <w:rPr>
          <w:rFonts w:cstheme="minorHAnsi"/>
          <w:i/>
          <w:iCs/>
        </w:rPr>
        <w:t>employers</w:t>
      </w:r>
      <w:r w:rsidR="00FF5F83">
        <w:rPr>
          <w:rFonts w:cstheme="minorHAnsi"/>
        </w:rPr>
        <w:t xml:space="preserve"> who provide </w:t>
      </w:r>
      <w:r w:rsidR="00FF5F83">
        <w:rPr>
          <w:rFonts w:cstheme="minorHAnsi"/>
          <w:i/>
          <w:iCs/>
        </w:rPr>
        <w:t>employees</w:t>
      </w:r>
      <w:r w:rsidR="00FF5F83">
        <w:rPr>
          <w:rFonts w:cstheme="minorHAnsi"/>
        </w:rPr>
        <w:t xml:space="preserve"> to hosts</w:t>
      </w:r>
      <w:r w:rsidR="0004376F" w:rsidRPr="00603981">
        <w:rPr>
          <w:rFonts w:cstheme="minorHAnsi"/>
        </w:rPr>
        <w:t>.</w:t>
      </w:r>
    </w:p>
    <w:p w14:paraId="21229BB0" w14:textId="37306916" w:rsidR="00AE4775" w:rsidRPr="00603981" w:rsidRDefault="00B77787" w:rsidP="00783630">
      <w:pPr>
        <w:spacing w:after="160" w:line="259" w:lineRule="auto"/>
        <w:rPr>
          <w:rFonts w:ascii="Calibri" w:eastAsia="Calibri" w:hAnsi="Calibri" w:cs="Calibri"/>
        </w:rPr>
      </w:pPr>
      <w:r>
        <w:t>For completeness</w:t>
      </w:r>
      <w:r w:rsidR="00AE4775" w:rsidRPr="00603981">
        <w:t xml:space="preserve">, this figure does </w:t>
      </w:r>
      <w:r w:rsidR="00AE4775" w:rsidRPr="00D0307B">
        <w:t>not</w:t>
      </w:r>
      <w:r w:rsidR="00AE4775" w:rsidRPr="00603981">
        <w:t xml:space="preserve"> include </w:t>
      </w:r>
      <w:r w:rsidR="00AE4775" w:rsidRPr="00D0307B">
        <w:rPr>
          <w:i/>
          <w:iCs/>
        </w:rPr>
        <w:t>internal</w:t>
      </w:r>
      <w:r w:rsidR="00AE4775" w:rsidRPr="00603981">
        <w:t xml:space="preserve"> labour hire arrangements (those where entities within the same corporate group provide labour from one to another)</w:t>
      </w:r>
      <w:r w:rsidR="003C462B" w:rsidRPr="00603981">
        <w:t>,</w:t>
      </w:r>
      <w:r w:rsidR="00AE4775" w:rsidRPr="00603981">
        <w:t xml:space="preserve"> which </w:t>
      </w:r>
      <w:r w:rsidR="00FD3C65" w:rsidRPr="00603981">
        <w:t>will also</w:t>
      </w:r>
      <w:r w:rsidR="00AE4775" w:rsidRPr="00603981">
        <w:t xml:space="preserve"> be covered by </w:t>
      </w:r>
      <w:r w:rsidR="00C2620C" w:rsidRPr="00603981">
        <w:t xml:space="preserve">the </w:t>
      </w:r>
      <w:r w:rsidR="00FD3C65" w:rsidRPr="00603981">
        <w:t>proposal subject to relevant criteria being met and exemptions not applying</w:t>
      </w:r>
      <w:r>
        <w:t>. T</w:t>
      </w:r>
      <w:r w:rsidR="00783630" w:rsidRPr="00603981">
        <w:t>here is no reliable data on the number of such arrangements (see further discussion below)</w:t>
      </w:r>
      <w:r w:rsidR="00AE4775" w:rsidRPr="00603981">
        <w:t>.</w:t>
      </w:r>
    </w:p>
    <w:p w14:paraId="09FD6CAC" w14:textId="573C52EC" w:rsidR="00AE4775" w:rsidRPr="00603981" w:rsidRDefault="00857A78" w:rsidP="00B46784">
      <w:pPr>
        <w:keepNext/>
        <w:rPr>
          <w:rStyle w:val="cf11"/>
          <w:rFonts w:asciiTheme="minorHAnsi" w:hAnsiTheme="minorHAnsi" w:cstheme="minorHAnsi"/>
          <w:i/>
          <w:iCs/>
          <w:sz w:val="22"/>
          <w:szCs w:val="22"/>
        </w:rPr>
      </w:pPr>
      <w:r>
        <w:rPr>
          <w:rStyle w:val="cf11"/>
          <w:rFonts w:asciiTheme="minorHAnsi" w:hAnsiTheme="minorHAnsi" w:cstheme="minorHAnsi"/>
          <w:i/>
          <w:iCs/>
          <w:sz w:val="22"/>
          <w:szCs w:val="22"/>
        </w:rPr>
        <w:t>Labour hire employees</w:t>
      </w:r>
    </w:p>
    <w:p w14:paraId="3A1092F9" w14:textId="4F16FF93" w:rsidR="00783630" w:rsidRPr="00603981" w:rsidRDefault="00AE4775" w:rsidP="00B46784">
      <w:pPr>
        <w:keepNext/>
        <w:spacing w:after="160" w:line="259" w:lineRule="auto"/>
        <w:rPr>
          <w:rFonts w:ascii="Calibri" w:eastAsia="Calibri" w:hAnsi="Calibri" w:cs="Calibri"/>
        </w:rPr>
      </w:pPr>
      <w:r w:rsidRPr="00603981">
        <w:t xml:space="preserve">Labour hire </w:t>
      </w:r>
      <w:r w:rsidR="003A501A">
        <w:t>employees</w:t>
      </w:r>
      <w:r w:rsidR="003A501A" w:rsidRPr="00603981">
        <w:t xml:space="preserve"> </w:t>
      </w:r>
      <w:r w:rsidRPr="00603981">
        <w:t>represent only around 2.3 per cent of employed people in Australia (</w:t>
      </w:r>
      <w:r w:rsidR="00C74C0D">
        <w:t xml:space="preserve">around </w:t>
      </w:r>
      <w:r w:rsidRPr="00603981">
        <w:t>319,900 of 13,852,900)</w:t>
      </w:r>
      <w:r w:rsidR="00783630" w:rsidRPr="00603981">
        <w:t>.</w:t>
      </w:r>
      <w:r w:rsidRPr="00603981">
        <w:rPr>
          <w:vertAlign w:val="superscript"/>
        </w:rPr>
        <w:footnoteReference w:id="51"/>
      </w:r>
      <w:r w:rsidRPr="00603981">
        <w:t xml:space="preserve"> </w:t>
      </w:r>
      <w:r w:rsidR="00783630" w:rsidRPr="00603981">
        <w:t xml:space="preserve">However, </w:t>
      </w:r>
      <w:r w:rsidRPr="00603981">
        <w:t xml:space="preserve">this does not include </w:t>
      </w:r>
      <w:r w:rsidRPr="00603981">
        <w:rPr>
          <w:i/>
        </w:rPr>
        <w:t>internal</w:t>
      </w:r>
      <w:r w:rsidRPr="00603981">
        <w:t xml:space="preserve"> labour hire </w:t>
      </w:r>
      <w:r w:rsidR="00C74C0D">
        <w:t>employees</w:t>
      </w:r>
      <w:r w:rsidRPr="00603981">
        <w:t>.</w:t>
      </w:r>
      <w:r w:rsidRPr="00603981" w:rsidDel="0070352D">
        <w:t xml:space="preserve"> </w:t>
      </w:r>
      <w:r w:rsidR="00783630" w:rsidRPr="00603981">
        <w:rPr>
          <w:rFonts w:ascii="Calibri" w:eastAsia="Calibri" w:hAnsi="Calibri" w:cs="Calibri"/>
        </w:rPr>
        <w:t xml:space="preserve">The ABS estimate of labour hire </w:t>
      </w:r>
      <w:r w:rsidR="00AD75E4">
        <w:rPr>
          <w:rFonts w:ascii="Calibri" w:eastAsia="Calibri" w:hAnsi="Calibri" w:cs="Calibri"/>
        </w:rPr>
        <w:t>employees</w:t>
      </w:r>
      <w:r w:rsidR="00AD75E4" w:rsidRPr="00603981">
        <w:rPr>
          <w:rFonts w:ascii="Calibri" w:eastAsia="Calibri" w:hAnsi="Calibri" w:cs="Calibri"/>
        </w:rPr>
        <w:t xml:space="preserve"> </w:t>
      </w:r>
      <w:r w:rsidR="00783630" w:rsidRPr="00603981">
        <w:rPr>
          <w:rFonts w:ascii="Calibri" w:eastAsia="Calibri" w:hAnsi="Calibri" w:cs="Calibri"/>
        </w:rPr>
        <w:t>is unlikely to count employees in internal labour hire arrangement</w:t>
      </w:r>
      <w:r w:rsidR="005A2DD2" w:rsidRPr="00603981">
        <w:rPr>
          <w:rFonts w:ascii="Calibri" w:eastAsia="Calibri" w:hAnsi="Calibri" w:cs="Calibri"/>
        </w:rPr>
        <w:t>s</w:t>
      </w:r>
      <w:r w:rsidR="00783630" w:rsidRPr="00603981">
        <w:rPr>
          <w:rFonts w:ascii="Calibri" w:eastAsia="Calibri" w:hAnsi="Calibri" w:cs="Calibri"/>
        </w:rPr>
        <w:t xml:space="preserve">, as the ABS estimate is a count of the number of workers in the Labour Supply Services industry. An internal labour hire employee would likely be counted as employed in the main industry of their host (for </w:t>
      </w:r>
      <w:r w:rsidR="00AD75E4">
        <w:rPr>
          <w:rFonts w:ascii="Calibri" w:eastAsia="Calibri" w:hAnsi="Calibri" w:cs="Calibri"/>
        </w:rPr>
        <w:t>example</w:t>
      </w:r>
      <w:r w:rsidR="00783630" w:rsidRPr="00603981">
        <w:rPr>
          <w:rFonts w:ascii="Calibri" w:eastAsia="Calibri" w:hAnsi="Calibri" w:cs="Calibri"/>
        </w:rPr>
        <w:t xml:space="preserve">, an internal labour hire </w:t>
      </w:r>
      <w:r w:rsidR="00AD75E4">
        <w:rPr>
          <w:rFonts w:ascii="Calibri" w:eastAsia="Calibri" w:hAnsi="Calibri" w:cs="Calibri"/>
        </w:rPr>
        <w:t>employee</w:t>
      </w:r>
      <w:r w:rsidR="00AD75E4" w:rsidRPr="00603981">
        <w:rPr>
          <w:rFonts w:ascii="Calibri" w:eastAsia="Calibri" w:hAnsi="Calibri" w:cs="Calibri"/>
        </w:rPr>
        <w:t xml:space="preserve"> </w:t>
      </w:r>
      <w:r w:rsidR="00783630" w:rsidRPr="00603981">
        <w:rPr>
          <w:rFonts w:ascii="Calibri" w:eastAsia="Calibri" w:hAnsi="Calibri" w:cs="Calibri"/>
        </w:rPr>
        <w:t>in a mining corporate group would be expected to be counted as employed in Mining</w:t>
      </w:r>
      <w:r w:rsidR="00374D8B">
        <w:rPr>
          <w:rFonts w:ascii="Calibri" w:eastAsia="Calibri" w:hAnsi="Calibri" w:cs="Calibri"/>
        </w:rPr>
        <w:t>, rather than Labour Supply Services</w:t>
      </w:r>
      <w:r w:rsidR="00783630" w:rsidRPr="00603981">
        <w:rPr>
          <w:rFonts w:ascii="Calibri" w:eastAsia="Calibri" w:hAnsi="Calibri" w:cs="Calibri"/>
        </w:rPr>
        <w:t>).</w:t>
      </w:r>
    </w:p>
    <w:p w14:paraId="28E34049" w14:textId="1A87B7DE" w:rsidR="00783630" w:rsidRPr="00603981" w:rsidRDefault="00783630" w:rsidP="00783630">
      <w:pPr>
        <w:spacing w:after="160" w:line="259" w:lineRule="auto"/>
        <w:rPr>
          <w:rFonts w:ascii="Calibri" w:eastAsia="Calibri" w:hAnsi="Calibri" w:cs="Calibri"/>
        </w:rPr>
      </w:pPr>
      <w:r w:rsidRPr="00603981">
        <w:rPr>
          <w:rFonts w:ascii="Calibri" w:eastAsia="Calibri" w:hAnsi="Calibri" w:cs="Calibri"/>
        </w:rPr>
        <w:t xml:space="preserve">For the purposes of </w:t>
      </w:r>
      <w:r w:rsidR="00B34760">
        <w:rPr>
          <w:rFonts w:ascii="Calibri" w:eastAsia="Calibri" w:hAnsi="Calibri" w:cs="Calibri"/>
        </w:rPr>
        <w:t>estimating</w:t>
      </w:r>
      <w:r w:rsidRPr="00603981">
        <w:rPr>
          <w:rFonts w:ascii="Calibri" w:eastAsia="Calibri" w:hAnsi="Calibri" w:cs="Calibri"/>
        </w:rPr>
        <w:t xml:space="preserve"> </w:t>
      </w:r>
      <w:r w:rsidR="00085E72" w:rsidRPr="00603981">
        <w:rPr>
          <w:rFonts w:ascii="Calibri" w:eastAsia="Calibri" w:hAnsi="Calibri" w:cs="Calibri"/>
        </w:rPr>
        <w:t>the impact</w:t>
      </w:r>
      <w:r w:rsidRPr="00603981">
        <w:rPr>
          <w:rFonts w:ascii="Calibri" w:eastAsia="Calibri" w:hAnsi="Calibri" w:cs="Calibri"/>
        </w:rPr>
        <w:t xml:space="preserve"> of this proposal </w:t>
      </w:r>
      <w:r w:rsidR="00085E72" w:rsidRPr="00603981">
        <w:rPr>
          <w:rFonts w:ascii="Calibri" w:eastAsia="Calibri" w:hAnsi="Calibri" w:cs="Calibri"/>
        </w:rPr>
        <w:t>on</w:t>
      </w:r>
      <w:r w:rsidRPr="00603981">
        <w:rPr>
          <w:rFonts w:ascii="Calibri" w:eastAsia="Calibri" w:hAnsi="Calibri" w:cs="Calibri"/>
        </w:rPr>
        <w:t xml:space="preserve"> internal labour hire arrangements, the department has built into estimates an assumption that 6,000 employees will be working in these arrangements and be caught by the proposal</w:t>
      </w:r>
      <w:r w:rsidR="00085E72" w:rsidRPr="00603981">
        <w:rPr>
          <w:rFonts w:ascii="Calibri" w:eastAsia="Calibri" w:hAnsi="Calibri" w:cs="Calibri"/>
        </w:rPr>
        <w:t>, in addition to the employees captured by ABS data</w:t>
      </w:r>
      <w:r w:rsidRPr="00603981">
        <w:rPr>
          <w:rFonts w:ascii="Calibri" w:eastAsia="Calibri" w:hAnsi="Calibri" w:cs="Calibri"/>
        </w:rPr>
        <w:t>. Th</w:t>
      </w:r>
      <w:r w:rsidR="002E5878" w:rsidRPr="00603981">
        <w:rPr>
          <w:rFonts w:ascii="Calibri" w:eastAsia="Calibri" w:hAnsi="Calibri" w:cs="Calibri"/>
        </w:rPr>
        <w:t>e</w:t>
      </w:r>
      <w:r w:rsidRPr="00603981">
        <w:rPr>
          <w:rFonts w:ascii="Calibri" w:eastAsia="Calibri" w:hAnsi="Calibri" w:cs="Calibri"/>
        </w:rPr>
        <w:t xml:space="preserve"> figure is used as a broad estimate only. It should not be read as </w:t>
      </w:r>
      <w:r w:rsidR="00E13747" w:rsidRPr="00603981">
        <w:rPr>
          <w:rFonts w:ascii="Calibri" w:eastAsia="Calibri" w:hAnsi="Calibri" w:cs="Calibri"/>
        </w:rPr>
        <w:t>determinative</w:t>
      </w:r>
      <w:r w:rsidRPr="00603981">
        <w:rPr>
          <w:rFonts w:ascii="Calibri" w:eastAsia="Calibri" w:hAnsi="Calibri" w:cs="Calibri"/>
        </w:rPr>
        <w:t xml:space="preserve"> with respect to the number of internal labour hire arrangements that </w:t>
      </w:r>
      <w:r w:rsidRPr="00603981">
        <w:rPr>
          <w:rFonts w:ascii="Calibri" w:eastAsia="Calibri" w:hAnsi="Calibri" w:cs="Calibri"/>
          <w:i/>
          <w:iCs/>
        </w:rPr>
        <w:t>may</w:t>
      </w:r>
      <w:r w:rsidRPr="00603981">
        <w:rPr>
          <w:rFonts w:ascii="Calibri" w:eastAsia="Calibri" w:hAnsi="Calibri" w:cs="Calibri"/>
        </w:rPr>
        <w:t xml:space="preserve"> be </w:t>
      </w:r>
      <w:r w:rsidR="00565200" w:rsidRPr="00603981">
        <w:rPr>
          <w:rFonts w:ascii="Calibri" w:eastAsia="Calibri" w:hAnsi="Calibri" w:cs="Calibri"/>
        </w:rPr>
        <w:t>impacted but</w:t>
      </w:r>
      <w:r w:rsidR="00E13747" w:rsidRPr="00603981">
        <w:rPr>
          <w:rFonts w:ascii="Calibri" w:eastAsia="Calibri" w:hAnsi="Calibri" w:cs="Calibri"/>
        </w:rPr>
        <w:t xml:space="preserve"> </w:t>
      </w:r>
      <w:r w:rsidRPr="00603981">
        <w:rPr>
          <w:rFonts w:ascii="Calibri" w:eastAsia="Calibri" w:hAnsi="Calibri" w:cs="Calibri"/>
        </w:rPr>
        <w:t xml:space="preserve">is used here in the interests of quantifying a high-level estimated impact, rather than not accounting for costs to internal labour hire arrangements at all. </w:t>
      </w:r>
    </w:p>
    <w:p w14:paraId="5A3EAFF7" w14:textId="51B0A2B9" w:rsidR="00AE4775" w:rsidRPr="00603981" w:rsidRDefault="000904C7" w:rsidP="00F207DC">
      <w:pPr>
        <w:spacing w:after="160" w:line="259" w:lineRule="auto"/>
        <w:rPr>
          <w:rFonts w:cstheme="minorHAnsi"/>
        </w:rPr>
      </w:pPr>
      <w:r>
        <w:rPr>
          <w:rFonts w:ascii="Calibri" w:eastAsia="Calibri" w:hAnsi="Calibri" w:cs="Calibri"/>
        </w:rPr>
        <w:t>This estimate of</w:t>
      </w:r>
      <w:r w:rsidRPr="00603981">
        <w:rPr>
          <w:rFonts w:ascii="Calibri" w:eastAsia="Calibri" w:hAnsi="Calibri" w:cs="Calibri"/>
        </w:rPr>
        <w:t xml:space="preserve"> </w:t>
      </w:r>
      <w:r w:rsidR="00783630" w:rsidRPr="00603981">
        <w:rPr>
          <w:rFonts w:ascii="Calibri" w:eastAsia="Calibri" w:hAnsi="Calibri" w:cs="Calibri"/>
        </w:rPr>
        <w:t xml:space="preserve">6,000 employees has been informed by publicly available information about some corporate arrangements that may be </w:t>
      </w:r>
      <w:r w:rsidR="00A44B37">
        <w:rPr>
          <w:rFonts w:ascii="Calibri" w:eastAsia="Calibri" w:hAnsi="Calibri" w:cs="Calibri"/>
        </w:rPr>
        <w:t>described</w:t>
      </w:r>
      <w:r w:rsidR="00A44B37" w:rsidRPr="00603981">
        <w:rPr>
          <w:rFonts w:ascii="Calibri" w:eastAsia="Calibri" w:hAnsi="Calibri" w:cs="Calibri"/>
        </w:rPr>
        <w:t xml:space="preserve"> </w:t>
      </w:r>
      <w:r w:rsidR="00783630" w:rsidRPr="00603981">
        <w:rPr>
          <w:rFonts w:ascii="Calibri" w:eastAsia="Calibri" w:hAnsi="Calibri" w:cs="Calibri"/>
        </w:rPr>
        <w:t xml:space="preserve">as internal labour hire arrangements. For example, </w:t>
      </w:r>
      <w:r w:rsidR="00783630" w:rsidRPr="00603981">
        <w:rPr>
          <w:rFonts w:ascii="Calibri" w:eastAsia="Calibri" w:hAnsi="Calibri" w:cs="Calibri"/>
        </w:rPr>
        <w:lastRenderedPageBreak/>
        <w:t>Operation</w:t>
      </w:r>
      <w:r w:rsidR="00315DD0" w:rsidRPr="00603981">
        <w:rPr>
          <w:rFonts w:ascii="Calibri" w:eastAsia="Calibri" w:hAnsi="Calibri" w:cs="Calibri"/>
        </w:rPr>
        <w:t>s</w:t>
      </w:r>
      <w:r w:rsidR="00783630" w:rsidRPr="00603981">
        <w:rPr>
          <w:rFonts w:ascii="Calibri" w:eastAsia="Calibri" w:hAnsi="Calibri" w:cs="Calibri"/>
        </w:rPr>
        <w:t xml:space="preserve"> Services within BHP’s corporate group are reported as employing </w:t>
      </w:r>
      <w:r w:rsidR="00A44B37">
        <w:rPr>
          <w:rFonts w:ascii="Calibri" w:eastAsia="Calibri" w:hAnsi="Calibri" w:cs="Calibri"/>
        </w:rPr>
        <w:t xml:space="preserve">around </w:t>
      </w:r>
      <w:r w:rsidR="00783630" w:rsidRPr="00603981">
        <w:rPr>
          <w:rFonts w:ascii="Calibri" w:eastAsia="Calibri" w:hAnsi="Calibri" w:cs="Calibri"/>
        </w:rPr>
        <w:t>4,500 people,</w:t>
      </w:r>
      <w:r w:rsidR="00783630" w:rsidRPr="00603981">
        <w:rPr>
          <w:rFonts w:ascii="Calibri" w:eastAsia="Calibri" w:hAnsi="Calibri" w:cs="Calibri"/>
          <w:vertAlign w:val="superscript"/>
        </w:rPr>
        <w:footnoteReference w:id="52"/>
      </w:r>
      <w:r w:rsidR="00783630" w:rsidRPr="00603981">
        <w:rPr>
          <w:rFonts w:ascii="Calibri" w:eastAsia="Calibri" w:hAnsi="Calibri" w:cs="Calibri"/>
        </w:rPr>
        <w:t xml:space="preserve"> but th</w:t>
      </w:r>
      <w:r w:rsidR="00BD4C7B" w:rsidRPr="00603981">
        <w:rPr>
          <w:rFonts w:ascii="Calibri" w:eastAsia="Calibri" w:hAnsi="Calibri" w:cs="Calibri"/>
        </w:rPr>
        <w:t>e</w:t>
      </w:r>
      <w:r w:rsidR="00783630" w:rsidRPr="00603981">
        <w:rPr>
          <w:rFonts w:ascii="Calibri" w:eastAsia="Calibri" w:hAnsi="Calibri" w:cs="Calibri"/>
        </w:rPr>
        <w:t xml:space="preserve"> </w:t>
      </w:r>
      <w:r w:rsidR="00A44B37">
        <w:rPr>
          <w:rFonts w:ascii="Calibri" w:eastAsia="Calibri" w:hAnsi="Calibri" w:cs="Calibri"/>
        </w:rPr>
        <w:t xml:space="preserve">estimate of </w:t>
      </w:r>
      <w:r w:rsidR="00783630" w:rsidRPr="00603981">
        <w:rPr>
          <w:rFonts w:ascii="Calibri" w:eastAsia="Calibri" w:hAnsi="Calibri" w:cs="Calibri"/>
        </w:rPr>
        <w:t xml:space="preserve">6,000 </w:t>
      </w:r>
      <w:r w:rsidR="00315DD0" w:rsidRPr="00603981">
        <w:rPr>
          <w:rFonts w:ascii="Calibri" w:eastAsia="Calibri" w:hAnsi="Calibri" w:cs="Calibri"/>
        </w:rPr>
        <w:t xml:space="preserve">employees </w:t>
      </w:r>
      <w:r w:rsidR="00783630" w:rsidRPr="00603981">
        <w:rPr>
          <w:rFonts w:ascii="Calibri" w:eastAsia="Calibri" w:hAnsi="Calibri" w:cs="Calibri"/>
        </w:rPr>
        <w:t>also accounts (to some degree) for additional corporate arrangements over which the department does not have visibility and for which there is no reliable data.</w:t>
      </w:r>
      <w:r w:rsidR="00535B35" w:rsidRPr="00603981">
        <w:rPr>
          <w:rFonts w:ascii="Calibri" w:eastAsia="Calibri" w:hAnsi="Calibri" w:cs="Calibri"/>
        </w:rPr>
        <w:t xml:space="preserve"> </w:t>
      </w:r>
      <w:r w:rsidR="00053F49" w:rsidRPr="00603981">
        <w:t xml:space="preserve">While noting these </w:t>
      </w:r>
      <w:r w:rsidR="00025483" w:rsidRPr="00603981">
        <w:t>figures</w:t>
      </w:r>
      <w:r w:rsidR="00535B35" w:rsidRPr="00603981">
        <w:t>, the Government’s</w:t>
      </w:r>
      <w:r w:rsidR="00AE4775" w:rsidRPr="00603981">
        <w:t xml:space="preserve"> proposal</w:t>
      </w:r>
      <w:r w:rsidR="00535B35" w:rsidRPr="00603981">
        <w:t xml:space="preserve"> is </w:t>
      </w:r>
      <w:r w:rsidR="00AE4775" w:rsidRPr="00603981">
        <w:t xml:space="preserve">only </w:t>
      </w:r>
      <w:r w:rsidR="00535B35" w:rsidRPr="00603981">
        <w:t xml:space="preserve">estimated to </w:t>
      </w:r>
      <w:r w:rsidR="00AE4775" w:rsidRPr="00603981">
        <w:t xml:space="preserve">impact a </w:t>
      </w:r>
      <w:r w:rsidR="00AE4775" w:rsidRPr="00D0307B">
        <w:rPr>
          <w:i/>
          <w:iCs/>
        </w:rPr>
        <w:t>subset</w:t>
      </w:r>
      <w:r w:rsidR="00AE4775" w:rsidRPr="00603981">
        <w:t xml:space="preserve"> of </w:t>
      </w:r>
      <w:r w:rsidR="00535B35" w:rsidRPr="00603981">
        <w:t xml:space="preserve">the </w:t>
      </w:r>
      <w:r w:rsidR="00AE4775" w:rsidRPr="00603981">
        <w:t>2.3 per cent of employed people</w:t>
      </w:r>
      <w:r w:rsidR="00535B35" w:rsidRPr="00603981">
        <w:t xml:space="preserve"> in Australia that can be attributed to labour hire</w:t>
      </w:r>
      <w:r w:rsidR="00AE4775" w:rsidRPr="00603981">
        <w:t xml:space="preserve">, given the confined scope </w:t>
      </w:r>
      <w:r w:rsidR="00B15374" w:rsidRPr="00603981">
        <w:t xml:space="preserve">of, </w:t>
      </w:r>
      <w:r w:rsidR="00AE4775" w:rsidRPr="00603981">
        <w:t>and exemptions that apply to</w:t>
      </w:r>
      <w:r w:rsidR="00B15374" w:rsidRPr="00603981">
        <w:t>,</w:t>
      </w:r>
      <w:r w:rsidR="00AE4775" w:rsidRPr="00603981">
        <w:t xml:space="preserve"> the proposal. </w:t>
      </w:r>
    </w:p>
    <w:p w14:paraId="31F17A63" w14:textId="777337D1" w:rsidR="00AE4775" w:rsidRPr="00603981" w:rsidRDefault="00B15374" w:rsidP="00F207DC">
      <w:pPr>
        <w:spacing w:after="160" w:line="259" w:lineRule="auto"/>
        <w:rPr>
          <w:rFonts w:cstheme="minorHAnsi"/>
        </w:rPr>
      </w:pPr>
      <w:r w:rsidRPr="00603981">
        <w:rPr>
          <w:rFonts w:cstheme="minorHAnsi"/>
        </w:rPr>
        <w:t xml:space="preserve">In relation to the </w:t>
      </w:r>
      <w:r w:rsidR="00BE0BE0" w:rsidRPr="00603981">
        <w:rPr>
          <w:rFonts w:cstheme="minorHAnsi"/>
        </w:rPr>
        <w:t xml:space="preserve">319,900 </w:t>
      </w:r>
      <w:r w:rsidR="00225117">
        <w:rPr>
          <w:rFonts w:cstheme="minorHAnsi"/>
        </w:rPr>
        <w:t xml:space="preserve">labour hire employees referred to </w:t>
      </w:r>
      <w:r w:rsidR="00BE0BE0" w:rsidRPr="00603981">
        <w:rPr>
          <w:rFonts w:cstheme="minorHAnsi"/>
        </w:rPr>
        <w:t>in ABS data, t</w:t>
      </w:r>
      <w:r w:rsidR="00AE4775" w:rsidRPr="00603981">
        <w:rPr>
          <w:rFonts w:cstheme="minorHAnsi"/>
        </w:rPr>
        <w:t xml:space="preserve">he department has made a number of adjustments to estimate how many of these </w:t>
      </w:r>
      <w:r w:rsidR="00225117">
        <w:rPr>
          <w:rFonts w:cstheme="minorHAnsi"/>
        </w:rPr>
        <w:t>employees</w:t>
      </w:r>
      <w:r w:rsidR="00AE4775" w:rsidRPr="00603981">
        <w:rPr>
          <w:rFonts w:cstheme="minorHAnsi"/>
        </w:rPr>
        <w:t xml:space="preserve"> may </w:t>
      </w:r>
      <w:r w:rsidR="00225117">
        <w:rPr>
          <w:rFonts w:cstheme="minorHAnsi"/>
        </w:rPr>
        <w:t xml:space="preserve">be eligible to </w:t>
      </w:r>
      <w:r w:rsidR="009D43BF">
        <w:rPr>
          <w:rFonts w:cstheme="minorHAnsi"/>
        </w:rPr>
        <w:t xml:space="preserve">apply for an order from the Fair Work Commission </w:t>
      </w:r>
      <w:r w:rsidR="00AE4775" w:rsidRPr="00603981">
        <w:rPr>
          <w:rFonts w:cstheme="minorHAnsi"/>
        </w:rPr>
        <w:t xml:space="preserve">once the proposal is implemented. These adjustments allow for an accurate interpretation of aggregated ABS data and take into account differing characteristics with respect to type of employment (full-time, casual), the number of labour hire </w:t>
      </w:r>
      <w:r w:rsidR="009D43BF">
        <w:rPr>
          <w:rFonts w:cstheme="minorHAnsi"/>
        </w:rPr>
        <w:t>employees</w:t>
      </w:r>
      <w:r w:rsidR="009D43BF" w:rsidRPr="00603981">
        <w:rPr>
          <w:rFonts w:cstheme="minorHAnsi"/>
        </w:rPr>
        <w:t xml:space="preserve"> </w:t>
      </w:r>
      <w:r w:rsidR="00AE4775" w:rsidRPr="00603981">
        <w:rPr>
          <w:rFonts w:cstheme="minorHAnsi"/>
        </w:rPr>
        <w:t xml:space="preserve">recorded as working in their job for greater than </w:t>
      </w:r>
      <w:r w:rsidR="00B65FAB" w:rsidRPr="00603981">
        <w:rPr>
          <w:rFonts w:cstheme="minorHAnsi"/>
        </w:rPr>
        <w:t xml:space="preserve">3 </w:t>
      </w:r>
      <w:r w:rsidR="00AE4775" w:rsidRPr="00603981">
        <w:rPr>
          <w:rFonts w:cstheme="minorHAnsi"/>
        </w:rPr>
        <w:t xml:space="preserve">months (to account for the </w:t>
      </w:r>
      <w:r w:rsidR="00945AB0" w:rsidRPr="00603981">
        <w:rPr>
          <w:rFonts w:cstheme="minorHAnsi"/>
        </w:rPr>
        <w:t xml:space="preserve">default </w:t>
      </w:r>
      <w:r w:rsidR="00AE4775" w:rsidRPr="00603981">
        <w:rPr>
          <w:rFonts w:cstheme="minorHAnsi"/>
        </w:rPr>
        <w:t>exemption</w:t>
      </w:r>
      <w:r w:rsidR="009D43BF">
        <w:rPr>
          <w:rFonts w:cstheme="minorHAnsi"/>
        </w:rPr>
        <w:t xml:space="preserve"> period</w:t>
      </w:r>
      <w:r w:rsidR="00AE4775" w:rsidRPr="00603981">
        <w:rPr>
          <w:rFonts w:cstheme="minorHAnsi"/>
        </w:rPr>
        <w:t>),</w:t>
      </w:r>
      <w:r w:rsidR="00945E24" w:rsidRPr="00603981">
        <w:rPr>
          <w:rStyle w:val="FootnoteReference"/>
          <w:rFonts w:cstheme="minorHAnsi"/>
        </w:rPr>
        <w:footnoteReference w:id="53"/>
      </w:r>
      <w:r w:rsidR="00AE4775" w:rsidRPr="00603981">
        <w:rPr>
          <w:rFonts w:cstheme="minorHAnsi"/>
        </w:rPr>
        <w:t xml:space="preserve"> and the estimated number of labour hire </w:t>
      </w:r>
      <w:r w:rsidR="00611D71">
        <w:rPr>
          <w:rFonts w:cstheme="minorHAnsi"/>
        </w:rPr>
        <w:t>employees</w:t>
      </w:r>
      <w:r w:rsidR="00611D71" w:rsidRPr="00603981">
        <w:rPr>
          <w:rFonts w:cstheme="minorHAnsi"/>
        </w:rPr>
        <w:t xml:space="preserve"> </w:t>
      </w:r>
      <w:r w:rsidR="00AE4775" w:rsidRPr="00603981">
        <w:rPr>
          <w:rFonts w:cstheme="minorHAnsi"/>
        </w:rPr>
        <w:t xml:space="preserve">provided to a host with an enterprise agreement. </w:t>
      </w:r>
    </w:p>
    <w:p w14:paraId="17F0F1C6" w14:textId="2840E0C1" w:rsidR="00AE4775" w:rsidRPr="00603981" w:rsidRDefault="00AE4775" w:rsidP="717F6999">
      <w:pPr>
        <w:spacing w:after="160" w:line="259" w:lineRule="auto"/>
      </w:pPr>
      <w:r w:rsidRPr="717F6999">
        <w:t xml:space="preserve">Applying </w:t>
      </w:r>
      <w:r w:rsidR="00611D71">
        <w:t>these</w:t>
      </w:r>
      <w:r w:rsidR="00611D71" w:rsidRPr="717F6999">
        <w:t xml:space="preserve"> </w:t>
      </w:r>
      <w:r w:rsidRPr="717F6999">
        <w:t xml:space="preserve">adjustments and noting data limitations, the department estimates approximately </w:t>
      </w:r>
      <w:r w:rsidR="002F45E9" w:rsidRPr="003766E6">
        <w:t>6</w:t>
      </w:r>
      <w:r w:rsidR="2D285F13" w:rsidRPr="003766E6">
        <w:t>6</w:t>
      </w:r>
      <w:r w:rsidR="00205A52" w:rsidRPr="003766E6">
        <w:t>,</w:t>
      </w:r>
      <w:r w:rsidR="04C53C46" w:rsidRPr="003766E6">
        <w:t>4</w:t>
      </w:r>
      <w:r w:rsidR="00DC0031" w:rsidRPr="003766E6">
        <w:t>4</w:t>
      </w:r>
      <w:r w:rsidR="04C53C46" w:rsidRPr="003766E6">
        <w:t>6</w:t>
      </w:r>
      <w:r w:rsidR="00205A52" w:rsidRPr="717F6999">
        <w:t xml:space="preserve"> </w:t>
      </w:r>
      <w:r w:rsidRPr="717F6999">
        <w:t xml:space="preserve">labour hire </w:t>
      </w:r>
      <w:r w:rsidR="00611D71">
        <w:t>employees</w:t>
      </w:r>
      <w:r w:rsidR="00611D71" w:rsidRPr="717F6999">
        <w:t xml:space="preserve"> </w:t>
      </w:r>
      <w:r w:rsidR="00205A52" w:rsidRPr="717F6999">
        <w:t>(6</w:t>
      </w:r>
      <w:r w:rsidR="7F09F369" w:rsidRPr="717F6999">
        <w:t>0</w:t>
      </w:r>
      <w:r w:rsidR="00205A52" w:rsidRPr="717F6999">
        <w:t>,</w:t>
      </w:r>
      <w:r w:rsidR="1FC9BC02" w:rsidRPr="717F6999">
        <w:t>4</w:t>
      </w:r>
      <w:r w:rsidR="00C50E71">
        <w:t>4</w:t>
      </w:r>
      <w:r w:rsidR="1FC9BC02" w:rsidRPr="717F6999">
        <w:t>6</w:t>
      </w:r>
      <w:r w:rsidR="00205A52" w:rsidRPr="717F6999">
        <w:t xml:space="preserve"> external and 6</w:t>
      </w:r>
      <w:r w:rsidR="00C03F73" w:rsidRPr="717F6999">
        <w:t>,</w:t>
      </w:r>
      <w:r w:rsidR="00205A52" w:rsidRPr="717F6999">
        <w:t xml:space="preserve">000 internal) </w:t>
      </w:r>
      <w:r w:rsidR="005A539B">
        <w:t xml:space="preserve">will be eligible to </w:t>
      </w:r>
      <w:r w:rsidR="002D6482">
        <w:t>be covered by orders from the Fair Work Commission</w:t>
      </w:r>
      <w:r w:rsidR="00E6792B">
        <w:t xml:space="preserve">. However, </w:t>
      </w:r>
      <w:r w:rsidR="00EC136D">
        <w:t xml:space="preserve">given </w:t>
      </w:r>
      <w:r w:rsidR="00E6792B">
        <w:t xml:space="preserve">the </w:t>
      </w:r>
      <w:r w:rsidR="006A340B">
        <w:t>application-based</w:t>
      </w:r>
      <w:r w:rsidR="00E6792B">
        <w:t xml:space="preserve"> </w:t>
      </w:r>
      <w:r w:rsidR="00EC136D">
        <w:t xml:space="preserve">nature of this proposal, </w:t>
      </w:r>
      <w:r w:rsidR="003A465A">
        <w:t xml:space="preserve">it is </w:t>
      </w:r>
      <w:r w:rsidR="00EC136D">
        <w:t xml:space="preserve">estimated </w:t>
      </w:r>
      <w:r w:rsidR="002F06DA">
        <w:t xml:space="preserve">fewer </w:t>
      </w:r>
      <w:r w:rsidR="003A465A">
        <w:t xml:space="preserve">labour hire </w:t>
      </w:r>
      <w:r w:rsidR="00EC136D">
        <w:t>employees</w:t>
      </w:r>
      <w:r w:rsidR="003A465A">
        <w:t xml:space="preserve"> </w:t>
      </w:r>
      <w:r w:rsidR="000003F4">
        <w:t xml:space="preserve">than this </w:t>
      </w:r>
      <w:r w:rsidR="003A465A">
        <w:t xml:space="preserve">will </w:t>
      </w:r>
      <w:r w:rsidR="00EC136D">
        <w:t xml:space="preserve">actually </w:t>
      </w:r>
      <w:r w:rsidR="003A465A">
        <w:t xml:space="preserve">be </w:t>
      </w:r>
      <w:r w:rsidR="00A3673C">
        <w:t xml:space="preserve">covered by </w:t>
      </w:r>
      <w:r w:rsidR="00EC136D">
        <w:t>an order</w:t>
      </w:r>
      <w:r w:rsidR="00CE5BE4">
        <w:t xml:space="preserve"> at any given time</w:t>
      </w:r>
      <w:r w:rsidR="00A3673C">
        <w:t xml:space="preserve"> </w:t>
      </w:r>
      <w:r w:rsidRPr="717F6999">
        <w:t xml:space="preserve">(see </w:t>
      </w:r>
      <w:r w:rsidRPr="00D0307B">
        <w:t>Annexure C</w:t>
      </w:r>
      <w:r w:rsidRPr="717F6999">
        <w:t>).</w:t>
      </w:r>
    </w:p>
    <w:p w14:paraId="1177E930" w14:textId="281CBBF3" w:rsidR="00AE4775" w:rsidRPr="00603981" w:rsidRDefault="00AE4775" w:rsidP="003A380A">
      <w:pPr>
        <w:keepNext/>
        <w:rPr>
          <w:rFonts w:cstheme="minorHAnsi"/>
        </w:rPr>
      </w:pPr>
      <w:r w:rsidRPr="00603981">
        <w:rPr>
          <w:rFonts w:cstheme="minorHAnsi"/>
          <w:u w:val="single"/>
        </w:rPr>
        <w:t>For host</w:t>
      </w:r>
      <w:r w:rsidR="00CE5BE4">
        <w:rPr>
          <w:rFonts w:cstheme="minorHAnsi"/>
          <w:u w:val="single"/>
        </w:rPr>
        <w:t>s</w:t>
      </w:r>
      <w:r w:rsidRPr="00603981">
        <w:rPr>
          <w:rFonts w:cstheme="minorHAnsi"/>
          <w:u w:val="single"/>
        </w:rPr>
        <w:t xml:space="preserve">, labour hire </w:t>
      </w:r>
      <w:r w:rsidR="00CE5BE4">
        <w:rPr>
          <w:rFonts w:cstheme="minorHAnsi"/>
          <w:u w:val="single"/>
        </w:rPr>
        <w:t>employers</w:t>
      </w:r>
      <w:r w:rsidRPr="00603981">
        <w:rPr>
          <w:rFonts w:cstheme="minorHAnsi"/>
          <w:u w:val="single"/>
        </w:rPr>
        <w:t xml:space="preserve"> and </w:t>
      </w:r>
      <w:r w:rsidR="00CE5BE4">
        <w:rPr>
          <w:rFonts w:cstheme="minorHAnsi"/>
          <w:u w:val="single"/>
        </w:rPr>
        <w:t>employees</w:t>
      </w:r>
      <w:r w:rsidR="00CE5BE4" w:rsidRPr="00603981">
        <w:rPr>
          <w:rFonts w:cstheme="minorHAnsi"/>
          <w:u w:val="single"/>
        </w:rPr>
        <w:t xml:space="preserve"> </w:t>
      </w:r>
      <w:r w:rsidRPr="00603981">
        <w:rPr>
          <w:rFonts w:cstheme="minorHAnsi"/>
          <w:u w:val="single"/>
        </w:rPr>
        <w:t>– what is the cost of the proposal?</w:t>
      </w:r>
    </w:p>
    <w:p w14:paraId="2A6D893A" w14:textId="5240A89D" w:rsidR="00D61A16" w:rsidRDefault="00275FD2" w:rsidP="00BD4C7B">
      <w:pPr>
        <w:spacing w:after="160" w:line="259" w:lineRule="auto"/>
        <w:rPr>
          <w:rFonts w:cstheme="minorHAnsi"/>
        </w:rPr>
      </w:pPr>
      <w:r w:rsidRPr="00275FD2">
        <w:rPr>
          <w:rFonts w:cstheme="minorHAnsi"/>
        </w:rPr>
        <w:t>Estimating the economic impacts of workplace relations reforms can be difficult. Specific outcomes may depend on the approach that independent parties – such as employers, unions and the Fair</w:t>
      </w:r>
      <w:r>
        <w:rPr>
          <w:rFonts w:cstheme="minorHAnsi"/>
        </w:rPr>
        <w:t> </w:t>
      </w:r>
      <w:r w:rsidRPr="00275FD2">
        <w:rPr>
          <w:rFonts w:cstheme="minorHAnsi"/>
        </w:rPr>
        <w:t xml:space="preserve">Work Commission – take in response to </w:t>
      </w:r>
      <w:r>
        <w:rPr>
          <w:rFonts w:cstheme="minorHAnsi"/>
        </w:rPr>
        <w:t>proposed measures</w:t>
      </w:r>
      <w:r w:rsidRPr="00275FD2">
        <w:rPr>
          <w:rFonts w:cstheme="minorHAnsi"/>
        </w:rPr>
        <w:t xml:space="preserve">. It can also be difficult to isolate the impact of individual measures from other external factors, such as changes in the economic climate. However, </w:t>
      </w:r>
      <w:r>
        <w:rPr>
          <w:rFonts w:cstheme="minorHAnsi"/>
        </w:rPr>
        <w:t>addressing</w:t>
      </w:r>
      <w:r w:rsidRPr="00275FD2">
        <w:rPr>
          <w:rFonts w:cstheme="minorHAnsi"/>
        </w:rPr>
        <w:t xml:space="preserve"> the loophole </w:t>
      </w:r>
      <w:r>
        <w:rPr>
          <w:rFonts w:cstheme="minorHAnsi"/>
        </w:rPr>
        <w:t>that allows the use of</w:t>
      </w:r>
      <w:r w:rsidRPr="00275FD2">
        <w:rPr>
          <w:rFonts w:cstheme="minorHAnsi"/>
        </w:rPr>
        <w:t xml:space="preserve"> labour hire to undercut the wages in enterprise agreements will lead to an increase in the wages of some labour hire </w:t>
      </w:r>
      <w:r>
        <w:rPr>
          <w:rFonts w:cstheme="minorHAnsi"/>
        </w:rPr>
        <w:t>employees</w:t>
      </w:r>
      <w:r w:rsidRPr="00275FD2">
        <w:rPr>
          <w:rFonts w:cstheme="minorHAnsi"/>
        </w:rPr>
        <w:t xml:space="preserve">. This added income security and increases to pay may allow labour hire </w:t>
      </w:r>
      <w:r>
        <w:rPr>
          <w:rFonts w:cstheme="minorHAnsi"/>
        </w:rPr>
        <w:t>employees</w:t>
      </w:r>
      <w:r w:rsidRPr="00275FD2">
        <w:rPr>
          <w:rFonts w:cstheme="minorHAnsi"/>
        </w:rPr>
        <w:t xml:space="preserve"> to make ends meet with elevated living costs, and allow them to afford to make purchases they are currently unable to, providing a boost to their local economies.</w:t>
      </w:r>
    </w:p>
    <w:p w14:paraId="40398904" w14:textId="6F8C6F32" w:rsidR="00AE4775" w:rsidRPr="00603981" w:rsidRDefault="009B5967" w:rsidP="00BD4C7B">
      <w:pPr>
        <w:spacing w:after="160" w:line="259" w:lineRule="auto"/>
        <w:rPr>
          <w:rFonts w:cstheme="minorHAnsi"/>
        </w:rPr>
      </w:pPr>
      <w:r>
        <w:rPr>
          <w:rFonts w:cstheme="minorHAnsi"/>
        </w:rPr>
        <w:t>With that frame of reference, t</w:t>
      </w:r>
      <w:r w:rsidR="00AE4775" w:rsidRPr="00603981">
        <w:rPr>
          <w:rFonts w:cstheme="minorHAnsi"/>
        </w:rPr>
        <w:t>he tables below set out estimated cost</w:t>
      </w:r>
      <w:r w:rsidR="00483CAC">
        <w:rPr>
          <w:rFonts w:cstheme="minorHAnsi"/>
        </w:rPr>
        <w:t>s</w:t>
      </w:r>
      <w:r w:rsidR="00AE4775" w:rsidRPr="00603981">
        <w:rPr>
          <w:rFonts w:cstheme="minorHAnsi"/>
        </w:rPr>
        <w:t xml:space="preserve"> for host</w:t>
      </w:r>
      <w:r w:rsidR="00CE5BE4">
        <w:rPr>
          <w:rFonts w:cstheme="minorHAnsi"/>
        </w:rPr>
        <w:t>s</w:t>
      </w:r>
      <w:r w:rsidR="00AE4775" w:rsidRPr="00603981">
        <w:rPr>
          <w:rFonts w:cstheme="minorHAnsi"/>
        </w:rPr>
        <w:t xml:space="preserve">, labour hire </w:t>
      </w:r>
      <w:r w:rsidR="00CE5BE4">
        <w:rPr>
          <w:rFonts w:cstheme="minorHAnsi"/>
        </w:rPr>
        <w:t>employers</w:t>
      </w:r>
      <w:r w:rsidR="00AE4775" w:rsidRPr="00603981">
        <w:rPr>
          <w:rFonts w:cstheme="minorHAnsi"/>
        </w:rPr>
        <w:t xml:space="preserve"> and </w:t>
      </w:r>
      <w:r w:rsidR="00CE5BE4">
        <w:rPr>
          <w:rFonts w:cstheme="minorHAnsi"/>
        </w:rPr>
        <w:t>labour hire employees</w:t>
      </w:r>
      <w:r w:rsidR="00CE5BE4" w:rsidRPr="00603981">
        <w:rPr>
          <w:rFonts w:cstheme="minorHAnsi"/>
        </w:rPr>
        <w:t xml:space="preserve"> </w:t>
      </w:r>
      <w:r w:rsidR="00AE4775" w:rsidRPr="00603981">
        <w:rPr>
          <w:rFonts w:cstheme="minorHAnsi"/>
        </w:rPr>
        <w:t>(and their representatives), respectively</w:t>
      </w:r>
      <w:r w:rsidR="00DE7DD6">
        <w:rPr>
          <w:rFonts w:cstheme="minorHAnsi"/>
        </w:rPr>
        <w:t>, noting that where costs are difficult to quantify based on a lack of reliable data, assumptions have been informed by, for example, stakeholder feedback obtained during consultation</w:t>
      </w:r>
      <w:r w:rsidR="00AE4775" w:rsidRPr="00603981">
        <w:rPr>
          <w:rFonts w:cstheme="minorHAnsi"/>
        </w:rPr>
        <w:t>.</w:t>
      </w:r>
    </w:p>
    <w:tbl>
      <w:tblPr>
        <w:tblStyle w:val="TableGrid"/>
        <w:tblW w:w="0" w:type="auto"/>
        <w:tblLook w:val="04A0" w:firstRow="1" w:lastRow="0" w:firstColumn="1" w:lastColumn="0" w:noHBand="0" w:noVBand="1"/>
      </w:tblPr>
      <w:tblGrid>
        <w:gridCol w:w="1696"/>
        <w:gridCol w:w="7320"/>
        <w:gridCol w:w="44"/>
      </w:tblGrid>
      <w:tr w:rsidR="009B30C2" w:rsidRPr="00603981" w14:paraId="5001FF1A" w14:textId="77777777">
        <w:trPr>
          <w:gridAfter w:val="1"/>
          <w:wAfter w:w="44" w:type="dxa"/>
        </w:trPr>
        <w:tc>
          <w:tcPr>
            <w:tcW w:w="9016" w:type="dxa"/>
            <w:gridSpan w:val="2"/>
            <w:shd w:val="clear" w:color="auto" w:fill="404246"/>
          </w:tcPr>
          <w:p w14:paraId="1CA3B922" w14:textId="70CB2DC3" w:rsidR="009B30C2" w:rsidRPr="00603981" w:rsidRDefault="009B30C2">
            <w:pPr>
              <w:widowControl w:val="0"/>
              <w:spacing w:before="120" w:after="120" w:line="259" w:lineRule="auto"/>
              <w:rPr>
                <w:rFonts w:cstheme="minorHAnsi"/>
                <w:b/>
                <w:bCs/>
                <w:color w:val="FFFFFF" w:themeColor="background1"/>
              </w:rPr>
            </w:pPr>
            <w:r>
              <w:rPr>
                <w:rFonts w:cstheme="minorHAnsi"/>
                <w:b/>
                <w:bCs/>
                <w:color w:val="FFFFFF" w:themeColor="background1"/>
              </w:rPr>
              <w:t>1</w:t>
            </w:r>
            <w:r w:rsidRPr="00603981">
              <w:rPr>
                <w:rFonts w:cstheme="minorHAnsi"/>
                <w:b/>
                <w:bCs/>
                <w:color w:val="FFFFFF" w:themeColor="background1"/>
              </w:rPr>
              <w:t xml:space="preserve">. Estimating cost impacts for </w:t>
            </w:r>
            <w:r>
              <w:rPr>
                <w:rFonts w:cstheme="minorHAnsi"/>
                <w:b/>
                <w:bCs/>
                <w:color w:val="FFFFFF" w:themeColor="background1"/>
                <w:u w:val="single"/>
              </w:rPr>
              <w:t>hosts</w:t>
            </w:r>
          </w:p>
        </w:tc>
      </w:tr>
      <w:tr w:rsidR="009B30C2" w:rsidRPr="00603981" w14:paraId="49BDAB3A" w14:textId="77777777">
        <w:trPr>
          <w:gridAfter w:val="1"/>
          <w:wAfter w:w="44" w:type="dxa"/>
        </w:trPr>
        <w:tc>
          <w:tcPr>
            <w:tcW w:w="1696" w:type="dxa"/>
            <w:shd w:val="clear" w:color="auto" w:fill="7A9F4C"/>
          </w:tcPr>
          <w:p w14:paraId="77A479A9" w14:textId="77777777" w:rsidR="009B30C2" w:rsidRPr="00603981" w:rsidRDefault="009B30C2">
            <w:pPr>
              <w:widowControl w:val="0"/>
              <w:spacing w:before="120" w:after="120" w:line="259" w:lineRule="auto"/>
              <w:rPr>
                <w:rFonts w:cstheme="minorHAnsi"/>
                <w:b/>
                <w:bCs/>
                <w:color w:val="FFFFFF" w:themeColor="background1"/>
                <w:u w:val="single"/>
              </w:rPr>
            </w:pPr>
            <w:r w:rsidRPr="00603981">
              <w:rPr>
                <w:rFonts w:cstheme="minorHAnsi"/>
                <w:b/>
                <w:bCs/>
                <w:color w:val="FFFFFF" w:themeColor="background1"/>
              </w:rPr>
              <w:t>Cost category</w:t>
            </w:r>
          </w:p>
        </w:tc>
        <w:tc>
          <w:tcPr>
            <w:tcW w:w="7320" w:type="dxa"/>
            <w:shd w:val="clear" w:color="auto" w:fill="7A9F4C"/>
          </w:tcPr>
          <w:p w14:paraId="7BDC33D7" w14:textId="77777777" w:rsidR="009B30C2" w:rsidRPr="00603981" w:rsidRDefault="009B30C2">
            <w:pPr>
              <w:widowControl w:val="0"/>
              <w:spacing w:before="120" w:after="120" w:line="259" w:lineRule="auto"/>
              <w:rPr>
                <w:rFonts w:cstheme="minorHAnsi"/>
                <w:b/>
                <w:bCs/>
                <w:color w:val="FFFFFF" w:themeColor="background1"/>
              </w:rPr>
            </w:pPr>
            <w:r w:rsidRPr="00603981">
              <w:rPr>
                <w:rFonts w:cstheme="minorHAnsi"/>
                <w:b/>
                <w:bCs/>
                <w:color w:val="FFFFFF" w:themeColor="background1"/>
              </w:rPr>
              <w:t>Analysis</w:t>
            </w:r>
          </w:p>
        </w:tc>
      </w:tr>
      <w:tr w:rsidR="009B30C2" w:rsidRPr="00603981" w14:paraId="4CC8E195" w14:textId="77777777" w:rsidTr="00D0307B">
        <w:tc>
          <w:tcPr>
            <w:tcW w:w="1696" w:type="dxa"/>
          </w:tcPr>
          <w:p w14:paraId="0C5EAE1C" w14:textId="7FD8D709" w:rsidR="009B30C2" w:rsidRPr="00603981" w:rsidRDefault="009B30C2">
            <w:pPr>
              <w:widowControl w:val="0"/>
              <w:spacing w:before="120" w:after="120" w:line="259" w:lineRule="auto"/>
              <w:rPr>
                <w:rFonts w:cstheme="minorHAnsi"/>
                <w:b/>
              </w:rPr>
            </w:pPr>
            <w:r w:rsidRPr="00852B80">
              <w:rPr>
                <w:rFonts w:cstheme="minorHAnsi"/>
                <w:b/>
              </w:rPr>
              <w:t xml:space="preserve">Reviewing guidance materials on </w:t>
            </w:r>
            <w:r w:rsidRPr="00852B80">
              <w:rPr>
                <w:rFonts w:cstheme="minorHAnsi"/>
                <w:b/>
              </w:rPr>
              <w:lastRenderedPageBreak/>
              <w:t>the application process</w:t>
            </w:r>
          </w:p>
        </w:tc>
        <w:tc>
          <w:tcPr>
            <w:tcW w:w="7364" w:type="dxa"/>
            <w:gridSpan w:val="2"/>
          </w:tcPr>
          <w:p w14:paraId="796D44A6" w14:textId="3AF9F791" w:rsidR="009B30C2" w:rsidRPr="006806DB" w:rsidRDefault="009B30C2" w:rsidP="009B30C2">
            <w:pPr>
              <w:widowControl w:val="0"/>
              <w:spacing w:before="120" w:after="120" w:line="259" w:lineRule="auto"/>
              <w:rPr>
                <w:rFonts w:cstheme="minorHAnsi"/>
              </w:rPr>
            </w:pPr>
            <w:r w:rsidRPr="006806DB">
              <w:rPr>
                <w:rFonts w:cstheme="minorHAnsi"/>
              </w:rPr>
              <w:lastRenderedPageBreak/>
              <w:t xml:space="preserve">The department anticipates that businesses that use or </w:t>
            </w:r>
            <w:r w:rsidRPr="006806DB">
              <w:rPr>
                <w:rFonts w:cstheme="minorHAnsi"/>
                <w:i/>
                <w:iCs/>
              </w:rPr>
              <w:t>may</w:t>
            </w:r>
            <w:r w:rsidRPr="006806DB">
              <w:rPr>
                <w:rFonts w:cstheme="minorHAnsi"/>
              </w:rPr>
              <w:t xml:space="preserve"> use labour hire may take time to read guidance material made available by the Fair Work Commission and Fair Work Ombudsman on the operation of this measure once </w:t>
            </w:r>
            <w:r w:rsidRPr="006806DB">
              <w:rPr>
                <w:rFonts w:cstheme="minorHAnsi"/>
              </w:rPr>
              <w:lastRenderedPageBreak/>
              <w:t>legislated – for example, guidance on how applications may be handled by the Fair Work Commission and what is expected of businesses involved in that process.</w:t>
            </w:r>
          </w:p>
          <w:p w14:paraId="38812082" w14:textId="37C7F76D" w:rsidR="009B30C2" w:rsidRDefault="009B30C2" w:rsidP="009B30C2">
            <w:pPr>
              <w:widowControl w:val="0"/>
              <w:spacing w:before="120" w:after="120" w:line="259" w:lineRule="auto"/>
              <w:rPr>
                <w:rFonts w:cstheme="minorHAnsi"/>
              </w:rPr>
            </w:pPr>
            <w:r w:rsidRPr="006806DB">
              <w:rPr>
                <w:rFonts w:cstheme="minorHAnsi"/>
              </w:rPr>
              <w:t>However, given the lack of data available about how many Australian businesses use labour hire, it is difficult to estimate accurately the breadth of this administrative cost. However, using the Office of Impact Analysis’ $79.63 per hour ‘work related labour rate’, the department estimates that hosts who read this guidance material may take 30</w:t>
            </w:r>
            <w:r>
              <w:rPr>
                <w:rFonts w:cstheme="minorHAnsi"/>
              </w:rPr>
              <w:t> </w:t>
            </w:r>
            <w:r w:rsidRPr="006806DB">
              <w:rPr>
                <w:rFonts w:cstheme="minorHAnsi"/>
              </w:rPr>
              <w:t>minutes to do so, at a cost of $39.</w:t>
            </w:r>
            <w:r w:rsidR="00A92EF3">
              <w:rPr>
                <w:rFonts w:cstheme="minorHAnsi"/>
              </w:rPr>
              <w:t>8</w:t>
            </w:r>
            <w:r w:rsidRPr="006806DB">
              <w:rPr>
                <w:rFonts w:cstheme="minorHAnsi"/>
              </w:rPr>
              <w:t>2 per host (</w:t>
            </w:r>
            <w:r w:rsidR="00297283">
              <w:rPr>
                <w:rFonts w:cstheme="minorHAnsi"/>
              </w:rPr>
              <w:t>see</w:t>
            </w:r>
            <w:r w:rsidRPr="006806DB">
              <w:rPr>
                <w:rFonts w:cstheme="minorHAnsi"/>
              </w:rPr>
              <w:t xml:space="preserve"> Annexure </w:t>
            </w:r>
            <w:r>
              <w:rPr>
                <w:rFonts w:cstheme="minorHAnsi"/>
              </w:rPr>
              <w:t>D</w:t>
            </w:r>
            <w:r w:rsidRPr="006806DB">
              <w:rPr>
                <w:rFonts w:cstheme="minorHAnsi"/>
              </w:rPr>
              <w:t>).</w:t>
            </w:r>
          </w:p>
        </w:tc>
      </w:tr>
      <w:tr w:rsidR="009B30C2" w:rsidRPr="00603981" w14:paraId="32437CA4" w14:textId="77777777" w:rsidTr="00D0307B">
        <w:tc>
          <w:tcPr>
            <w:tcW w:w="1696" w:type="dxa"/>
          </w:tcPr>
          <w:p w14:paraId="51830079" w14:textId="0E578D6B" w:rsidR="009B30C2" w:rsidRPr="00603981" w:rsidDel="00F52645" w:rsidRDefault="009B30C2">
            <w:pPr>
              <w:widowControl w:val="0"/>
              <w:spacing w:before="120" w:after="120" w:line="259" w:lineRule="auto"/>
              <w:rPr>
                <w:rFonts w:cstheme="minorHAnsi"/>
                <w:b/>
              </w:rPr>
            </w:pPr>
            <w:r>
              <w:rPr>
                <w:rFonts w:cstheme="minorHAnsi"/>
                <w:b/>
              </w:rPr>
              <w:lastRenderedPageBreak/>
              <w:t>Reviewing</w:t>
            </w:r>
            <w:r w:rsidRPr="00603981">
              <w:rPr>
                <w:rFonts w:cstheme="minorHAnsi"/>
                <w:b/>
              </w:rPr>
              <w:t xml:space="preserve"> contract</w:t>
            </w:r>
            <w:r>
              <w:rPr>
                <w:rFonts w:cstheme="minorHAnsi"/>
                <w:b/>
              </w:rPr>
              <w:t>ual</w:t>
            </w:r>
            <w:r w:rsidRPr="00603981">
              <w:rPr>
                <w:rFonts w:cstheme="minorHAnsi"/>
                <w:b/>
              </w:rPr>
              <w:t xml:space="preserve"> </w:t>
            </w:r>
            <w:r>
              <w:rPr>
                <w:rFonts w:cstheme="minorHAnsi"/>
                <w:b/>
              </w:rPr>
              <w:t>arrangements with labour hire employers</w:t>
            </w:r>
          </w:p>
        </w:tc>
        <w:tc>
          <w:tcPr>
            <w:tcW w:w="7364" w:type="dxa"/>
            <w:gridSpan w:val="2"/>
          </w:tcPr>
          <w:p w14:paraId="2BFFB38D" w14:textId="77777777" w:rsidR="009B30C2" w:rsidRDefault="009B30C2" w:rsidP="009B30C2">
            <w:pPr>
              <w:widowControl w:val="0"/>
              <w:spacing w:before="120" w:after="120" w:line="259" w:lineRule="auto"/>
              <w:rPr>
                <w:rFonts w:cstheme="minorHAnsi"/>
              </w:rPr>
            </w:pPr>
            <w:r>
              <w:rPr>
                <w:rFonts w:cstheme="minorHAnsi"/>
              </w:rPr>
              <w:t>Some hosts may revisit contracts in place with labour hire employers to ensure they are not inconsistent with new obligations, assuming they are involved in a Fair Work Commission application and the subject of an order. The extent of contractual reviews will be informed by, for example, whether labour hire employees are already being paid more than the rates in the host’s enterprise agreement.</w:t>
            </w:r>
          </w:p>
          <w:p w14:paraId="5E2FD88A" w14:textId="2D060F51" w:rsidR="009B30C2" w:rsidRPr="00603981" w:rsidRDefault="009B30C2" w:rsidP="009B30C2">
            <w:pPr>
              <w:widowControl w:val="0"/>
              <w:spacing w:before="120" w:after="120" w:line="259" w:lineRule="auto"/>
              <w:rPr>
                <w:rFonts w:cstheme="minorHAnsi"/>
              </w:rPr>
            </w:pPr>
            <w:r w:rsidRPr="00603981">
              <w:t xml:space="preserve">For example, evidence provided to the Victorian Inquiry by Australia Wide Personnel (a large organisation providing labour hire across trades, warehousing, and food industries) was that where a host has an enterprise agreement on its site, Australia Wide Personnel will ‘always’ pay </w:t>
            </w:r>
            <w:r>
              <w:t>labour hire employees</w:t>
            </w:r>
            <w:r w:rsidRPr="00603981">
              <w:t xml:space="preserve"> according to the site agreement, </w:t>
            </w:r>
            <w:r>
              <w:t>even if</w:t>
            </w:r>
            <w:r w:rsidRPr="00603981">
              <w:t xml:space="preserve"> </w:t>
            </w:r>
            <w:r>
              <w:t>it is not required</w:t>
            </w:r>
            <w:r w:rsidRPr="00603981">
              <w:t xml:space="preserve"> to do so. Chandler McLeod gave similar evidence </w:t>
            </w:r>
            <w:r>
              <w:t>to</w:t>
            </w:r>
            <w:r w:rsidRPr="00603981">
              <w:t xml:space="preserve"> the Victorian Inquiry, </w:t>
            </w:r>
            <w:r>
              <w:t>submitting</w:t>
            </w:r>
            <w:r w:rsidRPr="00603981">
              <w:t xml:space="preserve"> that in many instances, productivity is retained or enhanced on a site where pay parity is maintained between labour hire </w:t>
            </w:r>
            <w:r>
              <w:t>employees</w:t>
            </w:r>
            <w:r w:rsidRPr="00603981">
              <w:t xml:space="preserve"> and </w:t>
            </w:r>
            <w:r>
              <w:t xml:space="preserve">host </w:t>
            </w:r>
            <w:r w:rsidRPr="00603981">
              <w:t>employees.</w:t>
            </w:r>
            <w:r w:rsidRPr="00603981">
              <w:rPr>
                <w:rStyle w:val="FootnoteReference"/>
              </w:rPr>
              <w:footnoteReference w:id="54"/>
            </w:r>
          </w:p>
          <w:p w14:paraId="6C931074" w14:textId="1B2EE353" w:rsidR="009B30C2" w:rsidRPr="00603981" w:rsidRDefault="009B30C2" w:rsidP="009B30C2">
            <w:pPr>
              <w:widowControl w:val="0"/>
              <w:spacing w:before="120" w:after="120" w:line="259" w:lineRule="auto"/>
              <w:rPr>
                <w:rFonts w:cstheme="minorHAnsi"/>
              </w:rPr>
            </w:pPr>
            <w:r>
              <w:rPr>
                <w:rFonts w:cstheme="minorHAnsi"/>
              </w:rPr>
              <w:t>The department is unable to quantify the cost to hosts that may arise from reviewing contracts with labour hire employers due to a lack of visibility over the volume, content and complexity of such contracts</w:t>
            </w:r>
            <w:r w:rsidRPr="00603981">
              <w:rPr>
                <w:rFonts w:cstheme="minorHAnsi"/>
              </w:rPr>
              <w:t>.</w:t>
            </w:r>
          </w:p>
          <w:p w14:paraId="4746332D" w14:textId="77777777" w:rsidR="00A250BA" w:rsidRDefault="009B30C2" w:rsidP="009B30C2">
            <w:pPr>
              <w:widowControl w:val="0"/>
              <w:spacing w:before="120" w:after="120" w:line="259" w:lineRule="auto"/>
              <w:rPr>
                <w:rFonts w:cstheme="minorHAnsi"/>
              </w:rPr>
            </w:pPr>
            <w:r w:rsidRPr="00603981">
              <w:rPr>
                <w:rFonts w:cstheme="minorHAnsi"/>
              </w:rPr>
              <w:t xml:space="preserve">However, </w:t>
            </w:r>
            <w:r w:rsidRPr="00603981">
              <w:rPr>
                <w:rFonts w:cstheme="minorHAnsi"/>
                <w:i/>
                <w:iCs/>
              </w:rPr>
              <w:t>if</w:t>
            </w:r>
            <w:r w:rsidRPr="00603981">
              <w:rPr>
                <w:rFonts w:cstheme="minorHAnsi"/>
              </w:rPr>
              <w:t xml:space="preserve"> contracts are revisited </w:t>
            </w:r>
            <w:r>
              <w:rPr>
                <w:rFonts w:cstheme="minorHAnsi"/>
              </w:rPr>
              <w:t>and</w:t>
            </w:r>
            <w:r w:rsidRPr="00603981">
              <w:rPr>
                <w:rFonts w:cstheme="minorHAnsi"/>
              </w:rPr>
              <w:t xml:space="preserve"> the cost of </w:t>
            </w:r>
            <w:r>
              <w:rPr>
                <w:rFonts w:cstheme="minorHAnsi"/>
              </w:rPr>
              <w:t>using</w:t>
            </w:r>
            <w:r w:rsidRPr="00603981">
              <w:rPr>
                <w:rFonts w:cstheme="minorHAnsi"/>
              </w:rPr>
              <w:t xml:space="preserve"> </w:t>
            </w:r>
            <w:r>
              <w:rPr>
                <w:rFonts w:cstheme="minorHAnsi"/>
              </w:rPr>
              <w:t xml:space="preserve">labour hire </w:t>
            </w:r>
            <w:r w:rsidRPr="00603981">
              <w:rPr>
                <w:rFonts w:cstheme="minorHAnsi"/>
              </w:rPr>
              <w:t xml:space="preserve">is </w:t>
            </w:r>
            <w:r w:rsidRPr="00603981">
              <w:rPr>
                <w:rFonts w:cstheme="minorHAnsi"/>
                <w:i/>
                <w:iCs/>
              </w:rPr>
              <w:t>increased</w:t>
            </w:r>
            <w:r w:rsidRPr="00603981">
              <w:rPr>
                <w:rFonts w:cstheme="minorHAnsi"/>
              </w:rPr>
              <w:t xml:space="preserve"> </w:t>
            </w:r>
            <w:r>
              <w:rPr>
                <w:rFonts w:cstheme="minorHAnsi"/>
              </w:rPr>
              <w:t>in light of</w:t>
            </w:r>
            <w:r w:rsidRPr="00603981">
              <w:rPr>
                <w:rFonts w:cstheme="minorHAnsi"/>
              </w:rPr>
              <w:t xml:space="preserve"> a higher wage cost, this should </w:t>
            </w:r>
            <w:r w:rsidRPr="000E43BF">
              <w:rPr>
                <w:rFonts w:cstheme="minorHAnsi"/>
              </w:rPr>
              <w:t>not</w:t>
            </w:r>
            <w:r w:rsidRPr="00603981">
              <w:rPr>
                <w:rFonts w:cstheme="minorHAnsi"/>
              </w:rPr>
              <w:t xml:space="preserve"> be treated as separate to the wage cost set out further below regarding the wage impact on labour hire </w:t>
            </w:r>
            <w:r>
              <w:rPr>
                <w:rFonts w:cstheme="minorHAnsi"/>
              </w:rPr>
              <w:t>employers</w:t>
            </w:r>
            <w:r w:rsidRPr="00603981">
              <w:rPr>
                <w:rFonts w:cstheme="minorHAnsi"/>
              </w:rPr>
              <w:t xml:space="preserve"> under this proposal. Put another way, if the cost of higher wages is passed on from labour hire </w:t>
            </w:r>
            <w:r>
              <w:rPr>
                <w:rFonts w:cstheme="minorHAnsi"/>
              </w:rPr>
              <w:t>employers</w:t>
            </w:r>
            <w:r w:rsidRPr="00603981">
              <w:rPr>
                <w:rFonts w:cstheme="minorHAnsi"/>
              </w:rPr>
              <w:t xml:space="preserve"> to host</w:t>
            </w:r>
            <w:r>
              <w:rPr>
                <w:rFonts w:cstheme="minorHAnsi"/>
              </w:rPr>
              <w:t>s</w:t>
            </w:r>
            <w:r w:rsidRPr="00603981">
              <w:rPr>
                <w:rFonts w:cstheme="minorHAnsi"/>
              </w:rPr>
              <w:t xml:space="preserve">, it should not be counted twice when estimating </w:t>
            </w:r>
            <w:r>
              <w:rPr>
                <w:rFonts w:cstheme="minorHAnsi"/>
              </w:rPr>
              <w:t>the</w:t>
            </w:r>
            <w:r w:rsidRPr="00603981">
              <w:rPr>
                <w:rFonts w:cstheme="minorHAnsi"/>
              </w:rPr>
              <w:t xml:space="preserve"> impact of this proposal.</w:t>
            </w:r>
            <w:r>
              <w:rPr>
                <w:rFonts w:cstheme="minorHAnsi"/>
              </w:rPr>
              <w:t xml:space="preserve"> </w:t>
            </w:r>
          </w:p>
          <w:p w14:paraId="4510D837" w14:textId="2E928D5F" w:rsidR="009B30C2" w:rsidRDefault="009B30C2" w:rsidP="009B30C2">
            <w:pPr>
              <w:widowControl w:val="0"/>
              <w:spacing w:before="120" w:after="120" w:line="259" w:lineRule="auto"/>
              <w:rPr>
                <w:rFonts w:cstheme="minorHAnsi"/>
              </w:rPr>
            </w:pPr>
            <w:r>
              <w:rPr>
                <w:rFonts w:cstheme="minorHAnsi"/>
              </w:rPr>
              <w:t>T</w:t>
            </w:r>
            <w:r w:rsidRPr="00603981">
              <w:rPr>
                <w:rFonts w:cstheme="minorHAnsi"/>
              </w:rPr>
              <w:t xml:space="preserve">he increased wage cost will fall to labour hire </w:t>
            </w:r>
            <w:r>
              <w:rPr>
                <w:rFonts w:cstheme="minorHAnsi"/>
              </w:rPr>
              <w:t>employers</w:t>
            </w:r>
            <w:r w:rsidRPr="00603981">
              <w:rPr>
                <w:rFonts w:cstheme="minorHAnsi"/>
              </w:rPr>
              <w:t xml:space="preserve"> in the first instance</w:t>
            </w:r>
            <w:r>
              <w:rPr>
                <w:rFonts w:cstheme="minorHAnsi"/>
              </w:rPr>
              <w:t xml:space="preserve"> – </w:t>
            </w:r>
            <w:r w:rsidRPr="00603981">
              <w:rPr>
                <w:rFonts w:cstheme="minorHAnsi"/>
              </w:rPr>
              <w:t>whether it is passed on to host</w:t>
            </w:r>
            <w:r>
              <w:rPr>
                <w:rFonts w:cstheme="minorHAnsi"/>
              </w:rPr>
              <w:t>s</w:t>
            </w:r>
            <w:r w:rsidRPr="00603981">
              <w:rPr>
                <w:rFonts w:cstheme="minorHAnsi"/>
              </w:rPr>
              <w:t xml:space="preserve"> will be a matter for affected entities to </w:t>
            </w:r>
            <w:r>
              <w:rPr>
                <w:rFonts w:cstheme="minorHAnsi"/>
              </w:rPr>
              <w:t>negotiate</w:t>
            </w:r>
            <w:r w:rsidRPr="00603981">
              <w:rPr>
                <w:rFonts w:cstheme="minorHAnsi"/>
              </w:rPr>
              <w:t>.</w:t>
            </w:r>
          </w:p>
        </w:tc>
      </w:tr>
      <w:tr w:rsidR="0090170F" w:rsidRPr="00603981" w14:paraId="132A46DD" w14:textId="77777777" w:rsidTr="00D0307B">
        <w:tc>
          <w:tcPr>
            <w:tcW w:w="1696" w:type="dxa"/>
          </w:tcPr>
          <w:p w14:paraId="6FAE6E78" w14:textId="0D77F38A" w:rsidR="0090170F" w:rsidRDefault="0090170F" w:rsidP="0090170F">
            <w:pPr>
              <w:widowControl w:val="0"/>
              <w:spacing w:before="120" w:after="120" w:line="259" w:lineRule="auto"/>
              <w:rPr>
                <w:rFonts w:cstheme="minorHAnsi"/>
                <w:b/>
              </w:rPr>
            </w:pPr>
            <w:r>
              <w:rPr>
                <w:rFonts w:cstheme="minorHAnsi"/>
                <w:b/>
              </w:rPr>
              <w:t>Cost of making an application to the Fair Work Commission</w:t>
            </w:r>
          </w:p>
        </w:tc>
        <w:tc>
          <w:tcPr>
            <w:tcW w:w="7364" w:type="dxa"/>
            <w:gridSpan w:val="2"/>
          </w:tcPr>
          <w:p w14:paraId="54358997" w14:textId="77777777" w:rsidR="00226DEE" w:rsidRDefault="0090170F" w:rsidP="0090170F">
            <w:pPr>
              <w:widowControl w:val="0"/>
              <w:spacing w:before="120" w:after="120" w:line="259" w:lineRule="auto"/>
            </w:pPr>
            <w:r>
              <w:t xml:space="preserve">It will be open to hosts to apply for an order from the Fair Work Commission under this measure. Hosts may wish to do so to seek </w:t>
            </w:r>
            <w:r w:rsidR="00226DEE">
              <w:t xml:space="preserve">confirmation about their obligations from the outset of a labour hire arrangement, or may wish to ensure their labour hire provider pays their workers the protected rate of pay under an enforceable decision of the Commission. </w:t>
            </w:r>
          </w:p>
          <w:p w14:paraId="11D0D28E" w14:textId="0B5197B4" w:rsidR="0090170F" w:rsidRDefault="00226DEE" w:rsidP="0090170F">
            <w:pPr>
              <w:widowControl w:val="0"/>
              <w:spacing w:before="120" w:after="120" w:line="259" w:lineRule="auto"/>
              <w:rPr>
                <w:rFonts w:cstheme="minorHAnsi"/>
              </w:rPr>
            </w:pPr>
            <w:r>
              <w:t xml:space="preserve">Where hosts choose to apply to the Commission for an order, they </w:t>
            </w:r>
            <w:r w:rsidR="0090170F">
              <w:t xml:space="preserve">will need to pay the application fee when lodging their application for an order with the Fair </w:t>
            </w:r>
            <w:r w:rsidR="0090170F">
              <w:lastRenderedPageBreak/>
              <w:t xml:space="preserve">Work Commission, which is currently $83.30. As the department is not able to estimate how many </w:t>
            </w:r>
            <w:r>
              <w:t>hosts may</w:t>
            </w:r>
            <w:r w:rsidR="0090170F">
              <w:t xml:space="preserve"> make an application, this cost is noted for completeness. </w:t>
            </w:r>
          </w:p>
        </w:tc>
      </w:tr>
      <w:tr w:rsidR="0090170F" w:rsidRPr="00603981" w14:paraId="74A08C36" w14:textId="77777777" w:rsidTr="00D0307B">
        <w:tc>
          <w:tcPr>
            <w:tcW w:w="1696" w:type="dxa"/>
          </w:tcPr>
          <w:p w14:paraId="62115E11" w14:textId="38DD1852" w:rsidR="0090170F" w:rsidRPr="004F4738" w:rsidRDefault="0090170F" w:rsidP="0090170F">
            <w:pPr>
              <w:widowControl w:val="0"/>
              <w:spacing w:before="120" w:after="120" w:line="259" w:lineRule="auto"/>
              <w:rPr>
                <w:rFonts w:cstheme="minorHAnsi"/>
                <w:b/>
                <w:bCs/>
              </w:rPr>
            </w:pPr>
            <w:r>
              <w:rPr>
                <w:rFonts w:cstheme="minorHAnsi"/>
                <w:b/>
              </w:rPr>
              <w:lastRenderedPageBreak/>
              <w:t>Engaging with a Fair Work Commission application</w:t>
            </w:r>
          </w:p>
        </w:tc>
        <w:tc>
          <w:tcPr>
            <w:tcW w:w="7364" w:type="dxa"/>
            <w:gridSpan w:val="2"/>
          </w:tcPr>
          <w:p w14:paraId="7B67A922" w14:textId="229B4268" w:rsidR="0090170F" w:rsidRDefault="0090170F" w:rsidP="0090170F">
            <w:pPr>
              <w:widowControl w:val="0"/>
              <w:spacing w:before="120" w:after="120" w:line="259" w:lineRule="auto"/>
              <w:rPr>
                <w:rFonts w:cstheme="minorHAnsi"/>
              </w:rPr>
            </w:pPr>
            <w:r>
              <w:rPr>
                <w:rFonts w:cstheme="minorHAnsi"/>
              </w:rPr>
              <w:t>Some hosts may be named in applications to the Fair Work Commission for an order activating entitlements and obligations under this proposal. While the department is unable to quantify how many applications may be made to the Fair Work Commission (see Annexure C), for those hosts involved in applications, the time and financial cost of engaging with that process is expected to vary greatly depending on the circumstances, noting the Fair Work Commission is intended to be a lower cost and more efficient forum than the courts.</w:t>
            </w:r>
          </w:p>
          <w:p w14:paraId="52D07DED" w14:textId="77777777" w:rsidR="0090170F" w:rsidRDefault="0090170F" w:rsidP="0090170F">
            <w:pPr>
              <w:widowControl w:val="0"/>
              <w:spacing w:before="120" w:after="120" w:line="259" w:lineRule="auto"/>
              <w:rPr>
                <w:rFonts w:cstheme="minorHAnsi"/>
              </w:rPr>
            </w:pPr>
            <w:r>
              <w:rPr>
                <w:rFonts w:cstheme="minorHAnsi"/>
              </w:rPr>
              <w:t>The Fair Work Commission can consider various factors when deciding whether to make an order, and the complexity of applications will vary greatly depending on how many of these factors the Commission considers, or how many issues a host may wish to draw to the Commission’s attention. This potential variance between circumstances means it is not possible to quantify accurately the cost of engaging with Fair Work Commission applications.</w:t>
            </w:r>
          </w:p>
          <w:p w14:paraId="237BE19D" w14:textId="77777777" w:rsidR="0090170F" w:rsidRDefault="0090170F" w:rsidP="0090170F">
            <w:pPr>
              <w:widowControl w:val="0"/>
              <w:spacing w:before="120" w:after="120" w:line="259" w:lineRule="auto"/>
              <w:rPr>
                <w:rFonts w:cstheme="minorHAnsi"/>
              </w:rPr>
            </w:pPr>
            <w:r>
              <w:rPr>
                <w:rFonts w:cstheme="minorHAnsi"/>
              </w:rPr>
              <w:t>For example, a host using labour hire simply to supplement its existing workforce may have less complicated submissions or evidence for the Fair Work Commission that, for example, a host actually engaging in a service contracting arrangement, which may require additional evidence about how the service contract work differs from work undertaken from host employees.</w:t>
            </w:r>
          </w:p>
          <w:p w14:paraId="2FFF6A5F" w14:textId="06B57C85" w:rsidR="0090170F" w:rsidRPr="00E54053" w:rsidRDefault="0090170F" w:rsidP="0090170F">
            <w:pPr>
              <w:widowControl w:val="0"/>
              <w:spacing w:before="120" w:after="120" w:line="259" w:lineRule="auto"/>
              <w:rPr>
                <w:rFonts w:cstheme="minorHAnsi"/>
              </w:rPr>
            </w:pPr>
            <w:r>
              <w:rPr>
                <w:rFonts w:cstheme="minorHAnsi"/>
              </w:rPr>
              <w:t>W</w:t>
            </w:r>
            <w:r w:rsidRPr="00603981">
              <w:rPr>
                <w:rFonts w:cstheme="minorHAnsi"/>
              </w:rPr>
              <w:t xml:space="preserve">hile the duration, complexity and practical requirements of </w:t>
            </w:r>
            <w:r>
              <w:rPr>
                <w:rFonts w:cstheme="minorHAnsi"/>
              </w:rPr>
              <w:t>responding to applications</w:t>
            </w:r>
            <w:r w:rsidRPr="00603981">
              <w:rPr>
                <w:rFonts w:cstheme="minorHAnsi"/>
              </w:rPr>
              <w:t xml:space="preserve"> will be informed by </w:t>
            </w:r>
            <w:r>
              <w:rPr>
                <w:rFonts w:cstheme="minorHAnsi"/>
              </w:rPr>
              <w:t xml:space="preserve">the </w:t>
            </w:r>
            <w:r w:rsidRPr="00603981">
              <w:rPr>
                <w:rFonts w:cstheme="minorHAnsi"/>
              </w:rPr>
              <w:t xml:space="preserve">specific circumstances, it is anticipated that </w:t>
            </w:r>
            <w:r>
              <w:rPr>
                <w:rFonts w:cstheme="minorHAnsi"/>
              </w:rPr>
              <w:t>these applications</w:t>
            </w:r>
            <w:r w:rsidRPr="00603981">
              <w:rPr>
                <w:rFonts w:cstheme="minorHAnsi"/>
              </w:rPr>
              <w:t xml:space="preserve"> may require</w:t>
            </w:r>
            <w:r>
              <w:rPr>
                <w:rFonts w:cstheme="minorHAnsi"/>
              </w:rPr>
              <w:t xml:space="preserve"> </w:t>
            </w:r>
            <w:r w:rsidRPr="00307F60">
              <w:rPr>
                <w:rFonts w:cstheme="minorHAnsi"/>
              </w:rPr>
              <w:t>preparing submissions and evidence</w:t>
            </w:r>
            <w:r>
              <w:rPr>
                <w:rFonts w:cstheme="minorHAnsi"/>
              </w:rPr>
              <w:t xml:space="preserve"> (</w:t>
            </w:r>
            <w:r w:rsidRPr="00307F60">
              <w:rPr>
                <w:rFonts w:cstheme="minorHAnsi"/>
              </w:rPr>
              <w:t>including in relation to business operations and the rates payable under the host’s enterprise agreement</w:t>
            </w:r>
            <w:r>
              <w:rPr>
                <w:rFonts w:cstheme="minorHAnsi"/>
              </w:rPr>
              <w:t>) and attending conferences and hearings of the Fair Work Commission while an application is considered.</w:t>
            </w:r>
          </w:p>
        </w:tc>
      </w:tr>
      <w:tr w:rsidR="0090170F" w:rsidRPr="00603981" w14:paraId="3A1719C7" w14:textId="77777777">
        <w:trPr>
          <w:gridAfter w:val="1"/>
          <w:wAfter w:w="44" w:type="dxa"/>
        </w:trPr>
        <w:tc>
          <w:tcPr>
            <w:tcW w:w="1696" w:type="dxa"/>
          </w:tcPr>
          <w:p w14:paraId="1CFD9B41" w14:textId="43186BBD" w:rsidR="0090170F" w:rsidRPr="00603981" w:rsidRDefault="0090170F" w:rsidP="0090170F">
            <w:pPr>
              <w:widowControl w:val="0"/>
              <w:spacing w:before="120" w:after="120" w:line="259" w:lineRule="auto"/>
              <w:rPr>
                <w:rStyle w:val="cf11"/>
                <w:rFonts w:asciiTheme="minorHAnsi" w:hAnsiTheme="minorHAnsi" w:cstheme="minorHAnsi"/>
                <w:b/>
                <w:bCs/>
                <w:sz w:val="22"/>
                <w:szCs w:val="22"/>
              </w:rPr>
            </w:pPr>
            <w:r>
              <w:rPr>
                <w:rFonts w:cstheme="minorHAnsi"/>
                <w:b/>
              </w:rPr>
              <w:t>Providing information to a labour hire employer</w:t>
            </w:r>
          </w:p>
        </w:tc>
        <w:tc>
          <w:tcPr>
            <w:tcW w:w="7320" w:type="dxa"/>
          </w:tcPr>
          <w:p w14:paraId="2A662C77" w14:textId="77777777" w:rsidR="0090170F" w:rsidRDefault="0090170F" w:rsidP="0090170F">
            <w:pPr>
              <w:widowControl w:val="0"/>
              <w:spacing w:before="120" w:after="120" w:line="259" w:lineRule="auto"/>
              <w:rPr>
                <w:rFonts w:cstheme="minorHAnsi"/>
              </w:rPr>
            </w:pPr>
            <w:r>
              <w:rPr>
                <w:rFonts w:cstheme="minorHAnsi"/>
              </w:rPr>
              <w:t>If a Fair Work Commission order is made, a labour hire employer may request additional information from a host in relation to calculating the correct rates of pay for employees covered by the order. Complying with these requests will attract some administrative cost, however the department is unable to estimate accurately:</w:t>
            </w:r>
          </w:p>
          <w:p w14:paraId="2CC48A54" w14:textId="13914F70" w:rsidR="0090170F" w:rsidRDefault="0090170F" w:rsidP="0090170F">
            <w:pPr>
              <w:pStyle w:val="ListParagraph"/>
              <w:widowControl w:val="0"/>
              <w:numPr>
                <w:ilvl w:val="0"/>
                <w:numId w:val="39"/>
              </w:numPr>
              <w:spacing w:before="120" w:after="120" w:line="259" w:lineRule="auto"/>
              <w:contextualSpacing w:val="0"/>
              <w:rPr>
                <w:rFonts w:cstheme="minorHAnsi"/>
              </w:rPr>
            </w:pPr>
            <w:r>
              <w:rPr>
                <w:rFonts w:cstheme="minorHAnsi"/>
              </w:rPr>
              <w:t>the number of labour hire employers that may be subject to a Fair Work Commission order, and of these, how many may request additional information to be able to calculate the correct rate of pay under the host’s enterprise agreement; and</w:t>
            </w:r>
          </w:p>
          <w:p w14:paraId="0AFB7BBB" w14:textId="77777777" w:rsidR="0090170F" w:rsidRDefault="0090170F" w:rsidP="0090170F">
            <w:pPr>
              <w:pStyle w:val="ListParagraph"/>
              <w:widowControl w:val="0"/>
              <w:numPr>
                <w:ilvl w:val="0"/>
                <w:numId w:val="39"/>
              </w:numPr>
              <w:spacing w:before="120" w:after="120" w:line="259" w:lineRule="auto"/>
              <w:contextualSpacing w:val="0"/>
              <w:rPr>
                <w:rFonts w:cstheme="minorHAnsi"/>
              </w:rPr>
            </w:pPr>
            <w:r>
              <w:rPr>
                <w:rFonts w:cstheme="minorHAnsi"/>
              </w:rPr>
              <w:t>if a request is made, the volume or complexity of that information.</w:t>
            </w:r>
          </w:p>
          <w:p w14:paraId="11350540" w14:textId="0C96B830" w:rsidR="0090170F" w:rsidRPr="00603981" w:rsidRDefault="0090170F" w:rsidP="0090170F">
            <w:pPr>
              <w:widowControl w:val="0"/>
              <w:spacing w:before="120" w:after="120" w:line="259" w:lineRule="auto"/>
              <w:rPr>
                <w:rStyle w:val="cf11"/>
                <w:rFonts w:asciiTheme="minorHAnsi" w:hAnsiTheme="minorHAnsi" w:cstheme="minorBidi"/>
                <w:sz w:val="22"/>
                <w:szCs w:val="22"/>
              </w:rPr>
            </w:pPr>
            <w:r>
              <w:rPr>
                <w:rFonts w:cstheme="minorHAnsi"/>
              </w:rPr>
              <w:t xml:space="preserve">If hosts receive a request for additional information, the cost of complying with this obligation is estimated to accrue at $79.63 per hour (using the Office of Impact Analysis’ </w:t>
            </w:r>
            <w:r w:rsidRPr="00DD6B24">
              <w:rPr>
                <w:rFonts w:cstheme="minorHAnsi"/>
              </w:rPr>
              <w:t>work related labour rate</w:t>
            </w:r>
            <w:r>
              <w:rPr>
                <w:rFonts w:cstheme="minorHAnsi"/>
              </w:rPr>
              <w:t>), but the actual length of time it may take to comply is not able to be estimated due to a lack of relevant data about the complexity and frequency of any requests that may be made.</w:t>
            </w:r>
          </w:p>
        </w:tc>
      </w:tr>
      <w:tr w:rsidR="0090170F" w:rsidRPr="00603981" w14:paraId="3E225965" w14:textId="77777777">
        <w:trPr>
          <w:gridAfter w:val="1"/>
          <w:wAfter w:w="44" w:type="dxa"/>
        </w:trPr>
        <w:tc>
          <w:tcPr>
            <w:tcW w:w="1696" w:type="dxa"/>
          </w:tcPr>
          <w:p w14:paraId="2010E2C2" w14:textId="7E7A1C16" w:rsidR="0090170F" w:rsidRPr="00603981" w:rsidRDefault="0090170F" w:rsidP="0090170F">
            <w:pPr>
              <w:widowControl w:val="0"/>
              <w:spacing w:before="120" w:after="120" w:line="259" w:lineRule="auto"/>
              <w:rPr>
                <w:rStyle w:val="cf11"/>
                <w:rFonts w:asciiTheme="minorHAnsi" w:hAnsiTheme="minorHAnsi" w:cstheme="minorHAnsi"/>
                <w:b/>
                <w:bCs/>
                <w:sz w:val="22"/>
                <w:szCs w:val="22"/>
              </w:rPr>
            </w:pPr>
            <w:r>
              <w:rPr>
                <w:rFonts w:cstheme="minorHAnsi"/>
                <w:b/>
                <w:bCs/>
              </w:rPr>
              <w:lastRenderedPageBreak/>
              <w:t xml:space="preserve">Engaging with </w:t>
            </w:r>
            <w:r w:rsidRPr="00603981">
              <w:rPr>
                <w:rFonts w:cstheme="minorHAnsi"/>
                <w:b/>
                <w:bCs/>
              </w:rPr>
              <w:t>disputes</w:t>
            </w:r>
          </w:p>
        </w:tc>
        <w:tc>
          <w:tcPr>
            <w:tcW w:w="7320" w:type="dxa"/>
          </w:tcPr>
          <w:p w14:paraId="3A575F8A" w14:textId="0D24C48F" w:rsidR="0090170F" w:rsidRDefault="0090170F" w:rsidP="0090170F">
            <w:pPr>
              <w:widowControl w:val="0"/>
              <w:spacing w:before="120" w:after="120" w:line="259" w:lineRule="auto"/>
              <w:rPr>
                <w:rFonts w:cstheme="minorHAnsi"/>
              </w:rPr>
            </w:pPr>
            <w:r>
              <w:rPr>
                <w:rFonts w:cstheme="minorHAnsi"/>
              </w:rPr>
              <w:t>If a dispute arises about a Fair Work Commission order or a party’s obligations, t</w:t>
            </w:r>
            <w:r w:rsidRPr="00603981">
              <w:rPr>
                <w:rFonts w:cstheme="minorHAnsi"/>
              </w:rPr>
              <w:t xml:space="preserve">he time and financial cost of </w:t>
            </w:r>
            <w:r>
              <w:rPr>
                <w:rFonts w:cstheme="minorHAnsi"/>
              </w:rPr>
              <w:t>engaging with the</w:t>
            </w:r>
            <w:r w:rsidRPr="00603981">
              <w:rPr>
                <w:rFonts w:cstheme="minorHAnsi"/>
              </w:rPr>
              <w:t xml:space="preserve"> dispute </w:t>
            </w:r>
            <w:r>
              <w:rPr>
                <w:rFonts w:cstheme="minorHAnsi"/>
              </w:rPr>
              <w:t>will</w:t>
            </w:r>
            <w:r w:rsidRPr="00603981">
              <w:rPr>
                <w:rFonts w:cstheme="minorHAnsi"/>
              </w:rPr>
              <w:t xml:space="preserve"> vary between circumstances</w:t>
            </w:r>
            <w:r>
              <w:rPr>
                <w:rFonts w:cstheme="minorHAnsi"/>
              </w:rPr>
              <w:t xml:space="preserve"> and is therefore difficult to quantify, noting however (as above) that the Fair Work Commission is intended to be a lower cost and more expedient forum than the courts</w:t>
            </w:r>
            <w:r w:rsidRPr="00603981">
              <w:rPr>
                <w:rFonts w:cstheme="minorHAnsi"/>
              </w:rPr>
              <w:t xml:space="preserve">. </w:t>
            </w:r>
            <w:r>
              <w:rPr>
                <w:rFonts w:cstheme="minorHAnsi"/>
              </w:rPr>
              <w:t xml:space="preserve">As with engaging in a Fair Work Commission application, engaging with a dispute may require </w:t>
            </w:r>
            <w:r w:rsidRPr="00307F60">
              <w:rPr>
                <w:rFonts w:cstheme="minorHAnsi"/>
              </w:rPr>
              <w:t>preparing submissions and evidence</w:t>
            </w:r>
            <w:r>
              <w:rPr>
                <w:rFonts w:cstheme="minorHAnsi"/>
              </w:rPr>
              <w:t xml:space="preserve"> and attending conferences and hearings of the Fair Work Commission.</w:t>
            </w:r>
          </w:p>
          <w:p w14:paraId="6AB97772" w14:textId="77777777" w:rsidR="0090170F" w:rsidRDefault="0090170F" w:rsidP="0090170F">
            <w:pPr>
              <w:widowControl w:val="0"/>
              <w:spacing w:before="120" w:after="120" w:line="259" w:lineRule="auto"/>
            </w:pPr>
            <w:r w:rsidRPr="00603981">
              <w:t>In addition, the Office of Impact Analysis’s Guidance Note on the Regulatory Burden Measurement Framework</w:t>
            </w:r>
            <w:r w:rsidRPr="00603981">
              <w:rPr>
                <w:rFonts w:cstheme="minorHAnsi"/>
                <w:vertAlign w:val="superscript"/>
              </w:rPr>
              <w:footnoteReference w:id="55"/>
            </w:r>
            <w:r w:rsidRPr="00603981">
              <w:t xml:space="preserve"> advises that certain costs are excluded from the Regulatory Burden Measurement Framework and are not required to be considered when quantifying an estimate of burden. Relevantly, this includes ‘Non-compliance and enforcement costs’, including costs incurred in court and tribunal processes. </w:t>
            </w:r>
          </w:p>
          <w:p w14:paraId="55266CA2" w14:textId="046972E8" w:rsidR="0090170F" w:rsidRPr="00603981" w:rsidRDefault="0090170F" w:rsidP="0090170F">
            <w:pPr>
              <w:widowControl w:val="0"/>
              <w:spacing w:before="120" w:after="120" w:line="259" w:lineRule="auto"/>
              <w:rPr>
                <w:rStyle w:val="cf11"/>
                <w:rFonts w:asciiTheme="minorHAnsi" w:hAnsiTheme="minorHAnsi" w:cstheme="minorBidi"/>
                <w:sz w:val="22"/>
                <w:szCs w:val="22"/>
              </w:rPr>
            </w:pPr>
            <w:r w:rsidRPr="00603981">
              <w:rPr>
                <w:rFonts w:cstheme="minorHAnsi"/>
              </w:rPr>
              <w:t xml:space="preserve">If a dispute in court concludes </w:t>
            </w:r>
            <w:r>
              <w:rPr>
                <w:rFonts w:cstheme="minorHAnsi"/>
              </w:rPr>
              <w:t>that</w:t>
            </w:r>
            <w:r w:rsidRPr="00603981">
              <w:rPr>
                <w:rFonts w:cstheme="minorHAnsi"/>
              </w:rPr>
              <w:t xml:space="preserve"> a host has deliberately not complied with their obligations under this proposal, regulatory impacts relating to engaging with the dispute can be taken to have been </w:t>
            </w:r>
            <w:r>
              <w:rPr>
                <w:rFonts w:cstheme="minorHAnsi"/>
              </w:rPr>
              <w:t xml:space="preserve">avoidable </w:t>
            </w:r>
            <w:r w:rsidRPr="00603981">
              <w:rPr>
                <w:rFonts w:cstheme="minorHAnsi"/>
              </w:rPr>
              <w:t xml:space="preserve">had the host complied with their obligations in the first place. This regulatory impact should not be treated as an </w:t>
            </w:r>
            <w:r w:rsidRPr="00603981">
              <w:rPr>
                <w:rFonts w:cstheme="minorHAnsi"/>
                <w:i/>
                <w:iCs/>
              </w:rPr>
              <w:t xml:space="preserve">additional </w:t>
            </w:r>
            <w:r w:rsidRPr="00603981">
              <w:rPr>
                <w:rFonts w:cstheme="minorHAnsi"/>
              </w:rPr>
              <w:t xml:space="preserve">burden </w:t>
            </w:r>
            <w:r>
              <w:rPr>
                <w:rFonts w:cstheme="minorHAnsi"/>
              </w:rPr>
              <w:t>on business</w:t>
            </w:r>
            <w:r w:rsidRPr="00603981">
              <w:rPr>
                <w:rFonts w:cstheme="minorHAnsi"/>
              </w:rPr>
              <w:t>.</w:t>
            </w:r>
          </w:p>
        </w:tc>
      </w:tr>
      <w:tr w:rsidR="0090170F" w:rsidRPr="00603981" w14:paraId="06088A24" w14:textId="77777777">
        <w:trPr>
          <w:gridAfter w:val="1"/>
          <w:wAfter w:w="44" w:type="dxa"/>
        </w:trPr>
        <w:tc>
          <w:tcPr>
            <w:tcW w:w="1696" w:type="dxa"/>
          </w:tcPr>
          <w:p w14:paraId="46CC49AA" w14:textId="5C69EF51" w:rsidR="0090170F" w:rsidRPr="00603981" w:rsidRDefault="0090170F" w:rsidP="0090170F">
            <w:pPr>
              <w:pStyle w:val="pf0"/>
              <w:widowControl w:val="0"/>
              <w:spacing w:before="120" w:beforeAutospacing="0" w:after="120" w:afterAutospacing="0" w:line="259" w:lineRule="auto"/>
              <w:rPr>
                <w:rStyle w:val="cf11"/>
                <w:rFonts w:asciiTheme="minorHAnsi" w:hAnsiTheme="minorHAnsi" w:cstheme="minorHAnsi"/>
                <w:b/>
                <w:bCs/>
                <w:sz w:val="22"/>
                <w:szCs w:val="22"/>
              </w:rPr>
            </w:pPr>
            <w:r w:rsidRPr="009B30C2">
              <w:rPr>
                <w:rFonts w:asciiTheme="minorHAnsi" w:hAnsiTheme="minorHAnsi" w:cstheme="minorHAnsi"/>
                <w:b/>
                <w:bCs/>
                <w:sz w:val="22"/>
                <w:szCs w:val="22"/>
              </w:rPr>
              <w:t>Cost from engaging more employees instead of using labour hire</w:t>
            </w:r>
          </w:p>
        </w:tc>
        <w:tc>
          <w:tcPr>
            <w:tcW w:w="7320" w:type="dxa"/>
          </w:tcPr>
          <w:p w14:paraId="39FD775C" w14:textId="1AF17EFF" w:rsidR="0090170F" w:rsidRPr="0063754A" w:rsidRDefault="0090170F" w:rsidP="0090170F">
            <w:pPr>
              <w:widowControl w:val="0"/>
              <w:spacing w:before="120" w:after="120" w:line="259" w:lineRule="auto"/>
            </w:pPr>
            <w:r w:rsidRPr="0063754A">
              <w:t xml:space="preserve">The Government’s proposal may cause some hosts to consider engaging more employees instead of using labour hire. The number of hosts that may consider this, and any associated costs, cannot be quantified because they will vary between circumstances and will be informed by, among other things, the exact pay rates in a host’s enterprise agreement and the nature of the employee’s engagement. That noted, relevant costs are likely to relate to wages paid directly to new employees, and other overhead costs associated with onboarding, training, and developing those new employees (which are costs that may have otherwise been absorbed by a labour hire provider). </w:t>
            </w:r>
          </w:p>
          <w:p w14:paraId="2632CDA9" w14:textId="4BD8E6CD" w:rsidR="0090170F" w:rsidRPr="00603981" w:rsidRDefault="0090170F" w:rsidP="0090170F">
            <w:pPr>
              <w:widowControl w:val="0"/>
              <w:spacing w:before="120" w:after="120" w:line="259" w:lineRule="auto"/>
              <w:rPr>
                <w:rStyle w:val="cf11"/>
                <w:rFonts w:asciiTheme="minorHAnsi" w:hAnsiTheme="minorHAnsi" w:cstheme="minorHAnsi"/>
                <w:sz w:val="22"/>
                <w:szCs w:val="22"/>
              </w:rPr>
            </w:pPr>
            <w:r w:rsidRPr="0063754A">
              <w:t xml:space="preserve">Paying a worker directly may, in some circumstances, result in an immediate cost saving. This is because, if a host was paying a labour hire employer a fee in recognition of the labour hire employee’s wage </w:t>
            </w:r>
            <w:r w:rsidRPr="00D0307B">
              <w:t>plus</w:t>
            </w:r>
            <w:r w:rsidRPr="0063754A">
              <w:t xml:space="preserve"> an additional amount, that additional amount would not need to be paid if the labour hire employee were employed directly – noting that, if more people are employed directly, the onboarding and training costs referred to above may be incurred.</w:t>
            </w:r>
          </w:p>
        </w:tc>
      </w:tr>
    </w:tbl>
    <w:p w14:paraId="0AC0D6FB" w14:textId="77777777" w:rsidR="009B30C2" w:rsidRDefault="009B30C2" w:rsidP="00253598">
      <w:pPr>
        <w:spacing w:after="0" w:line="240" w:lineRule="auto"/>
      </w:pPr>
    </w:p>
    <w:tbl>
      <w:tblPr>
        <w:tblStyle w:val="TableGrid"/>
        <w:tblW w:w="0" w:type="auto"/>
        <w:tblLook w:val="04A0" w:firstRow="1" w:lastRow="0" w:firstColumn="1" w:lastColumn="0" w:noHBand="0" w:noVBand="1"/>
      </w:tblPr>
      <w:tblGrid>
        <w:gridCol w:w="1696"/>
        <w:gridCol w:w="7320"/>
      </w:tblGrid>
      <w:tr w:rsidR="00AE4775" w:rsidRPr="00603981" w14:paraId="0ACF2F53" w14:textId="77777777" w:rsidTr="683E97CD">
        <w:tc>
          <w:tcPr>
            <w:tcW w:w="9016" w:type="dxa"/>
            <w:gridSpan w:val="2"/>
            <w:shd w:val="clear" w:color="auto" w:fill="404246"/>
          </w:tcPr>
          <w:p w14:paraId="4A571BB8" w14:textId="670EE9BD" w:rsidR="00AE4775" w:rsidRPr="00603981" w:rsidRDefault="00AE4775" w:rsidP="00253598">
            <w:pPr>
              <w:widowControl w:val="0"/>
              <w:spacing w:before="120" w:after="120" w:line="259" w:lineRule="auto"/>
              <w:rPr>
                <w:rFonts w:cstheme="minorHAnsi"/>
                <w:b/>
                <w:bCs/>
                <w:color w:val="FFFFFF" w:themeColor="background1"/>
              </w:rPr>
            </w:pPr>
            <w:r w:rsidRPr="00603981">
              <w:rPr>
                <w:rFonts w:cstheme="minorHAnsi"/>
                <w:b/>
                <w:bCs/>
                <w:color w:val="FFFFFF" w:themeColor="background1"/>
              </w:rPr>
              <w:t xml:space="preserve">2. Estimating cost impacts for </w:t>
            </w:r>
            <w:r w:rsidRPr="00603981">
              <w:rPr>
                <w:rFonts w:cstheme="minorHAnsi"/>
                <w:b/>
                <w:bCs/>
                <w:color w:val="FFFFFF" w:themeColor="background1"/>
                <w:u w:val="single"/>
              </w:rPr>
              <w:t xml:space="preserve">labour </w:t>
            </w:r>
            <w:r w:rsidR="001B6E60" w:rsidRPr="00603981">
              <w:rPr>
                <w:rFonts w:cstheme="minorHAnsi"/>
                <w:b/>
                <w:bCs/>
                <w:color w:val="FFFFFF" w:themeColor="background1"/>
                <w:u w:val="single"/>
              </w:rPr>
              <w:t xml:space="preserve">hire </w:t>
            </w:r>
            <w:r w:rsidR="0063754A">
              <w:rPr>
                <w:rFonts w:cstheme="minorHAnsi"/>
                <w:b/>
                <w:bCs/>
                <w:color w:val="FFFFFF" w:themeColor="background1"/>
                <w:u w:val="single"/>
              </w:rPr>
              <w:t>employers</w:t>
            </w:r>
          </w:p>
        </w:tc>
      </w:tr>
      <w:tr w:rsidR="00AE4775" w:rsidRPr="00603981" w14:paraId="37E76C90" w14:textId="77777777" w:rsidTr="683E97CD">
        <w:tc>
          <w:tcPr>
            <w:tcW w:w="1696" w:type="dxa"/>
            <w:shd w:val="clear" w:color="auto" w:fill="7A9F4C"/>
          </w:tcPr>
          <w:p w14:paraId="49572F96" w14:textId="77777777" w:rsidR="00AE4775" w:rsidRPr="00603981" w:rsidRDefault="00AE4775" w:rsidP="00253598">
            <w:pPr>
              <w:widowControl w:val="0"/>
              <w:spacing w:before="120" w:after="120" w:line="259" w:lineRule="auto"/>
              <w:rPr>
                <w:rFonts w:cstheme="minorHAnsi"/>
                <w:b/>
                <w:bCs/>
                <w:color w:val="FFFFFF" w:themeColor="background1"/>
                <w:u w:val="single"/>
              </w:rPr>
            </w:pPr>
            <w:r w:rsidRPr="00603981">
              <w:rPr>
                <w:rFonts w:cstheme="minorHAnsi"/>
                <w:b/>
                <w:bCs/>
                <w:color w:val="FFFFFF" w:themeColor="background1"/>
              </w:rPr>
              <w:t>Cost category</w:t>
            </w:r>
          </w:p>
        </w:tc>
        <w:tc>
          <w:tcPr>
            <w:tcW w:w="7320" w:type="dxa"/>
            <w:shd w:val="clear" w:color="auto" w:fill="7A9F4C"/>
          </w:tcPr>
          <w:p w14:paraId="30C95C51" w14:textId="77777777" w:rsidR="00AE4775" w:rsidRPr="00603981" w:rsidRDefault="00AE4775" w:rsidP="00253598">
            <w:pPr>
              <w:widowControl w:val="0"/>
              <w:spacing w:before="120" w:after="120" w:line="259" w:lineRule="auto"/>
              <w:rPr>
                <w:rFonts w:cstheme="minorHAnsi"/>
                <w:b/>
                <w:bCs/>
                <w:color w:val="FFFFFF" w:themeColor="background1"/>
              </w:rPr>
            </w:pPr>
            <w:r w:rsidRPr="00603981">
              <w:rPr>
                <w:rFonts w:cstheme="minorHAnsi"/>
                <w:b/>
                <w:bCs/>
                <w:color w:val="FFFFFF" w:themeColor="background1"/>
              </w:rPr>
              <w:t>Analysis</w:t>
            </w:r>
          </w:p>
        </w:tc>
      </w:tr>
      <w:tr w:rsidR="00A01CB7" w:rsidRPr="00603981" w14:paraId="67117732" w14:textId="77777777" w:rsidTr="683E97CD">
        <w:tc>
          <w:tcPr>
            <w:tcW w:w="1696" w:type="dxa"/>
          </w:tcPr>
          <w:p w14:paraId="42E84694" w14:textId="12A675AC" w:rsidR="00A01CB7" w:rsidRPr="00603981" w:rsidRDefault="00D2388C" w:rsidP="00253598">
            <w:pPr>
              <w:widowControl w:val="0"/>
              <w:spacing w:before="120" w:after="120" w:line="259" w:lineRule="auto"/>
              <w:rPr>
                <w:rFonts w:cstheme="minorHAnsi"/>
                <w:b/>
              </w:rPr>
            </w:pPr>
            <w:r>
              <w:rPr>
                <w:rFonts w:cstheme="minorHAnsi"/>
                <w:b/>
              </w:rPr>
              <w:t xml:space="preserve">Reviewing guidance materials on </w:t>
            </w:r>
            <w:r>
              <w:rPr>
                <w:rFonts w:cstheme="minorHAnsi"/>
                <w:b/>
              </w:rPr>
              <w:lastRenderedPageBreak/>
              <w:t>the application process</w:t>
            </w:r>
          </w:p>
        </w:tc>
        <w:tc>
          <w:tcPr>
            <w:tcW w:w="7320" w:type="dxa"/>
          </w:tcPr>
          <w:p w14:paraId="3893CB41" w14:textId="77777777" w:rsidR="00A01CB7" w:rsidRDefault="009447F4" w:rsidP="00F80AEA">
            <w:pPr>
              <w:widowControl w:val="0"/>
              <w:spacing w:before="120" w:after="120" w:line="259" w:lineRule="auto"/>
              <w:rPr>
                <w:rFonts w:cstheme="minorHAnsi"/>
              </w:rPr>
            </w:pPr>
            <w:r>
              <w:rPr>
                <w:rFonts w:cstheme="minorHAnsi"/>
              </w:rPr>
              <w:lastRenderedPageBreak/>
              <w:t>As with hosts, labour hire employers may also incur administrative costs by reviewing guidance materials on this proposal</w:t>
            </w:r>
            <w:r w:rsidR="00B864BE">
              <w:rPr>
                <w:rFonts w:cstheme="minorHAnsi"/>
              </w:rPr>
              <w:t xml:space="preserve"> (including on the Fair Work Commission application process and related obligations),</w:t>
            </w:r>
            <w:r>
              <w:rPr>
                <w:rFonts w:cstheme="minorHAnsi"/>
              </w:rPr>
              <w:t xml:space="preserve"> once legislated.</w:t>
            </w:r>
          </w:p>
          <w:p w14:paraId="43C72163" w14:textId="4229E668" w:rsidR="00B864BE" w:rsidRDefault="00B864BE" w:rsidP="00F80AEA">
            <w:pPr>
              <w:widowControl w:val="0"/>
              <w:spacing w:before="120" w:after="120" w:line="259" w:lineRule="auto"/>
              <w:rPr>
                <w:rFonts w:cstheme="minorHAnsi"/>
              </w:rPr>
            </w:pPr>
            <w:r>
              <w:rPr>
                <w:rFonts w:cstheme="minorHAnsi"/>
              </w:rPr>
              <w:lastRenderedPageBreak/>
              <w:t>While quantifying this cost is difficult in relation to hosts, data</w:t>
            </w:r>
            <w:r w:rsidR="00361DB7">
              <w:rPr>
                <w:rFonts w:cstheme="minorHAnsi"/>
              </w:rPr>
              <w:t xml:space="preserve"> is available</w:t>
            </w:r>
            <w:r>
              <w:rPr>
                <w:rFonts w:cstheme="minorHAnsi"/>
              </w:rPr>
              <w:t xml:space="preserve"> on the number of labour hire employers in Australia</w:t>
            </w:r>
            <w:r w:rsidR="00361DB7">
              <w:rPr>
                <w:rFonts w:cstheme="minorHAnsi"/>
              </w:rPr>
              <w:t>, with reference to the number of</w:t>
            </w:r>
            <w:r>
              <w:rPr>
                <w:rFonts w:cstheme="minorHAnsi"/>
              </w:rPr>
              <w:t xml:space="preserve"> </w:t>
            </w:r>
            <w:r w:rsidR="00361DB7" w:rsidRPr="000E43BF">
              <w:rPr>
                <w:rFonts w:cstheme="minorHAnsi"/>
                <w:i/>
                <w:iCs/>
              </w:rPr>
              <w:t>employing</w:t>
            </w:r>
            <w:r w:rsidR="00361DB7" w:rsidRPr="00603981">
              <w:rPr>
                <w:rFonts w:cstheme="minorHAnsi"/>
              </w:rPr>
              <w:t xml:space="preserve"> businesses in Labour Supply Services</w:t>
            </w:r>
            <w:r w:rsidR="00361DB7">
              <w:rPr>
                <w:rFonts w:cstheme="minorHAnsi"/>
              </w:rPr>
              <w:t xml:space="preserve"> according to ABS data</w:t>
            </w:r>
            <w:r w:rsidR="00361DB7" w:rsidRPr="00603981">
              <w:rPr>
                <w:rStyle w:val="FootnoteReference"/>
                <w:rFonts w:cstheme="minorHAnsi"/>
              </w:rPr>
              <w:footnoteReference w:id="56"/>
            </w:r>
            <w:r>
              <w:rPr>
                <w:rFonts w:cstheme="minorHAnsi"/>
              </w:rPr>
              <w:t xml:space="preserve">– </w:t>
            </w:r>
            <w:r w:rsidR="00F55E6D">
              <w:rPr>
                <w:rFonts w:cstheme="minorHAnsi"/>
              </w:rPr>
              <w:t xml:space="preserve">that is, </w:t>
            </w:r>
            <w:r w:rsidR="00361DB7" w:rsidRPr="00603981">
              <w:rPr>
                <w:rFonts w:cstheme="minorHAnsi"/>
              </w:rPr>
              <w:t>6,245</w:t>
            </w:r>
            <w:r w:rsidR="00361DB7">
              <w:rPr>
                <w:rFonts w:cstheme="minorHAnsi"/>
              </w:rPr>
              <w:t>.</w:t>
            </w:r>
          </w:p>
          <w:p w14:paraId="63E86FAF" w14:textId="73C10C10" w:rsidR="00361DB7" w:rsidRDefault="00361DB7" w:rsidP="005327B4">
            <w:pPr>
              <w:widowControl w:val="0"/>
              <w:spacing w:before="120" w:after="120" w:line="259" w:lineRule="auto"/>
              <w:rPr>
                <w:rFonts w:cstheme="minorHAnsi"/>
              </w:rPr>
            </w:pPr>
            <w:r>
              <w:rPr>
                <w:rFonts w:cstheme="minorHAnsi"/>
              </w:rPr>
              <w:t xml:space="preserve">Using this figure, and adopting the same assumption </w:t>
            </w:r>
            <w:r w:rsidR="008B0ECB">
              <w:rPr>
                <w:rFonts w:cstheme="minorHAnsi"/>
              </w:rPr>
              <w:t>used above in relation to the review of guidance material taking 30 minutes per business the department estimates labour hire employers</w:t>
            </w:r>
            <w:r w:rsidR="00AD7815">
              <w:rPr>
                <w:rFonts w:cstheme="minorHAnsi"/>
              </w:rPr>
              <w:t xml:space="preserve"> will, collectively, incur</w:t>
            </w:r>
            <w:r w:rsidR="008B0ECB">
              <w:rPr>
                <w:rFonts w:cstheme="minorHAnsi"/>
              </w:rPr>
              <w:t xml:space="preserve"> </w:t>
            </w:r>
            <w:r w:rsidR="00617829">
              <w:rPr>
                <w:rFonts w:cstheme="minorHAnsi"/>
              </w:rPr>
              <w:t>$</w:t>
            </w:r>
            <w:r w:rsidR="005327B4">
              <w:rPr>
                <w:rFonts w:cstheme="minorHAnsi"/>
              </w:rPr>
              <w:t>248,</w:t>
            </w:r>
            <w:r w:rsidR="00694699">
              <w:rPr>
                <w:rFonts w:cstheme="minorHAnsi"/>
              </w:rPr>
              <w:t>676</w:t>
            </w:r>
            <w:r w:rsidR="00617829">
              <w:rPr>
                <w:rFonts w:cstheme="minorHAnsi"/>
              </w:rPr>
              <w:t xml:space="preserve"> in the first year of the proposal</w:t>
            </w:r>
            <w:r w:rsidR="002B73C2">
              <w:rPr>
                <w:rFonts w:cstheme="minorHAnsi"/>
              </w:rPr>
              <w:t xml:space="preserve"> (see Annexure </w:t>
            </w:r>
            <w:r w:rsidR="00C61ABE">
              <w:rPr>
                <w:rFonts w:cstheme="minorHAnsi"/>
              </w:rPr>
              <w:t>D</w:t>
            </w:r>
            <w:r w:rsidR="002B73C2">
              <w:rPr>
                <w:rFonts w:cstheme="minorHAnsi"/>
              </w:rPr>
              <w:t xml:space="preserve"> for supporting rationale).</w:t>
            </w:r>
          </w:p>
        </w:tc>
      </w:tr>
      <w:tr w:rsidR="00CC7B72" w:rsidRPr="00603981" w14:paraId="3D5BDA66" w14:textId="77777777" w:rsidTr="683E97CD">
        <w:tc>
          <w:tcPr>
            <w:tcW w:w="1696" w:type="dxa"/>
          </w:tcPr>
          <w:p w14:paraId="276AE2DC" w14:textId="425E9DD9" w:rsidR="00CC7B72" w:rsidRPr="00603981" w:rsidDel="00F52645" w:rsidRDefault="00CC7B72" w:rsidP="00253598">
            <w:pPr>
              <w:widowControl w:val="0"/>
              <w:spacing w:before="120" w:after="120" w:line="259" w:lineRule="auto"/>
              <w:rPr>
                <w:rFonts w:cstheme="minorHAnsi"/>
                <w:b/>
              </w:rPr>
            </w:pPr>
            <w:r>
              <w:rPr>
                <w:rFonts w:cstheme="minorHAnsi"/>
                <w:b/>
              </w:rPr>
              <w:lastRenderedPageBreak/>
              <w:t>Reviewing</w:t>
            </w:r>
            <w:r w:rsidRPr="00603981">
              <w:rPr>
                <w:rFonts w:cstheme="minorHAnsi"/>
                <w:b/>
              </w:rPr>
              <w:t xml:space="preserve"> contract</w:t>
            </w:r>
            <w:r>
              <w:rPr>
                <w:rFonts w:cstheme="minorHAnsi"/>
                <w:b/>
              </w:rPr>
              <w:t>ual</w:t>
            </w:r>
            <w:r w:rsidRPr="00603981">
              <w:rPr>
                <w:rFonts w:cstheme="minorHAnsi"/>
                <w:b/>
              </w:rPr>
              <w:t xml:space="preserve"> </w:t>
            </w:r>
            <w:r>
              <w:rPr>
                <w:rFonts w:cstheme="minorHAnsi"/>
                <w:b/>
              </w:rPr>
              <w:t>arrangements with labour hire employers</w:t>
            </w:r>
          </w:p>
        </w:tc>
        <w:tc>
          <w:tcPr>
            <w:tcW w:w="7320" w:type="dxa"/>
          </w:tcPr>
          <w:p w14:paraId="48D44819" w14:textId="78773C7F" w:rsidR="00CC7B72" w:rsidRPr="00603981" w:rsidRDefault="00CC7B72" w:rsidP="00CC7B72">
            <w:pPr>
              <w:widowControl w:val="0"/>
              <w:spacing w:before="120" w:after="120" w:line="259" w:lineRule="auto"/>
              <w:rPr>
                <w:rFonts w:cstheme="minorHAnsi"/>
              </w:rPr>
            </w:pPr>
            <w:r>
              <w:rPr>
                <w:rFonts w:cstheme="minorHAnsi"/>
              </w:rPr>
              <w:t xml:space="preserve">As above, some labour hire employers may revisit contracts in place with hosts to ensure they are not inconsistent with new obligations, assuming they are involved in a Fair Work Commission application and the subject of an order. </w:t>
            </w:r>
          </w:p>
          <w:p w14:paraId="4A8DCF70" w14:textId="43AA3B04" w:rsidR="00CC7B72" w:rsidRDefault="00CC7B72" w:rsidP="0001037C">
            <w:pPr>
              <w:widowControl w:val="0"/>
              <w:spacing w:before="120" w:after="120" w:line="259" w:lineRule="auto"/>
              <w:rPr>
                <w:rFonts w:cstheme="minorHAnsi"/>
              </w:rPr>
            </w:pPr>
            <w:r>
              <w:rPr>
                <w:rFonts w:cstheme="minorHAnsi"/>
              </w:rPr>
              <w:t xml:space="preserve">The department is unable to quantify the cost to </w:t>
            </w:r>
            <w:r w:rsidR="00082DFA">
              <w:rPr>
                <w:rFonts w:cstheme="minorHAnsi"/>
              </w:rPr>
              <w:t>labour hire employers</w:t>
            </w:r>
            <w:r>
              <w:rPr>
                <w:rFonts w:cstheme="minorHAnsi"/>
              </w:rPr>
              <w:t xml:space="preserve"> that may arise from reviewing contracts with </w:t>
            </w:r>
            <w:r w:rsidR="00082DFA">
              <w:rPr>
                <w:rFonts w:cstheme="minorHAnsi"/>
              </w:rPr>
              <w:t>hosts</w:t>
            </w:r>
            <w:r>
              <w:rPr>
                <w:rFonts w:cstheme="minorHAnsi"/>
              </w:rPr>
              <w:t xml:space="preserve"> due to a lack of visibility over the volume, content and complexity of such contracts</w:t>
            </w:r>
            <w:r w:rsidR="00082DFA">
              <w:rPr>
                <w:rFonts w:cstheme="minorHAnsi"/>
              </w:rPr>
              <w:t>, but that fact that some cost will be incurred by this exercise is noted here for completeness.</w:t>
            </w:r>
          </w:p>
        </w:tc>
      </w:tr>
      <w:tr w:rsidR="004F4738" w:rsidRPr="00603981" w14:paraId="7C9A2E22" w14:textId="77777777" w:rsidTr="683E97CD">
        <w:tc>
          <w:tcPr>
            <w:tcW w:w="1696" w:type="dxa"/>
          </w:tcPr>
          <w:p w14:paraId="625274B3" w14:textId="1155BBAD" w:rsidR="004F4738" w:rsidRPr="004F4738" w:rsidRDefault="00F52645" w:rsidP="00253598">
            <w:pPr>
              <w:widowControl w:val="0"/>
              <w:spacing w:before="120" w:after="120" w:line="259" w:lineRule="auto"/>
              <w:rPr>
                <w:rFonts w:cstheme="minorHAnsi"/>
                <w:b/>
                <w:bCs/>
              </w:rPr>
            </w:pPr>
            <w:r>
              <w:rPr>
                <w:rFonts w:cstheme="minorHAnsi"/>
                <w:b/>
              </w:rPr>
              <w:t>Engaging with a Fair Work Commission application</w:t>
            </w:r>
            <w:r w:rsidR="004F4738">
              <w:rPr>
                <w:rFonts w:cstheme="minorHAnsi"/>
                <w:b/>
              </w:rPr>
              <w:t xml:space="preserve"> </w:t>
            </w:r>
          </w:p>
        </w:tc>
        <w:tc>
          <w:tcPr>
            <w:tcW w:w="7320" w:type="dxa"/>
          </w:tcPr>
          <w:p w14:paraId="27A80F73" w14:textId="18D75DCC" w:rsidR="004730F0" w:rsidRDefault="004730F0" w:rsidP="00F80AEA">
            <w:pPr>
              <w:widowControl w:val="0"/>
              <w:spacing w:before="120" w:after="120" w:line="259" w:lineRule="auto"/>
              <w:rPr>
                <w:rFonts w:cstheme="minorHAnsi"/>
              </w:rPr>
            </w:pPr>
            <w:r>
              <w:rPr>
                <w:rFonts w:cstheme="minorHAnsi"/>
              </w:rPr>
              <w:t xml:space="preserve">The </w:t>
            </w:r>
            <w:r w:rsidR="00C352D6">
              <w:rPr>
                <w:rFonts w:cstheme="minorHAnsi"/>
              </w:rPr>
              <w:t>content</w:t>
            </w:r>
            <w:r>
              <w:rPr>
                <w:rFonts w:cstheme="minorHAnsi"/>
              </w:rPr>
              <w:t xml:space="preserve"> in the table above on the costs that may be incurred by hosts from engaging with a Fair Work Commission application </w:t>
            </w:r>
            <w:r w:rsidR="00C352D6">
              <w:rPr>
                <w:rFonts w:cstheme="minorHAnsi"/>
              </w:rPr>
              <w:t>is</w:t>
            </w:r>
            <w:r>
              <w:rPr>
                <w:rFonts w:cstheme="minorHAnsi"/>
              </w:rPr>
              <w:t xml:space="preserve"> equally applicable to the costs that may be incurred by labour hire employers in this circumstance. </w:t>
            </w:r>
          </w:p>
          <w:p w14:paraId="29FCE6CF" w14:textId="5D411D5D" w:rsidR="00590B8D" w:rsidRDefault="00D40CF8" w:rsidP="00F80AEA">
            <w:pPr>
              <w:widowControl w:val="0"/>
              <w:spacing w:before="120" w:after="120" w:line="259" w:lineRule="auto"/>
              <w:rPr>
                <w:rFonts w:cstheme="minorHAnsi"/>
              </w:rPr>
            </w:pPr>
            <w:r>
              <w:rPr>
                <w:rFonts w:cstheme="minorHAnsi"/>
              </w:rPr>
              <w:t>As above, the department is unable to quantify the number of applications that may be made to the Fair Work Commission (see Annexure C), however t</w:t>
            </w:r>
            <w:r w:rsidR="000A6C62" w:rsidRPr="000A6C62">
              <w:rPr>
                <w:rFonts w:cstheme="minorHAnsi"/>
              </w:rPr>
              <w:t xml:space="preserve">he time and financial cost of engaging with </w:t>
            </w:r>
            <w:r w:rsidR="00150CD3">
              <w:rPr>
                <w:rFonts w:cstheme="minorHAnsi"/>
              </w:rPr>
              <w:t xml:space="preserve">applications will </w:t>
            </w:r>
            <w:r w:rsidR="000A6C62" w:rsidRPr="000A6C62">
              <w:rPr>
                <w:rFonts w:cstheme="minorHAnsi"/>
              </w:rPr>
              <w:t>vary depending on the circumstances</w:t>
            </w:r>
            <w:r>
              <w:rPr>
                <w:rFonts w:cstheme="minorHAnsi"/>
              </w:rPr>
              <w:t>. T</w:t>
            </w:r>
            <w:r w:rsidR="00150CD3" w:rsidRPr="00150CD3">
              <w:rPr>
                <w:rFonts w:cstheme="minorHAnsi"/>
              </w:rPr>
              <w:t>his variance means it is not possible to quantify accurately the cost of engaging with Fair Work Commission applications</w:t>
            </w:r>
            <w:r>
              <w:rPr>
                <w:rFonts w:cstheme="minorHAnsi"/>
              </w:rPr>
              <w:t>, once one is made</w:t>
            </w:r>
            <w:r w:rsidR="00150CD3">
              <w:rPr>
                <w:rFonts w:cstheme="minorHAnsi"/>
              </w:rPr>
              <w:t>.</w:t>
            </w:r>
            <w:r w:rsidR="00590B8D">
              <w:rPr>
                <w:rFonts w:cstheme="minorHAnsi"/>
              </w:rPr>
              <w:t xml:space="preserve"> </w:t>
            </w:r>
          </w:p>
          <w:p w14:paraId="1053DEE2" w14:textId="77270C00" w:rsidR="004F4738" w:rsidRPr="00E54053" w:rsidRDefault="00590B8D" w:rsidP="00253598">
            <w:pPr>
              <w:widowControl w:val="0"/>
              <w:spacing w:before="120" w:after="120" w:line="259" w:lineRule="auto"/>
              <w:rPr>
                <w:rFonts w:cstheme="minorHAnsi"/>
              </w:rPr>
            </w:pPr>
            <w:r>
              <w:rPr>
                <w:rFonts w:cstheme="minorHAnsi"/>
              </w:rPr>
              <w:t xml:space="preserve">For completeness, and as above, </w:t>
            </w:r>
            <w:r w:rsidRPr="00603981">
              <w:rPr>
                <w:rFonts w:cstheme="minorHAnsi"/>
              </w:rPr>
              <w:t xml:space="preserve">it is anticipated that </w:t>
            </w:r>
            <w:r>
              <w:rPr>
                <w:rFonts w:cstheme="minorHAnsi"/>
              </w:rPr>
              <w:t>these applications</w:t>
            </w:r>
            <w:r w:rsidRPr="00603981">
              <w:rPr>
                <w:rFonts w:cstheme="minorHAnsi"/>
              </w:rPr>
              <w:t xml:space="preserve"> may require</w:t>
            </w:r>
            <w:r>
              <w:rPr>
                <w:rFonts w:cstheme="minorHAnsi"/>
              </w:rPr>
              <w:t xml:space="preserve"> </w:t>
            </w:r>
            <w:r w:rsidRPr="00307F60">
              <w:rPr>
                <w:rFonts w:cstheme="minorHAnsi"/>
              </w:rPr>
              <w:t>preparing submissions and evidence</w:t>
            </w:r>
            <w:r>
              <w:rPr>
                <w:rFonts w:cstheme="minorHAnsi"/>
              </w:rPr>
              <w:t xml:space="preserve"> (</w:t>
            </w:r>
            <w:r w:rsidRPr="00307F60">
              <w:rPr>
                <w:rFonts w:cstheme="minorHAnsi"/>
              </w:rPr>
              <w:t>including in relation to business operations and the rates payable under the host’s enterprise agreement</w:t>
            </w:r>
            <w:r>
              <w:rPr>
                <w:rFonts w:cstheme="minorHAnsi"/>
              </w:rPr>
              <w:t>) and attending conferences and hearings of the Fair Work Commission while an application is considered.</w:t>
            </w:r>
          </w:p>
        </w:tc>
      </w:tr>
      <w:tr w:rsidR="00AE4775" w:rsidRPr="00603981" w14:paraId="062B3996" w14:textId="77777777" w:rsidTr="683E97CD">
        <w:tc>
          <w:tcPr>
            <w:tcW w:w="1696" w:type="dxa"/>
          </w:tcPr>
          <w:p w14:paraId="03D33A01" w14:textId="1BD1FB65" w:rsidR="000D00A9" w:rsidRDefault="000D00A9" w:rsidP="00253598">
            <w:pPr>
              <w:widowControl w:val="0"/>
              <w:spacing w:before="120" w:after="120" w:line="259" w:lineRule="auto"/>
              <w:rPr>
                <w:rFonts w:cstheme="minorHAnsi"/>
                <w:b/>
              </w:rPr>
            </w:pPr>
            <w:r>
              <w:rPr>
                <w:rFonts w:cstheme="minorHAnsi"/>
                <w:b/>
              </w:rPr>
              <w:t>Calculating the correct rate of pay for labour hire employees</w:t>
            </w:r>
            <w:r w:rsidR="00317291">
              <w:rPr>
                <w:rFonts w:cstheme="minorHAnsi"/>
                <w:b/>
              </w:rPr>
              <w:t xml:space="preserve"> covered by a Fair Work Commission order</w:t>
            </w:r>
          </w:p>
          <w:p w14:paraId="65139A74" w14:textId="77777777" w:rsidR="00AE4775" w:rsidRPr="00603981" w:rsidRDefault="00AE4775" w:rsidP="00317291">
            <w:pPr>
              <w:widowControl w:val="0"/>
              <w:spacing w:before="120" w:after="120" w:line="259" w:lineRule="auto"/>
              <w:rPr>
                <w:rStyle w:val="cf11"/>
                <w:rFonts w:asciiTheme="minorHAnsi" w:hAnsiTheme="minorHAnsi" w:cstheme="minorHAnsi"/>
                <w:b/>
                <w:bCs/>
                <w:sz w:val="22"/>
                <w:szCs w:val="22"/>
              </w:rPr>
            </w:pPr>
          </w:p>
        </w:tc>
        <w:tc>
          <w:tcPr>
            <w:tcW w:w="7320" w:type="dxa"/>
          </w:tcPr>
          <w:p w14:paraId="3E5A6BE1" w14:textId="2E30383B" w:rsidR="00096573" w:rsidRDefault="00096573" w:rsidP="00253598">
            <w:pPr>
              <w:widowControl w:val="0"/>
              <w:spacing w:before="120" w:after="120" w:line="259" w:lineRule="auto"/>
              <w:rPr>
                <w:rFonts w:cstheme="minorHAnsi"/>
              </w:rPr>
            </w:pPr>
            <w:r>
              <w:rPr>
                <w:rFonts w:cstheme="minorHAnsi"/>
              </w:rPr>
              <w:t>If a labour hire employer is covered by a Fair Work Commission order and is required to calculate a new ‘protected rate of pay’ for labour hire employees also covered by that order, in accordance with a host’s enterprise agreement, the time take to do so will also incur administrative costs.</w:t>
            </w:r>
          </w:p>
          <w:p w14:paraId="116098BE" w14:textId="067FC4E3" w:rsidR="005F0859" w:rsidRDefault="00096573" w:rsidP="006806DB">
            <w:pPr>
              <w:widowControl w:val="0"/>
              <w:spacing w:before="120" w:after="120" w:line="259" w:lineRule="auto"/>
              <w:rPr>
                <w:rFonts w:cstheme="minorHAnsi"/>
              </w:rPr>
            </w:pPr>
            <w:r>
              <w:rPr>
                <w:rFonts w:cstheme="minorHAnsi"/>
              </w:rPr>
              <w:t>The department is unable to quantify the actual cost of this exercise to labour hire employers, because doing so is dependent on understanding how long a labour hire employer may take to do these calculations</w:t>
            </w:r>
            <w:r w:rsidR="005F0859">
              <w:rPr>
                <w:rFonts w:cstheme="minorHAnsi"/>
              </w:rPr>
              <w:t>, the relative complexity of the host’s enterprise agreement, and how often a labour hire employer may be required to interpret the same host’s, or different host’s, enterprise agreements in any given (depending on, for example, roster changes under the same arrangement, or entering into multiple arrangements with different hosts with different enterprise agreements, in any given period)</w:t>
            </w:r>
            <w:r>
              <w:rPr>
                <w:rFonts w:cstheme="minorHAnsi"/>
              </w:rPr>
              <w:t xml:space="preserve">. </w:t>
            </w:r>
          </w:p>
          <w:p w14:paraId="76ED3C32" w14:textId="403C321E" w:rsidR="00AE4775" w:rsidRPr="00603981" w:rsidRDefault="000569B6" w:rsidP="006806DB">
            <w:pPr>
              <w:widowControl w:val="0"/>
              <w:spacing w:before="120" w:after="120" w:line="259" w:lineRule="auto"/>
              <w:rPr>
                <w:rStyle w:val="cf11"/>
                <w:rFonts w:asciiTheme="minorHAnsi" w:hAnsiTheme="minorHAnsi" w:cstheme="minorBidi"/>
                <w:sz w:val="22"/>
                <w:szCs w:val="22"/>
              </w:rPr>
            </w:pPr>
            <w:r>
              <w:rPr>
                <w:rFonts w:cstheme="minorHAnsi"/>
              </w:rPr>
              <w:t xml:space="preserve">Stakeholder consultation on this (and other) administrative costs did not yield </w:t>
            </w:r>
            <w:r>
              <w:rPr>
                <w:rFonts w:cstheme="minorHAnsi"/>
              </w:rPr>
              <w:lastRenderedPageBreak/>
              <w:t xml:space="preserve">specific </w:t>
            </w:r>
            <w:r w:rsidR="00D576A0">
              <w:rPr>
                <w:rFonts w:cstheme="minorHAnsi"/>
              </w:rPr>
              <w:t xml:space="preserve">information about what this cost may be, however </w:t>
            </w:r>
            <w:r w:rsidR="00BE0A8E">
              <w:rPr>
                <w:rFonts w:cstheme="minorHAnsi"/>
              </w:rPr>
              <w:t>the</w:t>
            </w:r>
            <w:r w:rsidR="00011B80">
              <w:rPr>
                <w:rFonts w:cstheme="minorHAnsi"/>
              </w:rPr>
              <w:t xml:space="preserve"> length of time</w:t>
            </w:r>
            <w:r w:rsidR="00BE0A8E">
              <w:rPr>
                <w:rFonts w:cstheme="minorHAnsi"/>
              </w:rPr>
              <w:t xml:space="preserve"> taken to make these calculations</w:t>
            </w:r>
            <w:r w:rsidR="00011B80">
              <w:rPr>
                <w:rFonts w:cstheme="minorHAnsi"/>
              </w:rPr>
              <w:t xml:space="preserve"> will be informed by factors including the complexity of a host’s enterprise agreement, the </w:t>
            </w:r>
            <w:r w:rsidR="00E41914">
              <w:rPr>
                <w:rFonts w:cstheme="minorHAnsi"/>
              </w:rPr>
              <w:t xml:space="preserve">roster a labour hire employee </w:t>
            </w:r>
            <w:r w:rsidR="00BE0A8E">
              <w:rPr>
                <w:rFonts w:cstheme="minorHAnsi"/>
              </w:rPr>
              <w:t xml:space="preserve">works </w:t>
            </w:r>
            <w:r w:rsidR="00E41914">
              <w:rPr>
                <w:rFonts w:cstheme="minorHAnsi"/>
              </w:rPr>
              <w:t>(which is relevant for determining whether penalties or allowances may apply), and whether the labour hire employer needs additional information from the host.</w:t>
            </w:r>
          </w:p>
        </w:tc>
      </w:tr>
      <w:tr w:rsidR="00AE4775" w:rsidRPr="00603981" w14:paraId="751A0239" w14:textId="77777777" w:rsidTr="683E97CD">
        <w:tc>
          <w:tcPr>
            <w:tcW w:w="1696" w:type="dxa"/>
          </w:tcPr>
          <w:p w14:paraId="434CE6DD" w14:textId="2E802331" w:rsidR="00AE4775" w:rsidRPr="00603981" w:rsidRDefault="004672C6" w:rsidP="00253598">
            <w:pPr>
              <w:widowControl w:val="0"/>
              <w:spacing w:before="120" w:after="120" w:line="259" w:lineRule="auto"/>
              <w:rPr>
                <w:rFonts w:cstheme="minorHAnsi"/>
                <w:b/>
              </w:rPr>
            </w:pPr>
            <w:r>
              <w:rPr>
                <w:rFonts w:cstheme="minorHAnsi"/>
                <w:b/>
              </w:rPr>
              <w:lastRenderedPageBreak/>
              <w:t>E</w:t>
            </w:r>
            <w:r w:rsidR="00AE4775" w:rsidRPr="00603981">
              <w:rPr>
                <w:rFonts w:cstheme="minorHAnsi"/>
                <w:b/>
              </w:rPr>
              <w:t>stimated increase to wage costs</w:t>
            </w:r>
          </w:p>
          <w:p w14:paraId="78418F0A" w14:textId="77777777" w:rsidR="00AE4775" w:rsidRPr="00603981" w:rsidRDefault="00AE4775" w:rsidP="00253598">
            <w:pPr>
              <w:widowControl w:val="0"/>
              <w:spacing w:before="120" w:after="120" w:line="259" w:lineRule="auto"/>
              <w:rPr>
                <w:rStyle w:val="cf11"/>
                <w:rFonts w:asciiTheme="minorHAnsi" w:hAnsiTheme="minorHAnsi" w:cstheme="minorHAnsi"/>
                <w:b/>
                <w:bCs/>
                <w:sz w:val="22"/>
                <w:szCs w:val="22"/>
              </w:rPr>
            </w:pPr>
          </w:p>
        </w:tc>
        <w:tc>
          <w:tcPr>
            <w:tcW w:w="7320" w:type="dxa"/>
          </w:tcPr>
          <w:p w14:paraId="7035B9C6" w14:textId="4CF3A9F3" w:rsidR="00A51F28" w:rsidRDefault="008A2386" w:rsidP="717F6999">
            <w:pPr>
              <w:widowControl w:val="0"/>
              <w:spacing w:before="120" w:after="120" w:line="259" w:lineRule="auto"/>
            </w:pPr>
            <w:r>
              <w:t>Given</w:t>
            </w:r>
            <w:r w:rsidR="00AE4775" w:rsidRPr="00603981">
              <w:t xml:space="preserve"> the number of </w:t>
            </w:r>
            <w:r w:rsidR="586E3D97" w:rsidRPr="00603981">
              <w:t>labour hire</w:t>
            </w:r>
            <w:r w:rsidR="00AE4775" w:rsidRPr="00603981">
              <w:t xml:space="preserve"> </w:t>
            </w:r>
            <w:r w:rsidR="004672C6">
              <w:t>employees</w:t>
            </w:r>
            <w:r w:rsidR="004672C6" w:rsidRPr="00603981">
              <w:t xml:space="preserve"> </w:t>
            </w:r>
            <w:r w:rsidR="00DD5D91">
              <w:t xml:space="preserve">eligible to apply </w:t>
            </w:r>
            <w:r w:rsidR="00AE4775" w:rsidRPr="00603981">
              <w:t xml:space="preserve">to </w:t>
            </w:r>
            <w:r w:rsidR="004672C6">
              <w:t>the Fair Work Commission for an order</w:t>
            </w:r>
            <w:r w:rsidR="00AE4775" w:rsidRPr="00603981">
              <w:t>, the department estimates the direct</w:t>
            </w:r>
            <w:r w:rsidR="5E8B9F14" w:rsidRPr="00603981">
              <w:t> </w:t>
            </w:r>
            <w:r w:rsidR="00AE4775" w:rsidRPr="00603981">
              <w:t>increase in wage costs as a result of the proposal</w:t>
            </w:r>
            <w:r w:rsidR="00AE4775" w:rsidRPr="00603981" w:rsidDel="009656CF">
              <w:t xml:space="preserve"> </w:t>
            </w:r>
            <w:r w:rsidR="00AE4775" w:rsidRPr="00603981">
              <w:t xml:space="preserve">will </w:t>
            </w:r>
            <w:r w:rsidR="00AE4775" w:rsidRPr="002F18CF">
              <w:t xml:space="preserve">be </w:t>
            </w:r>
            <w:r w:rsidR="403A9CBB" w:rsidRPr="002F18CF">
              <w:t>$</w:t>
            </w:r>
            <w:r w:rsidR="56F9E0DB" w:rsidRPr="00D0307B">
              <w:t>5</w:t>
            </w:r>
            <w:r w:rsidR="4810F03A" w:rsidRPr="00D0307B">
              <w:t>1</w:t>
            </w:r>
            <w:r w:rsidR="792E062F" w:rsidRPr="00D0307B">
              <w:t>0</w:t>
            </w:r>
            <w:r w:rsidR="19D3719D" w:rsidRPr="00D0307B">
              <w:t>.</w:t>
            </w:r>
            <w:r w:rsidR="59EF098D" w:rsidRPr="00D0307B">
              <w:t>6</w:t>
            </w:r>
            <w:r w:rsidR="19D3719D" w:rsidRPr="00D0307B">
              <w:t xml:space="preserve"> million</w:t>
            </w:r>
            <w:r w:rsidR="00AE4775" w:rsidRPr="00D0307B" w:rsidDel="00EE46DE">
              <w:t xml:space="preserve"> </w:t>
            </w:r>
            <w:r w:rsidR="00AE4775" w:rsidRPr="00D0307B">
              <w:t>per year</w:t>
            </w:r>
            <w:r w:rsidR="002E66B7" w:rsidRPr="002F18CF">
              <w:t>,</w:t>
            </w:r>
            <w:r w:rsidR="002E66B7">
              <w:t xml:space="preserve"> representing</w:t>
            </w:r>
            <w:r w:rsidR="00AE4775" w:rsidRPr="00603981">
              <w:t xml:space="preserve"> an increase of </w:t>
            </w:r>
            <w:r w:rsidR="0014104D">
              <w:t xml:space="preserve">just </w:t>
            </w:r>
            <w:r w:rsidR="00AE4775" w:rsidRPr="00603981">
              <w:t>0.0</w:t>
            </w:r>
            <w:r w:rsidR="55675EB8" w:rsidRPr="00603981">
              <w:t>5</w:t>
            </w:r>
            <w:r w:rsidR="00AE4775" w:rsidRPr="00603981">
              <w:t xml:space="preserve"> per cent of the total wages and salaries paid in Australia per year</w:t>
            </w:r>
            <w:r w:rsidR="439C4208" w:rsidRPr="00603981">
              <w:t xml:space="preserve">, </w:t>
            </w:r>
            <w:r w:rsidR="5AD85884" w:rsidRPr="00603981">
              <w:t>calculated as $1,006,234,000,000.00</w:t>
            </w:r>
            <w:r w:rsidR="00AE4775" w:rsidRPr="00603981">
              <w:t>.</w:t>
            </w:r>
            <w:r w:rsidR="00AE4775" w:rsidRPr="00603981">
              <w:rPr>
                <w:rStyle w:val="FootnoteReference"/>
              </w:rPr>
              <w:footnoteReference w:id="57"/>
            </w:r>
            <w:r w:rsidR="1B4F4ED3" w:rsidRPr="00603981">
              <w:t xml:space="preserve"> </w:t>
            </w:r>
          </w:p>
          <w:p w14:paraId="15E7B511" w14:textId="38847856" w:rsidR="00AE4775" w:rsidRPr="00603981" w:rsidRDefault="00930B2F" w:rsidP="00677520">
            <w:pPr>
              <w:widowControl w:val="0"/>
              <w:spacing w:before="120" w:after="120" w:line="259" w:lineRule="auto"/>
              <w:rPr>
                <w:rStyle w:val="cf11"/>
                <w:rFonts w:asciiTheme="minorHAnsi" w:hAnsiTheme="minorHAnsi" w:cstheme="minorBidi"/>
                <w:sz w:val="22"/>
                <w:szCs w:val="22"/>
              </w:rPr>
            </w:pPr>
            <w:r>
              <w:t>T</w:t>
            </w:r>
            <w:r w:rsidR="00B44D6E">
              <w:t>his figure is the top of the</w:t>
            </w:r>
            <w:r>
              <w:t xml:space="preserve"> department’s estimate </w:t>
            </w:r>
            <w:r w:rsidR="00B44D6E">
              <w:t xml:space="preserve">and </w:t>
            </w:r>
            <w:r w:rsidR="00FE00BB">
              <w:t>assumes</w:t>
            </w:r>
            <w:r w:rsidR="00B44D6E">
              <w:t xml:space="preserve"> every labour hire </w:t>
            </w:r>
            <w:r>
              <w:t>employee</w:t>
            </w:r>
            <w:r w:rsidR="00B44D6E">
              <w:t xml:space="preserve"> </w:t>
            </w:r>
            <w:r>
              <w:t xml:space="preserve">eligible to benefit from a Fair Work Commission order is, in fact, </w:t>
            </w:r>
            <w:r w:rsidR="005123B3">
              <w:t xml:space="preserve">covered by an order </w:t>
            </w:r>
            <w:r>
              <w:t>within the first year of the proposal being legislated</w:t>
            </w:r>
            <w:r w:rsidR="00CF3609">
              <w:t>.</w:t>
            </w:r>
            <w:r w:rsidR="00FE00BB">
              <w:t xml:space="preserve"> This</w:t>
            </w:r>
            <w:r>
              <w:t xml:space="preserve"> outcome</w:t>
            </w:r>
            <w:r w:rsidR="00FE00BB">
              <w:t xml:space="preserve"> is unlikely for </w:t>
            </w:r>
            <w:r>
              <w:t>several</w:t>
            </w:r>
            <w:r w:rsidR="00FE00BB">
              <w:t xml:space="preserve"> reasons, and the </w:t>
            </w:r>
            <w:r w:rsidR="007652F9">
              <w:t xml:space="preserve">number of </w:t>
            </w:r>
            <w:r>
              <w:t xml:space="preserve">employees </w:t>
            </w:r>
            <w:r w:rsidR="007652F9">
              <w:t xml:space="preserve">covered </w:t>
            </w:r>
            <w:r>
              <w:t xml:space="preserve">by an order </w:t>
            </w:r>
            <w:r w:rsidR="007652F9">
              <w:t xml:space="preserve">is </w:t>
            </w:r>
            <w:r>
              <w:t>expected</w:t>
            </w:r>
            <w:r w:rsidR="007652F9">
              <w:t xml:space="preserve"> to be much smaller </w:t>
            </w:r>
            <w:r>
              <w:t xml:space="preserve">(see </w:t>
            </w:r>
            <w:r w:rsidR="00AE4775" w:rsidRPr="00DE30B4">
              <w:t>Annexure C</w:t>
            </w:r>
            <w:r w:rsidRPr="00DE30B4">
              <w:t>)</w:t>
            </w:r>
            <w:r w:rsidR="00AE4775" w:rsidRPr="00603981" w:rsidDel="00FA4E5F">
              <w:t>.</w:t>
            </w:r>
          </w:p>
        </w:tc>
      </w:tr>
      <w:tr w:rsidR="00AE4775" w:rsidRPr="00603981" w14:paraId="456A5A15" w14:textId="77777777" w:rsidTr="683E97CD">
        <w:tc>
          <w:tcPr>
            <w:tcW w:w="1696" w:type="dxa"/>
          </w:tcPr>
          <w:p w14:paraId="57C9075A" w14:textId="77777777" w:rsidR="00AE4775" w:rsidRPr="00603981" w:rsidRDefault="00AE4775" w:rsidP="00253598">
            <w:pPr>
              <w:pStyle w:val="pf0"/>
              <w:widowControl w:val="0"/>
              <w:spacing w:before="120" w:beforeAutospacing="0" w:after="120" w:afterAutospacing="0" w:line="259" w:lineRule="auto"/>
              <w:rPr>
                <w:rStyle w:val="cf11"/>
                <w:rFonts w:asciiTheme="minorHAnsi" w:hAnsiTheme="minorHAnsi" w:cstheme="minorHAnsi"/>
                <w:b/>
                <w:bCs/>
                <w:sz w:val="22"/>
                <w:szCs w:val="22"/>
              </w:rPr>
            </w:pPr>
            <w:r w:rsidRPr="00603981">
              <w:rPr>
                <w:rStyle w:val="cf11"/>
                <w:rFonts w:asciiTheme="minorHAnsi" w:hAnsiTheme="minorHAnsi" w:cstheme="minorHAnsi"/>
                <w:b/>
                <w:bCs/>
                <w:sz w:val="22"/>
                <w:szCs w:val="22"/>
              </w:rPr>
              <w:t>Cost of dealing with disputes</w:t>
            </w:r>
          </w:p>
        </w:tc>
        <w:tc>
          <w:tcPr>
            <w:tcW w:w="7320" w:type="dxa"/>
          </w:tcPr>
          <w:p w14:paraId="43523FE7" w14:textId="4AEBDF21" w:rsidR="00AE4775" w:rsidRPr="00603981" w:rsidRDefault="00AE4775" w:rsidP="00FA63E9">
            <w:pPr>
              <w:widowControl w:val="0"/>
              <w:spacing w:before="120" w:after="120" w:line="259" w:lineRule="auto"/>
              <w:rPr>
                <w:rStyle w:val="cf11"/>
                <w:rFonts w:asciiTheme="minorHAnsi" w:hAnsiTheme="minorHAnsi" w:cstheme="minorHAnsi"/>
                <w:sz w:val="22"/>
                <w:szCs w:val="22"/>
              </w:rPr>
            </w:pPr>
            <w:r w:rsidRPr="00603981">
              <w:rPr>
                <w:rFonts w:cstheme="minorHAnsi"/>
              </w:rPr>
              <w:t>The previous table describes the</w:t>
            </w:r>
            <w:r w:rsidR="00B86274" w:rsidRPr="00603981">
              <w:rPr>
                <w:rFonts w:cstheme="minorHAnsi"/>
              </w:rPr>
              <w:t xml:space="preserve"> department’s </w:t>
            </w:r>
            <w:r w:rsidR="00365B57">
              <w:rPr>
                <w:rFonts w:cstheme="minorHAnsi"/>
              </w:rPr>
              <w:t>consideration</w:t>
            </w:r>
            <w:r w:rsidR="00365B57" w:rsidRPr="00603981">
              <w:rPr>
                <w:rFonts w:cstheme="minorHAnsi"/>
              </w:rPr>
              <w:t xml:space="preserve"> </w:t>
            </w:r>
            <w:r w:rsidR="00365B57">
              <w:rPr>
                <w:rFonts w:cstheme="minorHAnsi"/>
              </w:rPr>
              <w:t xml:space="preserve">of </w:t>
            </w:r>
            <w:r w:rsidR="00B86274" w:rsidRPr="00603981">
              <w:rPr>
                <w:rFonts w:cstheme="minorHAnsi"/>
              </w:rPr>
              <w:t>potential cost</w:t>
            </w:r>
            <w:r w:rsidR="00365B57">
              <w:rPr>
                <w:rFonts w:cstheme="minorHAnsi"/>
              </w:rPr>
              <w:t>s incurred by hosts if a dispute arises in relation to this proposal, once legislated</w:t>
            </w:r>
            <w:r w:rsidR="004D26EF">
              <w:rPr>
                <w:rFonts w:cstheme="minorHAnsi"/>
              </w:rPr>
              <w:t xml:space="preserve">, and concludes that quantifying those costs for hosts is </w:t>
            </w:r>
            <w:r w:rsidR="00060FF1">
              <w:rPr>
                <w:rFonts w:cstheme="minorHAnsi"/>
              </w:rPr>
              <w:t xml:space="preserve">not possible due to </w:t>
            </w:r>
            <w:r w:rsidR="00AB3D79">
              <w:rPr>
                <w:rFonts w:cstheme="minorHAnsi"/>
              </w:rPr>
              <w:t xml:space="preserve">the variance between circumstances that may trigger a dispute. The same rationale is applied here in relation to labour hire employers such that the cost of engaging with </w:t>
            </w:r>
            <w:r w:rsidR="00B86274" w:rsidRPr="00603981">
              <w:rPr>
                <w:rFonts w:cstheme="minorHAnsi"/>
              </w:rPr>
              <w:t xml:space="preserve">disputes </w:t>
            </w:r>
            <w:r w:rsidR="00AB3D79">
              <w:rPr>
                <w:rFonts w:cstheme="minorHAnsi"/>
              </w:rPr>
              <w:t>cannot be quantified defensibly</w:t>
            </w:r>
            <w:r w:rsidR="00B86274" w:rsidRPr="00603981">
              <w:rPr>
                <w:rFonts w:cstheme="minorHAnsi"/>
              </w:rPr>
              <w:t xml:space="preserve">. </w:t>
            </w:r>
          </w:p>
        </w:tc>
      </w:tr>
    </w:tbl>
    <w:p w14:paraId="4BDF8EAE" w14:textId="77777777" w:rsidR="00220DE7" w:rsidRPr="00603981" w:rsidRDefault="00220DE7" w:rsidP="00AE4775">
      <w:pPr>
        <w:widowControl w:val="0"/>
        <w:spacing w:after="0" w:line="240" w:lineRule="auto"/>
        <w:rPr>
          <w:rStyle w:val="cf11"/>
          <w:rFonts w:asciiTheme="minorHAnsi" w:hAnsiTheme="minorHAnsi" w:cstheme="minorHAnsi"/>
          <w:sz w:val="22"/>
          <w:szCs w:val="22"/>
        </w:rPr>
      </w:pPr>
    </w:p>
    <w:tbl>
      <w:tblPr>
        <w:tblStyle w:val="TableGrid"/>
        <w:tblW w:w="0" w:type="auto"/>
        <w:tblLook w:val="04A0" w:firstRow="1" w:lastRow="0" w:firstColumn="1" w:lastColumn="0" w:noHBand="0" w:noVBand="1"/>
      </w:tblPr>
      <w:tblGrid>
        <w:gridCol w:w="1696"/>
        <w:gridCol w:w="7320"/>
      </w:tblGrid>
      <w:tr w:rsidR="00AE4775" w:rsidRPr="00603981" w14:paraId="105FBF91" w14:textId="77777777" w:rsidTr="3683A96B">
        <w:tc>
          <w:tcPr>
            <w:tcW w:w="9016" w:type="dxa"/>
            <w:gridSpan w:val="2"/>
            <w:shd w:val="clear" w:color="auto" w:fill="404246"/>
          </w:tcPr>
          <w:p w14:paraId="7B9B502D" w14:textId="55DBC2EA" w:rsidR="00AE4775" w:rsidRPr="00603981" w:rsidRDefault="00AE4775" w:rsidP="009171B9">
            <w:pPr>
              <w:pStyle w:val="pf0"/>
              <w:widowControl w:val="0"/>
              <w:spacing w:before="120" w:beforeAutospacing="0" w:after="120" w:afterAutospacing="0" w:line="259" w:lineRule="auto"/>
              <w:rPr>
                <w:rStyle w:val="cf11"/>
                <w:rFonts w:asciiTheme="minorHAnsi" w:hAnsiTheme="minorHAnsi" w:cstheme="minorHAnsi"/>
                <w:b/>
                <w:bCs/>
                <w:color w:val="FFFFFF" w:themeColor="background1"/>
                <w:sz w:val="22"/>
                <w:szCs w:val="22"/>
              </w:rPr>
            </w:pPr>
            <w:r w:rsidRPr="00603981">
              <w:rPr>
                <w:rFonts w:asciiTheme="minorHAnsi" w:hAnsiTheme="minorHAnsi" w:cstheme="minorHAnsi"/>
                <w:b/>
                <w:bCs/>
                <w:color w:val="FFFFFF" w:themeColor="background1"/>
                <w:sz w:val="22"/>
                <w:szCs w:val="22"/>
              </w:rPr>
              <w:t xml:space="preserve">3. Estimating costs for </w:t>
            </w:r>
            <w:r w:rsidR="006A46BF">
              <w:rPr>
                <w:rFonts w:asciiTheme="minorHAnsi" w:hAnsiTheme="minorHAnsi" w:cstheme="minorHAnsi"/>
                <w:b/>
                <w:bCs/>
                <w:color w:val="FFFFFF" w:themeColor="background1"/>
                <w:sz w:val="22"/>
                <w:szCs w:val="22"/>
                <w:u w:val="single"/>
              </w:rPr>
              <w:t>labour hire employees</w:t>
            </w:r>
            <w:r w:rsidR="006A46BF" w:rsidRPr="00603981">
              <w:rPr>
                <w:rFonts w:asciiTheme="minorHAnsi" w:hAnsiTheme="minorHAnsi" w:cstheme="minorHAnsi"/>
                <w:b/>
                <w:bCs/>
                <w:color w:val="FFFFFF" w:themeColor="background1"/>
                <w:sz w:val="22"/>
                <w:szCs w:val="22"/>
                <w:u w:val="single"/>
              </w:rPr>
              <w:t xml:space="preserve"> </w:t>
            </w:r>
            <w:r w:rsidRPr="00603981">
              <w:rPr>
                <w:rFonts w:asciiTheme="minorHAnsi" w:hAnsiTheme="minorHAnsi" w:cstheme="minorHAnsi"/>
                <w:b/>
                <w:bCs/>
                <w:color w:val="FFFFFF" w:themeColor="background1"/>
                <w:sz w:val="22"/>
                <w:szCs w:val="22"/>
                <w:u w:val="single"/>
              </w:rPr>
              <w:t>(and their representatives)</w:t>
            </w:r>
          </w:p>
        </w:tc>
      </w:tr>
      <w:tr w:rsidR="00AE4775" w:rsidRPr="00603981" w14:paraId="36492DB1" w14:textId="77777777" w:rsidTr="3683A96B">
        <w:tc>
          <w:tcPr>
            <w:tcW w:w="1696" w:type="dxa"/>
            <w:shd w:val="clear" w:color="auto" w:fill="7A9F4C"/>
          </w:tcPr>
          <w:p w14:paraId="4444E2D6" w14:textId="77777777" w:rsidR="00AE4775" w:rsidRPr="00603981" w:rsidRDefault="00AE4775" w:rsidP="009171B9">
            <w:pPr>
              <w:widowControl w:val="0"/>
              <w:spacing w:before="120" w:after="120" w:line="259" w:lineRule="auto"/>
              <w:rPr>
                <w:rFonts w:cstheme="minorHAnsi"/>
                <w:b/>
                <w:bCs/>
                <w:color w:val="FFFFFF" w:themeColor="background1"/>
              </w:rPr>
            </w:pPr>
            <w:r w:rsidRPr="00603981">
              <w:rPr>
                <w:rFonts w:cstheme="minorHAnsi"/>
                <w:b/>
                <w:bCs/>
                <w:color w:val="FFFFFF" w:themeColor="background1"/>
              </w:rPr>
              <w:t>Cost category</w:t>
            </w:r>
          </w:p>
        </w:tc>
        <w:tc>
          <w:tcPr>
            <w:tcW w:w="7320" w:type="dxa"/>
            <w:shd w:val="clear" w:color="auto" w:fill="7A9F4C"/>
          </w:tcPr>
          <w:p w14:paraId="21BEF852" w14:textId="77777777" w:rsidR="00AE4775" w:rsidRPr="00603981" w:rsidRDefault="00AE4775" w:rsidP="009171B9">
            <w:pPr>
              <w:pStyle w:val="pf0"/>
              <w:widowControl w:val="0"/>
              <w:spacing w:before="120" w:beforeAutospacing="0" w:after="120" w:afterAutospacing="0" w:line="259" w:lineRule="auto"/>
              <w:rPr>
                <w:rFonts w:asciiTheme="minorHAnsi" w:eastAsiaTheme="minorHAnsi" w:hAnsiTheme="minorHAnsi" w:cstheme="minorHAnsi"/>
                <w:b/>
                <w:bCs/>
                <w:color w:val="FFFFFF" w:themeColor="background1"/>
                <w:kern w:val="2"/>
                <w:sz w:val="22"/>
                <w:szCs w:val="22"/>
                <w:lang w:eastAsia="en-US"/>
                <w14:ligatures w14:val="standardContextual"/>
              </w:rPr>
            </w:pPr>
            <w:r w:rsidRPr="00603981">
              <w:rPr>
                <w:rFonts w:asciiTheme="minorHAnsi" w:eastAsiaTheme="minorHAnsi" w:hAnsiTheme="minorHAnsi" w:cstheme="minorHAnsi"/>
                <w:b/>
                <w:bCs/>
                <w:color w:val="FFFFFF" w:themeColor="background1"/>
                <w:kern w:val="2"/>
                <w:sz w:val="22"/>
                <w:szCs w:val="22"/>
                <w:lang w:eastAsia="en-US"/>
                <w14:ligatures w14:val="standardContextual"/>
              </w:rPr>
              <w:t>Analysis</w:t>
            </w:r>
          </w:p>
        </w:tc>
      </w:tr>
      <w:tr w:rsidR="006A46BF" w:rsidRPr="00603981" w14:paraId="311D45F7" w14:textId="77777777" w:rsidTr="3683A96B">
        <w:tc>
          <w:tcPr>
            <w:tcW w:w="1696" w:type="dxa"/>
          </w:tcPr>
          <w:p w14:paraId="1E73DB2E" w14:textId="6F02C31C" w:rsidR="006A46BF" w:rsidRPr="00603981" w:rsidRDefault="006A46BF" w:rsidP="009171B9">
            <w:pPr>
              <w:widowControl w:val="0"/>
              <w:spacing w:before="120" w:after="120" w:line="259" w:lineRule="auto"/>
              <w:rPr>
                <w:rFonts w:cstheme="minorHAnsi"/>
                <w:b/>
              </w:rPr>
            </w:pPr>
            <w:r w:rsidRPr="006A46BF">
              <w:rPr>
                <w:rFonts w:cstheme="minorHAnsi"/>
                <w:b/>
              </w:rPr>
              <w:t>Reviewing guidance materials on the application process</w:t>
            </w:r>
          </w:p>
        </w:tc>
        <w:tc>
          <w:tcPr>
            <w:tcW w:w="7320" w:type="dxa"/>
          </w:tcPr>
          <w:p w14:paraId="303F7F6A" w14:textId="394F4342" w:rsidR="006A46BF" w:rsidRDefault="006A46BF" w:rsidP="008F0721">
            <w:pPr>
              <w:widowControl w:val="0"/>
              <w:spacing w:before="120" w:after="120" w:line="259" w:lineRule="auto"/>
              <w:rPr>
                <w:rFonts w:cstheme="minorHAnsi"/>
              </w:rPr>
            </w:pPr>
            <w:r>
              <w:rPr>
                <w:rFonts w:cstheme="minorHAnsi"/>
              </w:rPr>
              <w:t xml:space="preserve">Given this proposal adopts an application-based model, it is reasonable to expect that </w:t>
            </w:r>
            <w:r w:rsidR="00FF28E3">
              <w:rPr>
                <w:rFonts w:cstheme="minorHAnsi"/>
              </w:rPr>
              <w:t xml:space="preserve">some </w:t>
            </w:r>
            <w:r w:rsidR="00AE0250">
              <w:rPr>
                <w:rFonts w:cstheme="minorHAnsi"/>
              </w:rPr>
              <w:t xml:space="preserve">labour hire employees </w:t>
            </w:r>
            <w:r w:rsidR="00A34025">
              <w:rPr>
                <w:rFonts w:cstheme="minorHAnsi"/>
              </w:rPr>
              <w:t>and their representatives</w:t>
            </w:r>
            <w:r w:rsidR="00AE0250">
              <w:rPr>
                <w:rFonts w:cstheme="minorHAnsi"/>
              </w:rPr>
              <w:t xml:space="preserve"> </w:t>
            </w:r>
            <w:r w:rsidR="008516B4">
              <w:rPr>
                <w:rFonts w:cstheme="minorHAnsi"/>
              </w:rPr>
              <w:t>may</w:t>
            </w:r>
            <w:r w:rsidR="00AE0250">
              <w:rPr>
                <w:rFonts w:cstheme="minorHAnsi"/>
              </w:rPr>
              <w:t xml:space="preserve"> also read Fair Work Commission guidance material about </w:t>
            </w:r>
            <w:r w:rsidR="00AF31D8">
              <w:rPr>
                <w:rFonts w:cstheme="minorHAnsi"/>
              </w:rPr>
              <w:t xml:space="preserve">who is eligible to seek an order, </w:t>
            </w:r>
            <w:r w:rsidR="00AE0250">
              <w:rPr>
                <w:rFonts w:cstheme="minorHAnsi"/>
              </w:rPr>
              <w:t>how applications will be handled, and the outcome if the Fair Work Commission makes an order.</w:t>
            </w:r>
          </w:p>
          <w:p w14:paraId="5DAC2BE8" w14:textId="12E244CD" w:rsidR="00AE0250" w:rsidRDefault="00422F61" w:rsidP="00BC46A0">
            <w:pPr>
              <w:widowControl w:val="0"/>
              <w:spacing w:before="120" w:after="120" w:line="259" w:lineRule="auto"/>
            </w:pPr>
            <w:r w:rsidRPr="7C59B8DA">
              <w:t xml:space="preserve">The department anticipates that not all labour hire </w:t>
            </w:r>
            <w:r w:rsidR="00AF31D8" w:rsidRPr="7C59B8DA">
              <w:t>employees</w:t>
            </w:r>
            <w:r w:rsidRPr="7C59B8DA">
              <w:t xml:space="preserve"> will, in fact, read guidance made available by the Fair Work Commission</w:t>
            </w:r>
            <w:r w:rsidR="008516B4">
              <w:t>, and</w:t>
            </w:r>
            <w:r w:rsidRPr="7C59B8DA">
              <w:t xml:space="preserve"> in the absence of </w:t>
            </w:r>
            <w:r w:rsidR="008516B4">
              <w:t>reliable</w:t>
            </w:r>
            <w:r w:rsidRPr="7C59B8DA">
              <w:t xml:space="preserve"> data </w:t>
            </w:r>
            <w:r w:rsidR="00B5662F" w:rsidRPr="7C59B8DA">
              <w:t>regarding the proportion of these employees that will, or will not, read the guidance material</w:t>
            </w:r>
            <w:r w:rsidR="008516B4">
              <w:t xml:space="preserve">, </w:t>
            </w:r>
            <w:r w:rsidR="006B2CB2">
              <w:t>the department</w:t>
            </w:r>
            <w:r w:rsidR="008516B4">
              <w:t xml:space="preserve"> is </w:t>
            </w:r>
            <w:r w:rsidR="006B2CB2">
              <w:t>unable</w:t>
            </w:r>
            <w:r w:rsidR="008516B4">
              <w:t xml:space="preserve"> to quantify </w:t>
            </w:r>
            <w:r w:rsidR="006B2CB2">
              <w:t>this cost defensibly here. However, assuming a labour hire employee reads the Fair</w:t>
            </w:r>
            <w:r w:rsidR="00D44CF6">
              <w:t> </w:t>
            </w:r>
            <w:r w:rsidR="006B2CB2">
              <w:t xml:space="preserve">Work Commission’s guidance on work time, and takes around 30 minutes to do so, costs will accrue at </w:t>
            </w:r>
            <w:r w:rsidR="00F63F60">
              <w:t>$39.82 per</w:t>
            </w:r>
            <w:r w:rsidR="00B5662F" w:rsidRPr="7C59B8DA">
              <w:t xml:space="preserve"> employee</w:t>
            </w:r>
            <w:r w:rsidR="00F63F60">
              <w:t>.</w:t>
            </w:r>
            <w:r w:rsidR="00B5662F" w:rsidRPr="7C59B8DA">
              <w:t xml:space="preserve"> </w:t>
            </w:r>
          </w:p>
        </w:tc>
      </w:tr>
      <w:tr w:rsidR="00621FB0" w:rsidRPr="00603981" w14:paraId="74094235" w14:textId="77777777" w:rsidTr="3683A96B">
        <w:tc>
          <w:tcPr>
            <w:tcW w:w="1696" w:type="dxa"/>
          </w:tcPr>
          <w:p w14:paraId="4C35064A" w14:textId="3DB49B53" w:rsidR="00621FB0" w:rsidRPr="00603981" w:rsidRDefault="00621FB0" w:rsidP="009171B9">
            <w:pPr>
              <w:widowControl w:val="0"/>
              <w:spacing w:before="120" w:after="120" w:line="259" w:lineRule="auto"/>
              <w:rPr>
                <w:rFonts w:cstheme="minorHAnsi"/>
                <w:b/>
              </w:rPr>
            </w:pPr>
            <w:r>
              <w:rPr>
                <w:rFonts w:cstheme="minorHAnsi"/>
                <w:b/>
              </w:rPr>
              <w:t xml:space="preserve">Cost of making an application to the Fair </w:t>
            </w:r>
            <w:r>
              <w:rPr>
                <w:rFonts w:cstheme="minorHAnsi"/>
                <w:b/>
              </w:rPr>
              <w:lastRenderedPageBreak/>
              <w:t>Work Commission</w:t>
            </w:r>
          </w:p>
        </w:tc>
        <w:tc>
          <w:tcPr>
            <w:tcW w:w="7320" w:type="dxa"/>
          </w:tcPr>
          <w:p w14:paraId="293F14AF" w14:textId="30D40CA6" w:rsidR="00621FB0" w:rsidRDefault="00D51E40" w:rsidP="008F0721">
            <w:pPr>
              <w:widowControl w:val="0"/>
              <w:spacing w:before="120" w:after="120" w:line="259" w:lineRule="auto"/>
              <w:rPr>
                <w:rFonts w:cstheme="minorHAnsi"/>
              </w:rPr>
            </w:pPr>
            <w:r>
              <w:lastRenderedPageBreak/>
              <w:t xml:space="preserve">Labour hire employees (and </w:t>
            </w:r>
            <w:r w:rsidR="00A34025">
              <w:t>their representatives</w:t>
            </w:r>
            <w:r>
              <w:t xml:space="preserve">) will need to pay the application fee when lodging their application for an order with the Fair Work Commission, which is currently $83.30. As the department is not able to </w:t>
            </w:r>
            <w:r>
              <w:lastRenderedPageBreak/>
              <w:t xml:space="preserve">estimate how many labour hire employees will make an application to the Fair Work Commission, this cost is noted for completeness. </w:t>
            </w:r>
          </w:p>
        </w:tc>
      </w:tr>
      <w:tr w:rsidR="00837CD1" w:rsidRPr="00603981" w14:paraId="3D6D0B1F" w14:textId="77777777" w:rsidTr="3683A96B">
        <w:tc>
          <w:tcPr>
            <w:tcW w:w="1696" w:type="dxa"/>
          </w:tcPr>
          <w:p w14:paraId="7294A389" w14:textId="53B72C9E" w:rsidR="003B4747" w:rsidRPr="00603981" w:rsidRDefault="003B4747" w:rsidP="009171B9">
            <w:pPr>
              <w:widowControl w:val="0"/>
              <w:spacing w:before="120" w:after="120" w:line="259" w:lineRule="auto"/>
              <w:rPr>
                <w:rFonts w:cstheme="minorHAnsi"/>
                <w:b/>
                <w:bCs/>
              </w:rPr>
            </w:pPr>
            <w:r>
              <w:rPr>
                <w:rFonts w:cstheme="minorHAnsi"/>
                <w:b/>
              </w:rPr>
              <w:lastRenderedPageBreak/>
              <w:t xml:space="preserve">Engaging with a Fair Work Commission application </w:t>
            </w:r>
          </w:p>
        </w:tc>
        <w:tc>
          <w:tcPr>
            <w:tcW w:w="7320" w:type="dxa"/>
          </w:tcPr>
          <w:p w14:paraId="5F81C012" w14:textId="51F615B2" w:rsidR="00211B22" w:rsidRDefault="00211B22" w:rsidP="008F0721">
            <w:pPr>
              <w:widowControl w:val="0"/>
              <w:spacing w:before="120" w:after="120" w:line="259" w:lineRule="auto"/>
              <w:rPr>
                <w:rFonts w:cstheme="minorHAnsi"/>
              </w:rPr>
            </w:pPr>
            <w:r>
              <w:rPr>
                <w:rFonts w:cstheme="minorHAnsi"/>
              </w:rPr>
              <w:t xml:space="preserve">Labour hire employees (and </w:t>
            </w:r>
            <w:r w:rsidR="00A34025">
              <w:rPr>
                <w:rFonts w:cstheme="minorHAnsi"/>
              </w:rPr>
              <w:t>their representatives</w:t>
            </w:r>
            <w:r>
              <w:rPr>
                <w:rFonts w:cstheme="minorHAnsi"/>
              </w:rPr>
              <w:t xml:space="preserve">) will incur administrative costs when applying to the Fair Work Commission for an order, in addition to the actual application fee that is expected to </w:t>
            </w:r>
            <w:r w:rsidR="00CA3167">
              <w:rPr>
                <w:rFonts w:cstheme="minorHAnsi"/>
              </w:rPr>
              <w:t>attach to the proposal.</w:t>
            </w:r>
          </w:p>
          <w:p w14:paraId="06DCCE6F" w14:textId="2AE6EA21" w:rsidR="00CA3167" w:rsidRDefault="00750F67" w:rsidP="008F0721">
            <w:pPr>
              <w:widowControl w:val="0"/>
              <w:spacing w:before="120" w:after="120" w:line="259" w:lineRule="auto"/>
              <w:rPr>
                <w:rFonts w:cstheme="minorHAnsi"/>
              </w:rPr>
            </w:pPr>
            <w:r>
              <w:rPr>
                <w:rFonts w:cstheme="minorHAnsi"/>
              </w:rPr>
              <w:t>However, as above in relation to hosts and labour hire employers, the</w:t>
            </w:r>
            <w:r w:rsidRPr="000A6C62">
              <w:rPr>
                <w:rFonts w:cstheme="minorHAnsi"/>
              </w:rPr>
              <w:t xml:space="preserve"> time and financial cost of engaging with </w:t>
            </w:r>
            <w:r>
              <w:rPr>
                <w:rFonts w:cstheme="minorHAnsi"/>
              </w:rPr>
              <w:t xml:space="preserve">applications will </w:t>
            </w:r>
            <w:r w:rsidRPr="000A6C62">
              <w:rPr>
                <w:rFonts w:cstheme="minorHAnsi"/>
              </w:rPr>
              <w:t>vary depending on the circumstances</w:t>
            </w:r>
            <w:r>
              <w:rPr>
                <w:rFonts w:cstheme="minorHAnsi"/>
              </w:rPr>
              <w:t>, and t</w:t>
            </w:r>
            <w:r w:rsidRPr="00150CD3">
              <w:rPr>
                <w:rFonts w:cstheme="minorHAnsi"/>
              </w:rPr>
              <w:t>his variance means it is not possible to quantify accurately the cost of engaging with Fair Work Commission applications</w:t>
            </w:r>
            <w:r w:rsidR="00E9082C">
              <w:rPr>
                <w:rFonts w:cstheme="minorHAnsi"/>
              </w:rPr>
              <w:t>.</w:t>
            </w:r>
          </w:p>
          <w:p w14:paraId="4B52AABE" w14:textId="4E08FCE8" w:rsidR="00837CD1" w:rsidRPr="00976B6A" w:rsidRDefault="00E9082C" w:rsidP="00D0307B">
            <w:r>
              <w:rPr>
                <w:rFonts w:cstheme="minorHAnsi"/>
              </w:rPr>
              <w:t xml:space="preserve">That noted, </w:t>
            </w:r>
            <w:r w:rsidRPr="00603981">
              <w:rPr>
                <w:rFonts w:cstheme="minorHAnsi"/>
              </w:rPr>
              <w:t xml:space="preserve">it is anticipated that </w:t>
            </w:r>
            <w:r>
              <w:rPr>
                <w:rFonts w:cstheme="minorHAnsi"/>
              </w:rPr>
              <w:t>these applications</w:t>
            </w:r>
            <w:r w:rsidRPr="00603981">
              <w:rPr>
                <w:rFonts w:cstheme="minorHAnsi"/>
              </w:rPr>
              <w:t xml:space="preserve"> may require</w:t>
            </w:r>
            <w:r>
              <w:rPr>
                <w:rFonts w:cstheme="minorHAnsi"/>
              </w:rPr>
              <w:t xml:space="preserve"> </w:t>
            </w:r>
            <w:r w:rsidRPr="00307F60">
              <w:rPr>
                <w:rFonts w:cstheme="minorHAnsi"/>
              </w:rPr>
              <w:t>preparing submissions and evidence</w:t>
            </w:r>
            <w:r>
              <w:rPr>
                <w:rFonts w:cstheme="minorHAnsi"/>
              </w:rPr>
              <w:t xml:space="preserve"> and attending conferences and hearings of the Fair Work Commission while an application is considered.</w:t>
            </w:r>
          </w:p>
        </w:tc>
      </w:tr>
      <w:tr w:rsidR="00AE4775" w:rsidRPr="00603981" w14:paraId="52FE0E3D" w14:textId="77777777" w:rsidTr="3683A96B">
        <w:tc>
          <w:tcPr>
            <w:tcW w:w="1696" w:type="dxa"/>
          </w:tcPr>
          <w:p w14:paraId="306AB937" w14:textId="49DB2A0C" w:rsidR="00AE4775" w:rsidRPr="00603981" w:rsidRDefault="009928B0" w:rsidP="009171B9">
            <w:pPr>
              <w:widowControl w:val="0"/>
              <w:spacing w:before="120" w:after="120" w:line="259" w:lineRule="auto"/>
              <w:rPr>
                <w:rFonts w:cstheme="minorHAnsi"/>
                <w:b/>
                <w:bCs/>
              </w:rPr>
            </w:pPr>
            <w:r>
              <w:rPr>
                <w:rFonts w:cstheme="minorHAnsi"/>
                <w:b/>
                <w:bCs/>
              </w:rPr>
              <w:t xml:space="preserve">Engaging </w:t>
            </w:r>
            <w:r w:rsidR="00AE4775" w:rsidRPr="00603981">
              <w:rPr>
                <w:rFonts w:cstheme="minorHAnsi"/>
                <w:b/>
                <w:bCs/>
              </w:rPr>
              <w:t>with disputes</w:t>
            </w:r>
          </w:p>
        </w:tc>
        <w:tc>
          <w:tcPr>
            <w:tcW w:w="7320" w:type="dxa"/>
          </w:tcPr>
          <w:p w14:paraId="3513C875" w14:textId="289DF601" w:rsidR="00AE4775" w:rsidRPr="00603981" w:rsidRDefault="009928B0" w:rsidP="009171B9">
            <w:pPr>
              <w:widowControl w:val="0"/>
              <w:spacing w:before="120" w:after="120" w:line="259" w:lineRule="auto"/>
              <w:rPr>
                <w:rFonts w:cstheme="minorHAnsi"/>
              </w:rPr>
            </w:pPr>
            <w:r w:rsidRPr="00603981">
              <w:rPr>
                <w:rFonts w:cstheme="minorHAnsi"/>
              </w:rPr>
              <w:t xml:space="preserve">The previous table describes the department’s </w:t>
            </w:r>
            <w:r>
              <w:rPr>
                <w:rFonts w:cstheme="minorHAnsi"/>
              </w:rPr>
              <w:t>consideration</w:t>
            </w:r>
            <w:r w:rsidRPr="00603981">
              <w:rPr>
                <w:rFonts w:cstheme="minorHAnsi"/>
              </w:rPr>
              <w:t xml:space="preserve"> </w:t>
            </w:r>
            <w:r>
              <w:rPr>
                <w:rFonts w:cstheme="minorHAnsi"/>
              </w:rPr>
              <w:t xml:space="preserve">of </w:t>
            </w:r>
            <w:r w:rsidRPr="00603981">
              <w:rPr>
                <w:rFonts w:cstheme="minorHAnsi"/>
              </w:rPr>
              <w:t>potential cost</w:t>
            </w:r>
            <w:r>
              <w:rPr>
                <w:rFonts w:cstheme="minorHAnsi"/>
              </w:rPr>
              <w:t xml:space="preserve">s incurred if a dispute arises and concludes that quantifying those costs is difficult due to the variance between circumstances that may trigger a dispute. The same rationale is applied here in relation to labour hire employees such that the cost of engaging with </w:t>
            </w:r>
            <w:r w:rsidRPr="00603981">
              <w:rPr>
                <w:rFonts w:cstheme="minorHAnsi"/>
              </w:rPr>
              <w:t xml:space="preserve">disputes </w:t>
            </w:r>
            <w:r>
              <w:rPr>
                <w:rFonts w:cstheme="minorHAnsi"/>
              </w:rPr>
              <w:t>cannot be quantified defensibly</w:t>
            </w:r>
            <w:r w:rsidRPr="00603981">
              <w:rPr>
                <w:rFonts w:cstheme="minorHAnsi"/>
              </w:rPr>
              <w:t>.</w:t>
            </w:r>
          </w:p>
        </w:tc>
      </w:tr>
    </w:tbl>
    <w:p w14:paraId="77751CEA" w14:textId="77777777" w:rsidR="00AE4775" w:rsidRPr="00603981" w:rsidRDefault="00AE4775" w:rsidP="00AE4775">
      <w:pPr>
        <w:widowControl w:val="0"/>
        <w:spacing w:after="0" w:line="240" w:lineRule="auto"/>
        <w:rPr>
          <w:rFonts w:cstheme="minorHAnsi"/>
        </w:rPr>
      </w:pPr>
    </w:p>
    <w:p w14:paraId="62E32648" w14:textId="77777777" w:rsidR="00AE4775" w:rsidRPr="00603981" w:rsidRDefault="00AE4775" w:rsidP="00C939F9">
      <w:pPr>
        <w:keepNext/>
        <w:rPr>
          <w:rFonts w:cstheme="minorHAnsi"/>
          <w:u w:val="single"/>
        </w:rPr>
      </w:pPr>
      <w:r w:rsidRPr="00603981">
        <w:rPr>
          <w:rFonts w:cstheme="minorHAnsi"/>
          <w:u w:val="single"/>
        </w:rPr>
        <w:t>What benefits are expected to flow from the proposal?</w:t>
      </w:r>
    </w:p>
    <w:p w14:paraId="3F4079F0" w14:textId="465A8607" w:rsidR="00AE4775" w:rsidRPr="00603981" w:rsidRDefault="00AE4775" w:rsidP="00C939F9">
      <w:pPr>
        <w:keepNext/>
        <w:widowControl w:val="0"/>
        <w:rPr>
          <w:rStyle w:val="cf11"/>
          <w:rFonts w:asciiTheme="minorHAnsi" w:hAnsiTheme="minorHAnsi" w:cstheme="minorHAnsi"/>
          <w:i/>
          <w:iCs/>
          <w:sz w:val="22"/>
          <w:szCs w:val="22"/>
        </w:rPr>
      </w:pPr>
      <w:r w:rsidRPr="00603981">
        <w:rPr>
          <w:rStyle w:val="cf11"/>
          <w:rFonts w:asciiTheme="minorHAnsi" w:hAnsiTheme="minorHAnsi" w:cstheme="minorHAnsi"/>
          <w:i/>
          <w:iCs/>
          <w:sz w:val="22"/>
          <w:szCs w:val="22"/>
        </w:rPr>
        <w:t>For host</w:t>
      </w:r>
      <w:r w:rsidR="0081593D">
        <w:rPr>
          <w:rStyle w:val="cf11"/>
          <w:rFonts w:asciiTheme="minorHAnsi" w:hAnsiTheme="minorHAnsi" w:cstheme="minorHAnsi"/>
          <w:i/>
          <w:iCs/>
          <w:sz w:val="22"/>
          <w:szCs w:val="22"/>
        </w:rPr>
        <w:t>s</w:t>
      </w:r>
      <w:r w:rsidRPr="00603981">
        <w:rPr>
          <w:rStyle w:val="cf11"/>
          <w:rFonts w:asciiTheme="minorHAnsi" w:hAnsiTheme="minorHAnsi" w:cstheme="minorHAnsi"/>
          <w:i/>
          <w:iCs/>
          <w:sz w:val="22"/>
          <w:szCs w:val="22"/>
        </w:rPr>
        <w:t xml:space="preserve"> and </w:t>
      </w:r>
      <w:r w:rsidR="00503061" w:rsidRPr="00603981">
        <w:rPr>
          <w:rStyle w:val="cf11"/>
          <w:rFonts w:asciiTheme="minorHAnsi" w:hAnsiTheme="minorHAnsi" w:cstheme="minorHAnsi"/>
          <w:i/>
          <w:iCs/>
          <w:sz w:val="22"/>
          <w:szCs w:val="22"/>
        </w:rPr>
        <w:t xml:space="preserve">labour hire </w:t>
      </w:r>
      <w:r w:rsidR="0081593D">
        <w:rPr>
          <w:rStyle w:val="cf11"/>
          <w:rFonts w:asciiTheme="minorHAnsi" w:hAnsiTheme="minorHAnsi" w:cstheme="minorHAnsi"/>
          <w:i/>
          <w:iCs/>
          <w:sz w:val="22"/>
          <w:szCs w:val="22"/>
        </w:rPr>
        <w:t>employers</w:t>
      </w:r>
    </w:p>
    <w:p w14:paraId="45002980" w14:textId="196AA55E" w:rsidR="00AE4775" w:rsidRPr="00603981" w:rsidRDefault="00AE4775" w:rsidP="00F207DC">
      <w:pPr>
        <w:spacing w:after="160" w:line="259" w:lineRule="auto"/>
        <w:rPr>
          <w:rFonts w:cstheme="minorHAnsi"/>
        </w:rPr>
      </w:pPr>
      <w:r w:rsidRPr="00603981">
        <w:rPr>
          <w:rFonts w:cstheme="minorHAnsi"/>
        </w:rPr>
        <w:t xml:space="preserve">While there are a number of costs </w:t>
      </w:r>
      <w:r w:rsidR="00164FBD" w:rsidRPr="00603981">
        <w:rPr>
          <w:rFonts w:cstheme="minorHAnsi"/>
        </w:rPr>
        <w:t xml:space="preserve">for business </w:t>
      </w:r>
      <w:r w:rsidRPr="00603981">
        <w:rPr>
          <w:rFonts w:cstheme="minorHAnsi"/>
        </w:rPr>
        <w:t xml:space="preserve">associated with the proposal, </w:t>
      </w:r>
      <w:r w:rsidR="00FC147A" w:rsidRPr="00603981">
        <w:rPr>
          <w:rFonts w:cstheme="minorHAnsi"/>
        </w:rPr>
        <w:t>it</w:t>
      </w:r>
      <w:r w:rsidRPr="00603981">
        <w:rPr>
          <w:rFonts w:cstheme="minorHAnsi"/>
        </w:rPr>
        <w:t xml:space="preserve"> also has the potential to generate benefit</w:t>
      </w:r>
      <w:r w:rsidR="00164FBD" w:rsidRPr="00603981">
        <w:rPr>
          <w:rFonts w:cstheme="minorHAnsi"/>
        </w:rPr>
        <w:t>s</w:t>
      </w:r>
      <w:r w:rsidRPr="00603981">
        <w:rPr>
          <w:rFonts w:cstheme="minorHAnsi"/>
        </w:rPr>
        <w:t xml:space="preserve"> for host</w:t>
      </w:r>
      <w:r w:rsidR="003B0876">
        <w:rPr>
          <w:rFonts w:cstheme="minorHAnsi"/>
        </w:rPr>
        <w:t>s</w:t>
      </w:r>
      <w:r w:rsidRPr="00603981">
        <w:rPr>
          <w:rFonts w:cstheme="minorHAnsi"/>
        </w:rPr>
        <w:t xml:space="preserve"> and </w:t>
      </w:r>
      <w:r w:rsidR="00503061" w:rsidRPr="00603981">
        <w:rPr>
          <w:rFonts w:cstheme="minorHAnsi"/>
        </w:rPr>
        <w:t xml:space="preserve">labour hire </w:t>
      </w:r>
      <w:r w:rsidR="003B0876">
        <w:rPr>
          <w:rFonts w:cstheme="minorHAnsi"/>
        </w:rPr>
        <w:t>employers</w:t>
      </w:r>
      <w:r w:rsidR="003B0876" w:rsidRPr="00603981">
        <w:rPr>
          <w:rFonts w:cstheme="minorHAnsi"/>
        </w:rPr>
        <w:t xml:space="preserve"> </w:t>
      </w:r>
      <w:r w:rsidRPr="00603981">
        <w:rPr>
          <w:rFonts w:cstheme="minorHAnsi"/>
        </w:rPr>
        <w:t>(noting that, as a result of the above-mentioned data limitations, these benefits are framed here conceptual</w:t>
      </w:r>
      <w:r w:rsidR="00F56638">
        <w:rPr>
          <w:rFonts w:cstheme="minorHAnsi"/>
        </w:rPr>
        <w:t>ly</w:t>
      </w:r>
      <w:r w:rsidRPr="00603981">
        <w:rPr>
          <w:rFonts w:cstheme="minorHAnsi"/>
        </w:rPr>
        <w:t xml:space="preserve">). </w:t>
      </w:r>
      <w:r w:rsidRPr="00603981">
        <w:t>For example</w:t>
      </w:r>
      <w:r w:rsidR="00F56638">
        <w:t>,</w:t>
      </w:r>
      <w:r w:rsidR="00DE1554" w:rsidRPr="00603981">
        <w:t xml:space="preserve"> as mentioned above</w:t>
      </w:r>
      <w:r w:rsidRPr="00603981">
        <w:t xml:space="preserve">, the Victorian Inquiry heard evidence from some labour hire </w:t>
      </w:r>
      <w:r w:rsidR="00F56638">
        <w:t>employers</w:t>
      </w:r>
      <w:r w:rsidR="00F56638" w:rsidRPr="00603981">
        <w:t xml:space="preserve"> </w:t>
      </w:r>
      <w:r w:rsidRPr="00603981">
        <w:t>that voluntarily pay</w:t>
      </w:r>
      <w:r w:rsidR="00E6283F" w:rsidRPr="00603981">
        <w:t>ing</w:t>
      </w:r>
      <w:r w:rsidRPr="00603981">
        <w:t xml:space="preserve"> host enterprise agreement rates to labour hire </w:t>
      </w:r>
      <w:r w:rsidR="00F56638">
        <w:t>employees</w:t>
      </w:r>
      <w:r w:rsidR="00F56638" w:rsidRPr="00603981">
        <w:t xml:space="preserve"> </w:t>
      </w:r>
      <w:r w:rsidRPr="00603981">
        <w:t xml:space="preserve">has an observable impact on productivity, insofar as it was retained or enhanced on sites where pay parity </w:t>
      </w:r>
      <w:r w:rsidR="00E6283F" w:rsidRPr="00603981">
        <w:t>exists</w:t>
      </w:r>
      <w:r w:rsidRPr="00603981">
        <w:t xml:space="preserve"> between </w:t>
      </w:r>
      <w:r w:rsidR="00F56638">
        <w:t>host employees</w:t>
      </w:r>
      <w:r w:rsidRPr="00603981">
        <w:t xml:space="preserve"> and </w:t>
      </w:r>
      <w:r w:rsidR="00E6283F" w:rsidRPr="00603981">
        <w:t xml:space="preserve">labour </w:t>
      </w:r>
      <w:r w:rsidRPr="00603981">
        <w:t>hire employees.</w:t>
      </w:r>
      <w:r w:rsidRPr="00603981">
        <w:rPr>
          <w:rStyle w:val="FootnoteReference"/>
        </w:rPr>
        <w:footnoteReference w:id="58"/>
      </w:r>
    </w:p>
    <w:p w14:paraId="5129DAA9" w14:textId="45D830EE" w:rsidR="00CB4B7B" w:rsidRDefault="00AE4775" w:rsidP="00F207DC">
      <w:pPr>
        <w:spacing w:after="160" w:line="259" w:lineRule="auto"/>
      </w:pPr>
      <w:r w:rsidRPr="00603981">
        <w:t xml:space="preserve">The Third Interim Report also contains observations from the </w:t>
      </w:r>
      <w:r w:rsidR="00B70CC7" w:rsidRPr="00603981">
        <w:t>Job Security</w:t>
      </w:r>
      <w:r w:rsidRPr="00603981">
        <w:t xml:space="preserve"> Committee regarding adverse health and safety outcomes associated with labour hire and contract work when compared to ongoing full-time employment. Specifically, the Committee heard that the insecurity of work, such as labour hire work, led to higher incidences or frequency of injuries, poorer physical and mental health, and less willingness to raise health and safety concerns.</w:t>
      </w:r>
      <w:r w:rsidRPr="00603981">
        <w:rPr>
          <w:rStyle w:val="FootnoteReference"/>
        </w:rPr>
        <w:footnoteReference w:id="59"/>
      </w:r>
      <w:r w:rsidRPr="00603981">
        <w:t xml:space="preserve"> </w:t>
      </w:r>
      <w:r w:rsidR="005D7DC8" w:rsidRPr="00603981">
        <w:t>Arguably,</w:t>
      </w:r>
      <w:r w:rsidRPr="00603981">
        <w:t xml:space="preserve"> if implementing this proposal leads to host</w:t>
      </w:r>
      <w:r w:rsidR="00F56638">
        <w:t>s</w:t>
      </w:r>
      <w:r w:rsidRPr="00603981">
        <w:t xml:space="preserve"> engaging more direct employees, there may be an observable increase in work health and safety outcomes in those workplaces</w:t>
      </w:r>
      <w:r w:rsidR="005C5C7A" w:rsidRPr="00603981">
        <w:t xml:space="preserve">, to the benefit of employers and </w:t>
      </w:r>
      <w:r w:rsidR="00545CD9">
        <w:t>employees</w:t>
      </w:r>
      <w:r w:rsidRPr="00603981">
        <w:t>.</w:t>
      </w:r>
    </w:p>
    <w:p w14:paraId="2B9357C8" w14:textId="370FC897" w:rsidR="00C27572" w:rsidRPr="00603981" w:rsidRDefault="00C27572" w:rsidP="00F207DC">
      <w:pPr>
        <w:spacing w:after="160" w:line="259" w:lineRule="auto"/>
        <w:rPr>
          <w:rFonts w:cstheme="minorHAnsi"/>
        </w:rPr>
      </w:pPr>
      <w:r>
        <w:rPr>
          <w:rStyle w:val="normaltextrun"/>
          <w:shd w:val="clear" w:color="auto" w:fill="FFFFFF"/>
        </w:rPr>
        <w:t>T</w:t>
      </w:r>
      <w:r w:rsidRPr="00603981">
        <w:rPr>
          <w:rStyle w:val="normaltextrun"/>
          <w:shd w:val="clear" w:color="auto" w:fill="FFFFFF"/>
        </w:rPr>
        <w:t xml:space="preserve">he </w:t>
      </w:r>
      <w:r>
        <w:rPr>
          <w:rStyle w:val="normaltextrun"/>
          <w:shd w:val="clear" w:color="auto" w:fill="FFFFFF"/>
        </w:rPr>
        <w:t>proposal</w:t>
      </w:r>
      <w:r w:rsidRPr="00603981">
        <w:rPr>
          <w:rStyle w:val="normaltextrun"/>
          <w:shd w:val="clear" w:color="auto" w:fill="FFFFFF"/>
        </w:rPr>
        <w:t xml:space="preserve"> </w:t>
      </w:r>
      <w:r>
        <w:rPr>
          <w:rStyle w:val="normaltextrun"/>
          <w:shd w:val="clear" w:color="auto" w:fill="FFFFFF"/>
        </w:rPr>
        <w:t xml:space="preserve">will not have a direct </w:t>
      </w:r>
      <w:r w:rsidRPr="00603981">
        <w:rPr>
          <w:rStyle w:val="normaltextrun"/>
          <w:shd w:val="clear" w:color="auto" w:fill="FFFFFF"/>
        </w:rPr>
        <w:t>impact on small business</w:t>
      </w:r>
      <w:r w:rsidR="00DB165E">
        <w:rPr>
          <w:rStyle w:val="normaltextrun"/>
          <w:shd w:val="clear" w:color="auto" w:fill="FFFFFF"/>
        </w:rPr>
        <w:t xml:space="preserve"> host employers</w:t>
      </w:r>
      <w:r>
        <w:rPr>
          <w:rStyle w:val="normaltextrun"/>
          <w:shd w:val="clear" w:color="auto" w:fill="FFFFFF"/>
        </w:rPr>
        <w:t xml:space="preserve"> (that is, with fewer than 15 employees)</w:t>
      </w:r>
      <w:r w:rsidR="000846E3">
        <w:rPr>
          <w:rStyle w:val="normaltextrun"/>
          <w:shd w:val="clear" w:color="auto" w:fill="FFFFFF"/>
        </w:rPr>
        <w:t>,</w:t>
      </w:r>
      <w:r>
        <w:rPr>
          <w:rStyle w:val="normaltextrun"/>
          <w:shd w:val="clear" w:color="auto" w:fill="FFFFFF"/>
        </w:rPr>
        <w:t xml:space="preserve"> </w:t>
      </w:r>
      <w:r w:rsidR="000846E3">
        <w:rPr>
          <w:rStyle w:val="normaltextrun"/>
          <w:shd w:val="clear" w:color="auto" w:fill="FFFFFF"/>
        </w:rPr>
        <w:t xml:space="preserve">as they </w:t>
      </w:r>
      <w:r>
        <w:rPr>
          <w:rStyle w:val="normaltextrun"/>
          <w:shd w:val="clear" w:color="auto" w:fill="FFFFFF"/>
        </w:rPr>
        <w:t>are excluded from scope</w:t>
      </w:r>
      <w:r w:rsidRPr="00603981">
        <w:rPr>
          <w:rStyle w:val="normaltextrun"/>
          <w:shd w:val="clear" w:color="auto" w:fill="FFFFFF"/>
        </w:rPr>
        <w:t xml:space="preserve">. Small businesses who are </w:t>
      </w:r>
      <w:r w:rsidRPr="00603981">
        <w:rPr>
          <w:rStyle w:val="normaltextrun"/>
        </w:rPr>
        <w:t xml:space="preserve">labour hire </w:t>
      </w:r>
      <w:r>
        <w:rPr>
          <w:rStyle w:val="normaltextrun"/>
        </w:rPr>
        <w:t>employers</w:t>
      </w:r>
      <w:r w:rsidRPr="00603981">
        <w:rPr>
          <w:rStyle w:val="normaltextrun"/>
          <w:shd w:val="clear" w:color="auto" w:fill="FFFFFF"/>
        </w:rPr>
        <w:t xml:space="preserve"> </w:t>
      </w:r>
      <w:r>
        <w:rPr>
          <w:rStyle w:val="normaltextrun"/>
          <w:shd w:val="clear" w:color="auto" w:fill="FFFFFF"/>
        </w:rPr>
        <w:t>can be covered by a Fair Work Commission order and will face the same obligations as larger labour hire employers in the same circumstances.</w:t>
      </w:r>
    </w:p>
    <w:p w14:paraId="17C825FF" w14:textId="15DA0727" w:rsidR="00AE4775" w:rsidRPr="00603981" w:rsidRDefault="00AE4775" w:rsidP="00F207DC">
      <w:pPr>
        <w:spacing w:after="160" w:line="259" w:lineRule="auto"/>
        <w:rPr>
          <w:rFonts w:cstheme="minorHAnsi"/>
        </w:rPr>
      </w:pPr>
      <w:r w:rsidRPr="00603981">
        <w:lastRenderedPageBreak/>
        <w:t xml:space="preserve">Further, some stakeholders have suggested to the department that this proposal </w:t>
      </w:r>
      <w:r w:rsidR="007513CF">
        <w:t xml:space="preserve">may </w:t>
      </w:r>
      <w:r w:rsidRPr="00603981">
        <w:t xml:space="preserve">also give </w:t>
      </w:r>
      <w:r w:rsidR="00503061" w:rsidRPr="00603981">
        <w:t xml:space="preserve">labour hire </w:t>
      </w:r>
      <w:r w:rsidR="007513CF">
        <w:t>employers</w:t>
      </w:r>
      <w:r w:rsidR="007513CF" w:rsidRPr="00603981">
        <w:t xml:space="preserve"> </w:t>
      </w:r>
      <w:r w:rsidR="007513CF">
        <w:t xml:space="preserve">the opportunity </w:t>
      </w:r>
      <w:r w:rsidRPr="00603981">
        <w:t>to generate more revenue as a result of higher wage costs being passed on to host</w:t>
      </w:r>
      <w:r w:rsidR="007513CF">
        <w:t>s</w:t>
      </w:r>
      <w:r w:rsidRPr="00603981">
        <w:t xml:space="preserve">. </w:t>
      </w:r>
      <w:r w:rsidRPr="00603981">
        <w:rPr>
          <w:rFonts w:cstheme="minorHAnsi"/>
        </w:rPr>
        <w:t xml:space="preserve">For example, if a </w:t>
      </w:r>
      <w:r w:rsidR="00503061" w:rsidRPr="00603981">
        <w:rPr>
          <w:rFonts w:cstheme="minorHAnsi"/>
        </w:rPr>
        <w:t xml:space="preserve">labour hire </w:t>
      </w:r>
      <w:r w:rsidR="007513CF">
        <w:rPr>
          <w:rFonts w:cstheme="minorHAnsi"/>
        </w:rPr>
        <w:t>employer</w:t>
      </w:r>
      <w:r w:rsidR="007513CF" w:rsidRPr="00603981">
        <w:rPr>
          <w:rFonts w:cstheme="minorHAnsi"/>
        </w:rPr>
        <w:t xml:space="preserve">’s </w:t>
      </w:r>
      <w:r w:rsidRPr="00603981">
        <w:rPr>
          <w:rFonts w:cstheme="minorHAnsi"/>
        </w:rPr>
        <w:t>business model relies on a percentage on top of a payment to cover the wage of a</w:t>
      </w:r>
      <w:r w:rsidR="007513CF">
        <w:rPr>
          <w:rFonts w:cstheme="minorHAnsi"/>
        </w:rPr>
        <w:t xml:space="preserve"> labour hire employee</w:t>
      </w:r>
      <w:r w:rsidRPr="00603981">
        <w:rPr>
          <w:rFonts w:cstheme="minorHAnsi"/>
        </w:rPr>
        <w:t xml:space="preserve"> placed in the host’s workplace, a higher wage cost will lead to a higher ‘on top’ percentage. </w:t>
      </w:r>
      <w:r w:rsidR="007513CF">
        <w:rPr>
          <w:rFonts w:cstheme="minorHAnsi"/>
        </w:rPr>
        <w:t>W</w:t>
      </w:r>
      <w:r w:rsidRPr="00603981">
        <w:rPr>
          <w:rFonts w:cstheme="minorHAnsi"/>
        </w:rPr>
        <w:t>hether this materialises for</w:t>
      </w:r>
      <w:r w:rsidRPr="00603981" w:rsidDel="000B731E">
        <w:rPr>
          <w:rFonts w:cstheme="minorHAnsi"/>
        </w:rPr>
        <w:t xml:space="preserve"> </w:t>
      </w:r>
      <w:r w:rsidR="00503061" w:rsidRPr="00603981">
        <w:rPr>
          <w:rFonts w:cstheme="minorHAnsi"/>
        </w:rPr>
        <w:t xml:space="preserve">labour hire </w:t>
      </w:r>
      <w:r w:rsidR="007513CF">
        <w:rPr>
          <w:rFonts w:cstheme="minorHAnsi"/>
        </w:rPr>
        <w:t>employers</w:t>
      </w:r>
      <w:r w:rsidR="007513CF" w:rsidRPr="00603981">
        <w:rPr>
          <w:rFonts w:cstheme="minorHAnsi"/>
        </w:rPr>
        <w:t xml:space="preserve"> </w:t>
      </w:r>
      <w:r w:rsidRPr="00603981">
        <w:rPr>
          <w:rFonts w:cstheme="minorHAnsi"/>
        </w:rPr>
        <w:t>is not able to be determined as part of this analysis.</w:t>
      </w:r>
    </w:p>
    <w:p w14:paraId="74667629" w14:textId="09E4495C" w:rsidR="00AE4775" w:rsidRPr="00603981" w:rsidRDefault="00AE4775" w:rsidP="00464AD7">
      <w:pPr>
        <w:keepNext/>
        <w:spacing w:after="160" w:line="259" w:lineRule="auto"/>
        <w:rPr>
          <w:rStyle w:val="cf11"/>
          <w:rFonts w:asciiTheme="minorHAnsi" w:hAnsiTheme="minorHAnsi" w:cstheme="minorHAnsi"/>
          <w:i/>
          <w:iCs/>
          <w:sz w:val="22"/>
          <w:szCs w:val="22"/>
        </w:rPr>
      </w:pPr>
      <w:r w:rsidRPr="00603981">
        <w:rPr>
          <w:rFonts w:cstheme="minorHAnsi"/>
          <w:i/>
          <w:iCs/>
        </w:rPr>
        <w:t xml:space="preserve">For </w:t>
      </w:r>
      <w:r w:rsidR="00680501">
        <w:rPr>
          <w:rStyle w:val="cf11"/>
          <w:rFonts w:asciiTheme="minorHAnsi" w:hAnsiTheme="minorHAnsi" w:cstheme="minorHAnsi"/>
          <w:i/>
          <w:iCs/>
          <w:sz w:val="22"/>
          <w:szCs w:val="22"/>
        </w:rPr>
        <w:t>labour hire employees</w:t>
      </w:r>
    </w:p>
    <w:p w14:paraId="19CFEA86" w14:textId="1705DD25" w:rsidR="00AE4775" w:rsidRPr="00603981" w:rsidRDefault="00AE4775" w:rsidP="00464AD7">
      <w:pPr>
        <w:keepNext/>
        <w:spacing w:after="160" w:line="259" w:lineRule="auto"/>
        <w:rPr>
          <w:rStyle w:val="cf11"/>
          <w:rFonts w:asciiTheme="minorHAnsi" w:hAnsiTheme="minorHAnsi" w:cstheme="minorHAnsi"/>
          <w:sz w:val="22"/>
          <w:szCs w:val="22"/>
        </w:rPr>
      </w:pPr>
      <w:r w:rsidRPr="00603981">
        <w:rPr>
          <w:rStyle w:val="cf11"/>
          <w:rFonts w:asciiTheme="minorHAnsi" w:hAnsiTheme="minorHAnsi" w:cstheme="minorHAnsi"/>
          <w:sz w:val="22"/>
          <w:szCs w:val="22"/>
        </w:rPr>
        <w:t xml:space="preserve">Benefits for </w:t>
      </w:r>
      <w:r w:rsidR="00680501">
        <w:rPr>
          <w:rStyle w:val="cf11"/>
          <w:rFonts w:asciiTheme="minorHAnsi" w:hAnsiTheme="minorHAnsi" w:cstheme="minorHAnsi"/>
          <w:sz w:val="22"/>
          <w:szCs w:val="22"/>
        </w:rPr>
        <w:t>labour hire employees</w:t>
      </w:r>
      <w:r w:rsidR="00680501" w:rsidRPr="00603981">
        <w:rPr>
          <w:rStyle w:val="cf11"/>
          <w:rFonts w:asciiTheme="minorHAnsi" w:hAnsiTheme="minorHAnsi" w:cstheme="minorHAnsi"/>
          <w:sz w:val="22"/>
          <w:szCs w:val="22"/>
        </w:rPr>
        <w:t xml:space="preserve"> </w:t>
      </w:r>
      <w:r w:rsidRPr="00603981">
        <w:rPr>
          <w:rStyle w:val="cf11"/>
          <w:rFonts w:asciiTheme="minorHAnsi" w:hAnsiTheme="minorHAnsi" w:cstheme="minorHAnsi"/>
          <w:sz w:val="22"/>
          <w:szCs w:val="22"/>
        </w:rPr>
        <w:t>from implementing this proposal are set out in the table below:</w:t>
      </w:r>
    </w:p>
    <w:tbl>
      <w:tblPr>
        <w:tblStyle w:val="TableGrid"/>
        <w:tblW w:w="0" w:type="auto"/>
        <w:tblLook w:val="04A0" w:firstRow="1" w:lastRow="0" w:firstColumn="1" w:lastColumn="0" w:noHBand="0" w:noVBand="1"/>
      </w:tblPr>
      <w:tblGrid>
        <w:gridCol w:w="1471"/>
        <w:gridCol w:w="7556"/>
      </w:tblGrid>
      <w:tr w:rsidR="00AE4775" w:rsidRPr="00603981" w14:paraId="47C37A79" w14:textId="77777777" w:rsidTr="717F6999">
        <w:tc>
          <w:tcPr>
            <w:tcW w:w="1460" w:type="dxa"/>
            <w:shd w:val="clear" w:color="auto" w:fill="404246"/>
          </w:tcPr>
          <w:p w14:paraId="5864D23F" w14:textId="77777777" w:rsidR="00AE4775" w:rsidRPr="00603981" w:rsidRDefault="00AE4775" w:rsidP="00E26F09">
            <w:pPr>
              <w:spacing w:before="120" w:after="120" w:line="259" w:lineRule="auto"/>
              <w:rPr>
                <w:rFonts w:cstheme="minorHAnsi"/>
                <w:b/>
                <w:bCs/>
                <w:color w:val="FFFFFF" w:themeColor="background1"/>
              </w:rPr>
            </w:pPr>
            <w:r w:rsidRPr="00603981">
              <w:rPr>
                <w:rFonts w:cstheme="minorHAnsi"/>
                <w:b/>
                <w:bCs/>
                <w:color w:val="FFFFFF" w:themeColor="background1"/>
              </w:rPr>
              <w:t>Benefits</w:t>
            </w:r>
          </w:p>
        </w:tc>
        <w:tc>
          <w:tcPr>
            <w:tcW w:w="7556" w:type="dxa"/>
            <w:shd w:val="clear" w:color="auto" w:fill="404246"/>
          </w:tcPr>
          <w:p w14:paraId="2EE2A43D" w14:textId="77777777" w:rsidR="00AE4775" w:rsidRPr="00603981" w:rsidRDefault="00AE4775" w:rsidP="00E26F09">
            <w:pPr>
              <w:spacing w:before="120" w:after="120" w:line="259" w:lineRule="auto"/>
              <w:rPr>
                <w:rStyle w:val="cf11"/>
                <w:rFonts w:asciiTheme="minorHAnsi" w:hAnsiTheme="minorHAnsi" w:cstheme="minorHAnsi"/>
                <w:b/>
                <w:bCs/>
                <w:color w:val="FFFFFF" w:themeColor="background1"/>
                <w:sz w:val="22"/>
                <w:szCs w:val="22"/>
              </w:rPr>
            </w:pPr>
            <w:r w:rsidRPr="00603981">
              <w:rPr>
                <w:rStyle w:val="cf11"/>
                <w:rFonts w:asciiTheme="minorHAnsi" w:hAnsiTheme="minorHAnsi" w:cstheme="minorHAnsi"/>
                <w:b/>
                <w:bCs/>
                <w:color w:val="FFFFFF" w:themeColor="background1"/>
                <w:sz w:val="22"/>
                <w:szCs w:val="22"/>
              </w:rPr>
              <w:t>Analysis</w:t>
            </w:r>
          </w:p>
        </w:tc>
      </w:tr>
      <w:tr w:rsidR="00AE4775" w:rsidRPr="00603981" w14:paraId="5B340E62" w14:textId="77777777" w:rsidTr="717F6999">
        <w:tc>
          <w:tcPr>
            <w:tcW w:w="1460" w:type="dxa"/>
            <w:shd w:val="clear" w:color="auto" w:fill="7A9F4C"/>
          </w:tcPr>
          <w:p w14:paraId="313E4448" w14:textId="77777777" w:rsidR="00AE4775" w:rsidRPr="00603981" w:rsidRDefault="00AE4775" w:rsidP="00E26F09">
            <w:pPr>
              <w:spacing w:before="120" w:after="120" w:line="259" w:lineRule="auto"/>
              <w:rPr>
                <w:rStyle w:val="cf11"/>
                <w:rFonts w:asciiTheme="minorHAnsi" w:hAnsiTheme="minorHAnsi" w:cstheme="minorHAnsi"/>
                <w:b/>
                <w:bCs/>
                <w:color w:val="FFFFFF" w:themeColor="background1"/>
                <w:sz w:val="22"/>
                <w:szCs w:val="22"/>
              </w:rPr>
            </w:pPr>
            <w:r w:rsidRPr="00603981">
              <w:rPr>
                <w:rFonts w:cstheme="minorHAnsi"/>
                <w:b/>
                <w:bCs/>
                <w:color w:val="FFFFFF" w:themeColor="background1"/>
              </w:rPr>
              <w:t>Improvement in wages</w:t>
            </w:r>
          </w:p>
        </w:tc>
        <w:tc>
          <w:tcPr>
            <w:tcW w:w="7556" w:type="dxa"/>
          </w:tcPr>
          <w:p w14:paraId="3CCE4D35" w14:textId="3EA71902" w:rsidR="00AE4775" w:rsidRPr="00603981" w:rsidRDefault="00AE4775" w:rsidP="00E26F09">
            <w:pPr>
              <w:spacing w:before="120" w:after="120" w:line="259" w:lineRule="auto"/>
              <w:rPr>
                <w:rFonts w:cstheme="minorHAnsi"/>
              </w:rPr>
            </w:pPr>
            <w:r w:rsidRPr="00603981">
              <w:rPr>
                <w:rFonts w:cstheme="minorHAnsi"/>
              </w:rPr>
              <w:t xml:space="preserve">This proposal will ensure labour hire </w:t>
            </w:r>
            <w:r w:rsidR="009145CE">
              <w:rPr>
                <w:rFonts w:cstheme="minorHAnsi"/>
              </w:rPr>
              <w:t>employees</w:t>
            </w:r>
            <w:r w:rsidR="009145CE" w:rsidRPr="00603981">
              <w:rPr>
                <w:rFonts w:cstheme="minorHAnsi"/>
              </w:rPr>
              <w:t xml:space="preserve"> </w:t>
            </w:r>
            <w:r w:rsidR="00ED557F">
              <w:rPr>
                <w:rFonts w:cstheme="minorHAnsi"/>
              </w:rPr>
              <w:t xml:space="preserve">covered by a </w:t>
            </w:r>
            <w:r w:rsidR="009145CE">
              <w:rPr>
                <w:rFonts w:cstheme="minorHAnsi"/>
              </w:rPr>
              <w:t>Fair Work Commission</w:t>
            </w:r>
            <w:r w:rsidR="00ED557F">
              <w:rPr>
                <w:rFonts w:cstheme="minorHAnsi"/>
              </w:rPr>
              <w:t xml:space="preserve"> order </w:t>
            </w:r>
            <w:r w:rsidRPr="00603981">
              <w:rPr>
                <w:rFonts w:cstheme="minorHAnsi"/>
              </w:rPr>
              <w:t xml:space="preserve">are paid at least what they would </w:t>
            </w:r>
            <w:r w:rsidR="009145CE">
              <w:rPr>
                <w:rFonts w:cstheme="minorHAnsi"/>
              </w:rPr>
              <w:t>paid</w:t>
            </w:r>
            <w:r w:rsidR="009145CE" w:rsidRPr="00603981">
              <w:rPr>
                <w:rFonts w:cstheme="minorHAnsi"/>
              </w:rPr>
              <w:t xml:space="preserve"> </w:t>
            </w:r>
            <w:r w:rsidRPr="00603981">
              <w:rPr>
                <w:rFonts w:cstheme="minorHAnsi"/>
              </w:rPr>
              <w:t xml:space="preserve">under a host’s enterprise agreement </w:t>
            </w:r>
            <w:r w:rsidRPr="007E231F">
              <w:rPr>
                <w:rFonts w:cstheme="minorHAnsi"/>
              </w:rPr>
              <w:t>if</w:t>
            </w:r>
            <w:r w:rsidRPr="00603981">
              <w:rPr>
                <w:rFonts w:cstheme="minorHAnsi"/>
              </w:rPr>
              <w:t xml:space="preserve"> they were directly employed by the host. For some </w:t>
            </w:r>
            <w:r w:rsidR="00D90D42">
              <w:rPr>
                <w:rFonts w:cstheme="minorHAnsi"/>
              </w:rPr>
              <w:t>labour hire employees</w:t>
            </w:r>
            <w:r w:rsidRPr="00603981">
              <w:rPr>
                <w:rFonts w:cstheme="minorHAnsi"/>
              </w:rPr>
              <w:t>, this will result in a wage rise.</w:t>
            </w:r>
          </w:p>
          <w:p w14:paraId="057456D6" w14:textId="0E1AA2F0" w:rsidR="00AE4775" w:rsidRPr="00603981" w:rsidRDefault="00AE4775" w:rsidP="717F6999">
            <w:pPr>
              <w:spacing w:before="120" w:after="120" w:line="259" w:lineRule="auto"/>
              <w:rPr>
                <w:rStyle w:val="cf11"/>
                <w:rFonts w:asciiTheme="minorHAnsi" w:hAnsiTheme="minorHAnsi" w:cstheme="minorBidi"/>
                <w:sz w:val="22"/>
                <w:szCs w:val="22"/>
              </w:rPr>
            </w:pPr>
            <w:r w:rsidRPr="00603981">
              <w:t xml:space="preserve">As outlined above, the increased wages bill under this proposal is estimated to be </w:t>
            </w:r>
            <w:r w:rsidR="005F3BA0">
              <w:t xml:space="preserve">up </w:t>
            </w:r>
            <w:r w:rsidR="005F3BA0" w:rsidRPr="002F18CF">
              <w:t xml:space="preserve">to </w:t>
            </w:r>
            <w:r w:rsidRPr="007E231F">
              <w:t>$</w:t>
            </w:r>
            <w:r w:rsidR="3B1D6F77" w:rsidRPr="007E231F">
              <w:t>5</w:t>
            </w:r>
            <w:r w:rsidR="449115BE" w:rsidRPr="007E231F">
              <w:t>1</w:t>
            </w:r>
            <w:r w:rsidR="38AE6DA2" w:rsidRPr="007E231F">
              <w:t>0</w:t>
            </w:r>
            <w:r w:rsidR="449115BE" w:rsidRPr="007E231F">
              <w:t>.</w:t>
            </w:r>
            <w:r w:rsidR="37220F12" w:rsidRPr="007E231F">
              <w:t>6</w:t>
            </w:r>
            <w:r w:rsidR="3B1D6F77" w:rsidRPr="007E231F">
              <w:t xml:space="preserve"> million</w:t>
            </w:r>
            <w:r w:rsidRPr="007E231F">
              <w:rPr>
                <w:b/>
              </w:rPr>
              <w:t xml:space="preserve"> </w:t>
            </w:r>
            <w:r w:rsidRPr="007E231F">
              <w:t>per year</w:t>
            </w:r>
            <w:r w:rsidRPr="002F18CF">
              <w:t xml:space="preserve"> (with respect</w:t>
            </w:r>
            <w:r w:rsidRPr="00603981">
              <w:t xml:space="preserve"> to the cohort of </w:t>
            </w:r>
            <w:r w:rsidRPr="003766E6">
              <w:t>6</w:t>
            </w:r>
            <w:r w:rsidR="4708CD37" w:rsidRPr="003766E6">
              <w:t>6</w:t>
            </w:r>
            <w:r w:rsidRPr="003766E6">
              <w:t>,</w:t>
            </w:r>
            <w:r w:rsidR="0EDCB99B" w:rsidRPr="003766E6">
              <w:t>4</w:t>
            </w:r>
            <w:r w:rsidR="00863C7D" w:rsidRPr="003766E6">
              <w:t>4</w:t>
            </w:r>
            <w:r w:rsidR="0EDCB99B" w:rsidRPr="003766E6">
              <w:t>6</w:t>
            </w:r>
            <w:r w:rsidRPr="00603981">
              <w:t xml:space="preserve"> labour hire </w:t>
            </w:r>
            <w:r w:rsidR="005F3BA0">
              <w:t>employees estimated as</w:t>
            </w:r>
            <w:r w:rsidR="005F3BA0" w:rsidRPr="00603981">
              <w:t xml:space="preserve"> </w:t>
            </w:r>
            <w:r w:rsidR="00300F01">
              <w:t>eligible</w:t>
            </w:r>
            <w:r w:rsidR="00300F01" w:rsidRPr="00603981">
              <w:t xml:space="preserve"> </w:t>
            </w:r>
            <w:r w:rsidRPr="00603981">
              <w:t xml:space="preserve">to </w:t>
            </w:r>
            <w:r w:rsidR="005F3BA0">
              <w:t>apply for a Fair Work Commission order</w:t>
            </w:r>
            <w:r w:rsidRPr="00603981">
              <w:t xml:space="preserve">). If this </w:t>
            </w:r>
            <w:r w:rsidR="005F3BA0">
              <w:t xml:space="preserve">wage increase </w:t>
            </w:r>
            <w:r w:rsidR="009C2A1D">
              <w:t>were</w:t>
            </w:r>
            <w:r w:rsidRPr="00603981">
              <w:t xml:space="preserve"> averaged across each of the </w:t>
            </w:r>
            <w:r w:rsidRPr="003766E6">
              <w:t>6</w:t>
            </w:r>
            <w:r w:rsidR="58E6AB90" w:rsidRPr="003766E6">
              <w:t>6</w:t>
            </w:r>
            <w:r w:rsidRPr="003766E6">
              <w:t>,</w:t>
            </w:r>
            <w:r w:rsidR="1DB1D427" w:rsidRPr="003766E6">
              <w:t>4</w:t>
            </w:r>
            <w:r w:rsidR="00863C7D" w:rsidRPr="003766E6">
              <w:t>4</w:t>
            </w:r>
            <w:r w:rsidR="1DB1D427" w:rsidRPr="003766E6">
              <w:t>6</w:t>
            </w:r>
            <w:r w:rsidRPr="003766E6">
              <w:t xml:space="preserve"> labour</w:t>
            </w:r>
            <w:r w:rsidRPr="00603981">
              <w:t xml:space="preserve"> hire </w:t>
            </w:r>
            <w:r w:rsidR="00EA0FAD">
              <w:t>employees</w:t>
            </w:r>
            <w:r w:rsidRPr="00603981">
              <w:t xml:space="preserve">, each </w:t>
            </w:r>
            <w:r w:rsidR="00EA0FAD">
              <w:t>employee</w:t>
            </w:r>
            <w:r w:rsidR="00EA0FAD" w:rsidRPr="00603981">
              <w:t xml:space="preserve"> </w:t>
            </w:r>
            <w:r w:rsidR="00EA0FAD">
              <w:t>would</w:t>
            </w:r>
            <w:r w:rsidRPr="00603981">
              <w:t xml:space="preserve"> receive </w:t>
            </w:r>
            <w:r w:rsidR="009C2A1D">
              <w:t xml:space="preserve">on average </w:t>
            </w:r>
            <w:r w:rsidRPr="00603981">
              <w:t>an additional $</w:t>
            </w:r>
            <w:r w:rsidR="771545DA" w:rsidRPr="00603981">
              <w:t>7</w:t>
            </w:r>
            <w:r w:rsidR="20CAE22E" w:rsidRPr="00603981">
              <w:t>,68</w:t>
            </w:r>
            <w:r w:rsidR="44474145" w:rsidRPr="00603981">
              <w:t>4</w:t>
            </w:r>
            <w:r w:rsidRPr="00603981">
              <w:t xml:space="preserve"> per</w:t>
            </w:r>
            <w:r w:rsidR="009C2A1D">
              <w:t> </w:t>
            </w:r>
            <w:r w:rsidRPr="00603981">
              <w:t>year (or $</w:t>
            </w:r>
            <w:r w:rsidR="565F3222" w:rsidRPr="00603981">
              <w:t>295</w:t>
            </w:r>
            <w:r w:rsidRPr="00603981">
              <w:t>.</w:t>
            </w:r>
            <w:r w:rsidR="6EE5B038" w:rsidRPr="00603981">
              <w:t>5</w:t>
            </w:r>
            <w:r w:rsidR="34346FB4" w:rsidRPr="00603981">
              <w:t>3</w:t>
            </w:r>
            <w:r w:rsidRPr="00603981">
              <w:t xml:space="preserve"> per fortnight).</w:t>
            </w:r>
            <w:r w:rsidRPr="00603981">
              <w:rPr>
                <w:rStyle w:val="FootnoteReference"/>
              </w:rPr>
              <w:footnoteReference w:id="60"/>
            </w:r>
            <w:r w:rsidR="5F47AA6D" w:rsidRPr="00603981">
              <w:t xml:space="preserve"> </w:t>
            </w:r>
            <w:r w:rsidRPr="717F6999">
              <w:t xml:space="preserve">Further details </w:t>
            </w:r>
            <w:r w:rsidR="4E258870" w:rsidRPr="717F6999">
              <w:t xml:space="preserve">are </w:t>
            </w:r>
            <w:r w:rsidRPr="717F6999">
              <w:t xml:space="preserve">at </w:t>
            </w:r>
            <w:r w:rsidRPr="007E231F">
              <w:rPr>
                <w:rFonts w:eastAsia="Times New Roman"/>
                <w:lang w:eastAsia="en-AU"/>
              </w:rPr>
              <w:t>Annexure C</w:t>
            </w:r>
            <w:r w:rsidRPr="717F6999">
              <w:rPr>
                <w:rFonts w:eastAsia="Times New Roman"/>
                <w:lang w:eastAsia="en-AU"/>
              </w:rPr>
              <w:t>.</w:t>
            </w:r>
          </w:p>
        </w:tc>
      </w:tr>
      <w:tr w:rsidR="00AE4775" w:rsidRPr="00603981" w14:paraId="0D157262" w14:textId="77777777" w:rsidTr="717F6999">
        <w:tc>
          <w:tcPr>
            <w:tcW w:w="1460" w:type="dxa"/>
            <w:shd w:val="clear" w:color="auto" w:fill="5D7A38"/>
          </w:tcPr>
          <w:p w14:paraId="771899BE" w14:textId="77777777" w:rsidR="00AE4775" w:rsidRPr="00603981" w:rsidRDefault="00AE4775" w:rsidP="00E26F09">
            <w:pPr>
              <w:pStyle w:val="pf0"/>
              <w:spacing w:before="120" w:beforeAutospacing="0" w:after="120" w:afterAutospacing="0" w:line="259" w:lineRule="auto"/>
              <w:rPr>
                <w:rStyle w:val="cf11"/>
                <w:rFonts w:asciiTheme="minorHAnsi" w:hAnsiTheme="minorHAnsi" w:cstheme="minorHAnsi"/>
                <w:b/>
                <w:bCs/>
                <w:color w:val="FFFFFF" w:themeColor="background1"/>
                <w:sz w:val="22"/>
                <w:szCs w:val="22"/>
              </w:rPr>
            </w:pPr>
            <w:r w:rsidRPr="00603981">
              <w:rPr>
                <w:rStyle w:val="cf11"/>
                <w:rFonts w:asciiTheme="minorHAnsi" w:hAnsiTheme="minorHAnsi" w:cstheme="minorHAnsi"/>
                <w:b/>
                <w:bCs/>
                <w:color w:val="FFFFFF" w:themeColor="background1"/>
                <w:sz w:val="22"/>
                <w:szCs w:val="22"/>
              </w:rPr>
              <w:t>Benefits to job security</w:t>
            </w:r>
          </w:p>
          <w:p w14:paraId="05CF0D8E" w14:textId="77777777" w:rsidR="00AE4775" w:rsidRPr="00603981" w:rsidRDefault="00AE4775" w:rsidP="00E26F09">
            <w:pPr>
              <w:spacing w:before="120" w:after="120" w:line="259" w:lineRule="auto"/>
              <w:rPr>
                <w:rStyle w:val="cf11"/>
                <w:rFonts w:asciiTheme="minorHAnsi" w:hAnsiTheme="minorHAnsi" w:cstheme="minorHAnsi"/>
                <w:b/>
                <w:bCs/>
                <w:color w:val="FFFFFF" w:themeColor="background1"/>
                <w:sz w:val="22"/>
                <w:szCs w:val="22"/>
              </w:rPr>
            </w:pPr>
          </w:p>
        </w:tc>
        <w:tc>
          <w:tcPr>
            <w:tcW w:w="7556" w:type="dxa"/>
          </w:tcPr>
          <w:p w14:paraId="7347BA0E" w14:textId="425ECFE0" w:rsidR="00AE4775" w:rsidRPr="00603981" w:rsidRDefault="00AE4775" w:rsidP="00E26F09">
            <w:pPr>
              <w:spacing w:before="120" w:after="120" w:line="259" w:lineRule="auto"/>
              <w:rPr>
                <w:rFonts w:cstheme="minorHAnsi"/>
              </w:rPr>
            </w:pPr>
            <w:r w:rsidRPr="00603981">
              <w:rPr>
                <w:rFonts w:cstheme="minorHAnsi"/>
              </w:rPr>
              <w:t xml:space="preserve">Implementing the Government’s proposal will strengthen job security for </w:t>
            </w:r>
            <w:r w:rsidR="00AA6E55">
              <w:rPr>
                <w:rFonts w:cstheme="minorHAnsi"/>
              </w:rPr>
              <w:t>host</w:t>
            </w:r>
            <w:r w:rsidRPr="00603981">
              <w:rPr>
                <w:rFonts w:cstheme="minorHAnsi"/>
              </w:rPr>
              <w:t xml:space="preserve"> employees </w:t>
            </w:r>
            <w:r w:rsidR="00422907">
              <w:rPr>
                <w:rFonts w:cstheme="minorHAnsi"/>
              </w:rPr>
              <w:t>where a Fair Work Commission</w:t>
            </w:r>
            <w:r w:rsidR="00C911F2">
              <w:rPr>
                <w:rFonts w:cstheme="minorHAnsi"/>
              </w:rPr>
              <w:t xml:space="preserve"> order applies</w:t>
            </w:r>
            <w:r w:rsidRPr="00603981">
              <w:rPr>
                <w:rFonts w:cstheme="minorHAnsi"/>
              </w:rPr>
              <w:t>. If this proposal is not legislated, the</w:t>
            </w:r>
            <w:r w:rsidRPr="00603981" w:rsidDel="00612853">
              <w:rPr>
                <w:rFonts w:cstheme="minorHAnsi"/>
              </w:rPr>
              <w:t xml:space="preserve"> </w:t>
            </w:r>
            <w:r w:rsidRPr="00603981">
              <w:rPr>
                <w:rFonts w:cstheme="minorHAnsi"/>
              </w:rPr>
              <w:t>economic incentive for host</w:t>
            </w:r>
            <w:r w:rsidR="00422907">
              <w:rPr>
                <w:rFonts w:cstheme="minorHAnsi"/>
              </w:rPr>
              <w:t>s</w:t>
            </w:r>
            <w:r w:rsidRPr="00603981">
              <w:rPr>
                <w:rFonts w:cstheme="minorHAnsi"/>
              </w:rPr>
              <w:t xml:space="preserve"> to use </w:t>
            </w:r>
            <w:r w:rsidR="00160AAB" w:rsidRPr="00603981">
              <w:rPr>
                <w:rFonts w:cstheme="minorHAnsi"/>
              </w:rPr>
              <w:t>labour hire</w:t>
            </w:r>
            <w:r w:rsidR="00422907">
              <w:rPr>
                <w:rFonts w:cstheme="minorHAnsi"/>
              </w:rPr>
              <w:t>,</w:t>
            </w:r>
            <w:r w:rsidRPr="00603981">
              <w:rPr>
                <w:rFonts w:cstheme="minorHAnsi"/>
              </w:rPr>
              <w:t xml:space="preserve"> who are not covered by the host’s enterprise agreement and who are paid lower rates, will remain. It follows that by legislating the Government’s proposal, this economic incentive will be reduced (if not eliminated entirely, having regard to the exemptions that apply to, and confined scope of, the proposal).</w:t>
            </w:r>
          </w:p>
          <w:p w14:paraId="21B99124" w14:textId="37C64883" w:rsidR="00AE4775" w:rsidRPr="00603981" w:rsidRDefault="00AE4775" w:rsidP="00E26F09">
            <w:pPr>
              <w:spacing w:before="120" w:after="120" w:line="259" w:lineRule="auto"/>
              <w:rPr>
                <w:rFonts w:cstheme="minorHAnsi"/>
              </w:rPr>
            </w:pPr>
            <w:r w:rsidRPr="00603981">
              <w:t xml:space="preserve">This proposal will also positively impact labour hire </w:t>
            </w:r>
            <w:r w:rsidR="00502894">
              <w:t>employees</w:t>
            </w:r>
            <w:r w:rsidR="00502894" w:rsidRPr="00603981">
              <w:t xml:space="preserve"> </w:t>
            </w:r>
            <w:r w:rsidRPr="00603981">
              <w:t>with respect to job security in a new role, if they are engaged directly by host</w:t>
            </w:r>
            <w:r w:rsidR="00502894">
              <w:t>s</w:t>
            </w:r>
            <w:r w:rsidRPr="00603981">
              <w:t xml:space="preserve"> as a result. This increased job security (in a labour hire </w:t>
            </w:r>
            <w:r w:rsidR="00502894">
              <w:t>employee</w:t>
            </w:r>
            <w:r w:rsidR="00502894" w:rsidRPr="00603981">
              <w:t xml:space="preserve">’s </w:t>
            </w:r>
            <w:r w:rsidRPr="00603981">
              <w:t xml:space="preserve">new role, if obtained) arises because this </w:t>
            </w:r>
            <w:r w:rsidR="00502894">
              <w:t>proposal</w:t>
            </w:r>
            <w:r w:rsidR="00502894" w:rsidRPr="00603981">
              <w:t xml:space="preserve"> </w:t>
            </w:r>
            <w:r w:rsidRPr="00603981">
              <w:t>aims to remove an economic incentive for host</w:t>
            </w:r>
            <w:r w:rsidR="00502894">
              <w:t>s</w:t>
            </w:r>
            <w:r w:rsidRPr="00603981">
              <w:t xml:space="preserve"> to prioritise externally sourced labour over direct employment. This is relevant to addressing issues including that labour hire </w:t>
            </w:r>
            <w:r w:rsidR="00502894">
              <w:t>employees</w:t>
            </w:r>
            <w:r w:rsidR="00502894" w:rsidRPr="00603981">
              <w:t xml:space="preserve"> </w:t>
            </w:r>
            <w:r w:rsidRPr="00603981">
              <w:t>often lack leave entitlements (and other entitlements generally attributable to permanent employment). The</w:t>
            </w:r>
            <w:r w:rsidRPr="00603981" w:rsidDel="00D1363B">
              <w:t xml:space="preserve"> </w:t>
            </w:r>
            <w:r w:rsidRPr="00603981">
              <w:t xml:space="preserve">majority of labour hire </w:t>
            </w:r>
            <w:r w:rsidR="00502894">
              <w:t>employees</w:t>
            </w:r>
            <w:r w:rsidR="00502894" w:rsidRPr="00603981">
              <w:t xml:space="preserve"> </w:t>
            </w:r>
            <w:r w:rsidRPr="00603981">
              <w:t>(84 per cent) do not have paid leave entitlements</w:t>
            </w:r>
            <w:r w:rsidR="0015368B" w:rsidRPr="00603981">
              <w:t>,</w:t>
            </w:r>
            <w:r w:rsidRPr="00603981">
              <w:rPr>
                <w:rStyle w:val="FootnoteReference"/>
              </w:rPr>
              <w:footnoteReference w:id="61"/>
            </w:r>
            <w:r w:rsidRPr="00603981">
              <w:t xml:space="preserve"> which means they are more likely to be casual employees. If host</w:t>
            </w:r>
            <w:r w:rsidR="00502894">
              <w:t>s</w:t>
            </w:r>
            <w:r w:rsidRPr="00603981">
              <w:t xml:space="preserve"> choose to engage more employees directly as a result of this proposal (some of whom may currently be labour hire </w:t>
            </w:r>
            <w:r w:rsidR="00502894">
              <w:t>employees</w:t>
            </w:r>
            <w:r w:rsidRPr="00603981">
              <w:t xml:space="preserve">), it follows that </w:t>
            </w:r>
            <w:r w:rsidRPr="00603981">
              <w:lastRenderedPageBreak/>
              <w:t xml:space="preserve">if those </w:t>
            </w:r>
            <w:r w:rsidR="00502894">
              <w:t>employees</w:t>
            </w:r>
            <w:r w:rsidR="00502894" w:rsidRPr="00603981">
              <w:t xml:space="preserve"> </w:t>
            </w:r>
            <w:r w:rsidRPr="00603981">
              <w:t xml:space="preserve">obtain permanent employment with a host, they are likely to experience increased job security. </w:t>
            </w:r>
          </w:p>
          <w:p w14:paraId="002E58E8" w14:textId="525C1BDD" w:rsidR="00AE4775" w:rsidRPr="00603981" w:rsidRDefault="00AE4775" w:rsidP="006A6C64">
            <w:pPr>
              <w:spacing w:before="120" w:after="120" w:line="259" w:lineRule="auto"/>
              <w:rPr>
                <w:rStyle w:val="FootnoteReference"/>
              </w:rPr>
            </w:pPr>
            <w:r w:rsidRPr="00603981">
              <w:t xml:space="preserve">Further, the contractual terms under which labour hire </w:t>
            </w:r>
            <w:r w:rsidR="00502894">
              <w:t>employees</w:t>
            </w:r>
            <w:r w:rsidR="00502894" w:rsidRPr="00603981">
              <w:t xml:space="preserve"> </w:t>
            </w:r>
            <w:r w:rsidRPr="00603981">
              <w:t xml:space="preserve">are engaged means these </w:t>
            </w:r>
            <w:r w:rsidR="00502894">
              <w:t>employees</w:t>
            </w:r>
            <w:r w:rsidR="00502894" w:rsidRPr="00603981">
              <w:t xml:space="preserve"> </w:t>
            </w:r>
            <w:r w:rsidRPr="00603981">
              <w:t>are often subject to arrangements where their term of engagement with the host can be terminated at very short notice.</w:t>
            </w:r>
            <w:r w:rsidRPr="00603981">
              <w:rPr>
                <w:rStyle w:val="FootnoteReference"/>
              </w:rPr>
              <w:footnoteReference w:id="62"/>
            </w:r>
            <w:r w:rsidRPr="00603981">
              <w:t xml:space="preserve"> Secure, well-paid jobs are a key Government objective, and this proposal contributes to ongoing efforts to generate secure employment opportunities for Australian workers (including via direct engagement with host</w:t>
            </w:r>
            <w:r w:rsidR="00EA35AD">
              <w:t>s</w:t>
            </w:r>
            <w:r w:rsidRPr="00603981">
              <w:t>).</w:t>
            </w:r>
          </w:p>
        </w:tc>
      </w:tr>
      <w:tr w:rsidR="00AE4775" w:rsidRPr="00603981" w14:paraId="7EF10238" w14:textId="77777777" w:rsidTr="717F6999">
        <w:tc>
          <w:tcPr>
            <w:tcW w:w="1460" w:type="dxa"/>
            <w:shd w:val="clear" w:color="auto" w:fill="7A9F4C"/>
          </w:tcPr>
          <w:p w14:paraId="0AD1D2A1" w14:textId="32A5C76D" w:rsidR="00AE4775" w:rsidRPr="00603981" w:rsidRDefault="00F21254" w:rsidP="00E26F09">
            <w:pPr>
              <w:spacing w:before="120" w:after="120" w:line="259" w:lineRule="auto"/>
              <w:rPr>
                <w:rStyle w:val="cf11"/>
                <w:rFonts w:asciiTheme="minorHAnsi" w:hAnsiTheme="minorHAnsi" w:cstheme="minorHAnsi"/>
                <w:b/>
                <w:bCs/>
                <w:color w:val="FFFFFF" w:themeColor="background1"/>
                <w:sz w:val="22"/>
                <w:szCs w:val="22"/>
              </w:rPr>
            </w:pPr>
            <w:r>
              <w:rPr>
                <w:rStyle w:val="cf11"/>
                <w:rFonts w:asciiTheme="minorHAnsi" w:hAnsiTheme="minorHAnsi" w:cstheme="minorHAnsi"/>
                <w:b/>
                <w:bCs/>
                <w:color w:val="FFFFFF" w:themeColor="background1"/>
                <w:sz w:val="22"/>
                <w:szCs w:val="22"/>
              </w:rPr>
              <w:lastRenderedPageBreak/>
              <w:t>D</w:t>
            </w:r>
            <w:r w:rsidR="00AE4775" w:rsidRPr="00603981">
              <w:rPr>
                <w:rStyle w:val="cf11"/>
                <w:rFonts w:asciiTheme="minorHAnsi" w:hAnsiTheme="minorHAnsi" w:cstheme="minorHAnsi"/>
                <w:b/>
                <w:bCs/>
                <w:color w:val="FFFFFF" w:themeColor="background1"/>
                <w:sz w:val="22"/>
                <w:szCs w:val="22"/>
              </w:rPr>
              <w:t>istributional effects</w:t>
            </w:r>
          </w:p>
        </w:tc>
        <w:tc>
          <w:tcPr>
            <w:tcW w:w="7556" w:type="dxa"/>
          </w:tcPr>
          <w:p w14:paraId="2E8A0EBF" w14:textId="038C600A" w:rsidR="00AE4775" w:rsidRPr="00603981" w:rsidRDefault="00716983" w:rsidP="3439C464">
            <w:pPr>
              <w:spacing w:before="120" w:after="120" w:line="259" w:lineRule="auto"/>
            </w:pPr>
            <w:r>
              <w:t>As ABS data shows that 61 per cent of labour hire employees are male, it is more likely that male employees will benefit from this proposal, while female labour hire employees will also benefit.</w:t>
            </w:r>
            <w:r>
              <w:rPr>
                <w:rStyle w:val="FootnoteReference"/>
              </w:rPr>
              <w:footnoteReference w:id="63"/>
            </w:r>
            <w:r>
              <w:t xml:space="preserve"> </w:t>
            </w:r>
            <w:r w:rsidR="00AE4775" w:rsidRPr="00603981">
              <w:t xml:space="preserve">However, the Office for Women </w:t>
            </w:r>
            <w:r w:rsidR="00857AAA" w:rsidRPr="00603981">
              <w:t>has</w:t>
            </w:r>
            <w:r w:rsidR="00E1221A" w:rsidRPr="00603981">
              <w:t xml:space="preserve"> indicated to the department</w:t>
            </w:r>
            <w:r w:rsidR="001D115F" w:rsidRPr="00603981">
              <w:t xml:space="preserve"> this proposal </w:t>
            </w:r>
            <w:r w:rsidR="00AE4775" w:rsidRPr="00603981">
              <w:t xml:space="preserve">is likely to have generally positive impacts for women arising from reduced wage inequality (such as, for example, between female labour hire </w:t>
            </w:r>
            <w:r w:rsidR="0068170B">
              <w:t>employees</w:t>
            </w:r>
            <w:r w:rsidR="0068170B" w:rsidRPr="00603981">
              <w:t xml:space="preserve"> </w:t>
            </w:r>
            <w:r w:rsidR="00AE4775" w:rsidRPr="00603981">
              <w:t xml:space="preserve">and </w:t>
            </w:r>
            <w:r w:rsidR="0068170B">
              <w:t>host</w:t>
            </w:r>
            <w:r w:rsidR="00AE4775" w:rsidRPr="00603981">
              <w:t xml:space="preserve"> employees). However, due to data gaps that limit the department’s ability to assess and measure gender impacts, it is difficult to say whether this measure will have substantial benefits to women relative to men </w:t>
            </w:r>
            <w:r w:rsidR="00BE5D83" w:rsidRPr="00603981">
              <w:t>and contribute to</w:t>
            </w:r>
            <w:r w:rsidR="00AE4775" w:rsidRPr="00603981">
              <w:t xml:space="preserve"> reducing the gender pay gap.</w:t>
            </w:r>
          </w:p>
          <w:p w14:paraId="070FA9C8" w14:textId="4E5A9DD0" w:rsidR="00AE4775" w:rsidRPr="00603981" w:rsidRDefault="00AE4775" w:rsidP="0A01E442">
            <w:pPr>
              <w:spacing w:before="120" w:after="120" w:line="259" w:lineRule="auto"/>
              <w:rPr>
                <w:rStyle w:val="cf11"/>
                <w:rFonts w:asciiTheme="minorHAnsi" w:hAnsiTheme="minorHAnsi" w:cstheme="minorBidi"/>
                <w:sz w:val="22"/>
                <w:szCs w:val="22"/>
              </w:rPr>
            </w:pPr>
            <w:r w:rsidRPr="00603981">
              <w:t xml:space="preserve">The National Indigenous Australians Agency have also advised they anticipate the policy will have positive impacts for Indigenous Australians. This is because Indigenous Australians engaged as labour hire </w:t>
            </w:r>
            <w:r w:rsidR="00D12B79">
              <w:t>employees</w:t>
            </w:r>
            <w:r w:rsidRPr="00603981">
              <w:t xml:space="preserve">, who currently receive less pay than what they would if they were paid </w:t>
            </w:r>
            <w:r w:rsidR="00D12B79">
              <w:t>under</w:t>
            </w:r>
            <w:r w:rsidRPr="00603981">
              <w:t xml:space="preserve"> a host’s enterprise agreement, will benefit from the proposal.</w:t>
            </w:r>
            <w:r w:rsidRPr="00603981">
              <w:rPr>
                <w:rStyle w:val="FootnoteReference"/>
              </w:rPr>
              <w:footnoteReference w:id="64"/>
            </w:r>
          </w:p>
        </w:tc>
      </w:tr>
    </w:tbl>
    <w:p w14:paraId="7EEF1C42" w14:textId="77777777" w:rsidR="00AE4775" w:rsidRPr="00603981" w:rsidRDefault="00AE4775" w:rsidP="00E26F09">
      <w:pPr>
        <w:spacing w:after="0" w:line="240" w:lineRule="auto"/>
        <w:rPr>
          <w:rStyle w:val="cf11"/>
          <w:rFonts w:asciiTheme="minorHAnsi" w:hAnsiTheme="minorHAnsi" w:cstheme="minorHAnsi"/>
          <w:sz w:val="22"/>
          <w:szCs w:val="22"/>
        </w:rPr>
      </w:pPr>
    </w:p>
    <w:p w14:paraId="361C0697" w14:textId="3AC5DCEE" w:rsidR="00AE4775" w:rsidRPr="00603981" w:rsidRDefault="00ED30B3" w:rsidP="00F207DC">
      <w:pPr>
        <w:spacing w:after="160" w:line="259" w:lineRule="auto"/>
        <w:rPr>
          <w:rFonts w:cstheme="minorHAnsi"/>
          <w:i/>
          <w:iCs/>
        </w:rPr>
      </w:pPr>
      <w:r w:rsidRPr="00603981">
        <w:rPr>
          <w:rFonts w:cstheme="minorHAnsi"/>
          <w:i/>
          <w:iCs/>
        </w:rPr>
        <w:t>A</w:t>
      </w:r>
      <w:r w:rsidR="00AE4775" w:rsidRPr="00603981">
        <w:rPr>
          <w:rFonts w:cstheme="minorHAnsi"/>
          <w:i/>
          <w:iCs/>
        </w:rPr>
        <w:t>lignment with similar proposals implemented in international jurisdictions</w:t>
      </w:r>
    </w:p>
    <w:p w14:paraId="6C359702" w14:textId="596D7854" w:rsidR="00AE4775" w:rsidRPr="00603981" w:rsidRDefault="00AE4775" w:rsidP="00F207DC">
      <w:pPr>
        <w:spacing w:after="160" w:line="259" w:lineRule="auto"/>
        <w:rPr>
          <w:rFonts w:cstheme="minorHAnsi"/>
        </w:rPr>
      </w:pPr>
      <w:r w:rsidRPr="00603981">
        <w:rPr>
          <w:rFonts w:cstheme="minorHAnsi"/>
        </w:rPr>
        <w:t>Other countries have</w:t>
      </w:r>
      <w:r w:rsidRPr="00603981" w:rsidDel="00F33132">
        <w:rPr>
          <w:rFonts w:cstheme="minorHAnsi"/>
        </w:rPr>
        <w:t xml:space="preserve"> </w:t>
      </w:r>
      <w:r w:rsidRPr="00603981">
        <w:rPr>
          <w:rFonts w:cstheme="minorHAnsi"/>
        </w:rPr>
        <w:t xml:space="preserve">implemented measures conceptually similar to the </w:t>
      </w:r>
      <w:r w:rsidR="002F3334">
        <w:rPr>
          <w:rFonts w:cstheme="minorHAnsi"/>
        </w:rPr>
        <w:t>Govern</w:t>
      </w:r>
      <w:r w:rsidR="009A235E">
        <w:rPr>
          <w:rFonts w:cstheme="minorHAnsi"/>
        </w:rPr>
        <w:t xml:space="preserve">ment’s </w:t>
      </w:r>
      <w:r w:rsidRPr="00603981">
        <w:rPr>
          <w:rFonts w:cstheme="minorHAnsi"/>
        </w:rPr>
        <w:t xml:space="preserve">‘Closing </w:t>
      </w:r>
      <w:r w:rsidR="009A235E">
        <w:rPr>
          <w:rFonts w:cstheme="minorHAnsi"/>
        </w:rPr>
        <w:t xml:space="preserve">the </w:t>
      </w:r>
      <w:r w:rsidRPr="00603981">
        <w:rPr>
          <w:rFonts w:cstheme="minorHAnsi"/>
        </w:rPr>
        <w:t>labour hire loophole’ proposal</w:t>
      </w:r>
      <w:r w:rsidR="009A235E">
        <w:rPr>
          <w:rFonts w:cstheme="minorHAnsi"/>
        </w:rPr>
        <w:t xml:space="preserve"> </w:t>
      </w:r>
      <w:r w:rsidRPr="00603981">
        <w:rPr>
          <w:rFonts w:cstheme="minorHAnsi"/>
        </w:rPr>
        <w:t xml:space="preserve">(see below). Implementing </w:t>
      </w:r>
      <w:r w:rsidR="00CC5998" w:rsidRPr="00603981">
        <w:rPr>
          <w:rFonts w:cstheme="minorHAnsi"/>
        </w:rPr>
        <w:t xml:space="preserve">the Government’s </w:t>
      </w:r>
      <w:r w:rsidRPr="00603981">
        <w:rPr>
          <w:rFonts w:cstheme="minorHAnsi"/>
        </w:rPr>
        <w:t xml:space="preserve">proposal would bring Australia’s workplace relations framework into alignment with these international efforts to address pay disparities impacting labour hire </w:t>
      </w:r>
      <w:r w:rsidR="009A235E">
        <w:rPr>
          <w:rFonts w:cstheme="minorHAnsi"/>
        </w:rPr>
        <w:t>employees</w:t>
      </w:r>
      <w:r w:rsidRPr="00603981">
        <w:rPr>
          <w:rFonts w:cstheme="minorHAnsi"/>
        </w:rPr>
        <w:t>.</w:t>
      </w:r>
    </w:p>
    <w:tbl>
      <w:tblPr>
        <w:tblStyle w:val="TableGrid"/>
        <w:tblW w:w="0" w:type="auto"/>
        <w:tblLook w:val="04A0" w:firstRow="1" w:lastRow="0" w:firstColumn="1" w:lastColumn="0" w:noHBand="0" w:noVBand="1"/>
      </w:tblPr>
      <w:tblGrid>
        <w:gridCol w:w="1696"/>
        <w:gridCol w:w="7320"/>
      </w:tblGrid>
      <w:tr w:rsidR="00AE4775" w:rsidRPr="00603981" w14:paraId="376666F7" w14:textId="77777777">
        <w:tc>
          <w:tcPr>
            <w:tcW w:w="1696" w:type="dxa"/>
            <w:shd w:val="clear" w:color="auto" w:fill="404246"/>
          </w:tcPr>
          <w:p w14:paraId="5EEF24DB" w14:textId="77777777" w:rsidR="00AE4775" w:rsidRPr="00603981" w:rsidRDefault="00AE4775" w:rsidP="009171B9">
            <w:pPr>
              <w:widowControl w:val="0"/>
              <w:spacing w:before="120" w:after="120" w:line="259" w:lineRule="auto"/>
              <w:rPr>
                <w:rFonts w:cstheme="minorHAnsi"/>
                <w:b/>
                <w:bCs/>
                <w:color w:val="FFFFFF" w:themeColor="background1"/>
              </w:rPr>
            </w:pPr>
            <w:r w:rsidRPr="00603981">
              <w:rPr>
                <w:rFonts w:cstheme="minorHAnsi"/>
                <w:b/>
                <w:bCs/>
                <w:color w:val="FFFFFF" w:themeColor="background1"/>
              </w:rPr>
              <w:t>Jurisdiction</w:t>
            </w:r>
          </w:p>
        </w:tc>
        <w:tc>
          <w:tcPr>
            <w:tcW w:w="7320" w:type="dxa"/>
            <w:shd w:val="clear" w:color="auto" w:fill="404246"/>
          </w:tcPr>
          <w:p w14:paraId="1765CC96" w14:textId="77777777" w:rsidR="00AE4775" w:rsidRPr="00603981" w:rsidRDefault="00AE4775" w:rsidP="009171B9">
            <w:pPr>
              <w:widowControl w:val="0"/>
              <w:spacing w:before="120" w:after="120" w:line="259" w:lineRule="auto"/>
              <w:rPr>
                <w:rFonts w:cstheme="minorHAnsi"/>
                <w:b/>
                <w:bCs/>
                <w:color w:val="FFFFFF" w:themeColor="background1"/>
              </w:rPr>
            </w:pPr>
            <w:r w:rsidRPr="00603981">
              <w:rPr>
                <w:rFonts w:cstheme="minorHAnsi"/>
                <w:b/>
                <w:bCs/>
                <w:color w:val="FFFFFF" w:themeColor="background1"/>
              </w:rPr>
              <w:t>Description</w:t>
            </w:r>
          </w:p>
        </w:tc>
      </w:tr>
      <w:tr w:rsidR="00AE4775" w:rsidRPr="00603981" w14:paraId="1B7E1563" w14:textId="77777777">
        <w:tc>
          <w:tcPr>
            <w:tcW w:w="1696" w:type="dxa"/>
            <w:shd w:val="clear" w:color="auto" w:fill="7A9F4C"/>
          </w:tcPr>
          <w:p w14:paraId="6E88EEB7" w14:textId="77777777" w:rsidR="00AE4775" w:rsidRPr="00603981" w:rsidRDefault="00AE4775" w:rsidP="009171B9">
            <w:pPr>
              <w:spacing w:before="120" w:after="120" w:line="259" w:lineRule="auto"/>
              <w:rPr>
                <w:rStyle w:val="cf11"/>
                <w:rFonts w:asciiTheme="minorHAnsi" w:hAnsiTheme="minorHAnsi" w:cstheme="minorHAnsi"/>
                <w:b/>
                <w:bCs/>
                <w:color w:val="FFFFFF" w:themeColor="background1"/>
                <w:sz w:val="22"/>
                <w:szCs w:val="22"/>
              </w:rPr>
            </w:pPr>
            <w:r w:rsidRPr="00603981">
              <w:rPr>
                <w:rStyle w:val="cf11"/>
                <w:rFonts w:asciiTheme="minorHAnsi" w:hAnsiTheme="minorHAnsi" w:cstheme="minorHAnsi"/>
                <w:b/>
                <w:bCs/>
                <w:color w:val="FFFFFF" w:themeColor="background1"/>
                <w:sz w:val="22"/>
                <w:szCs w:val="22"/>
              </w:rPr>
              <w:t>European Union</w:t>
            </w:r>
          </w:p>
          <w:p w14:paraId="163ACC48" w14:textId="77777777" w:rsidR="00AE4775" w:rsidRPr="00603981" w:rsidRDefault="00AE4775" w:rsidP="009171B9">
            <w:pPr>
              <w:spacing w:before="120" w:after="120" w:line="259" w:lineRule="auto"/>
              <w:rPr>
                <w:rFonts w:cstheme="minorHAnsi"/>
                <w:color w:val="FFFFFF" w:themeColor="background1"/>
              </w:rPr>
            </w:pPr>
          </w:p>
        </w:tc>
        <w:tc>
          <w:tcPr>
            <w:tcW w:w="7320" w:type="dxa"/>
          </w:tcPr>
          <w:p w14:paraId="68BBABEA" w14:textId="033B891E" w:rsidR="00AE4775" w:rsidRPr="00603981" w:rsidRDefault="00AE4775" w:rsidP="009171B9">
            <w:pPr>
              <w:spacing w:before="120" w:after="120" w:line="259" w:lineRule="auto"/>
              <w:rPr>
                <w:rFonts w:cstheme="minorHAnsi"/>
              </w:rPr>
            </w:pPr>
            <w:r w:rsidRPr="00603981">
              <w:t>In 2008, the European Union (EU) issued Directive 2008/104/EC to member states, establish</w:t>
            </w:r>
            <w:r w:rsidR="00830F25" w:rsidRPr="00603981">
              <w:t>ing</w:t>
            </w:r>
            <w:r w:rsidRPr="00603981">
              <w:t xml:space="preserve"> the </w:t>
            </w:r>
            <w:r w:rsidR="007D287E" w:rsidRPr="00603981">
              <w:t>equal treatment p</w:t>
            </w:r>
            <w:r w:rsidRPr="00603981">
              <w:t>rinciple (ETP) for labour hire workers to receive the same ‘basic working and employment conditions’ as directly engaged employees.</w:t>
            </w:r>
            <w:r w:rsidRPr="00603981">
              <w:rPr>
                <w:rStyle w:val="FootnoteReference"/>
              </w:rPr>
              <w:footnoteReference w:id="65"/>
            </w:r>
            <w:r w:rsidRPr="00603981">
              <w:t xml:space="preserve"> </w:t>
            </w:r>
          </w:p>
          <w:p w14:paraId="7687B463" w14:textId="5A753A1A" w:rsidR="00AE4775" w:rsidRPr="00603981" w:rsidRDefault="00466118" w:rsidP="009171B9">
            <w:pPr>
              <w:spacing w:before="120" w:after="120" w:line="259" w:lineRule="auto"/>
              <w:rPr>
                <w:rFonts w:cstheme="minorHAnsi"/>
              </w:rPr>
            </w:pPr>
            <w:r w:rsidRPr="00603981">
              <w:t>E</w:t>
            </w:r>
            <w:r w:rsidR="00AE4775" w:rsidRPr="00603981">
              <w:t>xemption</w:t>
            </w:r>
            <w:r w:rsidRPr="00603981">
              <w:t>s are provided</w:t>
            </w:r>
            <w:r w:rsidR="00AE4775" w:rsidRPr="00603981">
              <w:t xml:space="preserve"> for collective opt-outs (for example, for certain industries in Germany), </w:t>
            </w:r>
            <w:r w:rsidRPr="00603981">
              <w:t xml:space="preserve">for receiving pay between assignments, and </w:t>
            </w:r>
            <w:r w:rsidR="00731ECC">
              <w:t>there is</w:t>
            </w:r>
            <w:r w:rsidR="00731ECC" w:rsidRPr="00603981">
              <w:t xml:space="preserve"> </w:t>
            </w:r>
            <w:r w:rsidR="00AE4775" w:rsidRPr="00603981">
              <w:t xml:space="preserve">a qualifying period. </w:t>
            </w:r>
            <w:r w:rsidRPr="00603981">
              <w:t>M</w:t>
            </w:r>
            <w:r w:rsidR="00AE4775" w:rsidRPr="00603981">
              <w:t xml:space="preserve">ember states </w:t>
            </w:r>
            <w:r w:rsidR="00261DD2">
              <w:t>are</w:t>
            </w:r>
            <w:r w:rsidRPr="00603981">
              <w:t xml:space="preserve"> obliged </w:t>
            </w:r>
            <w:r w:rsidR="00AE4775" w:rsidRPr="00603981">
              <w:t>to enact anti-avoidance measures</w:t>
            </w:r>
            <w:r w:rsidR="00AE4775" w:rsidRPr="00603981" w:rsidDel="006C7C41">
              <w:t xml:space="preserve"> </w:t>
            </w:r>
            <w:r w:rsidR="00AE4775" w:rsidRPr="00603981">
              <w:t xml:space="preserve">which prevent labour hire agencies providing successive short-term </w:t>
            </w:r>
            <w:r w:rsidR="00AE4775" w:rsidRPr="00603981">
              <w:lastRenderedPageBreak/>
              <w:t xml:space="preserve">assignments to circumvent </w:t>
            </w:r>
            <w:r w:rsidR="00261DD2">
              <w:t>the</w:t>
            </w:r>
            <w:r w:rsidR="00AE4775" w:rsidRPr="00603981">
              <w:t xml:space="preserve"> qualifying period. Equal treatment rules in the EU vary from state to state</w:t>
            </w:r>
            <w:r w:rsidR="00782445" w:rsidRPr="00603981">
              <w:t xml:space="preserve">, reflecting </w:t>
            </w:r>
            <w:r w:rsidR="00AE4775" w:rsidRPr="00603981">
              <w:t>differences in industrial relations frameworks.</w:t>
            </w:r>
            <w:r w:rsidR="00AE4775" w:rsidRPr="00603981">
              <w:rPr>
                <w:rStyle w:val="FootnoteReference"/>
              </w:rPr>
              <w:footnoteReference w:id="66"/>
            </w:r>
          </w:p>
          <w:p w14:paraId="38A13514" w14:textId="4906D9C8" w:rsidR="00AE4775" w:rsidRPr="00603981" w:rsidRDefault="00AE4775" w:rsidP="00A70D83">
            <w:pPr>
              <w:spacing w:before="120" w:after="120" w:line="259" w:lineRule="auto"/>
              <w:rPr>
                <w:rFonts w:cstheme="minorHAnsi"/>
              </w:rPr>
            </w:pPr>
            <w:r w:rsidRPr="00603981">
              <w:t xml:space="preserve">A European Commission </w:t>
            </w:r>
            <w:r w:rsidR="003F63E5" w:rsidRPr="00603981">
              <w:t>report indicated</w:t>
            </w:r>
            <w:r w:rsidRPr="00603981">
              <w:t xml:space="preserve"> </w:t>
            </w:r>
            <w:r w:rsidR="00855825" w:rsidRPr="00603981">
              <w:t xml:space="preserve">all but two </w:t>
            </w:r>
            <w:r w:rsidR="00B90F80" w:rsidRPr="00603981">
              <w:t xml:space="preserve">Member </w:t>
            </w:r>
            <w:r w:rsidR="00261DD2">
              <w:t>s</w:t>
            </w:r>
            <w:r w:rsidR="00B90F80" w:rsidRPr="00603981">
              <w:t>tates said the Directive itself did not create a significant administrative burden</w:t>
            </w:r>
            <w:r w:rsidR="007B4933" w:rsidRPr="00603981">
              <w:t xml:space="preserve">, and that </w:t>
            </w:r>
            <w:r w:rsidRPr="00603981">
              <w:t xml:space="preserve">of </w:t>
            </w:r>
            <w:r w:rsidR="003B2ECF" w:rsidRPr="00603981">
              <w:t>768</w:t>
            </w:r>
            <w:r w:rsidRPr="00603981">
              <w:t xml:space="preserve"> small to medium enterprise </w:t>
            </w:r>
            <w:r w:rsidR="00EA7B39" w:rsidRPr="00603981">
              <w:t>surveyed</w:t>
            </w:r>
            <w:r w:rsidRPr="00603981">
              <w:t xml:space="preserve">, </w:t>
            </w:r>
            <w:r w:rsidR="007B4933" w:rsidRPr="00603981">
              <w:t xml:space="preserve">only </w:t>
            </w:r>
            <w:r w:rsidRPr="00603981">
              <w:t>59 (</w:t>
            </w:r>
            <w:r w:rsidR="003A5FB4" w:rsidRPr="00603981">
              <w:t>7.68</w:t>
            </w:r>
            <w:r w:rsidRPr="00603981">
              <w:t xml:space="preserve">%) identified the Directive as </w:t>
            </w:r>
            <w:r w:rsidR="003F63E5" w:rsidRPr="00603981">
              <w:t>being particularly</w:t>
            </w:r>
            <w:r w:rsidRPr="00603981">
              <w:t xml:space="preserve"> administratively burdensome.</w:t>
            </w:r>
            <w:r w:rsidRPr="00603981">
              <w:rPr>
                <w:rStyle w:val="FootnoteReference"/>
              </w:rPr>
              <w:footnoteReference w:id="67"/>
            </w:r>
          </w:p>
        </w:tc>
      </w:tr>
      <w:tr w:rsidR="00AE4775" w:rsidRPr="00603981" w14:paraId="77E66A23" w14:textId="77777777">
        <w:tc>
          <w:tcPr>
            <w:tcW w:w="1696" w:type="dxa"/>
            <w:shd w:val="clear" w:color="auto" w:fill="5D7A38"/>
          </w:tcPr>
          <w:p w14:paraId="4F0737A1" w14:textId="77777777" w:rsidR="00AE4775" w:rsidRPr="00603981" w:rsidRDefault="00AE4775" w:rsidP="009171B9">
            <w:pPr>
              <w:spacing w:before="120" w:after="120" w:line="259" w:lineRule="auto"/>
              <w:rPr>
                <w:rStyle w:val="cf11"/>
                <w:rFonts w:asciiTheme="minorHAnsi" w:hAnsiTheme="minorHAnsi" w:cstheme="minorHAnsi"/>
                <w:b/>
                <w:bCs/>
                <w:color w:val="FFFFFF" w:themeColor="background1"/>
                <w:sz w:val="22"/>
                <w:szCs w:val="22"/>
              </w:rPr>
            </w:pPr>
            <w:bookmarkStart w:id="28" w:name="_Toc5272966"/>
            <w:r w:rsidRPr="00603981">
              <w:rPr>
                <w:rStyle w:val="cf11"/>
                <w:rFonts w:asciiTheme="minorHAnsi" w:hAnsiTheme="minorHAnsi" w:cstheme="minorHAnsi"/>
                <w:b/>
                <w:bCs/>
                <w:color w:val="FFFFFF" w:themeColor="background1"/>
                <w:sz w:val="22"/>
                <w:szCs w:val="22"/>
              </w:rPr>
              <w:lastRenderedPageBreak/>
              <w:t>United Kingdom</w:t>
            </w:r>
            <w:bookmarkEnd w:id="28"/>
          </w:p>
          <w:p w14:paraId="62EDEBF6" w14:textId="77777777" w:rsidR="00AE4775" w:rsidRPr="00603981" w:rsidRDefault="00AE4775" w:rsidP="009171B9">
            <w:pPr>
              <w:spacing w:before="120" w:after="120" w:line="259" w:lineRule="auto"/>
              <w:rPr>
                <w:rFonts w:cstheme="minorHAnsi"/>
                <w:color w:val="FFFFFF" w:themeColor="background1"/>
              </w:rPr>
            </w:pPr>
          </w:p>
        </w:tc>
        <w:tc>
          <w:tcPr>
            <w:tcW w:w="7320" w:type="dxa"/>
          </w:tcPr>
          <w:p w14:paraId="5C82195A" w14:textId="57AE1FBB" w:rsidR="00AE4775" w:rsidRPr="00603981" w:rsidRDefault="00AE4775" w:rsidP="009171B9">
            <w:pPr>
              <w:spacing w:before="120" w:after="120" w:line="259" w:lineRule="auto"/>
              <w:rPr>
                <w:rFonts w:cstheme="minorHAnsi"/>
              </w:rPr>
            </w:pPr>
            <w:r w:rsidRPr="00603981">
              <w:t xml:space="preserve">In the </w:t>
            </w:r>
            <w:r w:rsidR="00C224AB">
              <w:t>United Kingdom (</w:t>
            </w:r>
            <w:r w:rsidRPr="00603981">
              <w:t>UK</w:t>
            </w:r>
            <w:r w:rsidR="00C224AB">
              <w:t>)</w:t>
            </w:r>
            <w:r w:rsidRPr="00603981">
              <w:t>,</w:t>
            </w:r>
            <w:r w:rsidRPr="00603981" w:rsidDel="002E4423">
              <w:t xml:space="preserve"> </w:t>
            </w:r>
            <w:r w:rsidRPr="00603981">
              <w:t xml:space="preserve">a labour hire agency is responsible for ensuring that the treatment of their workers is consistent with workplace laws. </w:t>
            </w:r>
            <w:r w:rsidR="00A602B3" w:rsidRPr="00603981">
              <w:t xml:space="preserve">Similar to </w:t>
            </w:r>
            <w:r w:rsidRPr="00603981">
              <w:t>the</w:t>
            </w:r>
            <w:r w:rsidR="00A602B3" w:rsidRPr="00603981">
              <w:t xml:space="preserve"> Government’s</w:t>
            </w:r>
            <w:r w:rsidRPr="00603981">
              <w:t xml:space="preserve"> ‘Closing </w:t>
            </w:r>
            <w:r w:rsidR="00C84535">
              <w:t xml:space="preserve">the </w:t>
            </w:r>
            <w:r w:rsidRPr="00603981">
              <w:t>labour hire loophole’ proposal, the UK model includes a qualifying period of 12 weeks before workers are entitled to receive equal treatment with respect to pay and conditions, after which time the worker becomes eligible for the same basic terms and conditions of employment as if they were employed directly by the host organisation.</w:t>
            </w:r>
            <w:r w:rsidRPr="00603981">
              <w:rPr>
                <w:rStyle w:val="FootnoteReference"/>
              </w:rPr>
              <w:footnoteReference w:id="68"/>
            </w:r>
          </w:p>
          <w:p w14:paraId="34757CE5" w14:textId="67FECE81" w:rsidR="00AE4775" w:rsidRPr="00603981" w:rsidRDefault="00AE4775" w:rsidP="009171B9">
            <w:pPr>
              <w:spacing w:before="120" w:after="120" w:line="259" w:lineRule="auto"/>
              <w:rPr>
                <w:rFonts w:cstheme="minorHAnsi"/>
              </w:rPr>
            </w:pPr>
            <w:r w:rsidRPr="00603981">
              <w:t xml:space="preserve">In the UK, the concept of ‘basic terms and conditions of employment’ </w:t>
            </w:r>
            <w:r w:rsidR="0056741C" w:rsidRPr="00603981">
              <w:t>includes</w:t>
            </w:r>
            <w:r w:rsidRPr="00603981">
              <w:t xml:space="preserve"> pay, duration of working time, penalty rates and entitlements, rest periods, breaks, </w:t>
            </w:r>
            <w:r w:rsidR="00BB7023" w:rsidRPr="00603981">
              <w:t xml:space="preserve">and </w:t>
            </w:r>
            <w:r w:rsidRPr="00603981">
              <w:t>annual leave. Equal treatment can be established by referencing terms and conditions ordinarily set out in the contracts of directly recruited employees</w:t>
            </w:r>
            <w:r w:rsidR="00BB7023" w:rsidRPr="00603981">
              <w:t xml:space="preserve">, which </w:t>
            </w:r>
            <w:r w:rsidRPr="00603981">
              <w:t xml:space="preserve">may include an employment contract, pay scales, collective agreements, or internal policy. </w:t>
            </w:r>
            <w:r w:rsidR="00BB7023" w:rsidRPr="00603981">
              <w:t>T</w:t>
            </w:r>
            <w:r w:rsidRPr="00603981">
              <w:t>he administration of this rule rel</w:t>
            </w:r>
            <w:r w:rsidR="00BB7023" w:rsidRPr="00603981">
              <w:t>ies</w:t>
            </w:r>
            <w:r w:rsidRPr="00603981">
              <w:t xml:space="preserve"> on an ‘as if’ principle – that is, the labour hire worker is entitled to the same basic terms and conditions of employment </w:t>
            </w:r>
            <w:r w:rsidRPr="00603981">
              <w:rPr>
                <w:i/>
              </w:rPr>
              <w:t>as if</w:t>
            </w:r>
            <w:r w:rsidRPr="00603981">
              <w:t xml:space="preserve"> they were a directly engaged employee. </w:t>
            </w:r>
          </w:p>
          <w:p w14:paraId="6CFB1876" w14:textId="558EC27D" w:rsidR="00AE4775" w:rsidRPr="00603981" w:rsidRDefault="00D10251" w:rsidP="009171B9">
            <w:pPr>
              <w:spacing w:before="120" w:after="120" w:line="259" w:lineRule="auto"/>
              <w:rPr>
                <w:rFonts w:cstheme="minorHAnsi"/>
              </w:rPr>
            </w:pPr>
            <w:r w:rsidRPr="00603981">
              <w:rPr>
                <w:rFonts w:cstheme="minorHAnsi"/>
              </w:rPr>
              <w:t>The Government’s</w:t>
            </w:r>
            <w:r w:rsidR="00AE4775" w:rsidRPr="00603981">
              <w:rPr>
                <w:rFonts w:cstheme="minorHAnsi"/>
              </w:rPr>
              <w:t xml:space="preserve"> proposal differs slightly to the UK model, insofar as the Government’s proposal relates only to employment arrangements where host</w:t>
            </w:r>
            <w:r w:rsidR="0032756F">
              <w:rPr>
                <w:rFonts w:cstheme="minorHAnsi"/>
              </w:rPr>
              <w:t>s</w:t>
            </w:r>
            <w:r w:rsidR="00AE4775" w:rsidRPr="00603981">
              <w:rPr>
                <w:rFonts w:cstheme="minorHAnsi"/>
              </w:rPr>
              <w:t xml:space="preserve"> </w:t>
            </w:r>
            <w:r w:rsidR="0032756F">
              <w:rPr>
                <w:rFonts w:cstheme="minorHAnsi"/>
              </w:rPr>
              <w:t>have</w:t>
            </w:r>
            <w:r w:rsidR="00AE4775" w:rsidRPr="00603981">
              <w:rPr>
                <w:rFonts w:cstheme="minorHAnsi"/>
              </w:rPr>
              <w:t xml:space="preserve"> an enterprise agreement, avoiding the complexity and potential issues arising from requiring businesses to make comparisons and calculations with reference to the arrangements </w:t>
            </w:r>
            <w:r w:rsidR="0032756F">
              <w:rPr>
                <w:rFonts w:cstheme="minorHAnsi"/>
              </w:rPr>
              <w:t>of</w:t>
            </w:r>
            <w:r w:rsidR="00AE4775" w:rsidRPr="00603981">
              <w:rPr>
                <w:rFonts w:cstheme="minorHAnsi"/>
              </w:rPr>
              <w:t xml:space="preserve"> a </w:t>
            </w:r>
            <w:r w:rsidR="0032756F">
              <w:rPr>
                <w:rFonts w:cstheme="minorHAnsi"/>
              </w:rPr>
              <w:t xml:space="preserve">host </w:t>
            </w:r>
            <w:r w:rsidR="00AE4775" w:rsidRPr="00603981">
              <w:rPr>
                <w:rFonts w:cstheme="minorHAnsi"/>
              </w:rPr>
              <w:t xml:space="preserve">employee. </w:t>
            </w:r>
          </w:p>
        </w:tc>
      </w:tr>
      <w:tr w:rsidR="00AE4775" w:rsidRPr="00603981" w14:paraId="502F9A90" w14:textId="77777777">
        <w:tc>
          <w:tcPr>
            <w:tcW w:w="1696" w:type="dxa"/>
            <w:shd w:val="clear" w:color="auto" w:fill="7A9F4C"/>
          </w:tcPr>
          <w:p w14:paraId="5D82C9E8" w14:textId="77777777" w:rsidR="00AE4775" w:rsidRPr="00603981" w:rsidRDefault="00AE4775" w:rsidP="009171B9">
            <w:pPr>
              <w:spacing w:before="120" w:after="120" w:line="259" w:lineRule="auto"/>
              <w:rPr>
                <w:rStyle w:val="cf11"/>
                <w:rFonts w:asciiTheme="minorHAnsi" w:hAnsiTheme="minorHAnsi" w:cstheme="minorHAnsi"/>
                <w:b/>
                <w:bCs/>
                <w:color w:val="FFFFFF" w:themeColor="background1"/>
                <w:sz w:val="22"/>
                <w:szCs w:val="22"/>
              </w:rPr>
            </w:pPr>
            <w:r w:rsidRPr="00603981">
              <w:rPr>
                <w:rStyle w:val="cf11"/>
                <w:rFonts w:asciiTheme="minorHAnsi" w:hAnsiTheme="minorHAnsi" w:cstheme="minorHAnsi"/>
                <w:b/>
                <w:bCs/>
                <w:color w:val="FFFFFF" w:themeColor="background1"/>
                <w:sz w:val="22"/>
                <w:szCs w:val="22"/>
              </w:rPr>
              <w:t>Japan</w:t>
            </w:r>
          </w:p>
          <w:p w14:paraId="7D88B998" w14:textId="77777777" w:rsidR="00AE4775" w:rsidRPr="00603981" w:rsidRDefault="00AE4775" w:rsidP="009171B9">
            <w:pPr>
              <w:spacing w:before="120" w:after="120" w:line="259" w:lineRule="auto"/>
              <w:rPr>
                <w:rFonts w:cstheme="minorHAnsi"/>
                <w:color w:val="FFFFFF" w:themeColor="background1"/>
              </w:rPr>
            </w:pPr>
          </w:p>
        </w:tc>
        <w:tc>
          <w:tcPr>
            <w:tcW w:w="7320" w:type="dxa"/>
          </w:tcPr>
          <w:p w14:paraId="01450724" w14:textId="4E4E7C04" w:rsidR="00AE4775" w:rsidRPr="00603981" w:rsidRDefault="00AE4775" w:rsidP="009171B9">
            <w:pPr>
              <w:spacing w:before="120" w:after="120" w:line="259" w:lineRule="auto"/>
              <w:rPr>
                <w:rFonts w:cstheme="minorHAnsi"/>
              </w:rPr>
            </w:pPr>
            <w:r w:rsidRPr="00603981">
              <w:t>Japan</w:t>
            </w:r>
            <w:r w:rsidRPr="00603981" w:rsidDel="00C1176C">
              <w:t xml:space="preserve"> </w:t>
            </w:r>
            <w:r w:rsidRPr="00603981">
              <w:rPr>
                <w:rStyle w:val="normaltextrun"/>
                <w:color w:val="000000"/>
                <w:shd w:val="clear" w:color="auto" w:fill="FFFFFF"/>
              </w:rPr>
              <w:t>prohibits unreasonable and discriminatory disparity in treatment between regular and non-regular employees, where reasonableness of disparity in treatment must be considered against the nature and purpose of such disparity.</w:t>
            </w:r>
            <w:r w:rsidRPr="00603981">
              <w:rPr>
                <w:rStyle w:val="FootnoteReference"/>
                <w:color w:val="000000"/>
                <w:shd w:val="clear" w:color="auto" w:fill="FFFFFF"/>
              </w:rPr>
              <w:footnoteReference w:id="69"/>
            </w:r>
            <w:r w:rsidRPr="00603981">
              <w:rPr>
                <w:rStyle w:val="normaltextrun"/>
                <w:color w:val="000000"/>
                <w:shd w:val="clear" w:color="auto" w:fill="FFFFFF"/>
              </w:rPr>
              <w:t xml:space="preserve"> Employers must consider individual working conditions and be satisfied that this obligation is not contravened, including with respect to base salary, bonus and other treatments.</w:t>
            </w:r>
          </w:p>
        </w:tc>
      </w:tr>
    </w:tbl>
    <w:p w14:paraId="12EC35F4" w14:textId="77777777" w:rsidR="00AE4775" w:rsidRPr="00603981" w:rsidRDefault="00AE4775" w:rsidP="008307E1">
      <w:pPr>
        <w:pStyle w:val="Heading3"/>
      </w:pPr>
      <w:bookmarkStart w:id="29" w:name="_Toc143696579"/>
      <w:r w:rsidRPr="00603981">
        <w:lastRenderedPageBreak/>
        <w:t>Option 2 – Maintain the status quo</w:t>
      </w:r>
      <w:bookmarkEnd w:id="29"/>
    </w:p>
    <w:p w14:paraId="0ADE9142" w14:textId="7F2CF952" w:rsidR="00AE4775" w:rsidRPr="00603981" w:rsidRDefault="00AE4775" w:rsidP="008307E1">
      <w:pPr>
        <w:keepNext/>
        <w:keepLines/>
        <w:spacing w:after="160" w:line="259" w:lineRule="auto"/>
      </w:pPr>
      <w:r w:rsidRPr="00603981">
        <w:t xml:space="preserve">The Fair Work Act currently allows labour hire </w:t>
      </w:r>
      <w:r w:rsidR="00F80E23">
        <w:t>employees</w:t>
      </w:r>
      <w:r w:rsidR="00F80E23" w:rsidRPr="00603981">
        <w:t xml:space="preserve"> </w:t>
      </w:r>
      <w:r w:rsidRPr="00603981">
        <w:t xml:space="preserve">to be paid less than </w:t>
      </w:r>
      <w:r w:rsidR="009C7911" w:rsidRPr="00603981">
        <w:t>what they would be paid under a host’s enterprise agreement</w:t>
      </w:r>
      <w:r w:rsidR="003E7D91">
        <w:t xml:space="preserve"> if they were directly employed. </w:t>
      </w:r>
      <w:r w:rsidRPr="00603981">
        <w:t xml:space="preserve">This is the loophole that the Government seeks to address with </w:t>
      </w:r>
      <w:r w:rsidR="00E82609" w:rsidRPr="00603981">
        <w:t>this proposal</w:t>
      </w:r>
      <w:r w:rsidRPr="00603981">
        <w:t>.</w:t>
      </w:r>
    </w:p>
    <w:p w14:paraId="17774C9F" w14:textId="26D8E1BB" w:rsidR="00AE4775" w:rsidRPr="00603981" w:rsidRDefault="00AE4775" w:rsidP="00F207DC">
      <w:pPr>
        <w:spacing w:after="160" w:line="259" w:lineRule="auto"/>
      </w:pPr>
      <w:r w:rsidRPr="00603981">
        <w:t>Maintaining the status quo would allow host</w:t>
      </w:r>
      <w:r w:rsidR="003E7D91">
        <w:t>s</w:t>
      </w:r>
      <w:r w:rsidRPr="00603981">
        <w:t xml:space="preserve"> to continue using labour hire to supplement their workforce when and as needed</w:t>
      </w:r>
      <w:r w:rsidR="00E82609" w:rsidRPr="00603981">
        <w:t xml:space="preserve"> (as </w:t>
      </w:r>
      <w:r w:rsidR="008165B4" w:rsidRPr="00603981">
        <w:t>does Option 1)</w:t>
      </w:r>
      <w:r w:rsidRPr="00603981">
        <w:t xml:space="preserve">, but </w:t>
      </w:r>
      <w:r w:rsidR="008165B4" w:rsidRPr="00603981">
        <w:t>Option 2</w:t>
      </w:r>
      <w:r w:rsidRPr="00603981">
        <w:t xml:space="preserve"> does not protect </w:t>
      </w:r>
      <w:r w:rsidR="00B7205E">
        <w:t xml:space="preserve">the </w:t>
      </w:r>
      <w:r w:rsidRPr="00603981">
        <w:t xml:space="preserve">bargained wages </w:t>
      </w:r>
      <w:r w:rsidR="00B7205E">
        <w:t>that a</w:t>
      </w:r>
      <w:r w:rsidRPr="00603981">
        <w:t xml:space="preserve"> host has agreed is the value of the work performed </w:t>
      </w:r>
      <w:r w:rsidR="00B7205E">
        <w:t>at its workplace</w:t>
      </w:r>
      <w:r w:rsidRPr="00603981">
        <w:t>.</w:t>
      </w:r>
    </w:p>
    <w:p w14:paraId="56C339B7" w14:textId="216C4C6D" w:rsidR="00AE4775" w:rsidRPr="00603981" w:rsidRDefault="00AE4775" w:rsidP="00D0307B">
      <w:pPr>
        <w:keepNext/>
        <w:spacing w:after="160" w:line="259" w:lineRule="auto"/>
        <w:rPr>
          <w:rFonts w:cstheme="minorHAnsi"/>
        </w:rPr>
      </w:pPr>
      <w:r w:rsidRPr="00603981">
        <w:rPr>
          <w:rFonts w:cstheme="minorHAnsi"/>
          <w:u w:val="single"/>
        </w:rPr>
        <w:t xml:space="preserve">For hosts, </w:t>
      </w:r>
      <w:r w:rsidR="00503061" w:rsidRPr="00603981">
        <w:rPr>
          <w:rFonts w:cstheme="minorHAnsi"/>
          <w:u w:val="single"/>
        </w:rPr>
        <w:t xml:space="preserve">labour hire </w:t>
      </w:r>
      <w:r w:rsidR="00E20874">
        <w:rPr>
          <w:rFonts w:cstheme="minorHAnsi"/>
          <w:u w:val="single"/>
        </w:rPr>
        <w:t>employers</w:t>
      </w:r>
      <w:r w:rsidR="00E20874" w:rsidRPr="00603981">
        <w:rPr>
          <w:rFonts w:cstheme="minorHAnsi"/>
          <w:u w:val="single"/>
        </w:rPr>
        <w:t xml:space="preserve"> </w:t>
      </w:r>
      <w:r w:rsidRPr="00603981">
        <w:rPr>
          <w:rFonts w:cstheme="minorHAnsi"/>
          <w:u w:val="single"/>
        </w:rPr>
        <w:t xml:space="preserve">and </w:t>
      </w:r>
      <w:r w:rsidR="00E20874">
        <w:rPr>
          <w:rFonts w:cstheme="minorHAnsi"/>
          <w:u w:val="single"/>
        </w:rPr>
        <w:t xml:space="preserve">labour hire employees – </w:t>
      </w:r>
      <w:r w:rsidRPr="00603981">
        <w:rPr>
          <w:rFonts w:cstheme="minorHAnsi"/>
          <w:u w:val="single"/>
        </w:rPr>
        <w:t>what will the costs and benefits of the proposal be?</w:t>
      </w:r>
    </w:p>
    <w:tbl>
      <w:tblPr>
        <w:tblStyle w:val="TableGrid"/>
        <w:tblW w:w="0" w:type="auto"/>
        <w:tblLook w:val="04A0" w:firstRow="1" w:lastRow="0" w:firstColumn="1" w:lastColumn="0" w:noHBand="0" w:noVBand="1"/>
      </w:tblPr>
      <w:tblGrid>
        <w:gridCol w:w="1271"/>
        <w:gridCol w:w="7745"/>
      </w:tblGrid>
      <w:tr w:rsidR="00AE4775" w:rsidRPr="005B3739" w14:paraId="4039909F" w14:textId="77777777">
        <w:tc>
          <w:tcPr>
            <w:tcW w:w="1271" w:type="dxa"/>
            <w:shd w:val="clear" w:color="auto" w:fill="404246"/>
          </w:tcPr>
          <w:p w14:paraId="1A8A0609" w14:textId="77777777" w:rsidR="00AE4775" w:rsidRPr="005B3739" w:rsidRDefault="00AE4775" w:rsidP="00D0307B">
            <w:pPr>
              <w:keepNext/>
              <w:spacing w:before="120" w:after="120" w:line="259" w:lineRule="auto"/>
              <w:rPr>
                <w:rStyle w:val="cf01"/>
                <w:rFonts w:asciiTheme="minorHAnsi" w:hAnsiTheme="minorHAnsi" w:cstheme="minorHAnsi"/>
                <w:b/>
                <w:bCs/>
                <w:color w:val="FFFFFF" w:themeColor="background1"/>
                <w:sz w:val="22"/>
                <w:szCs w:val="22"/>
              </w:rPr>
            </w:pPr>
            <w:r w:rsidRPr="005B3739">
              <w:rPr>
                <w:rStyle w:val="cf01"/>
                <w:rFonts w:asciiTheme="minorHAnsi" w:hAnsiTheme="minorHAnsi" w:cstheme="minorHAnsi"/>
                <w:b/>
                <w:bCs/>
                <w:color w:val="FFFFFF" w:themeColor="background1"/>
                <w:sz w:val="22"/>
                <w:szCs w:val="22"/>
              </w:rPr>
              <w:t>Parties</w:t>
            </w:r>
          </w:p>
        </w:tc>
        <w:tc>
          <w:tcPr>
            <w:tcW w:w="7745" w:type="dxa"/>
            <w:shd w:val="clear" w:color="auto" w:fill="404246"/>
          </w:tcPr>
          <w:p w14:paraId="3C1657F8" w14:textId="77777777" w:rsidR="00AE4775" w:rsidRPr="005B3739" w:rsidRDefault="00AE4775" w:rsidP="00D0307B">
            <w:pPr>
              <w:keepNext/>
              <w:spacing w:before="120" w:after="120" w:line="259" w:lineRule="auto"/>
              <w:rPr>
                <w:rStyle w:val="cf01"/>
                <w:rFonts w:asciiTheme="minorHAnsi" w:hAnsiTheme="minorHAnsi" w:cstheme="minorHAnsi"/>
                <w:b/>
                <w:bCs/>
                <w:color w:val="FFFFFF" w:themeColor="background1"/>
                <w:sz w:val="22"/>
                <w:szCs w:val="22"/>
              </w:rPr>
            </w:pPr>
            <w:r w:rsidRPr="005B3739">
              <w:rPr>
                <w:rStyle w:val="cf01"/>
                <w:rFonts w:asciiTheme="minorHAnsi" w:hAnsiTheme="minorHAnsi" w:cstheme="minorHAnsi"/>
                <w:b/>
                <w:bCs/>
                <w:color w:val="FFFFFF" w:themeColor="background1"/>
                <w:sz w:val="22"/>
                <w:szCs w:val="22"/>
              </w:rPr>
              <w:t>Analysis of costs and benefits</w:t>
            </w:r>
          </w:p>
        </w:tc>
      </w:tr>
      <w:tr w:rsidR="00AE4775" w:rsidRPr="005B3739" w14:paraId="09B64916" w14:textId="77777777">
        <w:tc>
          <w:tcPr>
            <w:tcW w:w="1271" w:type="dxa"/>
            <w:shd w:val="clear" w:color="auto" w:fill="7A9F4C"/>
          </w:tcPr>
          <w:p w14:paraId="7B6E0132" w14:textId="52BCC8BD" w:rsidR="00AE4775" w:rsidRPr="005B3739" w:rsidRDefault="00AE4775" w:rsidP="009171B9">
            <w:pPr>
              <w:spacing w:before="120" w:after="120" w:line="259" w:lineRule="auto"/>
              <w:rPr>
                <w:rStyle w:val="cf01"/>
                <w:rFonts w:asciiTheme="minorHAnsi" w:hAnsiTheme="minorHAnsi" w:cstheme="minorHAnsi"/>
                <w:b/>
                <w:bCs/>
                <w:color w:val="FFFFFF" w:themeColor="background1"/>
                <w:sz w:val="22"/>
                <w:szCs w:val="22"/>
              </w:rPr>
            </w:pPr>
            <w:r w:rsidRPr="005B3739">
              <w:rPr>
                <w:rStyle w:val="cf01"/>
                <w:rFonts w:asciiTheme="minorHAnsi" w:hAnsiTheme="minorHAnsi" w:cstheme="minorHAnsi"/>
                <w:b/>
                <w:bCs/>
                <w:color w:val="FFFFFF" w:themeColor="background1"/>
                <w:sz w:val="22"/>
                <w:szCs w:val="22"/>
              </w:rPr>
              <w:t>Host</w:t>
            </w:r>
            <w:r w:rsidR="00B7205E" w:rsidRPr="005B3739">
              <w:rPr>
                <w:rStyle w:val="cf01"/>
                <w:rFonts w:asciiTheme="minorHAnsi" w:hAnsiTheme="minorHAnsi" w:cstheme="minorHAnsi"/>
                <w:b/>
                <w:bCs/>
                <w:color w:val="FFFFFF" w:themeColor="background1"/>
                <w:sz w:val="22"/>
                <w:szCs w:val="22"/>
              </w:rPr>
              <w:t>s</w:t>
            </w:r>
            <w:r w:rsidRPr="005B3739">
              <w:rPr>
                <w:rStyle w:val="cf01"/>
                <w:rFonts w:asciiTheme="minorHAnsi" w:hAnsiTheme="minorHAnsi" w:cstheme="minorHAnsi"/>
                <w:b/>
                <w:bCs/>
                <w:color w:val="FFFFFF" w:themeColor="background1"/>
                <w:sz w:val="22"/>
                <w:szCs w:val="22"/>
              </w:rPr>
              <w:t xml:space="preserve"> </w:t>
            </w:r>
          </w:p>
        </w:tc>
        <w:tc>
          <w:tcPr>
            <w:tcW w:w="7745" w:type="dxa"/>
          </w:tcPr>
          <w:p w14:paraId="588537B0" w14:textId="31EF0352" w:rsidR="00AE4775" w:rsidRPr="005B3739" w:rsidRDefault="00AE4775" w:rsidP="009171B9">
            <w:pPr>
              <w:spacing w:before="120" w:after="120" w:line="259" w:lineRule="auto"/>
              <w:rPr>
                <w:rStyle w:val="cf01"/>
                <w:rFonts w:asciiTheme="minorHAnsi" w:hAnsiTheme="minorHAnsi" w:cstheme="minorHAnsi"/>
                <w:b/>
                <w:bCs/>
                <w:sz w:val="22"/>
                <w:szCs w:val="22"/>
              </w:rPr>
            </w:pPr>
            <w:r w:rsidRPr="005B3739">
              <w:rPr>
                <w:rStyle w:val="cf11"/>
                <w:rFonts w:asciiTheme="minorHAnsi" w:hAnsiTheme="minorHAnsi" w:cstheme="minorHAnsi"/>
                <w:sz w:val="22"/>
                <w:szCs w:val="22"/>
              </w:rPr>
              <w:t>Maintaining the status quo would not give rise to additional costs for host</w:t>
            </w:r>
            <w:r w:rsidR="00B7205E" w:rsidRPr="005B3739">
              <w:rPr>
                <w:rStyle w:val="cf11"/>
                <w:rFonts w:asciiTheme="minorHAnsi" w:hAnsiTheme="minorHAnsi" w:cstheme="minorHAnsi"/>
                <w:sz w:val="22"/>
                <w:szCs w:val="22"/>
              </w:rPr>
              <w:t>s</w:t>
            </w:r>
            <w:r w:rsidRPr="005B3739">
              <w:rPr>
                <w:rStyle w:val="cf11"/>
                <w:rFonts w:asciiTheme="minorHAnsi" w:hAnsiTheme="minorHAnsi" w:cstheme="minorHAnsi"/>
                <w:sz w:val="22"/>
                <w:szCs w:val="22"/>
              </w:rPr>
              <w:t xml:space="preserve">. Hosts would be able to continue entering into arrangements with </w:t>
            </w:r>
            <w:r w:rsidR="00503061" w:rsidRPr="005B3739">
              <w:rPr>
                <w:rStyle w:val="cf11"/>
                <w:rFonts w:asciiTheme="minorHAnsi" w:hAnsiTheme="minorHAnsi" w:cstheme="minorHAnsi"/>
                <w:sz w:val="22"/>
                <w:szCs w:val="22"/>
              </w:rPr>
              <w:t xml:space="preserve">labour hire </w:t>
            </w:r>
            <w:r w:rsidR="00BE2B98" w:rsidRPr="005B3739">
              <w:rPr>
                <w:rStyle w:val="cf11"/>
                <w:rFonts w:asciiTheme="minorHAnsi" w:hAnsiTheme="minorHAnsi" w:cstheme="minorHAnsi"/>
                <w:sz w:val="22"/>
                <w:szCs w:val="22"/>
              </w:rPr>
              <w:t>em</w:t>
            </w:r>
            <w:r w:rsidR="00BE2B98" w:rsidRPr="00D0307B">
              <w:rPr>
                <w:rStyle w:val="cf11"/>
                <w:rFonts w:asciiTheme="minorHAnsi" w:hAnsiTheme="minorHAnsi" w:cstheme="minorHAnsi"/>
                <w:sz w:val="22"/>
                <w:szCs w:val="22"/>
              </w:rPr>
              <w:t>ployers</w:t>
            </w:r>
            <w:r w:rsidR="00BE2B98" w:rsidRPr="005B3739">
              <w:rPr>
                <w:rStyle w:val="cf11"/>
                <w:rFonts w:asciiTheme="minorHAnsi" w:hAnsiTheme="minorHAnsi" w:cstheme="minorHAnsi"/>
                <w:sz w:val="22"/>
                <w:szCs w:val="22"/>
              </w:rPr>
              <w:t xml:space="preserve"> </w:t>
            </w:r>
            <w:r w:rsidRPr="005B3739">
              <w:rPr>
                <w:rStyle w:val="cf11"/>
                <w:rFonts w:asciiTheme="minorHAnsi" w:hAnsiTheme="minorHAnsi" w:cstheme="minorHAnsi"/>
                <w:sz w:val="22"/>
                <w:szCs w:val="22"/>
              </w:rPr>
              <w:t xml:space="preserve">to receive workers being paid less than what they would receive </w:t>
            </w:r>
            <w:r w:rsidR="00A46AC6" w:rsidRPr="005B3739">
              <w:rPr>
                <w:rStyle w:val="cf11"/>
                <w:rFonts w:asciiTheme="minorHAnsi" w:hAnsiTheme="minorHAnsi" w:cstheme="minorHAnsi"/>
                <w:sz w:val="22"/>
                <w:szCs w:val="22"/>
              </w:rPr>
              <w:t>under</w:t>
            </w:r>
            <w:r w:rsidRPr="005B3739">
              <w:rPr>
                <w:rStyle w:val="cf11"/>
                <w:rFonts w:asciiTheme="minorHAnsi" w:hAnsiTheme="minorHAnsi" w:cstheme="minorHAnsi"/>
                <w:sz w:val="22"/>
                <w:szCs w:val="22"/>
              </w:rPr>
              <w:t xml:space="preserve"> the host’s enterprise agreement. There would be no express obligation on hosts to engage with </w:t>
            </w:r>
            <w:r w:rsidR="00503061" w:rsidRPr="005B3739">
              <w:rPr>
                <w:rStyle w:val="cf11"/>
                <w:rFonts w:asciiTheme="minorHAnsi" w:hAnsiTheme="minorHAnsi" w:cstheme="minorHAnsi"/>
                <w:sz w:val="22"/>
                <w:szCs w:val="22"/>
              </w:rPr>
              <w:t xml:space="preserve">labour hire </w:t>
            </w:r>
            <w:r w:rsidR="00D73BC1" w:rsidRPr="005B3739">
              <w:rPr>
                <w:rStyle w:val="cf11"/>
                <w:rFonts w:asciiTheme="minorHAnsi" w:hAnsiTheme="minorHAnsi" w:cstheme="minorHAnsi"/>
                <w:sz w:val="22"/>
                <w:szCs w:val="22"/>
              </w:rPr>
              <w:t>em</w:t>
            </w:r>
            <w:r w:rsidR="00D73BC1" w:rsidRPr="00D0307B">
              <w:rPr>
                <w:rStyle w:val="cf11"/>
                <w:rFonts w:asciiTheme="minorHAnsi" w:hAnsiTheme="minorHAnsi" w:cstheme="minorHAnsi"/>
                <w:sz w:val="22"/>
                <w:szCs w:val="22"/>
              </w:rPr>
              <w:t>ployers</w:t>
            </w:r>
            <w:r w:rsidR="00D73BC1" w:rsidRPr="005B3739">
              <w:rPr>
                <w:rStyle w:val="cf11"/>
                <w:rFonts w:asciiTheme="minorHAnsi" w:hAnsiTheme="minorHAnsi" w:cstheme="minorHAnsi"/>
                <w:sz w:val="22"/>
                <w:szCs w:val="22"/>
              </w:rPr>
              <w:t xml:space="preserve"> </w:t>
            </w:r>
            <w:r w:rsidR="00B8230C" w:rsidRPr="005B3739">
              <w:rPr>
                <w:rStyle w:val="cf11"/>
                <w:rFonts w:asciiTheme="minorHAnsi" w:hAnsiTheme="minorHAnsi" w:cstheme="minorHAnsi"/>
                <w:sz w:val="22"/>
                <w:szCs w:val="22"/>
              </w:rPr>
              <w:t>w</w:t>
            </w:r>
            <w:r w:rsidR="00B8230C" w:rsidRPr="00D0307B">
              <w:rPr>
                <w:rStyle w:val="cf11"/>
                <w:rFonts w:asciiTheme="minorHAnsi" w:hAnsiTheme="minorHAnsi" w:cstheme="minorHAnsi"/>
                <w:sz w:val="22"/>
                <w:szCs w:val="22"/>
              </w:rPr>
              <w:t>hen</w:t>
            </w:r>
            <w:r w:rsidRPr="005B3739">
              <w:rPr>
                <w:rStyle w:val="cf11"/>
                <w:rFonts w:asciiTheme="minorHAnsi" w:hAnsiTheme="minorHAnsi" w:cstheme="minorHAnsi"/>
                <w:sz w:val="22"/>
                <w:szCs w:val="22"/>
              </w:rPr>
              <w:t xml:space="preserve">, for example, </w:t>
            </w:r>
            <w:r w:rsidR="00B8230C" w:rsidRPr="005B3739">
              <w:rPr>
                <w:rStyle w:val="cf11"/>
                <w:rFonts w:asciiTheme="minorHAnsi" w:hAnsiTheme="minorHAnsi" w:cstheme="minorHAnsi"/>
                <w:sz w:val="22"/>
                <w:szCs w:val="22"/>
              </w:rPr>
              <w:t>r</w:t>
            </w:r>
            <w:r w:rsidR="00B8230C" w:rsidRPr="00D0307B">
              <w:rPr>
                <w:rStyle w:val="cf11"/>
                <w:rFonts w:asciiTheme="minorHAnsi" w:hAnsiTheme="minorHAnsi" w:cstheme="minorHAnsi"/>
                <w:sz w:val="22"/>
                <w:szCs w:val="22"/>
              </w:rPr>
              <w:t>esponding to requests for</w:t>
            </w:r>
            <w:r w:rsidR="00B8230C" w:rsidRPr="005B3739">
              <w:rPr>
                <w:rStyle w:val="cf11"/>
                <w:rFonts w:asciiTheme="minorHAnsi" w:hAnsiTheme="minorHAnsi" w:cstheme="minorHAnsi"/>
                <w:sz w:val="22"/>
                <w:szCs w:val="22"/>
              </w:rPr>
              <w:t xml:space="preserve"> </w:t>
            </w:r>
            <w:r w:rsidRPr="005B3739">
              <w:rPr>
                <w:rStyle w:val="cf11"/>
                <w:rFonts w:asciiTheme="minorHAnsi" w:hAnsiTheme="minorHAnsi" w:cstheme="minorHAnsi"/>
                <w:sz w:val="22"/>
                <w:szCs w:val="22"/>
              </w:rPr>
              <w:t xml:space="preserve">information </w:t>
            </w:r>
            <w:r w:rsidR="00B8230C" w:rsidRPr="005B3739">
              <w:rPr>
                <w:rStyle w:val="cf11"/>
                <w:rFonts w:asciiTheme="minorHAnsi" w:hAnsiTheme="minorHAnsi" w:cstheme="minorHAnsi"/>
                <w:sz w:val="22"/>
                <w:szCs w:val="22"/>
              </w:rPr>
              <w:t>a</w:t>
            </w:r>
            <w:r w:rsidR="00B8230C" w:rsidRPr="00D0307B">
              <w:rPr>
                <w:rStyle w:val="cf11"/>
                <w:rFonts w:asciiTheme="minorHAnsi" w:hAnsiTheme="minorHAnsi" w:cstheme="minorHAnsi"/>
                <w:sz w:val="22"/>
                <w:szCs w:val="22"/>
              </w:rPr>
              <w:t>bout interpreting the host’s enterprise agreement to make correct payments to labour hire employees</w:t>
            </w:r>
            <w:r w:rsidRPr="005B3739">
              <w:rPr>
                <w:rStyle w:val="cf11"/>
                <w:rFonts w:asciiTheme="minorHAnsi" w:hAnsiTheme="minorHAnsi" w:cstheme="minorHAnsi"/>
                <w:sz w:val="22"/>
                <w:szCs w:val="22"/>
              </w:rPr>
              <w:t>.</w:t>
            </w:r>
          </w:p>
        </w:tc>
      </w:tr>
      <w:tr w:rsidR="00AE4775" w:rsidRPr="005B3739" w14:paraId="31C5A270" w14:textId="77777777">
        <w:tc>
          <w:tcPr>
            <w:tcW w:w="1271" w:type="dxa"/>
            <w:shd w:val="clear" w:color="auto" w:fill="5D7A38"/>
          </w:tcPr>
          <w:p w14:paraId="5599E7F6" w14:textId="36417C4E" w:rsidR="00B7205E" w:rsidRPr="005B3739" w:rsidRDefault="00B7205E" w:rsidP="009171B9">
            <w:pPr>
              <w:spacing w:before="120" w:after="120" w:line="259" w:lineRule="auto"/>
              <w:rPr>
                <w:rStyle w:val="cf01"/>
                <w:rFonts w:asciiTheme="minorHAnsi" w:hAnsiTheme="minorHAnsi" w:cstheme="minorHAnsi"/>
                <w:b/>
                <w:bCs/>
                <w:color w:val="FFFFFF" w:themeColor="background1"/>
                <w:sz w:val="22"/>
                <w:szCs w:val="22"/>
              </w:rPr>
            </w:pPr>
            <w:r w:rsidRPr="005B3739">
              <w:rPr>
                <w:rStyle w:val="cf01"/>
                <w:rFonts w:asciiTheme="minorHAnsi" w:hAnsiTheme="minorHAnsi" w:cstheme="minorHAnsi"/>
                <w:b/>
                <w:bCs/>
                <w:color w:val="FFFFFF" w:themeColor="background1"/>
                <w:sz w:val="22"/>
                <w:szCs w:val="22"/>
              </w:rPr>
              <w:t>L</w:t>
            </w:r>
            <w:r w:rsidRPr="00D0307B">
              <w:rPr>
                <w:rStyle w:val="cf01"/>
                <w:rFonts w:asciiTheme="minorHAnsi" w:hAnsiTheme="minorHAnsi" w:cstheme="minorHAnsi"/>
                <w:b/>
                <w:bCs/>
                <w:color w:val="FFFFFF" w:themeColor="background1"/>
                <w:sz w:val="22"/>
                <w:szCs w:val="22"/>
              </w:rPr>
              <w:t>abour hire employers</w:t>
            </w:r>
          </w:p>
          <w:p w14:paraId="311E84EB" w14:textId="15B50006" w:rsidR="00AE4775" w:rsidRPr="005B3739" w:rsidRDefault="00AE4775" w:rsidP="009171B9">
            <w:pPr>
              <w:spacing w:before="120" w:after="120" w:line="259" w:lineRule="auto"/>
              <w:rPr>
                <w:rStyle w:val="cf01"/>
                <w:rFonts w:asciiTheme="minorHAnsi" w:hAnsiTheme="minorHAnsi" w:cstheme="minorHAnsi"/>
                <w:b/>
                <w:bCs/>
                <w:color w:val="FFFFFF" w:themeColor="background1"/>
                <w:sz w:val="22"/>
                <w:szCs w:val="22"/>
              </w:rPr>
            </w:pPr>
          </w:p>
        </w:tc>
        <w:tc>
          <w:tcPr>
            <w:tcW w:w="7745" w:type="dxa"/>
          </w:tcPr>
          <w:p w14:paraId="7ADE007D" w14:textId="49FF96E9" w:rsidR="00AE4775" w:rsidRPr="005B3739" w:rsidRDefault="00AE4775" w:rsidP="009171B9">
            <w:pPr>
              <w:spacing w:before="120" w:after="120" w:line="259" w:lineRule="auto"/>
              <w:rPr>
                <w:rStyle w:val="cf01"/>
                <w:rFonts w:asciiTheme="minorHAnsi" w:hAnsiTheme="minorHAnsi" w:cstheme="minorHAnsi"/>
                <w:b/>
                <w:bCs/>
                <w:sz w:val="22"/>
                <w:szCs w:val="22"/>
              </w:rPr>
            </w:pPr>
            <w:r w:rsidRPr="005B3739">
              <w:rPr>
                <w:rStyle w:val="cf11"/>
                <w:rFonts w:asciiTheme="minorHAnsi" w:hAnsiTheme="minorHAnsi" w:cstheme="minorHAnsi"/>
                <w:sz w:val="22"/>
                <w:szCs w:val="22"/>
              </w:rPr>
              <w:t xml:space="preserve">Maintaining the status quo would not give rise to additional costs for </w:t>
            </w:r>
            <w:r w:rsidR="00503061" w:rsidRPr="005B3739">
              <w:rPr>
                <w:rStyle w:val="cf11"/>
                <w:rFonts w:asciiTheme="minorHAnsi" w:hAnsiTheme="minorHAnsi" w:cstheme="minorHAnsi"/>
                <w:sz w:val="22"/>
                <w:szCs w:val="22"/>
              </w:rPr>
              <w:t xml:space="preserve">labour hire </w:t>
            </w:r>
            <w:r w:rsidR="0064656D" w:rsidRPr="005B3739">
              <w:rPr>
                <w:rStyle w:val="cf11"/>
                <w:rFonts w:asciiTheme="minorHAnsi" w:hAnsiTheme="minorHAnsi" w:cstheme="minorHAnsi"/>
                <w:sz w:val="22"/>
                <w:szCs w:val="22"/>
              </w:rPr>
              <w:t>employers</w:t>
            </w:r>
            <w:r w:rsidRPr="005B3739">
              <w:rPr>
                <w:rStyle w:val="cf11"/>
                <w:rFonts w:asciiTheme="minorHAnsi" w:hAnsiTheme="minorHAnsi" w:cstheme="minorHAnsi"/>
                <w:sz w:val="22"/>
                <w:szCs w:val="22"/>
              </w:rPr>
              <w:t xml:space="preserve">. There would be no obligation to pay </w:t>
            </w:r>
            <w:r w:rsidR="0064656D" w:rsidRPr="005B3739">
              <w:rPr>
                <w:rStyle w:val="cf11"/>
                <w:rFonts w:asciiTheme="minorHAnsi" w:hAnsiTheme="minorHAnsi" w:cstheme="minorHAnsi"/>
                <w:sz w:val="22"/>
                <w:szCs w:val="22"/>
              </w:rPr>
              <w:t xml:space="preserve">labour hire employees </w:t>
            </w:r>
            <w:r w:rsidRPr="005B3739">
              <w:rPr>
                <w:rStyle w:val="cf11"/>
                <w:rFonts w:asciiTheme="minorHAnsi" w:hAnsiTheme="minorHAnsi" w:cstheme="minorHAnsi"/>
                <w:sz w:val="22"/>
                <w:szCs w:val="22"/>
              </w:rPr>
              <w:t xml:space="preserve">at least what they would be paid under a host’s enterprise agreement. Existing industrial arrangements could continue operating uninterrupted, without the potential impacts on revenue that may arise under </w:t>
            </w:r>
            <w:r w:rsidR="0064656D" w:rsidRPr="005B3739">
              <w:rPr>
                <w:rStyle w:val="cf11"/>
                <w:rFonts w:asciiTheme="minorHAnsi" w:hAnsiTheme="minorHAnsi" w:cstheme="minorHAnsi"/>
                <w:sz w:val="22"/>
                <w:szCs w:val="22"/>
              </w:rPr>
              <w:t>Option 1</w:t>
            </w:r>
            <w:r w:rsidRPr="005B3739" w:rsidDel="00A9340F">
              <w:rPr>
                <w:rStyle w:val="cf11"/>
                <w:rFonts w:asciiTheme="minorHAnsi" w:hAnsiTheme="minorHAnsi" w:cstheme="minorHAnsi"/>
                <w:sz w:val="22"/>
                <w:szCs w:val="22"/>
              </w:rPr>
              <w:t>.</w:t>
            </w:r>
          </w:p>
        </w:tc>
      </w:tr>
      <w:tr w:rsidR="00AE4775" w:rsidRPr="005B3739" w14:paraId="0950F829" w14:textId="77777777">
        <w:tc>
          <w:tcPr>
            <w:tcW w:w="1271" w:type="dxa"/>
            <w:shd w:val="clear" w:color="auto" w:fill="7A9F4C"/>
          </w:tcPr>
          <w:p w14:paraId="6D92FA9F" w14:textId="229CB649" w:rsidR="00B7205E" w:rsidRPr="005B3739" w:rsidRDefault="00B7205E" w:rsidP="009171B9">
            <w:pPr>
              <w:spacing w:before="120" w:after="120" w:line="259" w:lineRule="auto"/>
              <w:rPr>
                <w:rStyle w:val="cf01"/>
                <w:rFonts w:asciiTheme="minorHAnsi" w:hAnsiTheme="minorHAnsi" w:cstheme="minorHAnsi"/>
                <w:b/>
                <w:bCs/>
                <w:color w:val="FFFFFF" w:themeColor="background1"/>
                <w:sz w:val="22"/>
                <w:szCs w:val="22"/>
              </w:rPr>
            </w:pPr>
            <w:r w:rsidRPr="005B3739">
              <w:rPr>
                <w:rStyle w:val="cf01"/>
                <w:rFonts w:asciiTheme="minorHAnsi" w:hAnsiTheme="minorHAnsi" w:cstheme="minorHAnsi"/>
                <w:b/>
                <w:bCs/>
                <w:color w:val="FFFFFF" w:themeColor="background1"/>
                <w:sz w:val="22"/>
                <w:szCs w:val="22"/>
              </w:rPr>
              <w:t>L</w:t>
            </w:r>
            <w:r w:rsidRPr="00D0307B">
              <w:rPr>
                <w:rStyle w:val="cf01"/>
                <w:rFonts w:asciiTheme="minorHAnsi" w:hAnsiTheme="minorHAnsi" w:cstheme="minorHAnsi"/>
                <w:b/>
                <w:bCs/>
                <w:color w:val="FFFFFF" w:themeColor="background1"/>
                <w:sz w:val="22"/>
                <w:szCs w:val="22"/>
              </w:rPr>
              <w:t>abour hire employees</w:t>
            </w:r>
          </w:p>
          <w:p w14:paraId="05F5733D" w14:textId="6D4D4926" w:rsidR="00AE4775" w:rsidRPr="005B3739" w:rsidRDefault="00AE4775" w:rsidP="009171B9">
            <w:pPr>
              <w:spacing w:before="120" w:after="120" w:line="259" w:lineRule="auto"/>
              <w:rPr>
                <w:rStyle w:val="cf01"/>
                <w:rFonts w:asciiTheme="minorHAnsi" w:hAnsiTheme="minorHAnsi" w:cstheme="minorHAnsi"/>
                <w:b/>
                <w:bCs/>
                <w:color w:val="FFFFFF" w:themeColor="background1"/>
                <w:sz w:val="22"/>
                <w:szCs w:val="22"/>
              </w:rPr>
            </w:pPr>
          </w:p>
        </w:tc>
        <w:tc>
          <w:tcPr>
            <w:tcW w:w="7745" w:type="dxa"/>
          </w:tcPr>
          <w:p w14:paraId="3452A8C1" w14:textId="49A6EB78" w:rsidR="00AE4775" w:rsidRPr="005B3739" w:rsidRDefault="00AE4775" w:rsidP="009171B9">
            <w:pPr>
              <w:spacing w:before="120" w:after="120" w:line="259" w:lineRule="auto"/>
              <w:rPr>
                <w:rStyle w:val="cf11"/>
                <w:rFonts w:asciiTheme="minorHAnsi" w:hAnsiTheme="minorHAnsi" w:cstheme="minorHAnsi"/>
                <w:sz w:val="22"/>
                <w:szCs w:val="22"/>
              </w:rPr>
            </w:pPr>
            <w:r w:rsidRPr="005B3739">
              <w:rPr>
                <w:rStyle w:val="cf11"/>
                <w:rFonts w:asciiTheme="minorHAnsi" w:hAnsiTheme="minorHAnsi" w:cstheme="minorHAnsi"/>
                <w:sz w:val="22"/>
                <w:szCs w:val="22"/>
              </w:rPr>
              <w:t xml:space="preserve">By maintaining the status quo, some </w:t>
            </w:r>
            <w:r w:rsidR="00683260" w:rsidRPr="005B3739">
              <w:rPr>
                <w:rStyle w:val="cf11"/>
                <w:rFonts w:asciiTheme="minorHAnsi" w:hAnsiTheme="minorHAnsi" w:cstheme="minorHAnsi"/>
                <w:sz w:val="22"/>
                <w:szCs w:val="22"/>
              </w:rPr>
              <w:t xml:space="preserve">labour hire </w:t>
            </w:r>
            <w:r w:rsidRPr="005B3739">
              <w:rPr>
                <w:rStyle w:val="cf11"/>
                <w:rFonts w:asciiTheme="minorHAnsi" w:hAnsiTheme="minorHAnsi" w:cstheme="minorHAnsi"/>
                <w:sz w:val="22"/>
                <w:szCs w:val="22"/>
              </w:rPr>
              <w:t xml:space="preserve">employees would continue to receive wages </w:t>
            </w:r>
            <w:r w:rsidR="00683260" w:rsidRPr="005B3739">
              <w:rPr>
                <w:rStyle w:val="cf11"/>
                <w:rFonts w:asciiTheme="minorHAnsi" w:hAnsiTheme="minorHAnsi" w:cstheme="minorHAnsi"/>
                <w:sz w:val="22"/>
                <w:szCs w:val="22"/>
              </w:rPr>
              <w:t>lower than</w:t>
            </w:r>
            <w:r w:rsidRPr="005B3739">
              <w:rPr>
                <w:rStyle w:val="cf11"/>
                <w:rFonts w:asciiTheme="minorHAnsi" w:hAnsiTheme="minorHAnsi" w:cstheme="minorHAnsi"/>
                <w:sz w:val="22"/>
                <w:szCs w:val="22"/>
              </w:rPr>
              <w:t xml:space="preserve"> what they would </w:t>
            </w:r>
            <w:r w:rsidR="00683260" w:rsidRPr="005B3739">
              <w:rPr>
                <w:rStyle w:val="cf11"/>
                <w:rFonts w:asciiTheme="minorHAnsi" w:hAnsiTheme="minorHAnsi" w:cstheme="minorHAnsi"/>
                <w:sz w:val="22"/>
                <w:szCs w:val="22"/>
              </w:rPr>
              <w:t xml:space="preserve">be paid under </w:t>
            </w:r>
            <w:r w:rsidRPr="005B3739">
              <w:rPr>
                <w:rStyle w:val="cf11"/>
                <w:rFonts w:asciiTheme="minorHAnsi" w:hAnsiTheme="minorHAnsi" w:cstheme="minorHAnsi"/>
                <w:sz w:val="22"/>
                <w:szCs w:val="22"/>
              </w:rPr>
              <w:t>a host employer’s enterprise agreement.</w:t>
            </w:r>
          </w:p>
          <w:p w14:paraId="15663693" w14:textId="6F68DC55" w:rsidR="002B6B7A" w:rsidRPr="005B3739" w:rsidRDefault="00AE4775" w:rsidP="009171B9">
            <w:pPr>
              <w:spacing w:before="120" w:after="120" w:line="259" w:lineRule="auto"/>
              <w:rPr>
                <w:rStyle w:val="cf11"/>
                <w:rFonts w:asciiTheme="minorHAnsi" w:hAnsiTheme="minorHAnsi" w:cstheme="minorHAnsi"/>
                <w:sz w:val="22"/>
                <w:szCs w:val="22"/>
              </w:rPr>
            </w:pPr>
            <w:r w:rsidRPr="005B3739">
              <w:rPr>
                <w:rStyle w:val="cf11"/>
                <w:rFonts w:asciiTheme="minorHAnsi" w:hAnsiTheme="minorHAnsi" w:cstheme="minorHAnsi"/>
                <w:sz w:val="22"/>
                <w:szCs w:val="22"/>
              </w:rPr>
              <w:t xml:space="preserve">Maintaining the status quo would be unlikely to give rise to any benefits to </w:t>
            </w:r>
            <w:r w:rsidR="00683260" w:rsidRPr="005B3739">
              <w:rPr>
                <w:rStyle w:val="cf11"/>
                <w:rFonts w:asciiTheme="minorHAnsi" w:hAnsiTheme="minorHAnsi" w:cstheme="minorHAnsi"/>
                <w:sz w:val="22"/>
                <w:szCs w:val="22"/>
              </w:rPr>
              <w:t>labour hire employees</w:t>
            </w:r>
            <w:r w:rsidRPr="005B3739">
              <w:rPr>
                <w:rStyle w:val="cf11"/>
                <w:rFonts w:asciiTheme="minorHAnsi" w:hAnsiTheme="minorHAnsi" w:cstheme="minorHAnsi"/>
                <w:sz w:val="22"/>
                <w:szCs w:val="22"/>
              </w:rPr>
              <w:t xml:space="preserve">. That said, some stakeholders relayed to the department during consultations that the status quo currently allows </w:t>
            </w:r>
            <w:r w:rsidR="00503061" w:rsidRPr="005B3739">
              <w:rPr>
                <w:rStyle w:val="cf11"/>
                <w:rFonts w:asciiTheme="minorHAnsi" w:hAnsiTheme="minorHAnsi" w:cstheme="minorHAnsi"/>
                <w:sz w:val="22"/>
                <w:szCs w:val="22"/>
              </w:rPr>
              <w:t xml:space="preserve">labour hire </w:t>
            </w:r>
            <w:r w:rsidR="00683260" w:rsidRPr="005B3739">
              <w:rPr>
                <w:rStyle w:val="cf11"/>
                <w:rFonts w:asciiTheme="minorHAnsi" w:hAnsiTheme="minorHAnsi" w:cstheme="minorHAnsi"/>
                <w:sz w:val="22"/>
                <w:szCs w:val="22"/>
              </w:rPr>
              <w:t xml:space="preserve">employers </w:t>
            </w:r>
            <w:r w:rsidRPr="005B3739">
              <w:rPr>
                <w:rStyle w:val="cf11"/>
                <w:rFonts w:asciiTheme="minorHAnsi" w:hAnsiTheme="minorHAnsi" w:cstheme="minorHAnsi"/>
                <w:sz w:val="22"/>
                <w:szCs w:val="22"/>
              </w:rPr>
              <w:t xml:space="preserve">greater flexibility with respect to setting their own industrial arrangements, and consistency with respect to relying on those industrial arrangements to be able to calculate lawful wage payments to </w:t>
            </w:r>
            <w:r w:rsidR="00E17343" w:rsidRPr="005B3739">
              <w:rPr>
                <w:rStyle w:val="cf11"/>
                <w:rFonts w:asciiTheme="minorHAnsi" w:hAnsiTheme="minorHAnsi" w:cstheme="minorHAnsi"/>
                <w:sz w:val="22"/>
                <w:szCs w:val="22"/>
              </w:rPr>
              <w:t>employees</w:t>
            </w:r>
            <w:r w:rsidRPr="005B3739">
              <w:rPr>
                <w:rStyle w:val="cf11"/>
                <w:rFonts w:asciiTheme="minorHAnsi" w:hAnsiTheme="minorHAnsi" w:cstheme="minorHAnsi"/>
                <w:sz w:val="22"/>
                <w:szCs w:val="22"/>
              </w:rPr>
              <w:t xml:space="preserve">. Some stakeholders suggested that by requiring </w:t>
            </w:r>
            <w:r w:rsidR="00503061" w:rsidRPr="005B3739">
              <w:rPr>
                <w:rStyle w:val="cf11"/>
                <w:rFonts w:asciiTheme="minorHAnsi" w:hAnsiTheme="minorHAnsi" w:cstheme="minorHAnsi"/>
                <w:sz w:val="22"/>
                <w:szCs w:val="22"/>
              </w:rPr>
              <w:t xml:space="preserve">labour hire </w:t>
            </w:r>
            <w:r w:rsidR="00E17343" w:rsidRPr="005B3739">
              <w:rPr>
                <w:rStyle w:val="cf11"/>
                <w:rFonts w:asciiTheme="minorHAnsi" w:hAnsiTheme="minorHAnsi" w:cstheme="minorHAnsi"/>
                <w:sz w:val="22"/>
                <w:szCs w:val="22"/>
              </w:rPr>
              <w:t xml:space="preserve">employers </w:t>
            </w:r>
            <w:r w:rsidRPr="005B3739">
              <w:rPr>
                <w:rStyle w:val="cf11"/>
                <w:rFonts w:asciiTheme="minorHAnsi" w:hAnsiTheme="minorHAnsi" w:cstheme="minorHAnsi"/>
                <w:sz w:val="22"/>
                <w:szCs w:val="22"/>
              </w:rPr>
              <w:t>and host</w:t>
            </w:r>
            <w:r w:rsidR="00E17343" w:rsidRPr="005B3739">
              <w:rPr>
                <w:rStyle w:val="cf11"/>
                <w:rFonts w:asciiTheme="minorHAnsi" w:hAnsiTheme="minorHAnsi" w:cstheme="minorHAnsi"/>
                <w:sz w:val="22"/>
                <w:szCs w:val="22"/>
              </w:rPr>
              <w:t>s</w:t>
            </w:r>
            <w:r w:rsidRPr="005B3739">
              <w:rPr>
                <w:rStyle w:val="cf11"/>
                <w:rFonts w:asciiTheme="minorHAnsi" w:hAnsiTheme="minorHAnsi" w:cstheme="minorHAnsi"/>
                <w:sz w:val="22"/>
                <w:szCs w:val="22"/>
              </w:rPr>
              <w:t xml:space="preserve"> to comply with proposed new obligations</w:t>
            </w:r>
            <w:r w:rsidR="00E17343" w:rsidRPr="005B3739">
              <w:rPr>
                <w:rStyle w:val="cf11"/>
                <w:rFonts w:asciiTheme="minorHAnsi" w:hAnsiTheme="minorHAnsi" w:cstheme="minorHAnsi"/>
                <w:sz w:val="22"/>
                <w:szCs w:val="22"/>
              </w:rPr>
              <w:t xml:space="preserve"> if a Fair Work Commission order is made</w:t>
            </w:r>
            <w:r w:rsidRPr="005B3739">
              <w:rPr>
                <w:rStyle w:val="cf11"/>
                <w:rFonts w:asciiTheme="minorHAnsi" w:hAnsiTheme="minorHAnsi" w:cstheme="minorHAnsi"/>
                <w:sz w:val="22"/>
                <w:szCs w:val="22"/>
              </w:rPr>
              <w:t xml:space="preserve">, revenue and profitability would be put at risk – and, by extension, </w:t>
            </w:r>
            <w:r w:rsidR="00E17343" w:rsidRPr="005B3739">
              <w:rPr>
                <w:rStyle w:val="cf11"/>
                <w:rFonts w:asciiTheme="minorHAnsi" w:hAnsiTheme="minorHAnsi" w:cstheme="minorHAnsi"/>
                <w:sz w:val="22"/>
                <w:szCs w:val="22"/>
              </w:rPr>
              <w:t xml:space="preserve">risking </w:t>
            </w:r>
            <w:r w:rsidRPr="005B3739">
              <w:rPr>
                <w:rStyle w:val="cf11"/>
                <w:rFonts w:asciiTheme="minorHAnsi" w:hAnsiTheme="minorHAnsi" w:cstheme="minorHAnsi"/>
                <w:sz w:val="22"/>
                <w:szCs w:val="22"/>
              </w:rPr>
              <w:t xml:space="preserve">the job security of affected </w:t>
            </w:r>
            <w:r w:rsidR="00E17343" w:rsidRPr="005B3739">
              <w:rPr>
                <w:rStyle w:val="cf11"/>
                <w:rFonts w:asciiTheme="minorHAnsi" w:hAnsiTheme="minorHAnsi" w:cstheme="minorHAnsi"/>
                <w:sz w:val="22"/>
                <w:szCs w:val="22"/>
              </w:rPr>
              <w:t>labour hire employees</w:t>
            </w:r>
            <w:r w:rsidRPr="005B3739">
              <w:rPr>
                <w:rStyle w:val="cf11"/>
                <w:rFonts w:asciiTheme="minorHAnsi" w:hAnsiTheme="minorHAnsi" w:cstheme="minorHAnsi"/>
                <w:sz w:val="22"/>
                <w:szCs w:val="22"/>
              </w:rPr>
              <w:t xml:space="preserve">. </w:t>
            </w:r>
          </w:p>
          <w:p w14:paraId="1CC03269" w14:textId="5F5BF213" w:rsidR="004B2D0C" w:rsidRPr="005B3739" w:rsidRDefault="00AE4775" w:rsidP="009171B9">
            <w:pPr>
              <w:spacing w:before="120" w:after="120" w:line="259" w:lineRule="auto"/>
              <w:rPr>
                <w:rStyle w:val="cf11"/>
                <w:rFonts w:asciiTheme="minorHAnsi" w:hAnsiTheme="minorHAnsi" w:cstheme="minorHAnsi"/>
                <w:sz w:val="22"/>
                <w:szCs w:val="22"/>
              </w:rPr>
            </w:pPr>
            <w:r w:rsidRPr="005B3739">
              <w:rPr>
                <w:rStyle w:val="cf11"/>
                <w:rFonts w:asciiTheme="minorHAnsi" w:hAnsiTheme="minorHAnsi" w:cstheme="minorHAnsi"/>
                <w:sz w:val="22"/>
                <w:szCs w:val="22"/>
              </w:rPr>
              <w:t xml:space="preserve">In this regard, the benefit that could be taken from the status quo is that job security </w:t>
            </w:r>
            <w:r w:rsidR="002B6B7A" w:rsidRPr="005B3739">
              <w:rPr>
                <w:rStyle w:val="cf11"/>
                <w:rFonts w:asciiTheme="minorHAnsi" w:hAnsiTheme="minorHAnsi" w:cstheme="minorHAnsi"/>
                <w:sz w:val="22"/>
                <w:szCs w:val="22"/>
              </w:rPr>
              <w:t xml:space="preserve">for labour hire </w:t>
            </w:r>
            <w:r w:rsidR="0003417A" w:rsidRPr="005B3739">
              <w:rPr>
                <w:rStyle w:val="cf11"/>
                <w:rFonts w:asciiTheme="minorHAnsi" w:hAnsiTheme="minorHAnsi" w:cstheme="minorHAnsi"/>
                <w:sz w:val="22"/>
                <w:szCs w:val="22"/>
              </w:rPr>
              <w:t xml:space="preserve">employees </w:t>
            </w:r>
            <w:r w:rsidR="002B6B7A" w:rsidRPr="005B3739">
              <w:rPr>
                <w:rStyle w:val="cf11"/>
                <w:rFonts w:asciiTheme="minorHAnsi" w:hAnsiTheme="minorHAnsi" w:cstheme="minorHAnsi"/>
                <w:i/>
                <w:sz w:val="22"/>
                <w:szCs w:val="22"/>
              </w:rPr>
              <w:t xml:space="preserve">in their current labour hire jobs </w:t>
            </w:r>
            <w:r w:rsidRPr="005B3739">
              <w:rPr>
                <w:rStyle w:val="cf11"/>
                <w:rFonts w:asciiTheme="minorHAnsi" w:hAnsiTheme="minorHAnsi" w:cstheme="minorHAnsi"/>
                <w:sz w:val="22"/>
                <w:szCs w:val="22"/>
              </w:rPr>
              <w:t xml:space="preserve">may be maintained (as a result of maintaining existing profitability for affected business). However, and importantly, the department is unable to verify these </w:t>
            </w:r>
            <w:r w:rsidR="0003417A" w:rsidRPr="005B3739">
              <w:rPr>
                <w:rStyle w:val="cf11"/>
                <w:rFonts w:asciiTheme="minorHAnsi" w:hAnsiTheme="minorHAnsi" w:cstheme="minorHAnsi"/>
                <w:sz w:val="22"/>
                <w:szCs w:val="22"/>
              </w:rPr>
              <w:t xml:space="preserve">stakeholder </w:t>
            </w:r>
            <w:r w:rsidRPr="005B3739">
              <w:rPr>
                <w:rStyle w:val="cf11"/>
                <w:rFonts w:asciiTheme="minorHAnsi" w:hAnsiTheme="minorHAnsi" w:cstheme="minorHAnsi"/>
                <w:sz w:val="22"/>
                <w:szCs w:val="22"/>
              </w:rPr>
              <w:t xml:space="preserve">assertions and does not have access to data that would suggest the increased wage cost flowing from this proposal would displace profitability and job security to a measurable degree. </w:t>
            </w:r>
          </w:p>
          <w:p w14:paraId="1B904919" w14:textId="6562BF0E" w:rsidR="00AE4775" w:rsidRPr="005B3739" w:rsidRDefault="00AE4775" w:rsidP="009171B9">
            <w:pPr>
              <w:spacing w:before="120" w:after="120" w:line="259" w:lineRule="auto"/>
              <w:rPr>
                <w:rStyle w:val="cf11"/>
                <w:rFonts w:asciiTheme="minorHAnsi" w:hAnsiTheme="minorHAnsi" w:cstheme="minorHAnsi"/>
                <w:sz w:val="22"/>
                <w:szCs w:val="22"/>
              </w:rPr>
            </w:pPr>
            <w:r w:rsidRPr="005B3739">
              <w:rPr>
                <w:rStyle w:val="cf11"/>
                <w:rFonts w:asciiTheme="minorHAnsi" w:hAnsiTheme="minorHAnsi" w:cstheme="minorHAnsi"/>
                <w:sz w:val="22"/>
                <w:szCs w:val="22"/>
              </w:rPr>
              <w:lastRenderedPageBreak/>
              <w:t>Put another way, the department does not have data to suggest that the Government’s proposal would adversely impact profitability and job security to a degree that might suggest maintaining the status quo should be preferred. Nevertheless, stakeholder views about this issue have been considered by the department in the course of consultations and preparing this analysis.</w:t>
            </w:r>
          </w:p>
        </w:tc>
      </w:tr>
    </w:tbl>
    <w:p w14:paraId="5E0FCE46" w14:textId="77777777" w:rsidR="00AE4775" w:rsidRPr="00603981" w:rsidRDefault="00AE4775" w:rsidP="00464AD7">
      <w:pPr>
        <w:pStyle w:val="Heading3"/>
        <w:keepLines w:val="0"/>
      </w:pPr>
      <w:bookmarkStart w:id="30" w:name="_Toc143696580"/>
      <w:r w:rsidRPr="00603981">
        <w:lastRenderedPageBreak/>
        <w:t>Having weighed Options 1 and 2, what is the net benefit of the Government’s proposal?</w:t>
      </w:r>
      <w:bookmarkEnd w:id="30"/>
    </w:p>
    <w:p w14:paraId="1F694B05" w14:textId="3BA47D8B" w:rsidR="00AE4775" w:rsidRPr="00603981" w:rsidRDefault="00AE4775" w:rsidP="00464AD7">
      <w:pPr>
        <w:keepNext/>
        <w:spacing w:after="160" w:line="259" w:lineRule="auto"/>
      </w:pPr>
      <w:r w:rsidRPr="00603981">
        <w:t xml:space="preserve">The Government considers there is a loophole in the Fair Work Act which allows bargained wages in enterprise agreements to be undercut by the use of labour hire. This is because the Fair Work Act currently allows labour hire </w:t>
      </w:r>
      <w:r w:rsidR="00B019A3">
        <w:t>employees</w:t>
      </w:r>
      <w:r w:rsidR="00B019A3" w:rsidRPr="00603981">
        <w:t xml:space="preserve"> </w:t>
      </w:r>
      <w:r w:rsidRPr="00603981">
        <w:t xml:space="preserve">to be paid less than what they would </w:t>
      </w:r>
      <w:r w:rsidR="00B019A3">
        <w:t>be paid</w:t>
      </w:r>
      <w:r w:rsidR="00B019A3" w:rsidRPr="00603981">
        <w:t xml:space="preserve"> </w:t>
      </w:r>
      <w:r w:rsidRPr="00603981">
        <w:t xml:space="preserve">if they were directly employed by a host and paid </w:t>
      </w:r>
      <w:r w:rsidR="00B019A3">
        <w:t>under</w:t>
      </w:r>
      <w:r w:rsidRPr="00603981">
        <w:t xml:space="preserve"> the host’s enterprise agreement. This has informed the Government’s election commitment to address </w:t>
      </w:r>
      <w:r w:rsidR="00DB4605" w:rsidRPr="00603981">
        <w:t xml:space="preserve">the </w:t>
      </w:r>
      <w:r w:rsidRPr="00603981">
        <w:t xml:space="preserve">pay differential currently adversely impacting some labour hire </w:t>
      </w:r>
      <w:r w:rsidR="00B019A3">
        <w:t>employees</w:t>
      </w:r>
      <w:r w:rsidRPr="00603981">
        <w:t>.</w:t>
      </w:r>
    </w:p>
    <w:p w14:paraId="21177B04" w14:textId="68AB1BE3" w:rsidR="00F46E74" w:rsidRDefault="0056702B" w:rsidP="00F207DC">
      <w:pPr>
        <w:spacing w:after="160" w:line="259" w:lineRule="auto"/>
      </w:pPr>
      <w:r>
        <w:t>P</w:t>
      </w:r>
      <w:r w:rsidR="00AE4775">
        <w:t xml:space="preserve">rogressing the Government’s proposal will lead to an increase in labour </w:t>
      </w:r>
      <w:r>
        <w:t xml:space="preserve">costs for </w:t>
      </w:r>
      <w:r w:rsidR="00623F0C">
        <w:t xml:space="preserve">labour hire employers and hosts covered by a Fair Work Commission order, </w:t>
      </w:r>
      <w:r w:rsidR="00AE4775">
        <w:t xml:space="preserve">where affected </w:t>
      </w:r>
      <w:r w:rsidR="00623F0C">
        <w:t>labour hire employees</w:t>
      </w:r>
      <w:r w:rsidR="00AE4775">
        <w:t xml:space="preserve"> are being paid less than what they would </w:t>
      </w:r>
      <w:r w:rsidR="00623F0C">
        <w:t>be paid</w:t>
      </w:r>
      <w:r w:rsidR="00AE4775">
        <w:t xml:space="preserve"> under a host’s enterprise agreement</w:t>
      </w:r>
      <w:r w:rsidR="0052442B">
        <w:t>.</w:t>
      </w:r>
      <w:r>
        <w:t xml:space="preserve"> </w:t>
      </w:r>
      <w:r w:rsidR="00623F0C">
        <w:t>Labour hire e</w:t>
      </w:r>
      <w:r w:rsidR="0052442B">
        <w:t>mployers</w:t>
      </w:r>
      <w:r w:rsidR="00623F0C">
        <w:t xml:space="preserve"> and hosts</w:t>
      </w:r>
      <w:r w:rsidR="0052442B">
        <w:t xml:space="preserve"> will also </w:t>
      </w:r>
      <w:r w:rsidR="00623F0C">
        <w:t>face</w:t>
      </w:r>
      <w:r w:rsidR="0052442B">
        <w:t xml:space="preserve"> </w:t>
      </w:r>
      <w:r w:rsidR="00AE4775">
        <w:t>costs</w:t>
      </w:r>
      <w:r>
        <w:t xml:space="preserve"> </w:t>
      </w:r>
      <w:r w:rsidR="00623F0C">
        <w:t>when engaging with applications made to the Fair Work Commission</w:t>
      </w:r>
      <w:r w:rsidR="00720CF1">
        <w:t>.</w:t>
      </w:r>
      <w:r w:rsidR="00F46E74">
        <w:t xml:space="preserve"> However, t</w:t>
      </w:r>
      <w:r w:rsidR="00AE4775">
        <w:t xml:space="preserve">hese costs will be tempered by the </w:t>
      </w:r>
      <w:r w:rsidR="00F46E74">
        <w:t xml:space="preserve">reduced </w:t>
      </w:r>
      <w:r w:rsidR="00AE4775">
        <w:t xml:space="preserve">number of labour hire </w:t>
      </w:r>
      <w:r w:rsidR="00F46E74">
        <w:t xml:space="preserve">employees that are expected </w:t>
      </w:r>
      <w:r w:rsidR="00412E13" w:rsidRPr="004E25D2">
        <w:t>to apply for and be covered by a</w:t>
      </w:r>
      <w:r w:rsidR="00F46E74">
        <w:t xml:space="preserve"> Fair Work Commission </w:t>
      </w:r>
      <w:r w:rsidR="00412E13" w:rsidRPr="004E25D2">
        <w:t xml:space="preserve">order. </w:t>
      </w:r>
    </w:p>
    <w:p w14:paraId="256FC567" w14:textId="2F83ED7D" w:rsidR="00AE4775" w:rsidRPr="00603981" w:rsidRDefault="00412E13" w:rsidP="00F207DC">
      <w:pPr>
        <w:spacing w:after="160" w:line="259" w:lineRule="auto"/>
      </w:pPr>
      <w:r w:rsidRPr="004E25D2">
        <w:t xml:space="preserve">The </w:t>
      </w:r>
      <w:r w:rsidR="00434A28" w:rsidRPr="004E25D2">
        <w:t xml:space="preserve">number of labour hire </w:t>
      </w:r>
      <w:r w:rsidR="00F46E74">
        <w:t>employees</w:t>
      </w:r>
      <w:r w:rsidR="00434A28" w:rsidRPr="004E25D2">
        <w:t xml:space="preserve"> </w:t>
      </w:r>
      <w:r w:rsidR="005A0757">
        <w:t>in Australia is low</w:t>
      </w:r>
      <w:r w:rsidR="00AE4775">
        <w:t xml:space="preserve"> (2.3%</w:t>
      </w:r>
      <w:r w:rsidR="005A0757">
        <w:t xml:space="preserve"> of all workers</w:t>
      </w:r>
      <w:r w:rsidR="00AE4775">
        <w:t>, or 319,900), and the fact that of those 319,900</w:t>
      </w:r>
      <w:r w:rsidR="005A0757">
        <w:t>,</w:t>
      </w:r>
      <w:r w:rsidR="00AE4775">
        <w:t xml:space="preserve"> only aroun</w:t>
      </w:r>
      <w:r w:rsidR="00AE4775" w:rsidRPr="003766E6">
        <w:t>d 6</w:t>
      </w:r>
      <w:r w:rsidR="3F5CCCA4" w:rsidRPr="003766E6">
        <w:t>0</w:t>
      </w:r>
      <w:r w:rsidR="00AE4775" w:rsidRPr="003766E6">
        <w:t>,</w:t>
      </w:r>
      <w:r w:rsidR="3556D9F5" w:rsidRPr="003766E6">
        <w:t>4</w:t>
      </w:r>
      <w:r w:rsidR="00CB6EF5" w:rsidRPr="003766E6">
        <w:t>4</w:t>
      </w:r>
      <w:r w:rsidR="3556D9F5" w:rsidRPr="003766E6">
        <w:t>6</w:t>
      </w:r>
      <w:r w:rsidR="00AE4775" w:rsidRPr="70E368DE">
        <w:t xml:space="preserve"> are estimated to be </w:t>
      </w:r>
      <w:r w:rsidR="005A0757">
        <w:t xml:space="preserve">eligible to apply for a Fair Work Commission further reduces the impact of this proposal </w:t>
      </w:r>
      <w:r w:rsidR="00AE4775" w:rsidRPr="70E368DE">
        <w:t>directly impacted by the proposal</w:t>
      </w:r>
      <w:r w:rsidR="005A0757">
        <w:t xml:space="preserve"> – </w:t>
      </w:r>
      <w:r w:rsidR="00AE4775" w:rsidRPr="70E368DE">
        <w:t>noting, again, the data limitations with identifying the number of workers potentially affected</w:t>
      </w:r>
      <w:r w:rsidR="00D93AF0" w:rsidRPr="70E368DE">
        <w:t xml:space="preserve">, and noting that, when adding broad estimates for internal labour hire workers, this figure rises to </w:t>
      </w:r>
      <w:r w:rsidR="00D93AF0" w:rsidRPr="003766E6">
        <w:t>6</w:t>
      </w:r>
      <w:r w:rsidR="48A0204A" w:rsidRPr="003766E6">
        <w:t>6</w:t>
      </w:r>
      <w:r w:rsidR="00D93AF0" w:rsidRPr="003766E6">
        <w:t>,</w:t>
      </w:r>
      <w:r w:rsidR="1F680708" w:rsidRPr="003766E6">
        <w:t>4</w:t>
      </w:r>
      <w:r w:rsidR="00863C7D" w:rsidRPr="003766E6">
        <w:t>4</w:t>
      </w:r>
      <w:r w:rsidR="1F680708" w:rsidRPr="003766E6">
        <w:t>6</w:t>
      </w:r>
      <w:r w:rsidR="00AE4775" w:rsidRPr="70E368DE">
        <w:t>.</w:t>
      </w:r>
    </w:p>
    <w:p w14:paraId="4BF4B7F0" w14:textId="7EC6E1D6" w:rsidR="00AE4775" w:rsidRPr="00603981" w:rsidRDefault="00AE4775" w:rsidP="00F207DC">
      <w:pPr>
        <w:spacing w:after="160" w:line="259" w:lineRule="auto"/>
      </w:pPr>
      <w:r w:rsidRPr="00603981">
        <w:t>With this front of mind, and with regard to the various</w:t>
      </w:r>
      <w:r w:rsidRPr="00603981" w:rsidDel="00317C04">
        <w:t xml:space="preserve"> </w:t>
      </w:r>
      <w:r w:rsidRPr="00603981">
        <w:t xml:space="preserve">benefits to labour hire </w:t>
      </w:r>
      <w:r w:rsidR="005A0757">
        <w:t>employees</w:t>
      </w:r>
      <w:r w:rsidR="005A0757" w:rsidRPr="00603981">
        <w:t xml:space="preserve"> </w:t>
      </w:r>
      <w:r w:rsidRPr="00603981">
        <w:t xml:space="preserve">and the protection of bargained wages, the department has weighed the costs and benefits of the </w:t>
      </w:r>
      <w:r w:rsidR="00121772" w:rsidRPr="00603981">
        <w:t>options described above</w:t>
      </w:r>
      <w:r w:rsidRPr="00603981">
        <w:t xml:space="preserve"> and recommends pursing Option 1</w:t>
      </w:r>
      <w:r w:rsidR="00D93AF0" w:rsidRPr="00603981">
        <w:t>: L</w:t>
      </w:r>
      <w:r w:rsidRPr="00603981">
        <w:t xml:space="preserve">egislate the </w:t>
      </w:r>
      <w:r w:rsidR="00D93AF0" w:rsidRPr="00603981">
        <w:t>Government’s</w:t>
      </w:r>
      <w:r w:rsidRPr="00603981">
        <w:t xml:space="preserve"> ‘Closing</w:t>
      </w:r>
      <w:r w:rsidR="0032387B" w:rsidRPr="00603981">
        <w:t> </w:t>
      </w:r>
      <w:r w:rsidR="00753C76">
        <w:t xml:space="preserve">the </w:t>
      </w:r>
      <w:r w:rsidRPr="00603981">
        <w:t xml:space="preserve">labour hire loophole’ </w:t>
      </w:r>
      <w:r w:rsidR="00D93AF0" w:rsidRPr="00603981">
        <w:t>proposal</w:t>
      </w:r>
      <w:r w:rsidRPr="00603981">
        <w:t xml:space="preserve">. </w:t>
      </w:r>
    </w:p>
    <w:p w14:paraId="064162E2" w14:textId="77777777" w:rsidR="00AE4775" w:rsidRPr="00603981" w:rsidRDefault="00AE4775" w:rsidP="00C3303A">
      <w:pPr>
        <w:pStyle w:val="Heading2"/>
      </w:pPr>
      <w:bookmarkStart w:id="31" w:name="_Toc143696581"/>
      <w:r w:rsidRPr="00603981">
        <w:t xml:space="preserve">Impact Analysis Question 5: </w:t>
      </w:r>
      <w:r w:rsidRPr="00603981">
        <w:br/>
        <w:t>Who did you consult and how did you incorporate their feedback?</w:t>
      </w:r>
      <w:bookmarkEnd w:id="31"/>
    </w:p>
    <w:p w14:paraId="157B32C6" w14:textId="77777777" w:rsidR="00AE4775" w:rsidRPr="00603981" w:rsidRDefault="00AE4775" w:rsidP="00C3303A">
      <w:pPr>
        <w:pStyle w:val="Heading3"/>
      </w:pPr>
      <w:bookmarkStart w:id="32" w:name="_Toc143696582"/>
      <w:r w:rsidRPr="00603981">
        <w:t>Purpose and objectives of consultation</w:t>
      </w:r>
      <w:bookmarkEnd w:id="32"/>
    </w:p>
    <w:p w14:paraId="32579206" w14:textId="17186033" w:rsidR="00AE4775" w:rsidRPr="00603981" w:rsidRDefault="00AE4775" w:rsidP="00F207DC">
      <w:pPr>
        <w:spacing w:after="160" w:line="259" w:lineRule="auto"/>
        <w:rPr>
          <w:rFonts w:cstheme="minorHAnsi"/>
        </w:rPr>
      </w:pPr>
      <w:r w:rsidRPr="00603981">
        <w:rPr>
          <w:rFonts w:cstheme="minorHAnsi"/>
        </w:rPr>
        <w:t xml:space="preserve">Consultation is a core </w:t>
      </w:r>
      <w:r w:rsidR="003D77D0" w:rsidRPr="00603981">
        <w:rPr>
          <w:rFonts w:cstheme="minorHAnsi"/>
        </w:rPr>
        <w:t xml:space="preserve">element </w:t>
      </w:r>
      <w:r w:rsidRPr="00603981">
        <w:rPr>
          <w:rFonts w:cstheme="minorHAnsi"/>
        </w:rPr>
        <w:t xml:space="preserve">of policy making and workplace relations reform. An effective consultation process can lead to better policy outcomes and greater acceptance of a policy in the community, particularly among those who will be affected by </w:t>
      </w:r>
      <w:r w:rsidR="001E1662" w:rsidRPr="00603981">
        <w:rPr>
          <w:rFonts w:cstheme="minorHAnsi"/>
        </w:rPr>
        <w:t xml:space="preserve">its </w:t>
      </w:r>
      <w:r w:rsidRPr="00603981">
        <w:rPr>
          <w:rFonts w:cstheme="minorHAnsi"/>
        </w:rPr>
        <w:t xml:space="preserve">implementation. Various stakeholders are involved </w:t>
      </w:r>
      <w:r w:rsidR="005F5DA5" w:rsidRPr="00603981">
        <w:rPr>
          <w:rFonts w:cstheme="minorHAnsi"/>
        </w:rPr>
        <w:t xml:space="preserve">by the department </w:t>
      </w:r>
      <w:r w:rsidRPr="00603981">
        <w:rPr>
          <w:rFonts w:cstheme="minorHAnsi"/>
        </w:rPr>
        <w:t>in consultation processes in relation to workplace relations reform, including employer groups, community organisations, employee representatives, academics, and civil society.</w:t>
      </w:r>
    </w:p>
    <w:p w14:paraId="133AC8F6" w14:textId="585D3268" w:rsidR="00AE4775" w:rsidRPr="00603981" w:rsidRDefault="00AE4775" w:rsidP="00F207DC">
      <w:pPr>
        <w:spacing w:after="160" w:line="259" w:lineRule="auto"/>
        <w:rPr>
          <w:rFonts w:cstheme="minorHAnsi"/>
        </w:rPr>
      </w:pPr>
      <w:r w:rsidRPr="00603981">
        <w:t xml:space="preserve">In workplace relations, consultation can take place through several avenues. For example, the </w:t>
      </w:r>
      <w:r w:rsidRPr="00603981">
        <w:rPr>
          <w:i/>
        </w:rPr>
        <w:t>National Workplace Relations Consultative Council Act 2002</w:t>
      </w:r>
      <w:r w:rsidRPr="00603981">
        <w:t xml:space="preserve"> establishes the National Workplace Relations Consultative Council</w:t>
      </w:r>
      <w:r w:rsidR="00B03D20">
        <w:t xml:space="preserve"> (NWRCC)</w:t>
      </w:r>
      <w:r w:rsidRPr="00603981">
        <w:t>.</w:t>
      </w:r>
      <w:r w:rsidRPr="00603981" w:rsidDel="003E085C">
        <w:t xml:space="preserve"> </w:t>
      </w:r>
      <w:r w:rsidRPr="00603981">
        <w:t xml:space="preserve">The purpose of the </w:t>
      </w:r>
      <w:r w:rsidR="00B03D20">
        <w:t>NWRCC</w:t>
      </w:r>
      <w:r w:rsidR="00B03D20" w:rsidRPr="00603981">
        <w:t xml:space="preserve"> </w:t>
      </w:r>
      <w:r w:rsidRPr="00603981">
        <w:t xml:space="preserve">is to provide, in the public interest, a regular and organised means by which Government representatives, and representatives </w:t>
      </w:r>
      <w:r w:rsidRPr="00603981">
        <w:lastRenderedPageBreak/>
        <w:t>of employers and of employees (and, when the Minister considers it appropriate, representatives of other persons, bodies and organisations) may consult together on workplace relations matters of national concern.</w:t>
      </w:r>
      <w:r w:rsidRPr="00603981">
        <w:rPr>
          <w:rStyle w:val="FootnoteReference"/>
        </w:rPr>
        <w:footnoteReference w:id="70"/>
      </w:r>
      <w:r w:rsidR="00BC3015" w:rsidRPr="00603981">
        <w:t xml:space="preserve"> </w:t>
      </w:r>
      <w:r w:rsidRPr="00603981">
        <w:rPr>
          <w:rFonts w:cstheme="minorHAnsi"/>
        </w:rPr>
        <w:t>The Committee on Industrial Legislation (COIL)</w:t>
      </w:r>
      <w:r w:rsidR="00BC3015" w:rsidRPr="00603981">
        <w:rPr>
          <w:rFonts w:cstheme="minorHAnsi"/>
        </w:rPr>
        <w:t xml:space="preserve"> </w:t>
      </w:r>
      <w:r w:rsidRPr="00603981">
        <w:rPr>
          <w:rFonts w:cstheme="minorHAnsi"/>
        </w:rPr>
        <w:t>also meets when required to provide technical input on draft or existing workplace relations legislation.</w:t>
      </w:r>
    </w:p>
    <w:p w14:paraId="513C31F3" w14:textId="4461F5C1" w:rsidR="00AE4775" w:rsidRPr="00603981" w:rsidRDefault="00AE4775" w:rsidP="00F207DC">
      <w:pPr>
        <w:spacing w:after="160" w:line="259" w:lineRule="auto"/>
        <w:rPr>
          <w:rFonts w:cstheme="minorHAnsi"/>
        </w:rPr>
      </w:pPr>
      <w:r w:rsidRPr="00603981">
        <w:rPr>
          <w:rFonts w:cstheme="minorHAnsi"/>
        </w:rPr>
        <w:t xml:space="preserve">The department also engages in </w:t>
      </w:r>
      <w:r w:rsidR="004A4BF2" w:rsidRPr="00603981">
        <w:rPr>
          <w:rFonts w:cstheme="minorHAnsi"/>
        </w:rPr>
        <w:t xml:space="preserve">ongoing </w:t>
      </w:r>
      <w:r w:rsidRPr="00603981">
        <w:rPr>
          <w:rFonts w:cstheme="minorHAnsi"/>
        </w:rPr>
        <w:t xml:space="preserve">consultation with a broad range of stakeholders on workplace relations legislation </w:t>
      </w:r>
      <w:r w:rsidR="00A52D59" w:rsidRPr="00603981">
        <w:rPr>
          <w:rFonts w:cstheme="minorHAnsi"/>
        </w:rPr>
        <w:t xml:space="preserve">implementation </w:t>
      </w:r>
      <w:r w:rsidRPr="00603981">
        <w:rPr>
          <w:rFonts w:cstheme="minorHAnsi"/>
        </w:rPr>
        <w:t xml:space="preserve">and </w:t>
      </w:r>
      <w:r w:rsidR="00F203BA">
        <w:rPr>
          <w:rFonts w:cstheme="minorHAnsi"/>
        </w:rPr>
        <w:t>operation</w:t>
      </w:r>
      <w:r w:rsidRPr="00603981">
        <w:rPr>
          <w:rFonts w:cstheme="minorHAnsi"/>
        </w:rPr>
        <w:t xml:space="preserve">. </w:t>
      </w:r>
    </w:p>
    <w:p w14:paraId="0D55140B" w14:textId="77777777" w:rsidR="00AE4775" w:rsidRPr="00603981" w:rsidRDefault="00AE4775" w:rsidP="00C3303A">
      <w:pPr>
        <w:pStyle w:val="Heading3"/>
      </w:pPr>
      <w:bookmarkStart w:id="33" w:name="_Toc143696583"/>
      <w:r w:rsidRPr="00603981">
        <w:t>Consultation process undertaken by the department regarding this proposal</w:t>
      </w:r>
      <w:bookmarkEnd w:id="33"/>
    </w:p>
    <w:p w14:paraId="435E452A" w14:textId="2ED2DCA8" w:rsidR="00AE4775" w:rsidRPr="00603981" w:rsidRDefault="00AE4775" w:rsidP="00F207DC">
      <w:pPr>
        <w:spacing w:after="160" w:line="259" w:lineRule="auto"/>
        <w:rPr>
          <w:rFonts w:cstheme="minorHAnsi"/>
        </w:rPr>
      </w:pPr>
      <w:r w:rsidRPr="00603981">
        <w:rPr>
          <w:rFonts w:cstheme="minorHAnsi"/>
        </w:rPr>
        <w:t xml:space="preserve">The department has engaged in </w:t>
      </w:r>
      <w:r w:rsidR="002859E2" w:rsidRPr="00603981">
        <w:rPr>
          <w:rFonts w:cstheme="minorHAnsi"/>
        </w:rPr>
        <w:t xml:space="preserve">open </w:t>
      </w:r>
      <w:r w:rsidRPr="00603981">
        <w:rPr>
          <w:rFonts w:cstheme="minorHAnsi"/>
        </w:rPr>
        <w:t xml:space="preserve">public consultation on the Government’s ‘Closing </w:t>
      </w:r>
      <w:r w:rsidR="00EB2D8D">
        <w:rPr>
          <w:rFonts w:cstheme="minorHAnsi"/>
        </w:rPr>
        <w:t xml:space="preserve">the </w:t>
      </w:r>
      <w:r w:rsidRPr="00603981">
        <w:rPr>
          <w:rFonts w:cstheme="minorHAnsi"/>
        </w:rPr>
        <w:t xml:space="preserve">labour hire loophole’ proposal. </w:t>
      </w:r>
      <w:bookmarkStart w:id="34" w:name="_Hlk137808159"/>
      <w:r w:rsidRPr="00603981">
        <w:rPr>
          <w:rFonts w:cstheme="minorHAnsi"/>
        </w:rPr>
        <w:t xml:space="preserve">During initial consultations undertaken in 2022, the department met with over 40 stakeholders including employers, peak industry and employer groups, labour hire providers, unions and State and Territory governments across 15 consultation meetings. The purpose of those initial consultation sessions was to seek to understand how and why different businesses use labour hire, how labour hire providers operate, and to invite stakeholder views on how a ‘Closing labour hire loopholes’ measure might </w:t>
      </w:r>
      <w:r w:rsidR="006D5F82" w:rsidRPr="00603981">
        <w:rPr>
          <w:rFonts w:cstheme="minorHAnsi"/>
        </w:rPr>
        <w:t xml:space="preserve">work </w:t>
      </w:r>
      <w:r w:rsidRPr="00603981">
        <w:rPr>
          <w:rFonts w:cstheme="minorHAnsi"/>
        </w:rPr>
        <w:t>in practice.</w:t>
      </w:r>
    </w:p>
    <w:p w14:paraId="12903919" w14:textId="76853532" w:rsidR="00AE4775" w:rsidRPr="00603981" w:rsidRDefault="00AE4775" w:rsidP="00F207DC">
      <w:pPr>
        <w:spacing w:after="160" w:line="259" w:lineRule="auto"/>
        <w:rPr>
          <w:rFonts w:cstheme="minorHAnsi"/>
        </w:rPr>
      </w:pPr>
      <w:bookmarkStart w:id="35" w:name="_Hlk137808203"/>
      <w:bookmarkEnd w:id="34"/>
      <w:r w:rsidRPr="00603981">
        <w:rPr>
          <w:rFonts w:cstheme="minorHAnsi"/>
        </w:rPr>
        <w:t xml:space="preserve">More detailed consultations occurred from </w:t>
      </w:r>
      <w:r w:rsidR="007E231F">
        <w:rPr>
          <w:rFonts w:cstheme="minorHAnsi"/>
        </w:rPr>
        <w:t>February</w:t>
      </w:r>
      <w:r w:rsidR="007E231F" w:rsidRPr="00603981">
        <w:rPr>
          <w:rFonts w:cstheme="minorHAnsi"/>
        </w:rPr>
        <w:t xml:space="preserve"> </w:t>
      </w:r>
      <w:r w:rsidRPr="00603981">
        <w:rPr>
          <w:rFonts w:cstheme="minorHAnsi"/>
        </w:rPr>
        <w:t xml:space="preserve">to </w:t>
      </w:r>
      <w:r w:rsidR="00BD4A0E">
        <w:rPr>
          <w:rFonts w:cstheme="minorHAnsi"/>
        </w:rPr>
        <w:t>August</w:t>
      </w:r>
      <w:r w:rsidR="00BD4A0E" w:rsidRPr="00603981">
        <w:rPr>
          <w:rFonts w:cstheme="minorHAnsi"/>
        </w:rPr>
        <w:t xml:space="preserve"> </w:t>
      </w:r>
      <w:r w:rsidRPr="00603981">
        <w:rPr>
          <w:rFonts w:cstheme="minorHAnsi"/>
        </w:rPr>
        <w:t xml:space="preserve">2023, with more than </w:t>
      </w:r>
      <w:r w:rsidR="007E231F">
        <w:rPr>
          <w:rFonts w:cstheme="minorHAnsi"/>
        </w:rPr>
        <w:t>45</w:t>
      </w:r>
      <w:r w:rsidR="007E231F" w:rsidRPr="00603981">
        <w:rPr>
          <w:rFonts w:cstheme="minorHAnsi"/>
        </w:rPr>
        <w:t xml:space="preserve"> </w:t>
      </w:r>
      <w:r w:rsidRPr="00603981">
        <w:rPr>
          <w:rFonts w:cstheme="minorHAnsi"/>
        </w:rPr>
        <w:t xml:space="preserve">consultation sessions </w:t>
      </w:r>
      <w:r w:rsidR="0062066E" w:rsidRPr="00603981">
        <w:rPr>
          <w:rFonts w:cstheme="minorHAnsi"/>
        </w:rPr>
        <w:t xml:space="preserve">on this proposal, </w:t>
      </w:r>
      <w:r w:rsidRPr="00603981">
        <w:rPr>
          <w:rFonts w:cstheme="minorHAnsi"/>
        </w:rPr>
        <w:t xml:space="preserve">held with over </w:t>
      </w:r>
      <w:r w:rsidR="007E231F">
        <w:rPr>
          <w:rFonts w:cstheme="minorHAnsi"/>
        </w:rPr>
        <w:t>75</w:t>
      </w:r>
      <w:r w:rsidR="007E231F" w:rsidRPr="00603981">
        <w:rPr>
          <w:rFonts w:cstheme="minorHAnsi"/>
        </w:rPr>
        <w:t xml:space="preserve"> </w:t>
      </w:r>
      <w:r w:rsidRPr="00603981">
        <w:rPr>
          <w:rFonts w:cstheme="minorHAnsi"/>
        </w:rPr>
        <w:t xml:space="preserve">stakeholders. </w:t>
      </w:r>
      <w:bookmarkEnd w:id="35"/>
      <w:r w:rsidRPr="00603981">
        <w:rPr>
          <w:rFonts w:cstheme="minorHAnsi"/>
        </w:rPr>
        <w:t xml:space="preserve">The purpose of these more detailed consultations was to understand concerns </w:t>
      </w:r>
      <w:r w:rsidR="0062066E" w:rsidRPr="00603981">
        <w:rPr>
          <w:rFonts w:cstheme="minorHAnsi"/>
        </w:rPr>
        <w:t xml:space="preserve">and </w:t>
      </w:r>
      <w:r w:rsidRPr="00603981">
        <w:rPr>
          <w:rFonts w:cstheme="minorHAnsi"/>
        </w:rPr>
        <w:t>suggestions</w:t>
      </w:r>
      <w:r w:rsidR="0062066E" w:rsidRPr="00603981">
        <w:rPr>
          <w:rFonts w:cstheme="minorHAnsi"/>
        </w:rPr>
        <w:t xml:space="preserve"> that</w:t>
      </w:r>
      <w:r w:rsidRPr="00603981">
        <w:rPr>
          <w:rFonts w:cstheme="minorHAnsi"/>
        </w:rPr>
        <w:t xml:space="preserve"> stakeholders </w:t>
      </w:r>
      <w:r w:rsidR="00F1114C" w:rsidRPr="00603981">
        <w:rPr>
          <w:rFonts w:cstheme="minorHAnsi"/>
        </w:rPr>
        <w:t>had</w:t>
      </w:r>
      <w:r w:rsidRPr="00603981">
        <w:rPr>
          <w:rFonts w:cstheme="minorHAnsi"/>
        </w:rPr>
        <w:t xml:space="preserve"> in relation to implementing this proposal, test key policy parameters with stakeholders, and inform</w:t>
      </w:r>
      <w:r w:rsidRPr="00603981" w:rsidDel="00440573">
        <w:rPr>
          <w:rFonts w:cstheme="minorHAnsi"/>
        </w:rPr>
        <w:t xml:space="preserve"> </w:t>
      </w:r>
      <w:r w:rsidRPr="00603981">
        <w:rPr>
          <w:rFonts w:cstheme="minorHAnsi"/>
        </w:rPr>
        <w:t>analysis ahead of final policy decisions being made by Government.</w:t>
      </w:r>
    </w:p>
    <w:p w14:paraId="41EB2995" w14:textId="6C1EB080" w:rsidR="00AE4775" w:rsidRPr="00603981" w:rsidRDefault="00AE4775" w:rsidP="00F207DC">
      <w:pPr>
        <w:spacing w:after="160" w:line="259" w:lineRule="auto"/>
        <w:rPr>
          <w:rFonts w:cstheme="minorHAnsi"/>
        </w:rPr>
      </w:pPr>
      <w:r w:rsidRPr="00603981">
        <w:t xml:space="preserve">In order to support consultation and discussions with stakeholders about the impact of the Government’s proposal, the department also called for written submissions via its public website and direct emails to identified stakeholders. Responses were sought to an initial one page summary of the </w:t>
      </w:r>
      <w:r w:rsidR="000F4030" w:rsidRPr="00603981">
        <w:t>proposal</w:t>
      </w:r>
      <w:r w:rsidRPr="00603981">
        <w:t>, which informed a subsequent detailed Consultation Paper released in April 2023.</w:t>
      </w:r>
    </w:p>
    <w:p w14:paraId="75A70720" w14:textId="0979E119" w:rsidR="00AE4775" w:rsidRPr="00603981" w:rsidRDefault="00AE4775" w:rsidP="00F207DC">
      <w:pPr>
        <w:spacing w:after="160" w:line="259" w:lineRule="auto"/>
      </w:pPr>
      <w:bookmarkStart w:id="36" w:name="_Hlk137808217"/>
      <w:r w:rsidRPr="00603981">
        <w:t xml:space="preserve">The detailed Consultation Paper invited stakeholder views on each aspect of the proposal and anticipated costs and impacts. The department received over 80 written submissions from stakeholders about this </w:t>
      </w:r>
      <w:r w:rsidR="00453D8E" w:rsidRPr="00603981">
        <w:t>proposal</w:t>
      </w:r>
      <w:r w:rsidRPr="00603981">
        <w:t xml:space="preserve">. </w:t>
      </w:r>
      <w:bookmarkEnd w:id="36"/>
      <w:r w:rsidRPr="00603981">
        <w:t>All consultation sessions and written submissions are treated by the department as confidential, to encourage stakeholders to provide frank feedback about proposals and potential impacts on corporate arrangements, individual businesses, and the broader economy (noting some of these details may be commercially sensitive).</w:t>
      </w:r>
    </w:p>
    <w:p w14:paraId="11F07F18" w14:textId="23B54AEF" w:rsidR="4C4B3E80" w:rsidRDefault="329E4457" w:rsidP="4C4B3E80">
      <w:pPr>
        <w:spacing w:after="160" w:line="259" w:lineRule="auto"/>
      </w:pPr>
      <w:r>
        <w:t xml:space="preserve">This was followed by </w:t>
      </w:r>
      <w:r w:rsidR="00D72300">
        <w:t>meeting</w:t>
      </w:r>
      <w:r w:rsidR="07A165CB">
        <w:t>s</w:t>
      </w:r>
      <w:r w:rsidR="00D72300">
        <w:t xml:space="preserve"> of the</w:t>
      </w:r>
      <w:r>
        <w:t xml:space="preserve"> </w:t>
      </w:r>
      <w:r w:rsidR="09485578">
        <w:t>NWRCC and of Workplace Relations Ministers</w:t>
      </w:r>
      <w:r w:rsidR="30976FF1">
        <w:t xml:space="preserve"> to discuss the </w:t>
      </w:r>
      <w:r w:rsidR="74052A2D">
        <w:t>Government’s proposals</w:t>
      </w:r>
      <w:r w:rsidR="30976FF1">
        <w:t xml:space="preserve"> </w:t>
      </w:r>
      <w:r w:rsidR="2A30E541">
        <w:t xml:space="preserve">at a high level </w:t>
      </w:r>
      <w:r w:rsidR="30976FF1">
        <w:t xml:space="preserve">on 8 June 2023. Both meetings were Chaired by the Minister for </w:t>
      </w:r>
      <w:r w:rsidR="001163E7">
        <w:t xml:space="preserve">Employment and </w:t>
      </w:r>
      <w:r w:rsidR="30976FF1">
        <w:t>Workplac</w:t>
      </w:r>
      <w:r w:rsidR="13886835">
        <w:t xml:space="preserve">e Relations. </w:t>
      </w:r>
    </w:p>
    <w:p w14:paraId="4B4F9FC1" w14:textId="0597CB7F" w:rsidR="4310BA60" w:rsidRPr="00603981" w:rsidRDefault="4310BA60" w:rsidP="00F207DC">
      <w:pPr>
        <w:spacing w:after="160" w:line="259" w:lineRule="auto"/>
        <w:rPr>
          <w:rFonts w:eastAsiaTheme="minorEastAsia"/>
        </w:rPr>
      </w:pPr>
      <w:r w:rsidRPr="00603981">
        <w:t xml:space="preserve">The department held a further full day of </w:t>
      </w:r>
      <w:r w:rsidR="0473058D" w:rsidRPr="00603981">
        <w:t>consultations</w:t>
      </w:r>
      <w:r w:rsidRPr="00603981">
        <w:t xml:space="preserve"> with key </w:t>
      </w:r>
      <w:r w:rsidR="72C4A868" w:rsidRPr="00603981">
        <w:t xml:space="preserve">employer and union </w:t>
      </w:r>
      <w:r w:rsidRPr="00603981">
        <w:t>stakeholder</w:t>
      </w:r>
      <w:r w:rsidR="62ED23FC" w:rsidRPr="00603981">
        <w:t>s</w:t>
      </w:r>
      <w:r w:rsidRPr="00603981">
        <w:t xml:space="preserve"> on 16 June 2023</w:t>
      </w:r>
      <w:r w:rsidR="34CA45F9" w:rsidRPr="00603981">
        <w:t xml:space="preserve">. </w:t>
      </w:r>
      <w:r w:rsidR="7EDFD6A1" w:rsidRPr="00603981">
        <w:rPr>
          <w:rFonts w:eastAsiaTheme="minorEastAsia"/>
        </w:rPr>
        <w:t>Participants provided the department with feedback, examples and suggested options in response to the details discussed</w:t>
      </w:r>
      <w:r w:rsidR="34CA45F9" w:rsidRPr="00603981">
        <w:rPr>
          <w:rFonts w:eastAsiaTheme="minorEastAsia"/>
        </w:rPr>
        <w:t>.</w:t>
      </w:r>
    </w:p>
    <w:p w14:paraId="23C95A33" w14:textId="6E2E034D" w:rsidR="00AE4775" w:rsidRPr="00603981" w:rsidRDefault="00AE4775" w:rsidP="00F207DC">
      <w:pPr>
        <w:spacing w:after="160" w:line="259" w:lineRule="auto"/>
      </w:pPr>
      <w:r w:rsidRPr="00603981">
        <w:t>In addition to views provided in response to consultation conducted directly by the department, the department als</w:t>
      </w:r>
      <w:r w:rsidR="00217AE0" w:rsidRPr="00603981">
        <w:t>o</w:t>
      </w:r>
      <w:r w:rsidRPr="00603981">
        <w:t xml:space="preserve"> considered various stakeholder views </w:t>
      </w:r>
      <w:r w:rsidR="00985387">
        <w:t xml:space="preserve">that informed </w:t>
      </w:r>
      <w:r w:rsidRPr="00603981">
        <w:t>the Third Interim Report, EPEW</w:t>
      </w:r>
      <w:r w:rsidR="00F94580" w:rsidRPr="00603981">
        <w:t> </w:t>
      </w:r>
      <w:r w:rsidRPr="00603981">
        <w:t>Report, and Victorian Inquiry</w:t>
      </w:r>
      <w:r w:rsidR="00863446" w:rsidRPr="00603981">
        <w:t xml:space="preserve"> Report</w:t>
      </w:r>
      <w:r w:rsidRPr="00603981">
        <w:t xml:space="preserve">. Each of those </w:t>
      </w:r>
      <w:r w:rsidR="00EA1811">
        <w:t>reports</w:t>
      </w:r>
      <w:r w:rsidR="00EA1811" w:rsidRPr="00603981">
        <w:t xml:space="preserve"> </w:t>
      </w:r>
      <w:r w:rsidRPr="00603981">
        <w:t xml:space="preserve">was informed by extensive stakeholder consultation, and collectively, received more than 900 written submissions </w:t>
      </w:r>
      <w:r w:rsidR="00EA1811">
        <w:t>accompanied by</w:t>
      </w:r>
      <w:r w:rsidRPr="00603981">
        <w:t xml:space="preserve"> 140 hearings.</w:t>
      </w:r>
    </w:p>
    <w:p w14:paraId="64BB5432" w14:textId="36C6944E" w:rsidR="00092E60" w:rsidRDefault="00092E60" w:rsidP="00F207DC">
      <w:pPr>
        <w:spacing w:after="160" w:line="259" w:lineRule="auto"/>
      </w:pPr>
      <w:r>
        <w:lastRenderedPageBreak/>
        <w:t xml:space="preserve">Following further </w:t>
      </w:r>
      <w:r w:rsidR="009B0FA5">
        <w:t xml:space="preserve">stakeholder </w:t>
      </w:r>
      <w:r>
        <w:t xml:space="preserve">consultations in </w:t>
      </w:r>
      <w:r w:rsidR="00C44501">
        <w:t>mid-2023</w:t>
      </w:r>
      <w:r w:rsidR="007914CB">
        <w:t xml:space="preserve"> on </w:t>
      </w:r>
      <w:r w:rsidR="008F4E5E">
        <w:t xml:space="preserve">a preferred model for </w:t>
      </w:r>
      <w:r w:rsidR="000836C3">
        <w:t>this proposal</w:t>
      </w:r>
      <w:r w:rsidR="008148A9">
        <w:t xml:space="preserve">, and in light of </w:t>
      </w:r>
      <w:r w:rsidR="000B5AF4">
        <w:t>additional stakeholder feedback (including from employer representatives</w:t>
      </w:r>
      <w:r w:rsidR="00704118">
        <w:t xml:space="preserve">), the department gave further consideration to the </w:t>
      </w:r>
      <w:r w:rsidR="00A64A4C">
        <w:t>mechanics</w:t>
      </w:r>
      <w:r w:rsidR="00704118">
        <w:t xml:space="preserve"> of </w:t>
      </w:r>
      <w:r w:rsidR="000836C3">
        <w:t>this</w:t>
      </w:r>
      <w:r w:rsidR="00704118">
        <w:t xml:space="preserve"> measure</w:t>
      </w:r>
      <w:r w:rsidR="00BE3024">
        <w:t>, such as how entitlements might be triggered</w:t>
      </w:r>
      <w:r w:rsidR="00A64A4C">
        <w:t xml:space="preserve"> and the administrative burden on business. </w:t>
      </w:r>
      <w:r w:rsidR="000836C3">
        <w:t xml:space="preserve">This consideration informed the Government’s proposal to have this measure apply by application-only, to provide certainty to business about when obligations apply while still providing labour hire employees and their representatives a pathway to </w:t>
      </w:r>
      <w:r w:rsidR="00466DCD">
        <w:t>being paid at least the rates calculated under a host’s enterprise agreement</w:t>
      </w:r>
      <w:r>
        <w:t xml:space="preserve">.  </w:t>
      </w:r>
    </w:p>
    <w:p w14:paraId="7E962EDD" w14:textId="77777777" w:rsidR="00AE4775" w:rsidRPr="00603981" w:rsidRDefault="00AE4775" w:rsidP="00C3303A">
      <w:pPr>
        <w:pStyle w:val="Heading3"/>
      </w:pPr>
      <w:bookmarkStart w:id="37" w:name="_Toc143696584"/>
      <w:r w:rsidRPr="00603981">
        <w:t>Summary of stakeholders’ main views</w:t>
      </w:r>
      <w:bookmarkEnd w:id="37"/>
    </w:p>
    <w:p w14:paraId="52690DA2" w14:textId="28F1615E" w:rsidR="00AE4775" w:rsidRPr="00603981" w:rsidRDefault="00AE4775" w:rsidP="1D1D530B">
      <w:pPr>
        <w:spacing w:after="160" w:line="259" w:lineRule="auto"/>
      </w:pPr>
      <w:r w:rsidRPr="1D1D530B">
        <w:t>Stakeholders were asked to provide the department with any assumptions, data sources or workings in relation to any assessment of cost</w:t>
      </w:r>
      <w:r w:rsidR="001E3C08" w:rsidRPr="1D1D530B">
        <w:t>s</w:t>
      </w:r>
      <w:r w:rsidRPr="1D1D530B">
        <w:t xml:space="preserve"> that may arise from the</w:t>
      </w:r>
    </w:p>
    <w:p w14:paraId="6290DA68" w14:textId="7529BB4A" w:rsidR="00AE4775" w:rsidRPr="00603981" w:rsidRDefault="00AE4775" w:rsidP="00F207DC">
      <w:pPr>
        <w:spacing w:after="160" w:line="259" w:lineRule="auto"/>
      </w:pPr>
      <w:r w:rsidRPr="1D1D530B">
        <w:t xml:space="preserve"> Government’s proposal. Stakeholders were also invited to comment on any other positive or negative consequences of this proposal that may arise for affected parties (including, where relevant, small business).</w:t>
      </w:r>
    </w:p>
    <w:p w14:paraId="6A17A703" w14:textId="721FC88A" w:rsidR="00AE4775" w:rsidRPr="00603981" w:rsidRDefault="00AE4775" w:rsidP="000F7520">
      <w:pPr>
        <w:keepNext/>
        <w:spacing w:after="160" w:line="259" w:lineRule="auto"/>
        <w:rPr>
          <w:rFonts w:cstheme="minorHAnsi"/>
        </w:rPr>
      </w:pPr>
      <w:r w:rsidRPr="00603981">
        <w:rPr>
          <w:rFonts w:cstheme="minorHAnsi"/>
        </w:rPr>
        <w:t xml:space="preserve">During </w:t>
      </w:r>
      <w:r w:rsidR="00307620">
        <w:rPr>
          <w:rFonts w:cstheme="minorHAnsi"/>
        </w:rPr>
        <w:t>early</w:t>
      </w:r>
      <w:r w:rsidRPr="00603981">
        <w:rPr>
          <w:rFonts w:cstheme="minorHAnsi"/>
        </w:rPr>
        <w:t xml:space="preserve"> consultation, few stakeholders addressed directly the questions set out in the Consultation Paper regarding costs and impacts. </w:t>
      </w:r>
      <w:r w:rsidR="00B72C61" w:rsidRPr="00603981">
        <w:rPr>
          <w:rFonts w:cstheme="minorHAnsi"/>
        </w:rPr>
        <w:t xml:space="preserve">For example, the following </w:t>
      </w:r>
      <w:r w:rsidR="00F31038" w:rsidRPr="00603981">
        <w:rPr>
          <w:rFonts w:cstheme="minorHAnsi"/>
        </w:rPr>
        <w:t>two</w:t>
      </w:r>
      <w:r w:rsidRPr="00603981">
        <w:rPr>
          <w:rFonts w:cstheme="minorHAnsi"/>
        </w:rPr>
        <w:t xml:space="preserve"> employers provided a monetary estimate about what</w:t>
      </w:r>
      <w:r w:rsidRPr="00603981" w:rsidDel="00CF0AAA">
        <w:rPr>
          <w:rFonts w:cstheme="minorHAnsi"/>
        </w:rPr>
        <w:t xml:space="preserve"> </w:t>
      </w:r>
      <w:r w:rsidRPr="00603981">
        <w:rPr>
          <w:rFonts w:cstheme="minorHAnsi"/>
        </w:rPr>
        <w:t>this specific proposal would cost them (noting the information described has been made publicly available by relevant stakeholders, or has been anonymised to avoid disclosing identifying information):</w:t>
      </w:r>
    </w:p>
    <w:p w14:paraId="286F1920" w14:textId="70737161" w:rsidR="00AE4775" w:rsidRPr="00603981" w:rsidRDefault="00AE4775" w:rsidP="000F7520">
      <w:pPr>
        <w:pStyle w:val="ListParagraph"/>
        <w:keepNext/>
        <w:numPr>
          <w:ilvl w:val="0"/>
          <w:numId w:val="13"/>
        </w:numPr>
        <w:spacing w:after="160" w:line="259" w:lineRule="auto"/>
        <w:contextualSpacing w:val="0"/>
      </w:pPr>
      <w:r w:rsidRPr="00603981">
        <w:t>BHP estimated the proposal would cost them $1.3 billion per year.</w:t>
      </w:r>
      <w:r w:rsidRPr="00603981">
        <w:rPr>
          <w:rStyle w:val="FootnoteReference"/>
        </w:rPr>
        <w:footnoteReference w:id="71"/>
      </w:r>
      <w:r w:rsidRPr="00603981" w:rsidDel="003763D0">
        <w:t xml:space="preserve"> </w:t>
      </w:r>
      <w:r w:rsidRPr="00603981">
        <w:t xml:space="preserve">At the department’s request, BHP provided </w:t>
      </w:r>
      <w:r w:rsidR="00A46FB8">
        <w:t>further information</w:t>
      </w:r>
      <w:r w:rsidRPr="00603981">
        <w:t xml:space="preserve"> with respect to this modelling, on a confidential basis. The department has considered </w:t>
      </w:r>
      <w:r w:rsidR="00A46FB8">
        <w:t>this information</w:t>
      </w:r>
      <w:r w:rsidRPr="00603981">
        <w:t xml:space="preserve"> and does not consider that </w:t>
      </w:r>
      <w:r w:rsidR="00A46FB8">
        <w:t>it</w:t>
      </w:r>
      <w:r w:rsidR="00A46FB8" w:rsidRPr="00603981">
        <w:t xml:space="preserve"> </w:t>
      </w:r>
      <w:r w:rsidRPr="00603981">
        <w:t>align</w:t>
      </w:r>
      <w:r w:rsidR="00A46FB8">
        <w:t>s</w:t>
      </w:r>
      <w:r w:rsidRPr="00603981">
        <w:t xml:space="preserve"> with the scope and anticipated application of this proposal. </w:t>
      </w:r>
    </w:p>
    <w:p w14:paraId="49239DD7" w14:textId="1B24B5AE" w:rsidR="00AE4775" w:rsidRPr="00603981" w:rsidRDefault="00AE4775" w:rsidP="00024B72">
      <w:pPr>
        <w:pStyle w:val="ListParagraph"/>
        <w:numPr>
          <w:ilvl w:val="0"/>
          <w:numId w:val="13"/>
        </w:numPr>
        <w:spacing w:after="160" w:line="259" w:lineRule="auto"/>
        <w:contextualSpacing w:val="0"/>
        <w:rPr>
          <w:rFonts w:cstheme="minorHAnsi"/>
        </w:rPr>
      </w:pPr>
      <w:r w:rsidRPr="00603981">
        <w:rPr>
          <w:rFonts w:cstheme="minorHAnsi"/>
        </w:rPr>
        <w:t xml:space="preserve">A meat wholesaler with over 1,500 employees estimated the proposal would cost them $2 million annually, if legislated. The stakeholder did not indicate how many labour hire </w:t>
      </w:r>
      <w:r w:rsidR="00BC34E1">
        <w:rPr>
          <w:rFonts w:cstheme="minorHAnsi"/>
        </w:rPr>
        <w:t>employees</w:t>
      </w:r>
      <w:r w:rsidR="00BC34E1" w:rsidRPr="00603981">
        <w:rPr>
          <w:rFonts w:cstheme="minorHAnsi"/>
        </w:rPr>
        <w:t xml:space="preserve"> </w:t>
      </w:r>
      <w:r w:rsidRPr="00603981">
        <w:rPr>
          <w:rFonts w:cstheme="minorHAnsi"/>
        </w:rPr>
        <w:t xml:space="preserve">they receive in any given </w:t>
      </w:r>
      <w:r w:rsidR="002165C2" w:rsidRPr="00603981">
        <w:rPr>
          <w:rFonts w:cstheme="minorHAnsi"/>
        </w:rPr>
        <w:t>time</w:t>
      </w:r>
      <w:r w:rsidRPr="00603981">
        <w:rPr>
          <w:rFonts w:cstheme="minorHAnsi"/>
        </w:rPr>
        <w:t xml:space="preserve"> period, so the department is unable to determine any potential pay difference between labour hire </w:t>
      </w:r>
      <w:r w:rsidR="00BC34E1">
        <w:rPr>
          <w:rFonts w:cstheme="minorHAnsi"/>
        </w:rPr>
        <w:t>employees</w:t>
      </w:r>
      <w:r w:rsidR="00BC34E1" w:rsidRPr="00603981">
        <w:rPr>
          <w:rFonts w:cstheme="minorHAnsi"/>
        </w:rPr>
        <w:t xml:space="preserve"> </w:t>
      </w:r>
      <w:r w:rsidRPr="00603981">
        <w:rPr>
          <w:rFonts w:cstheme="minorHAnsi"/>
        </w:rPr>
        <w:t xml:space="preserve">and </w:t>
      </w:r>
      <w:r w:rsidR="00BC34E1">
        <w:rPr>
          <w:rFonts w:cstheme="minorHAnsi"/>
        </w:rPr>
        <w:t>their own</w:t>
      </w:r>
      <w:r w:rsidRPr="00603981">
        <w:rPr>
          <w:rFonts w:cstheme="minorHAnsi"/>
        </w:rPr>
        <w:t xml:space="preserve"> employees.</w:t>
      </w:r>
    </w:p>
    <w:p w14:paraId="0842CD14" w14:textId="7ECFC936" w:rsidR="00AE4775" w:rsidRPr="00603981" w:rsidRDefault="00AE4775" w:rsidP="00F207DC">
      <w:pPr>
        <w:spacing w:after="160" w:line="259" w:lineRule="auto"/>
        <w:rPr>
          <w:rFonts w:cstheme="minorHAnsi"/>
        </w:rPr>
      </w:pPr>
      <w:r w:rsidRPr="00603981">
        <w:rPr>
          <w:rFonts w:cstheme="minorHAnsi"/>
        </w:rPr>
        <w:t>Many stakeholders noted during consultation the difficulty in quantifying costs, as pay rates and project costs often vary from business to business or project to project. Others noted that costs will vary depending on business size, composition, and reliance on labour hire. The department acknowledges stakeholders’ views about the complexity associated with quantifying the impacts of the proposal</w:t>
      </w:r>
      <w:r w:rsidR="00F643F9">
        <w:rPr>
          <w:rFonts w:cstheme="minorHAnsi"/>
        </w:rPr>
        <w:t>,</w:t>
      </w:r>
      <w:r w:rsidR="008C185D">
        <w:rPr>
          <w:rFonts w:cstheme="minorHAnsi"/>
        </w:rPr>
        <w:t xml:space="preserve"> </w:t>
      </w:r>
      <w:r w:rsidRPr="00603981">
        <w:rPr>
          <w:rFonts w:cstheme="minorHAnsi"/>
        </w:rPr>
        <w:t xml:space="preserve">which have informed the caveats </w:t>
      </w:r>
      <w:r w:rsidR="00F643F9">
        <w:rPr>
          <w:rFonts w:cstheme="minorHAnsi"/>
        </w:rPr>
        <w:t>in</w:t>
      </w:r>
      <w:r w:rsidRPr="00603981">
        <w:rPr>
          <w:rFonts w:cstheme="minorHAnsi"/>
        </w:rPr>
        <w:t xml:space="preserve"> this analysis about the underpinning assumptions and limitations of the costs </w:t>
      </w:r>
      <w:r w:rsidR="00F643F9">
        <w:rPr>
          <w:rFonts w:cstheme="minorHAnsi"/>
        </w:rPr>
        <w:t>that have been estimated</w:t>
      </w:r>
      <w:r w:rsidRPr="00603981">
        <w:rPr>
          <w:rFonts w:cstheme="minorHAnsi"/>
        </w:rPr>
        <w:t>.</w:t>
      </w:r>
      <w:r w:rsidR="00092E60">
        <w:rPr>
          <w:rFonts w:cstheme="minorHAnsi"/>
        </w:rPr>
        <w:t xml:space="preserve"> </w:t>
      </w:r>
    </w:p>
    <w:p w14:paraId="04E6EBC5" w14:textId="01DAC408" w:rsidR="00AE4775" w:rsidRPr="00603981" w:rsidRDefault="00AE4775" w:rsidP="00F207DC">
      <w:pPr>
        <w:spacing w:after="160" w:line="259" w:lineRule="auto"/>
        <w:rPr>
          <w:rStyle w:val="eop"/>
        </w:rPr>
      </w:pPr>
      <w:r w:rsidRPr="00603981">
        <w:rPr>
          <w:rFonts w:cstheme="minorHAnsi"/>
        </w:rPr>
        <w:t xml:space="preserve">Overall, employer stakeholders identified a number of other </w:t>
      </w:r>
      <w:r w:rsidR="000527F3" w:rsidRPr="00603981">
        <w:rPr>
          <w:rFonts w:cstheme="minorHAnsi"/>
        </w:rPr>
        <w:t xml:space="preserve">perceived </w:t>
      </w:r>
      <w:r w:rsidRPr="00603981">
        <w:rPr>
          <w:rFonts w:cstheme="minorHAnsi"/>
        </w:rPr>
        <w:t xml:space="preserve">negative impacts from the proposal, including on bargaining, productivity, the ability to deal with surge requirements and seasonal fluctuations, inflation, jobs and investment. </w:t>
      </w:r>
      <w:r w:rsidRPr="00603981">
        <w:t xml:space="preserve">For example, employer </w:t>
      </w:r>
      <w:r w:rsidR="000527F3" w:rsidRPr="00603981">
        <w:t xml:space="preserve">representatives </w:t>
      </w:r>
      <w:r w:rsidRPr="00603981">
        <w:t xml:space="preserve">submitted that the proposal could be a disincentive </w:t>
      </w:r>
      <w:r w:rsidR="000527F3" w:rsidRPr="00603981">
        <w:t xml:space="preserve">for labour hire </w:t>
      </w:r>
      <w:r w:rsidR="00BB4770">
        <w:t>employers</w:t>
      </w:r>
      <w:r w:rsidR="00BB4770" w:rsidRPr="00603981">
        <w:t xml:space="preserve"> </w:t>
      </w:r>
      <w:r w:rsidRPr="00603981">
        <w:t xml:space="preserve">to bargain, as bargained agreements that apply to </w:t>
      </w:r>
      <w:r w:rsidR="00503061" w:rsidRPr="00603981">
        <w:t xml:space="preserve">labour hire </w:t>
      </w:r>
      <w:r w:rsidR="00BB4770">
        <w:t>employers</w:t>
      </w:r>
      <w:r w:rsidR="00BB4770" w:rsidRPr="00603981">
        <w:t xml:space="preserve"> </w:t>
      </w:r>
      <w:r w:rsidRPr="00603981">
        <w:t xml:space="preserve">and their employees will be ‘overridden’ by host enterprise agreement wage rates where they are higher. The department </w:t>
      </w:r>
      <w:r w:rsidR="005D7677" w:rsidRPr="00603981">
        <w:t xml:space="preserve">notes </w:t>
      </w:r>
      <w:r w:rsidRPr="00603981">
        <w:t>that</w:t>
      </w:r>
      <w:r w:rsidR="002A2796">
        <w:t xml:space="preserve"> </w:t>
      </w:r>
      <w:r w:rsidRPr="00603981">
        <w:t xml:space="preserve">the risk of </w:t>
      </w:r>
      <w:r w:rsidR="00503061" w:rsidRPr="00603981">
        <w:t xml:space="preserve">labour hire </w:t>
      </w:r>
      <w:r w:rsidR="002A2796">
        <w:t>employers</w:t>
      </w:r>
      <w:r w:rsidR="002A2796" w:rsidRPr="00603981">
        <w:t xml:space="preserve"> </w:t>
      </w:r>
      <w:r w:rsidRPr="00603981">
        <w:t>seeking to avoid enterprise bargaining</w:t>
      </w:r>
      <w:r w:rsidR="002A2796">
        <w:t xml:space="preserve"> in the wake of this proposal</w:t>
      </w:r>
      <w:r w:rsidRPr="00603981">
        <w:t xml:space="preserve"> is mitigated (at least, to a degree) by</w:t>
      </w:r>
      <w:r w:rsidRPr="00603981" w:rsidDel="00203361">
        <w:t xml:space="preserve"> </w:t>
      </w:r>
      <w:r w:rsidRPr="00603981">
        <w:t xml:space="preserve">the recent </w:t>
      </w:r>
      <w:r w:rsidR="00FD2623" w:rsidRPr="00603981">
        <w:t xml:space="preserve">enterprise </w:t>
      </w:r>
      <w:r w:rsidR="00FD2623" w:rsidRPr="00603981">
        <w:rPr>
          <w:rStyle w:val="normaltextrun"/>
          <w:color w:val="000000"/>
          <w:shd w:val="clear" w:color="auto" w:fill="FFFFFF"/>
        </w:rPr>
        <w:t xml:space="preserve">bargaining </w:t>
      </w:r>
      <w:r w:rsidRPr="00603981">
        <w:t xml:space="preserve">reforms </w:t>
      </w:r>
      <w:r w:rsidR="00FD2623">
        <w:t>in</w:t>
      </w:r>
      <w:r w:rsidRPr="00603981">
        <w:rPr>
          <w:rStyle w:val="normaltextrun"/>
          <w:color w:val="000000"/>
          <w:shd w:val="clear" w:color="auto" w:fill="FFFFFF"/>
        </w:rPr>
        <w:t xml:space="preserve"> the </w:t>
      </w:r>
      <w:r w:rsidRPr="00603981">
        <w:rPr>
          <w:rStyle w:val="normaltextrun"/>
          <w:i/>
          <w:iCs/>
          <w:color w:val="000000"/>
          <w:shd w:val="clear" w:color="auto" w:fill="FFFFFF"/>
        </w:rPr>
        <w:t>Fair Work Legislation Amendment (Secure Jobs, Better Pay Act) 2022</w:t>
      </w:r>
      <w:r w:rsidR="0015013D" w:rsidRPr="00603981">
        <w:rPr>
          <w:rStyle w:val="normaltextrun"/>
          <w:color w:val="000000"/>
          <w:shd w:val="clear" w:color="auto" w:fill="FFFFFF"/>
        </w:rPr>
        <w:t xml:space="preserve">. These </w:t>
      </w:r>
      <w:r w:rsidRPr="00603981">
        <w:rPr>
          <w:rStyle w:val="normaltextrun"/>
          <w:color w:val="000000"/>
          <w:shd w:val="clear" w:color="auto" w:fill="FFFFFF"/>
        </w:rPr>
        <w:t>includ</w:t>
      </w:r>
      <w:r w:rsidR="0015013D" w:rsidRPr="00603981">
        <w:rPr>
          <w:rStyle w:val="normaltextrun"/>
          <w:color w:val="000000"/>
          <w:shd w:val="clear" w:color="auto" w:fill="FFFFFF"/>
        </w:rPr>
        <w:t>e</w:t>
      </w:r>
      <w:r w:rsidRPr="00603981">
        <w:rPr>
          <w:rStyle w:val="normaltextrun"/>
          <w:color w:val="000000"/>
          <w:shd w:val="clear" w:color="auto" w:fill="FFFFFF"/>
        </w:rPr>
        <w:t xml:space="preserve"> reforms to make it easier </w:t>
      </w:r>
      <w:r w:rsidRPr="00603981">
        <w:rPr>
          <w:rStyle w:val="normaltextrun"/>
          <w:color w:val="000000"/>
          <w:shd w:val="clear" w:color="auto" w:fill="FFFFFF"/>
        </w:rPr>
        <w:lastRenderedPageBreak/>
        <w:t>for employees to commence bargaining for a replacement agreement and to strengthen the Fair</w:t>
      </w:r>
      <w:r w:rsidR="00FD2623">
        <w:rPr>
          <w:rStyle w:val="normaltextrun"/>
          <w:color w:val="000000"/>
          <w:shd w:val="clear" w:color="auto" w:fill="FFFFFF"/>
        </w:rPr>
        <w:t> </w:t>
      </w:r>
      <w:r w:rsidRPr="00603981">
        <w:rPr>
          <w:rStyle w:val="normaltextrun"/>
          <w:color w:val="000000"/>
          <w:shd w:val="clear" w:color="auto" w:fill="FFFFFF"/>
        </w:rPr>
        <w:t>Work Commission’s power to resolve intractable bargaining disputes.</w:t>
      </w:r>
    </w:p>
    <w:p w14:paraId="29EF8CCE" w14:textId="5D012910" w:rsidR="00AE4775" w:rsidRPr="00603981" w:rsidRDefault="00AE4775" w:rsidP="00F207DC">
      <w:pPr>
        <w:spacing w:after="160" w:line="259" w:lineRule="auto"/>
        <w:rPr>
          <w:rFonts w:cstheme="minorHAnsi"/>
        </w:rPr>
      </w:pPr>
      <w:r w:rsidRPr="00603981">
        <w:rPr>
          <w:rFonts w:cstheme="minorHAnsi"/>
        </w:rPr>
        <w:t>Employer representatives also submitted that the Government’s proposal would drive up labour costs, making host</w:t>
      </w:r>
      <w:r w:rsidR="00B8536B">
        <w:rPr>
          <w:rFonts w:cstheme="minorHAnsi"/>
        </w:rPr>
        <w:t>s</w:t>
      </w:r>
      <w:r w:rsidRPr="00603981">
        <w:rPr>
          <w:rFonts w:cstheme="minorHAnsi"/>
        </w:rPr>
        <w:t xml:space="preserve"> less likely to use labour hire and lead</w:t>
      </w:r>
      <w:r w:rsidR="007A5427" w:rsidRPr="00603981">
        <w:rPr>
          <w:rFonts w:cstheme="minorHAnsi"/>
        </w:rPr>
        <w:t>ing</w:t>
      </w:r>
      <w:r w:rsidRPr="00603981">
        <w:rPr>
          <w:rFonts w:cstheme="minorHAnsi"/>
        </w:rPr>
        <w:t xml:space="preserve"> to </w:t>
      </w:r>
      <w:r w:rsidR="00503061" w:rsidRPr="00603981">
        <w:rPr>
          <w:rFonts w:cstheme="minorHAnsi"/>
        </w:rPr>
        <w:t xml:space="preserve">labour hire </w:t>
      </w:r>
      <w:r w:rsidR="00B8536B">
        <w:rPr>
          <w:rFonts w:cstheme="minorHAnsi"/>
        </w:rPr>
        <w:t>employers</w:t>
      </w:r>
      <w:r w:rsidR="00B8536B" w:rsidRPr="00603981">
        <w:rPr>
          <w:rFonts w:cstheme="minorHAnsi"/>
        </w:rPr>
        <w:t xml:space="preserve"> </w:t>
      </w:r>
      <w:r w:rsidRPr="00603981">
        <w:rPr>
          <w:rFonts w:cstheme="minorHAnsi"/>
        </w:rPr>
        <w:t xml:space="preserve">becoming unprofitable and ceasing operations. Employer stakeholders submitted that this, in turn, would lead to losses in productivity as hosts would not be able to access labour hire when they need to. </w:t>
      </w:r>
    </w:p>
    <w:p w14:paraId="65F98311" w14:textId="0FD4B253" w:rsidR="00AE4775" w:rsidRPr="00603981" w:rsidRDefault="00AE4775" w:rsidP="00F207DC">
      <w:pPr>
        <w:spacing w:after="160" w:line="259" w:lineRule="auto"/>
        <w:rPr>
          <w:rFonts w:cstheme="minorHAnsi"/>
        </w:rPr>
      </w:pPr>
      <w:r w:rsidRPr="00603981">
        <w:rPr>
          <w:rFonts w:cstheme="minorHAnsi"/>
        </w:rPr>
        <w:t xml:space="preserve">While the ‘Closing </w:t>
      </w:r>
      <w:r w:rsidR="0008276C">
        <w:rPr>
          <w:rFonts w:cstheme="minorHAnsi"/>
        </w:rPr>
        <w:t xml:space="preserve">the </w:t>
      </w:r>
      <w:r w:rsidRPr="00603981">
        <w:rPr>
          <w:rFonts w:cstheme="minorHAnsi"/>
        </w:rPr>
        <w:t>labour hire loophole’ proposal will lead to increased labour costs in some circumstances,</w:t>
      </w:r>
      <w:r w:rsidRPr="00603981" w:rsidDel="002076F2">
        <w:rPr>
          <w:rFonts w:cstheme="minorHAnsi"/>
        </w:rPr>
        <w:t xml:space="preserve"> the </w:t>
      </w:r>
      <w:r w:rsidRPr="00603981">
        <w:rPr>
          <w:rFonts w:cstheme="minorHAnsi"/>
        </w:rPr>
        <w:t>proposal is intended</w:t>
      </w:r>
      <w:r w:rsidRPr="00603981" w:rsidDel="00CC5440">
        <w:rPr>
          <w:rFonts w:cstheme="minorHAnsi"/>
        </w:rPr>
        <w:t xml:space="preserve"> </w:t>
      </w:r>
      <w:r w:rsidRPr="00603981">
        <w:rPr>
          <w:rFonts w:cstheme="minorHAnsi"/>
        </w:rPr>
        <w:t xml:space="preserve">to </w:t>
      </w:r>
      <w:r w:rsidR="00480DCC">
        <w:rPr>
          <w:rFonts w:cstheme="minorHAnsi"/>
        </w:rPr>
        <w:t xml:space="preserve">protect bargained wages and </w:t>
      </w:r>
      <w:r w:rsidRPr="00603981">
        <w:rPr>
          <w:rFonts w:cstheme="minorHAnsi"/>
        </w:rPr>
        <w:t xml:space="preserve">address pay disparities for labour hire </w:t>
      </w:r>
      <w:r w:rsidR="00480DCC">
        <w:rPr>
          <w:rFonts w:cstheme="minorHAnsi"/>
        </w:rPr>
        <w:t>employees</w:t>
      </w:r>
      <w:r w:rsidR="000C29A7" w:rsidRPr="00603981">
        <w:rPr>
          <w:rFonts w:cstheme="minorHAnsi"/>
        </w:rPr>
        <w:t xml:space="preserve">. It is </w:t>
      </w:r>
      <w:r w:rsidRPr="00603981">
        <w:rPr>
          <w:rFonts w:cstheme="minorHAnsi"/>
        </w:rPr>
        <w:t xml:space="preserve">also </w:t>
      </w:r>
      <w:r w:rsidR="000C29A7" w:rsidRPr="00603981">
        <w:rPr>
          <w:rFonts w:cstheme="minorHAnsi"/>
        </w:rPr>
        <w:t>intended</w:t>
      </w:r>
      <w:r w:rsidRPr="00603981">
        <w:rPr>
          <w:rFonts w:cstheme="minorHAnsi"/>
        </w:rPr>
        <w:t xml:space="preserve"> </w:t>
      </w:r>
      <w:r w:rsidRPr="00603981" w:rsidDel="00A176CA">
        <w:rPr>
          <w:rFonts w:cstheme="minorHAnsi"/>
        </w:rPr>
        <w:t xml:space="preserve">to </w:t>
      </w:r>
      <w:r w:rsidRPr="00603981">
        <w:rPr>
          <w:rFonts w:cstheme="minorHAnsi"/>
        </w:rPr>
        <w:t>remove an economic incentive for host</w:t>
      </w:r>
      <w:r w:rsidR="00480DCC">
        <w:rPr>
          <w:rFonts w:cstheme="minorHAnsi"/>
        </w:rPr>
        <w:t>s</w:t>
      </w:r>
      <w:r w:rsidRPr="00603981">
        <w:rPr>
          <w:rFonts w:cstheme="minorHAnsi"/>
        </w:rPr>
        <w:t xml:space="preserve"> to prioritise externally sourced labour over direct employment, especially where work is ongoing as part of the host</w:t>
      </w:r>
      <w:r w:rsidR="003B7B32">
        <w:rPr>
          <w:rFonts w:cstheme="minorHAnsi"/>
        </w:rPr>
        <w:t>’s</w:t>
      </w:r>
      <w:r w:rsidRPr="00603981">
        <w:rPr>
          <w:rFonts w:cstheme="minorHAnsi"/>
        </w:rPr>
        <w:t xml:space="preserve"> business. If the </w:t>
      </w:r>
      <w:r w:rsidR="00AD795A" w:rsidRPr="00603981">
        <w:rPr>
          <w:rFonts w:cstheme="minorHAnsi"/>
        </w:rPr>
        <w:t>proposal</w:t>
      </w:r>
      <w:r w:rsidRPr="00603981">
        <w:rPr>
          <w:rFonts w:cstheme="minorHAnsi"/>
        </w:rPr>
        <w:t xml:space="preserve"> does result in a reduction in the use of labour hire, an increase in direct employment is reasonable to expect if host</w:t>
      </w:r>
      <w:r w:rsidR="00854ADF">
        <w:rPr>
          <w:rFonts w:cstheme="minorHAnsi"/>
        </w:rPr>
        <w:t>s</w:t>
      </w:r>
      <w:r w:rsidRPr="00603981">
        <w:rPr>
          <w:rFonts w:cstheme="minorHAnsi"/>
        </w:rPr>
        <w:t xml:space="preserve"> still need work to be performed.</w:t>
      </w:r>
    </w:p>
    <w:p w14:paraId="302600EA" w14:textId="536A7CBE" w:rsidR="00AE4775" w:rsidRPr="00603981" w:rsidRDefault="00AE4775" w:rsidP="00F207DC">
      <w:pPr>
        <w:spacing w:after="160" w:line="259" w:lineRule="auto"/>
        <w:rPr>
          <w:rFonts w:cstheme="minorHAnsi"/>
        </w:rPr>
      </w:pPr>
      <w:r w:rsidRPr="00603981">
        <w:rPr>
          <w:rFonts w:cstheme="minorHAnsi"/>
        </w:rPr>
        <w:t xml:space="preserve">Employer </w:t>
      </w:r>
      <w:r w:rsidR="00AD795A" w:rsidRPr="00603981">
        <w:rPr>
          <w:rFonts w:cstheme="minorHAnsi"/>
        </w:rPr>
        <w:t xml:space="preserve">representatives </w:t>
      </w:r>
      <w:r w:rsidRPr="00603981">
        <w:rPr>
          <w:rFonts w:cstheme="minorHAnsi"/>
        </w:rPr>
        <w:t xml:space="preserve">also raised concerns that the </w:t>
      </w:r>
      <w:r w:rsidR="00AD795A" w:rsidRPr="00603981">
        <w:rPr>
          <w:rFonts w:cstheme="minorHAnsi"/>
        </w:rPr>
        <w:t xml:space="preserve">Government’s proposal </w:t>
      </w:r>
      <w:r w:rsidRPr="00603981">
        <w:rPr>
          <w:rFonts w:cstheme="minorHAnsi"/>
        </w:rPr>
        <w:t>would reduce their ability to deal with fluctuations in demand or cover absences. The</w:t>
      </w:r>
      <w:r w:rsidRPr="00603981" w:rsidDel="00B86F16">
        <w:rPr>
          <w:rFonts w:cstheme="minorHAnsi"/>
        </w:rPr>
        <w:t xml:space="preserve"> </w:t>
      </w:r>
      <w:r w:rsidRPr="00603981">
        <w:rPr>
          <w:rFonts w:cstheme="minorHAnsi"/>
        </w:rPr>
        <w:t>proposal does not prohibit host</w:t>
      </w:r>
      <w:r w:rsidR="007E07ED">
        <w:rPr>
          <w:rFonts w:cstheme="minorHAnsi"/>
        </w:rPr>
        <w:t>s</w:t>
      </w:r>
      <w:r w:rsidRPr="00603981">
        <w:rPr>
          <w:rFonts w:cstheme="minorHAnsi"/>
        </w:rPr>
        <w:t xml:space="preserve"> from using labour hire </w:t>
      </w:r>
      <w:r w:rsidRPr="00603981" w:rsidDel="00B86F16">
        <w:rPr>
          <w:rFonts w:cstheme="minorHAnsi"/>
        </w:rPr>
        <w:t xml:space="preserve">to </w:t>
      </w:r>
      <w:r w:rsidRPr="00603981">
        <w:rPr>
          <w:rFonts w:cstheme="minorHAnsi"/>
        </w:rPr>
        <w:t xml:space="preserve">respond to a short-term increase in demand for goods or services, seasonal fluctuations, or to cover temporary absences. Instead, it will ensure that where a host requires labour </w:t>
      </w:r>
      <w:r w:rsidR="00805819" w:rsidRPr="00603981">
        <w:rPr>
          <w:rFonts w:cstheme="minorHAnsi"/>
        </w:rPr>
        <w:t xml:space="preserve">hire </w:t>
      </w:r>
      <w:r w:rsidRPr="00603981">
        <w:rPr>
          <w:rFonts w:cstheme="minorHAnsi"/>
        </w:rPr>
        <w:t>for longer than 3 months</w:t>
      </w:r>
      <w:r w:rsidR="00805819" w:rsidRPr="00603981">
        <w:rPr>
          <w:rFonts w:cstheme="minorHAnsi"/>
        </w:rPr>
        <w:t xml:space="preserve"> (by default)</w:t>
      </w:r>
      <w:r w:rsidRPr="00603981">
        <w:rPr>
          <w:rFonts w:cstheme="minorHAnsi"/>
        </w:rPr>
        <w:t xml:space="preserve">, the labour hire </w:t>
      </w:r>
      <w:r w:rsidR="007E07ED">
        <w:rPr>
          <w:rFonts w:cstheme="minorHAnsi"/>
        </w:rPr>
        <w:t>employees</w:t>
      </w:r>
      <w:r w:rsidR="007E07ED" w:rsidRPr="00603981">
        <w:rPr>
          <w:rFonts w:cstheme="minorHAnsi"/>
        </w:rPr>
        <w:t xml:space="preserve"> </w:t>
      </w:r>
      <w:r w:rsidRPr="00603981">
        <w:rPr>
          <w:rFonts w:cstheme="minorHAnsi"/>
        </w:rPr>
        <w:t xml:space="preserve">must be paid at least </w:t>
      </w:r>
      <w:r w:rsidR="007E07ED">
        <w:rPr>
          <w:rFonts w:cstheme="minorHAnsi"/>
        </w:rPr>
        <w:t xml:space="preserve">the same as the rates in </w:t>
      </w:r>
      <w:r w:rsidRPr="00603981">
        <w:rPr>
          <w:rFonts w:cstheme="minorHAnsi"/>
        </w:rPr>
        <w:t xml:space="preserve">the host’s enterprise agreement. </w:t>
      </w:r>
      <w:r w:rsidR="0090154E">
        <w:rPr>
          <w:rFonts w:cstheme="minorHAnsi"/>
        </w:rPr>
        <w:t xml:space="preserve">Additionally, </w:t>
      </w:r>
      <w:r w:rsidR="00A14871">
        <w:rPr>
          <w:rFonts w:cstheme="minorHAnsi"/>
        </w:rPr>
        <w:t xml:space="preserve">during the application process for a </w:t>
      </w:r>
      <w:r w:rsidR="007E07ED">
        <w:rPr>
          <w:rFonts w:cstheme="minorHAnsi"/>
        </w:rPr>
        <w:t>Fair Work Commission</w:t>
      </w:r>
      <w:r w:rsidR="00A14871">
        <w:rPr>
          <w:rFonts w:cstheme="minorHAnsi"/>
        </w:rPr>
        <w:t xml:space="preserve"> order, host</w:t>
      </w:r>
      <w:r w:rsidR="007E07ED">
        <w:rPr>
          <w:rFonts w:cstheme="minorHAnsi"/>
        </w:rPr>
        <w:t>s</w:t>
      </w:r>
      <w:r w:rsidR="00A14871">
        <w:rPr>
          <w:rFonts w:cstheme="minorHAnsi"/>
        </w:rPr>
        <w:t xml:space="preserve"> can apply to the Fair Work Commission</w:t>
      </w:r>
      <w:r w:rsidRPr="00603981">
        <w:rPr>
          <w:rFonts w:cstheme="minorHAnsi"/>
        </w:rPr>
        <w:t xml:space="preserve"> </w:t>
      </w:r>
      <w:r w:rsidR="00AC2117">
        <w:rPr>
          <w:rFonts w:cstheme="minorHAnsi"/>
        </w:rPr>
        <w:t xml:space="preserve">have the default period extended, or recur annually, </w:t>
      </w:r>
      <w:r w:rsidR="007E07ED">
        <w:rPr>
          <w:rFonts w:cstheme="minorHAnsi"/>
        </w:rPr>
        <w:t>in</w:t>
      </w:r>
      <w:r w:rsidR="00AC2117">
        <w:rPr>
          <w:rFonts w:cstheme="minorHAnsi"/>
        </w:rPr>
        <w:t xml:space="preserve"> exceptional circumstances.</w:t>
      </w:r>
    </w:p>
    <w:p w14:paraId="3CFDCD67" w14:textId="2FC68251" w:rsidR="00AE4775" w:rsidRDefault="00AE4775" w:rsidP="00F207DC">
      <w:pPr>
        <w:spacing w:after="160" w:line="259" w:lineRule="auto"/>
      </w:pPr>
      <w:r w:rsidRPr="00603981">
        <w:t xml:space="preserve">Some employers submitted </w:t>
      </w:r>
      <w:r w:rsidR="0059160F">
        <w:t xml:space="preserve">during consultation </w:t>
      </w:r>
      <w:r w:rsidRPr="00603981">
        <w:t xml:space="preserve">that the </w:t>
      </w:r>
      <w:r w:rsidR="005C2615" w:rsidRPr="00603981">
        <w:t>proposal</w:t>
      </w:r>
      <w:r w:rsidRPr="00603981">
        <w:t xml:space="preserve"> would lead to increases in inflation</w:t>
      </w:r>
      <w:r w:rsidR="0059160F">
        <w:t>,</w:t>
      </w:r>
      <w:r w:rsidRPr="00603981">
        <w:t xml:space="preserve"> due to an increase in wages. This is unlikely, </w:t>
      </w:r>
      <w:r w:rsidR="00B83D3F" w:rsidRPr="00AF1173">
        <w:t xml:space="preserve">given the </w:t>
      </w:r>
      <w:r w:rsidR="008B5473" w:rsidRPr="00AF1173">
        <w:t xml:space="preserve">relative number of </w:t>
      </w:r>
      <w:r w:rsidR="0059160F">
        <w:t>labour hire employees</w:t>
      </w:r>
      <w:r w:rsidR="008B5473" w:rsidRPr="00AF1173">
        <w:t xml:space="preserve"> who could be impact</w:t>
      </w:r>
      <w:r w:rsidR="0059160F">
        <w:t>ed</w:t>
      </w:r>
      <w:r w:rsidR="008B5473" w:rsidRPr="00AF1173">
        <w:t xml:space="preserve"> and entitled to </w:t>
      </w:r>
      <w:r w:rsidR="0059160F">
        <w:t>higher pay</w:t>
      </w:r>
      <w:r w:rsidRPr="00AF1173">
        <w:t>.</w:t>
      </w:r>
      <w:r w:rsidRPr="00603981">
        <w:t xml:space="preserve"> The current inflationary environment has been principally driven by global price shocks, including pandemic-related supply chain disruptions and the Russian invasion of Ukraine. Analysis from the Reserve Bank of Australia (RBA) notes that supply shocks account for around three quarters of the pick</w:t>
      </w:r>
      <w:r w:rsidR="009917F1" w:rsidRPr="00603981">
        <w:t>-</w:t>
      </w:r>
      <w:r w:rsidRPr="00603981">
        <w:t>up in inflation.</w:t>
      </w:r>
      <w:r w:rsidRPr="00603981">
        <w:rPr>
          <w:rStyle w:val="FootnoteReference"/>
        </w:rPr>
        <w:footnoteReference w:id="72"/>
      </w:r>
      <w:r w:rsidRPr="00603981">
        <w:t xml:space="preserve"> While wages growth has increased over the last few years, it has not kept pace with the rapid rise in inflation</w:t>
      </w:r>
      <w:r w:rsidR="00F027AA" w:rsidRPr="00603981">
        <w:t>, and t</w:t>
      </w:r>
      <w:r w:rsidRPr="00603981">
        <w:t xml:space="preserve">he RBA estimates that due to structural differences in the </w:t>
      </w:r>
      <w:r w:rsidR="008C4C62" w:rsidRPr="00603981">
        <w:t>labour market</w:t>
      </w:r>
      <w:r w:rsidRPr="00603981">
        <w:t xml:space="preserve"> since the 1970s, the effect of wage rises on inflation is low.</w:t>
      </w:r>
      <w:r w:rsidRPr="00603981">
        <w:rPr>
          <w:rStyle w:val="FootnoteReference"/>
        </w:rPr>
        <w:footnoteReference w:id="73"/>
      </w:r>
      <w:r w:rsidR="00307620">
        <w:t xml:space="preserve"> </w:t>
      </w:r>
    </w:p>
    <w:p w14:paraId="6FBDAB54" w14:textId="77777777" w:rsidR="00AE4775" w:rsidRPr="00603981" w:rsidRDefault="00AE4775" w:rsidP="00C3303A">
      <w:pPr>
        <w:pStyle w:val="Heading3"/>
      </w:pPr>
      <w:bookmarkStart w:id="38" w:name="_Toc143696585"/>
      <w:r w:rsidRPr="00603981">
        <w:t>Areas of agreement and difference between stakeholders, and how stakeholder views informed the design of the preferred approach (Option 1)</w:t>
      </w:r>
      <w:bookmarkEnd w:id="38"/>
    </w:p>
    <w:p w14:paraId="3274F84B" w14:textId="7A65DE54" w:rsidR="00F808E2" w:rsidRDefault="00AE4775" w:rsidP="00F420F3">
      <w:pPr>
        <w:widowControl w:val="0"/>
        <w:spacing w:after="160" w:line="259" w:lineRule="auto"/>
        <w:rPr>
          <w:rFonts w:cstheme="minorHAnsi"/>
        </w:rPr>
      </w:pPr>
      <w:r w:rsidRPr="00603981">
        <w:rPr>
          <w:rFonts w:cstheme="minorHAnsi"/>
        </w:rPr>
        <w:t xml:space="preserve">The following section summarises areas of agreement and difference between employers and their representatives, and employees and their representatives, expressed </w:t>
      </w:r>
      <w:r w:rsidR="009E27AB" w:rsidRPr="00603981">
        <w:rPr>
          <w:rFonts w:cstheme="minorHAnsi"/>
        </w:rPr>
        <w:t xml:space="preserve">during </w:t>
      </w:r>
      <w:r w:rsidRPr="00603981">
        <w:rPr>
          <w:rFonts w:cstheme="minorHAnsi"/>
        </w:rPr>
        <w:t xml:space="preserve">consultation on </w:t>
      </w:r>
      <w:r w:rsidR="007301C6">
        <w:rPr>
          <w:rFonts w:cstheme="minorHAnsi"/>
        </w:rPr>
        <w:t>this</w:t>
      </w:r>
      <w:r w:rsidRPr="00603981">
        <w:rPr>
          <w:rFonts w:cstheme="minorHAnsi"/>
        </w:rPr>
        <w:t xml:space="preserve"> proposal. The views of individuals </w:t>
      </w:r>
      <w:r w:rsidR="00C2359E">
        <w:rPr>
          <w:rFonts w:cstheme="minorHAnsi"/>
        </w:rPr>
        <w:t>and specific</w:t>
      </w:r>
      <w:r w:rsidRPr="00603981">
        <w:rPr>
          <w:rFonts w:cstheme="minorHAnsi"/>
        </w:rPr>
        <w:t xml:space="preserve"> organisations have not been included, given consultations with the department were undertaken on a confidential basis. </w:t>
      </w:r>
    </w:p>
    <w:tbl>
      <w:tblPr>
        <w:tblStyle w:val="TableGrid"/>
        <w:tblW w:w="0" w:type="auto"/>
        <w:tblLook w:val="04A0" w:firstRow="1" w:lastRow="0" w:firstColumn="1" w:lastColumn="0" w:noHBand="0" w:noVBand="1"/>
      </w:tblPr>
      <w:tblGrid>
        <w:gridCol w:w="1555"/>
        <w:gridCol w:w="7461"/>
      </w:tblGrid>
      <w:tr w:rsidR="00AE4775" w:rsidRPr="00603981" w14:paraId="606705AB" w14:textId="77777777" w:rsidTr="10FE5B95">
        <w:tc>
          <w:tcPr>
            <w:tcW w:w="9016" w:type="dxa"/>
            <w:gridSpan w:val="2"/>
            <w:shd w:val="clear" w:color="auto" w:fill="404246"/>
          </w:tcPr>
          <w:p w14:paraId="07D3B8D9" w14:textId="31AD242D" w:rsidR="00AE4775" w:rsidRPr="00603981" w:rsidRDefault="00AE4775" w:rsidP="00F420F3">
            <w:pPr>
              <w:widowControl w:val="0"/>
              <w:spacing w:before="120" w:after="120" w:line="259" w:lineRule="auto"/>
              <w:rPr>
                <w:rFonts w:cstheme="minorHAnsi"/>
              </w:rPr>
            </w:pPr>
            <w:r w:rsidRPr="00603981">
              <w:rPr>
                <w:rFonts w:cstheme="minorHAnsi"/>
                <w:b/>
                <w:bCs/>
                <w:color w:val="FFFFFF" w:themeColor="background1"/>
              </w:rPr>
              <w:t xml:space="preserve">1. </w:t>
            </w:r>
            <w:r w:rsidR="00C2359E" w:rsidRPr="00C2359E">
              <w:rPr>
                <w:rFonts w:cstheme="minorHAnsi"/>
                <w:b/>
                <w:bCs/>
                <w:color w:val="FFFFFF" w:themeColor="background1"/>
              </w:rPr>
              <w:t>When the measure is activated</w:t>
            </w:r>
          </w:p>
        </w:tc>
      </w:tr>
      <w:tr w:rsidR="00AE4775" w:rsidRPr="00603981" w14:paraId="0DB6C86E" w14:textId="77777777" w:rsidTr="10FE5B95">
        <w:tc>
          <w:tcPr>
            <w:tcW w:w="1555" w:type="dxa"/>
            <w:shd w:val="clear" w:color="auto" w:fill="7A9F4C"/>
          </w:tcPr>
          <w:p w14:paraId="6B514ABC" w14:textId="77777777" w:rsidR="00AE4775" w:rsidRPr="00603981" w:rsidRDefault="00AE4775" w:rsidP="00F420F3">
            <w:pPr>
              <w:widowControl w:val="0"/>
              <w:spacing w:before="120" w:after="120" w:line="259" w:lineRule="auto"/>
              <w:rPr>
                <w:b/>
                <w:bCs/>
                <w:color w:val="FFFFFF" w:themeColor="background1"/>
                <w:sz w:val="24"/>
                <w:szCs w:val="24"/>
              </w:rPr>
            </w:pPr>
            <w:r w:rsidRPr="00603981">
              <w:rPr>
                <w:rFonts w:cstheme="minorHAnsi"/>
                <w:b/>
                <w:bCs/>
                <w:color w:val="FFFFFF" w:themeColor="background1"/>
              </w:rPr>
              <w:t>Areas of agreement</w:t>
            </w:r>
          </w:p>
        </w:tc>
        <w:tc>
          <w:tcPr>
            <w:tcW w:w="7461" w:type="dxa"/>
          </w:tcPr>
          <w:p w14:paraId="507F6E80" w14:textId="6B9EAE8F" w:rsidR="001E3EAC" w:rsidRDefault="001E3EAC" w:rsidP="00F420F3">
            <w:pPr>
              <w:widowControl w:val="0"/>
              <w:spacing w:before="120" w:after="120" w:line="259" w:lineRule="auto"/>
            </w:pPr>
            <w:r>
              <w:t xml:space="preserve">This proposal having an application-based model was not expressly referred to in the department’s Consultation paper, but </w:t>
            </w:r>
            <w:r w:rsidR="0062794C">
              <w:t xml:space="preserve">the scope of this proposal, </w:t>
            </w:r>
            <w:r w:rsidR="006E6760">
              <w:t xml:space="preserve">questions about when and how obligations under this measure would be activated and </w:t>
            </w:r>
            <w:r w:rsidR="006E6760">
              <w:lastRenderedPageBreak/>
              <w:t>imposed on businesses</w:t>
            </w:r>
            <w:r w:rsidR="0062794C">
              <w:t>,</w:t>
            </w:r>
            <w:r w:rsidR="006E6760">
              <w:t xml:space="preserve"> was a central point of discussion.</w:t>
            </w:r>
          </w:p>
          <w:p w14:paraId="249241A4" w14:textId="01CFFC8C" w:rsidR="00E152A9" w:rsidRPr="00603981" w:rsidRDefault="00AE4775" w:rsidP="00F420F3">
            <w:pPr>
              <w:widowControl w:val="0"/>
              <w:spacing w:before="120" w:after="120" w:line="259" w:lineRule="auto"/>
            </w:pPr>
            <w:r w:rsidRPr="00603981">
              <w:t xml:space="preserve">Employers and employee groups generally did not agree on the scope of the proposal, including who should be captured. </w:t>
            </w:r>
            <w:r w:rsidR="18936858" w:rsidRPr="00603981">
              <w:t xml:space="preserve">There </w:t>
            </w:r>
            <w:r w:rsidR="004439BB">
              <w:t>was</w:t>
            </w:r>
            <w:r w:rsidR="004439BB" w:rsidRPr="00603981">
              <w:t xml:space="preserve"> </w:t>
            </w:r>
            <w:r w:rsidR="18936858" w:rsidRPr="00603981">
              <w:t xml:space="preserve">some level of agreement between stakeholders that labour hire should not be used to </w:t>
            </w:r>
            <w:r w:rsidR="004439BB">
              <w:t xml:space="preserve">deliberately </w:t>
            </w:r>
            <w:r w:rsidR="18936858" w:rsidRPr="00603981">
              <w:t xml:space="preserve">undercut enterprise agreements and that </w:t>
            </w:r>
            <w:r w:rsidR="00A549FF">
              <w:t>businesses</w:t>
            </w:r>
            <w:r w:rsidR="002F519B" w:rsidRPr="00603981">
              <w:t xml:space="preserve"> </w:t>
            </w:r>
            <w:r w:rsidR="00A549FF">
              <w:t xml:space="preserve">that </w:t>
            </w:r>
            <w:r w:rsidR="002F519B" w:rsidRPr="00603981">
              <w:t>engage in sharp business practices to undercut bargained wages</w:t>
            </w:r>
            <w:r w:rsidR="18936858" w:rsidRPr="00603981">
              <w:t xml:space="preserve"> </w:t>
            </w:r>
            <w:r w:rsidR="1022C939" w:rsidRPr="00603981">
              <w:t xml:space="preserve">should be the focus of </w:t>
            </w:r>
            <w:r w:rsidR="00B27342" w:rsidRPr="00603981">
              <w:t>the proposal</w:t>
            </w:r>
            <w:r w:rsidR="18936858" w:rsidRPr="00603981">
              <w:t>. Stakeholders disagree about the extent to which this occur</w:t>
            </w:r>
            <w:r w:rsidR="00E152A9" w:rsidRPr="00603981">
              <w:t>s</w:t>
            </w:r>
            <w:r w:rsidR="18936858" w:rsidRPr="00603981">
              <w:t>, if at all.</w:t>
            </w:r>
            <w:r w:rsidR="2974507F" w:rsidRPr="00603981">
              <w:t xml:space="preserve"> </w:t>
            </w:r>
          </w:p>
          <w:p w14:paraId="28ACF16E" w14:textId="23044CE3" w:rsidR="00AE4775" w:rsidRPr="00603981" w:rsidRDefault="2974507F" w:rsidP="00F420F3">
            <w:pPr>
              <w:widowControl w:val="0"/>
              <w:spacing w:before="120" w:after="120" w:line="259" w:lineRule="auto"/>
            </w:pPr>
            <w:r w:rsidRPr="00603981">
              <w:t xml:space="preserve">Similarly, there is some </w:t>
            </w:r>
            <w:r w:rsidR="00404626" w:rsidRPr="00603981">
              <w:t>level</w:t>
            </w:r>
            <w:r w:rsidRPr="00603981">
              <w:t xml:space="preserve"> of agreement that an </w:t>
            </w:r>
            <w:r w:rsidR="263D1707" w:rsidRPr="00603981">
              <w:t xml:space="preserve">exemption </w:t>
            </w:r>
            <w:r w:rsidRPr="00603981">
              <w:t xml:space="preserve">for the use of ‘specialist’ skills </w:t>
            </w:r>
            <w:r w:rsidR="4752F610" w:rsidRPr="00603981">
              <w:t>should be considered</w:t>
            </w:r>
            <w:r w:rsidR="00C92CCE" w:rsidRPr="00603981">
              <w:t>, though s</w:t>
            </w:r>
            <w:r w:rsidR="4752F610" w:rsidRPr="00603981">
              <w:t xml:space="preserve">takeholders </w:t>
            </w:r>
            <w:r w:rsidR="00C92CCE" w:rsidRPr="00603981">
              <w:t>generally</w:t>
            </w:r>
            <w:r w:rsidR="4752F610" w:rsidRPr="00603981">
              <w:t xml:space="preserve"> disagree about the extent of any specialist exemption.</w:t>
            </w:r>
          </w:p>
        </w:tc>
      </w:tr>
      <w:tr w:rsidR="00AE4775" w:rsidRPr="00603981" w14:paraId="0D41B6B8" w14:textId="77777777" w:rsidTr="10FE5B95">
        <w:tc>
          <w:tcPr>
            <w:tcW w:w="1555" w:type="dxa"/>
            <w:shd w:val="clear" w:color="auto" w:fill="5D7A38"/>
          </w:tcPr>
          <w:p w14:paraId="3833D1AB" w14:textId="77777777" w:rsidR="00AE4775" w:rsidRPr="00603981" w:rsidRDefault="00AE4775" w:rsidP="00F420F3">
            <w:pPr>
              <w:widowControl w:val="0"/>
              <w:spacing w:before="120" w:after="120" w:line="259" w:lineRule="auto"/>
              <w:rPr>
                <w:rFonts w:cstheme="minorHAnsi"/>
                <w:b/>
                <w:bCs/>
                <w:color w:val="FFFFFF" w:themeColor="background1"/>
              </w:rPr>
            </w:pPr>
            <w:r w:rsidRPr="00603981">
              <w:rPr>
                <w:rFonts w:cstheme="minorHAnsi"/>
                <w:b/>
                <w:bCs/>
                <w:color w:val="FFFFFF" w:themeColor="background1"/>
              </w:rPr>
              <w:lastRenderedPageBreak/>
              <w:t xml:space="preserve">Areas of difference </w:t>
            </w:r>
          </w:p>
          <w:p w14:paraId="36FF5F51" w14:textId="77777777" w:rsidR="00AE4775" w:rsidRPr="00603981" w:rsidRDefault="00AE4775" w:rsidP="00F420F3">
            <w:pPr>
              <w:widowControl w:val="0"/>
              <w:spacing w:before="120" w:after="120" w:line="259" w:lineRule="auto"/>
              <w:rPr>
                <w:b/>
                <w:bCs/>
                <w:color w:val="FFFFFF" w:themeColor="background1"/>
                <w:sz w:val="24"/>
                <w:szCs w:val="24"/>
              </w:rPr>
            </w:pPr>
          </w:p>
        </w:tc>
        <w:tc>
          <w:tcPr>
            <w:tcW w:w="7461" w:type="dxa"/>
          </w:tcPr>
          <w:p w14:paraId="42DBD12D" w14:textId="736BC7F3" w:rsidR="00AE4775" w:rsidRPr="00603981" w:rsidRDefault="00AE4775" w:rsidP="00F420F3">
            <w:pPr>
              <w:widowControl w:val="0"/>
              <w:spacing w:before="120" w:after="120" w:line="259" w:lineRule="auto"/>
              <w:rPr>
                <w:rFonts w:cstheme="minorHAnsi"/>
              </w:rPr>
            </w:pPr>
            <w:r w:rsidRPr="00603981">
              <w:rPr>
                <w:rFonts w:cstheme="minorHAnsi"/>
              </w:rPr>
              <w:t xml:space="preserve">Employers generally wanted a narrow scope and suggested this proposal should be limited to ‘traditional’ labour hire arrangements (that is, where third party labour hire </w:t>
            </w:r>
            <w:r w:rsidR="00F362A7">
              <w:rPr>
                <w:rFonts w:cstheme="minorHAnsi"/>
              </w:rPr>
              <w:t>employers</w:t>
            </w:r>
            <w:r w:rsidR="00F362A7" w:rsidRPr="00603981">
              <w:rPr>
                <w:rFonts w:cstheme="minorHAnsi"/>
              </w:rPr>
              <w:t xml:space="preserve"> </w:t>
            </w:r>
            <w:r w:rsidRPr="00603981">
              <w:rPr>
                <w:rFonts w:cstheme="minorHAnsi"/>
              </w:rPr>
              <w:t xml:space="preserve">provide </w:t>
            </w:r>
            <w:r w:rsidR="00F362A7">
              <w:rPr>
                <w:rFonts w:cstheme="minorHAnsi"/>
              </w:rPr>
              <w:t>employees</w:t>
            </w:r>
            <w:r w:rsidRPr="00603981">
              <w:rPr>
                <w:rFonts w:cstheme="minorHAnsi"/>
              </w:rPr>
              <w:t xml:space="preserve"> to work in a host business). </w:t>
            </w:r>
            <w:r w:rsidRPr="00603981">
              <w:t xml:space="preserve">Where employers made submissions about defining ‘labour hire’ for the purpose of this proposal, they generally favoured the definition found in the </w:t>
            </w:r>
            <w:r w:rsidRPr="00603981">
              <w:rPr>
                <w:i/>
              </w:rPr>
              <w:t>Labour Hire Licensing Act 2018</w:t>
            </w:r>
            <w:r w:rsidRPr="00603981">
              <w:t xml:space="preserve"> (Vic),</w:t>
            </w:r>
            <w:r w:rsidRPr="00603981">
              <w:rPr>
                <w:rStyle w:val="FootnoteReference"/>
              </w:rPr>
              <w:footnoteReference w:id="74"/>
            </w:r>
            <w:r w:rsidRPr="00603981">
              <w:t xml:space="preserve"> or the definition of ‘on-hire’ set out in modern awards.</w:t>
            </w:r>
            <w:r w:rsidRPr="00603981">
              <w:rPr>
                <w:rStyle w:val="FootnoteReference"/>
              </w:rPr>
              <w:footnoteReference w:id="75"/>
            </w:r>
          </w:p>
          <w:p w14:paraId="4C011DC9" w14:textId="792B85F4" w:rsidR="00AE4775" w:rsidRPr="00603981" w:rsidRDefault="00AE4775" w:rsidP="00F420F3">
            <w:pPr>
              <w:widowControl w:val="0"/>
              <w:spacing w:before="120" w:after="120" w:line="259" w:lineRule="auto"/>
              <w:rPr>
                <w:rFonts w:cstheme="minorHAnsi"/>
              </w:rPr>
            </w:pPr>
            <w:r w:rsidRPr="00603981">
              <w:rPr>
                <w:rFonts w:cstheme="minorHAnsi"/>
              </w:rPr>
              <w:t>Many employers and their representatives suggested various exclusions from the scope of the proposal.</w:t>
            </w:r>
            <w:r w:rsidRPr="00603981" w:rsidDel="005E53DA">
              <w:rPr>
                <w:rFonts w:cstheme="minorHAnsi"/>
              </w:rPr>
              <w:t xml:space="preserve"> </w:t>
            </w:r>
            <w:r w:rsidRPr="00603981">
              <w:rPr>
                <w:rFonts w:cstheme="minorHAnsi"/>
              </w:rPr>
              <w:t>These included service contracting and outsourcing arrangements, independent contractors, entities within the same corporate group, high-income earners, surge periods</w:t>
            </w:r>
            <w:r w:rsidR="007E58D1" w:rsidRPr="00603981">
              <w:rPr>
                <w:rFonts w:cstheme="minorHAnsi"/>
              </w:rPr>
              <w:t>,</w:t>
            </w:r>
            <w:r w:rsidRPr="00603981">
              <w:rPr>
                <w:rFonts w:cstheme="minorHAnsi"/>
              </w:rPr>
              <w:t xml:space="preserve"> </w:t>
            </w:r>
            <w:r w:rsidR="00F6169A">
              <w:rPr>
                <w:rFonts w:cstheme="minorHAnsi"/>
              </w:rPr>
              <w:t xml:space="preserve">small businesses </w:t>
            </w:r>
            <w:r w:rsidRPr="00603981">
              <w:rPr>
                <w:rFonts w:cstheme="minorHAnsi"/>
              </w:rPr>
              <w:t xml:space="preserve">and </w:t>
            </w:r>
            <w:r w:rsidR="00503061" w:rsidRPr="00603981">
              <w:rPr>
                <w:rFonts w:cstheme="minorHAnsi"/>
              </w:rPr>
              <w:t xml:space="preserve">labour hire </w:t>
            </w:r>
            <w:r w:rsidR="0072566F">
              <w:rPr>
                <w:rFonts w:cstheme="minorHAnsi"/>
              </w:rPr>
              <w:t>employers</w:t>
            </w:r>
            <w:r w:rsidR="0072566F" w:rsidRPr="00603981">
              <w:rPr>
                <w:rFonts w:cstheme="minorHAnsi"/>
              </w:rPr>
              <w:t xml:space="preserve"> </w:t>
            </w:r>
            <w:r w:rsidRPr="00603981">
              <w:rPr>
                <w:rFonts w:cstheme="minorHAnsi"/>
              </w:rPr>
              <w:t>covered by an enterprise agreement of their own.</w:t>
            </w:r>
          </w:p>
          <w:p w14:paraId="0EF167C5" w14:textId="536735C5" w:rsidR="00AE4775" w:rsidRPr="00603981" w:rsidRDefault="00AE4775" w:rsidP="00F420F3">
            <w:pPr>
              <w:widowControl w:val="0"/>
              <w:spacing w:before="120" w:after="120" w:line="259" w:lineRule="auto"/>
              <w:rPr>
                <w:rFonts w:cstheme="minorHAnsi"/>
              </w:rPr>
            </w:pPr>
            <w:r w:rsidRPr="00603981">
              <w:rPr>
                <w:rFonts w:cstheme="minorHAnsi"/>
              </w:rPr>
              <w:t xml:space="preserve">Labour hire </w:t>
            </w:r>
            <w:r w:rsidR="0072566F">
              <w:rPr>
                <w:rFonts w:cstheme="minorHAnsi"/>
              </w:rPr>
              <w:t>employers</w:t>
            </w:r>
            <w:r w:rsidR="0072566F" w:rsidRPr="00603981">
              <w:rPr>
                <w:rFonts w:cstheme="minorHAnsi"/>
              </w:rPr>
              <w:t xml:space="preserve"> </w:t>
            </w:r>
            <w:r w:rsidRPr="00603981">
              <w:rPr>
                <w:rFonts w:cstheme="minorHAnsi"/>
              </w:rPr>
              <w:t xml:space="preserve">who participated in consultation opposed the </w:t>
            </w:r>
            <w:r w:rsidR="00AB5B59" w:rsidRPr="00603981">
              <w:rPr>
                <w:rFonts w:cstheme="minorHAnsi"/>
              </w:rPr>
              <w:t xml:space="preserve">proposal </w:t>
            </w:r>
            <w:r w:rsidRPr="00603981">
              <w:rPr>
                <w:rFonts w:cstheme="minorHAnsi"/>
              </w:rPr>
              <w:t>generally, but acknowledging the Government’s election commitment</w:t>
            </w:r>
            <w:r w:rsidR="002A62B9" w:rsidRPr="00603981">
              <w:rPr>
                <w:rFonts w:cstheme="minorHAnsi"/>
              </w:rPr>
              <w:t>,</w:t>
            </w:r>
            <w:r w:rsidR="00AB5B59" w:rsidRPr="00603981">
              <w:rPr>
                <w:rFonts w:cstheme="minorHAnsi"/>
              </w:rPr>
              <w:t xml:space="preserve"> </w:t>
            </w:r>
            <w:r w:rsidRPr="00603981">
              <w:rPr>
                <w:rFonts w:cstheme="minorHAnsi"/>
              </w:rPr>
              <w:t xml:space="preserve">generally advocated for the </w:t>
            </w:r>
            <w:r w:rsidR="002A62B9" w:rsidRPr="00603981">
              <w:rPr>
                <w:rFonts w:cstheme="minorHAnsi"/>
              </w:rPr>
              <w:t xml:space="preserve">proposal </w:t>
            </w:r>
            <w:r w:rsidRPr="00603981">
              <w:rPr>
                <w:rFonts w:cstheme="minorHAnsi"/>
              </w:rPr>
              <w:t xml:space="preserve">to have broad application to all arrangements regarding the provision of labour. These submissions appeared to be informed by </w:t>
            </w:r>
            <w:r w:rsidR="000564F6" w:rsidRPr="00603981">
              <w:rPr>
                <w:rFonts w:cstheme="minorHAnsi"/>
              </w:rPr>
              <w:t xml:space="preserve">a </w:t>
            </w:r>
            <w:r w:rsidRPr="00603981">
              <w:rPr>
                <w:rFonts w:cstheme="minorHAnsi"/>
              </w:rPr>
              <w:t>view that it would be unfair (with respect to commercial competitiveness) to limit the proposal to labour hire and not capture other arrangements.</w:t>
            </w:r>
          </w:p>
          <w:p w14:paraId="1C0E149C" w14:textId="12127079" w:rsidR="00AE4775" w:rsidRDefault="00AE4775" w:rsidP="00F420F3">
            <w:pPr>
              <w:widowControl w:val="0"/>
              <w:spacing w:before="120" w:after="120" w:line="259" w:lineRule="auto"/>
            </w:pPr>
            <w:r w:rsidRPr="00603981">
              <w:t>Employee organisations advocated for the proposal to have broad coverage with few exemptions (for example, arrangements captured by the transfer of business provisions in the Fair Work Act, and the provision of temporary specialist work). Other stakeholders, such as academics, supported the scope of the proposal covering traditional labour hire arrangements</w:t>
            </w:r>
            <w:r w:rsidR="00A24E17" w:rsidRPr="00603981">
              <w:t>,</w:t>
            </w:r>
            <w:r w:rsidRPr="00603981">
              <w:t xml:space="preserve"> and </w:t>
            </w:r>
            <w:r w:rsidR="00A24E17" w:rsidRPr="00603981">
              <w:t>S</w:t>
            </w:r>
            <w:r w:rsidRPr="00603981">
              <w:t xml:space="preserve">tate and </w:t>
            </w:r>
            <w:r w:rsidR="00A24E17" w:rsidRPr="00603981">
              <w:t>T</w:t>
            </w:r>
            <w:r w:rsidRPr="00603981">
              <w:t xml:space="preserve">erritory governments emphasised the importance of aligning any definitions of labour hire with </w:t>
            </w:r>
            <w:r w:rsidR="00A24E17" w:rsidRPr="00603981">
              <w:t xml:space="preserve">existing </w:t>
            </w:r>
            <w:r w:rsidRPr="00603981">
              <w:t>labour hire licensing schemes.</w:t>
            </w:r>
          </w:p>
          <w:p w14:paraId="5E26B02E" w14:textId="22569F35" w:rsidR="00AE4775" w:rsidRPr="00F8269F" w:rsidRDefault="00CF00E0" w:rsidP="00F420F3">
            <w:pPr>
              <w:spacing w:after="160" w:line="259" w:lineRule="auto"/>
            </w:pPr>
            <w:r>
              <w:t>In later stages of consultation, some e</w:t>
            </w:r>
            <w:r w:rsidR="007205A4">
              <w:t xml:space="preserve">mployer </w:t>
            </w:r>
            <w:r>
              <w:t>representatives</w:t>
            </w:r>
            <w:r w:rsidR="007205A4">
              <w:t xml:space="preserve"> </w:t>
            </w:r>
            <w:r w:rsidR="00603930">
              <w:t>suggested</w:t>
            </w:r>
            <w:r w:rsidR="007205A4">
              <w:t xml:space="preserve"> that obligations</w:t>
            </w:r>
            <w:r w:rsidR="000E198F">
              <w:t xml:space="preserve"> should</w:t>
            </w:r>
            <w:r w:rsidR="007205A4">
              <w:t xml:space="preserve"> only apply where an application is made to the Fair Work Commission, rather than the obligation automatically </w:t>
            </w:r>
            <w:r w:rsidR="00F8269F">
              <w:t xml:space="preserve">applying </w:t>
            </w:r>
            <w:r w:rsidR="007205A4">
              <w:t xml:space="preserve">across all </w:t>
            </w:r>
            <w:r w:rsidR="00F420F3">
              <w:t>hosts</w:t>
            </w:r>
            <w:r w:rsidR="007205A4">
              <w:t xml:space="preserve"> and labour hire </w:t>
            </w:r>
            <w:r w:rsidR="00F420F3">
              <w:t>employers</w:t>
            </w:r>
            <w:r w:rsidR="007205A4">
              <w:t xml:space="preserve">. </w:t>
            </w:r>
          </w:p>
        </w:tc>
      </w:tr>
      <w:tr w:rsidR="00AE4775" w:rsidRPr="00603981" w14:paraId="54A5D35C" w14:textId="77777777" w:rsidTr="10FE5B95">
        <w:tc>
          <w:tcPr>
            <w:tcW w:w="1555" w:type="dxa"/>
            <w:shd w:val="clear" w:color="auto" w:fill="7A9F4C"/>
          </w:tcPr>
          <w:p w14:paraId="2D0B7ACD" w14:textId="77777777" w:rsidR="00AE4775" w:rsidRPr="00603981" w:rsidRDefault="00AE4775" w:rsidP="00F420F3">
            <w:pPr>
              <w:spacing w:before="120" w:after="120" w:line="259" w:lineRule="auto"/>
              <w:rPr>
                <w:rFonts w:cstheme="minorHAnsi"/>
                <w:b/>
                <w:bCs/>
                <w:color w:val="FFFFFF" w:themeColor="background1"/>
              </w:rPr>
            </w:pPr>
            <w:r w:rsidRPr="00603981">
              <w:rPr>
                <w:rFonts w:cstheme="minorHAnsi"/>
                <w:b/>
                <w:bCs/>
                <w:color w:val="FFFFFF" w:themeColor="background1"/>
              </w:rPr>
              <w:t xml:space="preserve">How views informed the </w:t>
            </w:r>
            <w:r w:rsidRPr="00603981">
              <w:rPr>
                <w:rFonts w:cstheme="minorHAnsi"/>
                <w:b/>
                <w:bCs/>
                <w:color w:val="FFFFFF" w:themeColor="background1"/>
              </w:rPr>
              <w:lastRenderedPageBreak/>
              <w:t>design of the preferred option</w:t>
            </w:r>
          </w:p>
          <w:p w14:paraId="2C72C8AA" w14:textId="77777777" w:rsidR="00AE4775" w:rsidRPr="00603981" w:rsidRDefault="00AE4775" w:rsidP="00F420F3">
            <w:pPr>
              <w:spacing w:before="120" w:after="120" w:line="259" w:lineRule="auto"/>
              <w:rPr>
                <w:rFonts w:cstheme="minorHAnsi"/>
                <w:b/>
                <w:bCs/>
                <w:color w:val="FFFFFF" w:themeColor="background1"/>
                <w:u w:val="single"/>
              </w:rPr>
            </w:pPr>
          </w:p>
        </w:tc>
        <w:tc>
          <w:tcPr>
            <w:tcW w:w="7461" w:type="dxa"/>
          </w:tcPr>
          <w:p w14:paraId="1A27B8BA" w14:textId="4FF93E0C" w:rsidR="009464DB" w:rsidRPr="00BB7513" w:rsidRDefault="00AE4775" w:rsidP="00F420F3">
            <w:pPr>
              <w:spacing w:before="120" w:after="120" w:line="259" w:lineRule="auto"/>
              <w:rPr>
                <w:rFonts w:cstheme="minorHAnsi"/>
              </w:rPr>
            </w:pPr>
            <w:r w:rsidRPr="00F8269F">
              <w:rPr>
                <w:rFonts w:cstheme="minorHAnsi"/>
              </w:rPr>
              <w:lastRenderedPageBreak/>
              <w:t xml:space="preserve">The preferred option </w:t>
            </w:r>
            <w:r w:rsidR="00A24E17" w:rsidRPr="00F8269F">
              <w:rPr>
                <w:rFonts w:cstheme="minorHAnsi"/>
              </w:rPr>
              <w:t>for the proposal</w:t>
            </w:r>
            <w:r w:rsidRPr="00F8269F">
              <w:rPr>
                <w:rFonts w:cstheme="minorHAnsi"/>
              </w:rPr>
              <w:t xml:space="preserve"> has been developed to capture only those arrangements where a </w:t>
            </w:r>
            <w:r w:rsidR="00503061" w:rsidRPr="00F8269F">
              <w:rPr>
                <w:rFonts w:cstheme="minorHAnsi"/>
              </w:rPr>
              <w:t xml:space="preserve">labour hire </w:t>
            </w:r>
            <w:r w:rsidR="00F420F3">
              <w:rPr>
                <w:rFonts w:cstheme="minorHAnsi"/>
              </w:rPr>
              <w:t>employer</w:t>
            </w:r>
            <w:r w:rsidR="00F420F3" w:rsidRPr="00F8269F">
              <w:rPr>
                <w:rFonts w:cstheme="minorHAnsi"/>
              </w:rPr>
              <w:t xml:space="preserve"> </w:t>
            </w:r>
            <w:r w:rsidR="00BC1676">
              <w:rPr>
                <w:rFonts w:cstheme="minorHAnsi"/>
              </w:rPr>
              <w:t>supplies</w:t>
            </w:r>
            <w:r w:rsidR="00BC1676" w:rsidRPr="00F8269F">
              <w:rPr>
                <w:rFonts w:cstheme="minorHAnsi"/>
              </w:rPr>
              <w:t xml:space="preserve"> </w:t>
            </w:r>
            <w:r w:rsidRPr="00F8269F">
              <w:rPr>
                <w:rFonts w:cstheme="minorHAnsi"/>
              </w:rPr>
              <w:t>a</w:t>
            </w:r>
            <w:r w:rsidR="00F420F3">
              <w:rPr>
                <w:rFonts w:cstheme="minorHAnsi"/>
              </w:rPr>
              <w:t>n</w:t>
            </w:r>
            <w:r w:rsidRPr="00F8269F">
              <w:rPr>
                <w:rFonts w:cstheme="minorHAnsi"/>
              </w:rPr>
              <w:t xml:space="preserve"> </w:t>
            </w:r>
            <w:r w:rsidR="00F420F3">
              <w:rPr>
                <w:rFonts w:cstheme="minorHAnsi"/>
              </w:rPr>
              <w:t xml:space="preserve">employee </w:t>
            </w:r>
            <w:r w:rsidRPr="00F8269F">
              <w:rPr>
                <w:rFonts w:cstheme="minorHAnsi"/>
              </w:rPr>
              <w:t xml:space="preserve">to work for a </w:t>
            </w:r>
            <w:r w:rsidRPr="00F8269F">
              <w:rPr>
                <w:rFonts w:cstheme="minorHAnsi"/>
              </w:rPr>
              <w:lastRenderedPageBreak/>
              <w:t>host</w:t>
            </w:r>
            <w:r w:rsidR="00DD3857">
              <w:rPr>
                <w:rFonts w:cstheme="minorHAnsi"/>
              </w:rPr>
              <w:t>, a</w:t>
            </w:r>
            <w:r w:rsidR="00966019">
              <w:rPr>
                <w:rFonts w:cstheme="minorHAnsi"/>
              </w:rPr>
              <w:t xml:space="preserve">nd the host </w:t>
            </w:r>
            <w:r w:rsidR="00F420F3">
              <w:rPr>
                <w:rFonts w:cstheme="minorHAnsi"/>
              </w:rPr>
              <w:t>has</w:t>
            </w:r>
            <w:r w:rsidR="00966019">
              <w:rPr>
                <w:rFonts w:cstheme="minorHAnsi"/>
              </w:rPr>
              <w:t xml:space="preserve"> an enterprise agreement</w:t>
            </w:r>
            <w:r w:rsidR="00C90354">
              <w:rPr>
                <w:rFonts w:cstheme="minorHAnsi"/>
              </w:rPr>
              <w:t xml:space="preserve"> </w:t>
            </w:r>
            <w:r w:rsidR="00F420F3">
              <w:rPr>
                <w:rFonts w:cstheme="minorHAnsi"/>
              </w:rPr>
              <w:t>that</w:t>
            </w:r>
            <w:r w:rsidR="00C90354">
              <w:rPr>
                <w:rFonts w:cstheme="minorHAnsi"/>
              </w:rPr>
              <w:t xml:space="preserve"> would </w:t>
            </w:r>
            <w:r w:rsidR="00CF1D19">
              <w:rPr>
                <w:rFonts w:cstheme="minorHAnsi"/>
              </w:rPr>
              <w:t xml:space="preserve">apply to the </w:t>
            </w:r>
            <w:r w:rsidR="00F420F3">
              <w:rPr>
                <w:rFonts w:cstheme="minorHAnsi"/>
              </w:rPr>
              <w:t>employee</w:t>
            </w:r>
            <w:r w:rsidR="00CF1D19">
              <w:rPr>
                <w:rFonts w:cstheme="minorHAnsi"/>
              </w:rPr>
              <w:t xml:space="preserve"> </w:t>
            </w:r>
            <w:r w:rsidR="000E0555">
              <w:rPr>
                <w:rFonts w:cstheme="minorHAnsi"/>
              </w:rPr>
              <w:t xml:space="preserve">if they were </w:t>
            </w:r>
            <w:r w:rsidR="00F420F3">
              <w:rPr>
                <w:rFonts w:cstheme="minorHAnsi"/>
              </w:rPr>
              <w:t xml:space="preserve">directly </w:t>
            </w:r>
            <w:r w:rsidR="000E0555">
              <w:rPr>
                <w:rFonts w:cstheme="minorHAnsi"/>
              </w:rPr>
              <w:t>employed by the host.</w:t>
            </w:r>
            <w:r w:rsidR="00984713">
              <w:rPr>
                <w:rFonts w:cstheme="minorHAnsi"/>
              </w:rPr>
              <w:t xml:space="preserve"> </w:t>
            </w:r>
            <w:r w:rsidR="00390A1C" w:rsidRPr="00403FCE">
              <w:rPr>
                <w:rFonts w:cstheme="minorHAnsi"/>
              </w:rPr>
              <w:t>I</w:t>
            </w:r>
            <w:r w:rsidRPr="00403FCE">
              <w:rPr>
                <w:rFonts w:cstheme="minorHAnsi"/>
              </w:rPr>
              <w:t>ndependent contractors will not be captured by the measure.</w:t>
            </w:r>
            <w:r w:rsidRPr="00BB7513">
              <w:rPr>
                <w:rFonts w:cstheme="minorHAnsi"/>
              </w:rPr>
              <w:t xml:space="preserve"> </w:t>
            </w:r>
          </w:p>
          <w:p w14:paraId="02CA3E09" w14:textId="77777777" w:rsidR="00AE4775" w:rsidRPr="00603981" w:rsidRDefault="00AE4775" w:rsidP="00F420F3">
            <w:pPr>
              <w:spacing w:before="120" w:after="120" w:line="259" w:lineRule="auto"/>
              <w:rPr>
                <w:rFonts w:cstheme="minorHAnsi"/>
              </w:rPr>
            </w:pPr>
            <w:r w:rsidRPr="00BB7513">
              <w:t>The preferred option will also capture the supply of workers between entities within the same corporate group (referred to by the department in general terms as ‘internal labour hire’). This is because labour</w:t>
            </w:r>
            <w:r w:rsidRPr="00603981">
              <w:t xml:space="preserve"> exchanged between these entities can still undermine bargained wages within enterprises.</w:t>
            </w:r>
            <w:r w:rsidRPr="00603981">
              <w:rPr>
                <w:rStyle w:val="FootnoteReference"/>
              </w:rPr>
              <w:footnoteReference w:id="76"/>
            </w:r>
          </w:p>
          <w:p w14:paraId="23BA9658" w14:textId="0CF67497" w:rsidR="00AE4775" w:rsidRPr="00BB7513" w:rsidRDefault="00AE4775" w:rsidP="00F420F3">
            <w:pPr>
              <w:spacing w:before="120" w:after="120" w:line="259" w:lineRule="auto"/>
              <w:rPr>
                <w:rFonts w:cstheme="minorHAnsi"/>
              </w:rPr>
            </w:pPr>
            <w:r w:rsidRPr="00603981">
              <w:rPr>
                <w:rFonts w:cstheme="minorHAnsi"/>
              </w:rPr>
              <w:t xml:space="preserve">The proposal has also been designed </w:t>
            </w:r>
            <w:r w:rsidR="00820571" w:rsidRPr="00603981">
              <w:rPr>
                <w:rFonts w:cstheme="minorHAnsi"/>
              </w:rPr>
              <w:t>in response to stakeholder feedback</w:t>
            </w:r>
            <w:r w:rsidRPr="00603981">
              <w:rPr>
                <w:rFonts w:cstheme="minorHAnsi"/>
              </w:rPr>
              <w:t xml:space="preserve"> so that the provisions</w:t>
            </w:r>
            <w:r w:rsidR="00957B27" w:rsidRPr="00603981">
              <w:rPr>
                <w:rFonts w:cstheme="minorHAnsi"/>
              </w:rPr>
              <w:t>, by default,</w:t>
            </w:r>
            <w:r w:rsidRPr="00603981">
              <w:rPr>
                <w:rFonts w:cstheme="minorHAnsi"/>
              </w:rPr>
              <w:t xml:space="preserve"> do not apply to </w:t>
            </w:r>
            <w:r w:rsidR="005768A9">
              <w:rPr>
                <w:rFonts w:cstheme="minorHAnsi"/>
              </w:rPr>
              <w:t>arrangements</w:t>
            </w:r>
            <w:r w:rsidRPr="00603981">
              <w:rPr>
                <w:rFonts w:cstheme="minorHAnsi"/>
              </w:rPr>
              <w:t xml:space="preserve"> of 3 months or less</w:t>
            </w:r>
            <w:r w:rsidR="00DA18E9" w:rsidRPr="00603981">
              <w:rPr>
                <w:rFonts w:cstheme="minorHAnsi"/>
              </w:rPr>
              <w:t xml:space="preserve"> </w:t>
            </w:r>
            <w:r w:rsidR="007C0A4A" w:rsidRPr="00603981">
              <w:rPr>
                <w:rFonts w:cstheme="minorHAnsi"/>
              </w:rPr>
              <w:t xml:space="preserve">– </w:t>
            </w:r>
            <w:r w:rsidR="00DA18E9" w:rsidRPr="00603981">
              <w:rPr>
                <w:rFonts w:cstheme="minorHAnsi"/>
              </w:rPr>
              <w:t xml:space="preserve">unless </w:t>
            </w:r>
            <w:r w:rsidR="007C0A4A" w:rsidRPr="00603981">
              <w:rPr>
                <w:rFonts w:cstheme="minorHAnsi"/>
              </w:rPr>
              <w:t>that exemption period is</w:t>
            </w:r>
            <w:r w:rsidR="00DA18E9" w:rsidRPr="00603981">
              <w:rPr>
                <w:rFonts w:cstheme="minorHAnsi"/>
              </w:rPr>
              <w:t xml:space="preserve"> </w:t>
            </w:r>
            <w:r w:rsidR="005768A9">
              <w:rPr>
                <w:rFonts w:cstheme="minorHAnsi"/>
              </w:rPr>
              <w:t>altered</w:t>
            </w:r>
            <w:r w:rsidR="00390E81" w:rsidRPr="00603981">
              <w:rPr>
                <w:rFonts w:cstheme="minorHAnsi"/>
              </w:rPr>
              <w:t xml:space="preserve"> by the </w:t>
            </w:r>
            <w:r w:rsidR="007C0A4A" w:rsidRPr="00603981">
              <w:rPr>
                <w:rFonts w:cstheme="minorHAnsi"/>
              </w:rPr>
              <w:t xml:space="preserve">Fair Work </w:t>
            </w:r>
            <w:r w:rsidR="00390E81" w:rsidRPr="00BB7513">
              <w:rPr>
                <w:rFonts w:cstheme="minorHAnsi"/>
              </w:rPr>
              <w:t>Commission</w:t>
            </w:r>
            <w:r w:rsidR="005768A9">
              <w:rPr>
                <w:rFonts w:cstheme="minorHAnsi"/>
              </w:rPr>
              <w:t xml:space="preserve"> in exceptional circumstances. This exemption</w:t>
            </w:r>
            <w:r w:rsidRPr="00702625">
              <w:rPr>
                <w:rFonts w:cstheme="minorHAnsi"/>
              </w:rPr>
              <w:t xml:space="preserve"> accommodate</w:t>
            </w:r>
            <w:r w:rsidR="007C0A4A" w:rsidRPr="00702625">
              <w:rPr>
                <w:rFonts w:cstheme="minorHAnsi"/>
              </w:rPr>
              <w:t>s</w:t>
            </w:r>
            <w:r w:rsidRPr="00702625" w:rsidDel="00C77B09">
              <w:rPr>
                <w:rFonts w:cstheme="minorHAnsi"/>
              </w:rPr>
              <w:t xml:space="preserve"> </w:t>
            </w:r>
            <w:r w:rsidRPr="00702625">
              <w:rPr>
                <w:rFonts w:cstheme="minorHAnsi"/>
              </w:rPr>
              <w:t xml:space="preserve">situations where labour </w:t>
            </w:r>
            <w:r w:rsidR="005768A9">
              <w:rPr>
                <w:rFonts w:cstheme="minorHAnsi"/>
              </w:rPr>
              <w:t xml:space="preserve">hire </w:t>
            </w:r>
            <w:r w:rsidRPr="00702625">
              <w:rPr>
                <w:rFonts w:cstheme="minorHAnsi"/>
              </w:rPr>
              <w:t>is required</w:t>
            </w:r>
            <w:r w:rsidR="005768A9">
              <w:rPr>
                <w:rFonts w:cstheme="minorHAnsi"/>
              </w:rPr>
              <w:t xml:space="preserve"> to meet surge work or fill temporary absences</w:t>
            </w:r>
            <w:r w:rsidR="00137B93">
              <w:rPr>
                <w:rFonts w:cstheme="minorHAnsi"/>
              </w:rPr>
              <w:t>, and can be ordered by the Fair Work Commission as a recurring period if satisfied it is appropriate to do so (to avoid the need for hosts to apply to the Fair Work Commission an extension of the exemption period each year)</w:t>
            </w:r>
            <w:r w:rsidRPr="00D0307B">
              <w:rPr>
                <w:rFonts w:cstheme="minorHAnsi"/>
              </w:rPr>
              <w:t>.</w:t>
            </w:r>
            <w:r w:rsidRPr="00BB7513">
              <w:rPr>
                <w:rFonts w:cstheme="minorHAnsi"/>
              </w:rPr>
              <w:t xml:space="preserve"> </w:t>
            </w:r>
          </w:p>
          <w:p w14:paraId="3AB537B6" w14:textId="348039B1" w:rsidR="00232E4D" w:rsidRDefault="00AE4775" w:rsidP="00F420F3">
            <w:pPr>
              <w:spacing w:before="120" w:after="120" w:line="259" w:lineRule="auto"/>
            </w:pPr>
            <w:r w:rsidRPr="00BB7513">
              <w:t xml:space="preserve">The preferred option also </w:t>
            </w:r>
            <w:r w:rsidR="0003565B" w:rsidRPr="00BB7513">
              <w:t xml:space="preserve">responds to </w:t>
            </w:r>
            <w:r w:rsidRPr="00BB7513">
              <w:t>stakeholder feedback about the complexity of specialist</w:t>
            </w:r>
            <w:r w:rsidR="00232E4D">
              <w:t xml:space="preserve"> work and</w:t>
            </w:r>
            <w:r w:rsidRPr="00BB7513">
              <w:t xml:space="preserve"> service contracting arrangements.</w:t>
            </w:r>
            <w:r w:rsidR="00E85898" w:rsidRPr="00CA44D5">
              <w:rPr>
                <w:rStyle w:val="FootnoteReference"/>
              </w:rPr>
              <w:footnoteReference w:id="77"/>
            </w:r>
            <w:r w:rsidRPr="00BB7513">
              <w:t xml:space="preserve"> </w:t>
            </w:r>
            <w:r w:rsidR="00232E4D">
              <w:t>Labour hire employers and hosts in these service contracting arrangements can draw this to the Fair Work Commission’s attention if an application is made, with the view to the Commission balancing that information and determining that an order should not be made (noting this remains a matter for the Commission to decide).</w:t>
            </w:r>
            <w:r w:rsidR="00E85898">
              <w:t xml:space="preserve"> </w:t>
            </w:r>
          </w:p>
          <w:p w14:paraId="065DB999" w14:textId="734F56D4" w:rsidR="00AE4775" w:rsidRPr="00603981" w:rsidRDefault="004508C3" w:rsidP="00F420F3">
            <w:pPr>
              <w:spacing w:before="120" w:after="120" w:line="259" w:lineRule="auto"/>
              <w:rPr>
                <w:rFonts w:cstheme="minorHAnsi"/>
              </w:rPr>
            </w:pPr>
            <w:r w:rsidRPr="00603981">
              <w:rPr>
                <w:rFonts w:cstheme="minorHAnsi"/>
              </w:rPr>
              <w:t>I</w:t>
            </w:r>
            <w:r w:rsidR="00AE4775" w:rsidRPr="00603981">
              <w:rPr>
                <w:rFonts w:cstheme="minorHAnsi"/>
              </w:rPr>
              <w:t>n response to</w:t>
            </w:r>
            <w:r w:rsidR="00AE4775" w:rsidRPr="00603981" w:rsidDel="003B76C9">
              <w:rPr>
                <w:rFonts w:cstheme="minorHAnsi"/>
              </w:rPr>
              <w:t xml:space="preserve"> </w:t>
            </w:r>
            <w:r w:rsidR="00AE4775" w:rsidRPr="00603981">
              <w:rPr>
                <w:rFonts w:cstheme="minorHAnsi"/>
              </w:rPr>
              <w:t xml:space="preserve">feedback from some employer </w:t>
            </w:r>
            <w:r w:rsidRPr="00603981">
              <w:rPr>
                <w:rFonts w:cstheme="minorHAnsi"/>
              </w:rPr>
              <w:t>representatives</w:t>
            </w:r>
            <w:r w:rsidR="00AE4775" w:rsidRPr="00603981">
              <w:rPr>
                <w:rFonts w:cstheme="minorHAnsi"/>
              </w:rPr>
              <w:t xml:space="preserve">, </w:t>
            </w:r>
            <w:r w:rsidR="00E85898">
              <w:rPr>
                <w:rFonts w:cstheme="minorHAnsi"/>
              </w:rPr>
              <w:t xml:space="preserve">employees </w:t>
            </w:r>
            <w:r w:rsidR="00BF2D64">
              <w:rPr>
                <w:rFonts w:cstheme="minorHAnsi"/>
              </w:rPr>
              <w:t xml:space="preserve">under training arrangements that apply to their work for the host are also </w:t>
            </w:r>
            <w:r w:rsidR="00AE4775" w:rsidRPr="00603981">
              <w:rPr>
                <w:rFonts w:cstheme="minorHAnsi"/>
              </w:rPr>
              <w:t>excluded from the proposal.</w:t>
            </w:r>
            <w:r w:rsidR="00BC612C">
              <w:rPr>
                <w:rFonts w:cstheme="minorHAnsi"/>
              </w:rPr>
              <w:t xml:space="preserve"> </w:t>
            </w:r>
            <w:r w:rsidR="00BF2D64">
              <w:rPr>
                <w:rFonts w:cstheme="minorHAnsi"/>
              </w:rPr>
              <w:t>A</w:t>
            </w:r>
            <w:r w:rsidR="00BC612C">
              <w:rPr>
                <w:rFonts w:cstheme="minorHAnsi"/>
              </w:rPr>
              <w:t>rrangements where the host is a small business</w:t>
            </w:r>
            <w:r w:rsidR="00BF2D64">
              <w:rPr>
                <w:rFonts w:cstheme="minorHAnsi"/>
              </w:rPr>
              <w:t xml:space="preserve"> employer are also excluded, </w:t>
            </w:r>
            <w:r w:rsidR="00AA4C80">
              <w:rPr>
                <w:rFonts w:cstheme="minorHAnsi"/>
              </w:rPr>
              <w:t>noting t</w:t>
            </w:r>
            <w:r w:rsidR="003B0C07">
              <w:rPr>
                <w:rFonts w:cstheme="minorHAnsi"/>
              </w:rPr>
              <w:t>he department heard</w:t>
            </w:r>
            <w:r w:rsidR="00960C3E">
              <w:rPr>
                <w:rFonts w:cstheme="minorHAnsi"/>
              </w:rPr>
              <w:t xml:space="preserve"> </w:t>
            </w:r>
            <w:r w:rsidR="001D4408">
              <w:rPr>
                <w:rFonts w:cstheme="minorHAnsi"/>
              </w:rPr>
              <w:t xml:space="preserve">from </w:t>
            </w:r>
            <w:r w:rsidR="00960C3E">
              <w:rPr>
                <w:rFonts w:cstheme="minorHAnsi"/>
              </w:rPr>
              <w:t>stakeholders</w:t>
            </w:r>
            <w:r w:rsidR="001D4408">
              <w:rPr>
                <w:rFonts w:cstheme="minorHAnsi"/>
              </w:rPr>
              <w:t xml:space="preserve"> that small businesses do not use labour hire to the same extent as larger businesses but that when they do, they are more h</w:t>
            </w:r>
            <w:r w:rsidR="00960C3E">
              <w:rPr>
                <w:rFonts w:cstheme="minorHAnsi"/>
              </w:rPr>
              <w:t xml:space="preserve">eavily reliant on it to fill labour shortages.  </w:t>
            </w:r>
          </w:p>
        </w:tc>
      </w:tr>
    </w:tbl>
    <w:p w14:paraId="6F681E68" w14:textId="77777777" w:rsidR="00E67D7A" w:rsidRPr="00603981" w:rsidRDefault="00E67D7A" w:rsidP="00AE4775">
      <w:pPr>
        <w:spacing w:after="0" w:line="240" w:lineRule="auto"/>
        <w:rPr>
          <w:rFonts w:cstheme="minorHAnsi"/>
        </w:rPr>
      </w:pPr>
    </w:p>
    <w:tbl>
      <w:tblPr>
        <w:tblStyle w:val="TableGrid"/>
        <w:tblW w:w="0" w:type="auto"/>
        <w:tblLook w:val="04A0" w:firstRow="1" w:lastRow="0" w:firstColumn="1" w:lastColumn="0" w:noHBand="0" w:noVBand="1"/>
      </w:tblPr>
      <w:tblGrid>
        <w:gridCol w:w="1555"/>
        <w:gridCol w:w="7461"/>
      </w:tblGrid>
      <w:tr w:rsidR="00AE4775" w:rsidRPr="00603981" w14:paraId="3847DAAB" w14:textId="77777777">
        <w:tc>
          <w:tcPr>
            <w:tcW w:w="9016" w:type="dxa"/>
            <w:gridSpan w:val="2"/>
            <w:shd w:val="clear" w:color="auto" w:fill="404246"/>
          </w:tcPr>
          <w:p w14:paraId="395CCD97" w14:textId="61CD3637" w:rsidR="00AE4775" w:rsidRPr="00603981" w:rsidRDefault="00AE4775" w:rsidP="009171B9">
            <w:pPr>
              <w:spacing w:before="120" w:after="120" w:line="259" w:lineRule="auto"/>
              <w:rPr>
                <w:rFonts w:cstheme="minorHAnsi"/>
              </w:rPr>
            </w:pPr>
            <w:r w:rsidRPr="00603981">
              <w:rPr>
                <w:rFonts w:cstheme="minorHAnsi"/>
                <w:b/>
                <w:bCs/>
                <w:iCs/>
                <w:color w:val="FFFFFF" w:themeColor="background1"/>
              </w:rPr>
              <w:t xml:space="preserve">2. </w:t>
            </w:r>
            <w:r w:rsidR="002749C1" w:rsidRPr="002749C1">
              <w:rPr>
                <w:rFonts w:cstheme="minorHAnsi"/>
                <w:b/>
                <w:bCs/>
                <w:iCs/>
                <w:color w:val="FFFFFF" w:themeColor="background1"/>
              </w:rPr>
              <w:t>What happens when an order is made</w:t>
            </w:r>
          </w:p>
        </w:tc>
      </w:tr>
      <w:tr w:rsidR="00AE4775" w:rsidRPr="00603981" w14:paraId="5F85E3C6" w14:textId="77777777">
        <w:tc>
          <w:tcPr>
            <w:tcW w:w="1555" w:type="dxa"/>
            <w:shd w:val="clear" w:color="auto" w:fill="7A9F4C"/>
          </w:tcPr>
          <w:p w14:paraId="379CB088" w14:textId="77777777" w:rsidR="00AE4775" w:rsidRPr="00603981" w:rsidRDefault="00AE4775" w:rsidP="009171B9">
            <w:pPr>
              <w:spacing w:before="120" w:after="120" w:line="259" w:lineRule="auto"/>
              <w:rPr>
                <w:rFonts w:cstheme="minorHAnsi"/>
                <w:b/>
                <w:bCs/>
                <w:iCs/>
                <w:color w:val="FFFFFF" w:themeColor="background1"/>
              </w:rPr>
            </w:pPr>
            <w:r w:rsidRPr="00603981">
              <w:rPr>
                <w:rFonts w:cstheme="minorHAnsi"/>
                <w:b/>
                <w:bCs/>
                <w:iCs/>
                <w:color w:val="FFFFFF" w:themeColor="background1"/>
              </w:rPr>
              <w:t xml:space="preserve">Areas of agreement  </w:t>
            </w:r>
          </w:p>
          <w:p w14:paraId="112D2627" w14:textId="77777777" w:rsidR="00AE4775" w:rsidRPr="00603981" w:rsidRDefault="00AE4775" w:rsidP="009171B9">
            <w:pPr>
              <w:spacing w:before="120" w:after="120" w:line="259" w:lineRule="auto"/>
              <w:rPr>
                <w:rFonts w:cstheme="minorHAnsi"/>
                <w:b/>
                <w:bCs/>
                <w:color w:val="FFFFFF" w:themeColor="background1"/>
              </w:rPr>
            </w:pPr>
          </w:p>
        </w:tc>
        <w:tc>
          <w:tcPr>
            <w:tcW w:w="7461" w:type="dxa"/>
          </w:tcPr>
          <w:p w14:paraId="0C1D6A5B" w14:textId="18A5C27C" w:rsidR="00AE4775" w:rsidRPr="00603981" w:rsidRDefault="00AE4775" w:rsidP="009171B9">
            <w:pPr>
              <w:spacing w:before="120" w:after="120" w:line="259" w:lineRule="auto"/>
              <w:rPr>
                <w:rFonts w:cstheme="minorHAnsi"/>
              </w:rPr>
            </w:pPr>
            <w:r w:rsidRPr="00603981">
              <w:rPr>
                <w:rFonts w:cstheme="minorHAnsi"/>
              </w:rPr>
              <w:t xml:space="preserve">Many stakeholders agreed that an obligation to pay a </w:t>
            </w:r>
            <w:r w:rsidR="00AC7099">
              <w:rPr>
                <w:rFonts w:cstheme="minorHAnsi"/>
              </w:rPr>
              <w:t>labour hire employee</w:t>
            </w:r>
            <w:r w:rsidR="000A21B1">
              <w:rPr>
                <w:rFonts w:cstheme="minorHAnsi"/>
              </w:rPr>
              <w:t xml:space="preserve"> </w:t>
            </w:r>
            <w:r w:rsidRPr="00603981">
              <w:rPr>
                <w:rFonts w:cstheme="minorHAnsi"/>
              </w:rPr>
              <w:t xml:space="preserve">a higher rate of pay should be determined with reference to a host’s enterprise agreement. </w:t>
            </w:r>
            <w:r w:rsidR="000F7EF7" w:rsidRPr="00603981">
              <w:rPr>
                <w:rFonts w:cstheme="minorHAnsi"/>
              </w:rPr>
              <w:t>Some e</w:t>
            </w:r>
            <w:r w:rsidRPr="00603981">
              <w:rPr>
                <w:rFonts w:cstheme="minorHAnsi"/>
              </w:rPr>
              <w:t xml:space="preserve">mployer and employee representatives made submissions advocating for a direct and hypothetical comparator employee, though employee representatives submitted that the proposal should be triggered even if a host did not employ a person doing the same job as </w:t>
            </w:r>
            <w:r w:rsidR="00E45686" w:rsidRPr="00603981">
              <w:rPr>
                <w:rFonts w:cstheme="minorHAnsi"/>
              </w:rPr>
              <w:t>a labour hire</w:t>
            </w:r>
            <w:r w:rsidRPr="00603981">
              <w:rPr>
                <w:rFonts w:cstheme="minorHAnsi"/>
              </w:rPr>
              <w:t xml:space="preserve"> worker. </w:t>
            </w:r>
          </w:p>
        </w:tc>
      </w:tr>
      <w:tr w:rsidR="00AE4775" w:rsidRPr="00603981" w14:paraId="1AC176B7" w14:textId="77777777">
        <w:tc>
          <w:tcPr>
            <w:tcW w:w="1555" w:type="dxa"/>
            <w:shd w:val="clear" w:color="auto" w:fill="5D7A38"/>
          </w:tcPr>
          <w:p w14:paraId="2E7FFE0B" w14:textId="3A044B38" w:rsidR="00AE4775" w:rsidRPr="00603981" w:rsidRDefault="00AE4775" w:rsidP="009171B9">
            <w:pPr>
              <w:spacing w:before="120" w:after="120" w:line="259" w:lineRule="auto"/>
              <w:rPr>
                <w:rFonts w:cstheme="minorHAnsi"/>
                <w:b/>
                <w:bCs/>
                <w:iCs/>
                <w:color w:val="FFFFFF" w:themeColor="background1"/>
              </w:rPr>
            </w:pPr>
            <w:r w:rsidRPr="00603981">
              <w:rPr>
                <w:rFonts w:cstheme="minorHAnsi"/>
                <w:b/>
                <w:bCs/>
                <w:iCs/>
                <w:color w:val="FFFFFF" w:themeColor="background1"/>
              </w:rPr>
              <w:t xml:space="preserve">Areas of difference </w:t>
            </w:r>
          </w:p>
          <w:p w14:paraId="7F41C109" w14:textId="77777777" w:rsidR="00AE4775" w:rsidRPr="00603981" w:rsidRDefault="00AE4775" w:rsidP="009171B9">
            <w:pPr>
              <w:spacing w:before="120" w:after="120" w:line="259" w:lineRule="auto"/>
              <w:rPr>
                <w:rFonts w:cstheme="minorHAnsi"/>
                <w:b/>
                <w:bCs/>
                <w:color w:val="FFFFFF" w:themeColor="background1"/>
              </w:rPr>
            </w:pPr>
          </w:p>
        </w:tc>
        <w:tc>
          <w:tcPr>
            <w:tcW w:w="7461" w:type="dxa"/>
          </w:tcPr>
          <w:p w14:paraId="6BF4E5D1" w14:textId="15564048" w:rsidR="008871C0" w:rsidRPr="0075397D" w:rsidRDefault="000F1339" w:rsidP="009171B9">
            <w:pPr>
              <w:spacing w:before="120" w:after="120" w:line="259" w:lineRule="auto"/>
              <w:rPr>
                <w:rFonts w:cstheme="minorHAnsi"/>
              </w:rPr>
            </w:pPr>
            <w:r>
              <w:rPr>
                <w:rFonts w:cstheme="minorHAnsi"/>
              </w:rPr>
              <w:t>When consideration was still being given to this proposal being one under which obligations were imposed on labour hire employers and hosts automatically (rather than only by application), s</w:t>
            </w:r>
            <w:r w:rsidR="008871C0">
              <w:rPr>
                <w:rFonts w:cstheme="minorHAnsi"/>
              </w:rPr>
              <w:t xml:space="preserve">ome employer representatives </w:t>
            </w:r>
            <w:r w:rsidR="00F940F3">
              <w:rPr>
                <w:rFonts w:cstheme="minorHAnsi"/>
              </w:rPr>
              <w:t xml:space="preserve">raised concerns with the </w:t>
            </w:r>
            <w:r w:rsidR="00C202FF">
              <w:rPr>
                <w:rFonts w:cstheme="minorHAnsi"/>
              </w:rPr>
              <w:t xml:space="preserve">administrative burden on </w:t>
            </w:r>
            <w:r w:rsidR="00025F90">
              <w:rPr>
                <w:rFonts w:cstheme="minorHAnsi"/>
              </w:rPr>
              <w:t xml:space="preserve">labour hire </w:t>
            </w:r>
            <w:r w:rsidR="001A7A55">
              <w:rPr>
                <w:rFonts w:cstheme="minorHAnsi"/>
              </w:rPr>
              <w:t>employers</w:t>
            </w:r>
            <w:r w:rsidR="00025F90">
              <w:rPr>
                <w:rFonts w:cstheme="minorHAnsi"/>
              </w:rPr>
              <w:t xml:space="preserve"> </w:t>
            </w:r>
            <w:r w:rsidR="000B7738">
              <w:rPr>
                <w:rFonts w:cstheme="minorHAnsi"/>
              </w:rPr>
              <w:t xml:space="preserve">to </w:t>
            </w:r>
            <w:r w:rsidR="00BA55C8">
              <w:rPr>
                <w:rFonts w:cstheme="minorHAnsi"/>
              </w:rPr>
              <w:t>figure out</w:t>
            </w:r>
            <w:r w:rsidR="000B7738">
              <w:rPr>
                <w:rFonts w:cstheme="minorHAnsi"/>
              </w:rPr>
              <w:t xml:space="preserve"> </w:t>
            </w:r>
            <w:r w:rsidR="000B7738">
              <w:rPr>
                <w:rFonts w:cstheme="minorHAnsi"/>
              </w:rPr>
              <w:lastRenderedPageBreak/>
              <w:t>whether they were covered by the measure, and then to work out the correct rate of pay</w:t>
            </w:r>
            <w:r w:rsidR="001F5559">
              <w:rPr>
                <w:rFonts w:cstheme="minorHAnsi"/>
              </w:rPr>
              <w:t xml:space="preserve">. </w:t>
            </w:r>
            <w:r w:rsidR="005945AF">
              <w:rPr>
                <w:rFonts w:cstheme="minorHAnsi"/>
              </w:rPr>
              <w:t xml:space="preserve">Concerns were also raised regarding </w:t>
            </w:r>
            <w:r w:rsidR="0090499F">
              <w:rPr>
                <w:rFonts w:cstheme="minorHAnsi"/>
              </w:rPr>
              <w:t>a</w:t>
            </w:r>
            <w:r w:rsidR="005945AF">
              <w:rPr>
                <w:rFonts w:cstheme="minorHAnsi"/>
              </w:rPr>
              <w:t xml:space="preserve"> lack </w:t>
            </w:r>
            <w:r w:rsidR="005945AF" w:rsidRPr="0075397D">
              <w:rPr>
                <w:rFonts w:cstheme="minorHAnsi"/>
              </w:rPr>
              <w:t>of certainty</w:t>
            </w:r>
            <w:r w:rsidR="008302A2" w:rsidRPr="0075397D">
              <w:rPr>
                <w:rFonts w:cstheme="minorHAnsi"/>
              </w:rPr>
              <w:t xml:space="preserve"> for </w:t>
            </w:r>
            <w:r w:rsidR="0090499F" w:rsidRPr="0075397D">
              <w:rPr>
                <w:rFonts w:cstheme="minorHAnsi"/>
              </w:rPr>
              <w:t>business</w:t>
            </w:r>
            <w:r w:rsidR="005945AF" w:rsidRPr="0075397D">
              <w:rPr>
                <w:rFonts w:cstheme="minorHAnsi"/>
              </w:rPr>
              <w:t xml:space="preserve"> </w:t>
            </w:r>
            <w:r w:rsidR="0090499F" w:rsidRPr="0075397D">
              <w:rPr>
                <w:rFonts w:cstheme="minorHAnsi"/>
              </w:rPr>
              <w:t xml:space="preserve">about </w:t>
            </w:r>
            <w:r w:rsidR="005945AF" w:rsidRPr="0075397D">
              <w:rPr>
                <w:rFonts w:cstheme="minorHAnsi"/>
              </w:rPr>
              <w:t xml:space="preserve">whether an arrangement was covered </w:t>
            </w:r>
            <w:r w:rsidR="00044079" w:rsidRPr="0075397D">
              <w:rPr>
                <w:rFonts w:cstheme="minorHAnsi"/>
              </w:rPr>
              <w:t xml:space="preserve">by the measure. </w:t>
            </w:r>
            <w:r w:rsidR="00BA76D0" w:rsidRPr="0075397D">
              <w:rPr>
                <w:rFonts w:cstheme="minorHAnsi"/>
              </w:rPr>
              <w:t>For example, concerns were raised by a number of employer representatives about service contracting being caught by the measure, and asserted that these arrangements should be differentiated from labour hire and excluded outright.</w:t>
            </w:r>
          </w:p>
          <w:p w14:paraId="0697670C" w14:textId="1F336A81" w:rsidR="00AE4775" w:rsidRPr="00603981" w:rsidRDefault="00681C84" w:rsidP="009171B9">
            <w:pPr>
              <w:spacing w:before="120" w:after="120" w:line="259" w:lineRule="auto"/>
              <w:rPr>
                <w:rFonts w:cstheme="minorHAnsi"/>
              </w:rPr>
            </w:pPr>
            <w:r w:rsidRPr="0075397D">
              <w:rPr>
                <w:rFonts w:cstheme="minorHAnsi"/>
              </w:rPr>
              <w:t>Before an application-based model was canvassed</w:t>
            </w:r>
            <w:r>
              <w:rPr>
                <w:rFonts w:cstheme="minorHAnsi"/>
              </w:rPr>
              <w:t xml:space="preserve"> with stakeholders, s</w:t>
            </w:r>
            <w:r w:rsidR="00AE4775" w:rsidRPr="00603981">
              <w:rPr>
                <w:rFonts w:cstheme="minorHAnsi"/>
              </w:rPr>
              <w:t>ome employer representatives supported obligations being enlivened where a worker would be covered by a classification in a host’s enterprise agreement, submitting this was a practical and transparent</w:t>
            </w:r>
            <w:r w:rsidR="00AE4775" w:rsidRPr="00603981" w:rsidDel="00C547BE">
              <w:rPr>
                <w:rFonts w:cstheme="minorHAnsi"/>
              </w:rPr>
              <w:t xml:space="preserve"> </w:t>
            </w:r>
            <w:r w:rsidR="00AE4775" w:rsidRPr="00603981">
              <w:rPr>
                <w:rFonts w:cstheme="minorHAnsi"/>
              </w:rPr>
              <w:t xml:space="preserve">method for determining when a worker should be entitled to a higher rate of pay, in a way that aligns with the overall intent of the proposal – that is, to protect </w:t>
            </w:r>
            <w:r w:rsidR="00AE4775" w:rsidRPr="00603981">
              <w:rPr>
                <w:rFonts w:cstheme="minorHAnsi"/>
                <w:i/>
                <w:iCs/>
              </w:rPr>
              <w:t>bargained</w:t>
            </w:r>
            <w:r w:rsidR="00AE4775" w:rsidRPr="00603981">
              <w:rPr>
                <w:rFonts w:cstheme="minorHAnsi"/>
              </w:rPr>
              <w:t xml:space="preserve"> wages from being undercut. One peak employer body noted that classifying an employee under an industrial instrument is a practice that has been applied in Australia for decades and there is stable jurisprudence associated with such a task. </w:t>
            </w:r>
          </w:p>
          <w:p w14:paraId="7958FB8A" w14:textId="468943DB" w:rsidR="00AE4775" w:rsidRPr="00603981" w:rsidRDefault="00AE4775" w:rsidP="009171B9">
            <w:pPr>
              <w:spacing w:before="120" w:after="120" w:line="259" w:lineRule="auto"/>
              <w:rPr>
                <w:rFonts w:cstheme="minorHAnsi"/>
              </w:rPr>
            </w:pPr>
            <w:r w:rsidRPr="00603981">
              <w:rPr>
                <w:rFonts w:cstheme="minorHAnsi"/>
              </w:rPr>
              <w:t xml:space="preserve">Most employer groups advocated for using ‘base rate of pay’ to calculate a </w:t>
            </w:r>
            <w:r w:rsidR="007952B6">
              <w:rPr>
                <w:rFonts w:cstheme="minorHAnsi"/>
              </w:rPr>
              <w:t>labour hire employee</w:t>
            </w:r>
            <w:r w:rsidR="007952B6" w:rsidRPr="00603981">
              <w:rPr>
                <w:rFonts w:cstheme="minorHAnsi"/>
              </w:rPr>
              <w:t xml:space="preserve">’s </w:t>
            </w:r>
            <w:r w:rsidRPr="00603981">
              <w:rPr>
                <w:rFonts w:cstheme="minorHAnsi"/>
              </w:rPr>
              <w:t>entitlements</w:t>
            </w:r>
            <w:r w:rsidR="007952B6">
              <w:rPr>
                <w:rFonts w:cstheme="minorHAnsi"/>
              </w:rPr>
              <w:t xml:space="preserve"> under this proposal</w:t>
            </w:r>
            <w:r w:rsidRPr="00603981">
              <w:rPr>
                <w:rFonts w:cstheme="minorHAnsi"/>
              </w:rPr>
              <w:t xml:space="preserve">, whereas employee organisations and academics supported using the concept of ‘full rate of pay’ (which has ultimately been adopted). </w:t>
            </w:r>
          </w:p>
          <w:p w14:paraId="65B6E893" w14:textId="08EE0B95" w:rsidR="00AE4775" w:rsidRPr="00603981" w:rsidRDefault="007952B6" w:rsidP="009171B9">
            <w:pPr>
              <w:spacing w:before="120" w:after="120" w:line="259" w:lineRule="auto"/>
              <w:rPr>
                <w:rFonts w:cstheme="minorHAnsi"/>
              </w:rPr>
            </w:pPr>
            <w:r>
              <w:rPr>
                <w:rFonts w:cstheme="minorHAnsi"/>
              </w:rPr>
              <w:t>E</w:t>
            </w:r>
            <w:r w:rsidR="00AE4775" w:rsidRPr="00603981">
              <w:rPr>
                <w:rFonts w:cstheme="minorHAnsi"/>
              </w:rPr>
              <w:t>mployer</w:t>
            </w:r>
            <w:r>
              <w:rPr>
                <w:rFonts w:cstheme="minorHAnsi"/>
              </w:rPr>
              <w:t xml:space="preserve"> stakeholder</w:t>
            </w:r>
            <w:r w:rsidR="00AE4775" w:rsidRPr="00603981">
              <w:rPr>
                <w:rFonts w:cstheme="minorHAnsi"/>
              </w:rPr>
              <w:t xml:space="preserve">s argued that going beyond the base rate of pay to calculate loadings, allowances, overtime, and penalty rates would be onerous and unworkable for business. Employer representatives argued the complexity of using ‘full rate of pay’ by referring to, for example, different pay periods and methods for calculating entitlements that can arise between industrial instruments, the </w:t>
            </w:r>
            <w:r w:rsidR="00507A14" w:rsidRPr="00603981">
              <w:rPr>
                <w:rFonts w:cstheme="minorHAnsi"/>
              </w:rPr>
              <w:t xml:space="preserve">need </w:t>
            </w:r>
            <w:r w:rsidR="00AE4775" w:rsidRPr="00603981">
              <w:rPr>
                <w:rFonts w:cstheme="minorHAnsi"/>
              </w:rPr>
              <w:t xml:space="preserve">for labour hire providers to consider Single Touch Payroll compliance, and that requiring a labour hire </w:t>
            </w:r>
            <w:r w:rsidR="00B9029E">
              <w:rPr>
                <w:rFonts w:cstheme="minorHAnsi"/>
              </w:rPr>
              <w:t>employer</w:t>
            </w:r>
            <w:r w:rsidR="00B9029E" w:rsidRPr="00603981">
              <w:rPr>
                <w:rFonts w:cstheme="minorHAnsi"/>
              </w:rPr>
              <w:t xml:space="preserve"> </w:t>
            </w:r>
            <w:r w:rsidR="00AE4775" w:rsidRPr="00603981">
              <w:rPr>
                <w:rFonts w:cstheme="minorHAnsi"/>
              </w:rPr>
              <w:t xml:space="preserve">to apply rules regarding these entitlements – as prescribed in a host enterprise agreement, where these differ from the </w:t>
            </w:r>
            <w:r w:rsidR="00503061" w:rsidRPr="00603981">
              <w:rPr>
                <w:rFonts w:cstheme="minorHAnsi"/>
              </w:rPr>
              <w:t xml:space="preserve">labour hire </w:t>
            </w:r>
            <w:r w:rsidR="00B9029E">
              <w:rPr>
                <w:rFonts w:cstheme="minorHAnsi"/>
              </w:rPr>
              <w:t>employer</w:t>
            </w:r>
            <w:r w:rsidR="00B9029E" w:rsidRPr="00603981">
              <w:rPr>
                <w:rFonts w:cstheme="minorHAnsi"/>
              </w:rPr>
              <w:t xml:space="preserve">’s </w:t>
            </w:r>
            <w:r w:rsidR="00AE4775" w:rsidRPr="00603981">
              <w:rPr>
                <w:rFonts w:cstheme="minorHAnsi"/>
              </w:rPr>
              <w:t xml:space="preserve">ordinary practices – would </w:t>
            </w:r>
            <w:r w:rsidR="00B9029E">
              <w:rPr>
                <w:rFonts w:cstheme="minorHAnsi"/>
              </w:rPr>
              <w:t>lead</w:t>
            </w:r>
            <w:r w:rsidR="00AE4775" w:rsidRPr="00603981">
              <w:rPr>
                <w:rFonts w:cstheme="minorHAnsi"/>
              </w:rPr>
              <w:t xml:space="preserve"> to heightened administrative burden and compliance risks.</w:t>
            </w:r>
          </w:p>
          <w:p w14:paraId="35052A97" w14:textId="3165EC85" w:rsidR="00AE4775" w:rsidRPr="00603981" w:rsidRDefault="00AE4775" w:rsidP="009171B9">
            <w:pPr>
              <w:spacing w:before="120" w:after="120" w:line="259" w:lineRule="auto"/>
              <w:rPr>
                <w:rFonts w:cstheme="minorHAnsi"/>
              </w:rPr>
            </w:pPr>
            <w:r w:rsidRPr="00603981">
              <w:rPr>
                <w:rFonts w:cstheme="minorHAnsi"/>
              </w:rPr>
              <w:t xml:space="preserve">Many employers also raised concerns with the inclusion of incentive and performance-based pay, arguing these would be difficult for </w:t>
            </w:r>
            <w:r w:rsidR="00503061" w:rsidRPr="00603981">
              <w:rPr>
                <w:rFonts w:cstheme="minorHAnsi"/>
              </w:rPr>
              <w:t xml:space="preserve">labour hire </w:t>
            </w:r>
            <w:r w:rsidR="009268C2">
              <w:rPr>
                <w:rFonts w:cstheme="minorHAnsi"/>
              </w:rPr>
              <w:t>employers</w:t>
            </w:r>
            <w:r w:rsidR="009268C2" w:rsidRPr="00603981">
              <w:rPr>
                <w:rFonts w:cstheme="minorHAnsi"/>
              </w:rPr>
              <w:t xml:space="preserve"> </w:t>
            </w:r>
            <w:r w:rsidRPr="00603981">
              <w:rPr>
                <w:rFonts w:cstheme="minorHAnsi"/>
              </w:rPr>
              <w:t xml:space="preserve">to calculate. </w:t>
            </w:r>
            <w:r w:rsidR="00503061" w:rsidRPr="00603981">
              <w:rPr>
                <w:rFonts w:cstheme="minorHAnsi"/>
              </w:rPr>
              <w:t xml:space="preserve">Labour hire </w:t>
            </w:r>
            <w:r w:rsidR="009268C2">
              <w:rPr>
                <w:rFonts w:cstheme="minorHAnsi"/>
              </w:rPr>
              <w:t>employers</w:t>
            </w:r>
            <w:r w:rsidR="009268C2" w:rsidRPr="00603981">
              <w:rPr>
                <w:rFonts w:cstheme="minorHAnsi"/>
              </w:rPr>
              <w:t xml:space="preserve"> </w:t>
            </w:r>
            <w:r w:rsidRPr="00603981">
              <w:rPr>
                <w:rFonts w:cstheme="minorHAnsi"/>
              </w:rPr>
              <w:t xml:space="preserve">generally supported what they referred to as ‘identifiable’ pay in an agreement and </w:t>
            </w:r>
            <w:r w:rsidR="00C27F53" w:rsidRPr="00603981">
              <w:rPr>
                <w:rFonts w:cstheme="minorHAnsi"/>
              </w:rPr>
              <w:t xml:space="preserve">requested </w:t>
            </w:r>
            <w:r w:rsidRPr="00603981">
              <w:rPr>
                <w:rFonts w:cstheme="minorHAnsi"/>
              </w:rPr>
              <w:t xml:space="preserve">clear guidance on how to calculate entitlements. </w:t>
            </w:r>
          </w:p>
          <w:p w14:paraId="5FAB68E5" w14:textId="14A2ABDE" w:rsidR="00C27E7F" w:rsidRPr="00603981" w:rsidRDefault="00AE4775" w:rsidP="009171B9">
            <w:pPr>
              <w:spacing w:before="120" w:after="120" w:line="259" w:lineRule="auto"/>
              <w:rPr>
                <w:rFonts w:cstheme="minorHAnsi"/>
              </w:rPr>
            </w:pPr>
            <w:r w:rsidRPr="00603981">
              <w:rPr>
                <w:rFonts w:cstheme="minorHAnsi"/>
              </w:rPr>
              <w:t xml:space="preserve">Employers also raised concerns with labour hire </w:t>
            </w:r>
            <w:r w:rsidR="009268C2">
              <w:rPr>
                <w:rFonts w:cstheme="minorHAnsi"/>
              </w:rPr>
              <w:t>employees</w:t>
            </w:r>
            <w:r w:rsidR="009268C2" w:rsidRPr="00603981">
              <w:rPr>
                <w:rFonts w:cstheme="minorHAnsi"/>
              </w:rPr>
              <w:t xml:space="preserve"> </w:t>
            </w:r>
            <w:r w:rsidRPr="00603981">
              <w:rPr>
                <w:rFonts w:cstheme="minorHAnsi"/>
              </w:rPr>
              <w:t xml:space="preserve">being paid the same as </w:t>
            </w:r>
            <w:r w:rsidR="009268C2">
              <w:rPr>
                <w:rFonts w:cstheme="minorHAnsi"/>
              </w:rPr>
              <w:t>host</w:t>
            </w:r>
            <w:r w:rsidR="009268C2" w:rsidRPr="00603981">
              <w:rPr>
                <w:rFonts w:cstheme="minorHAnsi"/>
              </w:rPr>
              <w:t xml:space="preserve"> </w:t>
            </w:r>
            <w:r w:rsidRPr="00603981">
              <w:rPr>
                <w:rFonts w:cstheme="minorHAnsi"/>
              </w:rPr>
              <w:t xml:space="preserve">employees without taking into account differences in skills, experience and qualifications. </w:t>
            </w:r>
            <w:r w:rsidRPr="00603981">
              <w:t xml:space="preserve">They argued that requiring labour hire </w:t>
            </w:r>
            <w:r w:rsidR="009268C2">
              <w:t>employees</w:t>
            </w:r>
            <w:r w:rsidR="009268C2" w:rsidRPr="00603981">
              <w:t xml:space="preserve"> </w:t>
            </w:r>
            <w:r w:rsidRPr="00603981">
              <w:t>with little to no experience to be paid the same as more qualified or experience</w:t>
            </w:r>
            <w:r w:rsidR="00C27E7F" w:rsidRPr="00603981">
              <w:t>d</w:t>
            </w:r>
            <w:r w:rsidRPr="00603981">
              <w:t xml:space="preserve"> </w:t>
            </w:r>
            <w:r w:rsidR="009268C2">
              <w:t>host</w:t>
            </w:r>
            <w:r w:rsidR="009268C2" w:rsidRPr="00603981">
              <w:t xml:space="preserve"> </w:t>
            </w:r>
            <w:r w:rsidRPr="00603981">
              <w:t>employees would be an adverse outcome of the proposal.</w:t>
            </w:r>
            <w:r w:rsidRPr="00603981">
              <w:rPr>
                <w:rFonts w:cstheme="minorHAnsi"/>
              </w:rPr>
              <w:t xml:space="preserve"> </w:t>
            </w:r>
          </w:p>
          <w:p w14:paraId="08F71D77" w14:textId="3EB3397D" w:rsidR="00AE4775" w:rsidRPr="00603981" w:rsidRDefault="00AE4775" w:rsidP="009171B9">
            <w:pPr>
              <w:spacing w:before="120" w:after="120" w:line="259" w:lineRule="auto"/>
              <w:rPr>
                <w:rStyle w:val="normaltextrun"/>
                <w:rFonts w:cstheme="minorHAnsi"/>
                <w:color w:val="000000"/>
              </w:rPr>
            </w:pPr>
            <w:r w:rsidRPr="00603981">
              <w:rPr>
                <w:rStyle w:val="normaltextrun"/>
                <w:rFonts w:cstheme="minorHAnsi"/>
                <w:color w:val="000000"/>
              </w:rPr>
              <w:t xml:space="preserve">Few stakeholders addressed how enforcement of </w:t>
            </w:r>
            <w:r w:rsidR="003966E9" w:rsidRPr="00603981">
              <w:rPr>
                <w:rStyle w:val="normaltextrun"/>
                <w:rFonts w:cstheme="minorHAnsi"/>
                <w:color w:val="000000"/>
              </w:rPr>
              <w:t xml:space="preserve">the </w:t>
            </w:r>
            <w:r w:rsidRPr="00603981">
              <w:rPr>
                <w:rStyle w:val="normaltextrun"/>
                <w:rFonts w:cstheme="minorHAnsi"/>
                <w:color w:val="000000"/>
              </w:rPr>
              <w:t>pr</w:t>
            </w:r>
            <w:r w:rsidRPr="00603981">
              <w:rPr>
                <w:rStyle w:val="normaltextrun"/>
                <w:color w:val="000000"/>
              </w:rPr>
              <w:t>oposal</w:t>
            </w:r>
            <w:r w:rsidRPr="00603981">
              <w:rPr>
                <w:rStyle w:val="normaltextrun"/>
                <w:rFonts w:cstheme="minorHAnsi"/>
                <w:color w:val="000000"/>
              </w:rPr>
              <w:t xml:space="preserve"> should work. Of the employer organisations that did address enforcement, some submitted that penalties should only apply to </w:t>
            </w:r>
            <w:r w:rsidRPr="00603981">
              <w:rPr>
                <w:rStyle w:val="normaltextrun"/>
                <w:rFonts w:cstheme="minorHAnsi"/>
                <w:i/>
                <w:iCs/>
                <w:color w:val="000000"/>
              </w:rPr>
              <w:t>deliberate</w:t>
            </w:r>
            <w:r w:rsidRPr="00603981">
              <w:rPr>
                <w:rStyle w:val="normaltextrun"/>
                <w:rFonts w:cstheme="minorHAnsi"/>
                <w:color w:val="000000"/>
              </w:rPr>
              <w:t xml:space="preserve"> breaches of statutory obligations. Employee organisations wanted unions to have the power to enforce relevant provisions and supported civil penalties for breaches, and for breaches to be treated as underpayments.</w:t>
            </w:r>
          </w:p>
          <w:p w14:paraId="0B3210F6" w14:textId="71A7D598" w:rsidR="00AE4775" w:rsidRPr="00603981" w:rsidRDefault="00AE4775" w:rsidP="009171B9">
            <w:pPr>
              <w:spacing w:before="120" w:after="120" w:line="259" w:lineRule="auto"/>
              <w:rPr>
                <w:rFonts w:cstheme="minorHAnsi"/>
              </w:rPr>
            </w:pPr>
            <w:r w:rsidRPr="00603981">
              <w:lastRenderedPageBreak/>
              <w:t xml:space="preserve">Where employers addressed the topic of transition, they requested a long transition period </w:t>
            </w:r>
            <w:r w:rsidR="007F57C3" w:rsidRPr="00603981">
              <w:t xml:space="preserve">(more </w:t>
            </w:r>
            <w:r w:rsidRPr="00603981">
              <w:t>than 12 month</w:t>
            </w:r>
            <w:r w:rsidR="00B666B2" w:rsidRPr="00603981">
              <w:t>s</w:t>
            </w:r>
            <w:r w:rsidRPr="00603981">
              <w:t xml:space="preserve"> after Royal Assent</w:t>
            </w:r>
            <w:r w:rsidR="00B666B2" w:rsidRPr="00603981">
              <w:t>)</w:t>
            </w:r>
            <w:r w:rsidRPr="00603981">
              <w:t>. A number of employer representatives advocated for that period to be at least 1-2 years.</w:t>
            </w:r>
          </w:p>
        </w:tc>
      </w:tr>
      <w:tr w:rsidR="00AE4775" w:rsidRPr="00603981" w14:paraId="0A3BD76C" w14:textId="77777777">
        <w:tc>
          <w:tcPr>
            <w:tcW w:w="1555" w:type="dxa"/>
            <w:shd w:val="clear" w:color="auto" w:fill="7A9F4C"/>
          </w:tcPr>
          <w:p w14:paraId="0AF40E66" w14:textId="77777777" w:rsidR="00AE4775" w:rsidRPr="00603981" w:rsidRDefault="00AE4775" w:rsidP="009171B9">
            <w:pPr>
              <w:spacing w:before="120" w:after="120" w:line="259" w:lineRule="auto"/>
              <w:rPr>
                <w:rFonts w:cstheme="minorHAnsi"/>
                <w:color w:val="FFFFFF" w:themeColor="background1"/>
              </w:rPr>
            </w:pPr>
            <w:r w:rsidRPr="00603981">
              <w:rPr>
                <w:rFonts w:cstheme="minorHAnsi"/>
                <w:b/>
                <w:bCs/>
                <w:color w:val="FFFFFF" w:themeColor="background1"/>
              </w:rPr>
              <w:lastRenderedPageBreak/>
              <w:t>How views informed the design of the preferred option</w:t>
            </w:r>
            <w:r w:rsidRPr="00603981" w:rsidDel="001D32F9">
              <w:rPr>
                <w:b/>
                <w:bCs/>
                <w:iCs/>
                <w:color w:val="FFFFFF" w:themeColor="background1"/>
              </w:rPr>
              <w:t xml:space="preserve"> </w:t>
            </w:r>
          </w:p>
        </w:tc>
        <w:tc>
          <w:tcPr>
            <w:tcW w:w="7461" w:type="dxa"/>
          </w:tcPr>
          <w:p w14:paraId="4011A50A" w14:textId="3950846A" w:rsidR="002C01CF" w:rsidRDefault="008302A2" w:rsidP="009171B9">
            <w:pPr>
              <w:spacing w:before="120" w:after="120" w:line="259" w:lineRule="auto"/>
              <w:rPr>
                <w:rFonts w:cstheme="minorHAnsi"/>
              </w:rPr>
            </w:pPr>
            <w:r>
              <w:rPr>
                <w:rFonts w:cstheme="minorHAnsi"/>
              </w:rPr>
              <w:t xml:space="preserve">The final design of the </w:t>
            </w:r>
            <w:r w:rsidR="00E90919">
              <w:rPr>
                <w:rFonts w:cstheme="minorHAnsi"/>
              </w:rPr>
              <w:t>p</w:t>
            </w:r>
            <w:r w:rsidR="00E90919">
              <w:t>roposal</w:t>
            </w:r>
            <w:r>
              <w:rPr>
                <w:rFonts w:cstheme="minorHAnsi"/>
              </w:rPr>
              <w:t xml:space="preserve"> </w:t>
            </w:r>
            <w:r w:rsidR="00ED4078">
              <w:rPr>
                <w:rFonts w:cstheme="minorHAnsi"/>
              </w:rPr>
              <w:t xml:space="preserve">is an application-based model where </w:t>
            </w:r>
            <w:r w:rsidR="00E90919">
              <w:rPr>
                <w:rFonts w:cstheme="minorHAnsi"/>
              </w:rPr>
              <w:t>obligations on business</w:t>
            </w:r>
            <w:r w:rsidR="00ED4078">
              <w:rPr>
                <w:rFonts w:cstheme="minorHAnsi"/>
              </w:rPr>
              <w:t xml:space="preserve"> will </w:t>
            </w:r>
            <w:r w:rsidR="00E90919">
              <w:rPr>
                <w:rFonts w:cstheme="minorHAnsi"/>
              </w:rPr>
              <w:t xml:space="preserve">only be activated by </w:t>
            </w:r>
            <w:r w:rsidR="00880A5E">
              <w:rPr>
                <w:rFonts w:cstheme="minorHAnsi"/>
              </w:rPr>
              <w:t>application to the Fair Work Commission</w:t>
            </w:r>
            <w:r w:rsidR="006D1BF8">
              <w:rPr>
                <w:rFonts w:cstheme="minorHAnsi"/>
              </w:rPr>
              <w:t xml:space="preserve">. </w:t>
            </w:r>
          </w:p>
          <w:p w14:paraId="79C4D933" w14:textId="38E64DB5" w:rsidR="00032D40" w:rsidRPr="0075397D" w:rsidRDefault="000672C7" w:rsidP="009171B9">
            <w:pPr>
              <w:spacing w:before="120" w:after="120" w:line="259" w:lineRule="auto"/>
              <w:rPr>
                <w:rFonts w:cstheme="minorHAnsi"/>
              </w:rPr>
            </w:pPr>
            <w:r>
              <w:rPr>
                <w:rFonts w:cstheme="minorHAnsi"/>
              </w:rPr>
              <w:t xml:space="preserve">During this </w:t>
            </w:r>
            <w:r w:rsidRPr="0075397D">
              <w:rPr>
                <w:rFonts w:cstheme="minorHAnsi"/>
              </w:rPr>
              <w:t xml:space="preserve">application, </w:t>
            </w:r>
            <w:r w:rsidR="00032D40" w:rsidRPr="0075397D">
              <w:rPr>
                <w:rFonts w:cstheme="minorHAnsi"/>
              </w:rPr>
              <w:t xml:space="preserve">it will be open to business to </w:t>
            </w:r>
            <w:r w:rsidR="001149DA" w:rsidRPr="0075397D">
              <w:rPr>
                <w:rFonts w:cstheme="minorHAnsi"/>
              </w:rPr>
              <w:t>draw to the</w:t>
            </w:r>
            <w:r w:rsidR="005812AD" w:rsidRPr="0075397D">
              <w:rPr>
                <w:rFonts w:cstheme="minorHAnsi"/>
              </w:rPr>
              <w:t xml:space="preserve"> Fair Work Commission</w:t>
            </w:r>
            <w:r w:rsidR="001149DA" w:rsidRPr="0075397D">
              <w:rPr>
                <w:rFonts w:cstheme="minorHAnsi"/>
              </w:rPr>
              <w:t xml:space="preserve">’s attention the nature of the arrangement in place, including whether it is a service contracting arrangement, which will inform whether the Commission will make an order. The capacity for parties to address this in the Commission is intended to address concerns raised by employer representatives </w:t>
            </w:r>
            <w:r w:rsidR="00EE112F" w:rsidRPr="0075397D">
              <w:rPr>
                <w:rFonts w:cstheme="minorHAnsi"/>
              </w:rPr>
              <w:t>who sought clarity on the types of arrangements to which this measure applies.</w:t>
            </w:r>
          </w:p>
          <w:p w14:paraId="6C90859E" w14:textId="44207307" w:rsidR="000672C7" w:rsidRDefault="00EE112F" w:rsidP="009171B9">
            <w:pPr>
              <w:spacing w:before="120" w:after="120" w:line="259" w:lineRule="auto"/>
              <w:rPr>
                <w:rFonts w:cstheme="minorHAnsi"/>
              </w:rPr>
            </w:pPr>
            <w:r w:rsidRPr="0075397D">
              <w:rPr>
                <w:rFonts w:cstheme="minorHAnsi"/>
              </w:rPr>
              <w:t xml:space="preserve">During an application, </w:t>
            </w:r>
            <w:r w:rsidR="000672C7" w:rsidRPr="0075397D">
              <w:rPr>
                <w:rFonts w:cstheme="minorHAnsi"/>
              </w:rPr>
              <w:t>information is expected to be provided</w:t>
            </w:r>
            <w:r w:rsidR="000672C7">
              <w:rPr>
                <w:rFonts w:cstheme="minorHAnsi"/>
              </w:rPr>
              <w:t xml:space="preserve"> by a host to the Fair Work Commission and other parties about how to interpret their enterprise agreement and the rates that would be payable to affected labour hire employees if they were directly engaged. The disclosure of this information during the application process</w:t>
            </w:r>
            <w:r w:rsidR="00E81275">
              <w:rPr>
                <w:rFonts w:cstheme="minorHAnsi"/>
              </w:rPr>
              <w:t xml:space="preserve">, and the fact that the Fair Work Commission may set out the correct rate of pay in an order, </w:t>
            </w:r>
            <w:r w:rsidR="000672C7">
              <w:rPr>
                <w:rFonts w:cstheme="minorHAnsi"/>
              </w:rPr>
              <w:t>should allay concerns from labour hire employers about not having sufficient information to be able to comply with a Fair Work Commission order.</w:t>
            </w:r>
          </w:p>
          <w:p w14:paraId="22CC578F" w14:textId="7AD3E8B7" w:rsidR="000672C7" w:rsidRDefault="000672C7" w:rsidP="009171B9">
            <w:pPr>
              <w:spacing w:before="120" w:after="120" w:line="259" w:lineRule="auto"/>
              <w:rPr>
                <w:rFonts w:cstheme="minorHAnsi"/>
              </w:rPr>
            </w:pPr>
            <w:r>
              <w:rPr>
                <w:rFonts w:cstheme="minorHAnsi"/>
              </w:rPr>
              <w:t xml:space="preserve">When an order is made, payments to labour hire employees will be calculated with reference to the ‘full rate of pay’ in the host’s enterprise agreement. While stakeholders raised administrative burden as a reason for limiting this proposal to the ‘base rate of pay’, for many workers a notable portion of their income comes from penalties, loadings and allowances – to exclude these from the proposal would </w:t>
            </w:r>
            <w:r w:rsidR="0082644B">
              <w:rPr>
                <w:rFonts w:cstheme="minorHAnsi"/>
              </w:rPr>
              <w:t xml:space="preserve">be </w:t>
            </w:r>
            <w:r>
              <w:rPr>
                <w:rFonts w:cstheme="minorHAnsi"/>
              </w:rPr>
              <w:t>insufficient</w:t>
            </w:r>
            <w:r w:rsidR="0082644B">
              <w:rPr>
                <w:rFonts w:cstheme="minorHAnsi"/>
              </w:rPr>
              <w:t xml:space="preserve"> to</w:t>
            </w:r>
            <w:r>
              <w:rPr>
                <w:rFonts w:cstheme="minorHAnsi"/>
              </w:rPr>
              <w:t xml:space="preserve"> protect bargained wages and would risk labour hire employees being paid less than host employees under such agreements.</w:t>
            </w:r>
          </w:p>
          <w:p w14:paraId="4CB9AD58" w14:textId="03C37384" w:rsidR="00AE4775" w:rsidRPr="00603981" w:rsidRDefault="000672C7" w:rsidP="009171B9">
            <w:pPr>
              <w:spacing w:before="120" w:after="120" w:line="259" w:lineRule="auto"/>
              <w:rPr>
                <w:rFonts w:cstheme="minorHAnsi"/>
              </w:rPr>
            </w:pPr>
            <w:r w:rsidRPr="00603981">
              <w:rPr>
                <w:rFonts w:cstheme="minorHAnsi"/>
              </w:rPr>
              <w:t>In order to address concern</w:t>
            </w:r>
            <w:r>
              <w:rPr>
                <w:rFonts w:cstheme="minorHAnsi"/>
              </w:rPr>
              <w:t>s about labour hire employees being paid the same as host employees with disparate skills and experience</w:t>
            </w:r>
            <w:r w:rsidRPr="00603981">
              <w:rPr>
                <w:rFonts w:cstheme="minorHAnsi"/>
              </w:rPr>
              <w:t>, the proposal will operate so that w</w:t>
            </w:r>
            <w:r w:rsidRPr="00603981">
              <w:rPr>
                <w:rStyle w:val="normaltextrun"/>
                <w:rFonts w:cstheme="minorHAnsi"/>
                <w:color w:val="000000"/>
              </w:rPr>
              <w:t xml:space="preserve">here there are multiple </w:t>
            </w:r>
            <w:r w:rsidRPr="00603981">
              <w:rPr>
                <w:rStyle w:val="normaltextrun"/>
                <w:color w:val="000000"/>
              </w:rPr>
              <w:t>classifications and/or multiple</w:t>
            </w:r>
            <w:r w:rsidRPr="00603981">
              <w:rPr>
                <w:rStyle w:val="normaltextrun"/>
                <w:rFonts w:cstheme="minorHAnsi"/>
                <w:color w:val="000000"/>
              </w:rPr>
              <w:t xml:space="preserve"> pay points for a classification in a host’s enterprise agreement</w:t>
            </w:r>
            <w:r>
              <w:rPr>
                <w:rStyle w:val="normaltextrun"/>
                <w:rFonts w:cstheme="minorHAnsi"/>
                <w:color w:val="000000"/>
              </w:rPr>
              <w:t xml:space="preserve"> that are distinguished based on employee skills, qualifications and/or experience</w:t>
            </w:r>
            <w:r w:rsidRPr="00603981">
              <w:rPr>
                <w:rStyle w:val="normaltextrun"/>
                <w:rFonts w:cstheme="minorHAnsi"/>
                <w:color w:val="000000"/>
              </w:rPr>
              <w:t>, the obligation o</w:t>
            </w:r>
            <w:r w:rsidRPr="00603981">
              <w:rPr>
                <w:rStyle w:val="normaltextrun"/>
                <w:color w:val="000000"/>
              </w:rPr>
              <w:t xml:space="preserve">n labour hire </w:t>
            </w:r>
            <w:r>
              <w:rPr>
                <w:rStyle w:val="normaltextrun"/>
                <w:color w:val="000000"/>
              </w:rPr>
              <w:t>employers</w:t>
            </w:r>
            <w:r w:rsidRPr="00603981">
              <w:rPr>
                <w:rStyle w:val="normaltextrun"/>
                <w:color w:val="000000"/>
              </w:rPr>
              <w:t xml:space="preserve"> </w:t>
            </w:r>
            <w:r w:rsidRPr="00603981">
              <w:rPr>
                <w:rStyle w:val="normaltextrun"/>
                <w:rFonts w:cstheme="minorHAnsi"/>
                <w:color w:val="000000"/>
              </w:rPr>
              <w:t xml:space="preserve">is to pay pursuant to the pay point </w:t>
            </w:r>
            <w:r>
              <w:rPr>
                <w:rStyle w:val="normaltextrun"/>
                <w:rFonts w:cstheme="minorHAnsi"/>
                <w:color w:val="000000"/>
              </w:rPr>
              <w:t>referable</w:t>
            </w:r>
            <w:r w:rsidRPr="00603981">
              <w:rPr>
                <w:rStyle w:val="normaltextrun"/>
                <w:color w:val="000000"/>
              </w:rPr>
              <w:t xml:space="preserve"> to the </w:t>
            </w:r>
            <w:r>
              <w:rPr>
                <w:rStyle w:val="normaltextrun"/>
                <w:color w:val="000000"/>
              </w:rPr>
              <w:t>employee</w:t>
            </w:r>
            <w:r w:rsidRPr="00603981">
              <w:rPr>
                <w:rStyle w:val="normaltextrun"/>
                <w:color w:val="000000"/>
              </w:rPr>
              <w:t xml:space="preserve">’s </w:t>
            </w:r>
            <w:r w:rsidRPr="00603981">
              <w:rPr>
                <w:rStyle w:val="normaltextrun"/>
                <w:rFonts w:cstheme="minorHAnsi"/>
                <w:color w:val="000000"/>
              </w:rPr>
              <w:t>skills, qualification, experience.</w:t>
            </w:r>
            <w:r>
              <w:rPr>
                <w:rStyle w:val="normaltextrun"/>
                <w:rFonts w:cstheme="minorHAnsi"/>
                <w:color w:val="000000"/>
              </w:rPr>
              <w:t xml:space="preserve"> </w:t>
            </w:r>
          </w:p>
        </w:tc>
      </w:tr>
    </w:tbl>
    <w:p w14:paraId="34C40488" w14:textId="77777777" w:rsidR="00AE4775" w:rsidRPr="00603981" w:rsidRDefault="00AE4775" w:rsidP="00AE4775">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555"/>
        <w:gridCol w:w="7461"/>
      </w:tblGrid>
      <w:tr w:rsidR="00AE4775" w:rsidRPr="00603981" w14:paraId="01D7C2D4" w14:textId="77777777" w:rsidTr="50FDCE26">
        <w:tc>
          <w:tcPr>
            <w:tcW w:w="9016" w:type="dxa"/>
            <w:gridSpan w:val="2"/>
            <w:shd w:val="clear" w:color="auto" w:fill="404246"/>
          </w:tcPr>
          <w:p w14:paraId="5EEE9505" w14:textId="555489F6" w:rsidR="00AE4775" w:rsidRPr="00603981" w:rsidRDefault="00AE4775" w:rsidP="009171B9">
            <w:pPr>
              <w:widowControl w:val="0"/>
              <w:spacing w:before="120" w:after="120" w:line="259" w:lineRule="auto"/>
              <w:rPr>
                <w:rFonts w:cstheme="minorHAnsi"/>
                <w:color w:val="FFFFFF" w:themeColor="background1"/>
              </w:rPr>
            </w:pPr>
            <w:r w:rsidRPr="00603981">
              <w:rPr>
                <w:b/>
                <w:bCs/>
                <w:iCs/>
                <w:color w:val="FFFFFF" w:themeColor="background1"/>
              </w:rPr>
              <w:t xml:space="preserve">3. </w:t>
            </w:r>
            <w:r w:rsidR="005C431B">
              <w:rPr>
                <w:b/>
                <w:bCs/>
                <w:iCs/>
                <w:color w:val="FFFFFF" w:themeColor="background1"/>
              </w:rPr>
              <w:t>How disputes are resolved</w:t>
            </w:r>
          </w:p>
        </w:tc>
      </w:tr>
      <w:tr w:rsidR="00AE4775" w:rsidRPr="00603981" w14:paraId="092D5DFD" w14:textId="77777777" w:rsidTr="50FDCE26">
        <w:tc>
          <w:tcPr>
            <w:tcW w:w="1555" w:type="dxa"/>
            <w:shd w:val="clear" w:color="auto" w:fill="7A9F4C"/>
          </w:tcPr>
          <w:p w14:paraId="4D59E29B" w14:textId="77777777" w:rsidR="00AE4775" w:rsidRPr="00603981" w:rsidRDefault="00AE4775" w:rsidP="009171B9">
            <w:pPr>
              <w:widowControl w:val="0"/>
              <w:spacing w:before="120" w:after="120" w:line="259" w:lineRule="auto"/>
              <w:rPr>
                <w:rFonts w:cstheme="minorHAnsi"/>
                <w:b/>
                <w:bCs/>
                <w:color w:val="FFFFFF" w:themeColor="background1"/>
                <w:sz w:val="24"/>
                <w:szCs w:val="24"/>
              </w:rPr>
            </w:pPr>
            <w:r w:rsidRPr="00603981">
              <w:rPr>
                <w:b/>
                <w:bCs/>
                <w:iCs/>
                <w:color w:val="FFFFFF" w:themeColor="background1"/>
              </w:rPr>
              <w:t>Areas of agreement</w:t>
            </w:r>
          </w:p>
        </w:tc>
        <w:tc>
          <w:tcPr>
            <w:tcW w:w="7461" w:type="dxa"/>
          </w:tcPr>
          <w:p w14:paraId="0C5738DE" w14:textId="2C009C51" w:rsidR="00AE4775" w:rsidRPr="00603981" w:rsidRDefault="00AE4775" w:rsidP="009171B9">
            <w:pPr>
              <w:widowControl w:val="0"/>
              <w:spacing w:before="120" w:after="120" w:line="259" w:lineRule="auto"/>
              <w:rPr>
                <w:rFonts w:cstheme="minorHAnsi"/>
                <w:bCs/>
                <w:sz w:val="24"/>
                <w:szCs w:val="24"/>
              </w:rPr>
            </w:pPr>
            <w:r w:rsidRPr="00603981">
              <w:rPr>
                <w:rFonts w:cstheme="minorHAnsi"/>
              </w:rPr>
              <w:t xml:space="preserve">Most stakeholders supported the Fair Work Commission having a role in resolving disputes. Few stakeholders </w:t>
            </w:r>
            <w:r w:rsidR="00251B73" w:rsidRPr="00603981">
              <w:rPr>
                <w:rFonts w:cstheme="minorHAnsi"/>
              </w:rPr>
              <w:t>o</w:t>
            </w:r>
            <w:r w:rsidR="00251B73" w:rsidRPr="00603981">
              <w:t>pposed</w:t>
            </w:r>
            <w:r w:rsidR="00251B73" w:rsidRPr="00603981">
              <w:rPr>
                <w:rFonts w:cstheme="minorHAnsi"/>
              </w:rPr>
              <w:t xml:space="preserve"> </w:t>
            </w:r>
            <w:r w:rsidRPr="00603981">
              <w:rPr>
                <w:rFonts w:cstheme="minorHAnsi"/>
              </w:rPr>
              <w:t>the Fair</w:t>
            </w:r>
            <w:r w:rsidR="00114A6F" w:rsidRPr="00603981">
              <w:rPr>
                <w:rFonts w:cstheme="minorHAnsi"/>
              </w:rPr>
              <w:t> </w:t>
            </w:r>
            <w:r w:rsidRPr="00603981">
              <w:rPr>
                <w:rFonts w:cstheme="minorHAnsi"/>
              </w:rPr>
              <w:t>Work Ombudsman regulating the proposal.</w:t>
            </w:r>
          </w:p>
        </w:tc>
      </w:tr>
      <w:tr w:rsidR="00AE4775" w:rsidRPr="00603981" w14:paraId="45673939" w14:textId="77777777" w:rsidTr="50FDCE26">
        <w:tc>
          <w:tcPr>
            <w:tcW w:w="1555" w:type="dxa"/>
            <w:shd w:val="clear" w:color="auto" w:fill="5D7A38"/>
          </w:tcPr>
          <w:p w14:paraId="2C7B7560" w14:textId="77777777" w:rsidR="00AE4775" w:rsidRPr="00603981" w:rsidRDefault="00AE4775" w:rsidP="009171B9">
            <w:pPr>
              <w:widowControl w:val="0"/>
              <w:spacing w:before="120" w:after="120" w:line="259" w:lineRule="auto"/>
              <w:rPr>
                <w:b/>
                <w:bCs/>
                <w:iCs/>
                <w:color w:val="FFFFFF" w:themeColor="background1"/>
              </w:rPr>
            </w:pPr>
            <w:r w:rsidRPr="00603981">
              <w:rPr>
                <w:b/>
                <w:bCs/>
                <w:iCs/>
                <w:color w:val="FFFFFF" w:themeColor="background1"/>
              </w:rPr>
              <w:t xml:space="preserve">Areas of difference </w:t>
            </w:r>
          </w:p>
          <w:p w14:paraId="17529BC6" w14:textId="77777777" w:rsidR="00AE4775" w:rsidRPr="00603981" w:rsidRDefault="00AE4775" w:rsidP="009171B9">
            <w:pPr>
              <w:widowControl w:val="0"/>
              <w:spacing w:before="120" w:after="120" w:line="259" w:lineRule="auto"/>
              <w:rPr>
                <w:rFonts w:cstheme="minorHAnsi"/>
                <w:b/>
                <w:bCs/>
                <w:color w:val="FFFFFF" w:themeColor="background1"/>
                <w:sz w:val="24"/>
                <w:szCs w:val="24"/>
              </w:rPr>
            </w:pPr>
          </w:p>
        </w:tc>
        <w:tc>
          <w:tcPr>
            <w:tcW w:w="7461" w:type="dxa"/>
          </w:tcPr>
          <w:p w14:paraId="37CB3C16" w14:textId="23E8B677" w:rsidR="00AE4775" w:rsidRPr="00603981" w:rsidRDefault="00AE4775" w:rsidP="009171B9">
            <w:pPr>
              <w:widowControl w:val="0"/>
              <w:spacing w:before="120" w:after="120" w:line="259" w:lineRule="auto"/>
              <w:rPr>
                <w:rFonts w:cstheme="minorHAnsi"/>
              </w:rPr>
            </w:pPr>
            <w:r w:rsidRPr="00603981">
              <w:rPr>
                <w:rFonts w:cstheme="minorHAnsi"/>
              </w:rPr>
              <w:t>Employer groups proposed</w:t>
            </w:r>
            <w:r w:rsidRPr="00603981" w:rsidDel="002E615A">
              <w:rPr>
                <w:rFonts w:cstheme="minorHAnsi"/>
              </w:rPr>
              <w:t xml:space="preserve"> </w:t>
            </w:r>
            <w:r w:rsidRPr="00603981">
              <w:rPr>
                <w:rFonts w:cstheme="minorHAnsi"/>
              </w:rPr>
              <w:t xml:space="preserve">that parties be required to attempt to resolve disputes at the workplace level before </w:t>
            </w:r>
            <w:r w:rsidR="0090499F">
              <w:rPr>
                <w:rFonts w:cstheme="minorHAnsi"/>
              </w:rPr>
              <w:t>applying</w:t>
            </w:r>
            <w:r w:rsidRPr="00603981">
              <w:rPr>
                <w:rFonts w:cstheme="minorHAnsi"/>
              </w:rPr>
              <w:t xml:space="preserve"> to the Fair</w:t>
            </w:r>
            <w:r w:rsidR="00432BE3" w:rsidRPr="00603981">
              <w:rPr>
                <w:rFonts w:cstheme="minorHAnsi"/>
              </w:rPr>
              <w:t> </w:t>
            </w:r>
            <w:r w:rsidRPr="00603981">
              <w:rPr>
                <w:rFonts w:cstheme="minorHAnsi"/>
              </w:rPr>
              <w:t>Work Commission.</w:t>
            </w:r>
            <w:r w:rsidR="0090499F">
              <w:rPr>
                <w:rFonts w:cstheme="minorHAnsi"/>
              </w:rPr>
              <w:t xml:space="preserve"> </w:t>
            </w:r>
            <w:r w:rsidRPr="00603981">
              <w:rPr>
                <w:rFonts w:cstheme="minorHAnsi"/>
              </w:rPr>
              <w:t xml:space="preserve">Most employer representatives did not support the Commission having the power to arbitrate disputes, </w:t>
            </w:r>
            <w:r w:rsidRPr="00603981">
              <w:rPr>
                <w:rFonts w:cstheme="minorHAnsi"/>
                <w:i/>
                <w:iCs/>
              </w:rPr>
              <w:t>unless</w:t>
            </w:r>
            <w:r w:rsidRPr="00603981">
              <w:rPr>
                <w:rFonts w:cstheme="minorHAnsi"/>
              </w:rPr>
              <w:t xml:space="preserve"> by consent of the parties. A small number of employer representatives did not want the Commission to have a role in </w:t>
            </w:r>
            <w:r w:rsidRPr="00603981">
              <w:rPr>
                <w:rFonts w:cstheme="minorHAnsi"/>
              </w:rPr>
              <w:lastRenderedPageBreak/>
              <w:t>resolving disputes at all.</w:t>
            </w:r>
          </w:p>
          <w:p w14:paraId="74F8B7F1" w14:textId="6F006B11" w:rsidR="00AE4775" w:rsidRPr="00603981" w:rsidRDefault="00AE4775" w:rsidP="009171B9">
            <w:pPr>
              <w:widowControl w:val="0"/>
              <w:spacing w:before="120" w:after="120" w:line="259" w:lineRule="auto"/>
              <w:rPr>
                <w:rFonts w:cstheme="minorHAnsi"/>
              </w:rPr>
            </w:pPr>
            <w:r w:rsidRPr="00603981">
              <w:rPr>
                <w:rFonts w:cstheme="minorHAnsi"/>
              </w:rPr>
              <w:t xml:space="preserve">Employees and employee organisations supported the Commission having broad powers to deal with disputes in any way it sees fit, including arbitration and the ability to make orders determining correct pay rates. Some stakeholders supported a process for affected parties </w:t>
            </w:r>
            <w:r w:rsidR="00C3647B">
              <w:rPr>
                <w:rFonts w:cstheme="minorHAnsi"/>
              </w:rPr>
              <w:t xml:space="preserve">(such as labour hire employees) </w:t>
            </w:r>
            <w:r w:rsidRPr="00603981">
              <w:rPr>
                <w:rFonts w:cstheme="minorHAnsi"/>
              </w:rPr>
              <w:t xml:space="preserve">to be able to </w:t>
            </w:r>
            <w:r w:rsidR="00C3647B">
              <w:rPr>
                <w:rFonts w:cstheme="minorHAnsi"/>
              </w:rPr>
              <w:t>apply to</w:t>
            </w:r>
            <w:r w:rsidR="00C3647B" w:rsidRPr="00603981">
              <w:rPr>
                <w:rFonts w:cstheme="minorHAnsi"/>
              </w:rPr>
              <w:t xml:space="preserve"> </w:t>
            </w:r>
            <w:r w:rsidRPr="00603981">
              <w:rPr>
                <w:rFonts w:cstheme="minorHAnsi"/>
              </w:rPr>
              <w:t>the Commission for guidance prior to the commencement of a labour hire arrangement to</w:t>
            </w:r>
            <w:r w:rsidRPr="00603981" w:rsidDel="00972D5E">
              <w:rPr>
                <w:rFonts w:cstheme="minorHAnsi"/>
              </w:rPr>
              <w:t xml:space="preserve"> </w:t>
            </w:r>
            <w:r w:rsidRPr="00603981">
              <w:rPr>
                <w:rFonts w:cstheme="minorHAnsi"/>
              </w:rPr>
              <w:t xml:space="preserve">obtain clarity about their </w:t>
            </w:r>
            <w:r w:rsidR="00C3647B">
              <w:rPr>
                <w:rFonts w:cstheme="minorHAnsi"/>
              </w:rPr>
              <w:t>entitlements and</w:t>
            </w:r>
            <w:r w:rsidR="00C3647B" w:rsidRPr="00603981">
              <w:rPr>
                <w:rFonts w:cstheme="minorHAnsi"/>
              </w:rPr>
              <w:t xml:space="preserve"> </w:t>
            </w:r>
            <w:r w:rsidRPr="00603981">
              <w:rPr>
                <w:rFonts w:cstheme="minorHAnsi"/>
              </w:rPr>
              <w:t xml:space="preserve">obligations. </w:t>
            </w:r>
          </w:p>
          <w:p w14:paraId="04B596CF" w14:textId="3137BAC6" w:rsidR="00AE4775" w:rsidRPr="00603981" w:rsidRDefault="00AE4775" w:rsidP="009171B9">
            <w:pPr>
              <w:widowControl w:val="0"/>
              <w:spacing w:before="120" w:after="120" w:line="259" w:lineRule="auto"/>
              <w:rPr>
                <w:rFonts w:cstheme="minorHAnsi"/>
                <w:bCs/>
                <w:sz w:val="24"/>
                <w:szCs w:val="24"/>
              </w:rPr>
            </w:pPr>
            <w:r w:rsidRPr="00603981">
              <w:rPr>
                <w:rFonts w:cstheme="minorHAnsi"/>
              </w:rPr>
              <w:t xml:space="preserve">Regarding commencement timeframes, employer representatives sought a lengthy period before </w:t>
            </w:r>
            <w:r w:rsidRPr="00603981">
              <w:rPr>
                <w:rFonts w:cstheme="minorHAnsi"/>
                <w:bCs/>
              </w:rPr>
              <w:t xml:space="preserve">the measure </w:t>
            </w:r>
            <w:r w:rsidRPr="00603981">
              <w:rPr>
                <w:rFonts w:cstheme="minorHAnsi"/>
              </w:rPr>
              <w:t>commences (1</w:t>
            </w:r>
            <w:r w:rsidR="003B2B2E" w:rsidRPr="00603981">
              <w:rPr>
                <w:rFonts w:cstheme="minorHAnsi"/>
                <w:bCs/>
              </w:rPr>
              <w:t>-</w:t>
            </w:r>
            <w:r w:rsidRPr="00603981">
              <w:rPr>
                <w:rFonts w:cstheme="minorHAnsi"/>
                <w:bCs/>
              </w:rPr>
              <w:t>2 years). Employee representatives sought for all provisions to commence immediately.</w:t>
            </w:r>
          </w:p>
        </w:tc>
      </w:tr>
      <w:tr w:rsidR="00AE4775" w:rsidRPr="00603981" w14:paraId="57226DDF" w14:textId="77777777" w:rsidTr="50FDCE26">
        <w:tc>
          <w:tcPr>
            <w:tcW w:w="1555" w:type="dxa"/>
            <w:shd w:val="clear" w:color="auto" w:fill="7A9F4C"/>
          </w:tcPr>
          <w:p w14:paraId="240B1820" w14:textId="77777777" w:rsidR="00AE4775" w:rsidRPr="00603981" w:rsidRDefault="00AE4775" w:rsidP="009171B9">
            <w:pPr>
              <w:widowControl w:val="0"/>
              <w:spacing w:before="120" w:after="120" w:line="259" w:lineRule="auto"/>
              <w:rPr>
                <w:rFonts w:cstheme="minorHAnsi"/>
                <w:bCs/>
                <w:sz w:val="24"/>
                <w:szCs w:val="24"/>
              </w:rPr>
            </w:pPr>
            <w:r w:rsidRPr="00603981">
              <w:rPr>
                <w:rFonts w:cstheme="minorHAnsi"/>
                <w:b/>
                <w:bCs/>
                <w:color w:val="FFFFFF" w:themeColor="background1"/>
              </w:rPr>
              <w:lastRenderedPageBreak/>
              <w:t>How views informed the design of the preferred option</w:t>
            </w:r>
            <w:r w:rsidRPr="00603981" w:rsidDel="001D32F9">
              <w:rPr>
                <w:iCs/>
                <w:u w:val="single"/>
              </w:rPr>
              <w:t xml:space="preserve"> </w:t>
            </w:r>
          </w:p>
        </w:tc>
        <w:tc>
          <w:tcPr>
            <w:tcW w:w="7461" w:type="dxa"/>
          </w:tcPr>
          <w:p w14:paraId="1614277C" w14:textId="258E71AA" w:rsidR="00AE4775" w:rsidRPr="00603981" w:rsidRDefault="004561E0" w:rsidP="00702625">
            <w:pPr>
              <w:widowControl w:val="0"/>
              <w:spacing w:before="120" w:after="120" w:line="259" w:lineRule="auto"/>
              <w:rPr>
                <w:rStyle w:val="normaltextrun"/>
                <w:rFonts w:cstheme="minorHAnsi"/>
                <w:color w:val="000000"/>
              </w:rPr>
            </w:pPr>
            <w:r>
              <w:t>If disputes arise after</w:t>
            </w:r>
            <w:r w:rsidR="000C0BF7">
              <w:t xml:space="preserve"> a</w:t>
            </w:r>
            <w:r w:rsidR="00C3647B">
              <w:t xml:space="preserve"> Fair Work Commission</w:t>
            </w:r>
            <w:r w:rsidR="000C0BF7">
              <w:t xml:space="preserve"> order has been made, </w:t>
            </w:r>
            <w:r w:rsidR="00AE4775" w:rsidRPr="00603981">
              <w:t xml:space="preserve">the proposal </w:t>
            </w:r>
            <w:r w:rsidR="00EE005A">
              <w:t>requires</w:t>
            </w:r>
            <w:r w:rsidR="00AE4775" w:rsidRPr="00603981">
              <w:t xml:space="preserve"> that resolution is attempted at the workplace level </w:t>
            </w:r>
            <w:r w:rsidR="00AE4775" w:rsidRPr="00603981">
              <w:rPr>
                <w:i/>
                <w:iCs/>
              </w:rPr>
              <w:t>before</w:t>
            </w:r>
            <w:r w:rsidR="00AE4775" w:rsidRPr="00603981">
              <w:t xml:space="preserve"> applying to the Commission for dispute resolution</w:t>
            </w:r>
            <w:r w:rsidR="00C33215">
              <w:t xml:space="preserve">. </w:t>
            </w:r>
            <w:r w:rsidR="004D3EE5" w:rsidRPr="00603981">
              <w:t>If parties consent, t</w:t>
            </w:r>
            <w:r w:rsidR="004D2DFD" w:rsidRPr="00603981">
              <w:t>he C</w:t>
            </w:r>
            <w:r w:rsidR="008D0015" w:rsidRPr="00603981">
              <w:t>ommission</w:t>
            </w:r>
            <w:r w:rsidR="004D2DFD" w:rsidRPr="00603981">
              <w:t xml:space="preserve"> will have the power to </w:t>
            </w:r>
            <w:r w:rsidR="004D3EE5" w:rsidRPr="00603981">
              <w:t xml:space="preserve">arbitrate, </w:t>
            </w:r>
            <w:r w:rsidR="00123DEC" w:rsidRPr="00603981">
              <w:t xml:space="preserve">including to order backpay and prospectively determine the </w:t>
            </w:r>
            <w:r w:rsidR="0057783D" w:rsidRPr="00603981">
              <w:t>correct</w:t>
            </w:r>
            <w:r w:rsidR="00123DEC" w:rsidRPr="00603981">
              <w:t xml:space="preserve"> rate of pay. If parties do not consent, </w:t>
            </w:r>
            <w:r w:rsidR="00990387" w:rsidRPr="00603981">
              <w:t xml:space="preserve">the </w:t>
            </w:r>
            <w:r w:rsidR="008D0015" w:rsidRPr="00603981">
              <w:t xml:space="preserve">Commission </w:t>
            </w:r>
            <w:r w:rsidR="00AE617A" w:rsidRPr="00603981">
              <w:t xml:space="preserve">can </w:t>
            </w:r>
            <w:r w:rsidR="00C33215">
              <w:t xml:space="preserve">only </w:t>
            </w:r>
            <w:r w:rsidR="00A7667D" w:rsidRPr="00603981">
              <w:t>prospectively determine</w:t>
            </w:r>
            <w:r w:rsidR="0057783D" w:rsidRPr="00603981">
              <w:t xml:space="preserve"> the correct rate of pay, </w:t>
            </w:r>
            <w:r w:rsidR="003E74A5" w:rsidRPr="00603981">
              <w:t>with backpay only available through court action.</w:t>
            </w:r>
            <w:r w:rsidR="00D216DE">
              <w:t xml:space="preserve"> </w:t>
            </w:r>
            <w:r w:rsidR="00AE4775" w:rsidRPr="00603981">
              <w:rPr>
                <w:rStyle w:val="normaltextrun"/>
                <w:rFonts w:cstheme="minorHAnsi"/>
                <w:color w:val="000000"/>
              </w:rPr>
              <w:t xml:space="preserve">Consistent with the Fair Work Ombudsman’s </w:t>
            </w:r>
            <w:r w:rsidR="00465878">
              <w:rPr>
                <w:rStyle w:val="normaltextrun"/>
                <w:rFonts w:cstheme="minorHAnsi"/>
                <w:color w:val="000000"/>
              </w:rPr>
              <w:t xml:space="preserve">role as regulator of </w:t>
            </w:r>
            <w:r w:rsidR="00AE4775" w:rsidRPr="00603981">
              <w:rPr>
                <w:rStyle w:val="normaltextrun"/>
                <w:rFonts w:cstheme="minorHAnsi"/>
                <w:color w:val="000000"/>
              </w:rPr>
              <w:t>the Fair</w:t>
            </w:r>
            <w:r w:rsidR="00465878">
              <w:rPr>
                <w:rStyle w:val="normaltextrun"/>
                <w:rFonts w:cstheme="minorHAnsi"/>
                <w:color w:val="000000"/>
              </w:rPr>
              <w:t> </w:t>
            </w:r>
            <w:r w:rsidR="00AE4775" w:rsidRPr="00603981">
              <w:rPr>
                <w:rStyle w:val="normaltextrun"/>
                <w:rFonts w:cstheme="minorHAnsi"/>
                <w:color w:val="000000"/>
              </w:rPr>
              <w:t xml:space="preserve">Work Act, </w:t>
            </w:r>
            <w:r w:rsidR="00465878">
              <w:rPr>
                <w:rStyle w:val="normaltextrun"/>
                <w:rFonts w:cstheme="minorHAnsi"/>
                <w:color w:val="000000"/>
              </w:rPr>
              <w:t>the Ombudsman</w:t>
            </w:r>
            <w:r w:rsidR="00AE4775" w:rsidRPr="00603981">
              <w:rPr>
                <w:rStyle w:val="normaltextrun"/>
                <w:rFonts w:cstheme="minorHAnsi"/>
                <w:color w:val="000000"/>
              </w:rPr>
              <w:t xml:space="preserve"> will </w:t>
            </w:r>
            <w:r w:rsidR="001A0A5F" w:rsidRPr="00603981">
              <w:rPr>
                <w:rStyle w:val="normaltextrun"/>
                <w:rFonts w:cstheme="minorHAnsi"/>
                <w:color w:val="000000"/>
              </w:rPr>
              <w:t xml:space="preserve">be able to </w:t>
            </w:r>
            <w:r w:rsidR="00AE4775" w:rsidRPr="00603981">
              <w:rPr>
                <w:rStyle w:val="normaltextrun"/>
                <w:rFonts w:cstheme="minorHAnsi"/>
                <w:color w:val="000000"/>
              </w:rPr>
              <w:t>enforce entitlements and obligations</w:t>
            </w:r>
            <w:r w:rsidR="00465878">
              <w:rPr>
                <w:rStyle w:val="normaltextrun"/>
                <w:rFonts w:cstheme="minorHAnsi"/>
                <w:color w:val="000000"/>
              </w:rPr>
              <w:t xml:space="preserve"> under this proposal</w:t>
            </w:r>
            <w:r w:rsidR="00AE4775" w:rsidRPr="00603981">
              <w:rPr>
                <w:rStyle w:val="normaltextrun"/>
                <w:rFonts w:cstheme="minorHAnsi"/>
                <w:color w:val="000000"/>
              </w:rPr>
              <w:t>.</w:t>
            </w:r>
          </w:p>
          <w:p w14:paraId="1E3B8210" w14:textId="1B3B9B10" w:rsidR="00AE4775" w:rsidRPr="00603981" w:rsidRDefault="00AE4775" w:rsidP="009171B9">
            <w:pPr>
              <w:spacing w:before="120" w:after="120" w:line="259" w:lineRule="auto"/>
              <w:rPr>
                <w:rFonts w:cstheme="minorHAnsi"/>
              </w:rPr>
            </w:pPr>
            <w:r w:rsidRPr="00603981">
              <w:rPr>
                <w:rFonts w:cstheme="minorHAnsi"/>
              </w:rPr>
              <w:t xml:space="preserve">The </w:t>
            </w:r>
            <w:r w:rsidR="006A6A6C">
              <w:rPr>
                <w:rFonts w:cstheme="minorHAnsi"/>
              </w:rPr>
              <w:t xml:space="preserve">proposal </w:t>
            </w:r>
            <w:r w:rsidRPr="00603981">
              <w:rPr>
                <w:rFonts w:cstheme="minorHAnsi"/>
              </w:rPr>
              <w:t>includes anti-avoidance provisions</w:t>
            </w:r>
            <w:r w:rsidRPr="00603981">
              <w:t xml:space="preserve"> </w:t>
            </w:r>
            <w:r w:rsidR="00922158">
              <w:t>that prohibit</w:t>
            </w:r>
            <w:r w:rsidR="000B4D12">
              <w:t xml:space="preserve"> behaviour intended to prevent a Commission order being made</w:t>
            </w:r>
            <w:r w:rsidRPr="00603981">
              <w:rPr>
                <w:rFonts w:cstheme="minorHAnsi"/>
              </w:rPr>
              <w:t xml:space="preserve">. Few stakeholders </w:t>
            </w:r>
            <w:r w:rsidR="00922158">
              <w:rPr>
                <w:rFonts w:cstheme="minorHAnsi"/>
              </w:rPr>
              <w:t>gave</w:t>
            </w:r>
            <w:r w:rsidRPr="00603981">
              <w:rPr>
                <w:rFonts w:cstheme="minorHAnsi"/>
              </w:rPr>
              <w:t xml:space="preserve"> feedback on anti-avoidance measures. Those employer organisations who did sought simple and confined measures, while employee organisations supported broad anti-avoidance provisions to prevent a multitude of corporate behaviours that may be designed or used to circumvent obligations.</w:t>
            </w:r>
          </w:p>
          <w:p w14:paraId="6BF95443" w14:textId="7D083D29" w:rsidR="00AE4775" w:rsidRPr="00603981" w:rsidRDefault="00AE4775" w:rsidP="3439C464">
            <w:pPr>
              <w:widowControl w:val="0"/>
              <w:spacing w:before="120" w:after="120" w:line="259" w:lineRule="auto"/>
              <w:rPr>
                <w:sz w:val="24"/>
                <w:szCs w:val="24"/>
              </w:rPr>
            </w:pPr>
            <w:r w:rsidRPr="00603981">
              <w:t>Taking into account stakeholder requests for a transition period after Royal</w:t>
            </w:r>
            <w:r w:rsidR="00443634">
              <w:t> </w:t>
            </w:r>
            <w:r w:rsidRPr="00603981">
              <w:t xml:space="preserve">Assent that would </w:t>
            </w:r>
            <w:r w:rsidR="00BB2188">
              <w:t>give</w:t>
            </w:r>
            <w:r w:rsidR="00BB2188" w:rsidRPr="00603981">
              <w:t xml:space="preserve"> </w:t>
            </w:r>
            <w:r w:rsidRPr="00603981">
              <w:t>business</w:t>
            </w:r>
            <w:r w:rsidR="00BB2188">
              <w:t>es</w:t>
            </w:r>
            <w:r w:rsidRPr="00603981">
              <w:t xml:space="preserve"> time to prepare for new obligations, </w:t>
            </w:r>
            <w:r w:rsidR="00BB2188">
              <w:t>orders made by the Commission will only be enforceable on and from 1 November 2024</w:t>
            </w:r>
            <w:r w:rsidR="00F870FB">
              <w:t xml:space="preserve">, however applications can be made from Royal Assent to clarify entitlements and obligations in advance. </w:t>
            </w:r>
            <w:r w:rsidR="00B2728D">
              <w:t>A</w:t>
            </w:r>
            <w:r w:rsidRPr="00603981">
              <w:t xml:space="preserve">nti-avoidance provisions will </w:t>
            </w:r>
            <w:r w:rsidR="00F870FB">
              <w:t>apply retrospectively</w:t>
            </w:r>
            <w:r w:rsidR="00F870FB" w:rsidRPr="00603981">
              <w:t xml:space="preserve"> </w:t>
            </w:r>
            <w:r w:rsidRPr="00603981">
              <w:t xml:space="preserve">from </w:t>
            </w:r>
            <w:r w:rsidR="00D52D45" w:rsidRPr="00603981">
              <w:t xml:space="preserve">the introduction of the </w:t>
            </w:r>
            <w:r w:rsidR="00F870FB">
              <w:t>Bill to the House of Representatives</w:t>
            </w:r>
            <w:r w:rsidRPr="00603981">
              <w:t xml:space="preserve">, to deter hosts and </w:t>
            </w:r>
            <w:r w:rsidR="00503061" w:rsidRPr="00603981">
              <w:t xml:space="preserve">labour hire </w:t>
            </w:r>
            <w:r w:rsidR="00F870FB">
              <w:t>employers</w:t>
            </w:r>
            <w:r w:rsidR="00F870FB" w:rsidRPr="00603981">
              <w:t xml:space="preserve"> </w:t>
            </w:r>
            <w:r w:rsidRPr="00603981">
              <w:t>from altering their arrangements to avoid the new obligations</w:t>
            </w:r>
            <w:r w:rsidR="00F870FB">
              <w:t xml:space="preserve"> before the Bill is passed</w:t>
            </w:r>
            <w:r w:rsidRPr="00603981">
              <w:t>.</w:t>
            </w:r>
          </w:p>
        </w:tc>
      </w:tr>
    </w:tbl>
    <w:p w14:paraId="03FE9E8E" w14:textId="47731E84" w:rsidR="00AE4775" w:rsidRPr="00603981" w:rsidRDefault="00AE4775" w:rsidP="00C3303A">
      <w:pPr>
        <w:pStyle w:val="Heading2"/>
      </w:pPr>
      <w:bookmarkStart w:id="39" w:name="_Toc143696586"/>
      <w:r w:rsidRPr="00603981">
        <w:t xml:space="preserve">Impact Analysis Question 6:  </w:t>
      </w:r>
      <w:r w:rsidRPr="00603981">
        <w:br/>
        <w:t>Which is the best option and how will it be implemented?</w:t>
      </w:r>
      <w:bookmarkEnd w:id="39"/>
      <w:r w:rsidRPr="00603981">
        <w:t xml:space="preserve"> </w:t>
      </w:r>
    </w:p>
    <w:p w14:paraId="5A156DCC" w14:textId="77777777" w:rsidR="00AE4775" w:rsidRPr="00603981" w:rsidRDefault="00AE4775" w:rsidP="00C3303A">
      <w:pPr>
        <w:pStyle w:val="Heading3"/>
      </w:pPr>
      <w:bookmarkStart w:id="40" w:name="_Toc143696587"/>
      <w:r w:rsidRPr="00603981">
        <w:t>Which is the best option?</w:t>
      </w:r>
      <w:bookmarkEnd w:id="40"/>
      <w:r w:rsidRPr="00603981">
        <w:t xml:space="preserve"> </w:t>
      </w:r>
    </w:p>
    <w:p w14:paraId="03221E81" w14:textId="486D932A" w:rsidR="00AE4775" w:rsidRPr="00603981" w:rsidRDefault="00AE4775" w:rsidP="00F207DC">
      <w:pPr>
        <w:spacing w:after="160" w:line="259" w:lineRule="auto"/>
        <w:rPr>
          <w:rFonts w:ascii="Calibri" w:eastAsia="Calibri" w:hAnsi="Calibri" w:cs="Calibri"/>
          <w:color w:val="D13438"/>
        </w:rPr>
      </w:pPr>
      <w:r w:rsidRPr="00603981">
        <w:rPr>
          <w:rFonts w:ascii="Calibri" w:eastAsia="Calibri" w:hAnsi="Calibri" w:cs="Calibri"/>
        </w:rPr>
        <w:t>The Government is seeking to amend the Fair Work Act to limit circumstances in which the use of labour hire undercut</w:t>
      </w:r>
      <w:r w:rsidR="00A420CD">
        <w:rPr>
          <w:rFonts w:ascii="Calibri" w:eastAsia="Calibri" w:hAnsi="Calibri" w:cs="Calibri"/>
        </w:rPr>
        <w:t>s</w:t>
      </w:r>
      <w:r w:rsidRPr="00603981">
        <w:rPr>
          <w:rFonts w:ascii="Calibri" w:eastAsia="Calibri" w:hAnsi="Calibri" w:cs="Calibri"/>
        </w:rPr>
        <w:t xml:space="preserve"> bargained wages. Option</w:t>
      </w:r>
      <w:r w:rsidR="00725DDB" w:rsidRPr="00603981">
        <w:rPr>
          <w:rFonts w:ascii="Calibri" w:eastAsia="Calibri" w:hAnsi="Calibri" w:cs="Calibri"/>
        </w:rPr>
        <w:t> </w:t>
      </w:r>
      <w:r w:rsidRPr="00603981">
        <w:rPr>
          <w:rFonts w:ascii="Calibri" w:eastAsia="Calibri" w:hAnsi="Calibri" w:cs="Calibri"/>
        </w:rPr>
        <w:t>1 (legislating the</w:t>
      </w:r>
      <w:r w:rsidR="00A420CD">
        <w:rPr>
          <w:rFonts w:ascii="Calibri" w:eastAsia="Calibri" w:hAnsi="Calibri" w:cs="Calibri"/>
        </w:rPr>
        <w:t xml:space="preserve"> Government’s</w:t>
      </w:r>
      <w:r w:rsidRPr="00603981">
        <w:rPr>
          <w:rFonts w:ascii="Calibri" w:eastAsia="Calibri" w:hAnsi="Calibri" w:cs="Calibri"/>
        </w:rPr>
        <w:t xml:space="preserve"> ‘Closing </w:t>
      </w:r>
      <w:r w:rsidR="00A420CD">
        <w:rPr>
          <w:rFonts w:ascii="Calibri" w:eastAsia="Calibri" w:hAnsi="Calibri" w:cs="Calibri"/>
        </w:rPr>
        <w:t xml:space="preserve">the </w:t>
      </w:r>
      <w:r w:rsidRPr="00603981">
        <w:rPr>
          <w:rFonts w:ascii="Calibri" w:eastAsia="Calibri" w:hAnsi="Calibri" w:cs="Calibri"/>
        </w:rPr>
        <w:t>labour hire loophole’ proposal) achieves this and aligns with the</w:t>
      </w:r>
      <w:r w:rsidRPr="00603981" w:rsidDel="0066431C">
        <w:rPr>
          <w:rFonts w:ascii="Calibri" w:eastAsia="Calibri" w:hAnsi="Calibri" w:cs="Calibri"/>
        </w:rPr>
        <w:t xml:space="preserve"> </w:t>
      </w:r>
      <w:r w:rsidRPr="00603981">
        <w:rPr>
          <w:rFonts w:ascii="Calibri" w:eastAsia="Calibri" w:hAnsi="Calibri" w:cs="Calibri"/>
        </w:rPr>
        <w:t xml:space="preserve">principles considered by the department during the design of this policy (see above </w:t>
      </w:r>
      <w:r w:rsidR="00A420CD">
        <w:rPr>
          <w:rFonts w:ascii="Calibri" w:eastAsia="Calibri" w:hAnsi="Calibri" w:cs="Calibri"/>
        </w:rPr>
        <w:t>under</w:t>
      </w:r>
      <w:r w:rsidR="00A420CD" w:rsidRPr="00603981">
        <w:rPr>
          <w:rFonts w:ascii="Calibri" w:eastAsia="Calibri" w:hAnsi="Calibri" w:cs="Calibri"/>
        </w:rPr>
        <w:t xml:space="preserve"> </w:t>
      </w:r>
      <w:r w:rsidRPr="00603981">
        <w:rPr>
          <w:rFonts w:ascii="Calibri" w:eastAsia="Calibri" w:hAnsi="Calibri" w:cs="Calibri"/>
        </w:rPr>
        <w:t>Impact Analysis Question 4, and the table below).</w:t>
      </w:r>
    </w:p>
    <w:p w14:paraId="4EF8E3D9" w14:textId="3B5432C3" w:rsidR="00AE4775" w:rsidRPr="00603981" w:rsidRDefault="00AE4775" w:rsidP="00F207DC">
      <w:pPr>
        <w:spacing w:after="160" w:line="259" w:lineRule="auto"/>
        <w:rPr>
          <w:rFonts w:ascii="Calibri" w:eastAsia="Calibri" w:hAnsi="Calibri" w:cs="Calibri"/>
          <w:color w:val="D13438"/>
        </w:rPr>
      </w:pPr>
      <w:r w:rsidRPr="00603981">
        <w:rPr>
          <w:rFonts w:ascii="Calibri" w:eastAsia="Calibri" w:hAnsi="Calibri" w:cs="Calibri"/>
        </w:rPr>
        <w:lastRenderedPageBreak/>
        <w:t>The issue addressed by this proposal has been considered extensively in</w:t>
      </w:r>
      <w:r w:rsidR="00E32939">
        <w:rPr>
          <w:rFonts w:ascii="Calibri" w:eastAsia="Calibri" w:hAnsi="Calibri" w:cs="Calibri"/>
        </w:rPr>
        <w:t xml:space="preserve"> (at least)</w:t>
      </w:r>
      <w:r w:rsidRPr="00603981">
        <w:rPr>
          <w:rFonts w:ascii="Calibri" w:eastAsia="Calibri" w:hAnsi="Calibri" w:cs="Calibri"/>
        </w:rPr>
        <w:t xml:space="preserve"> </w:t>
      </w:r>
      <w:r w:rsidR="00EB184F" w:rsidRPr="00603981">
        <w:rPr>
          <w:rFonts w:ascii="Calibri" w:eastAsia="Calibri" w:hAnsi="Calibri" w:cs="Calibri"/>
        </w:rPr>
        <w:t>three</w:t>
      </w:r>
      <w:r w:rsidRPr="00603981">
        <w:rPr>
          <w:rFonts w:ascii="Calibri" w:eastAsia="Calibri" w:hAnsi="Calibri" w:cs="Calibri"/>
        </w:rPr>
        <w:t>.</w:t>
      </w:r>
      <w:r w:rsidRPr="00603981">
        <w:rPr>
          <w:rFonts w:ascii="Calibri" w:eastAsia="Calibri" w:hAnsi="Calibri" w:cs="Calibri"/>
          <w:vertAlign w:val="superscript"/>
        </w:rPr>
        <w:t xml:space="preserve"> </w:t>
      </w:r>
      <w:r w:rsidRPr="00603981">
        <w:rPr>
          <w:rFonts w:ascii="Calibri" w:eastAsia="Calibri" w:hAnsi="Calibri" w:cs="Calibri"/>
        </w:rPr>
        <w:t>The Job Security Committee and the Victorian Inquiry thoroughly reviewed the status quo and sought views on alternate options for addressing the operation of the Fair Work system that allows the use of labour hire to undercut bargained wages. </w:t>
      </w:r>
      <w:r w:rsidR="005F68C4" w:rsidRPr="00603981">
        <w:rPr>
          <w:rFonts w:ascii="Calibri" w:eastAsia="Calibri" w:hAnsi="Calibri" w:cs="Calibri"/>
        </w:rPr>
        <w:t>L</w:t>
      </w:r>
      <w:r w:rsidRPr="00603981">
        <w:rPr>
          <w:rFonts w:ascii="Calibri" w:eastAsia="Calibri" w:hAnsi="Calibri" w:cs="Calibri"/>
        </w:rPr>
        <w:t>egislat</w:t>
      </w:r>
      <w:r w:rsidR="005F68C4" w:rsidRPr="00603981">
        <w:rPr>
          <w:rFonts w:ascii="Calibri" w:eastAsia="Calibri" w:hAnsi="Calibri" w:cs="Calibri"/>
        </w:rPr>
        <w:t>ing</w:t>
      </w:r>
      <w:r w:rsidRPr="00603981">
        <w:rPr>
          <w:rFonts w:ascii="Calibri" w:eastAsia="Calibri" w:hAnsi="Calibri" w:cs="Calibri"/>
        </w:rPr>
        <w:t xml:space="preserve"> </w:t>
      </w:r>
      <w:r w:rsidR="005F68C4" w:rsidRPr="00603981">
        <w:rPr>
          <w:rFonts w:ascii="Calibri" w:eastAsia="Calibri" w:hAnsi="Calibri" w:cs="Calibri"/>
        </w:rPr>
        <w:t>the</w:t>
      </w:r>
      <w:r w:rsidRPr="00603981">
        <w:rPr>
          <w:rFonts w:ascii="Calibri" w:eastAsia="Calibri" w:hAnsi="Calibri" w:cs="Calibri"/>
        </w:rPr>
        <w:t xml:space="preserve"> ‘Closing </w:t>
      </w:r>
      <w:r w:rsidR="00E32939">
        <w:rPr>
          <w:rFonts w:ascii="Calibri" w:eastAsia="Calibri" w:hAnsi="Calibri" w:cs="Calibri"/>
        </w:rPr>
        <w:t xml:space="preserve">the </w:t>
      </w:r>
      <w:r w:rsidRPr="00603981">
        <w:rPr>
          <w:rFonts w:ascii="Calibri" w:eastAsia="Calibri" w:hAnsi="Calibri" w:cs="Calibri"/>
        </w:rPr>
        <w:t xml:space="preserve">labour hire loophole’ </w:t>
      </w:r>
      <w:r w:rsidR="005F68C4" w:rsidRPr="00603981">
        <w:rPr>
          <w:rFonts w:ascii="Calibri" w:eastAsia="Calibri" w:hAnsi="Calibri" w:cs="Calibri"/>
        </w:rPr>
        <w:t xml:space="preserve">proposal </w:t>
      </w:r>
      <w:r w:rsidRPr="00603981">
        <w:rPr>
          <w:rFonts w:ascii="Calibri" w:eastAsia="Calibri" w:hAnsi="Calibri" w:cs="Calibri"/>
        </w:rPr>
        <w:t>is consistent with the findings and recommendations of these Reviews.</w:t>
      </w:r>
      <w:r w:rsidRPr="00603981">
        <w:rPr>
          <w:rFonts w:ascii="Calibri" w:eastAsia="Calibri" w:hAnsi="Calibri" w:cs="Calibri"/>
          <w:color w:val="D13438"/>
        </w:rPr>
        <w:t xml:space="preserve"> </w:t>
      </w:r>
    </w:p>
    <w:p w14:paraId="3D49E363" w14:textId="306B29F1" w:rsidR="00AE4775" w:rsidRPr="00603981" w:rsidRDefault="00AE4775" w:rsidP="00702625">
      <w:pPr>
        <w:keepNext/>
        <w:spacing w:after="160" w:line="259" w:lineRule="auto"/>
        <w:rPr>
          <w:rFonts w:cstheme="minorHAnsi"/>
        </w:rPr>
      </w:pPr>
      <w:r w:rsidRPr="00603981">
        <w:rPr>
          <w:rFonts w:cstheme="minorHAnsi"/>
        </w:rPr>
        <w:t xml:space="preserve">The department’s assessment of Options 1 and 2 against its </w:t>
      </w:r>
      <w:r w:rsidR="008F4B51" w:rsidRPr="00603981">
        <w:rPr>
          <w:rFonts w:cstheme="minorHAnsi"/>
        </w:rPr>
        <w:t>four</w:t>
      </w:r>
      <w:r w:rsidRPr="00603981">
        <w:rPr>
          <w:rFonts w:cstheme="minorHAnsi"/>
        </w:rPr>
        <w:t xml:space="preserve"> guiding principles is, in summary:</w:t>
      </w:r>
    </w:p>
    <w:tbl>
      <w:tblPr>
        <w:tblStyle w:val="TableGrid"/>
        <w:tblW w:w="0" w:type="auto"/>
        <w:tblLook w:val="04A0" w:firstRow="1" w:lastRow="0" w:firstColumn="1" w:lastColumn="0" w:noHBand="0" w:noVBand="1"/>
      </w:tblPr>
      <w:tblGrid>
        <w:gridCol w:w="4962"/>
        <w:gridCol w:w="2126"/>
        <w:gridCol w:w="1928"/>
      </w:tblGrid>
      <w:tr w:rsidR="00AE4775" w:rsidRPr="00603981" w14:paraId="3B9216E5" w14:textId="77777777" w:rsidTr="00F26E85">
        <w:tc>
          <w:tcPr>
            <w:tcW w:w="4962" w:type="dxa"/>
            <w:tcBorders>
              <w:top w:val="nil"/>
              <w:left w:val="nil"/>
              <w:right w:val="single" w:sz="4" w:space="0" w:color="auto"/>
            </w:tcBorders>
            <w:shd w:val="clear" w:color="auto" w:fill="auto"/>
          </w:tcPr>
          <w:p w14:paraId="56A5187E" w14:textId="77777777" w:rsidR="00AE4775" w:rsidRPr="00603981" w:rsidRDefault="00AE4775" w:rsidP="001F21E1">
            <w:pPr>
              <w:keepNext/>
              <w:spacing w:before="40" w:after="40" w:line="259" w:lineRule="auto"/>
            </w:pPr>
          </w:p>
        </w:tc>
        <w:tc>
          <w:tcPr>
            <w:tcW w:w="2126" w:type="dxa"/>
            <w:tcBorders>
              <w:left w:val="single" w:sz="4" w:space="0" w:color="auto"/>
              <w:right w:val="nil"/>
            </w:tcBorders>
            <w:shd w:val="clear" w:color="auto" w:fill="3B3838" w:themeFill="background2" w:themeFillShade="40"/>
            <w:vAlign w:val="center"/>
          </w:tcPr>
          <w:p w14:paraId="16A97736" w14:textId="77777777" w:rsidR="00AE4775" w:rsidRPr="00603981" w:rsidRDefault="00AE4775" w:rsidP="001F21E1">
            <w:pPr>
              <w:keepNext/>
              <w:spacing w:before="40" w:after="40" w:line="259" w:lineRule="auto"/>
              <w:rPr>
                <w:rFonts w:cstheme="minorHAnsi"/>
              </w:rPr>
            </w:pPr>
            <w:r w:rsidRPr="00603981">
              <w:rPr>
                <w:rFonts w:cstheme="minorHAnsi"/>
                <w:b/>
                <w:bCs/>
              </w:rPr>
              <w:t>Option 1:</w:t>
            </w:r>
            <w:r w:rsidRPr="00603981">
              <w:rPr>
                <w:rFonts w:cstheme="minorHAnsi"/>
                <w:b/>
                <w:bCs/>
              </w:rPr>
              <w:br/>
            </w:r>
            <w:r w:rsidRPr="00603981">
              <w:rPr>
                <w:rFonts w:cstheme="minorHAnsi"/>
              </w:rPr>
              <w:t>(Legislative measure)</w:t>
            </w:r>
          </w:p>
        </w:tc>
        <w:tc>
          <w:tcPr>
            <w:tcW w:w="1928" w:type="dxa"/>
            <w:tcBorders>
              <w:left w:val="nil"/>
            </w:tcBorders>
            <w:shd w:val="clear" w:color="auto" w:fill="3B3838" w:themeFill="background2" w:themeFillShade="40"/>
            <w:vAlign w:val="center"/>
          </w:tcPr>
          <w:p w14:paraId="7E4F197F" w14:textId="77777777" w:rsidR="00AE4775" w:rsidRPr="00603981" w:rsidRDefault="00AE4775" w:rsidP="001F21E1">
            <w:pPr>
              <w:keepNext/>
              <w:spacing w:before="40" w:after="40" w:line="259" w:lineRule="auto"/>
              <w:rPr>
                <w:rFonts w:cstheme="minorHAnsi"/>
              </w:rPr>
            </w:pPr>
            <w:r w:rsidRPr="00603981">
              <w:rPr>
                <w:rFonts w:cstheme="minorHAnsi"/>
                <w:b/>
                <w:bCs/>
              </w:rPr>
              <w:t>Option 2:</w:t>
            </w:r>
            <w:r w:rsidRPr="00603981">
              <w:rPr>
                <w:rFonts w:cstheme="minorHAnsi"/>
                <w:b/>
                <w:bCs/>
              </w:rPr>
              <w:br/>
            </w:r>
            <w:r w:rsidRPr="00603981">
              <w:rPr>
                <w:rFonts w:cstheme="minorHAnsi"/>
              </w:rPr>
              <w:t>(Status quo)</w:t>
            </w:r>
          </w:p>
        </w:tc>
      </w:tr>
      <w:tr w:rsidR="00AE4775" w:rsidRPr="00603981" w14:paraId="54103A32" w14:textId="77777777" w:rsidTr="005A746C">
        <w:tc>
          <w:tcPr>
            <w:tcW w:w="4962" w:type="dxa"/>
            <w:shd w:val="clear" w:color="auto" w:fill="F2F2F2" w:themeFill="background1" w:themeFillShade="F2"/>
            <w:vAlign w:val="center"/>
          </w:tcPr>
          <w:p w14:paraId="6E852F79" w14:textId="77777777" w:rsidR="00AE4775" w:rsidRPr="00603981" w:rsidRDefault="00AE4775" w:rsidP="00E67D7A">
            <w:pPr>
              <w:keepNext/>
              <w:spacing w:before="40" w:after="40" w:line="259" w:lineRule="auto"/>
              <w:rPr>
                <w:rFonts w:cstheme="minorHAnsi"/>
              </w:rPr>
            </w:pPr>
            <w:r w:rsidRPr="00603981">
              <w:rPr>
                <w:rFonts w:cstheme="minorHAnsi"/>
              </w:rPr>
              <w:t>Business should be able to access labour hire for genuine work surges and short-term needs</w:t>
            </w:r>
          </w:p>
        </w:tc>
        <w:tc>
          <w:tcPr>
            <w:tcW w:w="2126" w:type="dxa"/>
            <w:shd w:val="clear" w:color="auto" w:fill="009900"/>
            <w:vAlign w:val="center"/>
          </w:tcPr>
          <w:p w14:paraId="067B1E76" w14:textId="2A403019" w:rsidR="00AE4775" w:rsidRPr="00702625" w:rsidRDefault="00AE4775" w:rsidP="00E67D7A">
            <w:pPr>
              <w:keepNext/>
              <w:spacing w:before="40" w:after="40" w:line="259" w:lineRule="auto"/>
              <w:rPr>
                <w:rFonts w:cstheme="minorHAnsi"/>
                <w:b/>
                <w:color w:val="FFFFFF" w:themeColor="background1"/>
              </w:rPr>
            </w:pPr>
            <w:r w:rsidRPr="00702625">
              <w:rPr>
                <w:rFonts w:cstheme="minorHAnsi"/>
                <w:b/>
                <w:color w:val="FFFFFF" w:themeColor="background1"/>
              </w:rPr>
              <w:t xml:space="preserve">Very </w:t>
            </w:r>
            <w:r w:rsidR="002D68A7" w:rsidRPr="00702625">
              <w:rPr>
                <w:rFonts w:cstheme="minorHAnsi"/>
                <w:b/>
                <w:color w:val="FFFFFF" w:themeColor="background1"/>
              </w:rPr>
              <w:t>G</w:t>
            </w:r>
            <w:r w:rsidRPr="00702625">
              <w:rPr>
                <w:rFonts w:cstheme="minorHAnsi"/>
                <w:b/>
                <w:color w:val="FFFFFF" w:themeColor="background1"/>
              </w:rPr>
              <w:t>ood</w:t>
            </w:r>
          </w:p>
        </w:tc>
        <w:tc>
          <w:tcPr>
            <w:tcW w:w="1928" w:type="dxa"/>
            <w:shd w:val="clear" w:color="auto" w:fill="009900"/>
            <w:vAlign w:val="center"/>
          </w:tcPr>
          <w:p w14:paraId="3C4C3EC1" w14:textId="77777777" w:rsidR="00AE4775" w:rsidRPr="00702625" w:rsidRDefault="00AE4775" w:rsidP="00E67D7A">
            <w:pPr>
              <w:keepNext/>
              <w:spacing w:before="40" w:after="40" w:line="259" w:lineRule="auto"/>
              <w:rPr>
                <w:rFonts w:cstheme="minorHAnsi"/>
                <w:b/>
                <w:color w:val="FFFFFF" w:themeColor="background1"/>
              </w:rPr>
            </w:pPr>
            <w:r w:rsidRPr="00702625">
              <w:rPr>
                <w:rFonts w:cstheme="minorHAnsi"/>
                <w:b/>
                <w:color w:val="FFFFFF" w:themeColor="background1"/>
              </w:rPr>
              <w:t>Very Good</w:t>
            </w:r>
          </w:p>
        </w:tc>
      </w:tr>
      <w:tr w:rsidR="00AE4775" w:rsidRPr="00603981" w14:paraId="05CA1A74" w14:textId="77777777" w:rsidTr="005A746C">
        <w:tc>
          <w:tcPr>
            <w:tcW w:w="4962" w:type="dxa"/>
            <w:shd w:val="clear" w:color="auto" w:fill="F2F2F2" w:themeFill="background1" w:themeFillShade="F2"/>
            <w:vAlign w:val="center"/>
          </w:tcPr>
          <w:p w14:paraId="0D955FF7" w14:textId="40A878D8" w:rsidR="00AE4775" w:rsidRPr="00603981" w:rsidRDefault="00AE4775" w:rsidP="00E67D7A">
            <w:pPr>
              <w:keepNext/>
              <w:spacing w:before="40" w:after="40" w:line="259" w:lineRule="auto"/>
              <w:rPr>
                <w:rFonts w:cstheme="minorHAnsi"/>
              </w:rPr>
            </w:pPr>
            <w:r w:rsidRPr="00603981">
              <w:rPr>
                <w:rFonts w:cstheme="minorHAnsi"/>
              </w:rPr>
              <w:t xml:space="preserve">Labour hire </w:t>
            </w:r>
            <w:r w:rsidR="0040566B">
              <w:rPr>
                <w:rFonts w:cstheme="minorHAnsi"/>
              </w:rPr>
              <w:t>employees</w:t>
            </w:r>
            <w:r w:rsidR="0040566B" w:rsidRPr="00603981">
              <w:rPr>
                <w:rFonts w:cstheme="minorHAnsi"/>
              </w:rPr>
              <w:t xml:space="preserve"> </w:t>
            </w:r>
            <w:r w:rsidRPr="00603981">
              <w:rPr>
                <w:rFonts w:cstheme="minorHAnsi"/>
              </w:rPr>
              <w:t xml:space="preserve">should be paid at least the amount provided in a host’s enterprise agreement, where that agreement would apply to the </w:t>
            </w:r>
            <w:r w:rsidR="0040566B">
              <w:rPr>
                <w:rFonts w:cstheme="minorHAnsi"/>
              </w:rPr>
              <w:t>employee</w:t>
            </w:r>
            <w:r w:rsidR="0040566B" w:rsidRPr="00603981">
              <w:rPr>
                <w:rFonts w:cstheme="minorHAnsi"/>
              </w:rPr>
              <w:t xml:space="preserve"> </w:t>
            </w:r>
            <w:r w:rsidRPr="00603981">
              <w:rPr>
                <w:rFonts w:cstheme="minorHAnsi"/>
              </w:rPr>
              <w:t>if they were directly employed</w:t>
            </w:r>
          </w:p>
        </w:tc>
        <w:tc>
          <w:tcPr>
            <w:tcW w:w="2126" w:type="dxa"/>
            <w:shd w:val="clear" w:color="auto" w:fill="009900"/>
            <w:vAlign w:val="center"/>
          </w:tcPr>
          <w:p w14:paraId="368F4B5E" w14:textId="77777777" w:rsidR="00AE4775" w:rsidRPr="00702625" w:rsidRDefault="00AE4775" w:rsidP="00E67D7A">
            <w:pPr>
              <w:keepNext/>
              <w:spacing w:before="40" w:after="40" w:line="259" w:lineRule="auto"/>
              <w:rPr>
                <w:rFonts w:cstheme="minorHAnsi"/>
                <w:b/>
                <w:color w:val="FFFFFF" w:themeColor="background1"/>
              </w:rPr>
            </w:pPr>
            <w:r w:rsidRPr="00702625">
              <w:rPr>
                <w:rFonts w:cstheme="minorHAnsi"/>
                <w:b/>
                <w:color w:val="FFFFFF" w:themeColor="background1"/>
              </w:rPr>
              <w:t>Very Good</w:t>
            </w:r>
          </w:p>
        </w:tc>
        <w:tc>
          <w:tcPr>
            <w:tcW w:w="1928" w:type="dxa"/>
            <w:shd w:val="clear" w:color="auto" w:fill="FF5050"/>
            <w:vAlign w:val="center"/>
          </w:tcPr>
          <w:p w14:paraId="324B1750" w14:textId="77777777" w:rsidR="00AE4775" w:rsidRPr="00702625" w:rsidRDefault="00AE4775" w:rsidP="00E67D7A">
            <w:pPr>
              <w:keepNext/>
              <w:spacing w:before="40" w:after="40" w:line="259" w:lineRule="auto"/>
              <w:rPr>
                <w:rFonts w:cstheme="minorHAnsi"/>
                <w:b/>
                <w:color w:val="FFFFFF" w:themeColor="background1"/>
              </w:rPr>
            </w:pPr>
            <w:r w:rsidRPr="00702625">
              <w:rPr>
                <w:rFonts w:cstheme="minorHAnsi"/>
                <w:b/>
                <w:color w:val="FFFFFF" w:themeColor="background1"/>
              </w:rPr>
              <w:t>Poor</w:t>
            </w:r>
          </w:p>
        </w:tc>
      </w:tr>
      <w:tr w:rsidR="00AE4775" w:rsidRPr="00603981" w14:paraId="7233AACA" w14:textId="77777777" w:rsidTr="005A746C">
        <w:tc>
          <w:tcPr>
            <w:tcW w:w="4962" w:type="dxa"/>
            <w:shd w:val="clear" w:color="auto" w:fill="F2F2F2" w:themeFill="background1" w:themeFillShade="F2"/>
            <w:vAlign w:val="center"/>
          </w:tcPr>
          <w:p w14:paraId="35658512" w14:textId="77777777" w:rsidR="00AE4775" w:rsidRPr="00603981" w:rsidRDefault="00AE4775" w:rsidP="00E67D7A">
            <w:pPr>
              <w:keepNext/>
              <w:spacing w:before="40" w:after="40" w:line="259" w:lineRule="auto"/>
              <w:rPr>
                <w:rFonts w:cstheme="minorHAnsi"/>
              </w:rPr>
            </w:pPr>
            <w:r w:rsidRPr="00603981">
              <w:rPr>
                <w:rFonts w:cstheme="minorHAnsi"/>
              </w:rPr>
              <w:t>Employers should not be able to undercut enterprise agreements through the use of labour hire</w:t>
            </w:r>
          </w:p>
        </w:tc>
        <w:tc>
          <w:tcPr>
            <w:tcW w:w="2126" w:type="dxa"/>
            <w:shd w:val="clear" w:color="auto" w:fill="009900"/>
            <w:vAlign w:val="center"/>
          </w:tcPr>
          <w:p w14:paraId="12AECE78" w14:textId="77777777" w:rsidR="00AE4775" w:rsidRPr="00702625" w:rsidRDefault="00AE4775" w:rsidP="00E67D7A">
            <w:pPr>
              <w:keepNext/>
              <w:spacing w:before="40" w:after="40" w:line="259" w:lineRule="auto"/>
              <w:rPr>
                <w:rFonts w:cstheme="minorHAnsi"/>
                <w:b/>
                <w:color w:val="FFFFFF" w:themeColor="background1"/>
              </w:rPr>
            </w:pPr>
            <w:r w:rsidRPr="00702625">
              <w:rPr>
                <w:rFonts w:cstheme="minorHAnsi"/>
                <w:b/>
                <w:color w:val="FFFFFF" w:themeColor="background1"/>
              </w:rPr>
              <w:t>Very Good</w:t>
            </w:r>
          </w:p>
        </w:tc>
        <w:tc>
          <w:tcPr>
            <w:tcW w:w="1928" w:type="dxa"/>
            <w:shd w:val="clear" w:color="auto" w:fill="FF5050"/>
            <w:vAlign w:val="center"/>
          </w:tcPr>
          <w:p w14:paraId="57339DA5" w14:textId="77777777" w:rsidR="00AE4775" w:rsidRPr="00702625" w:rsidRDefault="00AE4775" w:rsidP="00E67D7A">
            <w:pPr>
              <w:keepNext/>
              <w:spacing w:before="40" w:after="40" w:line="259" w:lineRule="auto"/>
              <w:rPr>
                <w:rFonts w:cstheme="minorHAnsi"/>
                <w:b/>
                <w:color w:val="FFFFFF" w:themeColor="background1"/>
              </w:rPr>
            </w:pPr>
            <w:r w:rsidRPr="00702625">
              <w:rPr>
                <w:rFonts w:cstheme="minorHAnsi"/>
                <w:b/>
                <w:color w:val="FFFFFF" w:themeColor="background1"/>
              </w:rPr>
              <w:t>Poor</w:t>
            </w:r>
          </w:p>
        </w:tc>
      </w:tr>
      <w:tr w:rsidR="00AE4775" w:rsidRPr="00603981" w14:paraId="234F81E0" w14:textId="77777777" w:rsidTr="005A746C">
        <w:tc>
          <w:tcPr>
            <w:tcW w:w="4962" w:type="dxa"/>
            <w:shd w:val="clear" w:color="auto" w:fill="F2F2F2" w:themeFill="background1" w:themeFillShade="F2"/>
            <w:vAlign w:val="center"/>
          </w:tcPr>
          <w:p w14:paraId="432BFE25" w14:textId="77777777" w:rsidR="00AE4775" w:rsidRPr="00603981" w:rsidRDefault="00AE4775" w:rsidP="00E67D7A">
            <w:pPr>
              <w:keepNext/>
              <w:spacing w:before="40" w:after="40" w:line="259" w:lineRule="auto"/>
              <w:rPr>
                <w:rFonts w:cstheme="minorHAnsi"/>
              </w:rPr>
            </w:pPr>
            <w:r w:rsidRPr="00603981">
              <w:rPr>
                <w:rFonts w:cstheme="minorHAnsi"/>
              </w:rPr>
              <w:t>The proposal should only impose a reasonable regulatory burden on affected parties</w:t>
            </w:r>
          </w:p>
        </w:tc>
        <w:tc>
          <w:tcPr>
            <w:tcW w:w="2126" w:type="dxa"/>
            <w:shd w:val="clear" w:color="auto" w:fill="92D050"/>
            <w:vAlign w:val="center"/>
          </w:tcPr>
          <w:p w14:paraId="09C1A78A" w14:textId="77777777" w:rsidR="00AE4775" w:rsidRPr="00702625" w:rsidRDefault="00AE4775" w:rsidP="3439C464">
            <w:pPr>
              <w:keepNext/>
              <w:spacing w:before="40" w:after="40" w:line="259" w:lineRule="auto"/>
              <w:rPr>
                <w:b/>
                <w:color w:val="FFFFFF" w:themeColor="background1"/>
              </w:rPr>
            </w:pPr>
            <w:r w:rsidRPr="00702625">
              <w:rPr>
                <w:b/>
                <w:color w:val="FFFFFF" w:themeColor="background1"/>
              </w:rPr>
              <w:t>Good</w:t>
            </w:r>
          </w:p>
        </w:tc>
        <w:tc>
          <w:tcPr>
            <w:tcW w:w="1928" w:type="dxa"/>
            <w:shd w:val="clear" w:color="auto" w:fill="009900"/>
            <w:vAlign w:val="center"/>
          </w:tcPr>
          <w:p w14:paraId="6545014B" w14:textId="77777777" w:rsidR="00AE4775" w:rsidRPr="00702625" w:rsidRDefault="00AE4775" w:rsidP="00E67D7A">
            <w:pPr>
              <w:keepNext/>
              <w:spacing w:before="40" w:after="40" w:line="259" w:lineRule="auto"/>
              <w:rPr>
                <w:b/>
                <w:color w:val="FFFFFF" w:themeColor="background1"/>
              </w:rPr>
            </w:pPr>
            <w:r w:rsidRPr="00702625">
              <w:rPr>
                <w:b/>
                <w:color w:val="FFFFFF" w:themeColor="background1"/>
              </w:rPr>
              <w:t>Very Good</w:t>
            </w:r>
          </w:p>
        </w:tc>
      </w:tr>
    </w:tbl>
    <w:p w14:paraId="3C3629DE" w14:textId="3DD0BC2F" w:rsidR="00AE4775" w:rsidRPr="00603981" w:rsidRDefault="00AE4775" w:rsidP="00E51657">
      <w:pPr>
        <w:spacing w:before="60"/>
        <w:rPr>
          <w:rFonts w:cstheme="minorHAnsi"/>
          <w:sz w:val="18"/>
          <w:szCs w:val="18"/>
        </w:rPr>
      </w:pPr>
      <w:r w:rsidRPr="00603981">
        <w:rPr>
          <w:rFonts w:cstheme="minorHAnsi"/>
          <w:sz w:val="18"/>
          <w:szCs w:val="18"/>
          <w:u w:val="single"/>
        </w:rPr>
        <w:t>Note</w:t>
      </w:r>
      <w:r w:rsidRPr="00603981">
        <w:rPr>
          <w:rFonts w:cstheme="minorHAnsi"/>
          <w:sz w:val="18"/>
          <w:szCs w:val="18"/>
        </w:rPr>
        <w:t xml:space="preserve">: The department has assessed each Option against these </w:t>
      </w:r>
      <w:r w:rsidR="008F4B51" w:rsidRPr="00603981">
        <w:rPr>
          <w:rFonts w:cstheme="minorHAnsi"/>
          <w:sz w:val="18"/>
          <w:szCs w:val="18"/>
        </w:rPr>
        <w:t>four</w:t>
      </w:r>
      <w:r w:rsidRPr="00603981">
        <w:rPr>
          <w:rFonts w:cstheme="minorHAnsi"/>
          <w:sz w:val="18"/>
          <w:szCs w:val="18"/>
        </w:rPr>
        <w:t xml:space="preserve"> principles, having regard to the impacts on stakeholders. ‘Very good’ is considered to be an optimal outcome for stakeholders intended to benefit from the proposal. ‘Good’ is considered to be a positive outcome for stakeholders. ‘Fair’ is considered to be an adequate outcome with little impact on stakeholders. ‘Poor’ is considered a negative outcome for stakeholders</w:t>
      </w:r>
      <w:r w:rsidRPr="00603981" w:rsidDel="00A00563">
        <w:rPr>
          <w:rFonts w:cstheme="minorHAnsi"/>
          <w:sz w:val="18"/>
          <w:szCs w:val="18"/>
        </w:rPr>
        <w:t xml:space="preserve">. </w:t>
      </w:r>
    </w:p>
    <w:p w14:paraId="04F10C09" w14:textId="77777777" w:rsidR="00AE4775" w:rsidRPr="00603981" w:rsidRDefault="00AE4775" w:rsidP="00E51657">
      <w:pPr>
        <w:pStyle w:val="Heading3"/>
        <w:keepLines w:val="0"/>
      </w:pPr>
      <w:bookmarkStart w:id="41" w:name="_Toc143696588"/>
      <w:r w:rsidRPr="00603981">
        <w:t>Which option is the most effective, appropriate, efficient, and least costly?</w:t>
      </w:r>
      <w:bookmarkEnd w:id="41"/>
    </w:p>
    <w:p w14:paraId="4E3A0DCB" w14:textId="37059688" w:rsidR="00D7025B" w:rsidRPr="00A86E27" w:rsidRDefault="00AE4775" w:rsidP="00E51657">
      <w:pPr>
        <w:keepNext/>
        <w:spacing w:after="160" w:line="259" w:lineRule="auto"/>
        <w:rPr>
          <w:rFonts w:cstheme="minorHAnsi"/>
        </w:rPr>
      </w:pPr>
      <w:r w:rsidRPr="00603981">
        <w:rPr>
          <w:rFonts w:ascii="Calibri" w:eastAsia="Calibri" w:hAnsi="Calibri" w:cs="Calibri"/>
        </w:rPr>
        <w:t xml:space="preserve">Option 1 is the preferred measure because it is, on balance, the most effective, appropriate and efficient option </w:t>
      </w:r>
      <w:r w:rsidR="00D7025B">
        <w:rPr>
          <w:rFonts w:ascii="Calibri" w:eastAsia="Calibri" w:hAnsi="Calibri" w:cs="Calibri"/>
        </w:rPr>
        <w:t>for</w:t>
      </w:r>
      <w:r w:rsidRPr="00603981">
        <w:rPr>
          <w:rFonts w:ascii="Calibri" w:eastAsia="Calibri" w:hAnsi="Calibri" w:cs="Calibri"/>
        </w:rPr>
        <w:t xml:space="preserve"> achieving the Government’s aims to prevent the use of labour hire </w:t>
      </w:r>
      <w:r w:rsidRPr="00603981">
        <w:rPr>
          <w:rFonts w:cstheme="minorHAnsi"/>
        </w:rPr>
        <w:t>undercutting bargained wages. It is the most effective option because it involves legislating to</w:t>
      </w:r>
      <w:r w:rsidRPr="00603981" w:rsidDel="00BA4858">
        <w:rPr>
          <w:rFonts w:cstheme="minorHAnsi"/>
        </w:rPr>
        <w:t xml:space="preserve"> </w:t>
      </w:r>
      <w:r w:rsidRPr="00603981">
        <w:rPr>
          <w:rFonts w:cstheme="minorHAnsi"/>
        </w:rPr>
        <w:t xml:space="preserve">address the regulatory shortfall in the Fair Work Act which currently allows labour hire </w:t>
      </w:r>
      <w:r w:rsidR="00D7025B">
        <w:rPr>
          <w:rFonts w:cstheme="minorHAnsi"/>
        </w:rPr>
        <w:t>employees</w:t>
      </w:r>
      <w:r w:rsidR="00D7025B" w:rsidRPr="00603981">
        <w:rPr>
          <w:rFonts w:cstheme="minorHAnsi"/>
        </w:rPr>
        <w:t xml:space="preserve"> </w:t>
      </w:r>
      <w:r w:rsidRPr="00603981">
        <w:rPr>
          <w:rFonts w:cstheme="minorHAnsi"/>
        </w:rPr>
        <w:t xml:space="preserve">to be paid less than what they would </w:t>
      </w:r>
      <w:r w:rsidR="00D7025B">
        <w:rPr>
          <w:rFonts w:cstheme="minorHAnsi"/>
        </w:rPr>
        <w:t>be paid</w:t>
      </w:r>
      <w:r w:rsidR="00D7025B" w:rsidRPr="00603981">
        <w:rPr>
          <w:rFonts w:cstheme="minorHAnsi"/>
        </w:rPr>
        <w:t xml:space="preserve"> </w:t>
      </w:r>
      <w:r w:rsidR="000D0519" w:rsidRPr="00603981">
        <w:rPr>
          <w:rFonts w:cstheme="minorHAnsi"/>
        </w:rPr>
        <w:t>under a host’s agreement</w:t>
      </w:r>
      <w:r w:rsidR="00D7025B">
        <w:rPr>
          <w:rFonts w:cstheme="minorHAnsi"/>
        </w:rPr>
        <w:t xml:space="preserve">, and </w:t>
      </w:r>
      <w:r w:rsidR="005112A8">
        <w:rPr>
          <w:rFonts w:cstheme="minorHAnsi"/>
        </w:rPr>
        <w:t>is appropriate an</w:t>
      </w:r>
      <w:r w:rsidR="004E596B">
        <w:rPr>
          <w:rFonts w:cstheme="minorHAnsi"/>
        </w:rPr>
        <w:t xml:space="preserve">d efficient </w:t>
      </w:r>
      <w:r w:rsidR="00D7025B">
        <w:rPr>
          <w:rFonts w:cstheme="minorHAnsi"/>
        </w:rPr>
        <w:t>because it is structured as an application-based model</w:t>
      </w:r>
      <w:r w:rsidR="004A023C">
        <w:rPr>
          <w:rFonts w:cstheme="minorHAnsi"/>
        </w:rPr>
        <w:t>. This means that</w:t>
      </w:r>
      <w:r w:rsidR="00A44131">
        <w:rPr>
          <w:rFonts w:cstheme="minorHAnsi"/>
        </w:rPr>
        <w:t xml:space="preserve"> only those labour hire </w:t>
      </w:r>
      <w:r w:rsidR="00BB39F3">
        <w:rPr>
          <w:rFonts w:cstheme="minorHAnsi"/>
        </w:rPr>
        <w:t xml:space="preserve">arrangements </w:t>
      </w:r>
      <w:r w:rsidR="00D7025B">
        <w:rPr>
          <w:rFonts w:cstheme="minorHAnsi"/>
        </w:rPr>
        <w:t xml:space="preserve">in which labour hire employees are paid less will be covered by a Fair Work Commission order, insulating hosts and labour hire employers from additional administrative burden in industries where the use of labour hire does not, or does not </w:t>
      </w:r>
      <w:r w:rsidR="00D7025B">
        <w:rPr>
          <w:rFonts w:cstheme="minorHAnsi"/>
          <w:i/>
          <w:iCs/>
        </w:rPr>
        <w:t>often</w:t>
      </w:r>
      <w:r w:rsidR="00D7025B">
        <w:rPr>
          <w:rFonts w:cstheme="minorHAnsi"/>
        </w:rPr>
        <w:t>, undercut bargained wages</w:t>
      </w:r>
      <w:r w:rsidR="00F520DC">
        <w:rPr>
          <w:rFonts w:cstheme="minorHAnsi"/>
        </w:rPr>
        <w:t>, without the need to expressly carve out entire industries of the Australian economy from the scope of the proposal</w:t>
      </w:r>
      <w:r w:rsidR="00D7025B">
        <w:rPr>
          <w:rFonts w:cstheme="minorHAnsi"/>
        </w:rPr>
        <w:t>.</w:t>
      </w:r>
    </w:p>
    <w:p w14:paraId="4D41BA8E" w14:textId="32662E62" w:rsidR="00AE4775" w:rsidRPr="00603981" w:rsidRDefault="00AE4775" w:rsidP="00F207DC">
      <w:pPr>
        <w:spacing w:after="160" w:line="259" w:lineRule="auto"/>
        <w:rPr>
          <w:rFonts w:ascii="Calibri" w:eastAsia="Calibri" w:hAnsi="Calibri" w:cs="Calibri"/>
        </w:rPr>
      </w:pPr>
      <w:r w:rsidRPr="00603981">
        <w:rPr>
          <w:rFonts w:ascii="Calibri" w:eastAsia="Calibri" w:hAnsi="Calibri" w:cs="Calibri"/>
        </w:rPr>
        <w:t xml:space="preserve">Option 1 addresses the problem identified by Government and does not </w:t>
      </w:r>
      <w:r w:rsidR="000D0519" w:rsidRPr="00603981">
        <w:rPr>
          <w:rFonts w:ascii="Calibri" w:eastAsia="Calibri" w:hAnsi="Calibri" w:cs="Calibri"/>
        </w:rPr>
        <w:t xml:space="preserve">prevent </w:t>
      </w:r>
      <w:r w:rsidRPr="00603981">
        <w:rPr>
          <w:rFonts w:ascii="Calibri" w:eastAsia="Calibri" w:hAnsi="Calibri" w:cs="Calibri"/>
        </w:rPr>
        <w:t xml:space="preserve">business </w:t>
      </w:r>
      <w:r w:rsidR="000D0519" w:rsidRPr="00603981">
        <w:rPr>
          <w:rFonts w:ascii="Calibri" w:eastAsia="Calibri" w:hAnsi="Calibri" w:cs="Calibri"/>
        </w:rPr>
        <w:t xml:space="preserve">from </w:t>
      </w:r>
      <w:r w:rsidRPr="00603981">
        <w:rPr>
          <w:rFonts w:ascii="Calibri" w:eastAsia="Calibri" w:hAnsi="Calibri" w:cs="Calibri"/>
        </w:rPr>
        <w:t>access</w:t>
      </w:r>
      <w:r w:rsidR="000D0519" w:rsidRPr="00603981">
        <w:rPr>
          <w:rFonts w:ascii="Calibri" w:eastAsia="Calibri" w:hAnsi="Calibri" w:cs="Calibri"/>
        </w:rPr>
        <w:t>ing</w:t>
      </w:r>
      <w:r w:rsidRPr="00603981">
        <w:rPr>
          <w:rFonts w:ascii="Calibri" w:eastAsia="Calibri" w:hAnsi="Calibri" w:cs="Calibri"/>
        </w:rPr>
        <w:t xml:space="preserve"> labour hire for genuine work surges and short term needs. Businesses can also </w:t>
      </w:r>
      <w:r w:rsidR="00D06943">
        <w:rPr>
          <w:rFonts w:ascii="Calibri" w:eastAsia="Calibri" w:hAnsi="Calibri" w:cs="Calibri"/>
        </w:rPr>
        <w:t xml:space="preserve">still </w:t>
      </w:r>
      <w:r w:rsidRPr="00603981">
        <w:rPr>
          <w:rFonts w:ascii="Calibri" w:eastAsia="Calibri" w:hAnsi="Calibri" w:cs="Calibri"/>
        </w:rPr>
        <w:t>access labour hire longer term</w:t>
      </w:r>
      <w:r w:rsidR="000D0519" w:rsidRPr="00603981">
        <w:rPr>
          <w:rFonts w:ascii="Calibri" w:eastAsia="Calibri" w:hAnsi="Calibri" w:cs="Calibri"/>
        </w:rPr>
        <w:t>,</w:t>
      </w:r>
      <w:r w:rsidRPr="00603981">
        <w:rPr>
          <w:rFonts w:ascii="Calibri" w:eastAsia="Calibri" w:hAnsi="Calibri" w:cs="Calibri"/>
        </w:rPr>
        <w:t xml:space="preserve"> but </w:t>
      </w:r>
      <w:r w:rsidR="00D06943">
        <w:rPr>
          <w:rFonts w:ascii="Calibri" w:eastAsia="Calibri" w:hAnsi="Calibri" w:cs="Calibri"/>
        </w:rPr>
        <w:t>labour hire employees</w:t>
      </w:r>
      <w:r w:rsidR="00D06943" w:rsidRPr="00603981">
        <w:rPr>
          <w:rFonts w:ascii="Calibri" w:eastAsia="Calibri" w:hAnsi="Calibri" w:cs="Calibri"/>
        </w:rPr>
        <w:t xml:space="preserve"> </w:t>
      </w:r>
      <w:r w:rsidRPr="00603981">
        <w:rPr>
          <w:rFonts w:ascii="Calibri" w:eastAsia="Calibri" w:hAnsi="Calibri" w:cs="Calibri"/>
        </w:rPr>
        <w:t xml:space="preserve">must </w:t>
      </w:r>
      <w:r w:rsidR="000D0519" w:rsidRPr="00603981">
        <w:rPr>
          <w:rFonts w:ascii="Calibri" w:eastAsia="Calibri" w:hAnsi="Calibri" w:cs="Calibri"/>
        </w:rPr>
        <w:t xml:space="preserve">be paid </w:t>
      </w:r>
      <w:r w:rsidRPr="00603981">
        <w:rPr>
          <w:rFonts w:ascii="Calibri" w:eastAsia="Calibri" w:hAnsi="Calibri" w:cs="Calibri"/>
        </w:rPr>
        <w:t>no less than</w:t>
      </w:r>
      <w:r w:rsidR="00D06943">
        <w:rPr>
          <w:rFonts w:ascii="Calibri" w:eastAsia="Calibri" w:hAnsi="Calibri" w:cs="Calibri"/>
        </w:rPr>
        <w:t xml:space="preserve"> what they would be paid under </w:t>
      </w:r>
      <w:r w:rsidRPr="00603981">
        <w:rPr>
          <w:rFonts w:ascii="Calibri" w:eastAsia="Calibri" w:hAnsi="Calibri" w:cs="Calibri"/>
        </w:rPr>
        <w:t>the host's enterprise agreement</w:t>
      </w:r>
      <w:r w:rsidR="00D06943">
        <w:rPr>
          <w:rFonts w:ascii="Calibri" w:eastAsia="Calibri" w:hAnsi="Calibri" w:cs="Calibri"/>
        </w:rPr>
        <w:t xml:space="preserve"> if they were directly employed</w:t>
      </w:r>
      <w:r w:rsidR="00273119">
        <w:rPr>
          <w:rFonts w:ascii="Calibri" w:eastAsia="Calibri" w:hAnsi="Calibri" w:cs="Calibri"/>
        </w:rPr>
        <w:t xml:space="preserve">, </w:t>
      </w:r>
      <w:r w:rsidR="002063C9">
        <w:rPr>
          <w:rFonts w:ascii="Calibri" w:eastAsia="Calibri" w:hAnsi="Calibri" w:cs="Calibri"/>
        </w:rPr>
        <w:t>in cases where</w:t>
      </w:r>
      <w:r w:rsidR="00273119">
        <w:rPr>
          <w:rFonts w:ascii="Calibri" w:eastAsia="Calibri" w:hAnsi="Calibri" w:cs="Calibri"/>
        </w:rPr>
        <w:t xml:space="preserve"> a successful application has been made</w:t>
      </w:r>
      <w:r w:rsidRPr="00603981">
        <w:rPr>
          <w:rFonts w:ascii="Calibri" w:eastAsia="Calibri" w:hAnsi="Calibri" w:cs="Calibri"/>
        </w:rPr>
        <w:t xml:space="preserve">. This removes </w:t>
      </w:r>
      <w:r w:rsidR="00D06943">
        <w:rPr>
          <w:rFonts w:ascii="Calibri" w:eastAsia="Calibri" w:hAnsi="Calibri" w:cs="Calibri"/>
        </w:rPr>
        <w:t>an</w:t>
      </w:r>
      <w:r w:rsidR="00D06943" w:rsidRPr="00603981">
        <w:rPr>
          <w:rFonts w:ascii="Calibri" w:eastAsia="Calibri" w:hAnsi="Calibri" w:cs="Calibri"/>
        </w:rPr>
        <w:t xml:space="preserve"> </w:t>
      </w:r>
      <w:r w:rsidRPr="00603981">
        <w:rPr>
          <w:rFonts w:ascii="Calibri" w:eastAsia="Calibri" w:hAnsi="Calibri" w:cs="Calibri"/>
        </w:rPr>
        <w:t xml:space="preserve">economic incentive for employers to undercut </w:t>
      </w:r>
      <w:r w:rsidR="00D06943">
        <w:rPr>
          <w:rFonts w:ascii="Calibri" w:eastAsia="Calibri" w:hAnsi="Calibri" w:cs="Calibri"/>
        </w:rPr>
        <w:t>bargained rates</w:t>
      </w:r>
      <w:r w:rsidRPr="00603981">
        <w:rPr>
          <w:rFonts w:ascii="Calibri" w:eastAsia="Calibri" w:hAnsi="Calibri" w:cs="Calibri"/>
        </w:rPr>
        <w:t xml:space="preserve"> through the use of labour hire. </w:t>
      </w:r>
    </w:p>
    <w:p w14:paraId="6D9EAC28" w14:textId="1C8F4B93" w:rsidR="00AE4775" w:rsidRPr="00603981" w:rsidRDefault="00AE4775" w:rsidP="00F207DC">
      <w:pPr>
        <w:spacing w:after="160" w:line="259" w:lineRule="auto"/>
        <w:rPr>
          <w:rFonts w:ascii="Calibri" w:eastAsia="Calibri" w:hAnsi="Calibri" w:cs="Calibri"/>
          <w:color w:val="D13438"/>
        </w:rPr>
      </w:pPr>
      <w:r w:rsidRPr="00603981">
        <w:rPr>
          <w:rFonts w:ascii="Calibri" w:eastAsia="Calibri" w:hAnsi="Calibri" w:cs="Calibri"/>
        </w:rPr>
        <w:t xml:space="preserve">Conversely, Option 2 (maintaining the status quo) does not meet the Government’s </w:t>
      </w:r>
      <w:r w:rsidR="00A40DBC">
        <w:rPr>
          <w:rFonts w:ascii="Calibri" w:eastAsia="Calibri" w:hAnsi="Calibri" w:cs="Calibri"/>
        </w:rPr>
        <w:t>election commitment</w:t>
      </w:r>
      <w:r w:rsidR="00A40DBC" w:rsidRPr="00603981">
        <w:rPr>
          <w:rFonts w:ascii="Calibri" w:eastAsia="Calibri" w:hAnsi="Calibri" w:cs="Calibri"/>
        </w:rPr>
        <w:t xml:space="preserve"> </w:t>
      </w:r>
      <w:r w:rsidRPr="00603981">
        <w:rPr>
          <w:rFonts w:ascii="Calibri" w:eastAsia="Calibri" w:hAnsi="Calibri" w:cs="Calibri"/>
        </w:rPr>
        <w:t xml:space="preserve">or adequately align with the guiding principles considered </w:t>
      </w:r>
      <w:r w:rsidR="001B2388" w:rsidRPr="00603981">
        <w:rPr>
          <w:rFonts w:ascii="Calibri" w:eastAsia="Calibri" w:hAnsi="Calibri" w:cs="Calibri"/>
        </w:rPr>
        <w:t>above</w:t>
      </w:r>
      <w:r w:rsidRPr="00603981">
        <w:rPr>
          <w:rFonts w:ascii="Calibri" w:eastAsia="Calibri" w:hAnsi="Calibri" w:cs="Calibri"/>
        </w:rPr>
        <w:t xml:space="preserve"> in relation to measuring an effective resolution to address identified issues. While maintaining the status quo essentially means a continuation of existing labour hire arrangements and does not impose </w:t>
      </w:r>
      <w:r w:rsidRPr="00603981">
        <w:rPr>
          <w:rFonts w:ascii="Calibri" w:eastAsia="Calibri" w:hAnsi="Calibri" w:cs="Calibri"/>
        </w:rPr>
        <w:lastRenderedPageBreak/>
        <w:t xml:space="preserve">additional regulatory burden on business, it does not ensure that labour hire </w:t>
      </w:r>
      <w:r w:rsidR="00A40DBC">
        <w:rPr>
          <w:rFonts w:ascii="Calibri" w:eastAsia="Calibri" w:hAnsi="Calibri" w:cs="Calibri"/>
        </w:rPr>
        <w:t>employees</w:t>
      </w:r>
      <w:r w:rsidR="00A40DBC" w:rsidRPr="00603981">
        <w:rPr>
          <w:rFonts w:ascii="Calibri" w:eastAsia="Calibri" w:hAnsi="Calibri" w:cs="Calibri"/>
        </w:rPr>
        <w:t xml:space="preserve"> </w:t>
      </w:r>
      <w:r w:rsidRPr="00603981">
        <w:rPr>
          <w:rFonts w:ascii="Calibri" w:eastAsia="Calibri" w:hAnsi="Calibri" w:cs="Calibri"/>
        </w:rPr>
        <w:t xml:space="preserve">are paid </w:t>
      </w:r>
      <w:r w:rsidR="00A40DBC">
        <w:rPr>
          <w:rFonts w:ascii="Calibri" w:eastAsia="Calibri" w:hAnsi="Calibri" w:cs="Calibri"/>
        </w:rPr>
        <w:t>at least</w:t>
      </w:r>
      <w:r w:rsidRPr="00603981">
        <w:rPr>
          <w:rFonts w:ascii="Calibri" w:eastAsia="Calibri" w:hAnsi="Calibri" w:cs="Calibri"/>
        </w:rPr>
        <w:t xml:space="preserve"> the rates </w:t>
      </w:r>
      <w:r w:rsidR="00A40DBC">
        <w:rPr>
          <w:rFonts w:ascii="Calibri" w:eastAsia="Calibri" w:hAnsi="Calibri" w:cs="Calibri"/>
        </w:rPr>
        <w:t xml:space="preserve">in </w:t>
      </w:r>
      <w:r w:rsidRPr="00603981">
        <w:rPr>
          <w:rFonts w:ascii="Calibri" w:eastAsia="Calibri" w:hAnsi="Calibri" w:cs="Calibri"/>
        </w:rPr>
        <w:t>a host</w:t>
      </w:r>
      <w:r w:rsidR="00A40DBC">
        <w:rPr>
          <w:rFonts w:ascii="Calibri" w:eastAsia="Calibri" w:hAnsi="Calibri" w:cs="Calibri"/>
        </w:rPr>
        <w:t>’s agreement</w:t>
      </w:r>
      <w:r w:rsidRPr="00603981">
        <w:rPr>
          <w:rFonts w:ascii="Calibri" w:eastAsia="Calibri" w:hAnsi="Calibri" w:cs="Calibri"/>
        </w:rPr>
        <w:t>, mean</w:t>
      </w:r>
      <w:r w:rsidR="00AC493A" w:rsidRPr="00603981">
        <w:rPr>
          <w:rFonts w:ascii="Calibri" w:eastAsia="Calibri" w:hAnsi="Calibri" w:cs="Calibri"/>
        </w:rPr>
        <w:t>ing</w:t>
      </w:r>
      <w:r w:rsidRPr="00603981">
        <w:rPr>
          <w:rFonts w:ascii="Calibri" w:eastAsia="Calibri" w:hAnsi="Calibri" w:cs="Calibri"/>
        </w:rPr>
        <w:t xml:space="preserve"> </w:t>
      </w:r>
      <w:r w:rsidR="00AC493A" w:rsidRPr="00603981">
        <w:rPr>
          <w:rFonts w:ascii="Calibri" w:eastAsia="Calibri" w:hAnsi="Calibri" w:cs="Calibri"/>
        </w:rPr>
        <w:t>the use of</w:t>
      </w:r>
      <w:r w:rsidRPr="00603981">
        <w:rPr>
          <w:rFonts w:ascii="Calibri" w:eastAsia="Calibri" w:hAnsi="Calibri" w:cs="Calibri"/>
        </w:rPr>
        <w:t xml:space="preserve"> labour hire </w:t>
      </w:r>
      <w:r w:rsidR="00AC493A" w:rsidRPr="00603981">
        <w:rPr>
          <w:rFonts w:ascii="Calibri" w:eastAsia="Calibri" w:hAnsi="Calibri" w:cs="Calibri"/>
        </w:rPr>
        <w:t xml:space="preserve">could </w:t>
      </w:r>
      <w:r w:rsidRPr="00603981">
        <w:rPr>
          <w:rFonts w:ascii="Calibri" w:eastAsia="Calibri" w:hAnsi="Calibri" w:cs="Calibri"/>
        </w:rPr>
        <w:t>continue to undercut those rates.</w:t>
      </w:r>
    </w:p>
    <w:p w14:paraId="7B3F5AD0" w14:textId="5C809A6F" w:rsidR="00AE4775" w:rsidRPr="00603981" w:rsidRDefault="00AE4775" w:rsidP="00F207DC">
      <w:pPr>
        <w:spacing w:after="160" w:line="259" w:lineRule="auto"/>
        <w:rPr>
          <w:rFonts w:ascii="Calibri" w:eastAsia="Calibri" w:hAnsi="Calibri" w:cs="Calibri"/>
        </w:rPr>
      </w:pPr>
      <w:r w:rsidRPr="00603981">
        <w:rPr>
          <w:rFonts w:ascii="Calibri" w:eastAsia="Calibri" w:hAnsi="Calibri" w:cs="Calibri"/>
        </w:rPr>
        <w:t xml:space="preserve">Option 1 is a targeted measure that will </w:t>
      </w:r>
      <w:r w:rsidR="00654022">
        <w:rPr>
          <w:rFonts w:ascii="Calibri" w:eastAsia="Calibri" w:hAnsi="Calibri" w:cs="Calibri"/>
        </w:rPr>
        <w:t xml:space="preserve">only apply to </w:t>
      </w:r>
      <w:r w:rsidRPr="00603981">
        <w:rPr>
          <w:rFonts w:ascii="Calibri" w:eastAsia="Calibri" w:hAnsi="Calibri" w:cs="Calibri"/>
        </w:rPr>
        <w:t xml:space="preserve">businesses as a result of </w:t>
      </w:r>
      <w:r w:rsidR="00654022">
        <w:rPr>
          <w:rFonts w:ascii="Calibri" w:eastAsia="Calibri" w:hAnsi="Calibri" w:cs="Calibri"/>
        </w:rPr>
        <w:t>a Fair</w:t>
      </w:r>
      <w:r w:rsidR="00A40DBC">
        <w:rPr>
          <w:rFonts w:ascii="Calibri" w:eastAsia="Calibri" w:hAnsi="Calibri" w:cs="Calibri"/>
        </w:rPr>
        <w:t> </w:t>
      </w:r>
      <w:r w:rsidR="00654022">
        <w:rPr>
          <w:rFonts w:ascii="Calibri" w:eastAsia="Calibri" w:hAnsi="Calibri" w:cs="Calibri"/>
        </w:rPr>
        <w:t>Work Commission</w:t>
      </w:r>
      <w:r w:rsidR="00E04AB6">
        <w:rPr>
          <w:rFonts w:ascii="Calibri" w:eastAsia="Calibri" w:hAnsi="Calibri" w:cs="Calibri"/>
        </w:rPr>
        <w:t xml:space="preserve"> </w:t>
      </w:r>
      <w:r w:rsidR="00A40DBC">
        <w:rPr>
          <w:rFonts w:ascii="Calibri" w:eastAsia="Calibri" w:hAnsi="Calibri" w:cs="Calibri"/>
        </w:rPr>
        <w:t>order</w:t>
      </w:r>
      <w:r w:rsidRPr="00603981">
        <w:rPr>
          <w:rFonts w:ascii="Calibri" w:eastAsia="Calibri" w:hAnsi="Calibri" w:cs="Calibri"/>
        </w:rPr>
        <w:t>,</w:t>
      </w:r>
      <w:r w:rsidR="004D38A8">
        <w:rPr>
          <w:rFonts w:ascii="Calibri" w:eastAsia="Calibri" w:hAnsi="Calibri" w:cs="Calibri"/>
        </w:rPr>
        <w:t xml:space="preserve"> and</w:t>
      </w:r>
      <w:r w:rsidR="00044240" w:rsidRPr="00603981">
        <w:rPr>
          <w:rFonts w:ascii="Calibri" w:eastAsia="Calibri" w:hAnsi="Calibri" w:cs="Calibri"/>
        </w:rPr>
        <w:t> </w:t>
      </w:r>
      <w:r w:rsidRPr="00603981">
        <w:rPr>
          <w:rFonts w:ascii="Calibri" w:eastAsia="Calibri" w:hAnsi="Calibri" w:cs="Calibri"/>
        </w:rPr>
        <w:t>the Fair Work Commission will be empowered to resolve disputes in a</w:t>
      </w:r>
      <w:r w:rsidR="004D38A8">
        <w:rPr>
          <w:rFonts w:ascii="Calibri" w:eastAsia="Calibri" w:hAnsi="Calibri" w:cs="Calibri"/>
        </w:rPr>
        <w:t>n efficient and</w:t>
      </w:r>
      <w:r w:rsidRPr="00603981">
        <w:rPr>
          <w:rFonts w:ascii="Calibri" w:eastAsia="Calibri" w:hAnsi="Calibri" w:cs="Calibri"/>
        </w:rPr>
        <w:t xml:space="preserve"> cost-effective manner. Anti-avoidance measures will ensure parties </w:t>
      </w:r>
      <w:r w:rsidR="00607251" w:rsidRPr="00603981">
        <w:rPr>
          <w:rFonts w:ascii="Calibri" w:eastAsia="Calibri" w:hAnsi="Calibri" w:cs="Calibri"/>
        </w:rPr>
        <w:t xml:space="preserve">are aware of prohibited behaviours and will </w:t>
      </w:r>
      <w:r w:rsidR="004D38A8">
        <w:rPr>
          <w:rFonts w:ascii="Calibri" w:eastAsia="Calibri" w:hAnsi="Calibri" w:cs="Calibri"/>
        </w:rPr>
        <w:t>deter them from</w:t>
      </w:r>
      <w:r w:rsidRPr="00603981">
        <w:rPr>
          <w:rFonts w:ascii="Calibri" w:eastAsia="Calibri" w:hAnsi="Calibri" w:cs="Calibri"/>
        </w:rPr>
        <w:t xml:space="preserve"> attempt</w:t>
      </w:r>
      <w:r w:rsidR="004D38A8">
        <w:rPr>
          <w:rFonts w:ascii="Calibri" w:eastAsia="Calibri" w:hAnsi="Calibri" w:cs="Calibri"/>
        </w:rPr>
        <w:t>ing</w:t>
      </w:r>
      <w:r w:rsidRPr="00603981">
        <w:rPr>
          <w:rFonts w:ascii="Calibri" w:eastAsia="Calibri" w:hAnsi="Calibri" w:cs="Calibri"/>
        </w:rPr>
        <w:t xml:space="preserve"> to avoid their obligations.</w:t>
      </w:r>
    </w:p>
    <w:p w14:paraId="05113A1C" w14:textId="5FB318B9" w:rsidR="004D38A8" w:rsidRDefault="00AE4775" w:rsidP="00F207DC">
      <w:pPr>
        <w:spacing w:after="160" w:line="259" w:lineRule="auto"/>
        <w:rPr>
          <w:rFonts w:ascii="Calibri" w:eastAsia="Calibri" w:hAnsi="Calibri" w:cs="Calibri"/>
        </w:rPr>
      </w:pPr>
      <w:r w:rsidRPr="00603981">
        <w:rPr>
          <w:rFonts w:ascii="Calibri" w:eastAsia="Calibri" w:hAnsi="Calibri" w:cs="Calibri"/>
        </w:rPr>
        <w:t xml:space="preserve">It is acknowledged that Option 1 </w:t>
      </w:r>
      <w:r w:rsidR="004D38A8">
        <w:rPr>
          <w:rFonts w:ascii="Calibri" w:eastAsia="Calibri" w:hAnsi="Calibri" w:cs="Calibri"/>
        </w:rPr>
        <w:t>is likely to</w:t>
      </w:r>
      <w:r w:rsidR="004D38A8" w:rsidRPr="00603981">
        <w:rPr>
          <w:rFonts w:ascii="Calibri" w:eastAsia="Calibri" w:hAnsi="Calibri" w:cs="Calibri"/>
        </w:rPr>
        <w:t xml:space="preserve"> </w:t>
      </w:r>
      <w:r w:rsidRPr="00603981">
        <w:rPr>
          <w:rFonts w:ascii="Calibri" w:eastAsia="Calibri" w:hAnsi="Calibri" w:cs="Calibri"/>
        </w:rPr>
        <w:t xml:space="preserve">increase costs for some businesses, due to the increased labour </w:t>
      </w:r>
      <w:r w:rsidR="009D1C53" w:rsidRPr="00603981">
        <w:rPr>
          <w:rFonts w:ascii="Calibri" w:eastAsia="Calibri" w:hAnsi="Calibri" w:cs="Calibri"/>
        </w:rPr>
        <w:t xml:space="preserve">and administrative </w:t>
      </w:r>
      <w:r w:rsidRPr="00603981">
        <w:rPr>
          <w:rFonts w:ascii="Calibri" w:eastAsia="Calibri" w:hAnsi="Calibri" w:cs="Calibri"/>
        </w:rPr>
        <w:t>cost</w:t>
      </w:r>
      <w:r w:rsidR="009D1C53" w:rsidRPr="00603981">
        <w:rPr>
          <w:rFonts w:ascii="Calibri" w:eastAsia="Calibri" w:hAnsi="Calibri" w:cs="Calibri"/>
        </w:rPr>
        <w:t>s</w:t>
      </w:r>
      <w:r w:rsidR="004367EC">
        <w:rPr>
          <w:rFonts w:ascii="Calibri" w:eastAsia="Calibri" w:hAnsi="Calibri" w:cs="Calibri"/>
        </w:rPr>
        <w:t xml:space="preserve"> </w:t>
      </w:r>
      <w:r w:rsidR="00FD5FAC">
        <w:rPr>
          <w:rFonts w:ascii="Calibri" w:eastAsia="Calibri" w:hAnsi="Calibri" w:cs="Calibri"/>
        </w:rPr>
        <w:t xml:space="preserve">for those responding to an application for </w:t>
      </w:r>
      <w:r w:rsidR="004D38A8">
        <w:rPr>
          <w:rFonts w:ascii="Calibri" w:eastAsia="Calibri" w:hAnsi="Calibri" w:cs="Calibri"/>
        </w:rPr>
        <w:t>a Fair Work Commission</w:t>
      </w:r>
      <w:r w:rsidR="00FD5FAC">
        <w:rPr>
          <w:rFonts w:ascii="Calibri" w:eastAsia="Calibri" w:hAnsi="Calibri" w:cs="Calibri"/>
        </w:rPr>
        <w:t xml:space="preserve"> order</w:t>
      </w:r>
      <w:r w:rsidR="004D38A8">
        <w:rPr>
          <w:rFonts w:ascii="Calibri" w:eastAsia="Calibri" w:hAnsi="Calibri" w:cs="Calibri"/>
        </w:rPr>
        <w:t xml:space="preserve"> (and bound by such an order if one is made)</w:t>
      </w:r>
      <w:r w:rsidRPr="00603981">
        <w:rPr>
          <w:rFonts w:ascii="Calibri" w:eastAsia="Calibri" w:hAnsi="Calibri" w:cs="Calibri"/>
        </w:rPr>
        <w:t xml:space="preserve">. These costs are considered reasonable to ensure bargained </w:t>
      </w:r>
      <w:r w:rsidR="004D38A8">
        <w:rPr>
          <w:rFonts w:ascii="Calibri" w:eastAsia="Calibri" w:hAnsi="Calibri" w:cs="Calibri"/>
        </w:rPr>
        <w:t>wages</w:t>
      </w:r>
      <w:r w:rsidRPr="00603981">
        <w:rPr>
          <w:rFonts w:ascii="Calibri" w:eastAsia="Calibri" w:hAnsi="Calibri" w:cs="Calibri"/>
        </w:rPr>
        <w:t xml:space="preserve"> are not undercut. </w:t>
      </w:r>
    </w:p>
    <w:p w14:paraId="488BC723" w14:textId="7042E503" w:rsidR="00AE4775" w:rsidRPr="00603981" w:rsidRDefault="00AE4775" w:rsidP="00F207DC">
      <w:pPr>
        <w:spacing w:after="160" w:line="259" w:lineRule="auto"/>
        <w:rPr>
          <w:rFonts w:ascii="Calibri" w:eastAsia="Calibri" w:hAnsi="Calibri" w:cs="Calibri"/>
        </w:rPr>
      </w:pPr>
      <w:r w:rsidRPr="00603981">
        <w:rPr>
          <w:rFonts w:ascii="Calibri" w:eastAsia="Calibri" w:hAnsi="Calibri" w:cs="Calibri"/>
        </w:rPr>
        <w:t>While Option 2 imposes no new costs on host</w:t>
      </w:r>
      <w:r w:rsidR="004D38A8">
        <w:rPr>
          <w:rFonts w:ascii="Calibri" w:eastAsia="Calibri" w:hAnsi="Calibri" w:cs="Calibri"/>
        </w:rPr>
        <w:t>s</w:t>
      </w:r>
      <w:r w:rsidRPr="00603981">
        <w:rPr>
          <w:rFonts w:ascii="Calibri" w:eastAsia="Calibri" w:hAnsi="Calibri" w:cs="Calibri"/>
        </w:rPr>
        <w:t xml:space="preserve"> and </w:t>
      </w:r>
      <w:r w:rsidR="00503061" w:rsidRPr="00603981">
        <w:rPr>
          <w:rFonts w:ascii="Calibri" w:eastAsia="Calibri" w:hAnsi="Calibri" w:cs="Calibri"/>
        </w:rPr>
        <w:t xml:space="preserve">labour hire </w:t>
      </w:r>
      <w:r w:rsidR="004D38A8">
        <w:rPr>
          <w:rFonts w:ascii="Calibri" w:eastAsia="Calibri" w:hAnsi="Calibri" w:cs="Calibri"/>
        </w:rPr>
        <w:t>employers</w:t>
      </w:r>
      <w:r w:rsidR="004D38A8" w:rsidRPr="00603981">
        <w:rPr>
          <w:rFonts w:ascii="Calibri" w:eastAsia="Calibri" w:hAnsi="Calibri" w:cs="Calibri"/>
        </w:rPr>
        <w:t xml:space="preserve"> </w:t>
      </w:r>
      <w:r w:rsidRPr="00603981">
        <w:rPr>
          <w:rFonts w:ascii="Calibri" w:eastAsia="Calibri" w:hAnsi="Calibri" w:cs="Calibri"/>
        </w:rPr>
        <w:t xml:space="preserve">by retaining current arrangements, </w:t>
      </w:r>
      <w:r w:rsidR="000A1935" w:rsidRPr="00603981">
        <w:rPr>
          <w:rFonts w:ascii="Calibri" w:eastAsia="Calibri" w:hAnsi="Calibri" w:cs="Calibri"/>
        </w:rPr>
        <w:t>it</w:t>
      </w:r>
      <w:r w:rsidRPr="00603981">
        <w:rPr>
          <w:rFonts w:ascii="Calibri" w:eastAsia="Calibri" w:hAnsi="Calibri" w:cs="Calibri"/>
        </w:rPr>
        <w:t xml:space="preserve"> does not address concerns identified by Government and articulated in its election commitment. </w:t>
      </w:r>
      <w:r w:rsidR="17F2F76B" w:rsidRPr="00603981">
        <w:rPr>
          <w:rFonts w:ascii="Calibri" w:eastAsia="Calibri" w:hAnsi="Calibri" w:cs="Calibri"/>
        </w:rPr>
        <w:t>It also does not address some of the secondary benefits outlined above, such a</w:t>
      </w:r>
      <w:r w:rsidR="00A31A35" w:rsidRPr="00603981">
        <w:rPr>
          <w:rFonts w:ascii="Calibri" w:eastAsia="Calibri" w:hAnsi="Calibri" w:cs="Calibri"/>
        </w:rPr>
        <w:t>s</w:t>
      </w:r>
      <w:r w:rsidR="17F2F76B" w:rsidRPr="00603981">
        <w:rPr>
          <w:rFonts w:ascii="Calibri" w:eastAsia="Calibri" w:hAnsi="Calibri" w:cs="Calibri"/>
        </w:rPr>
        <w:t xml:space="preserve"> improvements in job security</w:t>
      </w:r>
      <w:r w:rsidR="005F72A1" w:rsidRPr="00603981">
        <w:rPr>
          <w:rFonts w:ascii="Calibri" w:eastAsia="Calibri" w:hAnsi="Calibri" w:cs="Calibri"/>
        </w:rPr>
        <w:t xml:space="preserve"> and</w:t>
      </w:r>
      <w:r w:rsidR="17F2F76B" w:rsidRPr="00603981">
        <w:rPr>
          <w:rFonts w:ascii="Calibri" w:eastAsia="Calibri" w:hAnsi="Calibri" w:cs="Calibri"/>
        </w:rPr>
        <w:t xml:space="preserve"> </w:t>
      </w:r>
      <w:r w:rsidR="005F72A1" w:rsidRPr="00603981">
        <w:rPr>
          <w:rFonts w:ascii="Calibri" w:eastAsia="Calibri" w:hAnsi="Calibri" w:cs="Calibri"/>
        </w:rPr>
        <w:t>work health and safety</w:t>
      </w:r>
      <w:r w:rsidR="17F2F76B" w:rsidRPr="00603981">
        <w:rPr>
          <w:rFonts w:ascii="Calibri" w:eastAsia="Calibri" w:hAnsi="Calibri" w:cs="Calibri"/>
        </w:rPr>
        <w:t xml:space="preserve"> outcomes, including mental health outcomes.</w:t>
      </w:r>
      <w:r w:rsidR="005E7A8F" w:rsidRPr="00603981">
        <w:rPr>
          <w:rFonts w:ascii="Calibri" w:eastAsia="Calibri" w:hAnsi="Calibri" w:cs="Calibri"/>
        </w:rPr>
        <w:t xml:space="preserve"> </w:t>
      </w:r>
      <w:r w:rsidR="00C86407" w:rsidRPr="00603981">
        <w:t>T</w:t>
      </w:r>
      <w:r w:rsidR="005F72A1" w:rsidRPr="00603981">
        <w:t>he</w:t>
      </w:r>
      <w:r w:rsidR="005E7A8F" w:rsidRPr="00603981">
        <w:t xml:space="preserve"> World Health Organisation (WHO)</w:t>
      </w:r>
      <w:r w:rsidR="00C86407" w:rsidRPr="00603981">
        <w:t>, for example,</w:t>
      </w:r>
      <w:r w:rsidR="005E7A8F" w:rsidRPr="00603981">
        <w:t xml:space="preserve"> has outlined how decent work supports good mental health </w:t>
      </w:r>
      <w:r w:rsidR="003A5285" w:rsidRPr="00603981">
        <w:t>by</w:t>
      </w:r>
      <w:r w:rsidR="005E7A8F" w:rsidRPr="00603981">
        <w:t xml:space="preserve"> providing a livelihood, </w:t>
      </w:r>
      <w:r w:rsidR="00A23B36" w:rsidRPr="00603981">
        <w:t xml:space="preserve">and improved </w:t>
      </w:r>
      <w:r w:rsidR="005E7A8F" w:rsidRPr="00603981">
        <w:t xml:space="preserve">confidence and social </w:t>
      </w:r>
      <w:r w:rsidR="00A23B36" w:rsidRPr="00603981">
        <w:t>functioning</w:t>
      </w:r>
      <w:r w:rsidR="005E7A8F" w:rsidRPr="00603981">
        <w:t>.</w:t>
      </w:r>
      <w:r w:rsidR="000745FA" w:rsidRPr="00603981">
        <w:rPr>
          <w:rStyle w:val="FootnoteReference"/>
        </w:rPr>
        <w:footnoteReference w:id="78"/>
      </w:r>
      <w:r w:rsidR="005E7A8F" w:rsidRPr="00603981">
        <w:t xml:space="preserve"> Higher paying and quality jobs can deliver better outcomes, including improved financial freedom, improved health outcomes, and a stronger link between the employer and employee leading to higher staff retention, increased investment in education and training, and improved productivity.</w:t>
      </w:r>
      <w:r w:rsidR="008B6800" w:rsidRPr="00603981">
        <w:rPr>
          <w:rStyle w:val="FootnoteReference"/>
        </w:rPr>
        <w:footnoteReference w:id="79"/>
      </w:r>
    </w:p>
    <w:p w14:paraId="35636102" w14:textId="77777777" w:rsidR="00AE4775" w:rsidRPr="00603981" w:rsidRDefault="00AE4775" w:rsidP="00C3303A">
      <w:pPr>
        <w:pStyle w:val="Heading3"/>
      </w:pPr>
      <w:bookmarkStart w:id="42" w:name="_Toc143696589"/>
      <w:r w:rsidRPr="00603981">
        <w:t>Decision-making process</w:t>
      </w:r>
      <w:bookmarkEnd w:id="42"/>
    </w:p>
    <w:p w14:paraId="408D54A8" w14:textId="36A3B10A" w:rsidR="00AE4775" w:rsidRPr="00603981" w:rsidRDefault="00AE4775" w:rsidP="00F207DC">
      <w:pPr>
        <w:spacing w:after="160" w:line="259" w:lineRule="auto"/>
        <w:rPr>
          <w:rFonts w:ascii="Calibri" w:eastAsia="Calibri" w:hAnsi="Calibri" w:cs="Calibri"/>
          <w:vertAlign w:val="superscript"/>
        </w:rPr>
      </w:pPr>
      <w:r w:rsidRPr="00603981">
        <w:rPr>
          <w:rFonts w:ascii="Calibri" w:eastAsia="Calibri" w:hAnsi="Calibri" w:cs="Calibri"/>
        </w:rPr>
        <w:t xml:space="preserve">As set out above, the Government made an election commitment to legislate </w:t>
      </w:r>
      <w:r w:rsidR="00AD6CAA" w:rsidRPr="00603981">
        <w:rPr>
          <w:rFonts w:ascii="Calibri" w:eastAsia="Calibri" w:hAnsi="Calibri" w:cs="Calibri"/>
        </w:rPr>
        <w:t>this proposal</w:t>
      </w:r>
      <w:r w:rsidRPr="00603981">
        <w:rPr>
          <w:rFonts w:ascii="Calibri" w:eastAsia="Calibri" w:hAnsi="Calibri" w:cs="Calibri"/>
        </w:rPr>
        <w:t>. The department has consulted</w:t>
      </w:r>
      <w:r w:rsidR="00902DEB">
        <w:rPr>
          <w:rFonts w:ascii="Calibri" w:eastAsia="Calibri" w:hAnsi="Calibri" w:cs="Calibri"/>
        </w:rPr>
        <w:t xml:space="preserve"> over a considerable period of time</w:t>
      </w:r>
      <w:r w:rsidRPr="00603981">
        <w:rPr>
          <w:rFonts w:ascii="Calibri" w:eastAsia="Calibri" w:hAnsi="Calibri" w:cs="Calibri"/>
        </w:rPr>
        <w:t xml:space="preserve"> with a broad range of stakeholders on the design of the policy and its costs and impacts. Consultation involved extensive meetings and the </w:t>
      </w:r>
      <w:r w:rsidR="00902DEB">
        <w:rPr>
          <w:rFonts w:ascii="Calibri" w:eastAsia="Calibri" w:hAnsi="Calibri" w:cs="Calibri"/>
        </w:rPr>
        <w:t>review</w:t>
      </w:r>
      <w:r w:rsidR="00902DEB" w:rsidRPr="00603981">
        <w:rPr>
          <w:rFonts w:ascii="Calibri" w:eastAsia="Calibri" w:hAnsi="Calibri" w:cs="Calibri"/>
        </w:rPr>
        <w:t xml:space="preserve"> </w:t>
      </w:r>
      <w:r w:rsidRPr="00603981">
        <w:rPr>
          <w:rFonts w:ascii="Calibri" w:eastAsia="Calibri" w:hAnsi="Calibri" w:cs="Calibri"/>
        </w:rPr>
        <w:t xml:space="preserve">of written submissions in response to the Consultation Paper. The department </w:t>
      </w:r>
      <w:r w:rsidR="00EA34A7" w:rsidRPr="00603981">
        <w:rPr>
          <w:rFonts w:ascii="Calibri" w:eastAsia="Calibri" w:hAnsi="Calibri" w:cs="Calibri"/>
        </w:rPr>
        <w:t xml:space="preserve">has </w:t>
      </w:r>
      <w:r w:rsidRPr="00603981">
        <w:rPr>
          <w:rFonts w:ascii="Calibri" w:eastAsia="Calibri" w:hAnsi="Calibri" w:cs="Calibri"/>
        </w:rPr>
        <w:t>had regard to stakeholder submissions and arguments in the design of the policy, particularly where submissions</w:t>
      </w:r>
      <w:r w:rsidRPr="00603981" w:rsidDel="00170766">
        <w:rPr>
          <w:rFonts w:ascii="Calibri" w:eastAsia="Calibri" w:hAnsi="Calibri" w:cs="Calibri"/>
        </w:rPr>
        <w:t xml:space="preserve"> </w:t>
      </w:r>
      <w:r w:rsidRPr="00603981">
        <w:rPr>
          <w:rFonts w:ascii="Calibri" w:eastAsia="Calibri" w:hAnsi="Calibri" w:cs="Calibri"/>
        </w:rPr>
        <w:t xml:space="preserve">spoke to the </w:t>
      </w:r>
      <w:r w:rsidR="001614F7">
        <w:rPr>
          <w:rFonts w:ascii="Calibri" w:eastAsia="Calibri" w:hAnsi="Calibri" w:cs="Calibri"/>
        </w:rPr>
        <w:t>operation</w:t>
      </w:r>
      <w:r w:rsidR="001614F7" w:rsidRPr="00603981">
        <w:rPr>
          <w:rFonts w:ascii="Calibri" w:eastAsia="Calibri" w:hAnsi="Calibri" w:cs="Calibri"/>
        </w:rPr>
        <w:t xml:space="preserve"> </w:t>
      </w:r>
      <w:r w:rsidRPr="00603981">
        <w:rPr>
          <w:rFonts w:ascii="Calibri" w:eastAsia="Calibri" w:hAnsi="Calibri" w:cs="Calibri"/>
        </w:rPr>
        <w:t>and practicality of</w:t>
      </w:r>
      <w:r w:rsidR="001614F7">
        <w:rPr>
          <w:rFonts w:ascii="Calibri" w:eastAsia="Calibri" w:hAnsi="Calibri" w:cs="Calibri"/>
        </w:rPr>
        <w:t xml:space="preserve"> its</w:t>
      </w:r>
      <w:r w:rsidRPr="00603981">
        <w:rPr>
          <w:rFonts w:ascii="Calibri" w:eastAsia="Calibri" w:hAnsi="Calibri" w:cs="Calibri"/>
        </w:rPr>
        <w:t xml:space="preserve"> implement</w:t>
      </w:r>
      <w:r w:rsidR="30CCCA0E" w:rsidRPr="00603981">
        <w:rPr>
          <w:rFonts w:ascii="Calibri" w:eastAsia="Calibri" w:hAnsi="Calibri" w:cs="Calibri"/>
        </w:rPr>
        <w:t>ation</w:t>
      </w:r>
      <w:r w:rsidRPr="00603981">
        <w:rPr>
          <w:rFonts w:ascii="Calibri" w:eastAsia="Calibri" w:hAnsi="Calibri" w:cs="Calibri"/>
        </w:rPr>
        <w:t>.</w:t>
      </w:r>
    </w:p>
    <w:p w14:paraId="08F57D16" w14:textId="77777777" w:rsidR="00AE4775" w:rsidRPr="00603981" w:rsidRDefault="00AE4775" w:rsidP="00C3303A">
      <w:pPr>
        <w:pStyle w:val="Heading3"/>
      </w:pPr>
      <w:bookmarkStart w:id="43" w:name="_Toc143696590"/>
      <w:r w:rsidRPr="00603981">
        <w:t>How will the option be implemented?</w:t>
      </w:r>
      <w:bookmarkEnd w:id="43"/>
    </w:p>
    <w:p w14:paraId="358B08CB" w14:textId="7E5B3904" w:rsidR="0053350F" w:rsidRPr="00E0740F" w:rsidRDefault="00AE4775" w:rsidP="0053350F">
      <w:pPr>
        <w:spacing w:after="160" w:line="259" w:lineRule="auto"/>
        <w:rPr>
          <w:rFonts w:ascii="Calibri" w:eastAsia="Calibri" w:hAnsi="Calibri" w:cs="Calibri"/>
        </w:rPr>
      </w:pPr>
      <w:r w:rsidRPr="00603981">
        <w:rPr>
          <w:rFonts w:ascii="Calibri" w:eastAsia="Calibri" w:hAnsi="Calibri" w:cs="Calibri"/>
        </w:rPr>
        <w:t>Implementing Option 1</w:t>
      </w:r>
      <w:r w:rsidRPr="00603981" w:rsidDel="00556354">
        <w:rPr>
          <w:rFonts w:ascii="Calibri" w:eastAsia="Calibri" w:hAnsi="Calibri" w:cs="Calibri"/>
        </w:rPr>
        <w:t xml:space="preserve"> </w:t>
      </w:r>
      <w:r w:rsidRPr="00603981">
        <w:rPr>
          <w:rFonts w:ascii="Calibri" w:eastAsia="Calibri" w:hAnsi="Calibri" w:cs="Calibri"/>
        </w:rPr>
        <w:t xml:space="preserve">will require legislative amendments to the Fair Work Act. </w:t>
      </w:r>
      <w:r w:rsidR="006653F7">
        <w:rPr>
          <w:rFonts w:ascii="Calibri" w:eastAsia="Calibri" w:hAnsi="Calibri" w:cs="Calibri"/>
          <w:color w:val="000000" w:themeColor="text1"/>
        </w:rPr>
        <w:t>The Fair Work Commission</w:t>
      </w:r>
      <w:r w:rsidR="00160EAB">
        <w:rPr>
          <w:rFonts w:ascii="Calibri" w:eastAsia="Calibri" w:hAnsi="Calibri" w:cs="Calibri"/>
          <w:color w:val="000000" w:themeColor="text1"/>
        </w:rPr>
        <w:t>, as the tribunal that will handle applications from employees,</w:t>
      </w:r>
      <w:r w:rsidR="006653F7">
        <w:rPr>
          <w:rFonts w:ascii="Calibri" w:eastAsia="Calibri" w:hAnsi="Calibri" w:cs="Calibri"/>
          <w:color w:val="000000" w:themeColor="text1"/>
        </w:rPr>
        <w:t xml:space="preserve"> will play a central role in the implementation of the policy</w:t>
      </w:r>
      <w:r w:rsidR="00B53897">
        <w:rPr>
          <w:rFonts w:ascii="Calibri" w:eastAsia="Calibri" w:hAnsi="Calibri" w:cs="Calibri"/>
          <w:color w:val="000000" w:themeColor="text1"/>
        </w:rPr>
        <w:t xml:space="preserve">. </w:t>
      </w:r>
      <w:r w:rsidR="0053350F" w:rsidRPr="00102B16">
        <w:rPr>
          <w:rFonts w:ascii="Calibri" w:eastAsia="Calibri" w:hAnsi="Calibri" w:cs="Calibri"/>
        </w:rPr>
        <w:t>The Government has allocated $3.4 million over 4 years to the Fair</w:t>
      </w:r>
      <w:r w:rsidR="00160EAB">
        <w:rPr>
          <w:rFonts w:ascii="Calibri" w:eastAsia="Calibri" w:hAnsi="Calibri" w:cs="Calibri"/>
        </w:rPr>
        <w:t> </w:t>
      </w:r>
      <w:r w:rsidR="0053350F" w:rsidRPr="00102B16">
        <w:rPr>
          <w:rFonts w:ascii="Calibri" w:eastAsia="Calibri" w:hAnsi="Calibri" w:cs="Calibri"/>
        </w:rPr>
        <w:t xml:space="preserve">Work Commission as part of the 2023-24 Budget to prepare for the commencement of </w:t>
      </w:r>
      <w:r w:rsidR="00160EAB">
        <w:rPr>
          <w:rFonts w:ascii="Calibri" w:eastAsia="Calibri" w:hAnsi="Calibri" w:cs="Calibri"/>
        </w:rPr>
        <w:t>this proposal</w:t>
      </w:r>
      <w:r w:rsidR="0053350F" w:rsidRPr="00102B16">
        <w:rPr>
          <w:rFonts w:ascii="Calibri" w:eastAsia="Calibri" w:hAnsi="Calibri" w:cs="Calibri"/>
        </w:rPr>
        <w:t xml:space="preserve">. </w:t>
      </w:r>
      <w:r w:rsidR="00C26B8E">
        <w:rPr>
          <w:rFonts w:ascii="Calibri" w:eastAsia="Calibri" w:hAnsi="Calibri" w:cs="Calibri"/>
          <w:color w:val="000000" w:themeColor="text1"/>
        </w:rPr>
        <w:t xml:space="preserve">The Fair Work Commission will be required to publish guidance about the operation of </w:t>
      </w:r>
      <w:r w:rsidR="00160EAB">
        <w:rPr>
          <w:rFonts w:ascii="Calibri" w:eastAsia="Calibri" w:hAnsi="Calibri" w:cs="Calibri"/>
          <w:color w:val="000000" w:themeColor="text1"/>
        </w:rPr>
        <w:t>this proposal,</w:t>
      </w:r>
      <w:r w:rsidR="00C26B8E">
        <w:rPr>
          <w:rFonts w:ascii="Calibri" w:eastAsia="Calibri" w:hAnsi="Calibri" w:cs="Calibri"/>
          <w:color w:val="000000" w:themeColor="text1"/>
        </w:rPr>
        <w:t xml:space="preserve"> which will assist parties </w:t>
      </w:r>
      <w:r w:rsidR="00160EAB">
        <w:rPr>
          <w:rFonts w:ascii="Calibri" w:eastAsia="Calibri" w:hAnsi="Calibri" w:cs="Calibri"/>
          <w:color w:val="000000" w:themeColor="text1"/>
        </w:rPr>
        <w:t>navigate their entitlements and obligations</w:t>
      </w:r>
      <w:r w:rsidR="00C26B8E">
        <w:rPr>
          <w:rFonts w:ascii="Calibri" w:eastAsia="Calibri" w:hAnsi="Calibri" w:cs="Calibri"/>
          <w:color w:val="000000" w:themeColor="text1"/>
        </w:rPr>
        <w:t xml:space="preserve">. </w:t>
      </w:r>
      <w:r w:rsidR="0053350F" w:rsidRPr="00E0740F">
        <w:rPr>
          <w:rFonts w:ascii="Calibri" w:eastAsia="Calibri" w:hAnsi="Calibri" w:cs="Calibri"/>
        </w:rPr>
        <w:t>The Fair Work Commission may establish a dedicated practice area</w:t>
      </w:r>
      <w:r w:rsidR="0053350F" w:rsidRPr="00E0740F" w:rsidDel="002709DF">
        <w:rPr>
          <w:rFonts w:ascii="Calibri" w:eastAsia="Calibri" w:hAnsi="Calibri" w:cs="Calibri"/>
        </w:rPr>
        <w:t xml:space="preserve"> </w:t>
      </w:r>
      <w:r w:rsidR="0053350F" w:rsidRPr="00E0740F">
        <w:rPr>
          <w:rFonts w:ascii="Calibri" w:eastAsia="Calibri" w:hAnsi="Calibri" w:cs="Calibri"/>
        </w:rPr>
        <w:t>and case management practices to support Members dealing with disputes.</w:t>
      </w:r>
    </w:p>
    <w:p w14:paraId="5AEA1D15" w14:textId="13C854C7" w:rsidR="00AE4775" w:rsidRPr="00603981" w:rsidRDefault="00AE4775" w:rsidP="00F207DC">
      <w:pPr>
        <w:spacing w:after="160" w:line="259" w:lineRule="auto"/>
        <w:rPr>
          <w:rFonts w:ascii="Calibri" w:eastAsia="Calibri" w:hAnsi="Calibri" w:cs="Calibri"/>
        </w:rPr>
      </w:pPr>
      <w:r w:rsidRPr="00603981">
        <w:rPr>
          <w:rFonts w:ascii="Calibri" w:eastAsia="Calibri" w:hAnsi="Calibri" w:cs="Calibri"/>
          <w:color w:val="000000" w:themeColor="text1"/>
        </w:rPr>
        <w:t>The</w:t>
      </w:r>
      <w:r w:rsidRPr="00603981" w:rsidDel="00CB47BC">
        <w:rPr>
          <w:rFonts w:ascii="Calibri" w:eastAsia="Calibri" w:hAnsi="Calibri" w:cs="Calibri"/>
          <w:color w:val="000000" w:themeColor="text1"/>
        </w:rPr>
        <w:t xml:space="preserve"> </w:t>
      </w:r>
      <w:r w:rsidRPr="00603981">
        <w:rPr>
          <w:rFonts w:ascii="Calibri" w:eastAsia="Calibri" w:hAnsi="Calibri" w:cs="Calibri"/>
          <w:color w:val="000000" w:themeColor="text1"/>
        </w:rPr>
        <w:t xml:space="preserve">Fair Work Ombudsman will publish guidance about the operation and application of the proposal, including the roles and responsibilities of host employers, labour </w:t>
      </w:r>
      <w:r w:rsidR="00686AC4" w:rsidRPr="00603981">
        <w:rPr>
          <w:rFonts w:ascii="Calibri" w:eastAsia="Calibri" w:hAnsi="Calibri" w:cs="Calibri"/>
          <w:color w:val="000000" w:themeColor="text1"/>
        </w:rPr>
        <w:t xml:space="preserve">hire </w:t>
      </w:r>
      <w:r w:rsidRPr="00603981">
        <w:rPr>
          <w:rFonts w:ascii="Calibri" w:eastAsia="Calibri" w:hAnsi="Calibri" w:cs="Calibri"/>
          <w:color w:val="000000" w:themeColor="text1"/>
        </w:rPr>
        <w:t xml:space="preserve">providers and workers. Parties will be able to access information and assistance from the Ombudsman about </w:t>
      </w:r>
      <w:r w:rsidRPr="00603981">
        <w:rPr>
          <w:rFonts w:ascii="Calibri" w:eastAsia="Calibri" w:hAnsi="Calibri" w:cs="Calibri"/>
          <w:color w:val="000000" w:themeColor="text1"/>
        </w:rPr>
        <w:lastRenderedPageBreak/>
        <w:t>understanding and meeting the new obligations, and about dealing with disputes that may arise under the provisions.</w:t>
      </w:r>
      <w:r w:rsidRPr="00603981">
        <w:rPr>
          <w:rFonts w:ascii="Calibri" w:eastAsia="Calibri" w:hAnsi="Calibri" w:cs="Calibri"/>
        </w:rPr>
        <w:t xml:space="preserve"> </w:t>
      </w:r>
    </w:p>
    <w:p w14:paraId="626A84A5" w14:textId="4D162A29" w:rsidR="00AE4775" w:rsidRPr="00603981" w:rsidRDefault="00AE4775" w:rsidP="00F207DC">
      <w:pPr>
        <w:spacing w:after="160" w:line="259" w:lineRule="auto"/>
        <w:rPr>
          <w:rFonts w:ascii="Calibri" w:eastAsia="Calibri" w:hAnsi="Calibri" w:cs="Calibri"/>
        </w:rPr>
      </w:pPr>
      <w:r w:rsidRPr="00603981">
        <w:rPr>
          <w:rFonts w:ascii="Calibri" w:eastAsia="Calibri" w:hAnsi="Calibri" w:cs="Calibri"/>
        </w:rPr>
        <w:t>The Fair Work Commission and the Fair Work Ombudsman will both play role</w:t>
      </w:r>
      <w:r w:rsidR="00A151DB">
        <w:rPr>
          <w:rFonts w:ascii="Calibri" w:eastAsia="Calibri" w:hAnsi="Calibri" w:cs="Calibri"/>
        </w:rPr>
        <w:t>s</w:t>
      </w:r>
      <w:r w:rsidRPr="00603981">
        <w:rPr>
          <w:rFonts w:ascii="Calibri" w:eastAsia="Calibri" w:hAnsi="Calibri" w:cs="Calibri"/>
        </w:rPr>
        <w:t xml:space="preserve"> in dispute resolution and enforcement</w:t>
      </w:r>
      <w:r w:rsidR="00464373" w:rsidRPr="00E0740F">
        <w:rPr>
          <w:rFonts w:ascii="Calibri" w:eastAsia="Calibri" w:hAnsi="Calibri" w:cs="Calibri"/>
        </w:rPr>
        <w:t>, with the Fair Work Commission able to deal with dis</w:t>
      </w:r>
      <w:r w:rsidR="000031C4" w:rsidRPr="00E0740F">
        <w:rPr>
          <w:rFonts w:ascii="Calibri" w:eastAsia="Calibri" w:hAnsi="Calibri" w:cs="Calibri"/>
        </w:rPr>
        <w:t xml:space="preserve">putes that arise after an order is </w:t>
      </w:r>
      <w:r w:rsidR="00A151DB">
        <w:rPr>
          <w:rFonts w:ascii="Calibri" w:eastAsia="Calibri" w:hAnsi="Calibri" w:cs="Calibri"/>
        </w:rPr>
        <w:t>made</w:t>
      </w:r>
      <w:r w:rsidRPr="00E0740F">
        <w:rPr>
          <w:rFonts w:ascii="Calibri" w:eastAsia="Calibri" w:hAnsi="Calibri" w:cs="Calibri"/>
        </w:rPr>
        <w:t>.</w:t>
      </w:r>
      <w:r w:rsidRPr="00603981">
        <w:rPr>
          <w:rFonts w:ascii="Calibri" w:eastAsia="Calibri" w:hAnsi="Calibri" w:cs="Calibri"/>
        </w:rPr>
        <w:t xml:space="preserve"> </w:t>
      </w:r>
    </w:p>
    <w:p w14:paraId="09A43373" w14:textId="79F26158" w:rsidR="000B259B" w:rsidRDefault="00A151DB" w:rsidP="00A86E27">
      <w:pPr>
        <w:spacing w:after="160" w:line="259" w:lineRule="auto"/>
      </w:pPr>
      <w:r>
        <w:rPr>
          <w:rFonts w:ascii="Calibri" w:eastAsia="Calibri" w:hAnsi="Calibri" w:cs="Calibri"/>
        </w:rPr>
        <w:t>I</w:t>
      </w:r>
      <w:r w:rsidR="00AE4775" w:rsidRPr="00603981">
        <w:rPr>
          <w:rFonts w:ascii="Calibri" w:eastAsia="Calibri" w:hAnsi="Calibri" w:cs="Calibri"/>
        </w:rPr>
        <w:t xml:space="preserve">mplementation risks </w:t>
      </w:r>
      <w:r>
        <w:rPr>
          <w:rFonts w:ascii="Calibri" w:eastAsia="Calibri" w:hAnsi="Calibri" w:cs="Calibri"/>
        </w:rPr>
        <w:t xml:space="preserve">regarding this </w:t>
      </w:r>
      <w:r w:rsidR="00AE4775" w:rsidRPr="00603981">
        <w:rPr>
          <w:rFonts w:ascii="Calibri" w:eastAsia="Calibri" w:hAnsi="Calibri" w:cs="Calibri"/>
        </w:rPr>
        <w:t>propos</w:t>
      </w:r>
      <w:r w:rsidR="00310BA3">
        <w:rPr>
          <w:rFonts w:ascii="Calibri" w:eastAsia="Calibri" w:hAnsi="Calibri" w:cs="Calibri"/>
        </w:rPr>
        <w:t>al</w:t>
      </w:r>
      <w:r w:rsidR="00AE4775" w:rsidRPr="00603981">
        <w:rPr>
          <w:rFonts w:ascii="Calibri" w:eastAsia="Calibri" w:hAnsi="Calibri" w:cs="Calibri"/>
        </w:rPr>
        <w:t xml:space="preserve"> are considered to be low. There is a risk that </w:t>
      </w:r>
      <w:r w:rsidR="005676D9">
        <w:t>s</w:t>
      </w:r>
      <w:r w:rsidR="000B259B">
        <w:t xml:space="preserve">ome labour hire </w:t>
      </w:r>
      <w:r>
        <w:t>employees</w:t>
      </w:r>
      <w:r w:rsidR="000B259B">
        <w:t xml:space="preserve"> </w:t>
      </w:r>
      <w:r>
        <w:t xml:space="preserve">eligible to apply to the Fair Work Commission </w:t>
      </w:r>
      <w:r w:rsidR="000B259B">
        <w:t xml:space="preserve">may choose not to </w:t>
      </w:r>
      <w:r>
        <w:t xml:space="preserve">do so, perhaps </w:t>
      </w:r>
      <w:r w:rsidR="0076201F">
        <w:t xml:space="preserve">with reservations about adverse treatment from their employer if they are seen to be pursuing higher rates of pay in the Fair Work Commission. </w:t>
      </w:r>
      <w:r w:rsidR="00D807DA">
        <w:t xml:space="preserve">For example, </w:t>
      </w:r>
      <w:r w:rsidR="000B259B">
        <w:t xml:space="preserve">casual labour hire </w:t>
      </w:r>
      <w:r w:rsidR="00D807DA">
        <w:t>employees</w:t>
      </w:r>
      <w:r w:rsidR="000B259B">
        <w:t xml:space="preserve"> </w:t>
      </w:r>
      <w:r w:rsidR="00D807DA">
        <w:t>may be</w:t>
      </w:r>
      <w:r w:rsidR="000B259B">
        <w:t xml:space="preserve"> concerned that </w:t>
      </w:r>
      <w:r w:rsidR="00D807DA">
        <w:t>applying to the Fair Work Commission</w:t>
      </w:r>
      <w:r w:rsidR="000B259B">
        <w:t xml:space="preserve"> may result in their </w:t>
      </w:r>
      <w:r w:rsidR="00D807DA">
        <w:t xml:space="preserve">rostered </w:t>
      </w:r>
      <w:r w:rsidR="000B259B">
        <w:t xml:space="preserve">hours </w:t>
      </w:r>
      <w:r w:rsidR="00D807DA">
        <w:t>being reduced</w:t>
      </w:r>
      <w:r w:rsidR="000B259B">
        <w:t xml:space="preserve">. </w:t>
      </w:r>
      <w:r w:rsidR="00EE5E8A">
        <w:t xml:space="preserve">As </w:t>
      </w:r>
      <w:r w:rsidR="000B259B">
        <w:t xml:space="preserve">84 per cent of labour hire </w:t>
      </w:r>
      <w:r w:rsidR="00D807DA">
        <w:t>employees</w:t>
      </w:r>
      <w:r w:rsidR="000B259B">
        <w:t xml:space="preserve"> are employed casually, this concern may affect a significant </w:t>
      </w:r>
      <w:r w:rsidR="00D807DA">
        <w:t>proportion of employees eligible to seek an order</w:t>
      </w:r>
      <w:r w:rsidR="000B259B">
        <w:t>.</w:t>
      </w:r>
      <w:r w:rsidR="00FE11C0">
        <w:t xml:space="preserve"> </w:t>
      </w:r>
      <w:r w:rsidR="006A01F5">
        <w:t>It would be open to a</w:t>
      </w:r>
      <w:r w:rsidR="00FE11C0">
        <w:t xml:space="preserve">ny </w:t>
      </w:r>
      <w:r w:rsidR="00D807DA">
        <w:t>employees</w:t>
      </w:r>
      <w:r w:rsidR="00FE11C0">
        <w:t xml:space="preserve"> who ex</w:t>
      </w:r>
      <w:r w:rsidR="00BE2853">
        <w:t xml:space="preserve">perience adverse action </w:t>
      </w:r>
      <w:r w:rsidR="00B808F3">
        <w:t>a</w:t>
      </w:r>
      <w:r w:rsidR="00BE2853">
        <w:t xml:space="preserve">s a result of </w:t>
      </w:r>
      <w:r w:rsidR="00D807DA">
        <w:t xml:space="preserve">exercising workplace rights under this proposal </w:t>
      </w:r>
      <w:r w:rsidR="006A01F5">
        <w:t>to explore their rights and options for recourse under the Fair Work Act’s General Protections provisions</w:t>
      </w:r>
      <w:r w:rsidR="00E1297A">
        <w:t>.</w:t>
      </w:r>
      <w:r w:rsidR="00E1297A">
        <w:rPr>
          <w:rStyle w:val="FootnoteReference"/>
        </w:rPr>
        <w:footnoteReference w:id="80"/>
      </w:r>
    </w:p>
    <w:p w14:paraId="084E88EF" w14:textId="32E1E632" w:rsidR="00EF5936" w:rsidRDefault="008B1DE4" w:rsidP="00F207DC">
      <w:pPr>
        <w:spacing w:after="160" w:line="259" w:lineRule="auto"/>
        <w:rPr>
          <w:rFonts w:ascii="Calibri" w:eastAsia="Calibri" w:hAnsi="Calibri" w:cs="Calibri"/>
        </w:rPr>
      </w:pPr>
      <w:r w:rsidRPr="00102B16">
        <w:rPr>
          <w:rFonts w:ascii="Calibri" w:eastAsia="Calibri" w:hAnsi="Calibri" w:cs="Calibri"/>
        </w:rPr>
        <w:t xml:space="preserve">Further, some </w:t>
      </w:r>
      <w:r w:rsidR="00503061" w:rsidRPr="00603981">
        <w:rPr>
          <w:rFonts w:ascii="Calibri" w:eastAsia="Calibri" w:hAnsi="Calibri" w:cs="Calibri"/>
        </w:rPr>
        <w:t xml:space="preserve">labour hire </w:t>
      </w:r>
      <w:r w:rsidR="006A01F5">
        <w:rPr>
          <w:rFonts w:ascii="Calibri" w:eastAsia="Calibri" w:hAnsi="Calibri" w:cs="Calibri"/>
        </w:rPr>
        <w:t>employers</w:t>
      </w:r>
      <w:r w:rsidR="00AE4775" w:rsidRPr="00603981">
        <w:rPr>
          <w:rFonts w:ascii="Calibri" w:eastAsia="Calibri" w:hAnsi="Calibri" w:cs="Calibri"/>
        </w:rPr>
        <w:t>, host</w:t>
      </w:r>
      <w:r w:rsidR="006A01F5">
        <w:rPr>
          <w:rFonts w:ascii="Calibri" w:eastAsia="Calibri" w:hAnsi="Calibri" w:cs="Calibri"/>
        </w:rPr>
        <w:t>s</w:t>
      </w:r>
      <w:r w:rsidR="00AE4775" w:rsidRPr="00603981">
        <w:rPr>
          <w:rFonts w:ascii="Calibri" w:eastAsia="Calibri" w:hAnsi="Calibri" w:cs="Calibri"/>
        </w:rPr>
        <w:t xml:space="preserve"> and affected </w:t>
      </w:r>
      <w:r w:rsidR="006A01F5">
        <w:rPr>
          <w:rFonts w:ascii="Calibri" w:eastAsia="Calibri" w:hAnsi="Calibri" w:cs="Calibri"/>
        </w:rPr>
        <w:t>employees</w:t>
      </w:r>
      <w:r w:rsidR="006A01F5" w:rsidRPr="00603981">
        <w:rPr>
          <w:rFonts w:ascii="Calibri" w:eastAsia="Calibri" w:hAnsi="Calibri" w:cs="Calibri"/>
        </w:rPr>
        <w:t xml:space="preserve"> </w:t>
      </w:r>
      <w:r w:rsidR="00AE4775" w:rsidRPr="00603981">
        <w:rPr>
          <w:rFonts w:ascii="Calibri" w:eastAsia="Calibri" w:hAnsi="Calibri" w:cs="Calibri"/>
        </w:rPr>
        <w:t xml:space="preserve">may take some time to </w:t>
      </w:r>
      <w:r w:rsidRPr="00102B16">
        <w:rPr>
          <w:rFonts w:ascii="Calibri" w:eastAsia="Calibri" w:hAnsi="Calibri" w:cs="Calibri"/>
        </w:rPr>
        <w:t xml:space="preserve">become aware of </w:t>
      </w:r>
      <w:r w:rsidR="00AE4775" w:rsidRPr="00603981">
        <w:rPr>
          <w:rFonts w:ascii="Calibri" w:eastAsia="Calibri" w:hAnsi="Calibri" w:cs="Calibri"/>
        </w:rPr>
        <w:t xml:space="preserve">the </w:t>
      </w:r>
      <w:r w:rsidR="006A01F5">
        <w:rPr>
          <w:rFonts w:ascii="Calibri" w:eastAsia="Calibri" w:hAnsi="Calibri" w:cs="Calibri"/>
        </w:rPr>
        <w:t xml:space="preserve">proposal, even after it is legislated, </w:t>
      </w:r>
      <w:r w:rsidR="00E44758" w:rsidRPr="00603981">
        <w:rPr>
          <w:rFonts w:ascii="Calibri" w:eastAsia="Calibri" w:hAnsi="Calibri" w:cs="Calibri"/>
        </w:rPr>
        <w:t xml:space="preserve">unless </w:t>
      </w:r>
      <w:r w:rsidR="006A01F5">
        <w:rPr>
          <w:rFonts w:ascii="Calibri" w:eastAsia="Calibri" w:hAnsi="Calibri" w:cs="Calibri"/>
        </w:rPr>
        <w:t>given</w:t>
      </w:r>
      <w:r w:rsidR="00E44758" w:rsidRPr="00603981">
        <w:rPr>
          <w:rFonts w:ascii="Calibri" w:eastAsia="Calibri" w:hAnsi="Calibri" w:cs="Calibri"/>
        </w:rPr>
        <w:t xml:space="preserve"> guidance</w:t>
      </w:r>
      <w:r w:rsidR="00AE4775" w:rsidRPr="00603981">
        <w:rPr>
          <w:rFonts w:ascii="Calibri" w:eastAsia="Calibri" w:hAnsi="Calibri" w:cs="Calibri"/>
        </w:rPr>
        <w:t>. However, this risk will be mitigated through the advisory and stakeholder engagement work that forms part of the Fair Work Ombudsman and Fair Work Commission’s roles</w:t>
      </w:r>
      <w:r w:rsidR="006A01F5">
        <w:rPr>
          <w:rFonts w:ascii="Calibri" w:eastAsia="Calibri" w:hAnsi="Calibri" w:cs="Calibri"/>
        </w:rPr>
        <w:t>, and an express obligation in this proposal for the Commission to make clear guidance material available to the public</w:t>
      </w:r>
      <w:r w:rsidR="00AE4775" w:rsidRPr="00603981">
        <w:rPr>
          <w:rFonts w:ascii="Calibri" w:eastAsia="Calibri" w:hAnsi="Calibri" w:cs="Calibri"/>
        </w:rPr>
        <w:t xml:space="preserve">.  </w:t>
      </w:r>
    </w:p>
    <w:p w14:paraId="5413B0CC" w14:textId="10D7A555" w:rsidR="00467DEB" w:rsidRPr="00603981" w:rsidRDefault="00467DEB" w:rsidP="00F207DC">
      <w:pPr>
        <w:spacing w:after="160" w:line="259" w:lineRule="auto"/>
        <w:rPr>
          <w:rFonts w:ascii="Calibri" w:eastAsia="Calibri" w:hAnsi="Calibri" w:cs="Calibri"/>
        </w:rPr>
      </w:pPr>
      <w:r w:rsidRPr="00603981">
        <w:rPr>
          <w:rFonts w:ascii="Calibri" w:eastAsia="Calibri" w:hAnsi="Calibri" w:cs="Calibri"/>
        </w:rPr>
        <w:t>There is also a risk that employers may develop new practices or alter corporate structures to avoid new obligations</w:t>
      </w:r>
      <w:r w:rsidR="00364258">
        <w:rPr>
          <w:rFonts w:ascii="Calibri" w:eastAsia="Calibri" w:hAnsi="Calibri" w:cs="Calibri"/>
        </w:rPr>
        <w:t xml:space="preserve"> or prevent Fair Work Commission orders from being made</w:t>
      </w:r>
      <w:r w:rsidRPr="00603981">
        <w:rPr>
          <w:rFonts w:ascii="Calibri" w:eastAsia="Calibri" w:hAnsi="Calibri" w:cs="Calibri"/>
        </w:rPr>
        <w:t xml:space="preserve">. This risk, however, will be mitigated </w:t>
      </w:r>
      <w:r w:rsidR="00364258">
        <w:rPr>
          <w:rFonts w:ascii="Calibri" w:eastAsia="Calibri" w:hAnsi="Calibri" w:cs="Calibri"/>
        </w:rPr>
        <w:t>by the</w:t>
      </w:r>
      <w:r w:rsidRPr="00603981">
        <w:rPr>
          <w:rFonts w:ascii="Calibri" w:eastAsia="Calibri" w:hAnsi="Calibri" w:cs="Calibri"/>
        </w:rPr>
        <w:t xml:space="preserve"> anti-avoidance </w:t>
      </w:r>
      <w:r w:rsidRPr="00603981">
        <w:rPr>
          <w:rFonts w:ascii="Calibri" w:eastAsia="Calibri" w:hAnsi="Calibri" w:cs="Calibri"/>
          <w:color w:val="000000" w:themeColor="text1"/>
        </w:rPr>
        <w:t>provisions to be included in the Fair Work Act, capable of enforcement by affected parties and the Fair Work Ombudsman.</w:t>
      </w:r>
    </w:p>
    <w:p w14:paraId="73BB32AA" w14:textId="654E8DA3" w:rsidR="00AE4775" w:rsidRPr="00603981" w:rsidRDefault="00A10ACA" w:rsidP="00702625">
      <w:pPr>
        <w:spacing w:after="160" w:line="259" w:lineRule="auto"/>
        <w:rPr>
          <w:rFonts w:asciiTheme="majorHAnsi" w:eastAsiaTheme="majorEastAsia" w:hAnsiTheme="majorHAnsi" w:cstheme="majorBidi"/>
          <w:b/>
          <w:sz w:val="32"/>
          <w:szCs w:val="32"/>
        </w:rPr>
      </w:pPr>
      <w:r w:rsidRPr="00603981">
        <w:rPr>
          <w:rFonts w:ascii="Calibri" w:eastAsia="Calibri" w:hAnsi="Calibri" w:cs="Calibri"/>
        </w:rPr>
        <w:t>In addition</w:t>
      </w:r>
      <w:r w:rsidR="006A01F5">
        <w:rPr>
          <w:rFonts w:ascii="Calibri" w:eastAsia="Calibri" w:hAnsi="Calibri" w:cs="Calibri"/>
        </w:rPr>
        <w:t xml:space="preserve"> (though separately to this proposal)</w:t>
      </w:r>
      <w:r w:rsidRPr="00603981">
        <w:rPr>
          <w:rFonts w:ascii="Calibri" w:eastAsia="Calibri" w:hAnsi="Calibri" w:cs="Calibri"/>
        </w:rPr>
        <w:t>, t</w:t>
      </w:r>
      <w:r w:rsidR="002C33B0" w:rsidRPr="00603981">
        <w:rPr>
          <w:rFonts w:ascii="Calibri" w:eastAsia="Calibri" w:hAnsi="Calibri" w:cs="Calibri"/>
        </w:rPr>
        <w:t>h</w:t>
      </w:r>
      <w:r w:rsidR="00CD3EF0" w:rsidRPr="00603981">
        <w:rPr>
          <w:rFonts w:ascii="Calibri" w:eastAsia="Calibri" w:hAnsi="Calibri" w:cs="Calibri"/>
        </w:rPr>
        <w:t xml:space="preserve">e Government has </w:t>
      </w:r>
      <w:r w:rsidR="00EA091B">
        <w:rPr>
          <w:rFonts w:ascii="Calibri" w:eastAsia="Calibri" w:hAnsi="Calibri" w:cs="Calibri"/>
        </w:rPr>
        <w:t xml:space="preserve">allocated </w:t>
      </w:r>
      <w:r w:rsidR="00CD3EF0" w:rsidRPr="00603981">
        <w:rPr>
          <w:rFonts w:ascii="Calibri" w:eastAsia="Calibri" w:hAnsi="Calibri" w:cs="Calibri"/>
        </w:rPr>
        <w:t>$25</w:t>
      </w:r>
      <w:r w:rsidR="0D7DCDE3" w:rsidRPr="00603981">
        <w:rPr>
          <w:rFonts w:ascii="Calibri" w:eastAsia="Calibri" w:hAnsi="Calibri" w:cs="Calibri"/>
        </w:rPr>
        <w:t>.1</w:t>
      </w:r>
      <w:r w:rsidR="00CD3EF0" w:rsidRPr="00603981">
        <w:rPr>
          <w:rFonts w:ascii="Calibri" w:eastAsia="Calibri" w:hAnsi="Calibri" w:cs="Calibri"/>
        </w:rPr>
        <w:t xml:space="preserve"> million </w:t>
      </w:r>
      <w:r w:rsidR="7306363C" w:rsidRPr="00603981">
        <w:rPr>
          <w:rFonts w:ascii="Calibri" w:eastAsia="Calibri" w:hAnsi="Calibri" w:cs="Calibri"/>
        </w:rPr>
        <w:t>over 3</w:t>
      </w:r>
      <w:r w:rsidR="006A01F5">
        <w:rPr>
          <w:rFonts w:ascii="Calibri" w:eastAsia="Calibri" w:hAnsi="Calibri" w:cs="Calibri"/>
        </w:rPr>
        <w:t> </w:t>
      </w:r>
      <w:r w:rsidR="7306363C" w:rsidRPr="00603981">
        <w:rPr>
          <w:rFonts w:ascii="Calibri" w:eastAsia="Calibri" w:hAnsi="Calibri" w:cs="Calibri"/>
        </w:rPr>
        <w:t xml:space="preserve">years </w:t>
      </w:r>
      <w:r w:rsidR="00097181">
        <w:rPr>
          <w:rFonts w:ascii="Calibri" w:eastAsia="Calibri" w:hAnsi="Calibri" w:cs="Calibri"/>
        </w:rPr>
        <w:t>to</w:t>
      </w:r>
      <w:r w:rsidR="002C33B0" w:rsidRPr="00603981">
        <w:rPr>
          <w:rFonts w:ascii="Calibri" w:eastAsia="Calibri" w:hAnsi="Calibri" w:cs="Calibri"/>
        </w:rPr>
        <w:t xml:space="preserve"> the</w:t>
      </w:r>
      <w:r w:rsidR="003A37A0" w:rsidRPr="00603981">
        <w:rPr>
          <w:rFonts w:ascii="Calibri" w:eastAsia="Calibri" w:hAnsi="Calibri" w:cs="Calibri"/>
        </w:rPr>
        <w:t xml:space="preserve"> </w:t>
      </w:r>
      <w:r w:rsidR="005F576C" w:rsidRPr="00603981">
        <w:rPr>
          <w:rFonts w:ascii="Calibri" w:eastAsia="Calibri" w:hAnsi="Calibri" w:cs="Calibri"/>
        </w:rPr>
        <w:t>Productivity, Education and Training</w:t>
      </w:r>
      <w:r w:rsidR="006C322F">
        <w:rPr>
          <w:rFonts w:ascii="Calibri" w:eastAsia="Calibri" w:hAnsi="Calibri" w:cs="Calibri"/>
        </w:rPr>
        <w:t xml:space="preserve"> (PET)</w:t>
      </w:r>
      <w:r w:rsidR="005F576C" w:rsidRPr="00603981">
        <w:rPr>
          <w:rFonts w:ascii="Calibri" w:eastAsia="Calibri" w:hAnsi="Calibri" w:cs="Calibri"/>
        </w:rPr>
        <w:t xml:space="preserve"> </w:t>
      </w:r>
      <w:r w:rsidR="006C322F">
        <w:rPr>
          <w:rFonts w:ascii="Calibri" w:eastAsia="Calibri" w:hAnsi="Calibri" w:cs="Calibri"/>
        </w:rPr>
        <w:t>fund</w:t>
      </w:r>
      <w:r w:rsidR="00DA51D7" w:rsidRPr="00603981">
        <w:rPr>
          <w:rFonts w:ascii="Calibri" w:eastAsia="Calibri" w:hAnsi="Calibri" w:cs="Calibri"/>
        </w:rPr>
        <w:t xml:space="preserve">. The </w:t>
      </w:r>
      <w:r w:rsidR="006C322F">
        <w:rPr>
          <w:rFonts w:ascii="Calibri" w:eastAsia="Calibri" w:hAnsi="Calibri" w:cs="Calibri"/>
        </w:rPr>
        <w:t>PET fund</w:t>
      </w:r>
      <w:r w:rsidR="006C322F" w:rsidRPr="00603981">
        <w:rPr>
          <w:rFonts w:ascii="Calibri" w:eastAsia="Calibri" w:hAnsi="Calibri" w:cs="Calibri"/>
        </w:rPr>
        <w:t xml:space="preserve"> </w:t>
      </w:r>
      <w:r w:rsidR="0F13CCFF" w:rsidRPr="00603981">
        <w:rPr>
          <w:rFonts w:ascii="Calibri" w:eastAsia="Calibri" w:hAnsi="Calibri" w:cs="Calibri"/>
        </w:rPr>
        <w:t>is</w:t>
      </w:r>
      <w:r w:rsidR="4529550D" w:rsidRPr="00603981">
        <w:rPr>
          <w:rFonts w:ascii="Calibri" w:eastAsia="Calibri" w:hAnsi="Calibri" w:cs="Calibri"/>
        </w:rPr>
        <w:t xml:space="preserve"> for</w:t>
      </w:r>
      <w:r w:rsidR="0F13CCFF" w:rsidRPr="00603981">
        <w:rPr>
          <w:rFonts w:ascii="Calibri" w:eastAsia="Calibri" w:hAnsi="Calibri" w:cs="Calibri"/>
        </w:rPr>
        <w:t xml:space="preserve"> </w:t>
      </w:r>
      <w:r w:rsidR="00992476" w:rsidRPr="00603981">
        <w:rPr>
          <w:rFonts w:ascii="Calibri" w:eastAsia="Calibri" w:hAnsi="Calibri" w:cs="Calibri"/>
        </w:rPr>
        <w:t>key</w:t>
      </w:r>
      <w:r w:rsidR="00245156" w:rsidRPr="00603981">
        <w:rPr>
          <w:rFonts w:ascii="Calibri" w:eastAsia="Calibri" w:hAnsi="Calibri" w:cs="Calibri"/>
        </w:rPr>
        <w:t xml:space="preserve"> </w:t>
      </w:r>
      <w:r w:rsidR="001026E1" w:rsidRPr="00603981">
        <w:rPr>
          <w:rFonts w:ascii="Calibri" w:eastAsia="Calibri" w:hAnsi="Calibri" w:cs="Calibri"/>
        </w:rPr>
        <w:t xml:space="preserve">employer </w:t>
      </w:r>
      <w:r w:rsidR="24422705" w:rsidRPr="00603981">
        <w:rPr>
          <w:rFonts w:ascii="Calibri" w:eastAsia="Calibri" w:hAnsi="Calibri" w:cs="Calibri"/>
        </w:rPr>
        <w:t xml:space="preserve">and </w:t>
      </w:r>
      <w:r w:rsidR="006C322F">
        <w:rPr>
          <w:rFonts w:ascii="Calibri" w:eastAsia="Calibri" w:hAnsi="Calibri" w:cs="Calibri"/>
        </w:rPr>
        <w:t>employee</w:t>
      </w:r>
      <w:r w:rsidR="006C322F" w:rsidRPr="00603981">
        <w:rPr>
          <w:rFonts w:ascii="Calibri" w:eastAsia="Calibri" w:hAnsi="Calibri" w:cs="Calibri"/>
        </w:rPr>
        <w:t xml:space="preserve"> </w:t>
      </w:r>
      <w:r w:rsidR="001026E1" w:rsidRPr="00603981">
        <w:rPr>
          <w:rFonts w:ascii="Calibri" w:eastAsia="Calibri" w:hAnsi="Calibri" w:cs="Calibri"/>
        </w:rPr>
        <w:t>representative organisations</w:t>
      </w:r>
      <w:r w:rsidR="7BACD9B3" w:rsidRPr="00603981">
        <w:rPr>
          <w:rFonts w:ascii="Calibri" w:eastAsia="Calibri" w:hAnsi="Calibri" w:cs="Calibri"/>
        </w:rPr>
        <w:t xml:space="preserve"> to</w:t>
      </w:r>
      <w:r w:rsidR="7ABCA9F2" w:rsidRPr="00603981">
        <w:rPr>
          <w:rFonts w:ascii="Calibri" w:eastAsia="Calibri" w:hAnsi="Calibri" w:cs="Calibri"/>
        </w:rPr>
        <w:t xml:space="preserve"> engage with Government on workplace reforms, and </w:t>
      </w:r>
      <w:r w:rsidR="006C322F">
        <w:rPr>
          <w:rFonts w:ascii="Calibri" w:eastAsia="Calibri" w:hAnsi="Calibri" w:cs="Calibri"/>
        </w:rPr>
        <w:t xml:space="preserve">to support the development and roll out of </w:t>
      </w:r>
      <w:r w:rsidR="40398AC2" w:rsidRPr="00603981">
        <w:rPr>
          <w:rFonts w:ascii="Calibri" w:eastAsia="Calibri" w:hAnsi="Calibri" w:cs="Calibri"/>
        </w:rPr>
        <w:t>training and education activities for their members</w:t>
      </w:r>
      <w:r w:rsidR="00C6583D" w:rsidRPr="00603981">
        <w:rPr>
          <w:rFonts w:ascii="Calibri" w:eastAsia="Calibri" w:hAnsi="Calibri" w:cs="Calibri"/>
        </w:rPr>
        <w:t xml:space="preserve">. </w:t>
      </w:r>
      <w:r w:rsidR="006C322F">
        <w:rPr>
          <w:rFonts w:ascii="Calibri" w:eastAsia="Calibri" w:hAnsi="Calibri" w:cs="Calibri"/>
        </w:rPr>
        <w:t>F</w:t>
      </w:r>
      <w:r w:rsidR="00C6583D" w:rsidRPr="00603981">
        <w:rPr>
          <w:rFonts w:ascii="Calibri" w:eastAsia="Calibri" w:hAnsi="Calibri" w:cs="Calibri"/>
        </w:rPr>
        <w:t>unding</w:t>
      </w:r>
      <w:r w:rsidR="2AFDE75C" w:rsidRPr="00603981">
        <w:rPr>
          <w:rFonts w:ascii="Calibri" w:eastAsia="Calibri" w:hAnsi="Calibri" w:cs="Calibri"/>
        </w:rPr>
        <w:t xml:space="preserve"> </w:t>
      </w:r>
      <w:r w:rsidR="40398AC2" w:rsidRPr="00603981">
        <w:rPr>
          <w:rFonts w:ascii="Calibri" w:eastAsia="Calibri" w:hAnsi="Calibri" w:cs="Calibri"/>
        </w:rPr>
        <w:t>support</w:t>
      </w:r>
      <w:r w:rsidR="00C6583D" w:rsidRPr="00603981">
        <w:rPr>
          <w:rFonts w:ascii="Calibri" w:eastAsia="Calibri" w:hAnsi="Calibri" w:cs="Calibri"/>
        </w:rPr>
        <w:t>s</w:t>
      </w:r>
      <w:r w:rsidR="40398AC2" w:rsidRPr="00603981">
        <w:rPr>
          <w:rFonts w:ascii="Calibri" w:eastAsia="Calibri" w:hAnsi="Calibri" w:cs="Calibri"/>
        </w:rPr>
        <w:t xml:space="preserve"> </w:t>
      </w:r>
      <w:r w:rsidR="00AA04FB">
        <w:rPr>
          <w:rFonts w:ascii="Calibri" w:eastAsia="Calibri" w:hAnsi="Calibri" w:cs="Calibri"/>
        </w:rPr>
        <w:t xml:space="preserve">an </w:t>
      </w:r>
      <w:r w:rsidR="40398AC2" w:rsidRPr="00603981">
        <w:rPr>
          <w:rFonts w:ascii="Calibri" w:eastAsia="Calibri" w:hAnsi="Calibri" w:cs="Calibri"/>
        </w:rPr>
        <w:t>understanding and implementation of the Government’s workplace relations reform</w:t>
      </w:r>
      <w:r w:rsidR="00AA04FB">
        <w:rPr>
          <w:rFonts w:ascii="Calibri" w:eastAsia="Calibri" w:hAnsi="Calibri" w:cs="Calibri"/>
        </w:rPr>
        <w:t>s</w:t>
      </w:r>
      <w:r w:rsidR="40398AC2" w:rsidRPr="00603981">
        <w:rPr>
          <w:rFonts w:ascii="Calibri" w:eastAsia="Calibri" w:hAnsi="Calibri" w:cs="Calibri"/>
        </w:rPr>
        <w:t xml:space="preserve"> </w:t>
      </w:r>
      <w:r w:rsidR="3913F556" w:rsidRPr="00603981">
        <w:rPr>
          <w:rFonts w:ascii="Calibri" w:eastAsia="Calibri" w:hAnsi="Calibri" w:cs="Calibri"/>
        </w:rPr>
        <w:t xml:space="preserve">at the workplace level, including the </w:t>
      </w:r>
      <w:r w:rsidR="00C6583D" w:rsidRPr="00603981">
        <w:rPr>
          <w:rFonts w:ascii="Calibri" w:eastAsia="Calibri" w:hAnsi="Calibri" w:cs="Calibri"/>
        </w:rPr>
        <w:t>‘</w:t>
      </w:r>
      <w:r w:rsidR="3913F556" w:rsidRPr="00603981">
        <w:rPr>
          <w:rFonts w:ascii="Calibri" w:eastAsia="Calibri" w:hAnsi="Calibri" w:cs="Calibri"/>
        </w:rPr>
        <w:t>Closing</w:t>
      </w:r>
      <w:r w:rsidR="00AA04FB">
        <w:rPr>
          <w:rFonts w:ascii="Calibri" w:eastAsia="Calibri" w:hAnsi="Calibri" w:cs="Calibri"/>
        </w:rPr>
        <w:t xml:space="preserve"> the</w:t>
      </w:r>
      <w:r w:rsidR="3913F556" w:rsidRPr="00603981">
        <w:rPr>
          <w:rFonts w:ascii="Calibri" w:eastAsia="Calibri" w:hAnsi="Calibri" w:cs="Calibri"/>
        </w:rPr>
        <w:t xml:space="preserve"> labour hire loophole</w:t>
      </w:r>
      <w:r w:rsidR="00C6583D" w:rsidRPr="00603981">
        <w:rPr>
          <w:rFonts w:ascii="Calibri" w:eastAsia="Calibri" w:hAnsi="Calibri" w:cs="Calibri"/>
        </w:rPr>
        <w:t>’</w:t>
      </w:r>
      <w:r w:rsidR="3913F556" w:rsidRPr="00603981">
        <w:rPr>
          <w:rFonts w:ascii="Calibri" w:eastAsia="Calibri" w:hAnsi="Calibri" w:cs="Calibri"/>
        </w:rPr>
        <w:t xml:space="preserve"> </w:t>
      </w:r>
      <w:r w:rsidR="00C6583D" w:rsidRPr="00603981">
        <w:rPr>
          <w:rFonts w:ascii="Calibri" w:eastAsia="Calibri" w:hAnsi="Calibri" w:cs="Calibri"/>
        </w:rPr>
        <w:t>proposal</w:t>
      </w:r>
      <w:r w:rsidR="3913F556" w:rsidRPr="00603981">
        <w:rPr>
          <w:rFonts w:ascii="Calibri" w:eastAsia="Calibri" w:hAnsi="Calibri" w:cs="Calibri"/>
        </w:rPr>
        <w:t xml:space="preserve">. </w:t>
      </w:r>
    </w:p>
    <w:p w14:paraId="6F93AB9A" w14:textId="782357D0" w:rsidR="00AE4775" w:rsidRPr="00603981" w:rsidRDefault="00AE4775" w:rsidP="00C3303A">
      <w:pPr>
        <w:pStyle w:val="Heading2"/>
      </w:pPr>
      <w:bookmarkStart w:id="44" w:name="_Toc143696591"/>
      <w:r w:rsidRPr="00603981">
        <w:t xml:space="preserve">Impact Analysis Question 7: </w:t>
      </w:r>
      <w:r w:rsidRPr="00603981">
        <w:br/>
        <w:t>How will you evaluate your chosen option against the success metrics?</w:t>
      </w:r>
      <w:bookmarkEnd w:id="44"/>
    </w:p>
    <w:p w14:paraId="2DCD3BC1" w14:textId="56601AE8" w:rsidR="000A6249" w:rsidRDefault="00781D69" w:rsidP="00781D69">
      <w:pPr>
        <w:keepNext/>
        <w:spacing w:after="160" w:line="259" w:lineRule="auto"/>
        <w:rPr>
          <w:rFonts w:ascii="Calibri" w:eastAsia="Calibri" w:hAnsi="Calibri" w:cs="Calibri"/>
        </w:rPr>
      </w:pPr>
      <w:r>
        <w:rPr>
          <w:rFonts w:ascii="Calibri" w:eastAsia="Calibri" w:hAnsi="Calibri" w:cs="Calibri"/>
        </w:rPr>
        <w:t xml:space="preserve">Consistent with its existing remit to monitor and advise on the implementation of recent Government reforms, and the operation of workplace relations laws and policies generally, the department will </w:t>
      </w:r>
      <w:r w:rsidR="000A6249">
        <w:rPr>
          <w:rFonts w:ascii="Calibri" w:eastAsia="Calibri" w:hAnsi="Calibri" w:cs="Calibri"/>
        </w:rPr>
        <w:t>incorporate evaluation practices relating to this proposal into its current functions upon this proposal being legislated.</w:t>
      </w:r>
    </w:p>
    <w:p w14:paraId="4C84C7B6" w14:textId="49A37898" w:rsidR="00FA2354" w:rsidRDefault="000A6249" w:rsidP="00702625">
      <w:pPr>
        <w:spacing w:after="160" w:line="259" w:lineRule="auto"/>
        <w:rPr>
          <w:rFonts w:ascii="Calibri" w:eastAsia="Calibri" w:hAnsi="Calibri" w:cs="Calibri"/>
        </w:rPr>
      </w:pPr>
      <w:r>
        <w:rPr>
          <w:rFonts w:ascii="Calibri" w:eastAsia="Calibri" w:hAnsi="Calibri" w:cs="Calibri"/>
        </w:rPr>
        <w:t>In order to provide timely and accurate advice to Government, in real time, about the impact of this proposal once legislated, t</w:t>
      </w:r>
      <w:r w:rsidR="00C73FC8">
        <w:rPr>
          <w:rFonts w:ascii="Calibri" w:eastAsia="Calibri" w:hAnsi="Calibri" w:cs="Calibri"/>
        </w:rPr>
        <w:t xml:space="preserve">he </w:t>
      </w:r>
      <w:r w:rsidR="004A416C">
        <w:rPr>
          <w:rFonts w:ascii="Calibri" w:eastAsia="Calibri" w:hAnsi="Calibri" w:cs="Calibri"/>
        </w:rPr>
        <w:t xml:space="preserve">department will </w:t>
      </w:r>
      <w:r w:rsidR="004D7F4E">
        <w:rPr>
          <w:rFonts w:ascii="Calibri" w:eastAsia="Calibri" w:hAnsi="Calibri" w:cs="Calibri"/>
        </w:rPr>
        <w:t>monitor</w:t>
      </w:r>
      <w:r w:rsidR="0060388E">
        <w:rPr>
          <w:rFonts w:ascii="Calibri" w:eastAsia="Calibri" w:hAnsi="Calibri" w:cs="Calibri"/>
        </w:rPr>
        <w:t xml:space="preserve"> </w:t>
      </w:r>
      <w:r w:rsidR="001C2C2F">
        <w:rPr>
          <w:rFonts w:ascii="Calibri" w:eastAsia="Calibri" w:hAnsi="Calibri" w:cs="Calibri"/>
        </w:rPr>
        <w:t xml:space="preserve">Fair Work Commission </w:t>
      </w:r>
      <w:r w:rsidR="00FC0502">
        <w:rPr>
          <w:rFonts w:ascii="Calibri" w:eastAsia="Calibri" w:hAnsi="Calibri" w:cs="Calibri"/>
        </w:rPr>
        <w:t xml:space="preserve">decisions </w:t>
      </w:r>
      <w:r>
        <w:rPr>
          <w:rFonts w:ascii="Calibri" w:eastAsia="Calibri" w:hAnsi="Calibri" w:cs="Calibri"/>
        </w:rPr>
        <w:t xml:space="preserve">with respect </w:t>
      </w:r>
      <w:r w:rsidR="00FA2354">
        <w:rPr>
          <w:rFonts w:ascii="Calibri" w:eastAsia="Calibri" w:hAnsi="Calibri" w:cs="Calibri"/>
        </w:rPr>
        <w:t>t</w:t>
      </w:r>
      <w:r>
        <w:rPr>
          <w:rFonts w:ascii="Calibri" w:eastAsia="Calibri" w:hAnsi="Calibri" w:cs="Calibri"/>
        </w:rPr>
        <w:t xml:space="preserve">o applications for </w:t>
      </w:r>
      <w:r w:rsidR="00FA2354">
        <w:rPr>
          <w:rFonts w:ascii="Calibri" w:eastAsia="Calibri" w:hAnsi="Calibri" w:cs="Calibri"/>
        </w:rPr>
        <w:t xml:space="preserve">orders to activate the proposal, including the Commission’s consideration of the various discretionary factors to be included in the Fair Work Act (to identifying whether the Commission is affording weight to those factors in a manner consistent with pre-legislative </w:t>
      </w:r>
      <w:r w:rsidR="00FA2354">
        <w:rPr>
          <w:rFonts w:ascii="Calibri" w:eastAsia="Calibri" w:hAnsi="Calibri" w:cs="Calibri"/>
        </w:rPr>
        <w:lastRenderedPageBreak/>
        <w:t>expectations).</w:t>
      </w:r>
      <w:r w:rsidR="003B32AF">
        <w:rPr>
          <w:rFonts w:ascii="Calibri" w:eastAsia="Calibri" w:hAnsi="Calibri" w:cs="Calibri"/>
        </w:rPr>
        <w:t xml:space="preserve"> </w:t>
      </w:r>
      <w:r w:rsidR="00FA2354">
        <w:rPr>
          <w:rFonts w:ascii="Calibri" w:eastAsia="Calibri" w:hAnsi="Calibri" w:cs="Calibri"/>
        </w:rPr>
        <w:t>Policy and legal teams in the department will update tasking priorities to include tracking these Fair Work Commission decisions, having regard to</w:t>
      </w:r>
      <w:r w:rsidR="004C512D">
        <w:rPr>
          <w:rFonts w:ascii="Calibri" w:eastAsia="Calibri" w:hAnsi="Calibri" w:cs="Calibri"/>
        </w:rPr>
        <w:t>, for example</w:t>
      </w:r>
      <w:r w:rsidR="00FA2354">
        <w:rPr>
          <w:rFonts w:ascii="Calibri" w:eastAsia="Calibri" w:hAnsi="Calibri" w:cs="Calibri"/>
        </w:rPr>
        <w:t>:</w:t>
      </w:r>
    </w:p>
    <w:p w14:paraId="238DA4C0" w14:textId="09D7EFFB" w:rsidR="00B63217" w:rsidRDefault="00560E00" w:rsidP="00702625">
      <w:pPr>
        <w:pStyle w:val="ListParagraph"/>
        <w:numPr>
          <w:ilvl w:val="0"/>
          <w:numId w:val="35"/>
        </w:numPr>
        <w:spacing w:after="160" w:line="259" w:lineRule="auto"/>
        <w:contextualSpacing w:val="0"/>
        <w:rPr>
          <w:rFonts w:ascii="Calibri" w:eastAsia="Calibri" w:hAnsi="Calibri" w:cs="Calibri"/>
        </w:rPr>
      </w:pPr>
      <w:r>
        <w:rPr>
          <w:rFonts w:ascii="Calibri" w:eastAsia="Calibri" w:hAnsi="Calibri" w:cs="Calibri"/>
        </w:rPr>
        <w:t xml:space="preserve">the number of orders </w:t>
      </w:r>
      <w:r w:rsidR="004C4CF6">
        <w:rPr>
          <w:rFonts w:ascii="Calibri" w:eastAsia="Calibri" w:hAnsi="Calibri" w:cs="Calibri"/>
        </w:rPr>
        <w:t xml:space="preserve">applied for and </w:t>
      </w:r>
      <w:r>
        <w:rPr>
          <w:rFonts w:ascii="Calibri" w:eastAsia="Calibri" w:hAnsi="Calibri" w:cs="Calibri"/>
        </w:rPr>
        <w:t>made</w:t>
      </w:r>
      <w:r w:rsidR="00874759">
        <w:rPr>
          <w:rFonts w:ascii="Calibri" w:eastAsia="Calibri" w:hAnsi="Calibri" w:cs="Calibri"/>
        </w:rPr>
        <w:t xml:space="preserve"> </w:t>
      </w:r>
    </w:p>
    <w:p w14:paraId="34EE44EC" w14:textId="380651CE" w:rsidR="009C0DEF" w:rsidRDefault="00FA2354" w:rsidP="00702625">
      <w:pPr>
        <w:pStyle w:val="ListParagraph"/>
        <w:numPr>
          <w:ilvl w:val="0"/>
          <w:numId w:val="35"/>
        </w:numPr>
        <w:spacing w:after="160" w:line="259" w:lineRule="auto"/>
        <w:contextualSpacing w:val="0"/>
        <w:rPr>
          <w:rFonts w:ascii="Calibri" w:eastAsia="Calibri" w:hAnsi="Calibri" w:cs="Calibri"/>
        </w:rPr>
      </w:pPr>
      <w:r>
        <w:rPr>
          <w:rFonts w:ascii="Calibri" w:eastAsia="Calibri" w:hAnsi="Calibri" w:cs="Calibri"/>
        </w:rPr>
        <w:t>t</w:t>
      </w:r>
      <w:r w:rsidR="009C0DEF">
        <w:rPr>
          <w:rFonts w:ascii="Calibri" w:eastAsia="Calibri" w:hAnsi="Calibri" w:cs="Calibri"/>
        </w:rPr>
        <w:t>he pay disparity</w:t>
      </w:r>
      <w:r w:rsidR="00463403">
        <w:rPr>
          <w:rFonts w:ascii="Calibri" w:eastAsia="Calibri" w:hAnsi="Calibri" w:cs="Calibri"/>
        </w:rPr>
        <w:t xml:space="preserve"> between labour hire </w:t>
      </w:r>
      <w:r>
        <w:rPr>
          <w:rFonts w:ascii="Calibri" w:eastAsia="Calibri" w:hAnsi="Calibri" w:cs="Calibri"/>
        </w:rPr>
        <w:t>employees</w:t>
      </w:r>
      <w:r w:rsidR="00463403">
        <w:rPr>
          <w:rFonts w:ascii="Calibri" w:eastAsia="Calibri" w:hAnsi="Calibri" w:cs="Calibri"/>
        </w:rPr>
        <w:t xml:space="preserve"> and </w:t>
      </w:r>
      <w:r>
        <w:rPr>
          <w:rFonts w:ascii="Calibri" w:eastAsia="Calibri" w:hAnsi="Calibri" w:cs="Calibri"/>
        </w:rPr>
        <w:t>host</w:t>
      </w:r>
      <w:r w:rsidR="00463403">
        <w:rPr>
          <w:rFonts w:ascii="Calibri" w:eastAsia="Calibri" w:hAnsi="Calibri" w:cs="Calibri"/>
        </w:rPr>
        <w:t xml:space="preserve"> employees, and </w:t>
      </w:r>
      <w:r>
        <w:rPr>
          <w:rFonts w:ascii="Calibri" w:eastAsia="Calibri" w:hAnsi="Calibri" w:cs="Calibri"/>
        </w:rPr>
        <w:t>any subsequent</w:t>
      </w:r>
      <w:r w:rsidR="00463403">
        <w:rPr>
          <w:rFonts w:ascii="Calibri" w:eastAsia="Calibri" w:hAnsi="Calibri" w:cs="Calibri"/>
        </w:rPr>
        <w:t xml:space="preserve"> </w:t>
      </w:r>
      <w:r w:rsidR="001350D7">
        <w:rPr>
          <w:rFonts w:ascii="Calibri" w:eastAsia="Calibri" w:hAnsi="Calibri" w:cs="Calibri"/>
        </w:rPr>
        <w:t xml:space="preserve">pay increase for </w:t>
      </w:r>
      <w:r>
        <w:rPr>
          <w:rFonts w:ascii="Calibri" w:eastAsia="Calibri" w:hAnsi="Calibri" w:cs="Calibri"/>
        </w:rPr>
        <w:t>labour hire employees after orders are made</w:t>
      </w:r>
    </w:p>
    <w:p w14:paraId="6439DE79" w14:textId="6C50A32F" w:rsidR="001350D7" w:rsidRDefault="00FA2354" w:rsidP="00702625">
      <w:pPr>
        <w:pStyle w:val="ListParagraph"/>
        <w:keepNext/>
        <w:numPr>
          <w:ilvl w:val="0"/>
          <w:numId w:val="35"/>
        </w:numPr>
        <w:spacing w:after="160" w:line="259" w:lineRule="auto"/>
        <w:contextualSpacing w:val="0"/>
        <w:rPr>
          <w:rFonts w:ascii="Calibri" w:eastAsia="Calibri" w:hAnsi="Calibri" w:cs="Calibri"/>
        </w:rPr>
      </w:pPr>
      <w:r>
        <w:rPr>
          <w:rFonts w:ascii="Calibri" w:eastAsia="Calibri" w:hAnsi="Calibri" w:cs="Calibri"/>
        </w:rPr>
        <w:t>t</w:t>
      </w:r>
      <w:r w:rsidR="00FA0911">
        <w:rPr>
          <w:rFonts w:ascii="Calibri" w:eastAsia="Calibri" w:hAnsi="Calibri" w:cs="Calibri"/>
        </w:rPr>
        <w:t xml:space="preserve">he </w:t>
      </w:r>
      <w:r w:rsidR="001D78B0">
        <w:rPr>
          <w:rFonts w:ascii="Calibri" w:eastAsia="Calibri" w:hAnsi="Calibri" w:cs="Calibri"/>
        </w:rPr>
        <w:t xml:space="preserve">common </w:t>
      </w:r>
      <w:r w:rsidR="00FA0911">
        <w:rPr>
          <w:rFonts w:ascii="Calibri" w:eastAsia="Calibri" w:hAnsi="Calibri" w:cs="Calibri"/>
        </w:rPr>
        <w:t>industries</w:t>
      </w:r>
      <w:r w:rsidR="001D78B0">
        <w:rPr>
          <w:rFonts w:ascii="Calibri" w:eastAsia="Calibri" w:hAnsi="Calibri" w:cs="Calibri"/>
        </w:rPr>
        <w:t xml:space="preserve"> </w:t>
      </w:r>
      <w:r>
        <w:rPr>
          <w:rFonts w:ascii="Calibri" w:eastAsia="Calibri" w:hAnsi="Calibri" w:cs="Calibri"/>
        </w:rPr>
        <w:t>in which businesses responding</w:t>
      </w:r>
      <w:r w:rsidR="001D78B0">
        <w:rPr>
          <w:rFonts w:ascii="Calibri" w:eastAsia="Calibri" w:hAnsi="Calibri" w:cs="Calibri"/>
        </w:rPr>
        <w:t xml:space="preserve"> to </w:t>
      </w:r>
      <w:r>
        <w:rPr>
          <w:rFonts w:ascii="Calibri" w:eastAsia="Calibri" w:hAnsi="Calibri" w:cs="Calibri"/>
        </w:rPr>
        <w:t>applications</w:t>
      </w:r>
      <w:r w:rsidR="001D78B0">
        <w:rPr>
          <w:rFonts w:ascii="Calibri" w:eastAsia="Calibri" w:hAnsi="Calibri" w:cs="Calibri"/>
        </w:rPr>
        <w:t xml:space="preserve"> </w:t>
      </w:r>
      <w:r>
        <w:rPr>
          <w:rFonts w:ascii="Calibri" w:eastAsia="Calibri" w:hAnsi="Calibri" w:cs="Calibri"/>
        </w:rPr>
        <w:t>belong</w:t>
      </w:r>
    </w:p>
    <w:p w14:paraId="4CAE9F39" w14:textId="6C913589" w:rsidR="001D78B0" w:rsidRDefault="00FA2354" w:rsidP="00702625">
      <w:pPr>
        <w:pStyle w:val="ListParagraph"/>
        <w:keepNext/>
        <w:numPr>
          <w:ilvl w:val="0"/>
          <w:numId w:val="35"/>
        </w:numPr>
        <w:spacing w:after="160" w:line="259" w:lineRule="auto"/>
        <w:contextualSpacing w:val="0"/>
        <w:rPr>
          <w:rFonts w:ascii="Calibri" w:eastAsia="Calibri" w:hAnsi="Calibri" w:cs="Calibri"/>
        </w:rPr>
      </w:pPr>
      <w:r>
        <w:rPr>
          <w:rFonts w:ascii="Calibri" w:eastAsia="Calibri" w:hAnsi="Calibri" w:cs="Calibri"/>
        </w:rPr>
        <w:t>t</w:t>
      </w:r>
      <w:r w:rsidR="00E605A1">
        <w:rPr>
          <w:rFonts w:ascii="Calibri" w:eastAsia="Calibri" w:hAnsi="Calibri" w:cs="Calibri"/>
        </w:rPr>
        <w:t xml:space="preserve">he </w:t>
      </w:r>
      <w:r w:rsidR="00087AE1">
        <w:rPr>
          <w:rFonts w:ascii="Calibri" w:eastAsia="Calibri" w:hAnsi="Calibri" w:cs="Calibri"/>
        </w:rPr>
        <w:t>types of exemptions considered and determined</w:t>
      </w:r>
      <w:r>
        <w:rPr>
          <w:rFonts w:ascii="Calibri" w:eastAsia="Calibri" w:hAnsi="Calibri" w:cs="Calibri"/>
        </w:rPr>
        <w:t xml:space="preserve"> by the Fair Work Commission </w:t>
      </w:r>
      <w:r w:rsidR="00AA17C2">
        <w:rPr>
          <w:rFonts w:ascii="Calibri" w:eastAsia="Calibri" w:hAnsi="Calibri" w:cs="Calibri"/>
        </w:rPr>
        <w:t xml:space="preserve">in </w:t>
      </w:r>
      <w:r>
        <w:rPr>
          <w:rFonts w:ascii="Calibri" w:eastAsia="Calibri" w:hAnsi="Calibri" w:cs="Calibri"/>
        </w:rPr>
        <w:t>its decision making</w:t>
      </w:r>
    </w:p>
    <w:p w14:paraId="1D77754B" w14:textId="53B9B107" w:rsidR="006A6275" w:rsidRPr="00F04EA8" w:rsidRDefault="00FA2354" w:rsidP="00702625">
      <w:pPr>
        <w:pStyle w:val="ListParagraph"/>
        <w:keepNext/>
        <w:numPr>
          <w:ilvl w:val="0"/>
          <w:numId w:val="35"/>
        </w:numPr>
        <w:spacing w:after="160" w:line="259" w:lineRule="auto"/>
        <w:contextualSpacing w:val="0"/>
        <w:rPr>
          <w:rFonts w:ascii="Calibri" w:eastAsia="Calibri" w:hAnsi="Calibri" w:cs="Calibri"/>
        </w:rPr>
      </w:pPr>
      <w:r>
        <w:rPr>
          <w:rFonts w:ascii="Calibri" w:eastAsia="Calibri" w:hAnsi="Calibri" w:cs="Calibri"/>
        </w:rPr>
        <w:t>t</w:t>
      </w:r>
      <w:r w:rsidR="006A6275">
        <w:rPr>
          <w:rFonts w:ascii="Calibri" w:eastAsia="Calibri" w:hAnsi="Calibri" w:cs="Calibri"/>
        </w:rPr>
        <w:t xml:space="preserve">he </w:t>
      </w:r>
      <w:r>
        <w:rPr>
          <w:rFonts w:ascii="Calibri" w:eastAsia="Calibri" w:hAnsi="Calibri" w:cs="Calibri"/>
        </w:rPr>
        <w:t xml:space="preserve">rate of </w:t>
      </w:r>
      <w:r w:rsidR="003C53D7">
        <w:rPr>
          <w:rFonts w:ascii="Calibri" w:eastAsia="Calibri" w:hAnsi="Calibri" w:cs="Calibri"/>
        </w:rPr>
        <w:t>dispute</w:t>
      </w:r>
      <w:r>
        <w:rPr>
          <w:rFonts w:ascii="Calibri" w:eastAsia="Calibri" w:hAnsi="Calibri" w:cs="Calibri"/>
        </w:rPr>
        <w:t xml:space="preserve">s that are lodged with the Fair Work Commission for resolution after </w:t>
      </w:r>
      <w:r w:rsidR="005B40A1">
        <w:rPr>
          <w:rFonts w:ascii="Calibri" w:eastAsia="Calibri" w:hAnsi="Calibri" w:cs="Calibri"/>
        </w:rPr>
        <w:t xml:space="preserve">an order is </w:t>
      </w:r>
      <w:r>
        <w:rPr>
          <w:rFonts w:ascii="Calibri" w:eastAsia="Calibri" w:hAnsi="Calibri" w:cs="Calibri"/>
        </w:rPr>
        <w:t>made</w:t>
      </w:r>
    </w:p>
    <w:p w14:paraId="1289D44B" w14:textId="48D8D518" w:rsidR="00B04954" w:rsidRDefault="00693EF1" w:rsidP="00702625">
      <w:pPr>
        <w:spacing w:after="160" w:line="259" w:lineRule="auto"/>
        <w:rPr>
          <w:rFonts w:ascii="Calibri" w:eastAsia="Calibri" w:hAnsi="Calibri" w:cs="Calibri"/>
        </w:rPr>
      </w:pPr>
      <w:r>
        <w:rPr>
          <w:rFonts w:ascii="Calibri" w:eastAsia="Calibri" w:hAnsi="Calibri" w:cs="Calibri"/>
        </w:rPr>
        <w:t>A</w:t>
      </w:r>
      <w:r w:rsidR="00B04954">
        <w:rPr>
          <w:rFonts w:ascii="Calibri" w:eastAsia="Calibri" w:hAnsi="Calibri" w:cs="Calibri"/>
        </w:rPr>
        <w:t>dvice to Government</w:t>
      </w:r>
      <w:r w:rsidR="00F52910">
        <w:rPr>
          <w:rFonts w:ascii="Calibri" w:eastAsia="Calibri" w:hAnsi="Calibri" w:cs="Calibri"/>
        </w:rPr>
        <w:t xml:space="preserve">, </w:t>
      </w:r>
      <w:r w:rsidR="00B04954">
        <w:rPr>
          <w:rFonts w:ascii="Calibri" w:eastAsia="Calibri" w:hAnsi="Calibri" w:cs="Calibri"/>
        </w:rPr>
        <w:t xml:space="preserve">particularly </w:t>
      </w:r>
      <w:r w:rsidR="002A1518">
        <w:rPr>
          <w:rFonts w:ascii="Calibri" w:eastAsia="Calibri" w:hAnsi="Calibri" w:cs="Calibri"/>
        </w:rPr>
        <w:t xml:space="preserve">in the first </w:t>
      </w:r>
      <w:r w:rsidR="00B04954">
        <w:rPr>
          <w:rFonts w:ascii="Calibri" w:eastAsia="Calibri" w:hAnsi="Calibri" w:cs="Calibri"/>
        </w:rPr>
        <w:t xml:space="preserve">1-2 years </w:t>
      </w:r>
      <w:r w:rsidR="002A1518">
        <w:rPr>
          <w:rFonts w:ascii="Calibri" w:eastAsia="Calibri" w:hAnsi="Calibri" w:cs="Calibri"/>
        </w:rPr>
        <w:t>of its operation,</w:t>
      </w:r>
      <w:r w:rsidR="00B04954">
        <w:rPr>
          <w:rFonts w:ascii="Calibri" w:eastAsia="Calibri" w:hAnsi="Calibri" w:cs="Calibri"/>
        </w:rPr>
        <w:t xml:space="preserve"> will inform policy considerations with respect to whether further amendments to the Fair Work Act may be needed, or other action is necessary to ensure the Government’s policy intent is met.</w:t>
      </w:r>
    </w:p>
    <w:p w14:paraId="0367F7D2" w14:textId="1E83C11F" w:rsidR="00AE4775" w:rsidRPr="00603981" w:rsidRDefault="002D4644" w:rsidP="00583BE4">
      <w:pPr>
        <w:spacing w:after="160" w:line="259" w:lineRule="auto"/>
      </w:pPr>
      <w:r>
        <w:rPr>
          <w:rFonts w:ascii="Calibri" w:eastAsia="Calibri" w:hAnsi="Calibri" w:cs="Calibri"/>
        </w:rPr>
        <w:t>Broadly</w:t>
      </w:r>
      <w:r w:rsidR="003B32AF">
        <w:rPr>
          <w:rFonts w:ascii="Calibri" w:eastAsia="Calibri" w:hAnsi="Calibri" w:cs="Calibri"/>
        </w:rPr>
        <w:t>, t</w:t>
      </w:r>
      <w:r w:rsidR="00AE4775" w:rsidRPr="00603981">
        <w:rPr>
          <w:rFonts w:ascii="Calibri" w:eastAsia="Calibri" w:hAnsi="Calibri" w:cs="Calibri"/>
        </w:rPr>
        <w:t xml:space="preserve">he Government’s proposal will be considered effective if there is an observable increase in the wages paid to </w:t>
      </w:r>
      <w:r w:rsidR="00AE77AA">
        <w:rPr>
          <w:rFonts w:ascii="Calibri" w:eastAsia="Calibri" w:hAnsi="Calibri" w:cs="Calibri"/>
        </w:rPr>
        <w:t>labour hire employees</w:t>
      </w:r>
      <w:r w:rsidR="00AE4775" w:rsidRPr="00603981">
        <w:rPr>
          <w:rFonts w:ascii="Calibri" w:eastAsia="Calibri" w:hAnsi="Calibri" w:cs="Calibri"/>
        </w:rPr>
        <w:t xml:space="preserve">. </w:t>
      </w:r>
      <w:r w:rsidR="00FE6017">
        <w:rPr>
          <w:rFonts w:ascii="Calibri" w:eastAsia="Calibri" w:hAnsi="Calibri" w:cs="Calibri"/>
        </w:rPr>
        <w:t>Specifically, k</w:t>
      </w:r>
      <w:r w:rsidR="00AE4775" w:rsidRPr="00603981">
        <w:rPr>
          <w:rFonts w:ascii="Calibri" w:eastAsia="Calibri" w:hAnsi="Calibri" w:cs="Calibri"/>
        </w:rPr>
        <w:t>ey metrics for successful implementation</w:t>
      </w:r>
      <w:r w:rsidR="00FE6017">
        <w:rPr>
          <w:rFonts w:ascii="Calibri" w:eastAsia="Calibri" w:hAnsi="Calibri" w:cs="Calibri"/>
        </w:rPr>
        <w:t xml:space="preserve"> of this proposal</w:t>
      </w:r>
      <w:r>
        <w:rPr>
          <w:rFonts w:ascii="Calibri" w:eastAsia="Calibri" w:hAnsi="Calibri" w:cs="Calibri"/>
        </w:rPr>
        <w:t>, and indicators as to whether the proposal is effective in achieving its intended outcome, will</w:t>
      </w:r>
      <w:r w:rsidR="00AE4775" w:rsidRPr="00603981">
        <w:rPr>
          <w:rFonts w:ascii="Calibri" w:eastAsia="Calibri" w:hAnsi="Calibri" w:cs="Calibri"/>
        </w:rPr>
        <w:t xml:space="preserve"> include:</w:t>
      </w:r>
    </w:p>
    <w:p w14:paraId="469ADDD9" w14:textId="1BBDDA6F" w:rsidR="00AE4775" w:rsidRPr="00603981" w:rsidRDefault="00FE6017" w:rsidP="00702625">
      <w:pPr>
        <w:pStyle w:val="ListParagraph"/>
        <w:numPr>
          <w:ilvl w:val="0"/>
          <w:numId w:val="35"/>
        </w:numPr>
        <w:spacing w:after="160" w:line="259" w:lineRule="auto"/>
        <w:contextualSpacing w:val="0"/>
        <w:rPr>
          <w:rFonts w:ascii="Calibri" w:eastAsia="Calibri" w:hAnsi="Calibri" w:cs="Calibri"/>
        </w:rPr>
      </w:pPr>
      <w:r>
        <w:rPr>
          <w:rFonts w:ascii="Calibri" w:eastAsia="Calibri" w:hAnsi="Calibri" w:cs="Calibri"/>
        </w:rPr>
        <w:t>a</w:t>
      </w:r>
      <w:r w:rsidR="00AE4775" w:rsidRPr="00603981">
        <w:rPr>
          <w:rFonts w:ascii="Calibri" w:eastAsia="Calibri" w:hAnsi="Calibri" w:cs="Calibri"/>
        </w:rPr>
        <w:t xml:space="preserve"> reduction in the wage gap between labour hire </w:t>
      </w:r>
      <w:r w:rsidR="00FE03A6">
        <w:rPr>
          <w:rFonts w:ascii="Calibri" w:eastAsia="Calibri" w:hAnsi="Calibri" w:cs="Calibri"/>
        </w:rPr>
        <w:t>employees</w:t>
      </w:r>
      <w:r w:rsidR="00FE03A6" w:rsidRPr="00603981">
        <w:rPr>
          <w:rFonts w:ascii="Calibri" w:eastAsia="Calibri" w:hAnsi="Calibri" w:cs="Calibri"/>
        </w:rPr>
        <w:t xml:space="preserve"> </w:t>
      </w:r>
      <w:r w:rsidR="00AE4775" w:rsidRPr="00603981">
        <w:rPr>
          <w:rFonts w:ascii="Calibri" w:eastAsia="Calibri" w:hAnsi="Calibri" w:cs="Calibri"/>
        </w:rPr>
        <w:t xml:space="preserve">and </w:t>
      </w:r>
      <w:r w:rsidR="00FE03A6">
        <w:rPr>
          <w:rFonts w:ascii="Calibri" w:eastAsia="Calibri" w:hAnsi="Calibri" w:cs="Calibri"/>
        </w:rPr>
        <w:t>host</w:t>
      </w:r>
      <w:r w:rsidR="00AE4775" w:rsidRPr="00603981">
        <w:rPr>
          <w:rFonts w:ascii="Calibri" w:eastAsia="Calibri" w:hAnsi="Calibri" w:cs="Calibri"/>
        </w:rPr>
        <w:t xml:space="preserve"> employees within industries and/or occupations where there had been a negative wage gap</w:t>
      </w:r>
      <w:r w:rsidR="00FE03A6">
        <w:rPr>
          <w:rFonts w:ascii="Calibri" w:eastAsia="Calibri" w:hAnsi="Calibri" w:cs="Calibri"/>
        </w:rPr>
        <w:t>; and</w:t>
      </w:r>
    </w:p>
    <w:p w14:paraId="3E3DAE44" w14:textId="5D718999" w:rsidR="00AE4775" w:rsidRPr="00603981" w:rsidRDefault="00FE6017" w:rsidP="00702625">
      <w:pPr>
        <w:pStyle w:val="ListParagraph"/>
        <w:numPr>
          <w:ilvl w:val="0"/>
          <w:numId w:val="35"/>
        </w:numPr>
        <w:spacing w:after="160" w:line="259" w:lineRule="auto"/>
        <w:contextualSpacing w:val="0"/>
        <w:rPr>
          <w:rFonts w:ascii="Calibri" w:eastAsia="Calibri" w:hAnsi="Calibri" w:cs="Calibri"/>
        </w:rPr>
      </w:pPr>
      <w:r>
        <w:rPr>
          <w:rFonts w:ascii="Calibri" w:eastAsia="Calibri" w:hAnsi="Calibri" w:cs="Calibri"/>
        </w:rPr>
        <w:t>a</w:t>
      </w:r>
      <w:r w:rsidR="00AE4775" w:rsidRPr="00603981">
        <w:rPr>
          <w:rFonts w:ascii="Calibri" w:eastAsia="Calibri" w:hAnsi="Calibri" w:cs="Calibri"/>
        </w:rPr>
        <w:t>n increase in direct employment in industries with high rates of labour hire use.</w:t>
      </w:r>
    </w:p>
    <w:p w14:paraId="6060BB7A" w14:textId="349B8F79" w:rsidR="00FE03A6" w:rsidRDefault="002870CC" w:rsidP="00583BE4">
      <w:pPr>
        <w:spacing w:after="160" w:line="259" w:lineRule="auto"/>
        <w:rPr>
          <w:rFonts w:ascii="Calibri" w:eastAsia="Calibri" w:hAnsi="Calibri" w:cs="Calibri"/>
        </w:rPr>
      </w:pPr>
      <w:r>
        <w:rPr>
          <w:rFonts w:ascii="Calibri" w:eastAsia="Calibri" w:hAnsi="Calibri" w:cs="Calibri"/>
        </w:rPr>
        <w:t xml:space="preserve">ABS wage data will be matched with outcomes </w:t>
      </w:r>
      <w:r w:rsidR="00FE03A6">
        <w:rPr>
          <w:rFonts w:ascii="Calibri" w:eastAsia="Calibri" w:hAnsi="Calibri" w:cs="Calibri"/>
        </w:rPr>
        <w:t>from</w:t>
      </w:r>
      <w:r>
        <w:rPr>
          <w:rFonts w:ascii="Calibri" w:eastAsia="Calibri" w:hAnsi="Calibri" w:cs="Calibri"/>
        </w:rPr>
        <w:t xml:space="preserve"> Fair Work Commission orders</w:t>
      </w:r>
      <w:r w:rsidR="00FF1D0C">
        <w:rPr>
          <w:rFonts w:ascii="Calibri" w:eastAsia="Calibri" w:hAnsi="Calibri" w:cs="Calibri"/>
        </w:rPr>
        <w:t xml:space="preserve"> over time, to evaluate whether the </w:t>
      </w:r>
      <w:r w:rsidR="00FE03A6">
        <w:rPr>
          <w:rFonts w:ascii="Calibri" w:eastAsia="Calibri" w:hAnsi="Calibri" w:cs="Calibri"/>
        </w:rPr>
        <w:t>proposal</w:t>
      </w:r>
      <w:r w:rsidR="00FF1D0C">
        <w:rPr>
          <w:rFonts w:ascii="Calibri" w:eastAsia="Calibri" w:hAnsi="Calibri" w:cs="Calibri"/>
        </w:rPr>
        <w:t xml:space="preserve"> is</w:t>
      </w:r>
      <w:r w:rsidR="005E1D61">
        <w:rPr>
          <w:rFonts w:ascii="Calibri" w:eastAsia="Calibri" w:hAnsi="Calibri" w:cs="Calibri"/>
        </w:rPr>
        <w:t xml:space="preserve"> leading to an increase in wages for covered labour hire </w:t>
      </w:r>
      <w:r w:rsidR="00FE03A6">
        <w:rPr>
          <w:rFonts w:ascii="Calibri" w:eastAsia="Calibri" w:hAnsi="Calibri" w:cs="Calibri"/>
        </w:rPr>
        <w:t>employees</w:t>
      </w:r>
      <w:r w:rsidR="005E1D61">
        <w:rPr>
          <w:rFonts w:ascii="Calibri" w:eastAsia="Calibri" w:hAnsi="Calibri" w:cs="Calibri"/>
        </w:rPr>
        <w:t xml:space="preserve">. </w:t>
      </w:r>
    </w:p>
    <w:p w14:paraId="3C12A5EB" w14:textId="4EDBD8EB" w:rsidR="00F1387E" w:rsidRDefault="00AE4775" w:rsidP="00DC343C">
      <w:pPr>
        <w:keepNext/>
        <w:spacing w:after="160" w:line="259" w:lineRule="auto"/>
        <w:rPr>
          <w:rFonts w:ascii="Calibri" w:eastAsia="Calibri" w:hAnsi="Calibri" w:cs="Calibri"/>
        </w:rPr>
      </w:pPr>
      <w:r w:rsidRPr="00603981">
        <w:rPr>
          <w:rFonts w:ascii="Calibri" w:eastAsia="Calibri" w:hAnsi="Calibri" w:cs="Calibri"/>
        </w:rPr>
        <w:t xml:space="preserve">Data to assess these metrics will be derived from ABS publications on the use of labour hire and on median wages of labour hire </w:t>
      </w:r>
      <w:r w:rsidR="00FE03A6">
        <w:rPr>
          <w:rFonts w:ascii="Calibri" w:eastAsia="Calibri" w:hAnsi="Calibri" w:cs="Calibri"/>
        </w:rPr>
        <w:t>employees</w:t>
      </w:r>
      <w:r w:rsidR="00FE03A6" w:rsidRPr="00603981">
        <w:rPr>
          <w:rFonts w:ascii="Calibri" w:eastAsia="Calibri" w:hAnsi="Calibri" w:cs="Calibri"/>
        </w:rPr>
        <w:t xml:space="preserve"> </w:t>
      </w:r>
      <w:r w:rsidRPr="00603981">
        <w:rPr>
          <w:rFonts w:ascii="Calibri" w:eastAsia="Calibri" w:hAnsi="Calibri" w:cs="Calibri"/>
        </w:rPr>
        <w:t xml:space="preserve">compared to all employees. As noted throughout this analysis, there are limitations in the ABS data that will continue to impact the </w:t>
      </w:r>
      <w:r w:rsidR="00007A3A" w:rsidRPr="00603981">
        <w:rPr>
          <w:rFonts w:ascii="Calibri" w:eastAsia="Calibri" w:hAnsi="Calibri" w:cs="Calibri"/>
        </w:rPr>
        <w:t>department’s</w:t>
      </w:r>
      <w:r w:rsidRPr="00603981">
        <w:rPr>
          <w:rFonts w:ascii="Calibri" w:eastAsia="Calibri" w:hAnsi="Calibri" w:cs="Calibri"/>
        </w:rPr>
        <w:t xml:space="preserve"> ability to measure the impact of the </w:t>
      </w:r>
      <w:r w:rsidR="00007A3A" w:rsidRPr="00603981">
        <w:rPr>
          <w:rFonts w:ascii="Calibri" w:eastAsia="Calibri" w:hAnsi="Calibri" w:cs="Calibri"/>
        </w:rPr>
        <w:t>proposal</w:t>
      </w:r>
      <w:r w:rsidR="00B21D08">
        <w:rPr>
          <w:rFonts w:ascii="Calibri" w:eastAsia="Calibri" w:hAnsi="Calibri" w:cs="Calibri"/>
        </w:rPr>
        <w:t xml:space="preserve"> in detail</w:t>
      </w:r>
      <w:r w:rsidRPr="00603981">
        <w:rPr>
          <w:rFonts w:ascii="Calibri" w:eastAsia="Calibri" w:hAnsi="Calibri" w:cs="Calibri"/>
        </w:rPr>
        <w:t>.</w:t>
      </w:r>
      <w:r w:rsidR="00686AC4" w:rsidRPr="00603981">
        <w:rPr>
          <w:rFonts w:ascii="Calibri" w:eastAsia="Calibri" w:hAnsi="Calibri" w:cs="Calibri"/>
        </w:rPr>
        <w:t xml:space="preserve"> </w:t>
      </w:r>
    </w:p>
    <w:p w14:paraId="168F954D" w14:textId="631D7F8B" w:rsidR="00AE4775" w:rsidRPr="00603981" w:rsidRDefault="00AE4775" w:rsidP="00DC343C">
      <w:pPr>
        <w:keepNext/>
        <w:spacing w:after="160" w:line="259" w:lineRule="auto"/>
      </w:pPr>
      <w:r w:rsidRPr="00603981">
        <w:rPr>
          <w:rFonts w:ascii="Calibri" w:eastAsia="Calibri" w:hAnsi="Calibri" w:cs="Calibri"/>
        </w:rPr>
        <w:t xml:space="preserve">The </w:t>
      </w:r>
      <w:r w:rsidR="00007A3A" w:rsidRPr="00603981">
        <w:rPr>
          <w:rFonts w:ascii="Calibri" w:eastAsia="Calibri" w:hAnsi="Calibri" w:cs="Calibri"/>
        </w:rPr>
        <w:t>proposal</w:t>
      </w:r>
      <w:r w:rsidRPr="00603981">
        <w:rPr>
          <w:rFonts w:ascii="Calibri" w:eastAsia="Calibri" w:hAnsi="Calibri" w:cs="Calibri"/>
        </w:rPr>
        <w:t xml:space="preserve"> will also be considered effective if disputes are handled efficiently and effectively by the Fair Work Commission. Key metrics</w:t>
      </w:r>
      <w:r w:rsidR="00F1387E">
        <w:rPr>
          <w:rFonts w:ascii="Calibri" w:eastAsia="Calibri" w:hAnsi="Calibri" w:cs="Calibri"/>
        </w:rPr>
        <w:t xml:space="preserve"> with regard to this are expected to </w:t>
      </w:r>
      <w:r w:rsidRPr="00603981">
        <w:rPr>
          <w:rFonts w:ascii="Calibri" w:eastAsia="Calibri" w:hAnsi="Calibri" w:cs="Calibri"/>
        </w:rPr>
        <w:t>include:</w:t>
      </w:r>
    </w:p>
    <w:p w14:paraId="1D5F73CE" w14:textId="5220CA60" w:rsidR="00AE4775" w:rsidRPr="00603981" w:rsidRDefault="00AE4775" w:rsidP="00702625">
      <w:pPr>
        <w:pStyle w:val="ListParagraph"/>
        <w:keepNext/>
        <w:numPr>
          <w:ilvl w:val="0"/>
          <w:numId w:val="35"/>
        </w:numPr>
        <w:spacing w:after="160" w:line="259" w:lineRule="auto"/>
        <w:contextualSpacing w:val="0"/>
        <w:rPr>
          <w:rFonts w:ascii="Calibri" w:eastAsia="Calibri" w:hAnsi="Calibri" w:cs="Calibri"/>
        </w:rPr>
      </w:pPr>
      <w:r w:rsidRPr="00603981">
        <w:rPr>
          <w:rFonts w:ascii="Calibri" w:eastAsia="Calibri" w:hAnsi="Calibri" w:cs="Calibri"/>
        </w:rPr>
        <w:t xml:space="preserve">Parties impacted by the provisions understanding their rights and obligations and, where relevant, </w:t>
      </w:r>
      <w:r w:rsidR="003D3AD8">
        <w:rPr>
          <w:rFonts w:ascii="Calibri" w:eastAsia="Calibri" w:hAnsi="Calibri" w:cs="Calibri"/>
        </w:rPr>
        <w:t>complying</w:t>
      </w:r>
      <w:r w:rsidRPr="00603981">
        <w:rPr>
          <w:rFonts w:ascii="Calibri" w:eastAsia="Calibri" w:hAnsi="Calibri" w:cs="Calibri"/>
        </w:rPr>
        <w:t xml:space="preserve"> with the provisions</w:t>
      </w:r>
      <w:r w:rsidR="00BE695E" w:rsidRPr="00603981">
        <w:rPr>
          <w:rFonts w:ascii="Calibri" w:eastAsia="Calibri" w:hAnsi="Calibri" w:cs="Calibri"/>
        </w:rPr>
        <w:t xml:space="preserve"> (t</w:t>
      </w:r>
      <w:r w:rsidRPr="00603981">
        <w:rPr>
          <w:rFonts w:ascii="Calibri" w:eastAsia="Calibri" w:hAnsi="Calibri" w:cs="Calibri"/>
        </w:rPr>
        <w:t>his will be informed by data captured by the Fair</w:t>
      </w:r>
      <w:r w:rsidR="003D3AD8">
        <w:rPr>
          <w:rFonts w:ascii="Calibri" w:eastAsia="Calibri" w:hAnsi="Calibri" w:cs="Calibri"/>
        </w:rPr>
        <w:t> </w:t>
      </w:r>
      <w:r w:rsidRPr="00603981">
        <w:rPr>
          <w:rFonts w:ascii="Calibri" w:eastAsia="Calibri" w:hAnsi="Calibri" w:cs="Calibri"/>
        </w:rPr>
        <w:t>Work Ombudsman</w:t>
      </w:r>
      <w:r w:rsidR="003D3AD8">
        <w:rPr>
          <w:rFonts w:ascii="Calibri" w:eastAsia="Calibri" w:hAnsi="Calibri" w:cs="Calibri"/>
        </w:rPr>
        <w:t xml:space="preserve"> and rates of court litigation to enforce these provisions</w:t>
      </w:r>
      <w:r w:rsidR="00BE695E" w:rsidRPr="00603981">
        <w:rPr>
          <w:rFonts w:ascii="Calibri" w:eastAsia="Calibri" w:hAnsi="Calibri" w:cs="Calibri"/>
        </w:rPr>
        <w:t>)</w:t>
      </w:r>
      <w:r w:rsidRPr="00603981">
        <w:rPr>
          <w:rFonts w:ascii="Calibri" w:eastAsia="Calibri" w:hAnsi="Calibri" w:cs="Calibri"/>
        </w:rPr>
        <w:t>.</w:t>
      </w:r>
    </w:p>
    <w:p w14:paraId="71EA6E97" w14:textId="6859872E" w:rsidR="00AE4775" w:rsidRPr="00603981" w:rsidRDefault="00AE4775" w:rsidP="00702625">
      <w:pPr>
        <w:pStyle w:val="ListParagraph"/>
        <w:keepNext/>
        <w:numPr>
          <w:ilvl w:val="0"/>
          <w:numId w:val="35"/>
        </w:numPr>
        <w:spacing w:after="160" w:line="259" w:lineRule="auto"/>
        <w:contextualSpacing w:val="0"/>
        <w:rPr>
          <w:rFonts w:ascii="Calibri" w:eastAsia="Calibri" w:hAnsi="Calibri" w:cs="Calibri"/>
        </w:rPr>
      </w:pPr>
      <w:r w:rsidRPr="00603981">
        <w:rPr>
          <w:rFonts w:ascii="Calibri" w:eastAsia="Calibri" w:hAnsi="Calibri" w:cs="Calibri"/>
        </w:rPr>
        <w:t xml:space="preserve">Low levels of disputes notified to the Fair Work Commission </w:t>
      </w:r>
      <w:r w:rsidR="003D3AD8">
        <w:rPr>
          <w:rFonts w:ascii="Calibri" w:eastAsia="Calibri" w:hAnsi="Calibri" w:cs="Calibri"/>
        </w:rPr>
        <w:t>regarding this proposal</w:t>
      </w:r>
      <w:r w:rsidRPr="00603981">
        <w:rPr>
          <w:rFonts w:ascii="Calibri" w:eastAsia="Calibri" w:hAnsi="Calibri" w:cs="Calibri"/>
        </w:rPr>
        <w:t xml:space="preserve">. </w:t>
      </w:r>
    </w:p>
    <w:p w14:paraId="190B1901" w14:textId="77777777" w:rsidR="00BB2BD1" w:rsidRDefault="00AE4775" w:rsidP="00702625">
      <w:pPr>
        <w:pStyle w:val="ListParagraph"/>
        <w:keepNext/>
        <w:numPr>
          <w:ilvl w:val="0"/>
          <w:numId w:val="35"/>
        </w:numPr>
        <w:spacing w:after="160" w:line="259" w:lineRule="auto"/>
        <w:contextualSpacing w:val="0"/>
        <w:rPr>
          <w:rFonts w:ascii="Calibri" w:eastAsia="Calibri" w:hAnsi="Calibri" w:cs="Calibri"/>
        </w:rPr>
      </w:pPr>
      <w:r w:rsidRPr="00603981">
        <w:rPr>
          <w:rFonts w:ascii="Calibri" w:eastAsia="Calibri" w:hAnsi="Calibri" w:cs="Calibri"/>
        </w:rPr>
        <w:t>Key Performance Indicators within the Fair Work Commission regarding frequency and settlement timeframes for disputes reducing over time.</w:t>
      </w:r>
    </w:p>
    <w:p w14:paraId="73922995" w14:textId="38EC9995" w:rsidR="00AE4775" w:rsidRPr="00BB2BD1" w:rsidRDefault="00036FAA" w:rsidP="00BB2BD1">
      <w:pPr>
        <w:spacing w:after="160" w:line="259" w:lineRule="auto"/>
        <w:rPr>
          <w:rFonts w:ascii="Calibri" w:eastAsia="Calibri" w:hAnsi="Calibri" w:cs="Calibri"/>
        </w:rPr>
      </w:pPr>
      <w:r>
        <w:rPr>
          <w:rFonts w:ascii="Calibri" w:eastAsia="Calibri" w:hAnsi="Calibri" w:cs="Calibri"/>
        </w:rPr>
        <w:t>In addition to all of the above</w:t>
      </w:r>
      <w:r w:rsidR="00BB2BD1">
        <w:rPr>
          <w:rFonts w:ascii="Calibri" w:eastAsia="Calibri" w:hAnsi="Calibri" w:cs="Calibri"/>
        </w:rPr>
        <w:t xml:space="preserve">, the department will </w:t>
      </w:r>
      <w:r>
        <w:rPr>
          <w:rFonts w:ascii="Calibri" w:eastAsia="Calibri" w:hAnsi="Calibri" w:cs="Calibri"/>
        </w:rPr>
        <w:t xml:space="preserve">also continue to </w:t>
      </w:r>
      <w:r w:rsidR="00BB2BD1">
        <w:rPr>
          <w:rFonts w:ascii="Calibri" w:eastAsia="Calibri" w:hAnsi="Calibri" w:cs="Calibri"/>
        </w:rPr>
        <w:t xml:space="preserve">use its existing </w:t>
      </w:r>
      <w:r>
        <w:rPr>
          <w:rFonts w:ascii="Calibri" w:eastAsia="Calibri" w:hAnsi="Calibri" w:cs="Calibri"/>
        </w:rPr>
        <w:t xml:space="preserve">processes for consultation and </w:t>
      </w:r>
      <w:r w:rsidR="00BB2BD1">
        <w:rPr>
          <w:rFonts w:ascii="Calibri" w:eastAsia="Calibri" w:hAnsi="Calibri" w:cs="Calibri"/>
        </w:rPr>
        <w:t>engagement with employers and employees and their re</w:t>
      </w:r>
      <w:r w:rsidR="000E39ED">
        <w:rPr>
          <w:rFonts w:ascii="Calibri" w:eastAsia="Calibri" w:hAnsi="Calibri" w:cs="Calibri"/>
        </w:rPr>
        <w:t>presentatives</w:t>
      </w:r>
      <w:r>
        <w:rPr>
          <w:rFonts w:ascii="Calibri" w:eastAsia="Calibri" w:hAnsi="Calibri" w:cs="Calibri"/>
        </w:rPr>
        <w:t xml:space="preserve"> in relation to workplace relations matters</w:t>
      </w:r>
      <w:r w:rsidR="000E39ED">
        <w:rPr>
          <w:rFonts w:ascii="Calibri" w:eastAsia="Calibri" w:hAnsi="Calibri" w:cs="Calibri"/>
        </w:rPr>
        <w:t xml:space="preserve">, </w:t>
      </w:r>
      <w:r>
        <w:rPr>
          <w:rFonts w:ascii="Calibri" w:eastAsia="Calibri" w:hAnsi="Calibri" w:cs="Calibri"/>
        </w:rPr>
        <w:t>in order</w:t>
      </w:r>
      <w:r w:rsidR="000E39ED">
        <w:rPr>
          <w:rFonts w:ascii="Calibri" w:eastAsia="Calibri" w:hAnsi="Calibri" w:cs="Calibri"/>
        </w:rPr>
        <w:t xml:space="preserve"> to</w:t>
      </w:r>
      <w:r w:rsidR="00E347CB">
        <w:rPr>
          <w:rFonts w:ascii="Calibri" w:eastAsia="Calibri" w:hAnsi="Calibri" w:cs="Calibri"/>
        </w:rPr>
        <w:t xml:space="preserve"> evaluate how the measure is wo</w:t>
      </w:r>
      <w:r w:rsidR="00661521">
        <w:rPr>
          <w:rFonts w:ascii="Calibri" w:eastAsia="Calibri" w:hAnsi="Calibri" w:cs="Calibri"/>
        </w:rPr>
        <w:t>rking in practice</w:t>
      </w:r>
      <w:r>
        <w:rPr>
          <w:rFonts w:ascii="Calibri" w:eastAsia="Calibri" w:hAnsi="Calibri" w:cs="Calibri"/>
        </w:rPr>
        <w:t xml:space="preserve"> – for example, through NWRCC, and other opportunities for stakeholder engagement that arise over time.</w:t>
      </w:r>
      <w:r w:rsidR="009633A1">
        <w:rPr>
          <w:rFonts w:ascii="Calibri" w:eastAsia="Calibri" w:hAnsi="Calibri" w:cs="Calibri"/>
        </w:rPr>
        <w:t xml:space="preserve"> </w:t>
      </w:r>
      <w:r w:rsidR="000E39ED">
        <w:rPr>
          <w:rFonts w:ascii="Calibri" w:eastAsia="Calibri" w:hAnsi="Calibri" w:cs="Calibri"/>
        </w:rPr>
        <w:t xml:space="preserve"> </w:t>
      </w:r>
      <w:r w:rsidR="00AE4775" w:rsidRPr="00BB2BD1">
        <w:rPr>
          <w:rFonts w:ascii="Calibri" w:eastAsia="Calibri" w:hAnsi="Calibri" w:cs="Calibri"/>
        </w:rPr>
        <w:br w:type="page"/>
      </w:r>
    </w:p>
    <w:p w14:paraId="11BB18C1" w14:textId="51BC2759" w:rsidR="00BB07A2" w:rsidRDefault="00BB07A2" w:rsidP="00BB07A2">
      <w:pPr>
        <w:pStyle w:val="Heading1"/>
        <w:jc w:val="right"/>
      </w:pPr>
      <w:bookmarkStart w:id="45" w:name="_Toc138965104"/>
      <w:bookmarkStart w:id="46" w:name="_Toc143696592"/>
      <w:r w:rsidRPr="61FBF16C">
        <w:rPr>
          <w:u w:val="single"/>
        </w:rPr>
        <w:lastRenderedPageBreak/>
        <w:t xml:space="preserve">ANNEXURE </w:t>
      </w:r>
      <w:bookmarkEnd w:id="45"/>
      <w:r>
        <w:rPr>
          <w:u w:val="single"/>
        </w:rPr>
        <w:t>C</w:t>
      </w:r>
      <w:bookmarkEnd w:id="46"/>
    </w:p>
    <w:p w14:paraId="51B14E13" w14:textId="320784CE" w:rsidR="00BB07A2" w:rsidRDefault="00BB07A2" w:rsidP="00266868">
      <w:pPr>
        <w:spacing w:after="160" w:line="259" w:lineRule="auto"/>
        <w:jc w:val="center"/>
        <w:rPr>
          <w:b/>
          <w:bCs/>
          <w:color w:val="404246"/>
          <w:sz w:val="32"/>
          <w:szCs w:val="32"/>
        </w:rPr>
      </w:pPr>
      <w:r w:rsidRPr="00603981">
        <w:rPr>
          <w:b/>
          <w:bCs/>
          <w:color w:val="404246"/>
          <w:sz w:val="32"/>
          <w:szCs w:val="32"/>
        </w:rPr>
        <w:t>Detailed wage costings</w:t>
      </w:r>
    </w:p>
    <w:p w14:paraId="1A0CFDF4" w14:textId="77777777" w:rsidR="00BB07A2" w:rsidRDefault="00BB07A2" w:rsidP="00BB07A2">
      <w:pPr>
        <w:pStyle w:val="Heading2"/>
        <w:rPr>
          <w:b w:val="0"/>
          <w:bCs/>
        </w:rPr>
      </w:pPr>
      <w:bookmarkStart w:id="47" w:name="_Toc143696593"/>
      <w:r w:rsidRPr="00133276">
        <w:t>Summary</w:t>
      </w:r>
      <w:r>
        <w:t xml:space="preserve"> and methodology</w:t>
      </w:r>
      <w:bookmarkEnd w:id="47"/>
    </w:p>
    <w:p w14:paraId="7F774551" w14:textId="35205765" w:rsidR="00BB07A2" w:rsidRPr="00BF4FE5" w:rsidRDefault="00BB07A2" w:rsidP="717F6999">
      <w:pPr>
        <w:spacing w:after="160" w:line="259" w:lineRule="auto"/>
      </w:pPr>
      <w:r>
        <w:t xml:space="preserve">The Government’s ‘Closing </w:t>
      </w:r>
      <w:r w:rsidR="00D934FB">
        <w:t xml:space="preserve">the </w:t>
      </w:r>
      <w:r>
        <w:t xml:space="preserve">labour hire loophole’ proposal will lead to an increase in wages for labour hire </w:t>
      </w:r>
      <w:r w:rsidR="000318EE">
        <w:t xml:space="preserve">employees </w:t>
      </w:r>
      <w:r w:rsidR="008E673E">
        <w:t xml:space="preserve">who are currently seeing their wages undercut. This increase in wages </w:t>
      </w:r>
      <w:r w:rsidR="000318EE">
        <w:t>is estimated to</w:t>
      </w:r>
      <w:r w:rsidR="008E673E">
        <w:t xml:space="preserve"> be up </w:t>
      </w:r>
      <w:r w:rsidR="008E673E" w:rsidRPr="00BF4FE5">
        <w:t xml:space="preserve">to </w:t>
      </w:r>
      <w:r w:rsidRPr="00BF4FE5">
        <w:t>$51</w:t>
      </w:r>
      <w:r w:rsidR="6E0F9FB3" w:rsidRPr="00BF4FE5">
        <w:t>0</w:t>
      </w:r>
      <w:r w:rsidRPr="00BF4FE5">
        <w:t>,</w:t>
      </w:r>
      <w:r w:rsidR="0FAF5773" w:rsidRPr="00BF4FE5">
        <w:t>552</w:t>
      </w:r>
      <w:r w:rsidRPr="00BF4FE5">
        <w:t>,</w:t>
      </w:r>
      <w:r w:rsidR="0ECF684C" w:rsidRPr="00BF4FE5">
        <w:t>085</w:t>
      </w:r>
      <w:r w:rsidRPr="00BF4FE5">
        <w:t xml:space="preserve"> per year, with a 10 year cost of </w:t>
      </w:r>
      <w:r w:rsidR="0022131F" w:rsidRPr="00BF4FE5">
        <w:t xml:space="preserve">up to </w:t>
      </w:r>
      <w:r w:rsidRPr="00BF4FE5">
        <w:t>$5.</w:t>
      </w:r>
      <w:r w:rsidR="00BF4FE5" w:rsidRPr="00BF4FE5">
        <w:t>1</w:t>
      </w:r>
      <w:r w:rsidRPr="00BF4FE5">
        <w:t xml:space="preserve"> billion.</w:t>
      </w:r>
    </w:p>
    <w:p w14:paraId="77D58AD0" w14:textId="25267E77" w:rsidR="00B63D78" w:rsidRDefault="008E673E" w:rsidP="006322E1">
      <w:pPr>
        <w:spacing w:after="160" w:line="259" w:lineRule="auto"/>
      </w:pPr>
      <w:r w:rsidRPr="00BF4FE5">
        <w:t xml:space="preserve">This estimate of </w:t>
      </w:r>
      <w:r w:rsidR="00BF4FE5" w:rsidRPr="00BF4FE5">
        <w:t xml:space="preserve">around </w:t>
      </w:r>
      <w:r w:rsidRPr="00BF4FE5">
        <w:t>$510.6 million per year is</w:t>
      </w:r>
      <w:r>
        <w:t xml:space="preserve"> the upper limit of the </w:t>
      </w:r>
      <w:r w:rsidR="00D934FB">
        <w:t>estimated</w:t>
      </w:r>
      <w:r>
        <w:t xml:space="preserve"> wage bill. </w:t>
      </w:r>
      <w:r w:rsidR="006322E1">
        <w:t xml:space="preserve">This figure is informed by the assumption that 66,446 labour hire </w:t>
      </w:r>
      <w:r w:rsidR="00D934FB">
        <w:t>employees</w:t>
      </w:r>
      <w:r w:rsidR="006322E1">
        <w:t xml:space="preserve"> </w:t>
      </w:r>
      <w:r w:rsidR="00D934FB">
        <w:t>may be eligible to be covered by a Fair Work Commission order</w:t>
      </w:r>
      <w:r w:rsidR="006322E1">
        <w:t xml:space="preserve"> </w:t>
      </w:r>
      <w:r w:rsidR="00235A25">
        <w:t>(</w:t>
      </w:r>
      <w:r w:rsidR="00D934FB">
        <w:t>that is, those employees</w:t>
      </w:r>
      <w:r w:rsidR="00235A25">
        <w:t xml:space="preserve"> </w:t>
      </w:r>
      <w:r w:rsidR="00B826E3">
        <w:t xml:space="preserve">who </w:t>
      </w:r>
      <w:r w:rsidR="00235A25">
        <w:t xml:space="preserve">meet </w:t>
      </w:r>
      <w:r w:rsidR="00D934FB">
        <w:t>requisite</w:t>
      </w:r>
      <w:r w:rsidR="00235A25">
        <w:t xml:space="preserve"> </w:t>
      </w:r>
      <w:r w:rsidR="00B63D78">
        <w:t xml:space="preserve">criteria and experience </w:t>
      </w:r>
      <w:r w:rsidR="00917953">
        <w:t>a negative wage differential</w:t>
      </w:r>
      <w:r w:rsidR="00B63D78">
        <w:t xml:space="preserve"> compared to hos</w:t>
      </w:r>
      <w:r w:rsidR="00B826E3">
        <w:t>t</w:t>
      </w:r>
      <w:r w:rsidR="00B63D78">
        <w:t xml:space="preserve"> employee</w:t>
      </w:r>
      <w:r w:rsidR="00B826E3">
        <w:t xml:space="preserve"> – the department estimates </w:t>
      </w:r>
      <w:r w:rsidR="00BB07A2" w:rsidRPr="717F6999">
        <w:t xml:space="preserve">that those </w:t>
      </w:r>
      <w:r w:rsidR="00B826E3">
        <w:t xml:space="preserve">labour hire </w:t>
      </w:r>
      <w:r w:rsidR="00BB07A2" w:rsidRPr="717F6999">
        <w:t xml:space="preserve"> </w:t>
      </w:r>
      <w:r w:rsidR="00B63D78">
        <w:t>employees</w:t>
      </w:r>
      <w:r w:rsidR="00B63D78" w:rsidRPr="717F6999">
        <w:t xml:space="preserve"> </w:t>
      </w:r>
      <w:r w:rsidR="00BB07A2" w:rsidRPr="717F6999">
        <w:t xml:space="preserve">currently earn on average $4.79 per hour </w:t>
      </w:r>
      <w:r w:rsidR="00BB07A2" w:rsidRPr="717F6999">
        <w:rPr>
          <w:i/>
          <w:iCs/>
        </w:rPr>
        <w:t>less than</w:t>
      </w:r>
      <w:r w:rsidR="00BB07A2" w:rsidRPr="717F6999">
        <w:t xml:space="preserve"> non-labour hire </w:t>
      </w:r>
      <w:r w:rsidR="00B63D78">
        <w:t>employees</w:t>
      </w:r>
      <w:r w:rsidR="00B826E3">
        <w:t>)</w:t>
      </w:r>
      <w:r w:rsidR="00BB07A2" w:rsidRPr="717F6999">
        <w:t xml:space="preserve">. </w:t>
      </w:r>
    </w:p>
    <w:p w14:paraId="1AED80A7" w14:textId="49FE9AC3" w:rsidR="004D6DA7" w:rsidRDefault="004D6DA7" w:rsidP="002A0094">
      <w:pPr>
        <w:spacing w:after="160" w:line="259" w:lineRule="auto"/>
      </w:pPr>
      <w:r>
        <w:t>However</w:t>
      </w:r>
      <w:r w:rsidR="0036211C">
        <w:t xml:space="preserve">, the department expects that a </w:t>
      </w:r>
      <w:r w:rsidR="00F077EC">
        <w:t>notable</w:t>
      </w:r>
      <w:r w:rsidR="0036211C">
        <w:t xml:space="preserve"> proportion of </w:t>
      </w:r>
      <w:r w:rsidR="00C142B1">
        <w:t>these</w:t>
      </w:r>
      <w:r w:rsidR="0036211C">
        <w:t xml:space="preserve"> 66,446 workers will </w:t>
      </w:r>
      <w:r w:rsidR="0036211C" w:rsidRPr="00EF349B">
        <w:rPr>
          <w:i/>
          <w:iCs/>
        </w:rPr>
        <w:t>not</w:t>
      </w:r>
      <w:r w:rsidR="0036211C">
        <w:t xml:space="preserve"> </w:t>
      </w:r>
      <w:r w:rsidR="003A7017">
        <w:t>be covered by</w:t>
      </w:r>
      <w:r w:rsidR="0036211C">
        <w:t xml:space="preserve"> </w:t>
      </w:r>
      <w:r w:rsidR="003A7017">
        <w:t xml:space="preserve">a </w:t>
      </w:r>
      <w:r w:rsidR="0036211C">
        <w:t>Fair Work Commission</w:t>
      </w:r>
      <w:r w:rsidR="003A7017">
        <w:t xml:space="preserve"> </w:t>
      </w:r>
      <w:r w:rsidR="00D42988">
        <w:t>order</w:t>
      </w:r>
      <w:r w:rsidR="00A176CD">
        <w:t>,</w:t>
      </w:r>
      <w:r w:rsidR="0036211C">
        <w:t xml:space="preserve"> and </w:t>
      </w:r>
      <w:r w:rsidR="00A176CD">
        <w:t>that as a result,</w:t>
      </w:r>
      <w:r w:rsidR="0036211C">
        <w:t xml:space="preserve"> the total wage bill will be less than </w:t>
      </w:r>
      <w:r w:rsidR="00A176CD" w:rsidRPr="00BF4FE5">
        <w:t xml:space="preserve">the </w:t>
      </w:r>
      <w:r w:rsidR="0036211C" w:rsidRPr="00BF4FE5">
        <w:t>$510.6 million</w:t>
      </w:r>
      <w:r w:rsidR="00A176CD" w:rsidRPr="00BF4FE5">
        <w:t xml:space="preserve"> per year th</w:t>
      </w:r>
      <w:r w:rsidR="00A176CD">
        <w:t>at has been estimated</w:t>
      </w:r>
      <w:r w:rsidR="0036211C">
        <w:t xml:space="preserve">. </w:t>
      </w:r>
      <w:r w:rsidR="00F077EC">
        <w:t>Reasons for this may include</w:t>
      </w:r>
      <w:r>
        <w:t>:</w:t>
      </w:r>
      <w:r w:rsidR="00F077EC">
        <w:t xml:space="preserve"> </w:t>
      </w:r>
    </w:p>
    <w:p w14:paraId="0246B8CA" w14:textId="36320FD2" w:rsidR="004D6DA7" w:rsidRDefault="004D6DA7" w:rsidP="007E231F">
      <w:pPr>
        <w:pStyle w:val="ListParagraph"/>
        <w:numPr>
          <w:ilvl w:val="0"/>
          <w:numId w:val="40"/>
        </w:numPr>
        <w:spacing w:after="160" w:line="259" w:lineRule="auto"/>
        <w:contextualSpacing w:val="0"/>
      </w:pPr>
      <w:r>
        <w:t xml:space="preserve">that an individual labour hire employee, or group of labour hire employees, may not apply to the Fair Work Commission for an order without assistance from </w:t>
      </w:r>
      <w:r w:rsidR="00CD09D1">
        <w:t>a representative</w:t>
      </w:r>
      <w:r>
        <w:t xml:space="preserve">, meaning </w:t>
      </w:r>
      <w:r w:rsidR="00BB0A5B">
        <w:t>they</w:t>
      </w:r>
      <w:r w:rsidR="00307558">
        <w:t xml:space="preserve"> may not benefit from an order;</w:t>
      </w:r>
      <w:r w:rsidR="002A0094">
        <w:t xml:space="preserve"> and</w:t>
      </w:r>
    </w:p>
    <w:p w14:paraId="0FDB4857" w14:textId="3995C0EF" w:rsidR="004D6DA7" w:rsidRDefault="002A0094" w:rsidP="007E231F">
      <w:pPr>
        <w:pStyle w:val="ListParagraph"/>
        <w:numPr>
          <w:ilvl w:val="0"/>
          <w:numId w:val="40"/>
        </w:numPr>
        <w:spacing w:after="160" w:line="259" w:lineRule="auto"/>
        <w:contextualSpacing w:val="0"/>
      </w:pPr>
      <w:r>
        <w:t>where the difference between labour hire employees</w:t>
      </w:r>
      <w:r w:rsidR="00867612">
        <w:t>’</w:t>
      </w:r>
      <w:r>
        <w:t xml:space="preserve"> wages and host employee</w:t>
      </w:r>
      <w:r w:rsidR="00867612">
        <w:t>s’</w:t>
      </w:r>
      <w:r>
        <w:t xml:space="preserve"> wages is minimal, some labour hire employees and/or </w:t>
      </w:r>
      <w:r w:rsidR="00CD09D1">
        <w:t>their representatives</w:t>
      </w:r>
      <w:r>
        <w:t xml:space="preserve"> may consider the administrative cost of engaging with the Fair Work Commission outweighs any monetary benefit to be gain</w:t>
      </w:r>
      <w:r w:rsidR="0065469D">
        <w:t>ed</w:t>
      </w:r>
      <w:r>
        <w:t xml:space="preserve"> (in which case, labour hire employers and hosts will not incur costs engaging with applications).</w:t>
      </w:r>
      <w:r w:rsidR="004D6DA7">
        <w:t xml:space="preserve">  </w:t>
      </w:r>
    </w:p>
    <w:p w14:paraId="54990DA4" w14:textId="6C0ED4EA" w:rsidR="00C162D1" w:rsidRDefault="002A0094" w:rsidP="002A0094">
      <w:pPr>
        <w:spacing w:after="160" w:line="259" w:lineRule="auto"/>
      </w:pPr>
      <w:r>
        <w:t xml:space="preserve">It may also be the case </w:t>
      </w:r>
      <w:r w:rsidR="00F077EC">
        <w:t xml:space="preserve">that labour hire employees are, at first, unaware that they are eligible to make an application, or that some labour hire employees may be disincentivised from applying </w:t>
      </w:r>
      <w:r w:rsidR="00784603">
        <w:t xml:space="preserve">due to a risk </w:t>
      </w:r>
      <w:r>
        <w:t>of</w:t>
      </w:r>
      <w:r w:rsidR="00784603">
        <w:t xml:space="preserve"> adverse treatment from their employer for seeking higher wages in the Fair Work Commission and causing a business expense</w:t>
      </w:r>
      <w:r w:rsidR="00C162D1">
        <w:t xml:space="preserve"> (noting the General Protections in the Fair Work Act will mitigat</w:t>
      </w:r>
      <w:r w:rsidR="00817843">
        <w:t>e</w:t>
      </w:r>
      <w:r w:rsidR="00C162D1">
        <w:t xml:space="preserve"> this risk)</w:t>
      </w:r>
      <w:r w:rsidR="00784603">
        <w:t xml:space="preserve">. </w:t>
      </w:r>
    </w:p>
    <w:p w14:paraId="4523BA3C" w14:textId="5E58FE6F" w:rsidR="006B1D25" w:rsidRDefault="0036211C" w:rsidP="002A0094">
      <w:pPr>
        <w:spacing w:after="160" w:line="259" w:lineRule="auto"/>
      </w:pPr>
      <w:r>
        <w:t xml:space="preserve">However, </w:t>
      </w:r>
      <w:r w:rsidR="00A176CD">
        <w:t xml:space="preserve">in the absence of reliable data </w:t>
      </w:r>
      <w:r w:rsidR="0082685D">
        <w:t xml:space="preserve">to </w:t>
      </w:r>
      <w:r w:rsidR="00A176CD">
        <w:t xml:space="preserve">reduce </w:t>
      </w:r>
      <w:r>
        <w:t xml:space="preserve">the proportion of labour hire </w:t>
      </w:r>
      <w:r w:rsidR="00A176CD">
        <w:t>employees</w:t>
      </w:r>
      <w:r>
        <w:t xml:space="preserve"> who may bring an application</w:t>
      </w:r>
      <w:r w:rsidR="00A176CD">
        <w:t>,</w:t>
      </w:r>
      <w:r>
        <w:t xml:space="preserve"> or have an application brought on their behalf</w:t>
      </w:r>
      <w:r w:rsidR="00A176CD">
        <w:t>,</w:t>
      </w:r>
      <w:r w:rsidR="00D975E7">
        <w:t xml:space="preserve"> </w:t>
      </w:r>
      <w:r w:rsidR="00BC0353">
        <w:t xml:space="preserve">it not </w:t>
      </w:r>
      <w:r w:rsidR="00A176CD">
        <w:t xml:space="preserve">possible to defensibly </w:t>
      </w:r>
      <w:r w:rsidR="00735EED">
        <w:t>reduce</w:t>
      </w:r>
      <w:r w:rsidR="00A176CD">
        <w:t xml:space="preserve"> this wage cost estimate</w:t>
      </w:r>
      <w:r w:rsidR="00F90BBE">
        <w:t xml:space="preserve">. </w:t>
      </w:r>
    </w:p>
    <w:p w14:paraId="1DAB1FCD" w14:textId="37694F84" w:rsidR="00BB07A2" w:rsidRDefault="00784603" w:rsidP="00BB07A2">
      <w:pPr>
        <w:spacing w:after="160" w:line="259" w:lineRule="auto"/>
      </w:pPr>
      <w:r>
        <w:t>That noted, e</w:t>
      </w:r>
      <w:r w:rsidR="00BB07A2">
        <w:t xml:space="preserve">stimating the </w:t>
      </w:r>
      <w:r w:rsidR="002F4EFF">
        <w:t>upper bound of</w:t>
      </w:r>
      <w:r w:rsidR="00BB07A2">
        <w:t xml:space="preserve"> </w:t>
      </w:r>
      <w:r>
        <w:t>an</w:t>
      </w:r>
      <w:r w:rsidR="00BB07A2">
        <w:t xml:space="preserve"> increase in labour hire </w:t>
      </w:r>
      <w:r>
        <w:t xml:space="preserve">employee </w:t>
      </w:r>
      <w:r w:rsidR="00BB07A2">
        <w:t>wages means considering:</w:t>
      </w:r>
    </w:p>
    <w:p w14:paraId="48EFBA30" w14:textId="7614368A" w:rsidR="00BB07A2" w:rsidRDefault="00BB07A2" w:rsidP="00BB07A2">
      <w:pPr>
        <w:pStyle w:val="ListParagraph"/>
        <w:numPr>
          <w:ilvl w:val="0"/>
          <w:numId w:val="30"/>
        </w:numPr>
        <w:spacing w:after="160" w:line="259" w:lineRule="auto"/>
        <w:contextualSpacing w:val="0"/>
      </w:pPr>
      <w:r>
        <w:t xml:space="preserve">the number of labour hire </w:t>
      </w:r>
      <w:r w:rsidR="00784603">
        <w:t xml:space="preserve">employees </w:t>
      </w:r>
      <w:r>
        <w:t xml:space="preserve">estimated to be </w:t>
      </w:r>
      <w:r w:rsidR="00EC03CC">
        <w:t>in-scope of the proposal</w:t>
      </w:r>
      <w:r w:rsidR="002F4EFF">
        <w:t xml:space="preserve"> (</w:t>
      </w:r>
      <w:r w:rsidR="00D42988">
        <w:t>that is,</w:t>
      </w:r>
      <w:r w:rsidR="002F4EFF">
        <w:t xml:space="preserve"> the number of </w:t>
      </w:r>
      <w:r w:rsidR="00784603">
        <w:t>employees that may be covered by a Fair Work Commission order following a successful application</w:t>
      </w:r>
      <w:r w:rsidR="002F4EFF">
        <w:t>)</w:t>
      </w:r>
      <w:r>
        <w:t>;</w:t>
      </w:r>
    </w:p>
    <w:p w14:paraId="2FC69E8D" w14:textId="61877554" w:rsidR="00BB07A2" w:rsidRPr="007C67A6" w:rsidRDefault="00BB07A2" w:rsidP="00BB07A2">
      <w:pPr>
        <w:pStyle w:val="ListParagraph"/>
        <w:numPr>
          <w:ilvl w:val="0"/>
          <w:numId w:val="30"/>
        </w:numPr>
        <w:spacing w:after="160" w:line="259" w:lineRule="auto"/>
        <w:contextualSpacing w:val="0"/>
        <w:rPr>
          <w:rFonts w:cstheme="minorHAnsi"/>
        </w:rPr>
      </w:pPr>
      <w:r>
        <w:t xml:space="preserve">the negative wage difference between labour hire </w:t>
      </w:r>
      <w:r w:rsidR="00784603">
        <w:t xml:space="preserve">employees </w:t>
      </w:r>
      <w:r>
        <w:t xml:space="preserve">and non-labour hire </w:t>
      </w:r>
      <w:r w:rsidR="00784603">
        <w:t>employees</w:t>
      </w:r>
      <w:r>
        <w:t>; and</w:t>
      </w:r>
    </w:p>
    <w:p w14:paraId="71BD5C43" w14:textId="24AD13C0" w:rsidR="00BB07A2" w:rsidRPr="002825F9" w:rsidRDefault="00BB07A2" w:rsidP="00BB07A2">
      <w:pPr>
        <w:pStyle w:val="ListParagraph"/>
        <w:numPr>
          <w:ilvl w:val="0"/>
          <w:numId w:val="30"/>
        </w:numPr>
        <w:spacing w:after="160" w:line="259" w:lineRule="auto"/>
      </w:pPr>
      <w:r>
        <w:t xml:space="preserve">the average number of hours worked by labour hire </w:t>
      </w:r>
      <w:r w:rsidR="00784603">
        <w:t xml:space="preserve">employees </w:t>
      </w:r>
      <w:r>
        <w:t>in a year.</w:t>
      </w:r>
    </w:p>
    <w:p w14:paraId="08897CC4" w14:textId="1EDB71D6" w:rsidR="00BB07A2" w:rsidRDefault="00BB07A2" w:rsidP="00D0307B">
      <w:pPr>
        <w:keepNext/>
        <w:spacing w:after="160" w:line="259" w:lineRule="auto"/>
        <w:rPr>
          <w:rFonts w:cstheme="minorHAnsi"/>
        </w:rPr>
      </w:pPr>
      <w:r>
        <w:rPr>
          <w:rFonts w:cstheme="minorHAnsi"/>
        </w:rPr>
        <w:lastRenderedPageBreak/>
        <w:t xml:space="preserve">This means the increase in labour hire </w:t>
      </w:r>
      <w:r w:rsidR="00784603">
        <w:rPr>
          <w:rFonts w:cstheme="minorHAnsi"/>
        </w:rPr>
        <w:t xml:space="preserve">employee </w:t>
      </w:r>
      <w:r>
        <w:rPr>
          <w:rFonts w:cstheme="minorHAnsi"/>
        </w:rPr>
        <w:t>wages can be calculated with the following formula:</w:t>
      </w:r>
    </w:p>
    <w:p w14:paraId="1D841996" w14:textId="2E0720B8" w:rsidR="00BB07A2" w:rsidRPr="00C02DA3" w:rsidRDefault="00BB07A2" w:rsidP="00D0307B">
      <w:pPr>
        <w:keepNext/>
        <w:spacing w:after="160" w:line="259" w:lineRule="auto"/>
        <w:jc w:val="center"/>
        <w:rPr>
          <w:rFonts w:cstheme="minorHAnsi"/>
          <w:i/>
          <w:iCs/>
        </w:rPr>
      </w:pPr>
      <w:r w:rsidRPr="00C02DA3">
        <w:rPr>
          <w:rFonts w:cstheme="minorHAnsi"/>
          <w:i/>
          <w:iCs/>
        </w:rPr>
        <w:t xml:space="preserve">Number of labour hire </w:t>
      </w:r>
      <w:r w:rsidR="00784603">
        <w:rPr>
          <w:rFonts w:cstheme="minorHAnsi"/>
          <w:i/>
          <w:iCs/>
        </w:rPr>
        <w:t>employees</w:t>
      </w:r>
      <w:r w:rsidR="00784603" w:rsidRPr="00C02DA3">
        <w:rPr>
          <w:rFonts w:cstheme="minorHAnsi"/>
          <w:i/>
          <w:iCs/>
        </w:rPr>
        <w:t xml:space="preserve"> </w:t>
      </w:r>
      <w:r w:rsidR="00784603">
        <w:rPr>
          <w:rFonts w:cstheme="minorHAnsi"/>
          <w:i/>
          <w:iCs/>
        </w:rPr>
        <w:t>eligible to be covered by a Fair Work Commission order</w:t>
      </w:r>
      <w:r w:rsidRPr="00C02DA3">
        <w:rPr>
          <w:rFonts w:cstheme="minorHAnsi"/>
          <w:i/>
          <w:iCs/>
        </w:rPr>
        <w:t xml:space="preserve"> x negative wage differen</w:t>
      </w:r>
      <w:r>
        <w:rPr>
          <w:rFonts w:cstheme="minorHAnsi"/>
          <w:i/>
          <w:iCs/>
        </w:rPr>
        <w:t>ce</w:t>
      </w:r>
      <w:r w:rsidRPr="00C02DA3">
        <w:rPr>
          <w:rFonts w:cstheme="minorHAnsi"/>
          <w:i/>
          <w:iCs/>
        </w:rPr>
        <w:t xml:space="preserve"> x </w:t>
      </w:r>
      <w:r>
        <w:rPr>
          <w:rFonts w:cstheme="minorHAnsi"/>
          <w:i/>
          <w:iCs/>
        </w:rPr>
        <w:t xml:space="preserve">average </w:t>
      </w:r>
      <w:r w:rsidRPr="00C02DA3">
        <w:rPr>
          <w:rFonts w:cstheme="minorHAnsi"/>
          <w:i/>
          <w:iCs/>
        </w:rPr>
        <w:t xml:space="preserve">weekly hours worked x </w:t>
      </w:r>
      <w:r>
        <w:rPr>
          <w:rFonts w:cstheme="minorHAnsi"/>
          <w:i/>
          <w:iCs/>
        </w:rPr>
        <w:t xml:space="preserve">average </w:t>
      </w:r>
      <w:r w:rsidRPr="00C02DA3">
        <w:rPr>
          <w:rFonts w:cstheme="minorHAnsi"/>
          <w:i/>
          <w:iCs/>
        </w:rPr>
        <w:t xml:space="preserve">weeks worked in a year = </w:t>
      </w:r>
      <w:r>
        <w:rPr>
          <w:rFonts w:cstheme="minorHAnsi"/>
          <w:i/>
          <w:iCs/>
        </w:rPr>
        <w:t>Annual w</w:t>
      </w:r>
      <w:r w:rsidRPr="00C02DA3">
        <w:rPr>
          <w:rFonts w:cstheme="minorHAnsi"/>
          <w:i/>
          <w:iCs/>
        </w:rPr>
        <w:t>age increase</w:t>
      </w:r>
    </w:p>
    <w:p w14:paraId="6FD653AD" w14:textId="77777777" w:rsidR="00BB07A2" w:rsidRDefault="00BB07A2" w:rsidP="00BB07A2">
      <w:pPr>
        <w:spacing w:after="160" w:line="259" w:lineRule="auto"/>
        <w:rPr>
          <w:rFonts w:cstheme="minorHAnsi"/>
        </w:rPr>
      </w:pPr>
      <w:r>
        <w:rPr>
          <w:rFonts w:cstheme="minorHAnsi"/>
        </w:rPr>
        <w:t>Therefore:</w:t>
      </w:r>
    </w:p>
    <w:p w14:paraId="0C54F8EE" w14:textId="6304B517" w:rsidR="00BB07A2" w:rsidRPr="00B2682D" w:rsidRDefault="00BB07A2" w:rsidP="717F6999">
      <w:pPr>
        <w:spacing w:after="160" w:line="259" w:lineRule="auto"/>
        <w:jc w:val="center"/>
      </w:pPr>
      <w:r w:rsidRPr="003766E6">
        <w:rPr>
          <w:i/>
          <w:iCs/>
        </w:rPr>
        <w:t>6</w:t>
      </w:r>
      <w:r w:rsidR="6A94E112" w:rsidRPr="003766E6">
        <w:rPr>
          <w:i/>
          <w:iCs/>
        </w:rPr>
        <w:t>6</w:t>
      </w:r>
      <w:r w:rsidRPr="003766E6">
        <w:rPr>
          <w:i/>
          <w:iCs/>
        </w:rPr>
        <w:t>,</w:t>
      </w:r>
      <w:r w:rsidR="2A37CBE3" w:rsidRPr="003766E6">
        <w:rPr>
          <w:i/>
          <w:iCs/>
        </w:rPr>
        <w:t>4</w:t>
      </w:r>
      <w:r w:rsidR="00FF067E" w:rsidRPr="003766E6">
        <w:rPr>
          <w:i/>
          <w:iCs/>
        </w:rPr>
        <w:t>4</w:t>
      </w:r>
      <w:r w:rsidR="2A37CBE3" w:rsidRPr="003766E6">
        <w:rPr>
          <w:i/>
          <w:iCs/>
        </w:rPr>
        <w:t>6</w:t>
      </w:r>
      <w:r w:rsidRPr="717F6999">
        <w:rPr>
          <w:i/>
          <w:iCs/>
        </w:rPr>
        <w:t xml:space="preserve"> x $4.79 (approx.) x 38.1 hours per week (approx.) x 42.1 weeks per year (approx.) = </w:t>
      </w:r>
      <w:r w:rsidR="00D42988">
        <w:rPr>
          <w:i/>
          <w:iCs/>
        </w:rPr>
        <w:t>around </w:t>
      </w:r>
      <w:r w:rsidRPr="717F6999">
        <w:rPr>
          <w:i/>
          <w:iCs/>
        </w:rPr>
        <w:t>$51</w:t>
      </w:r>
      <w:r w:rsidR="09F2901E" w:rsidRPr="717F6999">
        <w:rPr>
          <w:i/>
          <w:iCs/>
        </w:rPr>
        <w:t>0</w:t>
      </w:r>
      <w:r w:rsidR="00B65C90">
        <w:rPr>
          <w:i/>
          <w:iCs/>
        </w:rPr>
        <w:t>.6 million</w:t>
      </w:r>
      <w:r w:rsidRPr="717F6999">
        <w:rPr>
          <w:rStyle w:val="FootnoteReference"/>
        </w:rPr>
        <w:footnoteReference w:id="81"/>
      </w:r>
    </w:p>
    <w:p w14:paraId="32DE7749" w14:textId="2C053C3A" w:rsidR="00BB07A2" w:rsidRDefault="00BB07A2" w:rsidP="00BB07A2">
      <w:pPr>
        <w:pStyle w:val="Heading2"/>
      </w:pPr>
      <w:bookmarkStart w:id="48" w:name="_Toc143696594"/>
      <w:r>
        <w:t>Estimating</w:t>
      </w:r>
      <w:r w:rsidRPr="00F96F63">
        <w:t xml:space="preserve"> the </w:t>
      </w:r>
      <w:r>
        <w:t xml:space="preserve">number of labour hire </w:t>
      </w:r>
      <w:r w:rsidR="005252B8">
        <w:t>employees eligible to be covered by a Fair Work Commission order</w:t>
      </w:r>
      <w:bookmarkEnd w:id="48"/>
    </w:p>
    <w:p w14:paraId="1B930789" w14:textId="6A284D49" w:rsidR="00BB07A2" w:rsidRPr="00BB25B2" w:rsidRDefault="00BB07A2" w:rsidP="00BB07A2">
      <w:pPr>
        <w:spacing w:after="160" w:line="259" w:lineRule="auto"/>
      </w:pPr>
      <w:r>
        <w:t xml:space="preserve">The department estimates </w:t>
      </w:r>
      <w:r w:rsidRPr="003766E6">
        <w:rPr>
          <w:b/>
          <w:bCs/>
        </w:rPr>
        <w:t>6</w:t>
      </w:r>
      <w:r w:rsidR="2D959A97" w:rsidRPr="003766E6">
        <w:rPr>
          <w:b/>
          <w:bCs/>
        </w:rPr>
        <w:t>6</w:t>
      </w:r>
      <w:r w:rsidRPr="003766E6">
        <w:rPr>
          <w:b/>
          <w:bCs/>
        </w:rPr>
        <w:t>,</w:t>
      </w:r>
      <w:r w:rsidR="5590AAB2" w:rsidRPr="003766E6">
        <w:rPr>
          <w:b/>
          <w:bCs/>
        </w:rPr>
        <w:t>4</w:t>
      </w:r>
      <w:r w:rsidR="005170A9" w:rsidRPr="003766E6">
        <w:rPr>
          <w:b/>
          <w:bCs/>
        </w:rPr>
        <w:t>4</w:t>
      </w:r>
      <w:r w:rsidR="5590AAB2" w:rsidRPr="003766E6">
        <w:rPr>
          <w:b/>
          <w:bCs/>
        </w:rPr>
        <w:t>6</w:t>
      </w:r>
      <w:r>
        <w:t xml:space="preserve"> labour hire </w:t>
      </w:r>
      <w:r w:rsidR="005252B8">
        <w:t>employees may be eligible to be covered by a Fair</w:t>
      </w:r>
      <w:r w:rsidR="003A431F">
        <w:t> </w:t>
      </w:r>
      <w:r w:rsidR="005252B8">
        <w:t>Work Commission order</w:t>
      </w:r>
      <w:r>
        <w:t xml:space="preserve">. This figure excludes certain workers from headline ABS data about the total number of labour hire </w:t>
      </w:r>
      <w:r w:rsidR="005252B8">
        <w:t xml:space="preserve">employees </w:t>
      </w:r>
      <w:r>
        <w:t>in Australia and includes an estimate for internal labour hire (where an employer provides labour to another employer in the same corporate group).</w:t>
      </w:r>
    </w:p>
    <w:p w14:paraId="7294C857" w14:textId="77777777" w:rsidR="00BB07A2" w:rsidRDefault="00BB07A2" w:rsidP="00BB07A2">
      <w:pPr>
        <w:pStyle w:val="Heading3"/>
      </w:pPr>
      <w:bookmarkStart w:id="49" w:name="_Toc143696595"/>
      <w:r>
        <w:t>Exclusions</w:t>
      </w:r>
      <w:bookmarkEnd w:id="49"/>
    </w:p>
    <w:p w14:paraId="50D6ACF0" w14:textId="7B71D87C" w:rsidR="00BB07A2" w:rsidRDefault="00BB07A2" w:rsidP="00BB07A2">
      <w:pPr>
        <w:spacing w:after="160" w:line="259" w:lineRule="auto"/>
      </w:pPr>
      <w:r>
        <w:t>ABS data shows there are</w:t>
      </w:r>
      <w:r w:rsidR="005252B8">
        <w:t xml:space="preserve"> </w:t>
      </w:r>
      <w:r>
        <w:t xml:space="preserve">319,863 labour hire </w:t>
      </w:r>
      <w:r w:rsidR="005252B8">
        <w:t xml:space="preserve">employees </w:t>
      </w:r>
      <w:r>
        <w:t>in Australia (rounded elsewhere to 319,900).</w:t>
      </w:r>
      <w:r>
        <w:rPr>
          <w:rStyle w:val="FootnoteReference"/>
        </w:rPr>
        <w:footnoteReference w:id="82"/>
      </w:r>
      <w:r>
        <w:t xml:space="preserve"> However, the following </w:t>
      </w:r>
      <w:r w:rsidR="005252B8">
        <w:t xml:space="preserve">employees </w:t>
      </w:r>
      <w:r>
        <w:t>within that headline figure can be excluded from these calculations:</w:t>
      </w:r>
    </w:p>
    <w:tbl>
      <w:tblPr>
        <w:tblStyle w:val="TableGrid"/>
        <w:tblW w:w="0" w:type="auto"/>
        <w:tblLook w:val="04A0" w:firstRow="1" w:lastRow="0" w:firstColumn="1" w:lastColumn="0" w:noHBand="0" w:noVBand="1"/>
      </w:tblPr>
      <w:tblGrid>
        <w:gridCol w:w="1696"/>
        <w:gridCol w:w="7320"/>
      </w:tblGrid>
      <w:tr w:rsidR="00BB07A2" w14:paraId="6D11E33E" w14:textId="77777777" w:rsidTr="717F6999">
        <w:tc>
          <w:tcPr>
            <w:tcW w:w="1696" w:type="dxa"/>
            <w:shd w:val="clear" w:color="auto" w:fill="404246"/>
          </w:tcPr>
          <w:p w14:paraId="56B54C6D" w14:textId="77777777" w:rsidR="00BB07A2" w:rsidRPr="00810C1C" w:rsidRDefault="00BB07A2" w:rsidP="002C04F0">
            <w:pPr>
              <w:spacing w:before="120" w:after="120" w:line="259" w:lineRule="auto"/>
              <w:rPr>
                <w:b/>
                <w:bCs/>
                <w:color w:val="FFFFFF" w:themeColor="background1"/>
              </w:rPr>
            </w:pPr>
            <w:r w:rsidRPr="00810C1C">
              <w:rPr>
                <w:b/>
                <w:bCs/>
                <w:color w:val="FFFFFF" w:themeColor="background1"/>
              </w:rPr>
              <w:t>Exclusion</w:t>
            </w:r>
          </w:p>
        </w:tc>
        <w:tc>
          <w:tcPr>
            <w:tcW w:w="7320" w:type="dxa"/>
            <w:shd w:val="clear" w:color="auto" w:fill="404246"/>
          </w:tcPr>
          <w:p w14:paraId="0441D841" w14:textId="77777777" w:rsidR="00BB07A2" w:rsidRPr="00810C1C" w:rsidRDefault="00BB07A2" w:rsidP="002C04F0">
            <w:pPr>
              <w:spacing w:before="120" w:after="120" w:line="259" w:lineRule="auto"/>
              <w:rPr>
                <w:b/>
                <w:bCs/>
                <w:color w:val="FFFFFF" w:themeColor="background1"/>
              </w:rPr>
            </w:pPr>
            <w:r w:rsidRPr="00810C1C">
              <w:rPr>
                <w:b/>
                <w:bCs/>
                <w:color w:val="FFFFFF" w:themeColor="background1"/>
              </w:rPr>
              <w:t>Rationale</w:t>
            </w:r>
          </w:p>
        </w:tc>
      </w:tr>
      <w:tr w:rsidR="00BB07A2" w14:paraId="321A3CD8" w14:textId="77777777" w:rsidTr="717F6999">
        <w:tc>
          <w:tcPr>
            <w:tcW w:w="1696" w:type="dxa"/>
          </w:tcPr>
          <w:p w14:paraId="6247B31D" w14:textId="77777777" w:rsidR="00BB07A2" w:rsidRDefault="00BB07A2" w:rsidP="002C04F0">
            <w:pPr>
              <w:spacing w:before="120" w:after="120" w:line="259" w:lineRule="auto"/>
            </w:pPr>
            <w:r>
              <w:t>Part-time labour hire workers</w:t>
            </w:r>
          </w:p>
        </w:tc>
        <w:tc>
          <w:tcPr>
            <w:tcW w:w="7320" w:type="dxa"/>
          </w:tcPr>
          <w:p w14:paraId="73AF4775" w14:textId="090107FC" w:rsidR="00BB07A2" w:rsidRDefault="00BB07A2" w:rsidP="002C04F0">
            <w:pPr>
              <w:spacing w:before="120" w:after="120" w:line="259" w:lineRule="auto"/>
            </w:pPr>
            <w:r>
              <w:t xml:space="preserve">Part-time labour hire </w:t>
            </w:r>
            <w:r w:rsidR="005252B8">
              <w:t xml:space="preserve">employees </w:t>
            </w:r>
            <w:r>
              <w:t>who have been employed for between 3</w:t>
            </w:r>
            <w:r w:rsidR="005252B8">
              <w:t> </w:t>
            </w:r>
            <w:r>
              <w:t>months and 2 years earn on average $9.67 per hour more than part-time non-labour hire workers.</w:t>
            </w:r>
            <w:r>
              <w:rPr>
                <w:rStyle w:val="FootnoteReference"/>
              </w:rPr>
              <w:footnoteReference w:id="83"/>
            </w:r>
            <w:r>
              <w:t xml:space="preserve"> This means the Government’s proposal is unlikely to apply to part-time labour hire </w:t>
            </w:r>
            <w:r w:rsidR="005252B8">
              <w:t>employees</w:t>
            </w:r>
            <w:r w:rsidR="00137551">
              <w:t xml:space="preserve"> (because there is no negative wage differential </w:t>
            </w:r>
            <w:r w:rsidR="00801CF8">
              <w:t>to</w:t>
            </w:r>
            <w:r w:rsidR="00137551">
              <w:t xml:space="preserve"> justify the making of a Fair Work Commission order, because it would have no work to do)</w:t>
            </w:r>
            <w:r>
              <w:t xml:space="preserve">, and they can be excluded from calculations. </w:t>
            </w:r>
          </w:p>
          <w:p w14:paraId="2655513C" w14:textId="2194CE24" w:rsidR="00BB07A2" w:rsidRDefault="00BB07A2" w:rsidP="002C04F0">
            <w:pPr>
              <w:spacing w:before="120" w:after="120" w:line="259" w:lineRule="auto"/>
            </w:pPr>
            <w:r>
              <w:t xml:space="preserve">ABS data show that 81.2 per cent of labour hire </w:t>
            </w:r>
            <w:r w:rsidR="005252B8">
              <w:t xml:space="preserve">employees </w:t>
            </w:r>
            <w:r>
              <w:t>work full-time.</w:t>
            </w:r>
            <w:r>
              <w:rPr>
                <w:rStyle w:val="FootnoteReference"/>
              </w:rPr>
              <w:footnoteReference w:id="84"/>
            </w:r>
            <w:r>
              <w:t xml:space="preserve"> Therefore: 319,863*(81.2%) = around 259,676 (that is, the total number of labour hire </w:t>
            </w:r>
            <w:r w:rsidR="00576FA4">
              <w:t xml:space="preserve">employees, </w:t>
            </w:r>
            <w:r>
              <w:t xml:space="preserve">excluding part-time </w:t>
            </w:r>
            <w:r w:rsidR="003C13BE">
              <w:t xml:space="preserve">labour hire </w:t>
            </w:r>
            <w:r w:rsidR="00576FA4">
              <w:t>employees</w:t>
            </w:r>
            <w:r>
              <w:t>).</w:t>
            </w:r>
          </w:p>
        </w:tc>
      </w:tr>
      <w:tr w:rsidR="00BB07A2" w14:paraId="35A855B2" w14:textId="77777777" w:rsidTr="717F6999">
        <w:tc>
          <w:tcPr>
            <w:tcW w:w="1696" w:type="dxa"/>
          </w:tcPr>
          <w:p w14:paraId="339D0056" w14:textId="64B50F98" w:rsidR="00BB07A2" w:rsidRDefault="00BB07A2" w:rsidP="002C04F0">
            <w:pPr>
              <w:spacing w:before="120" w:after="120" w:line="259" w:lineRule="auto"/>
            </w:pPr>
            <w:r>
              <w:t>Labour hire engagements of 3 months or less</w:t>
            </w:r>
          </w:p>
        </w:tc>
        <w:tc>
          <w:tcPr>
            <w:tcW w:w="7320" w:type="dxa"/>
          </w:tcPr>
          <w:p w14:paraId="2922C33A" w14:textId="77D9345A" w:rsidR="00BB07A2" w:rsidRDefault="00BB07A2" w:rsidP="00801CF8">
            <w:pPr>
              <w:spacing w:before="120" w:after="120" w:line="259" w:lineRule="auto"/>
            </w:pPr>
            <w:r>
              <w:t xml:space="preserve">The default 3 month surge exemption will generally exclude arrangements of 3 months or less. ABS data show that around 75.4 per cent of full-time labour hire </w:t>
            </w:r>
            <w:r w:rsidR="003C13BE">
              <w:t xml:space="preserve">employees </w:t>
            </w:r>
            <w:r>
              <w:t>work in their jobs for more than 3 months,</w:t>
            </w:r>
            <w:r>
              <w:rPr>
                <w:rStyle w:val="FootnoteReference"/>
              </w:rPr>
              <w:footnoteReference w:id="85"/>
            </w:r>
            <w:r>
              <w:t xml:space="preserve"> meaning 24.6 per</w:t>
            </w:r>
            <w:r w:rsidR="003C13BE">
              <w:t> </w:t>
            </w:r>
            <w:r>
              <w:t xml:space="preserve">cent of the 259,676 </w:t>
            </w:r>
            <w:r w:rsidR="003C13BE">
              <w:t xml:space="preserve">labour hire employees </w:t>
            </w:r>
            <w:r>
              <w:t>can be excluded from calculations. Therefore: 259,676*(approx. 75.4%) = around 195,869</w:t>
            </w:r>
            <w:r>
              <w:rPr>
                <w:rStyle w:val="FootnoteReference"/>
              </w:rPr>
              <w:footnoteReference w:id="86"/>
            </w:r>
          </w:p>
        </w:tc>
      </w:tr>
      <w:tr w:rsidR="00BB07A2" w14:paraId="4E671BF6" w14:textId="77777777" w:rsidTr="717F6999">
        <w:tc>
          <w:tcPr>
            <w:tcW w:w="1696" w:type="dxa"/>
          </w:tcPr>
          <w:p w14:paraId="15EC6E66" w14:textId="7E1547A9" w:rsidR="00BB07A2" w:rsidRDefault="00BB07A2" w:rsidP="002C04F0">
            <w:pPr>
              <w:spacing w:before="120" w:after="120" w:line="259" w:lineRule="auto"/>
            </w:pPr>
            <w:r>
              <w:lastRenderedPageBreak/>
              <w:t>Host employers without an enterprise agreement</w:t>
            </w:r>
            <w:r w:rsidR="01A36E62">
              <w:t xml:space="preserve"> or that are a small business</w:t>
            </w:r>
            <w:r w:rsidR="008B5333">
              <w:t xml:space="preserve"> employer</w:t>
            </w:r>
          </w:p>
        </w:tc>
        <w:tc>
          <w:tcPr>
            <w:tcW w:w="7320" w:type="dxa"/>
          </w:tcPr>
          <w:p w14:paraId="2A5405A4" w14:textId="3D8F4465" w:rsidR="00BB07A2" w:rsidRDefault="00BB07A2" w:rsidP="002C04F0">
            <w:pPr>
              <w:spacing w:before="120" w:after="120" w:line="259" w:lineRule="auto"/>
            </w:pPr>
            <w:r>
              <w:t xml:space="preserve">The Government’s proposal only applies where the host has an enterprise agreement that would apply to the labour hire </w:t>
            </w:r>
            <w:r w:rsidR="00896805">
              <w:t xml:space="preserve">employee </w:t>
            </w:r>
            <w:r>
              <w:t>if they were directly employed</w:t>
            </w:r>
            <w:r w:rsidR="00896805">
              <w:t>, and where the host is not a small business (employing fewer than 15 employees)</w:t>
            </w:r>
            <w:r w:rsidR="2AA34577">
              <w:t>.</w:t>
            </w:r>
            <w:r>
              <w:t xml:space="preserve"> This means any labour hire </w:t>
            </w:r>
            <w:r w:rsidR="00896805">
              <w:t xml:space="preserve">employees </w:t>
            </w:r>
            <w:r>
              <w:t>working in hosts without an enterprise agreement</w:t>
            </w:r>
            <w:r w:rsidR="4AD5EFF4">
              <w:t xml:space="preserve">, or working in hosts that have </w:t>
            </w:r>
            <w:r w:rsidR="00896805">
              <w:t>fewer</w:t>
            </w:r>
            <w:r w:rsidR="4AD5EFF4">
              <w:t xml:space="preserve"> than 15</w:t>
            </w:r>
            <w:r w:rsidR="00896805">
              <w:t> </w:t>
            </w:r>
            <w:r w:rsidR="4AD5EFF4">
              <w:t>employees</w:t>
            </w:r>
            <w:r w:rsidR="00F57B2E">
              <w:t>,</w:t>
            </w:r>
            <w:r>
              <w:t xml:space="preserve"> can be excluded from calculations.</w:t>
            </w:r>
          </w:p>
          <w:p w14:paraId="74691C19" w14:textId="313386AA" w:rsidR="00BB07A2" w:rsidRDefault="00BB07A2" w:rsidP="002C04F0">
            <w:pPr>
              <w:spacing w:before="120" w:after="120" w:line="259" w:lineRule="auto"/>
            </w:pPr>
            <w:r>
              <w:t xml:space="preserve">Enterprise agreement coverage varies significantly across industries. However, using ABS data on how labour hire </w:t>
            </w:r>
            <w:r w:rsidR="00B10263">
              <w:t xml:space="preserve">employees </w:t>
            </w:r>
            <w:r>
              <w:t xml:space="preserve">are distributed across industries and the proportion of </w:t>
            </w:r>
            <w:r w:rsidR="00B10263">
              <w:t>host</w:t>
            </w:r>
            <w:r>
              <w:t xml:space="preserve"> employees covered by enterprise agreements in those industries, the department can estimate the number of labour hire </w:t>
            </w:r>
            <w:r w:rsidR="00B10263">
              <w:t xml:space="preserve">employees </w:t>
            </w:r>
            <w:r>
              <w:t>placed in host</w:t>
            </w:r>
            <w:r w:rsidR="00B10263">
              <w:t>s</w:t>
            </w:r>
            <w:r>
              <w:t xml:space="preserve"> with an enterprise agreement.</w:t>
            </w:r>
          </w:p>
          <w:p w14:paraId="27F27258" w14:textId="20C1F9E2" w:rsidR="00BB07A2" w:rsidRDefault="00BB07A2" w:rsidP="002C04F0">
            <w:pPr>
              <w:spacing w:before="120" w:after="120" w:line="259" w:lineRule="auto"/>
            </w:pPr>
            <w:r>
              <w:t xml:space="preserve">In summary, ABS data suggest around 31.4 per cent of labour hire </w:t>
            </w:r>
            <w:r w:rsidR="00B10263">
              <w:t xml:space="preserve">employees </w:t>
            </w:r>
            <w:r>
              <w:t>will be working in workplaces where the host has an enterprise agreement.</w:t>
            </w:r>
            <w:r>
              <w:rPr>
                <w:rStyle w:val="FootnoteReference"/>
              </w:rPr>
              <w:footnoteReference w:id="87"/>
            </w:r>
          </w:p>
          <w:p w14:paraId="5044335D" w14:textId="0289F308" w:rsidR="00BB07A2" w:rsidRDefault="7E4CD00B" w:rsidP="717F6999">
            <w:pPr>
              <w:spacing w:before="120" w:after="120" w:line="259" w:lineRule="auto"/>
              <w:rPr>
                <w:rFonts w:ascii="Calibri" w:eastAsia="Calibri" w:hAnsi="Calibri" w:cs="Calibri"/>
              </w:rPr>
            </w:pPr>
            <w:r>
              <w:t xml:space="preserve">While data are not available on the size of host employers, ABS data show that </w:t>
            </w:r>
            <w:r w:rsidR="297677F9">
              <w:t>just 1.8</w:t>
            </w:r>
            <w:r>
              <w:t xml:space="preserve"> p</w:t>
            </w:r>
            <w:r w:rsidR="3884B526">
              <w:t>er cent of</w:t>
            </w:r>
            <w:r>
              <w:t xml:space="preserve"> employees</w:t>
            </w:r>
            <w:r w:rsidR="7A066530">
              <w:t xml:space="preserve"> on enterprise agreements are employed in </w:t>
            </w:r>
            <w:r w:rsidR="102948E1">
              <w:t xml:space="preserve">small </w:t>
            </w:r>
            <w:r w:rsidR="2F04E4A4">
              <w:t>businesses</w:t>
            </w:r>
            <w:r w:rsidR="473D9538">
              <w:t xml:space="preserve">. </w:t>
            </w:r>
            <w:r w:rsidR="44CC4A48">
              <w:t xml:space="preserve">Put another way, 98.2 per cent of labour hire </w:t>
            </w:r>
            <w:r w:rsidR="00B10263">
              <w:t>employees</w:t>
            </w:r>
            <w:r w:rsidR="44CC4A48">
              <w:t xml:space="preserve"> </w:t>
            </w:r>
            <w:r w:rsidR="025858C8">
              <w:t xml:space="preserve">on enterprise agreements </w:t>
            </w:r>
            <w:r w:rsidR="003750A2">
              <w:t xml:space="preserve">can be estimated as </w:t>
            </w:r>
            <w:r w:rsidR="025858C8">
              <w:t xml:space="preserve">work </w:t>
            </w:r>
            <w:r w:rsidR="003750A2">
              <w:t xml:space="preserve">in hosts </w:t>
            </w:r>
            <w:r w:rsidR="025858C8">
              <w:t>wher</w:t>
            </w:r>
            <w:r w:rsidR="7C7D7AFA">
              <w:t>e the Government’s proposal will apply.</w:t>
            </w:r>
            <w:r w:rsidR="2F52DC19" w:rsidRPr="00D0307B">
              <w:rPr>
                <w:rFonts w:ascii="Calibri" w:eastAsia="Calibri" w:hAnsi="Calibri" w:cs="Calibri"/>
                <w:color w:val="000000" w:themeColor="text1"/>
                <w:vertAlign w:val="superscript"/>
              </w:rPr>
              <w:t>89</w:t>
            </w:r>
          </w:p>
          <w:p w14:paraId="7F67DBC5" w14:textId="3A418CF0" w:rsidR="00BB07A2" w:rsidRDefault="00BB07A2" w:rsidP="002C04F0">
            <w:pPr>
              <w:spacing w:before="120" w:after="120" w:line="259" w:lineRule="auto"/>
            </w:pPr>
            <w:r>
              <w:t xml:space="preserve"> Therefore: 195,869*(approx. 31.4%)</w:t>
            </w:r>
            <w:r w:rsidR="59026B41">
              <w:t>*(approx.</w:t>
            </w:r>
            <w:r w:rsidR="4DA2C618">
              <w:t xml:space="preserve"> 98.2%)</w:t>
            </w:r>
            <w:r>
              <w:t xml:space="preserve"> = around 6</w:t>
            </w:r>
            <w:r w:rsidR="7CACA618">
              <w:t>0</w:t>
            </w:r>
            <w:r>
              <w:t>,</w:t>
            </w:r>
            <w:r w:rsidR="63BE2353">
              <w:t>446</w:t>
            </w:r>
            <w:r>
              <w:t>.</w:t>
            </w:r>
            <w:r>
              <w:rPr>
                <w:rStyle w:val="FootnoteReference"/>
              </w:rPr>
              <w:footnoteReference w:id="88"/>
            </w:r>
          </w:p>
        </w:tc>
      </w:tr>
    </w:tbl>
    <w:p w14:paraId="64A88EE5" w14:textId="77777777" w:rsidR="00BB07A2" w:rsidRDefault="00BB07A2" w:rsidP="00BB07A2">
      <w:pPr>
        <w:pStyle w:val="Heading3"/>
      </w:pPr>
      <w:bookmarkStart w:id="50" w:name="_Toc143696596"/>
      <w:r>
        <w:t>Accounting for internal labour hire</w:t>
      </w:r>
      <w:bookmarkEnd w:id="50"/>
    </w:p>
    <w:p w14:paraId="317EE1ED" w14:textId="31809F81" w:rsidR="00BB07A2" w:rsidRDefault="00BB07A2" w:rsidP="717F6999">
      <w:pPr>
        <w:spacing w:after="160" w:line="259" w:lineRule="auto"/>
      </w:pPr>
      <w:r>
        <w:t>The 6</w:t>
      </w:r>
      <w:r w:rsidR="5CAD7EE7">
        <w:t>0</w:t>
      </w:r>
      <w:r>
        <w:t>,</w:t>
      </w:r>
      <w:r w:rsidR="08AF0F87">
        <w:t>446</w:t>
      </w:r>
      <w:r>
        <w:t xml:space="preserve"> figure above does not account for internal labour hire arrangements. As set out in answer to Impact Analysis Question 4, the department has incorporated an additional 6,000 workers into calculations to account for internal labour hire, bringing the total number of workers to </w:t>
      </w:r>
      <w:r w:rsidRPr="717F6999">
        <w:rPr>
          <w:b/>
          <w:bCs/>
        </w:rPr>
        <w:t>6</w:t>
      </w:r>
      <w:r w:rsidR="3482A344" w:rsidRPr="717F6999">
        <w:rPr>
          <w:b/>
          <w:bCs/>
        </w:rPr>
        <w:t>6</w:t>
      </w:r>
      <w:r w:rsidRPr="717F6999">
        <w:rPr>
          <w:b/>
          <w:bCs/>
        </w:rPr>
        <w:t>,</w:t>
      </w:r>
      <w:r w:rsidR="42A734DD" w:rsidRPr="00D0307B">
        <w:rPr>
          <w:b/>
          <w:bCs/>
        </w:rPr>
        <w:t>446</w:t>
      </w:r>
      <w:r>
        <w:t>.</w:t>
      </w:r>
    </w:p>
    <w:p w14:paraId="6BAE08CD" w14:textId="77777777" w:rsidR="00BB07A2" w:rsidRDefault="00BB07A2" w:rsidP="00BB07A2">
      <w:pPr>
        <w:pStyle w:val="Heading2"/>
      </w:pPr>
      <w:bookmarkStart w:id="51" w:name="_Toc143696597"/>
      <w:r>
        <w:t>Estimating the negative wage difference</w:t>
      </w:r>
      <w:bookmarkEnd w:id="51"/>
    </w:p>
    <w:p w14:paraId="0E949A29" w14:textId="2E73D7C7" w:rsidR="00BB07A2" w:rsidRDefault="00BB07A2" w:rsidP="00BB07A2">
      <w:pPr>
        <w:spacing w:after="160" w:line="259" w:lineRule="auto"/>
      </w:pPr>
      <w:r>
        <w:t xml:space="preserve">The department estimates a negative wage difference for labour hire </w:t>
      </w:r>
      <w:r w:rsidR="00F34FEA">
        <w:t xml:space="preserve">employees </w:t>
      </w:r>
      <w:r>
        <w:t xml:space="preserve">of </w:t>
      </w:r>
      <w:r w:rsidRPr="00F17E03">
        <w:rPr>
          <w:b/>
          <w:bCs/>
        </w:rPr>
        <w:t>-$4.</w:t>
      </w:r>
      <w:r w:rsidRPr="00CB3338">
        <w:rPr>
          <w:b/>
          <w:bCs/>
        </w:rPr>
        <w:t>79 per hour</w:t>
      </w:r>
      <w:r>
        <w:t>. This figure is calculated by applying the following exclusions and adjustments.</w:t>
      </w:r>
    </w:p>
    <w:p w14:paraId="75EAC9C5" w14:textId="77777777" w:rsidR="00BB07A2" w:rsidRDefault="00BB07A2" w:rsidP="00BB07A2">
      <w:pPr>
        <w:pStyle w:val="Heading3"/>
        <w:keepNext w:val="0"/>
        <w:keepLines w:val="0"/>
        <w:widowControl w:val="0"/>
      </w:pPr>
      <w:bookmarkStart w:id="52" w:name="_Toc143696598"/>
      <w:r>
        <w:t>Exclusions</w:t>
      </w:r>
      <w:bookmarkEnd w:id="52"/>
    </w:p>
    <w:tbl>
      <w:tblPr>
        <w:tblStyle w:val="TableGrid"/>
        <w:tblW w:w="0" w:type="auto"/>
        <w:tblLook w:val="04A0" w:firstRow="1" w:lastRow="0" w:firstColumn="1" w:lastColumn="0" w:noHBand="0" w:noVBand="1"/>
      </w:tblPr>
      <w:tblGrid>
        <w:gridCol w:w="1696"/>
        <w:gridCol w:w="7320"/>
      </w:tblGrid>
      <w:tr w:rsidR="00BB07A2" w14:paraId="37CDA593" w14:textId="77777777" w:rsidTr="002C04F0">
        <w:tc>
          <w:tcPr>
            <w:tcW w:w="1696" w:type="dxa"/>
            <w:shd w:val="clear" w:color="auto" w:fill="404246"/>
          </w:tcPr>
          <w:p w14:paraId="4B4B7138" w14:textId="77777777" w:rsidR="00BB07A2" w:rsidRPr="00810C1C" w:rsidRDefault="00BB07A2" w:rsidP="002C04F0">
            <w:pPr>
              <w:widowControl w:val="0"/>
              <w:spacing w:before="120" w:after="120" w:line="259" w:lineRule="auto"/>
              <w:rPr>
                <w:b/>
                <w:bCs/>
                <w:color w:val="FFFFFF" w:themeColor="background1"/>
              </w:rPr>
            </w:pPr>
            <w:r>
              <w:rPr>
                <w:b/>
                <w:bCs/>
                <w:color w:val="FFFFFF" w:themeColor="background1"/>
              </w:rPr>
              <w:t>Exclusions</w:t>
            </w:r>
          </w:p>
        </w:tc>
        <w:tc>
          <w:tcPr>
            <w:tcW w:w="7320" w:type="dxa"/>
            <w:shd w:val="clear" w:color="auto" w:fill="404246"/>
          </w:tcPr>
          <w:p w14:paraId="2843457D" w14:textId="77777777" w:rsidR="00BB07A2" w:rsidRPr="00810C1C" w:rsidRDefault="00BB07A2" w:rsidP="002C04F0">
            <w:pPr>
              <w:widowControl w:val="0"/>
              <w:spacing w:before="120" w:after="120" w:line="259" w:lineRule="auto"/>
              <w:rPr>
                <w:b/>
                <w:bCs/>
                <w:color w:val="FFFFFF" w:themeColor="background1"/>
              </w:rPr>
            </w:pPr>
            <w:r w:rsidRPr="00810C1C">
              <w:rPr>
                <w:b/>
                <w:bCs/>
                <w:color w:val="FFFFFF" w:themeColor="background1"/>
              </w:rPr>
              <w:t>Rationale</w:t>
            </w:r>
          </w:p>
        </w:tc>
      </w:tr>
      <w:tr w:rsidR="00BB07A2" w14:paraId="0024A908" w14:textId="77777777" w:rsidTr="002C04F0">
        <w:tc>
          <w:tcPr>
            <w:tcW w:w="1696" w:type="dxa"/>
          </w:tcPr>
          <w:p w14:paraId="6755D815" w14:textId="77777777" w:rsidR="00BB07A2" w:rsidRDefault="00BB07A2" w:rsidP="002C04F0">
            <w:pPr>
              <w:widowControl w:val="0"/>
              <w:spacing w:before="120" w:after="120" w:line="259" w:lineRule="auto"/>
            </w:pPr>
            <w:r>
              <w:t>Excluding part-time labour hire workers</w:t>
            </w:r>
          </w:p>
        </w:tc>
        <w:tc>
          <w:tcPr>
            <w:tcW w:w="7320" w:type="dxa"/>
          </w:tcPr>
          <w:p w14:paraId="634F9C1B" w14:textId="36701909" w:rsidR="00BB07A2" w:rsidRDefault="00BB07A2" w:rsidP="002C04F0">
            <w:pPr>
              <w:widowControl w:val="0"/>
              <w:spacing w:before="120" w:after="120" w:line="259" w:lineRule="auto"/>
            </w:pPr>
            <w:r>
              <w:t xml:space="preserve">As above, ABS data show that on average part-time labour hire </w:t>
            </w:r>
            <w:r w:rsidR="00F34FEA">
              <w:t xml:space="preserve">employees </w:t>
            </w:r>
            <w:r>
              <w:t>earn $9.67 more than part-time non-labour hire workers.</w:t>
            </w:r>
            <w:r>
              <w:rPr>
                <w:rStyle w:val="FootnoteReference"/>
              </w:rPr>
              <w:footnoteReference w:id="89"/>
            </w:r>
            <w:r>
              <w:t xml:space="preserve"> This means the proposal will not apply to lift part-time labour hire </w:t>
            </w:r>
            <w:r w:rsidR="00F34FEA">
              <w:t xml:space="preserve">employee </w:t>
            </w:r>
            <w:r>
              <w:t>wages, and they can be excluded from calculations.</w:t>
            </w:r>
          </w:p>
        </w:tc>
      </w:tr>
      <w:tr w:rsidR="00BB07A2" w14:paraId="4E3EFF00" w14:textId="77777777" w:rsidTr="002C04F0">
        <w:tc>
          <w:tcPr>
            <w:tcW w:w="1696" w:type="dxa"/>
          </w:tcPr>
          <w:p w14:paraId="197536A1" w14:textId="77777777" w:rsidR="00BB07A2" w:rsidRDefault="00BB07A2" w:rsidP="002C04F0">
            <w:pPr>
              <w:widowControl w:val="0"/>
              <w:spacing w:before="120" w:after="120" w:line="259" w:lineRule="auto"/>
            </w:pPr>
            <w:r>
              <w:t xml:space="preserve">Excluding arrangements </w:t>
            </w:r>
            <w:r>
              <w:lastRenderedPageBreak/>
              <w:t>with more than two years’ duration</w:t>
            </w:r>
          </w:p>
        </w:tc>
        <w:tc>
          <w:tcPr>
            <w:tcW w:w="7320" w:type="dxa"/>
          </w:tcPr>
          <w:p w14:paraId="40BD8419" w14:textId="77777777" w:rsidR="00BB07A2" w:rsidRDefault="00BB07A2" w:rsidP="002C04F0">
            <w:pPr>
              <w:widowControl w:val="0"/>
              <w:spacing w:before="120" w:after="120" w:line="259" w:lineRule="auto"/>
            </w:pPr>
            <w:r>
              <w:lastRenderedPageBreak/>
              <w:t xml:space="preserve">It is important to exclude data that may skew calculations. Data about the </w:t>
            </w:r>
            <w:r>
              <w:lastRenderedPageBreak/>
              <w:t>wages of people in their jobs for more than 2 years falls into this category.</w:t>
            </w:r>
          </w:p>
          <w:p w14:paraId="41819179" w14:textId="057D2DF6" w:rsidR="00BB07A2" w:rsidRDefault="00BB07A2" w:rsidP="002C04F0">
            <w:pPr>
              <w:widowControl w:val="0"/>
              <w:spacing w:before="120" w:after="120" w:line="259" w:lineRule="auto"/>
            </w:pPr>
            <w:r>
              <w:t>ABS data</w:t>
            </w:r>
            <w:r>
              <w:rPr>
                <w:rStyle w:val="FootnoteReference"/>
              </w:rPr>
              <w:footnoteReference w:id="90"/>
            </w:r>
            <w:r>
              <w:t xml:space="preserve"> show that the median wage of people in their job for </w:t>
            </w:r>
            <w:r w:rsidRPr="00AF4AD6">
              <w:rPr>
                <w:u w:val="single"/>
              </w:rPr>
              <w:t>more</w:t>
            </w:r>
            <w:r>
              <w:t xml:space="preserve"> than two years is 19.1 per cent </w:t>
            </w:r>
            <w:r w:rsidRPr="00AF4AD6">
              <w:t>higher</w:t>
            </w:r>
            <w:r>
              <w:t xml:space="preserve"> than the median wage of those in their job for </w:t>
            </w:r>
            <w:r w:rsidRPr="00AF4AD6">
              <w:rPr>
                <w:u w:val="single"/>
              </w:rPr>
              <w:t>less</w:t>
            </w:r>
            <w:r>
              <w:t xml:space="preserve"> than two years. Further, 56.5 per cent of non-labour hire workers have been in their job for more than two years, but this is only 19.4 per cent for labour hire </w:t>
            </w:r>
            <w:r w:rsidR="007E1263">
              <w:t xml:space="preserve">employees </w:t>
            </w:r>
            <w:r>
              <w:t>(reflecting the transient nature of most labour hire work).</w:t>
            </w:r>
          </w:p>
          <w:p w14:paraId="22B6AB92" w14:textId="26547B05" w:rsidR="00BB07A2" w:rsidRDefault="00BB07A2" w:rsidP="002C04F0">
            <w:pPr>
              <w:widowControl w:val="0"/>
              <w:spacing w:before="120" w:after="120" w:line="259" w:lineRule="auto"/>
            </w:pPr>
            <w:r>
              <w:t xml:space="preserve">This means that if labour hire </w:t>
            </w:r>
            <w:r w:rsidR="007E1263">
              <w:t xml:space="preserve">employee </w:t>
            </w:r>
            <w:r>
              <w:t>wages are compared against non-labour hire worker wages, non-labour hire worker wages will be skewed higher because, on average, they are in their jobs for longer. To account for this, the department has only compared labour hire wages with non-labour hire wages, where people have worked in their jobs for between 3 months and 2 years (the 3 month minimum reflects the proposal’s default 3 month surge exemption).</w:t>
            </w:r>
          </w:p>
          <w:p w14:paraId="54E0C6FF" w14:textId="7AE7DD12" w:rsidR="00BB07A2" w:rsidRDefault="00BB07A2" w:rsidP="002C04F0">
            <w:pPr>
              <w:widowControl w:val="0"/>
              <w:spacing w:before="120" w:after="120" w:line="259" w:lineRule="auto"/>
            </w:pPr>
            <w:r>
              <w:t xml:space="preserve">Confining data to those workers who have worked in their jobs for less than 2 years means average labour hire </w:t>
            </w:r>
            <w:r w:rsidR="007E1263">
              <w:t xml:space="preserve">employee </w:t>
            </w:r>
            <w:r>
              <w:t xml:space="preserve">wages are $35.46 per hour, and average non-labour hire worker wages are $37.30 per hour. This means labour hire </w:t>
            </w:r>
            <w:r w:rsidR="00DD0532">
              <w:t xml:space="preserve">employees </w:t>
            </w:r>
            <w:r>
              <w:t>are paid on average $1.84 less than non-labour hire workers, before adjustments.</w:t>
            </w:r>
            <w:r>
              <w:rPr>
                <w:rStyle w:val="FootnoteReference"/>
              </w:rPr>
              <w:footnoteReference w:id="91"/>
            </w:r>
          </w:p>
        </w:tc>
      </w:tr>
    </w:tbl>
    <w:p w14:paraId="61C97F16" w14:textId="77777777" w:rsidR="00BB07A2" w:rsidRDefault="00BB07A2" w:rsidP="00BB07A2">
      <w:pPr>
        <w:pStyle w:val="Heading3"/>
      </w:pPr>
      <w:bookmarkStart w:id="53" w:name="_Toc143696599"/>
      <w:r>
        <w:lastRenderedPageBreak/>
        <w:t>Adjustments</w:t>
      </w:r>
      <w:bookmarkEnd w:id="53"/>
    </w:p>
    <w:p w14:paraId="0A1D51E7" w14:textId="73D42AA0" w:rsidR="00BB07A2" w:rsidRDefault="00BB07A2" w:rsidP="00BB07A2">
      <w:pPr>
        <w:spacing w:after="160" w:line="259" w:lineRule="auto"/>
      </w:pPr>
      <w:r>
        <w:t xml:space="preserve">Excluding arrangements that are longer than 2 years and part-time labour hire arrangements suggests the wage difference between labour hire workers and non-labour hire worker is </w:t>
      </w:r>
      <w:r>
        <w:br/>
      </w:r>
      <w:r w:rsidRPr="00E202F4">
        <w:rPr>
          <w:b/>
          <w:bCs/>
        </w:rPr>
        <w:t>-$1.84</w:t>
      </w:r>
      <w:r>
        <w:rPr>
          <w:b/>
          <w:bCs/>
        </w:rPr>
        <w:t> </w:t>
      </w:r>
      <w:r w:rsidRPr="00E202F4">
        <w:rPr>
          <w:b/>
          <w:bCs/>
        </w:rPr>
        <w:t>per</w:t>
      </w:r>
      <w:r>
        <w:rPr>
          <w:b/>
          <w:bCs/>
        </w:rPr>
        <w:t> </w:t>
      </w:r>
      <w:r w:rsidRPr="00E202F4">
        <w:rPr>
          <w:b/>
          <w:bCs/>
        </w:rPr>
        <w:t>hour</w:t>
      </w:r>
      <w:r>
        <w:t>. However, this hourly rate does not account for:</w:t>
      </w:r>
    </w:p>
    <w:p w14:paraId="21DBB568" w14:textId="2C18FD8B" w:rsidR="00BB07A2" w:rsidRDefault="00BB07A2" w:rsidP="00BB07A2">
      <w:pPr>
        <w:pStyle w:val="ListParagraph"/>
        <w:numPr>
          <w:ilvl w:val="0"/>
          <w:numId w:val="31"/>
        </w:numPr>
        <w:spacing w:after="160" w:line="259" w:lineRule="auto"/>
        <w:contextualSpacing w:val="0"/>
      </w:pPr>
      <w:r>
        <w:t xml:space="preserve">casual loadings (including data suggesting labour hire </w:t>
      </w:r>
      <w:r w:rsidR="003B295E">
        <w:t xml:space="preserve">employees </w:t>
      </w:r>
      <w:r>
        <w:t>who work full-time hours are more likely to be casuals than non-labour hire workers working full-time hours); and</w:t>
      </w:r>
    </w:p>
    <w:p w14:paraId="04CB09E3" w14:textId="77777777" w:rsidR="00BB07A2" w:rsidRDefault="00BB07A2" w:rsidP="00BB07A2">
      <w:pPr>
        <w:pStyle w:val="ListParagraph"/>
        <w:widowControl w:val="0"/>
        <w:numPr>
          <w:ilvl w:val="0"/>
          <w:numId w:val="31"/>
        </w:numPr>
        <w:spacing w:after="160" w:line="259" w:lineRule="auto"/>
        <w:contextualSpacing w:val="0"/>
      </w:pPr>
      <w:r>
        <w:t xml:space="preserve">wage differences by occupation. </w:t>
      </w:r>
    </w:p>
    <w:p w14:paraId="7C46F84B" w14:textId="77777777" w:rsidR="00BB07A2" w:rsidRDefault="00BB07A2" w:rsidP="00BB07A2">
      <w:pPr>
        <w:widowControl w:val="0"/>
        <w:spacing w:after="160" w:line="259" w:lineRule="auto"/>
      </w:pPr>
      <w:r>
        <w:t xml:space="preserve">The table below takes the -$1.84 per hour figure and accounts for these, to come to </w:t>
      </w:r>
      <w:r w:rsidRPr="007C67A6">
        <w:rPr>
          <w:b/>
          <w:bCs/>
        </w:rPr>
        <w:t>-$4.79 per hour</w:t>
      </w:r>
      <w:r>
        <w:t>.</w:t>
      </w:r>
    </w:p>
    <w:tbl>
      <w:tblPr>
        <w:tblStyle w:val="TableGrid"/>
        <w:tblW w:w="0" w:type="auto"/>
        <w:tblLook w:val="04A0" w:firstRow="1" w:lastRow="0" w:firstColumn="1" w:lastColumn="0" w:noHBand="0" w:noVBand="1"/>
      </w:tblPr>
      <w:tblGrid>
        <w:gridCol w:w="1696"/>
        <w:gridCol w:w="7320"/>
      </w:tblGrid>
      <w:tr w:rsidR="00BB07A2" w14:paraId="335407BD" w14:textId="77777777" w:rsidTr="002C04F0">
        <w:tc>
          <w:tcPr>
            <w:tcW w:w="1696" w:type="dxa"/>
            <w:shd w:val="clear" w:color="auto" w:fill="404246"/>
          </w:tcPr>
          <w:p w14:paraId="49B0433E" w14:textId="77777777" w:rsidR="00BB07A2" w:rsidRPr="00CB3338" w:rsidRDefault="00BB07A2" w:rsidP="002C04F0">
            <w:pPr>
              <w:widowControl w:val="0"/>
              <w:spacing w:before="120" w:after="120" w:line="259" w:lineRule="auto"/>
              <w:rPr>
                <w:b/>
                <w:bCs/>
                <w:color w:val="FFFFFF" w:themeColor="background1"/>
              </w:rPr>
            </w:pPr>
            <w:r w:rsidRPr="00CB3338">
              <w:rPr>
                <w:b/>
                <w:bCs/>
                <w:color w:val="FFFFFF" w:themeColor="background1"/>
              </w:rPr>
              <w:t>Adjustments</w:t>
            </w:r>
          </w:p>
        </w:tc>
        <w:tc>
          <w:tcPr>
            <w:tcW w:w="7320" w:type="dxa"/>
            <w:shd w:val="clear" w:color="auto" w:fill="404246"/>
          </w:tcPr>
          <w:p w14:paraId="0A106DE1" w14:textId="77777777" w:rsidR="00BB07A2" w:rsidRPr="00CB3338" w:rsidRDefault="00BB07A2" w:rsidP="002C04F0">
            <w:pPr>
              <w:widowControl w:val="0"/>
              <w:spacing w:before="120" w:after="120" w:line="259" w:lineRule="auto"/>
              <w:rPr>
                <w:b/>
                <w:bCs/>
                <w:color w:val="FFFFFF" w:themeColor="background1"/>
              </w:rPr>
            </w:pPr>
            <w:r w:rsidRPr="00CB3338">
              <w:rPr>
                <w:b/>
                <w:bCs/>
                <w:color w:val="FFFFFF" w:themeColor="background1"/>
              </w:rPr>
              <w:t>Rationale</w:t>
            </w:r>
          </w:p>
        </w:tc>
      </w:tr>
      <w:tr w:rsidR="00BB07A2" w14:paraId="2F823E4E" w14:textId="77777777" w:rsidTr="002C04F0">
        <w:tc>
          <w:tcPr>
            <w:tcW w:w="1696" w:type="dxa"/>
          </w:tcPr>
          <w:p w14:paraId="39B99D93" w14:textId="77777777" w:rsidR="00BB07A2" w:rsidRDefault="00BB07A2" w:rsidP="002C04F0">
            <w:pPr>
              <w:widowControl w:val="0"/>
              <w:spacing w:before="120" w:after="120" w:line="259" w:lineRule="auto"/>
            </w:pPr>
            <w:r>
              <w:t>Accounting for casual loading</w:t>
            </w:r>
          </w:p>
        </w:tc>
        <w:tc>
          <w:tcPr>
            <w:tcW w:w="7320" w:type="dxa"/>
          </w:tcPr>
          <w:p w14:paraId="20DEE7EC" w14:textId="77777777" w:rsidR="00BB07A2" w:rsidRDefault="00BB07A2" w:rsidP="002C04F0">
            <w:pPr>
              <w:widowControl w:val="0"/>
              <w:spacing w:before="120" w:after="120" w:line="259" w:lineRule="auto"/>
            </w:pPr>
            <w:r>
              <w:t>Having calculated a negative wage difference of -$1.84, it is important to account now for casual loadings, using ABS data.</w:t>
            </w:r>
            <w:r>
              <w:rPr>
                <w:rStyle w:val="FootnoteReference"/>
              </w:rPr>
              <w:footnoteReference w:id="92"/>
            </w:r>
          </w:p>
          <w:p w14:paraId="22740235" w14:textId="55C376AA" w:rsidR="00BB07A2" w:rsidRDefault="00BB07A2" w:rsidP="002C04F0">
            <w:pPr>
              <w:widowControl w:val="0"/>
              <w:spacing w:before="120" w:after="120" w:line="259" w:lineRule="auto"/>
            </w:pPr>
            <w:r>
              <w:t xml:space="preserve">Around 80.5 per cent of labour hire </w:t>
            </w:r>
            <w:r w:rsidR="003B295E">
              <w:t xml:space="preserve">employees </w:t>
            </w:r>
            <w:r>
              <w:t>working full-time hours do not have paid leave entitlements, compared with only around 14.7 per cent of non-labour hire workers working full-time hours not having paid leave entitlements.</w:t>
            </w:r>
            <w:r>
              <w:rPr>
                <w:rStyle w:val="FootnoteReference"/>
              </w:rPr>
              <w:footnoteReference w:id="93"/>
            </w:r>
          </w:p>
          <w:p w14:paraId="57856AF1" w14:textId="7723C7DF" w:rsidR="00BB07A2" w:rsidRDefault="00BB07A2" w:rsidP="002C04F0">
            <w:pPr>
              <w:widowControl w:val="0"/>
              <w:spacing w:before="120" w:after="120" w:line="259" w:lineRule="auto"/>
            </w:pPr>
            <w:r>
              <w:t xml:space="preserve">This suggests that, despite working full-time hours, many labour hire </w:t>
            </w:r>
            <w:r w:rsidR="003B295E">
              <w:t xml:space="preserve">employees </w:t>
            </w:r>
            <w:r>
              <w:t>are likely to be casual</w:t>
            </w:r>
            <w:r w:rsidR="003B295E">
              <w:t>s</w:t>
            </w:r>
            <w:r>
              <w:t xml:space="preserve">. Further, this means that despite generally receiving a casual loading (usually 25 per cent), labour hire </w:t>
            </w:r>
            <w:r w:rsidR="003B295E">
              <w:t xml:space="preserve">employees </w:t>
            </w:r>
            <w:r>
              <w:t xml:space="preserve">working </w:t>
            </w:r>
            <w:r>
              <w:lastRenderedPageBreak/>
              <w:t xml:space="preserve">full-time hours are still receiving $1.84 per hour </w:t>
            </w:r>
            <w:r w:rsidRPr="003C27A4">
              <w:rPr>
                <w:u w:val="single"/>
              </w:rPr>
              <w:t>less than</w:t>
            </w:r>
            <w:r>
              <w:t xml:space="preserve"> non-labour hire counterparts (who are more likely to be permanent, given only 14.7 per cent do not have paid leave entitlements).</w:t>
            </w:r>
          </w:p>
          <w:p w14:paraId="34648887" w14:textId="77777777" w:rsidR="00BB07A2" w:rsidRDefault="00BB07A2" w:rsidP="002C04F0">
            <w:pPr>
              <w:widowControl w:val="0"/>
              <w:spacing w:before="120" w:after="120" w:line="259" w:lineRule="auto"/>
            </w:pPr>
            <w:r>
              <w:t xml:space="preserve">To ensure calculations are comparing ‘like for like’ cohorts, it is necessary to reduce casual loadings from existing calculations in a way that reflects the likelihood of those workers actually being casuals (80.5 per cent and 14.7 per cent, respectively). </w:t>
            </w:r>
          </w:p>
          <w:p w14:paraId="0FD668E1" w14:textId="32B7A907" w:rsidR="00BB07A2" w:rsidRDefault="00BB07A2" w:rsidP="002C04F0">
            <w:pPr>
              <w:widowControl w:val="0"/>
              <w:spacing w:before="120" w:after="120" w:line="259" w:lineRule="auto"/>
            </w:pPr>
            <w:r>
              <w:t>Using ABS data on median wages for permanent and casual employees, and accounting for the percentages above of labour hire and non-labour hire workers without paid leave entitlements and estimated to be casuals,</w:t>
            </w:r>
            <w:r>
              <w:rPr>
                <w:rStyle w:val="FootnoteReference"/>
              </w:rPr>
              <w:footnoteReference w:id="94"/>
            </w:r>
            <w:r>
              <w:t xml:space="preserve"> the department estimates average wages are around $29.08 per hour for labour hire </w:t>
            </w:r>
            <w:r w:rsidR="00E11BF2">
              <w:t xml:space="preserve">employees </w:t>
            </w:r>
            <w:r>
              <w:t xml:space="preserve">and around $36.41 for non-labour hire workers. This means the negative wage difference estimate comes to -$7.33, which is the figure used for the final adjustment in the next row (see </w:t>
            </w:r>
            <w:r w:rsidRPr="00871C6E">
              <w:rPr>
                <w:u w:val="single"/>
              </w:rPr>
              <w:t>Table 2</w:t>
            </w:r>
            <w:r>
              <w:t>).</w:t>
            </w:r>
            <w:r>
              <w:rPr>
                <w:rStyle w:val="FootnoteReference"/>
              </w:rPr>
              <w:footnoteReference w:id="95"/>
            </w:r>
          </w:p>
        </w:tc>
      </w:tr>
      <w:tr w:rsidR="00BB07A2" w14:paraId="4B97C236" w14:textId="77777777" w:rsidTr="002C04F0">
        <w:tc>
          <w:tcPr>
            <w:tcW w:w="1696" w:type="dxa"/>
          </w:tcPr>
          <w:p w14:paraId="329D0383" w14:textId="77777777" w:rsidR="00BB07A2" w:rsidRDefault="00BB07A2" w:rsidP="002C04F0">
            <w:pPr>
              <w:spacing w:before="120" w:after="120" w:line="259" w:lineRule="auto"/>
            </w:pPr>
            <w:r>
              <w:lastRenderedPageBreak/>
              <w:t>Accounting for occupational differences</w:t>
            </w:r>
          </w:p>
        </w:tc>
        <w:tc>
          <w:tcPr>
            <w:tcW w:w="7320" w:type="dxa"/>
          </w:tcPr>
          <w:p w14:paraId="4C9C95E0" w14:textId="7F3C4C2B" w:rsidR="00BB07A2" w:rsidRDefault="00BB07A2" w:rsidP="002C04F0">
            <w:pPr>
              <w:spacing w:before="120" w:after="120" w:line="259" w:lineRule="auto"/>
            </w:pPr>
            <w:r>
              <w:t xml:space="preserve">The -$7.33 per hour figure does not account for wage differences between occupations. ABS data show labour hire </w:t>
            </w:r>
            <w:r w:rsidR="00BD46D0">
              <w:t xml:space="preserve">employees </w:t>
            </w:r>
            <w:r>
              <w:t xml:space="preserve">tend to work in lower paid occupations than non-labour hire workers (see </w:t>
            </w:r>
            <w:r w:rsidRPr="00871C6E">
              <w:rPr>
                <w:u w:val="single"/>
              </w:rPr>
              <w:t>Table 3</w:t>
            </w:r>
            <w:r>
              <w:t>).</w:t>
            </w:r>
            <w:r>
              <w:rPr>
                <w:rStyle w:val="FootnoteReference"/>
              </w:rPr>
              <w:footnoteReference w:id="96"/>
            </w:r>
            <w:r>
              <w:t xml:space="preserve"> To account for this, the department has adjusted calculations to account for different wage gaps between occupations, which brings average wages to $31.62 per hour for labour hire </w:t>
            </w:r>
            <w:r w:rsidR="00BD46D0">
              <w:t xml:space="preserve">employees </w:t>
            </w:r>
            <w:r>
              <w:t>and $36.41 per hour for non-labour hire workers.</w:t>
            </w:r>
          </w:p>
          <w:p w14:paraId="2E2E91AF" w14:textId="4BF7C1A1" w:rsidR="00BB07A2" w:rsidRDefault="00BB07A2" w:rsidP="002C04F0">
            <w:pPr>
              <w:spacing w:before="120" w:after="120" w:line="259" w:lineRule="auto"/>
            </w:pPr>
            <w:r>
              <w:t xml:space="preserve">This means the actual negative wage differential for labour hire </w:t>
            </w:r>
            <w:r w:rsidR="00BD46D0">
              <w:t>employees</w:t>
            </w:r>
            <w:r>
              <w:t xml:space="preserve">, taking all of the above exclusions and adjustments into account, is </w:t>
            </w:r>
            <w:r w:rsidR="00BD46D0">
              <w:br/>
            </w:r>
            <w:r w:rsidRPr="00F17E03">
              <w:rPr>
                <w:b/>
                <w:bCs/>
              </w:rPr>
              <w:t>-$4.79</w:t>
            </w:r>
            <w:r w:rsidR="00BD46D0">
              <w:rPr>
                <w:b/>
                <w:bCs/>
              </w:rPr>
              <w:t> </w:t>
            </w:r>
            <w:r>
              <w:rPr>
                <w:b/>
                <w:bCs/>
              </w:rPr>
              <w:t>per</w:t>
            </w:r>
            <w:r w:rsidR="00BD46D0">
              <w:rPr>
                <w:b/>
                <w:bCs/>
              </w:rPr>
              <w:t> </w:t>
            </w:r>
            <w:r>
              <w:rPr>
                <w:b/>
                <w:bCs/>
              </w:rPr>
              <w:t>hour</w:t>
            </w:r>
            <w:r>
              <w:t xml:space="preserve"> (see </w:t>
            </w:r>
            <w:r w:rsidRPr="00871C6E">
              <w:rPr>
                <w:u w:val="single"/>
              </w:rPr>
              <w:t>Table 4</w:t>
            </w:r>
            <w:r>
              <w:t>).</w:t>
            </w:r>
            <w:r>
              <w:rPr>
                <w:rStyle w:val="FootnoteReference"/>
              </w:rPr>
              <w:footnoteReference w:id="97"/>
            </w:r>
          </w:p>
        </w:tc>
      </w:tr>
    </w:tbl>
    <w:p w14:paraId="18027114" w14:textId="77777777" w:rsidR="00BB07A2" w:rsidRDefault="00BB07A2" w:rsidP="00BB07A2">
      <w:pPr>
        <w:pStyle w:val="Heading2"/>
        <w:rPr>
          <w:b w:val="0"/>
          <w:bCs/>
        </w:rPr>
      </w:pPr>
      <w:bookmarkStart w:id="54" w:name="_Toc143696600"/>
      <w:r>
        <w:t>Estimating average hours worked</w:t>
      </w:r>
      <w:bookmarkEnd w:id="54"/>
    </w:p>
    <w:p w14:paraId="30B8CF7A" w14:textId="69444D09" w:rsidR="00BB07A2" w:rsidRDefault="00BB07A2" w:rsidP="00BB07A2">
      <w:pPr>
        <w:spacing w:after="160" w:line="259" w:lineRule="auto"/>
      </w:pPr>
      <w:r>
        <w:t xml:space="preserve">ABS data show that on average full-time labour hire </w:t>
      </w:r>
      <w:r w:rsidR="00B927DA">
        <w:t xml:space="preserve">employees </w:t>
      </w:r>
      <w:r>
        <w:t xml:space="preserve">work 38.1 hours per week for 42.1 weeks per year, where they have worked in their main job for more than 13 weeks (which, as a period of greater than 3 months, </w:t>
      </w:r>
      <w:r w:rsidR="00B927DA">
        <w:t>exceeds the default exemption period that will be considered when an application is made to the Fair Work Commission</w:t>
      </w:r>
      <w:r>
        <w:t>).</w:t>
      </w:r>
      <w:r>
        <w:rPr>
          <w:rStyle w:val="FootnoteReference"/>
        </w:rPr>
        <w:footnoteReference w:id="98"/>
      </w:r>
      <w:r>
        <w:t xml:space="preserve"> These </w:t>
      </w:r>
      <w:r w:rsidR="009729E2">
        <w:t xml:space="preserve">data </w:t>
      </w:r>
      <w:r>
        <w:t>are used in the formula above.</w:t>
      </w:r>
    </w:p>
    <w:p w14:paraId="3CFC528A" w14:textId="77777777" w:rsidR="00BB07A2" w:rsidRDefault="00BB07A2" w:rsidP="00BB07A2">
      <w:pPr>
        <w:pStyle w:val="Heading2"/>
        <w:rPr>
          <w:b w:val="0"/>
          <w:bCs/>
        </w:rPr>
      </w:pPr>
      <w:bookmarkStart w:id="55" w:name="_Toc143696601"/>
      <w:r>
        <w:t>Limitations</w:t>
      </w:r>
      <w:bookmarkEnd w:id="55"/>
    </w:p>
    <w:p w14:paraId="36F73C18" w14:textId="15CB82BB" w:rsidR="00BB07A2" w:rsidRPr="00603981" w:rsidRDefault="00BB07A2" w:rsidP="00BB07A2">
      <w:pPr>
        <w:spacing w:after="160" w:line="259" w:lineRule="auto"/>
        <w:rPr>
          <w:rFonts w:cstheme="minorHAnsi"/>
        </w:rPr>
      </w:pPr>
      <w:r w:rsidRPr="00603981">
        <w:t xml:space="preserve">Labour hire </w:t>
      </w:r>
      <w:r w:rsidR="005B16C4">
        <w:t>employees</w:t>
      </w:r>
      <w:r w:rsidR="005B16C4" w:rsidRPr="00603981">
        <w:t xml:space="preserve"> </w:t>
      </w:r>
      <w:r w:rsidRPr="00603981">
        <w:t xml:space="preserve">and </w:t>
      </w:r>
      <w:r w:rsidR="005B16C4">
        <w:t xml:space="preserve">labour hire employers </w:t>
      </w:r>
      <w:r w:rsidRPr="00603981">
        <w:t>represent a small proportion of the overall labour market.</w:t>
      </w:r>
      <w:r w:rsidRPr="00603981">
        <w:rPr>
          <w:vertAlign w:val="superscript"/>
        </w:rPr>
        <w:footnoteReference w:id="99"/>
      </w:r>
      <w:r w:rsidRPr="00603981">
        <w:t xml:space="preserve"> Available data </w:t>
      </w:r>
      <w:r>
        <w:t>on</w:t>
      </w:r>
      <w:r w:rsidRPr="00603981">
        <w:t xml:space="preserve"> the labour</w:t>
      </w:r>
      <w:r>
        <w:t xml:space="preserve"> hire</w:t>
      </w:r>
      <w:r w:rsidRPr="00603981">
        <w:t xml:space="preserve"> workforce has significant limitations as result of the small </w:t>
      </w:r>
      <w:r w:rsidRPr="00603981">
        <w:lastRenderedPageBreak/>
        <w:t>sample size.</w:t>
      </w:r>
      <w:r w:rsidRPr="00603981">
        <w:rPr>
          <w:vertAlign w:val="superscript"/>
        </w:rPr>
        <w:footnoteReference w:id="100"/>
      </w:r>
      <w:r w:rsidRPr="00603981">
        <w:t xml:space="preserve"> The department acknowledges </w:t>
      </w:r>
      <w:r>
        <w:t>these calculations</w:t>
      </w:r>
      <w:r w:rsidRPr="00603981">
        <w:t xml:space="preserve"> contain</w:t>
      </w:r>
      <w:r>
        <w:t xml:space="preserve"> </w:t>
      </w:r>
      <w:r w:rsidRPr="00603981">
        <w:t>a high degree of uncertainty as a result</w:t>
      </w:r>
      <w:r>
        <w:t>. Data l</w:t>
      </w:r>
      <w:r w:rsidRPr="00603981">
        <w:t>imitations include</w:t>
      </w:r>
      <w:r>
        <w:t xml:space="preserve"> the following</w:t>
      </w:r>
      <w:r w:rsidRPr="00603981">
        <w:t>:</w:t>
      </w:r>
    </w:p>
    <w:p w14:paraId="45C934E4" w14:textId="77777777" w:rsidR="00BB07A2" w:rsidRPr="00603981" w:rsidRDefault="00BB07A2" w:rsidP="00BB07A2">
      <w:pPr>
        <w:numPr>
          <w:ilvl w:val="0"/>
          <w:numId w:val="12"/>
        </w:numPr>
        <w:spacing w:after="160" w:line="259" w:lineRule="auto"/>
      </w:pPr>
      <w:r>
        <w:t>P</w:t>
      </w:r>
      <w:r w:rsidRPr="00603981">
        <w:t xml:space="preserve">recise statistical data taken from ABS sources has been rounded for readability. Final calculations regarding monetary costs, adjustments, and the number of employees falling into different categories (including exemption categories) are based on precise figures in source data </w:t>
      </w:r>
      <w:r>
        <w:t>and</w:t>
      </w:r>
      <w:r w:rsidRPr="00603981">
        <w:t xml:space="preserve"> may reflect minor discrepancies above once added together.</w:t>
      </w:r>
    </w:p>
    <w:p w14:paraId="52FEF64E" w14:textId="60C7364B" w:rsidR="00BB07A2" w:rsidRPr="00603981" w:rsidRDefault="00BB07A2" w:rsidP="00BB07A2">
      <w:pPr>
        <w:numPr>
          <w:ilvl w:val="0"/>
          <w:numId w:val="12"/>
        </w:numPr>
        <w:spacing w:after="160" w:line="259" w:lineRule="auto"/>
      </w:pPr>
      <w:r>
        <w:t>A</w:t>
      </w:r>
      <w:r w:rsidRPr="00603981">
        <w:t xml:space="preserve">vailable data </w:t>
      </w:r>
      <w:r>
        <w:t>do</w:t>
      </w:r>
      <w:r w:rsidRPr="00603981">
        <w:t xml:space="preserve"> not </w:t>
      </w:r>
      <w:r>
        <w:t>identify</w:t>
      </w:r>
      <w:r w:rsidRPr="00603981">
        <w:t xml:space="preserve"> individual circumstances. For example, while on average part-time labour hire </w:t>
      </w:r>
      <w:r w:rsidR="00590DDC">
        <w:t>employees</w:t>
      </w:r>
      <w:r w:rsidR="00590DDC" w:rsidRPr="00603981">
        <w:t xml:space="preserve"> </w:t>
      </w:r>
      <w:r>
        <w:t xml:space="preserve">are paid more than their non-labour hire worker counterparts, </w:t>
      </w:r>
      <w:r w:rsidRPr="00603981">
        <w:t xml:space="preserve">there will be </w:t>
      </w:r>
      <w:r>
        <w:t>occasions</w:t>
      </w:r>
      <w:r w:rsidRPr="00603981">
        <w:t xml:space="preserve"> where a part-time labour hire </w:t>
      </w:r>
      <w:r w:rsidR="00590DDC">
        <w:t>employee</w:t>
      </w:r>
      <w:r w:rsidR="00590DDC" w:rsidRPr="00603981">
        <w:t xml:space="preserve"> </w:t>
      </w:r>
      <w:r w:rsidRPr="00603981">
        <w:t xml:space="preserve">is paid less. </w:t>
      </w:r>
    </w:p>
    <w:p w14:paraId="1A3BE242" w14:textId="632AF481" w:rsidR="00BB07A2" w:rsidRPr="00603981" w:rsidRDefault="00BB07A2" w:rsidP="00BB07A2">
      <w:pPr>
        <w:numPr>
          <w:ilvl w:val="0"/>
          <w:numId w:val="12"/>
        </w:numPr>
        <w:spacing w:after="160" w:line="259" w:lineRule="auto"/>
        <w:rPr>
          <w:rFonts w:cstheme="minorHAnsi"/>
        </w:rPr>
      </w:pPr>
      <w:r w:rsidRPr="00603981">
        <w:t xml:space="preserve">ABS’s estimate of </w:t>
      </w:r>
      <w:r>
        <w:t xml:space="preserve">the </w:t>
      </w:r>
      <w:r w:rsidRPr="00603981">
        <w:t xml:space="preserve">number of labour hire </w:t>
      </w:r>
      <w:r w:rsidR="00590DDC">
        <w:t>employees</w:t>
      </w:r>
      <w:r w:rsidR="00590DDC" w:rsidRPr="00603981">
        <w:t xml:space="preserve"> </w:t>
      </w:r>
      <w:r w:rsidRPr="00603981">
        <w:t>(319,900) cannot be disaggregated by characteristics such as hours worked, hourly wage, industry or occupation of employment.</w:t>
      </w:r>
    </w:p>
    <w:p w14:paraId="0663C23D" w14:textId="77777777" w:rsidR="00BB07A2" w:rsidRPr="00603981" w:rsidRDefault="00BB07A2" w:rsidP="00BB07A2">
      <w:pPr>
        <w:numPr>
          <w:ilvl w:val="0"/>
          <w:numId w:val="12"/>
        </w:numPr>
        <w:spacing w:after="160" w:line="259" w:lineRule="auto"/>
        <w:rPr>
          <w:rFonts w:cstheme="minorHAnsi"/>
        </w:rPr>
      </w:pPr>
      <w:r w:rsidRPr="00603981">
        <w:t>ABS data is limited to businesses and their employees classified to the ANZSIC 4-digit industry class of ‘labour supply services’. This includes a small number of ‘direct’ employees of labour hire firms (e.g., administrative, managerial and support staff).</w:t>
      </w:r>
      <w:r w:rsidRPr="00603981">
        <w:rPr>
          <w:vertAlign w:val="superscript"/>
        </w:rPr>
        <w:footnoteReference w:id="101"/>
      </w:r>
      <w:r w:rsidRPr="00603981">
        <w:t xml:space="preserve"> </w:t>
      </w:r>
      <w:r>
        <w:t>If arrangements that may be caught by the Government’s proposal have been classified using a different industry class, they will not be reflected in the calculations above.</w:t>
      </w:r>
    </w:p>
    <w:p w14:paraId="3C1F63D8" w14:textId="76F041F3" w:rsidR="00BB07A2" w:rsidRDefault="00BB07A2" w:rsidP="00BB07A2">
      <w:pPr>
        <w:numPr>
          <w:ilvl w:val="0"/>
          <w:numId w:val="12"/>
        </w:numPr>
        <w:spacing w:after="160" w:line="259" w:lineRule="auto"/>
      </w:pPr>
      <w:r>
        <w:rPr>
          <w:rFonts w:eastAsia="Times New Roman"/>
        </w:rPr>
        <w:t xml:space="preserve">ABS data on internal labour hire </w:t>
      </w:r>
      <w:r w:rsidR="00A1113E">
        <w:rPr>
          <w:rFonts w:eastAsia="Times New Roman"/>
        </w:rPr>
        <w:t xml:space="preserve">employees </w:t>
      </w:r>
      <w:r>
        <w:rPr>
          <w:rFonts w:eastAsia="Times New Roman"/>
        </w:rPr>
        <w:t xml:space="preserve">and their working arrangements is not available through the Labour Supply Services industry disaggregation. As set out in answer to Impact Analysis Question 4, it is assumed the characteristics of this group of approximately 6,000 labour hire </w:t>
      </w:r>
      <w:r w:rsidR="00A1113E">
        <w:rPr>
          <w:rFonts w:eastAsia="Times New Roman"/>
        </w:rPr>
        <w:t xml:space="preserve">employees </w:t>
      </w:r>
      <w:r>
        <w:rPr>
          <w:rFonts w:eastAsia="Times New Roman"/>
        </w:rPr>
        <w:t xml:space="preserve">are the same as the characteristics of the broader group of labour hire </w:t>
      </w:r>
      <w:r w:rsidR="00A1113E">
        <w:rPr>
          <w:rFonts w:eastAsia="Times New Roman"/>
        </w:rPr>
        <w:t>employees</w:t>
      </w:r>
      <w:r>
        <w:rPr>
          <w:rFonts w:eastAsia="Times New Roman"/>
        </w:rPr>
        <w:t>, for whom there is ABS data available on earnings and working arrangements.</w:t>
      </w:r>
    </w:p>
    <w:p w14:paraId="1B462C77" w14:textId="40C1515D" w:rsidR="00BB07A2" w:rsidRPr="00603981" w:rsidRDefault="00BB07A2" w:rsidP="00BB07A2">
      <w:pPr>
        <w:numPr>
          <w:ilvl w:val="0"/>
          <w:numId w:val="12"/>
        </w:numPr>
        <w:spacing w:after="160" w:line="259" w:lineRule="auto"/>
      </w:pPr>
      <w:r w:rsidRPr="00603981">
        <w:t xml:space="preserve">It </w:t>
      </w:r>
      <w:r>
        <w:t>is</w:t>
      </w:r>
      <w:r w:rsidRPr="00603981">
        <w:t xml:space="preserve"> assumed there are no changes, aside from a wage increase for the eligible </w:t>
      </w:r>
      <w:r w:rsidR="00A1113E">
        <w:t>employees</w:t>
      </w:r>
      <w:r w:rsidRPr="00603981">
        <w:t xml:space="preserve">, to the working arrangements of </w:t>
      </w:r>
      <w:r w:rsidR="00A1113E">
        <w:t>labour hire employees</w:t>
      </w:r>
      <w:r w:rsidRPr="00603981">
        <w:t xml:space="preserve">. </w:t>
      </w:r>
    </w:p>
    <w:p w14:paraId="6E248048" w14:textId="22B2D8A8" w:rsidR="00BB07A2" w:rsidRPr="00603981" w:rsidRDefault="00BB07A2" w:rsidP="00BB07A2">
      <w:pPr>
        <w:numPr>
          <w:ilvl w:val="1"/>
          <w:numId w:val="12"/>
        </w:numPr>
        <w:spacing w:after="160" w:line="259" w:lineRule="auto"/>
        <w:rPr>
          <w:rStyle w:val="ui-provider"/>
        </w:rPr>
      </w:pPr>
      <w:r w:rsidRPr="00603981">
        <w:rPr>
          <w:rStyle w:val="ui-provider"/>
        </w:rPr>
        <w:t xml:space="preserve">Specific outcomes, such as changes in hours worked, are dependent on the approach that </w:t>
      </w:r>
      <w:r w:rsidR="00A1113E">
        <w:rPr>
          <w:rStyle w:val="ui-provider"/>
        </w:rPr>
        <w:t>different parties</w:t>
      </w:r>
      <w:r w:rsidRPr="00603981">
        <w:rPr>
          <w:rStyle w:val="ui-provider"/>
        </w:rPr>
        <w:t xml:space="preserve"> take to the amended provisions. </w:t>
      </w:r>
    </w:p>
    <w:p w14:paraId="095A4D0F" w14:textId="422E6518" w:rsidR="00BB07A2" w:rsidRPr="00603981" w:rsidRDefault="00BB07A2" w:rsidP="00BB07A2">
      <w:pPr>
        <w:numPr>
          <w:ilvl w:val="1"/>
          <w:numId w:val="12"/>
        </w:numPr>
        <w:spacing w:after="160" w:line="259" w:lineRule="auto"/>
      </w:pPr>
      <w:r w:rsidRPr="00603981">
        <w:rPr>
          <w:rStyle w:val="ui-provider"/>
        </w:rPr>
        <w:t xml:space="preserve">In order to include a more detailed estimate about potential changes to working arrangements in labour hire </w:t>
      </w:r>
      <w:r w:rsidR="00BF06E9">
        <w:rPr>
          <w:rStyle w:val="ui-provider"/>
        </w:rPr>
        <w:t>employer businesses</w:t>
      </w:r>
      <w:r w:rsidRPr="00603981">
        <w:rPr>
          <w:rStyle w:val="ui-provider"/>
        </w:rPr>
        <w:t xml:space="preserve">, further assumptions would need to be made about the behaviour and decisions of independent parties, as well as the interaction between various other measures in the </w:t>
      </w:r>
      <w:r>
        <w:rPr>
          <w:rStyle w:val="ui-provider"/>
        </w:rPr>
        <w:t>b</w:t>
      </w:r>
      <w:r w:rsidRPr="00603981">
        <w:rPr>
          <w:rStyle w:val="ui-provider"/>
        </w:rPr>
        <w:t>ill and other government reforms</w:t>
      </w:r>
      <w:r w:rsidR="00BF06E9">
        <w:rPr>
          <w:rStyle w:val="ui-provider"/>
        </w:rPr>
        <w:t>,</w:t>
      </w:r>
      <w:r w:rsidRPr="00603981">
        <w:rPr>
          <w:rStyle w:val="ui-provider"/>
        </w:rPr>
        <w:t xml:space="preserve"> and any changes in broader economic conditions.</w:t>
      </w:r>
      <w:r w:rsidRPr="00603981">
        <w:t xml:space="preserve"> </w:t>
      </w:r>
    </w:p>
    <w:p w14:paraId="684AF883" w14:textId="74C38293" w:rsidR="00BB07A2" w:rsidRPr="00603981" w:rsidRDefault="00BB07A2" w:rsidP="00BB07A2">
      <w:pPr>
        <w:numPr>
          <w:ilvl w:val="0"/>
          <w:numId w:val="12"/>
        </w:numPr>
        <w:spacing w:after="160" w:line="259" w:lineRule="auto"/>
        <w:rPr>
          <w:rFonts w:ascii="Calibri" w:eastAsia="Calibri" w:hAnsi="Calibri" w:cs="Calibri"/>
          <w:color w:val="000000" w:themeColor="text1"/>
        </w:rPr>
      </w:pPr>
      <w:r w:rsidRPr="717F6999">
        <w:t xml:space="preserve">It is assumed that the coverage of enterprise agreements </w:t>
      </w:r>
      <w:r w:rsidR="00BF06E9">
        <w:t>in hosts</w:t>
      </w:r>
      <w:r w:rsidRPr="717F6999">
        <w:t xml:space="preserve"> reflects the coverage of enterprise agreements for all employers within relevant industries. </w:t>
      </w:r>
      <w:r w:rsidRPr="717F6999">
        <w:rPr>
          <w:rStyle w:val="ui-provider"/>
        </w:rPr>
        <w:t>This assumption has been made because there is no data available on how many businesses use labour hire and whether those businesses have enterprise agreements.</w:t>
      </w:r>
    </w:p>
    <w:p w14:paraId="68E4919D" w14:textId="0B752835" w:rsidR="331E6ADD" w:rsidRDefault="331E6ADD" w:rsidP="717F6999">
      <w:pPr>
        <w:numPr>
          <w:ilvl w:val="0"/>
          <w:numId w:val="12"/>
        </w:numPr>
        <w:spacing w:after="160" w:line="259" w:lineRule="auto"/>
        <w:rPr>
          <w:rStyle w:val="ui-provider"/>
          <w:rFonts w:ascii="Calibri" w:eastAsia="Calibri" w:hAnsi="Calibri" w:cs="Calibri"/>
          <w:color w:val="000000" w:themeColor="text1"/>
        </w:rPr>
      </w:pPr>
      <w:r w:rsidRPr="717F6999">
        <w:rPr>
          <w:rStyle w:val="ui-provider"/>
          <w:rFonts w:ascii="Calibri" w:eastAsia="Calibri" w:hAnsi="Calibri" w:cs="Calibri"/>
          <w:color w:val="000000" w:themeColor="text1"/>
        </w:rPr>
        <w:t xml:space="preserve">It is assumed that the proportion of labour hire employees </w:t>
      </w:r>
      <w:r w:rsidR="1FE4E9FF" w:rsidRPr="717F6999">
        <w:rPr>
          <w:rStyle w:val="ui-provider"/>
          <w:rFonts w:ascii="Calibri" w:eastAsia="Calibri" w:hAnsi="Calibri" w:cs="Calibri"/>
          <w:color w:val="000000" w:themeColor="text1"/>
        </w:rPr>
        <w:t>working for host</w:t>
      </w:r>
      <w:r w:rsidR="008817F4">
        <w:rPr>
          <w:rStyle w:val="ui-provider"/>
          <w:rFonts w:ascii="Calibri" w:eastAsia="Calibri" w:hAnsi="Calibri" w:cs="Calibri"/>
          <w:color w:val="000000" w:themeColor="text1"/>
        </w:rPr>
        <w:t>s</w:t>
      </w:r>
      <w:r w:rsidR="1FE4E9FF" w:rsidRPr="717F6999">
        <w:rPr>
          <w:rStyle w:val="ui-provider"/>
          <w:rFonts w:ascii="Calibri" w:eastAsia="Calibri" w:hAnsi="Calibri" w:cs="Calibri"/>
          <w:color w:val="000000" w:themeColor="text1"/>
        </w:rPr>
        <w:t xml:space="preserve"> </w:t>
      </w:r>
      <w:r w:rsidR="5932F510" w:rsidRPr="717F6999">
        <w:rPr>
          <w:rStyle w:val="ui-provider"/>
          <w:rFonts w:ascii="Calibri" w:eastAsia="Calibri" w:hAnsi="Calibri" w:cs="Calibri"/>
          <w:color w:val="000000" w:themeColor="text1"/>
        </w:rPr>
        <w:t>that are small businesses with enterprise agreements</w:t>
      </w:r>
      <w:r w:rsidR="1A280B8C" w:rsidRPr="717F6999">
        <w:rPr>
          <w:rStyle w:val="ui-provider"/>
          <w:rFonts w:ascii="Calibri" w:eastAsia="Calibri" w:hAnsi="Calibri" w:cs="Calibri"/>
          <w:color w:val="000000" w:themeColor="text1"/>
        </w:rPr>
        <w:t xml:space="preserve"> reflects the proportion of all employees </w:t>
      </w:r>
      <w:r w:rsidR="0A5B37D7" w:rsidRPr="717F6999">
        <w:rPr>
          <w:rStyle w:val="ui-provider"/>
          <w:rFonts w:ascii="Calibri" w:eastAsia="Calibri" w:hAnsi="Calibri" w:cs="Calibri"/>
          <w:color w:val="000000" w:themeColor="text1"/>
        </w:rPr>
        <w:t>in small businesses on</w:t>
      </w:r>
      <w:r w:rsidR="1A280B8C" w:rsidRPr="717F6999">
        <w:rPr>
          <w:rStyle w:val="ui-provider"/>
          <w:rFonts w:ascii="Calibri" w:eastAsia="Calibri" w:hAnsi="Calibri" w:cs="Calibri"/>
          <w:color w:val="000000" w:themeColor="text1"/>
        </w:rPr>
        <w:t xml:space="preserve"> enter</w:t>
      </w:r>
      <w:r w:rsidR="0CB18A12" w:rsidRPr="717F6999">
        <w:rPr>
          <w:rStyle w:val="ui-provider"/>
          <w:rFonts w:ascii="Calibri" w:eastAsia="Calibri" w:hAnsi="Calibri" w:cs="Calibri"/>
          <w:color w:val="000000" w:themeColor="text1"/>
        </w:rPr>
        <w:t>pri</w:t>
      </w:r>
      <w:r w:rsidR="1A280B8C" w:rsidRPr="717F6999">
        <w:rPr>
          <w:rStyle w:val="ui-provider"/>
          <w:rFonts w:ascii="Calibri" w:eastAsia="Calibri" w:hAnsi="Calibri" w:cs="Calibri"/>
          <w:color w:val="000000" w:themeColor="text1"/>
        </w:rPr>
        <w:t xml:space="preserve">se </w:t>
      </w:r>
      <w:r w:rsidR="1A135B6A" w:rsidRPr="717F6999">
        <w:rPr>
          <w:rStyle w:val="ui-provider"/>
          <w:rFonts w:ascii="Calibri" w:eastAsia="Calibri" w:hAnsi="Calibri" w:cs="Calibri"/>
          <w:color w:val="000000" w:themeColor="text1"/>
        </w:rPr>
        <w:t>agreements</w:t>
      </w:r>
      <w:r w:rsidR="1A280B8C" w:rsidRPr="717F6999">
        <w:rPr>
          <w:rStyle w:val="ui-provider"/>
          <w:rFonts w:ascii="Calibri" w:eastAsia="Calibri" w:hAnsi="Calibri" w:cs="Calibri"/>
          <w:color w:val="000000" w:themeColor="text1"/>
        </w:rPr>
        <w:t>.</w:t>
      </w:r>
    </w:p>
    <w:p w14:paraId="3CE79120" w14:textId="6A570926" w:rsidR="1A280B8C" w:rsidRDefault="1A280B8C" w:rsidP="00D0307B">
      <w:pPr>
        <w:numPr>
          <w:ilvl w:val="1"/>
          <w:numId w:val="12"/>
        </w:numPr>
        <w:spacing w:after="160" w:line="259" w:lineRule="auto"/>
        <w:rPr>
          <w:rStyle w:val="ui-provider"/>
          <w:rFonts w:ascii="Calibri" w:eastAsia="Calibri" w:hAnsi="Calibri" w:cs="Calibri"/>
          <w:color w:val="000000" w:themeColor="text1"/>
        </w:rPr>
      </w:pPr>
      <w:r w:rsidRPr="0EB12AD4">
        <w:rPr>
          <w:rStyle w:val="ui-provider"/>
          <w:rFonts w:ascii="Calibri" w:eastAsia="Calibri" w:hAnsi="Calibri" w:cs="Calibri"/>
          <w:color w:val="000000" w:themeColor="text1"/>
        </w:rPr>
        <w:lastRenderedPageBreak/>
        <w:t xml:space="preserve">In addition, </w:t>
      </w:r>
      <w:r w:rsidR="53CE3EC0" w:rsidRPr="0EB12AD4">
        <w:rPr>
          <w:rStyle w:val="ui-provider"/>
          <w:rFonts w:ascii="Calibri" w:eastAsia="Calibri" w:hAnsi="Calibri" w:cs="Calibri"/>
          <w:color w:val="000000" w:themeColor="text1"/>
        </w:rPr>
        <w:t xml:space="preserve">while </w:t>
      </w:r>
      <w:r w:rsidR="008817F4">
        <w:rPr>
          <w:rStyle w:val="ui-provider"/>
          <w:rFonts w:ascii="Calibri" w:eastAsia="Calibri" w:hAnsi="Calibri" w:cs="Calibri"/>
          <w:color w:val="000000" w:themeColor="text1"/>
        </w:rPr>
        <w:t>‘</w:t>
      </w:r>
      <w:r w:rsidR="53CE3EC0" w:rsidRPr="0EB12AD4">
        <w:rPr>
          <w:rStyle w:val="ui-provider"/>
          <w:rFonts w:ascii="Calibri" w:eastAsia="Calibri" w:hAnsi="Calibri" w:cs="Calibri"/>
          <w:color w:val="000000" w:themeColor="text1"/>
        </w:rPr>
        <w:t>small business</w:t>
      </w:r>
      <w:r w:rsidR="008817F4">
        <w:rPr>
          <w:rStyle w:val="ui-provider"/>
          <w:rFonts w:ascii="Calibri" w:eastAsia="Calibri" w:hAnsi="Calibri" w:cs="Calibri"/>
          <w:color w:val="000000" w:themeColor="text1"/>
        </w:rPr>
        <w:t>’</w:t>
      </w:r>
      <w:r w:rsidR="53CE3EC0" w:rsidRPr="0EB12AD4">
        <w:rPr>
          <w:rStyle w:val="ui-provider"/>
          <w:rFonts w:ascii="Calibri" w:eastAsia="Calibri" w:hAnsi="Calibri" w:cs="Calibri"/>
          <w:color w:val="000000" w:themeColor="text1"/>
        </w:rPr>
        <w:t xml:space="preserve"> </w:t>
      </w:r>
      <w:r w:rsidR="008817F4">
        <w:rPr>
          <w:rStyle w:val="ui-provider"/>
          <w:rFonts w:ascii="Calibri" w:eastAsia="Calibri" w:hAnsi="Calibri" w:cs="Calibri"/>
          <w:color w:val="000000" w:themeColor="text1"/>
        </w:rPr>
        <w:t xml:space="preserve">for the purposes of this proposal is a business </w:t>
      </w:r>
      <w:r w:rsidR="53CE3EC0" w:rsidRPr="0EB12AD4">
        <w:rPr>
          <w:rStyle w:val="ui-provider"/>
          <w:rFonts w:ascii="Calibri" w:eastAsia="Calibri" w:hAnsi="Calibri" w:cs="Calibri"/>
          <w:color w:val="000000" w:themeColor="text1"/>
        </w:rPr>
        <w:t xml:space="preserve">employing less than 15 employees, </w:t>
      </w:r>
      <w:r w:rsidRPr="0EB12AD4">
        <w:rPr>
          <w:rStyle w:val="ui-provider"/>
          <w:rFonts w:ascii="Calibri" w:eastAsia="Calibri" w:hAnsi="Calibri" w:cs="Calibri"/>
          <w:color w:val="000000" w:themeColor="text1"/>
        </w:rPr>
        <w:t xml:space="preserve">ABS </w:t>
      </w:r>
      <w:r w:rsidR="3AAC8EC6" w:rsidRPr="0EB12AD4">
        <w:rPr>
          <w:rStyle w:val="ui-provider"/>
          <w:rFonts w:ascii="Calibri" w:eastAsia="Calibri" w:hAnsi="Calibri" w:cs="Calibri"/>
          <w:color w:val="000000" w:themeColor="text1"/>
        </w:rPr>
        <w:t xml:space="preserve">data typically define </w:t>
      </w:r>
      <w:r w:rsidR="58C12C94" w:rsidRPr="0EB12AD4">
        <w:rPr>
          <w:rStyle w:val="ui-provider"/>
          <w:rFonts w:ascii="Calibri" w:eastAsia="Calibri" w:hAnsi="Calibri" w:cs="Calibri"/>
          <w:color w:val="000000" w:themeColor="text1"/>
        </w:rPr>
        <w:t>small businesses as those with less than 20 employees</w:t>
      </w:r>
      <w:r w:rsidR="0C10CB42" w:rsidRPr="0EB12AD4">
        <w:rPr>
          <w:rStyle w:val="ui-provider"/>
          <w:rFonts w:ascii="Calibri" w:eastAsia="Calibri" w:hAnsi="Calibri" w:cs="Calibri"/>
          <w:color w:val="000000" w:themeColor="text1"/>
        </w:rPr>
        <w:t>. Accordingly, the estimat</w:t>
      </w:r>
      <w:r w:rsidR="52DAEDDD" w:rsidRPr="0EB12AD4">
        <w:rPr>
          <w:rStyle w:val="ui-provider"/>
          <w:rFonts w:ascii="Calibri" w:eastAsia="Calibri" w:hAnsi="Calibri" w:cs="Calibri"/>
          <w:color w:val="000000" w:themeColor="text1"/>
        </w:rPr>
        <w:t xml:space="preserve">e of 1.8 per cent of employees on enterprise agreements that are employed by small businesses </w:t>
      </w:r>
      <w:r w:rsidR="3FA7E407" w:rsidRPr="0EB12AD4">
        <w:rPr>
          <w:rStyle w:val="ui-provider"/>
          <w:rFonts w:ascii="Calibri" w:eastAsia="Calibri" w:hAnsi="Calibri" w:cs="Calibri"/>
          <w:color w:val="000000" w:themeColor="text1"/>
        </w:rPr>
        <w:t xml:space="preserve">refers to those with </w:t>
      </w:r>
      <w:r w:rsidR="24E285BC" w:rsidRPr="0EB12AD4">
        <w:rPr>
          <w:rStyle w:val="ui-provider"/>
          <w:rFonts w:ascii="Calibri" w:eastAsia="Calibri" w:hAnsi="Calibri" w:cs="Calibri"/>
          <w:color w:val="000000" w:themeColor="text1"/>
        </w:rPr>
        <w:t xml:space="preserve">less than </w:t>
      </w:r>
      <w:r w:rsidR="3FA7E407" w:rsidRPr="0EB12AD4">
        <w:rPr>
          <w:rStyle w:val="ui-provider"/>
          <w:rFonts w:ascii="Calibri" w:eastAsia="Calibri" w:hAnsi="Calibri" w:cs="Calibri"/>
          <w:color w:val="000000" w:themeColor="text1"/>
        </w:rPr>
        <w:t xml:space="preserve">20 employees, which is likely to be a minor overestimate in comparison </w:t>
      </w:r>
      <w:r w:rsidR="003C4384">
        <w:rPr>
          <w:rStyle w:val="ui-provider"/>
          <w:rFonts w:ascii="Calibri" w:eastAsia="Calibri" w:hAnsi="Calibri" w:cs="Calibri"/>
          <w:color w:val="000000" w:themeColor="text1"/>
        </w:rPr>
        <w:t xml:space="preserve">to </w:t>
      </w:r>
      <w:r w:rsidR="3FA7E407" w:rsidRPr="0EB12AD4">
        <w:rPr>
          <w:rStyle w:val="ui-provider"/>
          <w:rFonts w:ascii="Calibri" w:eastAsia="Calibri" w:hAnsi="Calibri" w:cs="Calibri"/>
          <w:color w:val="000000" w:themeColor="text1"/>
        </w:rPr>
        <w:t xml:space="preserve">the share </w:t>
      </w:r>
      <w:r w:rsidR="009C270B">
        <w:rPr>
          <w:rStyle w:val="ui-provider"/>
          <w:rFonts w:ascii="Calibri" w:eastAsia="Calibri" w:hAnsi="Calibri" w:cs="Calibri"/>
          <w:color w:val="000000" w:themeColor="text1"/>
        </w:rPr>
        <w:t xml:space="preserve">of businesses </w:t>
      </w:r>
      <w:r w:rsidR="3FA7E407" w:rsidRPr="0EB12AD4">
        <w:rPr>
          <w:rStyle w:val="ui-provider"/>
          <w:rFonts w:ascii="Calibri" w:eastAsia="Calibri" w:hAnsi="Calibri" w:cs="Calibri"/>
          <w:color w:val="000000" w:themeColor="text1"/>
        </w:rPr>
        <w:t>with less than 15 employees.</w:t>
      </w:r>
    </w:p>
    <w:p w14:paraId="1F2C9F0C" w14:textId="350A7754" w:rsidR="00BB07A2" w:rsidRPr="00D0307B" w:rsidRDefault="5A0B74E0" w:rsidP="00D0307B">
      <w:pPr>
        <w:numPr>
          <w:ilvl w:val="1"/>
          <w:numId w:val="12"/>
        </w:numPr>
        <w:spacing w:after="160" w:line="259" w:lineRule="auto"/>
        <w:rPr>
          <w:rStyle w:val="ui-provider"/>
          <w:rFonts w:ascii="Calibri" w:eastAsia="Calibri" w:hAnsi="Calibri" w:cs="Calibri"/>
          <w:color w:val="000000" w:themeColor="text1"/>
        </w:rPr>
      </w:pPr>
      <w:r w:rsidRPr="717F6999">
        <w:rPr>
          <w:rStyle w:val="ui-provider"/>
          <w:rFonts w:ascii="Calibri" w:eastAsia="Calibri" w:hAnsi="Calibri" w:cs="Calibri"/>
          <w:color w:val="000000" w:themeColor="text1"/>
        </w:rPr>
        <w:t xml:space="preserve">As a result, the final estimated cost to </w:t>
      </w:r>
      <w:r w:rsidR="00C36A4E">
        <w:rPr>
          <w:rStyle w:val="ui-provider"/>
          <w:rFonts w:ascii="Calibri" w:eastAsia="Calibri" w:hAnsi="Calibri" w:cs="Calibri"/>
          <w:color w:val="000000" w:themeColor="text1"/>
        </w:rPr>
        <w:t>business</w:t>
      </w:r>
      <w:r w:rsidRPr="717F6999">
        <w:rPr>
          <w:rStyle w:val="ui-provider"/>
          <w:rFonts w:ascii="Calibri" w:eastAsia="Calibri" w:hAnsi="Calibri" w:cs="Calibri"/>
          <w:color w:val="000000" w:themeColor="text1"/>
        </w:rPr>
        <w:t xml:space="preserve"> is likely to be a very minor </w:t>
      </w:r>
      <w:r w:rsidR="4A93D6A4" w:rsidRPr="717F6999">
        <w:rPr>
          <w:rStyle w:val="ui-provider"/>
          <w:rFonts w:ascii="Calibri" w:eastAsia="Calibri" w:hAnsi="Calibri" w:cs="Calibri"/>
          <w:color w:val="000000" w:themeColor="text1"/>
        </w:rPr>
        <w:t>underestimate</w:t>
      </w:r>
      <w:r w:rsidRPr="717F6999">
        <w:rPr>
          <w:rStyle w:val="ui-provider"/>
          <w:rFonts w:ascii="Calibri" w:eastAsia="Calibri" w:hAnsi="Calibri" w:cs="Calibri"/>
          <w:color w:val="000000" w:themeColor="text1"/>
        </w:rPr>
        <w:t xml:space="preserve">, as it will </w:t>
      </w:r>
      <w:r w:rsidR="1087EE61" w:rsidRPr="717F6999">
        <w:rPr>
          <w:rStyle w:val="ui-provider"/>
          <w:rFonts w:ascii="Calibri" w:eastAsia="Calibri" w:hAnsi="Calibri" w:cs="Calibri"/>
          <w:color w:val="000000" w:themeColor="text1"/>
        </w:rPr>
        <w:t>exclude</w:t>
      </w:r>
      <w:r w:rsidRPr="717F6999">
        <w:rPr>
          <w:rStyle w:val="ui-provider"/>
          <w:rFonts w:ascii="Calibri" w:eastAsia="Calibri" w:hAnsi="Calibri" w:cs="Calibri"/>
          <w:color w:val="000000" w:themeColor="text1"/>
        </w:rPr>
        <w:t xml:space="preserve"> labour hire employees working for host</w:t>
      </w:r>
      <w:r w:rsidR="00BE7CB4">
        <w:rPr>
          <w:rStyle w:val="ui-provider"/>
          <w:rFonts w:ascii="Calibri" w:eastAsia="Calibri" w:hAnsi="Calibri" w:cs="Calibri"/>
          <w:color w:val="000000" w:themeColor="text1"/>
        </w:rPr>
        <w:t>s</w:t>
      </w:r>
      <w:r w:rsidRPr="717F6999">
        <w:rPr>
          <w:rStyle w:val="ui-provider"/>
          <w:rFonts w:ascii="Calibri" w:eastAsia="Calibri" w:hAnsi="Calibri" w:cs="Calibri"/>
          <w:color w:val="000000" w:themeColor="text1"/>
        </w:rPr>
        <w:t xml:space="preserve"> that employ between 15 and 19 people (</w:t>
      </w:r>
      <w:r w:rsidR="004D65A8">
        <w:rPr>
          <w:rStyle w:val="ui-provider"/>
          <w:rFonts w:ascii="Calibri" w:eastAsia="Calibri" w:hAnsi="Calibri" w:cs="Calibri"/>
          <w:color w:val="000000" w:themeColor="text1"/>
        </w:rPr>
        <w:t>to</w:t>
      </w:r>
      <w:r w:rsidRPr="717F6999">
        <w:rPr>
          <w:rStyle w:val="ui-provider"/>
          <w:rFonts w:ascii="Calibri" w:eastAsia="Calibri" w:hAnsi="Calibri" w:cs="Calibri"/>
          <w:color w:val="000000" w:themeColor="text1"/>
        </w:rPr>
        <w:t xml:space="preserve"> whom the policy </w:t>
      </w:r>
      <w:r w:rsidR="64EF27B2" w:rsidRPr="717F6999">
        <w:rPr>
          <w:rStyle w:val="ui-provider"/>
          <w:rFonts w:ascii="Calibri" w:eastAsia="Calibri" w:hAnsi="Calibri" w:cs="Calibri"/>
          <w:color w:val="000000" w:themeColor="text1"/>
        </w:rPr>
        <w:t>would apply).</w:t>
      </w:r>
      <w:r w:rsidR="00395ACD">
        <w:rPr>
          <w:rStyle w:val="ui-provider"/>
          <w:rFonts w:ascii="Calibri" w:eastAsia="Calibri" w:hAnsi="Calibri" w:cs="Calibri"/>
          <w:color w:val="000000" w:themeColor="text1"/>
        </w:rPr>
        <w:t xml:space="preserve"> </w:t>
      </w:r>
      <w:r w:rsidR="00BB07A2" w:rsidRPr="00D0307B">
        <w:rPr>
          <w:rStyle w:val="ui-provider"/>
          <w:rFonts w:ascii="Calibri" w:eastAsia="Calibri" w:hAnsi="Calibri" w:cs="Calibri"/>
          <w:color w:val="000000" w:themeColor="text1"/>
        </w:rPr>
        <w:t xml:space="preserve">Assumptions have been incorporated in relation to the default 3 month surge exemption period, noting parties can apply to the Fair Work Commission to extend or reduce this period </w:t>
      </w:r>
      <w:r w:rsidR="00BE7CB4">
        <w:rPr>
          <w:rStyle w:val="ui-provider"/>
          <w:rFonts w:ascii="Calibri" w:eastAsia="Calibri" w:hAnsi="Calibri" w:cs="Calibri"/>
          <w:color w:val="000000" w:themeColor="text1"/>
        </w:rPr>
        <w:t>in exceptional circumstances</w:t>
      </w:r>
      <w:r w:rsidR="00BB07A2" w:rsidRPr="00D0307B">
        <w:rPr>
          <w:rStyle w:val="ui-provider"/>
          <w:rFonts w:ascii="Calibri" w:eastAsia="Calibri" w:hAnsi="Calibri" w:cs="Calibri"/>
          <w:color w:val="000000" w:themeColor="text1"/>
        </w:rPr>
        <w:t xml:space="preserve">. </w:t>
      </w:r>
    </w:p>
    <w:p w14:paraId="70189C2D" w14:textId="77777777" w:rsidR="00BB07A2" w:rsidRPr="002D2538" w:rsidRDefault="00BB07A2" w:rsidP="00BB07A2">
      <w:pPr>
        <w:pStyle w:val="Heading2"/>
      </w:pPr>
      <w:bookmarkStart w:id="56" w:name="_Toc143696602"/>
      <w:r w:rsidRPr="002D2538">
        <w:t>Tables</w:t>
      </w:r>
      <w:bookmarkEnd w:id="56"/>
    </w:p>
    <w:p w14:paraId="7B2C53B2" w14:textId="77777777" w:rsidR="00BB07A2" w:rsidRPr="000B1354" w:rsidRDefault="00BB07A2" w:rsidP="00BB07A2">
      <w:pPr>
        <w:spacing w:before="200" w:after="40" w:line="259" w:lineRule="auto"/>
        <w:rPr>
          <w:b/>
          <w:bCs/>
          <w:u w:val="single"/>
        </w:rPr>
      </w:pPr>
      <w:r w:rsidRPr="000B1354">
        <w:rPr>
          <w:b/>
          <w:bCs/>
          <w:u w:val="single"/>
        </w:rPr>
        <w:t>Table 1: Estimating host employers with an enterprise agreement by industry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4"/>
        <w:gridCol w:w="1709"/>
        <w:gridCol w:w="1422"/>
        <w:gridCol w:w="1567"/>
        <w:gridCol w:w="1658"/>
      </w:tblGrid>
      <w:tr w:rsidR="00BB07A2" w:rsidRPr="006F4B46" w14:paraId="77FDBE5D" w14:textId="77777777" w:rsidTr="002C04F0">
        <w:trPr>
          <w:trHeight w:val="1275"/>
        </w:trPr>
        <w:tc>
          <w:tcPr>
            <w:tcW w:w="1492" w:type="pct"/>
            <w:shd w:val="clear" w:color="auto" w:fill="404246"/>
            <w:noWrap/>
            <w:vAlign w:val="center"/>
            <w:hideMark/>
          </w:tcPr>
          <w:p w14:paraId="6E93BC7C" w14:textId="77777777" w:rsidR="00BB07A2" w:rsidRPr="00A86E27" w:rsidRDefault="00BB07A2" w:rsidP="002C04F0">
            <w:pPr>
              <w:widowControl w:val="0"/>
              <w:spacing w:before="40" w:after="40" w:line="240" w:lineRule="auto"/>
              <w:jc w:val="center"/>
              <w:rPr>
                <w:rFonts w:eastAsia="Times New Roman" w:cstheme="minorHAnsi"/>
                <w:b/>
                <w:bCs/>
                <w:color w:val="FFFFFF" w:themeColor="background1"/>
                <w:lang w:eastAsia="en-AU"/>
              </w:rPr>
            </w:pPr>
            <w:r w:rsidRPr="00A86E27">
              <w:rPr>
                <w:rFonts w:eastAsia="Times New Roman" w:cstheme="minorHAnsi"/>
                <w:b/>
                <w:bCs/>
                <w:color w:val="FFFFFF" w:themeColor="background1"/>
                <w:lang w:eastAsia="en-AU"/>
              </w:rPr>
              <w:t>Industry</w:t>
            </w:r>
          </w:p>
        </w:tc>
        <w:tc>
          <w:tcPr>
            <w:tcW w:w="943" w:type="pct"/>
            <w:shd w:val="clear" w:color="auto" w:fill="404246"/>
            <w:vAlign w:val="center"/>
            <w:hideMark/>
          </w:tcPr>
          <w:p w14:paraId="34B2E5BF" w14:textId="77777777" w:rsidR="00BB07A2" w:rsidRPr="00A86E27" w:rsidRDefault="00BB07A2" w:rsidP="002C04F0">
            <w:pPr>
              <w:widowControl w:val="0"/>
              <w:spacing w:before="40" w:after="40" w:line="240" w:lineRule="auto"/>
              <w:jc w:val="center"/>
              <w:rPr>
                <w:rFonts w:eastAsia="Times New Roman" w:cstheme="minorHAnsi"/>
                <w:b/>
                <w:color w:val="FFFFFF" w:themeColor="background1"/>
                <w:lang w:eastAsia="en-AU"/>
              </w:rPr>
            </w:pPr>
            <w:r w:rsidRPr="00A86E27">
              <w:rPr>
                <w:rFonts w:eastAsia="Times New Roman" w:cstheme="minorHAnsi"/>
                <w:b/>
                <w:color w:val="FFFFFF" w:themeColor="background1"/>
                <w:lang w:eastAsia="en-AU"/>
              </w:rPr>
              <w:t xml:space="preserve">Share of labour hire </w:t>
            </w:r>
            <w:r w:rsidRPr="00A86E27">
              <w:rPr>
                <w:rFonts w:eastAsia="Times New Roman" w:cstheme="minorHAnsi"/>
                <w:b/>
                <w:bCs/>
                <w:color w:val="FFFFFF" w:themeColor="background1"/>
                <w:lang w:eastAsia="en-AU"/>
              </w:rPr>
              <w:t>employees</w:t>
            </w:r>
            <w:r w:rsidRPr="00A86E27">
              <w:rPr>
                <w:rFonts w:eastAsia="Times New Roman" w:cstheme="minorHAnsi"/>
                <w:b/>
                <w:color w:val="FFFFFF" w:themeColor="background1"/>
                <w:vertAlign w:val="superscript"/>
                <w:lang w:eastAsia="en-AU"/>
              </w:rPr>
              <w:t>1</w:t>
            </w:r>
          </w:p>
        </w:tc>
        <w:tc>
          <w:tcPr>
            <w:tcW w:w="785" w:type="pct"/>
            <w:shd w:val="clear" w:color="auto" w:fill="404246"/>
            <w:vAlign w:val="center"/>
            <w:hideMark/>
          </w:tcPr>
          <w:p w14:paraId="4E249E3D" w14:textId="77777777" w:rsidR="00BB07A2" w:rsidRPr="00A86E27" w:rsidRDefault="00BB07A2" w:rsidP="002C04F0">
            <w:pPr>
              <w:widowControl w:val="0"/>
              <w:spacing w:before="40" w:after="40" w:line="240" w:lineRule="auto"/>
              <w:jc w:val="center"/>
              <w:rPr>
                <w:rFonts w:eastAsia="Times New Roman" w:cstheme="minorHAnsi"/>
                <w:b/>
                <w:color w:val="FFFFFF" w:themeColor="background1"/>
                <w:lang w:eastAsia="en-AU"/>
              </w:rPr>
            </w:pPr>
            <w:r w:rsidRPr="00A86E27">
              <w:rPr>
                <w:rFonts w:eastAsia="Times New Roman" w:cstheme="minorHAnsi"/>
                <w:b/>
                <w:color w:val="FFFFFF" w:themeColor="background1"/>
                <w:lang w:eastAsia="en-AU"/>
              </w:rPr>
              <w:t xml:space="preserve">Estimated number of labour hire </w:t>
            </w:r>
            <w:r w:rsidRPr="00A86E27">
              <w:rPr>
                <w:rFonts w:eastAsia="Times New Roman" w:cstheme="minorHAnsi"/>
                <w:b/>
                <w:bCs/>
                <w:color w:val="FFFFFF" w:themeColor="background1"/>
                <w:lang w:eastAsia="en-AU"/>
              </w:rPr>
              <w:t>employees</w:t>
            </w:r>
            <w:r w:rsidRPr="00A86E27">
              <w:rPr>
                <w:rFonts w:eastAsia="Times New Roman" w:cstheme="minorHAnsi"/>
                <w:b/>
                <w:color w:val="FFFFFF" w:themeColor="background1"/>
                <w:vertAlign w:val="superscript"/>
                <w:lang w:eastAsia="en-AU"/>
              </w:rPr>
              <w:t>2</w:t>
            </w:r>
          </w:p>
        </w:tc>
        <w:tc>
          <w:tcPr>
            <w:tcW w:w="865" w:type="pct"/>
            <w:shd w:val="clear" w:color="auto" w:fill="404246"/>
            <w:vAlign w:val="center"/>
            <w:hideMark/>
          </w:tcPr>
          <w:p w14:paraId="6DD7596F" w14:textId="77777777" w:rsidR="00BB07A2" w:rsidRPr="00A86E27" w:rsidRDefault="00BB07A2" w:rsidP="002C04F0">
            <w:pPr>
              <w:widowControl w:val="0"/>
              <w:spacing w:before="40" w:after="40" w:line="240" w:lineRule="auto"/>
              <w:jc w:val="center"/>
              <w:rPr>
                <w:rFonts w:eastAsia="Times New Roman" w:cstheme="minorHAnsi"/>
                <w:b/>
                <w:color w:val="FFFFFF" w:themeColor="background1"/>
                <w:lang w:eastAsia="en-AU"/>
              </w:rPr>
            </w:pPr>
            <w:r w:rsidRPr="00A86E27">
              <w:rPr>
                <w:rFonts w:eastAsia="Times New Roman" w:cstheme="minorHAnsi"/>
                <w:b/>
                <w:color w:val="FFFFFF" w:themeColor="background1"/>
                <w:lang w:eastAsia="en-AU"/>
              </w:rPr>
              <w:t xml:space="preserve">Proportion of employees on enterprise </w:t>
            </w:r>
            <w:r w:rsidRPr="00A86E27">
              <w:rPr>
                <w:rFonts w:eastAsia="Times New Roman" w:cstheme="minorHAnsi"/>
                <w:b/>
                <w:bCs/>
                <w:color w:val="FFFFFF" w:themeColor="background1"/>
                <w:lang w:eastAsia="en-AU"/>
              </w:rPr>
              <w:t>agreements</w:t>
            </w:r>
            <w:r w:rsidRPr="00A86E27">
              <w:rPr>
                <w:rFonts w:eastAsia="Times New Roman" w:cstheme="minorHAnsi"/>
                <w:b/>
                <w:color w:val="FFFFFF" w:themeColor="background1"/>
                <w:vertAlign w:val="superscript"/>
                <w:lang w:eastAsia="en-AU"/>
              </w:rPr>
              <w:t>3</w:t>
            </w:r>
          </w:p>
        </w:tc>
        <w:tc>
          <w:tcPr>
            <w:tcW w:w="915" w:type="pct"/>
            <w:shd w:val="clear" w:color="auto" w:fill="404246"/>
            <w:vAlign w:val="center"/>
            <w:hideMark/>
          </w:tcPr>
          <w:p w14:paraId="798ED7E7" w14:textId="77777777" w:rsidR="00BB07A2" w:rsidRPr="00A86E27" w:rsidRDefault="00BB07A2" w:rsidP="002C04F0">
            <w:pPr>
              <w:widowControl w:val="0"/>
              <w:spacing w:before="40" w:after="40" w:line="240" w:lineRule="auto"/>
              <w:jc w:val="center"/>
              <w:rPr>
                <w:rFonts w:eastAsia="Times New Roman" w:cstheme="minorHAnsi"/>
                <w:b/>
                <w:color w:val="FFFFFF" w:themeColor="background1"/>
                <w:vertAlign w:val="superscript"/>
                <w:lang w:eastAsia="en-AU"/>
              </w:rPr>
            </w:pPr>
            <w:r w:rsidRPr="00A86E27">
              <w:rPr>
                <w:rFonts w:eastAsia="Times New Roman" w:cstheme="minorHAnsi"/>
                <w:b/>
                <w:color w:val="FFFFFF" w:themeColor="background1"/>
                <w:lang w:eastAsia="en-AU"/>
              </w:rPr>
              <w:t xml:space="preserve">Estimated number of labour hire employees on enterprise </w:t>
            </w:r>
            <w:r w:rsidRPr="00A86E27">
              <w:rPr>
                <w:rFonts w:eastAsia="Times New Roman" w:cstheme="minorHAnsi"/>
                <w:b/>
                <w:bCs/>
                <w:color w:val="FFFFFF" w:themeColor="background1"/>
                <w:lang w:eastAsia="en-AU"/>
              </w:rPr>
              <w:t>agreements</w:t>
            </w:r>
            <w:r w:rsidRPr="00A86E27">
              <w:rPr>
                <w:rFonts w:eastAsia="Times New Roman" w:cstheme="minorHAnsi"/>
                <w:b/>
                <w:color w:val="FFFFFF" w:themeColor="background1"/>
                <w:vertAlign w:val="superscript"/>
                <w:lang w:eastAsia="en-AU"/>
              </w:rPr>
              <w:t>2</w:t>
            </w:r>
          </w:p>
        </w:tc>
      </w:tr>
      <w:tr w:rsidR="00BB07A2" w:rsidRPr="006F4B46" w14:paraId="61D1F15C" w14:textId="77777777" w:rsidTr="002C04F0">
        <w:trPr>
          <w:trHeight w:val="255"/>
        </w:trPr>
        <w:tc>
          <w:tcPr>
            <w:tcW w:w="1492" w:type="pct"/>
            <w:shd w:val="clear" w:color="auto" w:fill="auto"/>
            <w:noWrap/>
            <w:vAlign w:val="bottom"/>
            <w:hideMark/>
          </w:tcPr>
          <w:p w14:paraId="5C7CE2F4" w14:textId="77777777" w:rsidR="00BB07A2" w:rsidRPr="00A86E27" w:rsidRDefault="00BB07A2" w:rsidP="002C04F0">
            <w:pPr>
              <w:widowControl w:val="0"/>
              <w:spacing w:before="40" w:after="40" w:line="240" w:lineRule="auto"/>
              <w:rPr>
                <w:rFonts w:eastAsia="Times New Roman" w:cstheme="minorHAnsi"/>
                <w:lang w:eastAsia="en-AU"/>
              </w:rPr>
            </w:pPr>
            <w:r w:rsidRPr="00A86E27">
              <w:rPr>
                <w:rFonts w:eastAsia="Times New Roman" w:cstheme="minorHAnsi"/>
                <w:lang w:eastAsia="en-AU"/>
              </w:rPr>
              <w:t>Agriculture, Forestry and Fishing</w:t>
            </w:r>
          </w:p>
        </w:tc>
        <w:tc>
          <w:tcPr>
            <w:tcW w:w="943" w:type="pct"/>
            <w:shd w:val="clear" w:color="auto" w:fill="auto"/>
            <w:noWrap/>
            <w:vAlign w:val="bottom"/>
            <w:hideMark/>
          </w:tcPr>
          <w:p w14:paraId="3E1B9D82"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2.2%</w:t>
            </w:r>
          </w:p>
        </w:tc>
        <w:tc>
          <w:tcPr>
            <w:tcW w:w="785" w:type="pct"/>
            <w:shd w:val="clear" w:color="auto" w:fill="auto"/>
            <w:noWrap/>
            <w:vAlign w:val="bottom"/>
            <w:hideMark/>
          </w:tcPr>
          <w:p w14:paraId="44764929"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7,168</w:t>
            </w:r>
          </w:p>
        </w:tc>
        <w:tc>
          <w:tcPr>
            <w:tcW w:w="865" w:type="pct"/>
            <w:shd w:val="clear" w:color="auto" w:fill="auto"/>
            <w:noWrap/>
            <w:vAlign w:val="bottom"/>
            <w:hideMark/>
          </w:tcPr>
          <w:p w14:paraId="08E187EF"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0.0%</w:t>
            </w:r>
          </w:p>
        </w:tc>
        <w:tc>
          <w:tcPr>
            <w:tcW w:w="915" w:type="pct"/>
            <w:shd w:val="clear" w:color="auto" w:fill="auto"/>
            <w:noWrap/>
            <w:vAlign w:val="bottom"/>
            <w:hideMark/>
          </w:tcPr>
          <w:p w14:paraId="4F288DBA"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0</w:t>
            </w:r>
          </w:p>
        </w:tc>
      </w:tr>
      <w:tr w:rsidR="00BB07A2" w:rsidRPr="006F4B46" w14:paraId="2FB38257" w14:textId="77777777" w:rsidTr="002C04F0">
        <w:trPr>
          <w:trHeight w:val="255"/>
        </w:trPr>
        <w:tc>
          <w:tcPr>
            <w:tcW w:w="1492" w:type="pct"/>
            <w:shd w:val="clear" w:color="auto" w:fill="auto"/>
            <w:noWrap/>
            <w:vAlign w:val="bottom"/>
            <w:hideMark/>
          </w:tcPr>
          <w:p w14:paraId="4E2539A0" w14:textId="77777777" w:rsidR="00BB07A2" w:rsidRPr="00A86E27" w:rsidRDefault="00BB07A2" w:rsidP="002C04F0">
            <w:pPr>
              <w:widowControl w:val="0"/>
              <w:spacing w:before="40" w:after="40" w:line="240" w:lineRule="auto"/>
              <w:rPr>
                <w:rFonts w:eastAsia="Times New Roman" w:cstheme="minorHAnsi"/>
                <w:lang w:eastAsia="en-AU"/>
              </w:rPr>
            </w:pPr>
            <w:r w:rsidRPr="00A86E27">
              <w:rPr>
                <w:rFonts w:eastAsia="Times New Roman" w:cstheme="minorHAnsi"/>
                <w:lang w:eastAsia="en-AU"/>
              </w:rPr>
              <w:t>Mining</w:t>
            </w:r>
          </w:p>
        </w:tc>
        <w:tc>
          <w:tcPr>
            <w:tcW w:w="943" w:type="pct"/>
            <w:shd w:val="clear" w:color="auto" w:fill="auto"/>
            <w:noWrap/>
            <w:vAlign w:val="bottom"/>
            <w:hideMark/>
          </w:tcPr>
          <w:p w14:paraId="05209BDA"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5.4%</w:t>
            </w:r>
          </w:p>
        </w:tc>
        <w:tc>
          <w:tcPr>
            <w:tcW w:w="785" w:type="pct"/>
            <w:shd w:val="clear" w:color="auto" w:fill="auto"/>
            <w:noWrap/>
            <w:vAlign w:val="bottom"/>
            <w:hideMark/>
          </w:tcPr>
          <w:p w14:paraId="4F079CD0"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17,248</w:t>
            </w:r>
          </w:p>
        </w:tc>
        <w:tc>
          <w:tcPr>
            <w:tcW w:w="865" w:type="pct"/>
            <w:shd w:val="clear" w:color="auto" w:fill="auto"/>
            <w:noWrap/>
            <w:vAlign w:val="bottom"/>
            <w:hideMark/>
          </w:tcPr>
          <w:p w14:paraId="7217AE40"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37.2%</w:t>
            </w:r>
          </w:p>
        </w:tc>
        <w:tc>
          <w:tcPr>
            <w:tcW w:w="915" w:type="pct"/>
            <w:shd w:val="clear" w:color="auto" w:fill="auto"/>
            <w:noWrap/>
            <w:vAlign w:val="bottom"/>
            <w:hideMark/>
          </w:tcPr>
          <w:p w14:paraId="1184D386"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6,410</w:t>
            </w:r>
          </w:p>
        </w:tc>
      </w:tr>
      <w:tr w:rsidR="00BB07A2" w:rsidRPr="006F4B46" w14:paraId="53318AB1" w14:textId="77777777" w:rsidTr="002C04F0">
        <w:trPr>
          <w:trHeight w:val="255"/>
        </w:trPr>
        <w:tc>
          <w:tcPr>
            <w:tcW w:w="1492" w:type="pct"/>
            <w:shd w:val="clear" w:color="auto" w:fill="auto"/>
            <w:noWrap/>
            <w:vAlign w:val="bottom"/>
            <w:hideMark/>
          </w:tcPr>
          <w:p w14:paraId="149C0219" w14:textId="77777777" w:rsidR="00BB07A2" w:rsidRPr="00A86E27" w:rsidRDefault="00BB07A2" w:rsidP="002C04F0">
            <w:pPr>
              <w:widowControl w:val="0"/>
              <w:spacing w:before="40" w:after="40" w:line="240" w:lineRule="auto"/>
              <w:rPr>
                <w:rFonts w:eastAsia="Times New Roman" w:cstheme="minorHAnsi"/>
                <w:lang w:eastAsia="en-AU"/>
              </w:rPr>
            </w:pPr>
            <w:r w:rsidRPr="00A86E27">
              <w:rPr>
                <w:rFonts w:eastAsia="Times New Roman" w:cstheme="minorHAnsi"/>
                <w:lang w:eastAsia="en-AU"/>
              </w:rPr>
              <w:t>Manufacturing</w:t>
            </w:r>
          </w:p>
        </w:tc>
        <w:tc>
          <w:tcPr>
            <w:tcW w:w="943" w:type="pct"/>
            <w:shd w:val="clear" w:color="auto" w:fill="auto"/>
            <w:noWrap/>
            <w:vAlign w:val="bottom"/>
            <w:hideMark/>
          </w:tcPr>
          <w:p w14:paraId="40093F4A"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13.0%</w:t>
            </w:r>
          </w:p>
        </w:tc>
        <w:tc>
          <w:tcPr>
            <w:tcW w:w="785" w:type="pct"/>
            <w:shd w:val="clear" w:color="auto" w:fill="auto"/>
            <w:noWrap/>
            <w:vAlign w:val="bottom"/>
            <w:hideMark/>
          </w:tcPr>
          <w:p w14:paraId="3DCDDB4A"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41,663</w:t>
            </w:r>
          </w:p>
        </w:tc>
        <w:tc>
          <w:tcPr>
            <w:tcW w:w="865" w:type="pct"/>
            <w:shd w:val="clear" w:color="auto" w:fill="auto"/>
            <w:noWrap/>
            <w:vAlign w:val="bottom"/>
            <w:hideMark/>
          </w:tcPr>
          <w:p w14:paraId="1D6284D2"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21.4%</w:t>
            </w:r>
          </w:p>
        </w:tc>
        <w:tc>
          <w:tcPr>
            <w:tcW w:w="915" w:type="pct"/>
            <w:shd w:val="clear" w:color="auto" w:fill="auto"/>
            <w:noWrap/>
            <w:vAlign w:val="bottom"/>
            <w:hideMark/>
          </w:tcPr>
          <w:p w14:paraId="678E2515"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8,916</w:t>
            </w:r>
          </w:p>
        </w:tc>
      </w:tr>
      <w:tr w:rsidR="00BB07A2" w:rsidRPr="006F4B46" w14:paraId="4BC219E5" w14:textId="77777777" w:rsidTr="002C04F0">
        <w:trPr>
          <w:trHeight w:val="255"/>
        </w:trPr>
        <w:tc>
          <w:tcPr>
            <w:tcW w:w="1492" w:type="pct"/>
            <w:shd w:val="clear" w:color="auto" w:fill="auto"/>
            <w:noWrap/>
            <w:vAlign w:val="bottom"/>
            <w:hideMark/>
          </w:tcPr>
          <w:p w14:paraId="2EA29001" w14:textId="77777777" w:rsidR="00BB07A2" w:rsidRPr="00A86E27" w:rsidRDefault="00BB07A2" w:rsidP="002C04F0">
            <w:pPr>
              <w:widowControl w:val="0"/>
              <w:spacing w:before="40" w:after="40" w:line="240" w:lineRule="auto"/>
              <w:rPr>
                <w:rFonts w:eastAsia="Times New Roman" w:cstheme="minorHAnsi"/>
                <w:lang w:eastAsia="en-AU"/>
              </w:rPr>
            </w:pPr>
            <w:r w:rsidRPr="00A86E27">
              <w:rPr>
                <w:rFonts w:eastAsia="Times New Roman" w:cstheme="minorHAnsi"/>
                <w:lang w:eastAsia="en-AU"/>
              </w:rPr>
              <w:t>Electricity, Gas, Water and Waste Services</w:t>
            </w:r>
          </w:p>
        </w:tc>
        <w:tc>
          <w:tcPr>
            <w:tcW w:w="943" w:type="pct"/>
            <w:shd w:val="clear" w:color="auto" w:fill="auto"/>
            <w:noWrap/>
            <w:vAlign w:val="bottom"/>
            <w:hideMark/>
          </w:tcPr>
          <w:p w14:paraId="2D7B38D3"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3.2%</w:t>
            </w:r>
          </w:p>
        </w:tc>
        <w:tc>
          <w:tcPr>
            <w:tcW w:w="785" w:type="pct"/>
            <w:shd w:val="clear" w:color="auto" w:fill="auto"/>
            <w:noWrap/>
            <w:vAlign w:val="bottom"/>
            <w:hideMark/>
          </w:tcPr>
          <w:p w14:paraId="6B3FD4E9"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10,080</w:t>
            </w:r>
          </w:p>
        </w:tc>
        <w:tc>
          <w:tcPr>
            <w:tcW w:w="865" w:type="pct"/>
            <w:shd w:val="clear" w:color="auto" w:fill="auto"/>
            <w:noWrap/>
            <w:vAlign w:val="bottom"/>
            <w:hideMark/>
          </w:tcPr>
          <w:p w14:paraId="0AD7DBD2"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59.8%</w:t>
            </w:r>
          </w:p>
        </w:tc>
        <w:tc>
          <w:tcPr>
            <w:tcW w:w="915" w:type="pct"/>
            <w:shd w:val="clear" w:color="auto" w:fill="auto"/>
            <w:noWrap/>
            <w:vAlign w:val="bottom"/>
            <w:hideMark/>
          </w:tcPr>
          <w:p w14:paraId="1618AD6E"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6,028</w:t>
            </w:r>
          </w:p>
        </w:tc>
      </w:tr>
      <w:tr w:rsidR="00BB07A2" w:rsidRPr="006F4B46" w14:paraId="5592C977" w14:textId="77777777" w:rsidTr="002C04F0">
        <w:trPr>
          <w:trHeight w:val="255"/>
        </w:trPr>
        <w:tc>
          <w:tcPr>
            <w:tcW w:w="1492" w:type="pct"/>
            <w:shd w:val="clear" w:color="auto" w:fill="auto"/>
            <w:noWrap/>
            <w:vAlign w:val="bottom"/>
            <w:hideMark/>
          </w:tcPr>
          <w:p w14:paraId="70684439" w14:textId="77777777" w:rsidR="00BB07A2" w:rsidRPr="00A86E27" w:rsidRDefault="00BB07A2" w:rsidP="002C04F0">
            <w:pPr>
              <w:widowControl w:val="0"/>
              <w:spacing w:before="40" w:after="40" w:line="240" w:lineRule="auto"/>
              <w:rPr>
                <w:rFonts w:eastAsia="Times New Roman" w:cstheme="minorHAnsi"/>
                <w:lang w:eastAsia="en-AU"/>
              </w:rPr>
            </w:pPr>
            <w:r w:rsidRPr="00A86E27">
              <w:rPr>
                <w:rFonts w:eastAsia="Times New Roman" w:cstheme="minorHAnsi"/>
                <w:lang w:eastAsia="en-AU"/>
              </w:rPr>
              <w:t>Construction</w:t>
            </w:r>
          </w:p>
        </w:tc>
        <w:tc>
          <w:tcPr>
            <w:tcW w:w="943" w:type="pct"/>
            <w:shd w:val="clear" w:color="auto" w:fill="auto"/>
            <w:noWrap/>
            <w:vAlign w:val="bottom"/>
            <w:hideMark/>
          </w:tcPr>
          <w:p w14:paraId="6B0E3D55"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4.1%</w:t>
            </w:r>
          </w:p>
        </w:tc>
        <w:tc>
          <w:tcPr>
            <w:tcW w:w="785" w:type="pct"/>
            <w:shd w:val="clear" w:color="auto" w:fill="auto"/>
            <w:noWrap/>
            <w:vAlign w:val="bottom"/>
            <w:hideMark/>
          </w:tcPr>
          <w:p w14:paraId="1C53E52F"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13,216</w:t>
            </w:r>
          </w:p>
        </w:tc>
        <w:tc>
          <w:tcPr>
            <w:tcW w:w="865" w:type="pct"/>
            <w:shd w:val="clear" w:color="auto" w:fill="auto"/>
            <w:noWrap/>
            <w:vAlign w:val="bottom"/>
            <w:hideMark/>
          </w:tcPr>
          <w:p w14:paraId="598C06ED"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15.2%</w:t>
            </w:r>
          </w:p>
        </w:tc>
        <w:tc>
          <w:tcPr>
            <w:tcW w:w="915" w:type="pct"/>
            <w:shd w:val="clear" w:color="auto" w:fill="auto"/>
            <w:noWrap/>
            <w:vAlign w:val="bottom"/>
            <w:hideMark/>
          </w:tcPr>
          <w:p w14:paraId="6BF29D8B"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2,007</w:t>
            </w:r>
          </w:p>
        </w:tc>
      </w:tr>
      <w:tr w:rsidR="00BB07A2" w:rsidRPr="006F4B46" w14:paraId="25CEB802" w14:textId="77777777" w:rsidTr="002C04F0">
        <w:trPr>
          <w:trHeight w:val="255"/>
        </w:trPr>
        <w:tc>
          <w:tcPr>
            <w:tcW w:w="1492" w:type="pct"/>
            <w:shd w:val="clear" w:color="auto" w:fill="auto"/>
            <w:noWrap/>
            <w:vAlign w:val="bottom"/>
            <w:hideMark/>
          </w:tcPr>
          <w:p w14:paraId="7B47D0B0" w14:textId="77777777" w:rsidR="00BB07A2" w:rsidRPr="00A86E27" w:rsidRDefault="00BB07A2" w:rsidP="002C04F0">
            <w:pPr>
              <w:widowControl w:val="0"/>
              <w:spacing w:before="40" w:after="40" w:line="240" w:lineRule="auto"/>
              <w:rPr>
                <w:rFonts w:eastAsia="Times New Roman" w:cstheme="minorHAnsi"/>
                <w:lang w:eastAsia="en-AU"/>
              </w:rPr>
            </w:pPr>
            <w:r w:rsidRPr="00A86E27">
              <w:rPr>
                <w:rFonts w:eastAsia="Times New Roman" w:cstheme="minorHAnsi"/>
                <w:lang w:eastAsia="en-AU"/>
              </w:rPr>
              <w:t>Wholesale Trade</w:t>
            </w:r>
          </w:p>
        </w:tc>
        <w:tc>
          <w:tcPr>
            <w:tcW w:w="943" w:type="pct"/>
            <w:shd w:val="clear" w:color="auto" w:fill="auto"/>
            <w:noWrap/>
            <w:vAlign w:val="bottom"/>
            <w:hideMark/>
          </w:tcPr>
          <w:p w14:paraId="0D1DF6D0"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6.9%</w:t>
            </w:r>
          </w:p>
        </w:tc>
        <w:tc>
          <w:tcPr>
            <w:tcW w:w="785" w:type="pct"/>
            <w:shd w:val="clear" w:color="auto" w:fill="auto"/>
            <w:noWrap/>
            <w:vAlign w:val="bottom"/>
            <w:hideMark/>
          </w:tcPr>
          <w:p w14:paraId="51923B3D"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22,175</w:t>
            </w:r>
          </w:p>
        </w:tc>
        <w:tc>
          <w:tcPr>
            <w:tcW w:w="865" w:type="pct"/>
            <w:shd w:val="clear" w:color="auto" w:fill="auto"/>
            <w:noWrap/>
            <w:vAlign w:val="bottom"/>
            <w:hideMark/>
          </w:tcPr>
          <w:p w14:paraId="71F77D68"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10.3%</w:t>
            </w:r>
          </w:p>
        </w:tc>
        <w:tc>
          <w:tcPr>
            <w:tcW w:w="915" w:type="pct"/>
            <w:shd w:val="clear" w:color="auto" w:fill="auto"/>
            <w:noWrap/>
            <w:vAlign w:val="bottom"/>
            <w:hideMark/>
          </w:tcPr>
          <w:p w14:paraId="3E92EE5A"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2,285</w:t>
            </w:r>
          </w:p>
        </w:tc>
      </w:tr>
      <w:tr w:rsidR="00BB07A2" w:rsidRPr="006F4B46" w14:paraId="72B87B15" w14:textId="77777777" w:rsidTr="002C04F0">
        <w:trPr>
          <w:trHeight w:val="255"/>
        </w:trPr>
        <w:tc>
          <w:tcPr>
            <w:tcW w:w="1492" w:type="pct"/>
            <w:shd w:val="clear" w:color="auto" w:fill="auto"/>
            <w:noWrap/>
            <w:vAlign w:val="bottom"/>
            <w:hideMark/>
          </w:tcPr>
          <w:p w14:paraId="0675D8E1" w14:textId="77777777" w:rsidR="00BB07A2" w:rsidRPr="00A86E27" w:rsidRDefault="00BB07A2" w:rsidP="002C04F0">
            <w:pPr>
              <w:widowControl w:val="0"/>
              <w:spacing w:before="40" w:after="40" w:line="240" w:lineRule="auto"/>
              <w:rPr>
                <w:rFonts w:eastAsia="Times New Roman" w:cstheme="minorHAnsi"/>
                <w:lang w:eastAsia="en-AU"/>
              </w:rPr>
            </w:pPr>
            <w:r w:rsidRPr="00A86E27">
              <w:rPr>
                <w:rFonts w:eastAsia="Times New Roman" w:cstheme="minorHAnsi"/>
                <w:lang w:eastAsia="en-AU"/>
              </w:rPr>
              <w:t>Retail Trade</w:t>
            </w:r>
          </w:p>
        </w:tc>
        <w:tc>
          <w:tcPr>
            <w:tcW w:w="943" w:type="pct"/>
            <w:shd w:val="clear" w:color="auto" w:fill="auto"/>
            <w:noWrap/>
            <w:vAlign w:val="bottom"/>
            <w:hideMark/>
          </w:tcPr>
          <w:p w14:paraId="720DF365"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3.2%</w:t>
            </w:r>
          </w:p>
        </w:tc>
        <w:tc>
          <w:tcPr>
            <w:tcW w:w="785" w:type="pct"/>
            <w:shd w:val="clear" w:color="auto" w:fill="auto"/>
            <w:noWrap/>
            <w:vAlign w:val="bottom"/>
            <w:hideMark/>
          </w:tcPr>
          <w:p w14:paraId="1C3F6AB8"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10,080</w:t>
            </w:r>
          </w:p>
        </w:tc>
        <w:tc>
          <w:tcPr>
            <w:tcW w:w="865" w:type="pct"/>
            <w:shd w:val="clear" w:color="auto" w:fill="auto"/>
            <w:noWrap/>
            <w:vAlign w:val="bottom"/>
            <w:hideMark/>
          </w:tcPr>
          <w:p w14:paraId="47EDE697"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38.0%</w:t>
            </w:r>
          </w:p>
        </w:tc>
        <w:tc>
          <w:tcPr>
            <w:tcW w:w="915" w:type="pct"/>
            <w:shd w:val="clear" w:color="auto" w:fill="auto"/>
            <w:noWrap/>
            <w:vAlign w:val="bottom"/>
            <w:hideMark/>
          </w:tcPr>
          <w:p w14:paraId="0CB40F37"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3,835</w:t>
            </w:r>
          </w:p>
        </w:tc>
      </w:tr>
      <w:tr w:rsidR="00BB07A2" w:rsidRPr="006F4B46" w14:paraId="50B79651" w14:textId="77777777" w:rsidTr="002C04F0">
        <w:trPr>
          <w:trHeight w:val="255"/>
        </w:trPr>
        <w:tc>
          <w:tcPr>
            <w:tcW w:w="1492" w:type="pct"/>
            <w:shd w:val="clear" w:color="auto" w:fill="auto"/>
            <w:noWrap/>
            <w:vAlign w:val="bottom"/>
            <w:hideMark/>
          </w:tcPr>
          <w:p w14:paraId="2A56C71F" w14:textId="77777777" w:rsidR="00BB07A2" w:rsidRPr="00A86E27" w:rsidRDefault="00BB07A2" w:rsidP="002C04F0">
            <w:pPr>
              <w:widowControl w:val="0"/>
              <w:spacing w:before="40" w:after="40" w:line="240" w:lineRule="auto"/>
              <w:rPr>
                <w:rFonts w:eastAsia="Times New Roman" w:cstheme="minorHAnsi"/>
                <w:lang w:eastAsia="en-AU"/>
              </w:rPr>
            </w:pPr>
            <w:r w:rsidRPr="00A86E27">
              <w:rPr>
                <w:rFonts w:eastAsia="Times New Roman" w:cstheme="minorHAnsi"/>
                <w:lang w:eastAsia="en-AU"/>
              </w:rPr>
              <w:t>Accommodation and Food Services</w:t>
            </w:r>
          </w:p>
        </w:tc>
        <w:tc>
          <w:tcPr>
            <w:tcW w:w="943" w:type="pct"/>
            <w:shd w:val="clear" w:color="auto" w:fill="auto"/>
            <w:noWrap/>
            <w:vAlign w:val="bottom"/>
            <w:hideMark/>
          </w:tcPr>
          <w:p w14:paraId="5E21B8B7"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3.6%</w:t>
            </w:r>
          </w:p>
        </w:tc>
        <w:tc>
          <w:tcPr>
            <w:tcW w:w="785" w:type="pct"/>
            <w:shd w:val="clear" w:color="auto" w:fill="auto"/>
            <w:noWrap/>
            <w:vAlign w:val="bottom"/>
            <w:hideMark/>
          </w:tcPr>
          <w:p w14:paraId="4EB8371F"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11,424</w:t>
            </w:r>
          </w:p>
        </w:tc>
        <w:tc>
          <w:tcPr>
            <w:tcW w:w="865" w:type="pct"/>
            <w:shd w:val="clear" w:color="auto" w:fill="auto"/>
            <w:noWrap/>
            <w:vAlign w:val="bottom"/>
            <w:hideMark/>
          </w:tcPr>
          <w:p w14:paraId="0C2776A8"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16.3%</w:t>
            </w:r>
          </w:p>
        </w:tc>
        <w:tc>
          <w:tcPr>
            <w:tcW w:w="915" w:type="pct"/>
            <w:shd w:val="clear" w:color="auto" w:fill="auto"/>
            <w:noWrap/>
            <w:vAlign w:val="bottom"/>
            <w:hideMark/>
          </w:tcPr>
          <w:p w14:paraId="60FFCF11"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1,857</w:t>
            </w:r>
          </w:p>
        </w:tc>
      </w:tr>
      <w:tr w:rsidR="00BB07A2" w:rsidRPr="006F4B46" w14:paraId="1A3D343A" w14:textId="77777777" w:rsidTr="002C04F0">
        <w:trPr>
          <w:trHeight w:val="255"/>
        </w:trPr>
        <w:tc>
          <w:tcPr>
            <w:tcW w:w="1492" w:type="pct"/>
            <w:shd w:val="clear" w:color="auto" w:fill="auto"/>
            <w:noWrap/>
            <w:vAlign w:val="bottom"/>
            <w:hideMark/>
          </w:tcPr>
          <w:p w14:paraId="2E0E84C8" w14:textId="77777777" w:rsidR="00BB07A2" w:rsidRPr="00A86E27" w:rsidRDefault="00BB07A2" w:rsidP="002C04F0">
            <w:pPr>
              <w:widowControl w:val="0"/>
              <w:spacing w:before="40" w:after="40" w:line="240" w:lineRule="auto"/>
              <w:rPr>
                <w:rFonts w:eastAsia="Times New Roman" w:cstheme="minorHAnsi"/>
                <w:lang w:eastAsia="en-AU"/>
              </w:rPr>
            </w:pPr>
            <w:r w:rsidRPr="00A86E27">
              <w:rPr>
                <w:rFonts w:eastAsia="Times New Roman" w:cstheme="minorHAnsi"/>
                <w:lang w:eastAsia="en-AU"/>
              </w:rPr>
              <w:t>Transport, Postal and Warehousing</w:t>
            </w:r>
          </w:p>
        </w:tc>
        <w:tc>
          <w:tcPr>
            <w:tcW w:w="943" w:type="pct"/>
            <w:shd w:val="clear" w:color="auto" w:fill="auto"/>
            <w:noWrap/>
            <w:vAlign w:val="bottom"/>
            <w:hideMark/>
          </w:tcPr>
          <w:p w14:paraId="7E08C0F2"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8.8%</w:t>
            </w:r>
          </w:p>
        </w:tc>
        <w:tc>
          <w:tcPr>
            <w:tcW w:w="785" w:type="pct"/>
            <w:shd w:val="clear" w:color="auto" w:fill="auto"/>
            <w:noWrap/>
            <w:vAlign w:val="bottom"/>
            <w:hideMark/>
          </w:tcPr>
          <w:p w14:paraId="30DF1161"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27,999</w:t>
            </w:r>
          </w:p>
        </w:tc>
        <w:tc>
          <w:tcPr>
            <w:tcW w:w="865" w:type="pct"/>
            <w:shd w:val="clear" w:color="auto" w:fill="auto"/>
            <w:noWrap/>
            <w:vAlign w:val="bottom"/>
            <w:hideMark/>
          </w:tcPr>
          <w:p w14:paraId="78AA8DAD"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42.2%</w:t>
            </w:r>
          </w:p>
        </w:tc>
        <w:tc>
          <w:tcPr>
            <w:tcW w:w="915" w:type="pct"/>
            <w:shd w:val="clear" w:color="auto" w:fill="auto"/>
            <w:noWrap/>
            <w:vAlign w:val="bottom"/>
            <w:hideMark/>
          </w:tcPr>
          <w:p w14:paraId="420A2513"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11,810</w:t>
            </w:r>
          </w:p>
        </w:tc>
      </w:tr>
      <w:tr w:rsidR="00BB07A2" w:rsidRPr="006F4B46" w14:paraId="286107EF" w14:textId="77777777" w:rsidTr="002C04F0">
        <w:trPr>
          <w:trHeight w:val="255"/>
        </w:trPr>
        <w:tc>
          <w:tcPr>
            <w:tcW w:w="1492" w:type="pct"/>
            <w:shd w:val="clear" w:color="auto" w:fill="auto"/>
            <w:noWrap/>
            <w:vAlign w:val="bottom"/>
            <w:hideMark/>
          </w:tcPr>
          <w:p w14:paraId="3909653F" w14:textId="77777777" w:rsidR="00BB07A2" w:rsidRPr="00A86E27" w:rsidRDefault="00BB07A2" w:rsidP="002C04F0">
            <w:pPr>
              <w:widowControl w:val="0"/>
              <w:spacing w:before="40" w:after="40" w:line="240" w:lineRule="auto"/>
              <w:rPr>
                <w:rFonts w:eastAsia="Times New Roman" w:cstheme="minorHAnsi"/>
                <w:lang w:eastAsia="en-AU"/>
              </w:rPr>
            </w:pPr>
            <w:r w:rsidRPr="00A86E27">
              <w:rPr>
                <w:rFonts w:eastAsia="Times New Roman" w:cstheme="minorHAnsi"/>
                <w:lang w:eastAsia="en-AU"/>
              </w:rPr>
              <w:t>Information Media and Telecommunications</w:t>
            </w:r>
          </w:p>
        </w:tc>
        <w:tc>
          <w:tcPr>
            <w:tcW w:w="943" w:type="pct"/>
            <w:shd w:val="clear" w:color="auto" w:fill="auto"/>
            <w:noWrap/>
            <w:vAlign w:val="bottom"/>
            <w:hideMark/>
          </w:tcPr>
          <w:p w14:paraId="387DE300"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0.9%</w:t>
            </w:r>
          </w:p>
        </w:tc>
        <w:tc>
          <w:tcPr>
            <w:tcW w:w="785" w:type="pct"/>
            <w:shd w:val="clear" w:color="auto" w:fill="auto"/>
            <w:noWrap/>
            <w:vAlign w:val="bottom"/>
            <w:hideMark/>
          </w:tcPr>
          <w:p w14:paraId="507A4AEB"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2,912</w:t>
            </w:r>
          </w:p>
        </w:tc>
        <w:tc>
          <w:tcPr>
            <w:tcW w:w="865" w:type="pct"/>
            <w:shd w:val="clear" w:color="auto" w:fill="auto"/>
            <w:noWrap/>
            <w:vAlign w:val="bottom"/>
            <w:hideMark/>
          </w:tcPr>
          <w:p w14:paraId="7E9903FE"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31.0%</w:t>
            </w:r>
          </w:p>
        </w:tc>
        <w:tc>
          <w:tcPr>
            <w:tcW w:w="915" w:type="pct"/>
            <w:shd w:val="clear" w:color="auto" w:fill="auto"/>
            <w:noWrap/>
            <w:vAlign w:val="bottom"/>
            <w:hideMark/>
          </w:tcPr>
          <w:p w14:paraId="4F3B1352"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903</w:t>
            </w:r>
          </w:p>
        </w:tc>
      </w:tr>
      <w:tr w:rsidR="00BB07A2" w:rsidRPr="006F4B46" w14:paraId="78A9DC8E" w14:textId="77777777" w:rsidTr="002C04F0">
        <w:trPr>
          <w:trHeight w:val="255"/>
        </w:trPr>
        <w:tc>
          <w:tcPr>
            <w:tcW w:w="1492" w:type="pct"/>
            <w:shd w:val="clear" w:color="auto" w:fill="auto"/>
            <w:noWrap/>
            <w:vAlign w:val="bottom"/>
            <w:hideMark/>
          </w:tcPr>
          <w:p w14:paraId="2D7A18D1" w14:textId="77777777" w:rsidR="00BB07A2" w:rsidRPr="00A86E27" w:rsidRDefault="00BB07A2" w:rsidP="002C04F0">
            <w:pPr>
              <w:widowControl w:val="0"/>
              <w:spacing w:before="40" w:after="40" w:line="240" w:lineRule="auto"/>
              <w:rPr>
                <w:rFonts w:eastAsia="Times New Roman" w:cstheme="minorHAnsi"/>
                <w:lang w:eastAsia="en-AU"/>
              </w:rPr>
            </w:pPr>
            <w:r w:rsidRPr="00A86E27">
              <w:rPr>
                <w:rFonts w:eastAsia="Times New Roman" w:cstheme="minorHAnsi"/>
                <w:lang w:eastAsia="en-AU"/>
              </w:rPr>
              <w:t>Financial and Insurance Services</w:t>
            </w:r>
          </w:p>
        </w:tc>
        <w:tc>
          <w:tcPr>
            <w:tcW w:w="943" w:type="pct"/>
            <w:shd w:val="clear" w:color="auto" w:fill="auto"/>
            <w:noWrap/>
            <w:vAlign w:val="bottom"/>
            <w:hideMark/>
          </w:tcPr>
          <w:p w14:paraId="4016DE38"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5.9%</w:t>
            </w:r>
          </w:p>
        </w:tc>
        <w:tc>
          <w:tcPr>
            <w:tcW w:w="785" w:type="pct"/>
            <w:shd w:val="clear" w:color="auto" w:fill="auto"/>
            <w:noWrap/>
            <w:vAlign w:val="bottom"/>
            <w:hideMark/>
          </w:tcPr>
          <w:p w14:paraId="4857F172"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18,815</w:t>
            </w:r>
          </w:p>
        </w:tc>
        <w:tc>
          <w:tcPr>
            <w:tcW w:w="865" w:type="pct"/>
            <w:shd w:val="clear" w:color="auto" w:fill="auto"/>
            <w:noWrap/>
            <w:vAlign w:val="bottom"/>
            <w:hideMark/>
          </w:tcPr>
          <w:p w14:paraId="70D679DA"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32.1%</w:t>
            </w:r>
          </w:p>
        </w:tc>
        <w:tc>
          <w:tcPr>
            <w:tcW w:w="915" w:type="pct"/>
            <w:shd w:val="clear" w:color="auto" w:fill="auto"/>
            <w:noWrap/>
            <w:vAlign w:val="bottom"/>
            <w:hideMark/>
          </w:tcPr>
          <w:p w14:paraId="6F0D9F6C"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6,045</w:t>
            </w:r>
          </w:p>
        </w:tc>
      </w:tr>
      <w:tr w:rsidR="00BB07A2" w:rsidRPr="006F4B46" w14:paraId="28F2A25C" w14:textId="77777777" w:rsidTr="002C04F0">
        <w:trPr>
          <w:trHeight w:val="255"/>
        </w:trPr>
        <w:tc>
          <w:tcPr>
            <w:tcW w:w="1492" w:type="pct"/>
            <w:shd w:val="clear" w:color="auto" w:fill="auto"/>
            <w:noWrap/>
            <w:vAlign w:val="bottom"/>
            <w:hideMark/>
          </w:tcPr>
          <w:p w14:paraId="277F2A33" w14:textId="77777777" w:rsidR="00BB07A2" w:rsidRPr="00A86E27" w:rsidRDefault="00BB07A2" w:rsidP="002C04F0">
            <w:pPr>
              <w:widowControl w:val="0"/>
              <w:spacing w:before="40" w:after="40" w:line="240" w:lineRule="auto"/>
              <w:rPr>
                <w:rFonts w:eastAsia="Times New Roman" w:cstheme="minorHAnsi"/>
                <w:lang w:eastAsia="en-AU"/>
              </w:rPr>
            </w:pPr>
            <w:r w:rsidRPr="00A86E27">
              <w:rPr>
                <w:rFonts w:eastAsia="Times New Roman" w:cstheme="minorHAnsi"/>
                <w:lang w:eastAsia="en-AU"/>
              </w:rPr>
              <w:t>Rental, Hiring and Real Estate Services</w:t>
            </w:r>
          </w:p>
        </w:tc>
        <w:tc>
          <w:tcPr>
            <w:tcW w:w="943" w:type="pct"/>
            <w:shd w:val="clear" w:color="auto" w:fill="auto"/>
            <w:noWrap/>
            <w:vAlign w:val="bottom"/>
            <w:hideMark/>
          </w:tcPr>
          <w:p w14:paraId="5482AEAF"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1.3%</w:t>
            </w:r>
          </w:p>
        </w:tc>
        <w:tc>
          <w:tcPr>
            <w:tcW w:w="785" w:type="pct"/>
            <w:shd w:val="clear" w:color="auto" w:fill="auto"/>
            <w:noWrap/>
            <w:vAlign w:val="bottom"/>
            <w:hideMark/>
          </w:tcPr>
          <w:p w14:paraId="34744658"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4,032</w:t>
            </w:r>
          </w:p>
        </w:tc>
        <w:tc>
          <w:tcPr>
            <w:tcW w:w="865" w:type="pct"/>
            <w:shd w:val="clear" w:color="auto" w:fill="auto"/>
            <w:noWrap/>
            <w:vAlign w:val="bottom"/>
            <w:hideMark/>
          </w:tcPr>
          <w:p w14:paraId="6BBB5E7B"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7.5%</w:t>
            </w:r>
          </w:p>
        </w:tc>
        <w:tc>
          <w:tcPr>
            <w:tcW w:w="915" w:type="pct"/>
            <w:shd w:val="clear" w:color="auto" w:fill="auto"/>
            <w:noWrap/>
            <w:vAlign w:val="bottom"/>
            <w:hideMark/>
          </w:tcPr>
          <w:p w14:paraId="0E247D96"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302</w:t>
            </w:r>
          </w:p>
        </w:tc>
      </w:tr>
      <w:tr w:rsidR="00BB07A2" w:rsidRPr="006F4B46" w14:paraId="6CA3AE24" w14:textId="77777777" w:rsidTr="002C04F0">
        <w:trPr>
          <w:trHeight w:val="255"/>
        </w:trPr>
        <w:tc>
          <w:tcPr>
            <w:tcW w:w="1492" w:type="pct"/>
            <w:shd w:val="clear" w:color="auto" w:fill="auto"/>
            <w:noWrap/>
            <w:vAlign w:val="bottom"/>
            <w:hideMark/>
          </w:tcPr>
          <w:p w14:paraId="7F4B661B" w14:textId="77777777" w:rsidR="00BB07A2" w:rsidRPr="00A86E27" w:rsidRDefault="00BB07A2" w:rsidP="002C04F0">
            <w:pPr>
              <w:widowControl w:val="0"/>
              <w:spacing w:before="40" w:after="40" w:line="240" w:lineRule="auto"/>
              <w:rPr>
                <w:rFonts w:eastAsia="Times New Roman" w:cstheme="minorHAnsi"/>
                <w:lang w:eastAsia="en-AU"/>
              </w:rPr>
            </w:pPr>
            <w:r w:rsidRPr="00A86E27">
              <w:rPr>
                <w:rFonts w:eastAsia="Times New Roman" w:cstheme="minorHAnsi"/>
                <w:lang w:eastAsia="en-AU"/>
              </w:rPr>
              <w:t>Professional, Scientific and Technical Services</w:t>
            </w:r>
          </w:p>
        </w:tc>
        <w:tc>
          <w:tcPr>
            <w:tcW w:w="943" w:type="pct"/>
            <w:shd w:val="clear" w:color="auto" w:fill="auto"/>
            <w:noWrap/>
            <w:vAlign w:val="bottom"/>
            <w:hideMark/>
          </w:tcPr>
          <w:p w14:paraId="0A990CFA"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5.6%</w:t>
            </w:r>
          </w:p>
        </w:tc>
        <w:tc>
          <w:tcPr>
            <w:tcW w:w="785" w:type="pct"/>
            <w:shd w:val="clear" w:color="auto" w:fill="auto"/>
            <w:noWrap/>
            <w:vAlign w:val="bottom"/>
            <w:hideMark/>
          </w:tcPr>
          <w:p w14:paraId="2C938D57"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17,920</w:t>
            </w:r>
          </w:p>
        </w:tc>
        <w:tc>
          <w:tcPr>
            <w:tcW w:w="865" w:type="pct"/>
            <w:shd w:val="clear" w:color="auto" w:fill="auto"/>
            <w:noWrap/>
            <w:vAlign w:val="bottom"/>
            <w:hideMark/>
          </w:tcPr>
          <w:p w14:paraId="33A21720"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6.7%</w:t>
            </w:r>
          </w:p>
        </w:tc>
        <w:tc>
          <w:tcPr>
            <w:tcW w:w="915" w:type="pct"/>
            <w:shd w:val="clear" w:color="auto" w:fill="auto"/>
            <w:noWrap/>
            <w:vAlign w:val="bottom"/>
            <w:hideMark/>
          </w:tcPr>
          <w:p w14:paraId="6C5DFC44"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1,203</w:t>
            </w:r>
          </w:p>
        </w:tc>
      </w:tr>
      <w:tr w:rsidR="00BB07A2" w:rsidRPr="006F4B46" w14:paraId="364A79A8" w14:textId="77777777" w:rsidTr="002C04F0">
        <w:trPr>
          <w:trHeight w:val="255"/>
        </w:trPr>
        <w:tc>
          <w:tcPr>
            <w:tcW w:w="1492" w:type="pct"/>
            <w:shd w:val="clear" w:color="auto" w:fill="auto"/>
            <w:noWrap/>
            <w:vAlign w:val="bottom"/>
            <w:hideMark/>
          </w:tcPr>
          <w:p w14:paraId="5E5C9B94" w14:textId="77777777" w:rsidR="00BB07A2" w:rsidRPr="00A86E27" w:rsidRDefault="00BB07A2" w:rsidP="002C04F0">
            <w:pPr>
              <w:widowControl w:val="0"/>
              <w:spacing w:before="40" w:after="40" w:line="240" w:lineRule="auto"/>
              <w:rPr>
                <w:rFonts w:eastAsia="Times New Roman" w:cstheme="minorHAnsi"/>
                <w:lang w:eastAsia="en-AU"/>
              </w:rPr>
            </w:pPr>
            <w:r w:rsidRPr="00A86E27">
              <w:rPr>
                <w:rFonts w:eastAsia="Times New Roman" w:cstheme="minorHAnsi"/>
                <w:lang w:eastAsia="en-AU"/>
              </w:rPr>
              <w:t>Administrative and Support Services</w:t>
            </w:r>
          </w:p>
        </w:tc>
        <w:tc>
          <w:tcPr>
            <w:tcW w:w="943" w:type="pct"/>
            <w:shd w:val="clear" w:color="auto" w:fill="auto"/>
            <w:noWrap/>
            <w:vAlign w:val="bottom"/>
            <w:hideMark/>
          </w:tcPr>
          <w:p w14:paraId="21C96A63"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16.2%</w:t>
            </w:r>
          </w:p>
        </w:tc>
        <w:tc>
          <w:tcPr>
            <w:tcW w:w="785" w:type="pct"/>
            <w:shd w:val="clear" w:color="auto" w:fill="auto"/>
            <w:noWrap/>
            <w:vAlign w:val="bottom"/>
            <w:hideMark/>
          </w:tcPr>
          <w:p w14:paraId="470327D7"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51,743</w:t>
            </w:r>
          </w:p>
        </w:tc>
        <w:tc>
          <w:tcPr>
            <w:tcW w:w="865" w:type="pct"/>
            <w:shd w:val="clear" w:color="auto" w:fill="auto"/>
            <w:noWrap/>
            <w:vAlign w:val="bottom"/>
            <w:hideMark/>
          </w:tcPr>
          <w:p w14:paraId="5F1C2EB5"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13.6%</w:t>
            </w:r>
          </w:p>
        </w:tc>
        <w:tc>
          <w:tcPr>
            <w:tcW w:w="915" w:type="pct"/>
            <w:shd w:val="clear" w:color="auto" w:fill="auto"/>
            <w:noWrap/>
            <w:vAlign w:val="bottom"/>
            <w:hideMark/>
          </w:tcPr>
          <w:p w14:paraId="5738BA28"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7,040</w:t>
            </w:r>
          </w:p>
        </w:tc>
      </w:tr>
      <w:tr w:rsidR="00BB07A2" w:rsidRPr="006F4B46" w14:paraId="7B68BB07" w14:textId="77777777" w:rsidTr="002C04F0">
        <w:trPr>
          <w:trHeight w:val="255"/>
        </w:trPr>
        <w:tc>
          <w:tcPr>
            <w:tcW w:w="1492" w:type="pct"/>
            <w:shd w:val="clear" w:color="auto" w:fill="auto"/>
            <w:noWrap/>
            <w:vAlign w:val="bottom"/>
            <w:hideMark/>
          </w:tcPr>
          <w:p w14:paraId="6229F5CD" w14:textId="77777777" w:rsidR="00BB07A2" w:rsidRPr="00A86E27" w:rsidRDefault="00BB07A2" w:rsidP="002C04F0">
            <w:pPr>
              <w:widowControl w:val="0"/>
              <w:spacing w:before="40" w:after="40" w:line="240" w:lineRule="auto"/>
              <w:rPr>
                <w:rFonts w:eastAsia="Times New Roman" w:cstheme="minorHAnsi"/>
                <w:lang w:eastAsia="en-AU"/>
              </w:rPr>
            </w:pPr>
            <w:r w:rsidRPr="00A86E27">
              <w:rPr>
                <w:rFonts w:eastAsia="Times New Roman" w:cstheme="minorHAnsi"/>
                <w:lang w:eastAsia="en-AU"/>
              </w:rPr>
              <w:lastRenderedPageBreak/>
              <w:t>Public Administration and Safety</w:t>
            </w:r>
          </w:p>
        </w:tc>
        <w:tc>
          <w:tcPr>
            <w:tcW w:w="943" w:type="pct"/>
            <w:shd w:val="clear" w:color="auto" w:fill="auto"/>
            <w:noWrap/>
            <w:vAlign w:val="bottom"/>
            <w:hideMark/>
          </w:tcPr>
          <w:p w14:paraId="7EC79628"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7.5%</w:t>
            </w:r>
          </w:p>
        </w:tc>
        <w:tc>
          <w:tcPr>
            <w:tcW w:w="785" w:type="pct"/>
            <w:shd w:val="clear" w:color="auto" w:fill="auto"/>
            <w:noWrap/>
            <w:vAlign w:val="bottom"/>
            <w:hideMark/>
          </w:tcPr>
          <w:p w14:paraId="49D870D2"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23,967</w:t>
            </w:r>
          </w:p>
        </w:tc>
        <w:tc>
          <w:tcPr>
            <w:tcW w:w="865" w:type="pct"/>
            <w:shd w:val="clear" w:color="auto" w:fill="auto"/>
            <w:noWrap/>
            <w:vAlign w:val="bottom"/>
            <w:hideMark/>
          </w:tcPr>
          <w:p w14:paraId="0F6CFE89"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80.2%</w:t>
            </w:r>
          </w:p>
        </w:tc>
        <w:tc>
          <w:tcPr>
            <w:tcW w:w="915" w:type="pct"/>
            <w:shd w:val="clear" w:color="auto" w:fill="auto"/>
            <w:noWrap/>
            <w:vAlign w:val="bottom"/>
            <w:hideMark/>
          </w:tcPr>
          <w:p w14:paraId="636D83DE"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19,232</w:t>
            </w:r>
          </w:p>
        </w:tc>
      </w:tr>
      <w:tr w:rsidR="00BB07A2" w:rsidRPr="006F4B46" w14:paraId="49C4ECD4" w14:textId="77777777" w:rsidTr="002C04F0">
        <w:trPr>
          <w:trHeight w:val="255"/>
        </w:trPr>
        <w:tc>
          <w:tcPr>
            <w:tcW w:w="1492" w:type="pct"/>
            <w:shd w:val="clear" w:color="auto" w:fill="auto"/>
            <w:noWrap/>
            <w:vAlign w:val="bottom"/>
            <w:hideMark/>
          </w:tcPr>
          <w:p w14:paraId="7BDC0482" w14:textId="77777777" w:rsidR="00BB07A2" w:rsidRPr="00A86E27" w:rsidRDefault="00BB07A2" w:rsidP="002C04F0">
            <w:pPr>
              <w:widowControl w:val="0"/>
              <w:spacing w:before="40" w:after="40" w:line="240" w:lineRule="auto"/>
              <w:rPr>
                <w:rFonts w:eastAsia="Times New Roman" w:cstheme="minorHAnsi"/>
                <w:lang w:eastAsia="en-AU"/>
              </w:rPr>
            </w:pPr>
            <w:r w:rsidRPr="00A86E27">
              <w:rPr>
                <w:rFonts w:eastAsia="Times New Roman" w:cstheme="minorHAnsi"/>
                <w:lang w:eastAsia="en-AU"/>
              </w:rPr>
              <w:t>Education and Training</w:t>
            </w:r>
          </w:p>
        </w:tc>
        <w:tc>
          <w:tcPr>
            <w:tcW w:w="943" w:type="pct"/>
            <w:shd w:val="clear" w:color="auto" w:fill="auto"/>
            <w:noWrap/>
            <w:vAlign w:val="bottom"/>
            <w:hideMark/>
          </w:tcPr>
          <w:p w14:paraId="42A5F0ED"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4.6%</w:t>
            </w:r>
          </w:p>
        </w:tc>
        <w:tc>
          <w:tcPr>
            <w:tcW w:w="785" w:type="pct"/>
            <w:shd w:val="clear" w:color="auto" w:fill="auto"/>
            <w:noWrap/>
            <w:vAlign w:val="bottom"/>
            <w:hideMark/>
          </w:tcPr>
          <w:p w14:paraId="73189E1E"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14,784</w:t>
            </w:r>
          </w:p>
        </w:tc>
        <w:tc>
          <w:tcPr>
            <w:tcW w:w="865" w:type="pct"/>
            <w:shd w:val="clear" w:color="auto" w:fill="auto"/>
            <w:noWrap/>
            <w:vAlign w:val="bottom"/>
            <w:hideMark/>
          </w:tcPr>
          <w:p w14:paraId="1276E5EE"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82.2%</w:t>
            </w:r>
          </w:p>
        </w:tc>
        <w:tc>
          <w:tcPr>
            <w:tcW w:w="915" w:type="pct"/>
            <w:shd w:val="clear" w:color="auto" w:fill="auto"/>
            <w:noWrap/>
            <w:vAlign w:val="bottom"/>
            <w:hideMark/>
          </w:tcPr>
          <w:p w14:paraId="765F86D7"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12,150</w:t>
            </w:r>
          </w:p>
        </w:tc>
      </w:tr>
      <w:tr w:rsidR="00BB07A2" w:rsidRPr="006F4B46" w14:paraId="4958F31A" w14:textId="77777777" w:rsidTr="002C04F0">
        <w:trPr>
          <w:trHeight w:val="255"/>
        </w:trPr>
        <w:tc>
          <w:tcPr>
            <w:tcW w:w="1492" w:type="pct"/>
            <w:shd w:val="clear" w:color="auto" w:fill="auto"/>
            <w:noWrap/>
            <w:vAlign w:val="bottom"/>
            <w:hideMark/>
          </w:tcPr>
          <w:p w14:paraId="22BE4B46" w14:textId="77777777" w:rsidR="00BB07A2" w:rsidRPr="00A86E27" w:rsidRDefault="00BB07A2" w:rsidP="002C04F0">
            <w:pPr>
              <w:widowControl w:val="0"/>
              <w:spacing w:before="40" w:after="40" w:line="240" w:lineRule="auto"/>
              <w:rPr>
                <w:rFonts w:eastAsia="Times New Roman" w:cstheme="minorHAnsi"/>
                <w:lang w:eastAsia="en-AU"/>
              </w:rPr>
            </w:pPr>
            <w:r w:rsidRPr="00A86E27">
              <w:rPr>
                <w:rFonts w:eastAsia="Times New Roman" w:cstheme="minorHAnsi"/>
                <w:lang w:eastAsia="en-AU"/>
              </w:rPr>
              <w:t>Health Care and Social Assistance</w:t>
            </w:r>
          </w:p>
        </w:tc>
        <w:tc>
          <w:tcPr>
            <w:tcW w:w="943" w:type="pct"/>
            <w:shd w:val="clear" w:color="auto" w:fill="auto"/>
            <w:noWrap/>
            <w:vAlign w:val="bottom"/>
            <w:hideMark/>
          </w:tcPr>
          <w:p w14:paraId="795A7021"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6.7%</w:t>
            </w:r>
          </w:p>
        </w:tc>
        <w:tc>
          <w:tcPr>
            <w:tcW w:w="785" w:type="pct"/>
            <w:shd w:val="clear" w:color="auto" w:fill="auto"/>
            <w:noWrap/>
            <w:vAlign w:val="bottom"/>
            <w:hideMark/>
          </w:tcPr>
          <w:p w14:paraId="1D8C8891"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21,503</w:t>
            </w:r>
          </w:p>
        </w:tc>
        <w:tc>
          <w:tcPr>
            <w:tcW w:w="865" w:type="pct"/>
            <w:shd w:val="clear" w:color="auto" w:fill="auto"/>
            <w:noWrap/>
            <w:vAlign w:val="bottom"/>
            <w:hideMark/>
          </w:tcPr>
          <w:p w14:paraId="335FEFC7"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47.8%</w:t>
            </w:r>
          </w:p>
        </w:tc>
        <w:tc>
          <w:tcPr>
            <w:tcW w:w="915" w:type="pct"/>
            <w:shd w:val="clear" w:color="auto" w:fill="auto"/>
            <w:noWrap/>
            <w:vAlign w:val="bottom"/>
            <w:hideMark/>
          </w:tcPr>
          <w:p w14:paraId="027E7B9D"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10,281</w:t>
            </w:r>
          </w:p>
        </w:tc>
      </w:tr>
      <w:tr w:rsidR="00BB07A2" w:rsidRPr="006F4B46" w14:paraId="33D6E9DA" w14:textId="77777777" w:rsidTr="002C04F0">
        <w:trPr>
          <w:trHeight w:val="255"/>
        </w:trPr>
        <w:tc>
          <w:tcPr>
            <w:tcW w:w="1492" w:type="pct"/>
            <w:shd w:val="clear" w:color="auto" w:fill="auto"/>
            <w:noWrap/>
            <w:vAlign w:val="bottom"/>
            <w:hideMark/>
          </w:tcPr>
          <w:p w14:paraId="747307B5" w14:textId="77777777" w:rsidR="00BB07A2" w:rsidRPr="00A86E27" w:rsidRDefault="00BB07A2" w:rsidP="002C04F0">
            <w:pPr>
              <w:widowControl w:val="0"/>
              <w:spacing w:before="40" w:after="40" w:line="240" w:lineRule="auto"/>
              <w:rPr>
                <w:rFonts w:eastAsia="Times New Roman" w:cstheme="minorHAnsi"/>
                <w:lang w:eastAsia="en-AU"/>
              </w:rPr>
            </w:pPr>
            <w:r w:rsidRPr="00A86E27">
              <w:rPr>
                <w:rFonts w:eastAsia="Times New Roman" w:cstheme="minorHAnsi"/>
                <w:lang w:eastAsia="en-AU"/>
              </w:rPr>
              <w:t>Arts and Recreation Services</w:t>
            </w:r>
          </w:p>
        </w:tc>
        <w:tc>
          <w:tcPr>
            <w:tcW w:w="943" w:type="pct"/>
            <w:shd w:val="clear" w:color="auto" w:fill="auto"/>
            <w:noWrap/>
            <w:vAlign w:val="bottom"/>
            <w:hideMark/>
          </w:tcPr>
          <w:p w14:paraId="7BFBA4BC"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0.0%</w:t>
            </w:r>
          </w:p>
        </w:tc>
        <w:tc>
          <w:tcPr>
            <w:tcW w:w="785" w:type="pct"/>
            <w:shd w:val="clear" w:color="auto" w:fill="auto"/>
            <w:noWrap/>
            <w:vAlign w:val="bottom"/>
            <w:hideMark/>
          </w:tcPr>
          <w:p w14:paraId="7FEBB568"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0</w:t>
            </w:r>
          </w:p>
        </w:tc>
        <w:tc>
          <w:tcPr>
            <w:tcW w:w="865" w:type="pct"/>
            <w:shd w:val="clear" w:color="auto" w:fill="auto"/>
            <w:noWrap/>
            <w:vAlign w:val="bottom"/>
            <w:hideMark/>
          </w:tcPr>
          <w:p w14:paraId="109B5364"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30.9%</w:t>
            </w:r>
          </w:p>
        </w:tc>
        <w:tc>
          <w:tcPr>
            <w:tcW w:w="915" w:type="pct"/>
            <w:shd w:val="clear" w:color="auto" w:fill="auto"/>
            <w:noWrap/>
            <w:vAlign w:val="bottom"/>
            <w:hideMark/>
          </w:tcPr>
          <w:p w14:paraId="31DAD981"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0</w:t>
            </w:r>
          </w:p>
        </w:tc>
      </w:tr>
      <w:tr w:rsidR="00BB07A2" w:rsidRPr="006F4B46" w14:paraId="5AA8196D" w14:textId="77777777" w:rsidTr="002C04F0">
        <w:trPr>
          <w:trHeight w:val="255"/>
        </w:trPr>
        <w:tc>
          <w:tcPr>
            <w:tcW w:w="1492" w:type="pct"/>
            <w:shd w:val="clear" w:color="auto" w:fill="auto"/>
            <w:noWrap/>
            <w:vAlign w:val="bottom"/>
            <w:hideMark/>
          </w:tcPr>
          <w:p w14:paraId="56D62EAE" w14:textId="77777777" w:rsidR="00BB07A2" w:rsidRPr="00A86E27" w:rsidRDefault="00BB07A2" w:rsidP="002C04F0">
            <w:pPr>
              <w:widowControl w:val="0"/>
              <w:spacing w:before="40" w:after="40" w:line="240" w:lineRule="auto"/>
              <w:rPr>
                <w:rFonts w:eastAsia="Times New Roman" w:cstheme="minorHAnsi"/>
                <w:lang w:eastAsia="en-AU"/>
              </w:rPr>
            </w:pPr>
            <w:r w:rsidRPr="00A86E27">
              <w:rPr>
                <w:rFonts w:eastAsia="Times New Roman" w:cstheme="minorHAnsi"/>
                <w:lang w:eastAsia="en-AU"/>
              </w:rPr>
              <w:t>Other Services</w:t>
            </w:r>
          </w:p>
        </w:tc>
        <w:tc>
          <w:tcPr>
            <w:tcW w:w="943" w:type="pct"/>
            <w:shd w:val="clear" w:color="auto" w:fill="auto"/>
            <w:noWrap/>
            <w:vAlign w:val="bottom"/>
            <w:hideMark/>
          </w:tcPr>
          <w:p w14:paraId="71C9A4EC"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1.0%</w:t>
            </w:r>
          </w:p>
        </w:tc>
        <w:tc>
          <w:tcPr>
            <w:tcW w:w="785" w:type="pct"/>
            <w:shd w:val="clear" w:color="auto" w:fill="auto"/>
            <w:noWrap/>
            <w:vAlign w:val="bottom"/>
            <w:hideMark/>
          </w:tcPr>
          <w:p w14:paraId="5FC8D829"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3,136</w:t>
            </w:r>
          </w:p>
        </w:tc>
        <w:tc>
          <w:tcPr>
            <w:tcW w:w="865" w:type="pct"/>
            <w:shd w:val="clear" w:color="auto" w:fill="auto"/>
            <w:noWrap/>
            <w:vAlign w:val="bottom"/>
            <w:hideMark/>
          </w:tcPr>
          <w:p w14:paraId="3719826C"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8.4%</w:t>
            </w:r>
          </w:p>
        </w:tc>
        <w:tc>
          <w:tcPr>
            <w:tcW w:w="915" w:type="pct"/>
            <w:shd w:val="clear" w:color="auto" w:fill="auto"/>
            <w:noWrap/>
            <w:vAlign w:val="bottom"/>
            <w:hideMark/>
          </w:tcPr>
          <w:p w14:paraId="68AD47CB" w14:textId="77777777" w:rsidR="00BB07A2" w:rsidRPr="00A86E27" w:rsidRDefault="00BB07A2" w:rsidP="002C04F0">
            <w:pPr>
              <w:widowControl w:val="0"/>
              <w:spacing w:before="40" w:after="40" w:line="240" w:lineRule="auto"/>
              <w:jc w:val="right"/>
              <w:rPr>
                <w:rFonts w:eastAsia="Times New Roman" w:cstheme="minorHAnsi"/>
                <w:lang w:eastAsia="en-AU"/>
              </w:rPr>
            </w:pPr>
            <w:r w:rsidRPr="00A86E27">
              <w:rPr>
                <w:rFonts w:eastAsia="Times New Roman" w:cstheme="minorHAnsi"/>
                <w:lang w:eastAsia="en-AU"/>
              </w:rPr>
              <w:t>263</w:t>
            </w:r>
          </w:p>
        </w:tc>
      </w:tr>
      <w:tr w:rsidR="00BB07A2" w:rsidRPr="006F4B46" w14:paraId="78816952" w14:textId="77777777" w:rsidTr="002C04F0">
        <w:trPr>
          <w:trHeight w:val="255"/>
        </w:trPr>
        <w:tc>
          <w:tcPr>
            <w:tcW w:w="1492" w:type="pct"/>
            <w:shd w:val="clear" w:color="auto" w:fill="auto"/>
            <w:noWrap/>
            <w:vAlign w:val="bottom"/>
            <w:hideMark/>
          </w:tcPr>
          <w:p w14:paraId="7DE44CE6" w14:textId="77777777" w:rsidR="00BB07A2" w:rsidRPr="00D0307B" w:rsidRDefault="00BB07A2" w:rsidP="002C04F0">
            <w:pPr>
              <w:widowControl w:val="0"/>
              <w:spacing w:before="40" w:after="40" w:line="240" w:lineRule="auto"/>
              <w:rPr>
                <w:rFonts w:eastAsia="Times New Roman" w:cstheme="minorHAnsi"/>
                <w:b/>
                <w:bCs/>
                <w:lang w:eastAsia="en-AU"/>
              </w:rPr>
            </w:pPr>
            <w:r w:rsidRPr="00D0307B">
              <w:rPr>
                <w:rFonts w:eastAsia="Times New Roman" w:cstheme="minorHAnsi"/>
                <w:b/>
                <w:bCs/>
                <w:lang w:eastAsia="en-AU"/>
              </w:rPr>
              <w:t>Total</w:t>
            </w:r>
          </w:p>
        </w:tc>
        <w:tc>
          <w:tcPr>
            <w:tcW w:w="943" w:type="pct"/>
            <w:shd w:val="clear" w:color="auto" w:fill="auto"/>
            <w:noWrap/>
            <w:vAlign w:val="bottom"/>
            <w:hideMark/>
          </w:tcPr>
          <w:p w14:paraId="3A671FBF" w14:textId="77777777" w:rsidR="00BB07A2" w:rsidRPr="00D0307B" w:rsidRDefault="00BB07A2" w:rsidP="002C04F0">
            <w:pPr>
              <w:widowControl w:val="0"/>
              <w:spacing w:before="40" w:after="40" w:line="240" w:lineRule="auto"/>
              <w:rPr>
                <w:rFonts w:eastAsia="Times New Roman" w:cstheme="minorHAnsi"/>
                <w:b/>
                <w:bCs/>
                <w:lang w:eastAsia="en-AU"/>
              </w:rPr>
            </w:pPr>
          </w:p>
        </w:tc>
        <w:tc>
          <w:tcPr>
            <w:tcW w:w="785" w:type="pct"/>
            <w:shd w:val="clear" w:color="auto" w:fill="auto"/>
            <w:noWrap/>
            <w:vAlign w:val="bottom"/>
            <w:hideMark/>
          </w:tcPr>
          <w:p w14:paraId="2139B689" w14:textId="77777777" w:rsidR="00BB07A2" w:rsidRPr="00D0307B" w:rsidRDefault="00BB07A2" w:rsidP="002C04F0">
            <w:pPr>
              <w:widowControl w:val="0"/>
              <w:spacing w:before="40" w:after="40" w:line="240" w:lineRule="auto"/>
              <w:jc w:val="right"/>
              <w:rPr>
                <w:rFonts w:eastAsia="Times New Roman" w:cstheme="minorHAnsi"/>
                <w:b/>
                <w:bCs/>
                <w:lang w:eastAsia="en-AU"/>
              </w:rPr>
            </w:pPr>
            <w:r w:rsidRPr="00D0307B">
              <w:rPr>
                <w:rFonts w:eastAsia="Times New Roman" w:cstheme="minorHAnsi"/>
                <w:b/>
                <w:bCs/>
                <w:lang w:eastAsia="en-AU"/>
              </w:rPr>
              <w:t>319,863</w:t>
            </w:r>
          </w:p>
        </w:tc>
        <w:tc>
          <w:tcPr>
            <w:tcW w:w="865" w:type="pct"/>
            <w:shd w:val="clear" w:color="auto" w:fill="auto"/>
            <w:noWrap/>
            <w:vAlign w:val="bottom"/>
            <w:hideMark/>
          </w:tcPr>
          <w:p w14:paraId="3E1C5892" w14:textId="77777777" w:rsidR="00BB07A2" w:rsidRPr="00D0307B" w:rsidRDefault="00BB07A2" w:rsidP="002C04F0">
            <w:pPr>
              <w:widowControl w:val="0"/>
              <w:spacing w:before="40" w:after="40" w:line="240" w:lineRule="auto"/>
              <w:jc w:val="right"/>
              <w:rPr>
                <w:rFonts w:eastAsia="Times New Roman" w:cstheme="minorHAnsi"/>
                <w:b/>
                <w:bCs/>
                <w:lang w:eastAsia="en-AU"/>
              </w:rPr>
            </w:pPr>
          </w:p>
        </w:tc>
        <w:tc>
          <w:tcPr>
            <w:tcW w:w="915" w:type="pct"/>
            <w:shd w:val="clear" w:color="auto" w:fill="auto"/>
            <w:noWrap/>
            <w:vAlign w:val="bottom"/>
            <w:hideMark/>
          </w:tcPr>
          <w:p w14:paraId="607EB8B9" w14:textId="77777777" w:rsidR="00BB07A2" w:rsidRPr="00D0307B" w:rsidRDefault="00BB07A2" w:rsidP="002C04F0">
            <w:pPr>
              <w:widowControl w:val="0"/>
              <w:spacing w:before="40" w:after="40" w:line="240" w:lineRule="auto"/>
              <w:jc w:val="right"/>
              <w:rPr>
                <w:rFonts w:eastAsia="Times New Roman" w:cstheme="minorHAnsi"/>
                <w:b/>
                <w:bCs/>
                <w:lang w:eastAsia="en-AU"/>
              </w:rPr>
            </w:pPr>
            <w:r w:rsidRPr="00D0307B">
              <w:rPr>
                <w:rFonts w:eastAsia="Times New Roman" w:cstheme="minorHAnsi"/>
                <w:b/>
                <w:bCs/>
                <w:lang w:eastAsia="en-AU"/>
              </w:rPr>
              <w:t>100,566</w:t>
            </w:r>
          </w:p>
        </w:tc>
      </w:tr>
    </w:tbl>
    <w:p w14:paraId="17B26002" w14:textId="77777777" w:rsidR="00BB07A2" w:rsidRPr="00603981" w:rsidRDefault="00BB07A2" w:rsidP="00BB07A2">
      <w:pPr>
        <w:widowControl w:val="0"/>
        <w:spacing w:after="0" w:line="240" w:lineRule="auto"/>
        <w:rPr>
          <w:sz w:val="18"/>
          <w:szCs w:val="18"/>
        </w:rPr>
      </w:pPr>
      <w:r w:rsidRPr="00603981">
        <w:rPr>
          <w:sz w:val="18"/>
          <w:szCs w:val="18"/>
          <w:vertAlign w:val="superscript"/>
        </w:rPr>
        <w:t>1</w:t>
      </w:r>
      <w:r w:rsidRPr="00603981">
        <w:rPr>
          <w:b/>
          <w:sz w:val="18"/>
          <w:szCs w:val="18"/>
        </w:rPr>
        <w:t xml:space="preserve"> </w:t>
      </w:r>
      <w:r w:rsidRPr="00603981">
        <w:rPr>
          <w:sz w:val="18"/>
          <w:szCs w:val="18"/>
          <w:u w:val="single"/>
        </w:rPr>
        <w:t>Source</w:t>
      </w:r>
      <w:r w:rsidRPr="00603981">
        <w:rPr>
          <w:sz w:val="18"/>
          <w:szCs w:val="18"/>
        </w:rPr>
        <w:t xml:space="preserve">: ABS, </w:t>
      </w:r>
      <w:r w:rsidRPr="00603981">
        <w:rPr>
          <w:i/>
          <w:sz w:val="18"/>
          <w:szCs w:val="18"/>
        </w:rPr>
        <w:t>Characteristics of Employment, August 2022</w:t>
      </w:r>
      <w:r w:rsidRPr="00603981">
        <w:rPr>
          <w:sz w:val="18"/>
          <w:szCs w:val="18"/>
        </w:rPr>
        <w:t>, unpublished Tablebuilder.</w:t>
      </w:r>
    </w:p>
    <w:p w14:paraId="3119F1E3" w14:textId="77777777" w:rsidR="00BB07A2" w:rsidRPr="00603981" w:rsidRDefault="00BB07A2" w:rsidP="00BB07A2">
      <w:pPr>
        <w:widowControl w:val="0"/>
        <w:spacing w:after="0" w:line="240" w:lineRule="auto"/>
        <w:rPr>
          <w:sz w:val="18"/>
          <w:szCs w:val="18"/>
        </w:rPr>
      </w:pPr>
      <w:r w:rsidRPr="00603981">
        <w:rPr>
          <w:sz w:val="18"/>
          <w:szCs w:val="18"/>
          <w:vertAlign w:val="superscript"/>
        </w:rPr>
        <w:t xml:space="preserve">2 </w:t>
      </w:r>
      <w:r w:rsidRPr="00603981">
        <w:rPr>
          <w:bCs/>
          <w:sz w:val="18"/>
          <w:szCs w:val="18"/>
          <w:u w:val="single"/>
        </w:rPr>
        <w:t>Source</w:t>
      </w:r>
      <w:r w:rsidRPr="00603981">
        <w:rPr>
          <w:sz w:val="18"/>
          <w:szCs w:val="18"/>
        </w:rPr>
        <w:t>: Derived estimate applying proportions in table to overall estimate of labour hire workers from ABS, </w:t>
      </w:r>
      <w:r w:rsidRPr="00603981">
        <w:rPr>
          <w:i/>
          <w:sz w:val="18"/>
          <w:szCs w:val="18"/>
        </w:rPr>
        <w:t>Labour hire workers, June 2022</w:t>
      </w:r>
      <w:r w:rsidRPr="00603981">
        <w:rPr>
          <w:sz w:val="18"/>
          <w:szCs w:val="18"/>
        </w:rPr>
        <w:t xml:space="preserve">; using </w:t>
      </w:r>
      <w:r w:rsidRPr="00603981">
        <w:rPr>
          <w:i/>
          <w:sz w:val="18"/>
          <w:szCs w:val="18"/>
        </w:rPr>
        <w:t xml:space="preserve">Labour Account, June 2022. </w:t>
      </w:r>
    </w:p>
    <w:p w14:paraId="4B615E0B" w14:textId="77777777" w:rsidR="00BB07A2" w:rsidRDefault="00BB07A2" w:rsidP="00BB07A2">
      <w:pPr>
        <w:spacing w:after="0" w:line="259" w:lineRule="auto"/>
      </w:pPr>
      <w:r w:rsidRPr="00603981">
        <w:rPr>
          <w:sz w:val="18"/>
          <w:szCs w:val="18"/>
          <w:vertAlign w:val="superscript"/>
        </w:rPr>
        <w:t>3</w:t>
      </w:r>
      <w:r w:rsidRPr="00603981">
        <w:rPr>
          <w:b/>
          <w:sz w:val="18"/>
          <w:szCs w:val="18"/>
        </w:rPr>
        <w:t xml:space="preserve"> </w:t>
      </w:r>
      <w:r w:rsidRPr="00603981">
        <w:rPr>
          <w:sz w:val="18"/>
          <w:szCs w:val="18"/>
          <w:u w:val="single"/>
        </w:rPr>
        <w:t>Source</w:t>
      </w:r>
      <w:r w:rsidRPr="00603981">
        <w:rPr>
          <w:sz w:val="18"/>
          <w:szCs w:val="18"/>
        </w:rPr>
        <w:t xml:space="preserve">: ABS, </w:t>
      </w:r>
      <w:r w:rsidRPr="00603981">
        <w:rPr>
          <w:i/>
          <w:sz w:val="18"/>
          <w:szCs w:val="18"/>
        </w:rPr>
        <w:t>Employee Earnings and Hours, May 2021</w:t>
      </w:r>
      <w:r w:rsidRPr="00603981">
        <w:rPr>
          <w:sz w:val="18"/>
          <w:szCs w:val="18"/>
        </w:rPr>
        <w:t>, unpublished Tablebuilder.</w:t>
      </w:r>
    </w:p>
    <w:p w14:paraId="716197E5" w14:textId="77777777" w:rsidR="00BB07A2" w:rsidRPr="002723F5" w:rsidRDefault="00BB07A2" w:rsidP="00BB07A2">
      <w:pPr>
        <w:spacing w:before="160" w:after="160" w:line="259" w:lineRule="auto"/>
        <w:rPr>
          <w:sz w:val="18"/>
          <w:szCs w:val="18"/>
        </w:rPr>
      </w:pPr>
      <w:r w:rsidRPr="002723F5">
        <w:rPr>
          <w:sz w:val="18"/>
          <w:szCs w:val="18"/>
        </w:rPr>
        <w:t>For the table above, it is noted that:</w:t>
      </w:r>
    </w:p>
    <w:p w14:paraId="480D2C78" w14:textId="77777777" w:rsidR="00BB07A2" w:rsidRPr="00DA61D5" w:rsidRDefault="00BB07A2" w:rsidP="00BB07A2">
      <w:pPr>
        <w:pStyle w:val="ListParagraph"/>
        <w:numPr>
          <w:ilvl w:val="0"/>
          <w:numId w:val="32"/>
        </w:numPr>
        <w:spacing w:after="160" w:line="259" w:lineRule="auto"/>
        <w:contextualSpacing w:val="0"/>
        <w:rPr>
          <w:sz w:val="18"/>
          <w:szCs w:val="18"/>
        </w:rPr>
      </w:pPr>
      <w:r>
        <w:rPr>
          <w:rFonts w:cstheme="minorHAnsi"/>
          <w:sz w:val="18"/>
          <w:szCs w:val="18"/>
        </w:rPr>
        <w:t>T</w:t>
      </w:r>
      <w:r w:rsidRPr="00DA61D5">
        <w:rPr>
          <w:rFonts w:cstheme="minorHAnsi"/>
          <w:sz w:val="18"/>
          <w:szCs w:val="18"/>
        </w:rPr>
        <w:t>he estimated number of labour hire workers working in workplaces with an enterprise agreement is 100,566/319,863 = 31.4%</w:t>
      </w:r>
      <w:r>
        <w:rPr>
          <w:rFonts w:cstheme="minorHAnsi"/>
          <w:sz w:val="18"/>
          <w:szCs w:val="18"/>
        </w:rPr>
        <w:t xml:space="preserve"> (this is the figure applied above).</w:t>
      </w:r>
    </w:p>
    <w:p w14:paraId="3C6FD03C" w14:textId="77777777" w:rsidR="00BB07A2" w:rsidRPr="00DA61D5" w:rsidRDefault="00BB07A2" w:rsidP="00BB07A2">
      <w:pPr>
        <w:pStyle w:val="ListParagraph"/>
        <w:numPr>
          <w:ilvl w:val="0"/>
          <w:numId w:val="32"/>
        </w:numPr>
        <w:spacing w:after="160" w:line="259" w:lineRule="auto"/>
        <w:contextualSpacing w:val="0"/>
        <w:rPr>
          <w:sz w:val="18"/>
          <w:szCs w:val="18"/>
        </w:rPr>
      </w:pPr>
      <w:r w:rsidRPr="00DA61D5">
        <w:rPr>
          <w:rFonts w:cstheme="minorHAnsi"/>
          <w:sz w:val="18"/>
          <w:szCs w:val="18"/>
        </w:rPr>
        <w:t xml:space="preserve">As enterprise agreement coverage varies significantly by industry (from 82.2 per cent of employees in Education and training to 6.7 per cent of workers in Professional, </w:t>
      </w:r>
      <w:r w:rsidRPr="00DA61D5">
        <w:rPr>
          <w:sz w:val="18"/>
          <w:szCs w:val="18"/>
        </w:rPr>
        <w:t>scientific</w:t>
      </w:r>
      <w:r w:rsidRPr="00DA61D5">
        <w:rPr>
          <w:rFonts w:cstheme="minorHAnsi"/>
          <w:sz w:val="18"/>
          <w:szCs w:val="18"/>
        </w:rPr>
        <w:t xml:space="preserve"> and technical services), estimating the number of labour hire workers working for a host that has an enterprise agreement is done at the industry level.</w:t>
      </w:r>
    </w:p>
    <w:p w14:paraId="28946311" w14:textId="77777777" w:rsidR="00BB07A2" w:rsidRPr="001C48B7" w:rsidRDefault="00BB07A2" w:rsidP="00BB07A2">
      <w:pPr>
        <w:pStyle w:val="ListParagraph"/>
        <w:numPr>
          <w:ilvl w:val="0"/>
          <w:numId w:val="32"/>
        </w:numPr>
        <w:spacing w:after="0" w:line="240" w:lineRule="auto"/>
        <w:contextualSpacing w:val="0"/>
        <w:rPr>
          <w:b/>
          <w:bCs/>
          <w:u w:val="single"/>
        </w:rPr>
      </w:pPr>
      <w:r w:rsidRPr="001C48B7">
        <w:rPr>
          <w:rFonts w:cstheme="minorHAnsi"/>
          <w:sz w:val="18"/>
          <w:szCs w:val="18"/>
        </w:rPr>
        <w:t>The table above sets out a percentage breakdown, by industry, of enterprise agreement coverage insofar as that relates to directly engaged employees and the estimated number of labour hire workers working within that industry (from which the department can draw an estimate of the percentage and number of labour hire workers working in host employers with an enterprise agreement in each industry, providing at the end a global figure on which to base subsequent calculations).</w:t>
      </w:r>
    </w:p>
    <w:p w14:paraId="5FA951C6" w14:textId="77777777" w:rsidR="00BB07A2" w:rsidRPr="00871C6E" w:rsidRDefault="00BB07A2" w:rsidP="00BB07A2">
      <w:pPr>
        <w:spacing w:before="200" w:after="40" w:line="259" w:lineRule="auto"/>
        <w:rPr>
          <w:b/>
          <w:bCs/>
          <w:u w:val="single"/>
        </w:rPr>
      </w:pPr>
      <w:r w:rsidRPr="00871C6E">
        <w:rPr>
          <w:b/>
          <w:bCs/>
          <w:u w:val="single"/>
        </w:rPr>
        <w:t>Table 2: Accounting for casual loading</w:t>
      </w:r>
    </w:p>
    <w:tbl>
      <w:tblPr>
        <w:tblW w:w="8637" w:type="dxa"/>
        <w:tblCellMar>
          <w:left w:w="0" w:type="dxa"/>
          <w:right w:w="0" w:type="dxa"/>
        </w:tblCellMar>
        <w:tblLook w:val="04A0" w:firstRow="1" w:lastRow="0" w:firstColumn="1" w:lastColumn="0" w:noHBand="0" w:noVBand="1"/>
      </w:tblPr>
      <w:tblGrid>
        <w:gridCol w:w="4243"/>
        <w:gridCol w:w="1276"/>
        <w:gridCol w:w="1842"/>
        <w:gridCol w:w="1276"/>
      </w:tblGrid>
      <w:tr w:rsidR="00BB07A2" w:rsidRPr="00603981" w14:paraId="0C8937C9" w14:textId="77777777" w:rsidTr="002C04F0">
        <w:trPr>
          <w:trHeight w:val="255"/>
        </w:trPr>
        <w:tc>
          <w:tcPr>
            <w:tcW w:w="4243" w:type="dxa"/>
            <w:tcBorders>
              <w:top w:val="single" w:sz="8" w:space="0" w:color="auto"/>
              <w:left w:val="single" w:sz="8" w:space="0" w:color="auto"/>
              <w:bottom w:val="single" w:sz="8" w:space="0" w:color="auto"/>
              <w:right w:val="single" w:sz="8" w:space="0" w:color="auto"/>
            </w:tcBorders>
            <w:shd w:val="clear" w:color="auto" w:fill="404246"/>
            <w:noWrap/>
            <w:tcMar>
              <w:top w:w="0" w:type="dxa"/>
              <w:left w:w="108" w:type="dxa"/>
              <w:bottom w:w="0" w:type="dxa"/>
              <w:right w:w="108" w:type="dxa"/>
            </w:tcMar>
            <w:vAlign w:val="center"/>
            <w:hideMark/>
          </w:tcPr>
          <w:p w14:paraId="7DB30785" w14:textId="77777777" w:rsidR="00BB07A2" w:rsidRPr="00603981" w:rsidRDefault="00BB07A2" w:rsidP="002C04F0">
            <w:pPr>
              <w:spacing w:before="40" w:after="40" w:line="240" w:lineRule="auto"/>
              <w:rPr>
                <w:rFonts w:cstheme="minorHAnsi"/>
                <w:b/>
                <w:bCs/>
                <w:color w:val="FFFFFF" w:themeColor="background1"/>
              </w:rPr>
            </w:pPr>
            <w:r w:rsidRPr="00603981">
              <w:rPr>
                <w:rFonts w:cstheme="minorHAnsi"/>
                <w:b/>
                <w:bCs/>
                <w:color w:val="FFFFFF" w:themeColor="background1"/>
              </w:rPr>
              <w:t>Full-time employees</w:t>
            </w:r>
          </w:p>
        </w:tc>
        <w:tc>
          <w:tcPr>
            <w:tcW w:w="1276" w:type="dxa"/>
            <w:tcBorders>
              <w:top w:val="single" w:sz="8" w:space="0" w:color="auto"/>
              <w:left w:val="nil"/>
              <w:bottom w:val="single" w:sz="8" w:space="0" w:color="auto"/>
              <w:right w:val="single" w:sz="8" w:space="0" w:color="auto"/>
            </w:tcBorders>
            <w:shd w:val="clear" w:color="auto" w:fill="404246"/>
            <w:noWrap/>
            <w:tcMar>
              <w:top w:w="0" w:type="dxa"/>
              <w:left w:w="108" w:type="dxa"/>
              <w:bottom w:w="0" w:type="dxa"/>
              <w:right w:w="108" w:type="dxa"/>
            </w:tcMar>
            <w:vAlign w:val="center"/>
            <w:hideMark/>
          </w:tcPr>
          <w:p w14:paraId="58347D6A" w14:textId="77777777" w:rsidR="00BB07A2" w:rsidRPr="00603981" w:rsidRDefault="00BB07A2" w:rsidP="002C04F0">
            <w:pPr>
              <w:spacing w:before="40" w:after="40" w:line="240" w:lineRule="auto"/>
              <w:rPr>
                <w:rFonts w:cstheme="minorHAnsi"/>
                <w:b/>
                <w:bCs/>
                <w:color w:val="FFFFFF" w:themeColor="background1"/>
              </w:rPr>
            </w:pPr>
            <w:r w:rsidRPr="00603981">
              <w:rPr>
                <w:rFonts w:cstheme="minorHAnsi"/>
                <w:b/>
                <w:bCs/>
                <w:color w:val="FFFFFF" w:themeColor="background1"/>
              </w:rPr>
              <w:t>Labour hire worker</w:t>
            </w:r>
          </w:p>
        </w:tc>
        <w:tc>
          <w:tcPr>
            <w:tcW w:w="1842" w:type="dxa"/>
            <w:tcBorders>
              <w:top w:val="single" w:sz="8" w:space="0" w:color="auto"/>
              <w:left w:val="nil"/>
              <w:bottom w:val="single" w:sz="8" w:space="0" w:color="auto"/>
              <w:right w:val="single" w:sz="8" w:space="0" w:color="auto"/>
            </w:tcBorders>
            <w:shd w:val="clear" w:color="auto" w:fill="404246"/>
            <w:noWrap/>
            <w:tcMar>
              <w:top w:w="0" w:type="dxa"/>
              <w:left w:w="108" w:type="dxa"/>
              <w:bottom w:w="0" w:type="dxa"/>
              <w:right w:w="108" w:type="dxa"/>
            </w:tcMar>
            <w:vAlign w:val="center"/>
            <w:hideMark/>
          </w:tcPr>
          <w:p w14:paraId="70BC2E56" w14:textId="77777777" w:rsidR="00BB07A2" w:rsidRPr="00603981" w:rsidRDefault="00BB07A2" w:rsidP="002C04F0">
            <w:pPr>
              <w:spacing w:before="40" w:after="40" w:line="240" w:lineRule="auto"/>
              <w:rPr>
                <w:rFonts w:cstheme="minorHAnsi"/>
                <w:b/>
                <w:bCs/>
                <w:color w:val="FFFFFF" w:themeColor="background1"/>
              </w:rPr>
            </w:pPr>
            <w:r w:rsidRPr="00603981">
              <w:rPr>
                <w:rFonts w:cstheme="minorHAnsi"/>
                <w:b/>
                <w:bCs/>
                <w:color w:val="FFFFFF" w:themeColor="background1"/>
              </w:rPr>
              <w:t>Non-labour hire worker</w:t>
            </w:r>
          </w:p>
        </w:tc>
        <w:tc>
          <w:tcPr>
            <w:tcW w:w="1276" w:type="dxa"/>
            <w:tcBorders>
              <w:top w:val="single" w:sz="8" w:space="0" w:color="auto"/>
              <w:left w:val="nil"/>
              <w:bottom w:val="single" w:sz="8" w:space="0" w:color="auto"/>
              <w:right w:val="single" w:sz="8" w:space="0" w:color="auto"/>
            </w:tcBorders>
            <w:shd w:val="clear" w:color="auto" w:fill="404246"/>
            <w:noWrap/>
            <w:tcMar>
              <w:top w:w="0" w:type="dxa"/>
              <w:left w:w="108" w:type="dxa"/>
              <w:bottom w:w="0" w:type="dxa"/>
              <w:right w:w="108" w:type="dxa"/>
            </w:tcMar>
            <w:vAlign w:val="center"/>
            <w:hideMark/>
          </w:tcPr>
          <w:p w14:paraId="7E4A897B" w14:textId="77777777" w:rsidR="00BB07A2" w:rsidRPr="00603981" w:rsidRDefault="00BB07A2" w:rsidP="002C04F0">
            <w:pPr>
              <w:spacing w:before="40" w:after="40" w:line="240" w:lineRule="auto"/>
              <w:rPr>
                <w:rFonts w:cstheme="minorHAnsi"/>
                <w:b/>
                <w:bCs/>
                <w:color w:val="FFFFFF" w:themeColor="background1"/>
              </w:rPr>
            </w:pPr>
            <w:r w:rsidRPr="00603981">
              <w:rPr>
                <w:rFonts w:cstheme="minorHAnsi"/>
                <w:b/>
                <w:bCs/>
                <w:color w:val="FFFFFF" w:themeColor="background1"/>
              </w:rPr>
              <w:t xml:space="preserve">Wage </w:t>
            </w:r>
            <w:r>
              <w:rPr>
                <w:rFonts w:cstheme="minorHAnsi"/>
                <w:b/>
                <w:bCs/>
                <w:color w:val="FFFFFF" w:themeColor="background1"/>
              </w:rPr>
              <w:t>difference</w:t>
            </w:r>
          </w:p>
        </w:tc>
      </w:tr>
      <w:tr w:rsidR="00BB07A2" w:rsidRPr="00603981" w14:paraId="5D2C20A9" w14:textId="77777777" w:rsidTr="002C04F0">
        <w:trPr>
          <w:trHeight w:val="255"/>
        </w:trPr>
        <w:tc>
          <w:tcPr>
            <w:tcW w:w="4243"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072DD67E" w14:textId="77777777" w:rsidR="00BB07A2" w:rsidRPr="00603981" w:rsidRDefault="00BB07A2" w:rsidP="002C04F0">
            <w:pPr>
              <w:spacing w:before="40" w:after="40" w:line="240" w:lineRule="auto"/>
              <w:rPr>
                <w:rFonts w:cstheme="minorHAnsi"/>
              </w:rPr>
            </w:pPr>
            <w:r w:rsidRPr="00603981">
              <w:rPr>
                <w:rFonts w:cstheme="minorHAnsi"/>
              </w:rPr>
              <w:t>Initial median hourly wage</w:t>
            </w:r>
          </w:p>
        </w:tc>
        <w:tc>
          <w:tcPr>
            <w:tcW w:w="1276" w:type="dxa"/>
            <w:tcBorders>
              <w:top w:val="nil"/>
              <w:left w:val="nil"/>
              <w:bottom w:val="nil"/>
              <w:right w:val="single" w:sz="8" w:space="0" w:color="auto"/>
            </w:tcBorders>
            <w:noWrap/>
            <w:tcMar>
              <w:top w:w="0" w:type="dxa"/>
              <w:left w:w="108" w:type="dxa"/>
              <w:bottom w:w="0" w:type="dxa"/>
              <w:right w:w="108" w:type="dxa"/>
            </w:tcMar>
            <w:vAlign w:val="center"/>
            <w:hideMark/>
          </w:tcPr>
          <w:p w14:paraId="048A434B" w14:textId="77777777" w:rsidR="00BB07A2" w:rsidRPr="00603981" w:rsidRDefault="00BB07A2" w:rsidP="002C04F0">
            <w:pPr>
              <w:spacing w:before="40" w:after="40" w:line="240" w:lineRule="auto"/>
              <w:rPr>
                <w:rFonts w:cstheme="minorHAnsi"/>
              </w:rPr>
            </w:pPr>
            <w:r w:rsidRPr="00603981">
              <w:rPr>
                <w:rFonts w:cstheme="minorHAnsi"/>
              </w:rPr>
              <w:t>$35.46</w:t>
            </w:r>
          </w:p>
        </w:tc>
        <w:tc>
          <w:tcPr>
            <w:tcW w:w="1842" w:type="dxa"/>
            <w:tcBorders>
              <w:top w:val="nil"/>
              <w:left w:val="nil"/>
              <w:bottom w:val="nil"/>
              <w:right w:val="single" w:sz="8" w:space="0" w:color="auto"/>
            </w:tcBorders>
            <w:noWrap/>
            <w:tcMar>
              <w:top w:w="0" w:type="dxa"/>
              <w:left w:w="108" w:type="dxa"/>
              <w:bottom w:w="0" w:type="dxa"/>
              <w:right w:w="108" w:type="dxa"/>
            </w:tcMar>
            <w:vAlign w:val="center"/>
            <w:hideMark/>
          </w:tcPr>
          <w:p w14:paraId="47444B78" w14:textId="77777777" w:rsidR="00BB07A2" w:rsidRPr="00603981" w:rsidRDefault="00BB07A2" w:rsidP="002C04F0">
            <w:pPr>
              <w:spacing w:before="40" w:after="40" w:line="240" w:lineRule="auto"/>
              <w:rPr>
                <w:rFonts w:cstheme="minorHAnsi"/>
              </w:rPr>
            </w:pPr>
            <w:r w:rsidRPr="00603981">
              <w:rPr>
                <w:rFonts w:cstheme="minorHAnsi"/>
              </w:rPr>
              <w:t>$37.30</w:t>
            </w:r>
          </w:p>
        </w:tc>
        <w:tc>
          <w:tcPr>
            <w:tcW w:w="1276" w:type="dxa"/>
            <w:tcBorders>
              <w:top w:val="nil"/>
              <w:left w:val="nil"/>
              <w:bottom w:val="nil"/>
              <w:right w:val="single" w:sz="8" w:space="0" w:color="auto"/>
            </w:tcBorders>
            <w:noWrap/>
            <w:tcMar>
              <w:top w:w="0" w:type="dxa"/>
              <w:left w:w="108" w:type="dxa"/>
              <w:bottom w:w="0" w:type="dxa"/>
              <w:right w:w="108" w:type="dxa"/>
            </w:tcMar>
            <w:vAlign w:val="center"/>
            <w:hideMark/>
          </w:tcPr>
          <w:p w14:paraId="22100F6A" w14:textId="77777777" w:rsidR="00BB07A2" w:rsidRPr="00603981" w:rsidRDefault="00BB07A2" w:rsidP="002C04F0">
            <w:pPr>
              <w:spacing w:before="40" w:after="40" w:line="240" w:lineRule="auto"/>
              <w:rPr>
                <w:rFonts w:cstheme="minorHAnsi"/>
              </w:rPr>
            </w:pPr>
            <w:r w:rsidRPr="00603981">
              <w:rPr>
                <w:rFonts w:cstheme="minorHAnsi"/>
              </w:rPr>
              <w:t>-$1.84</w:t>
            </w:r>
          </w:p>
        </w:tc>
      </w:tr>
      <w:tr w:rsidR="00BB07A2" w:rsidRPr="00603981" w14:paraId="6CF3B8F3" w14:textId="77777777" w:rsidTr="002C04F0">
        <w:trPr>
          <w:trHeight w:val="255"/>
        </w:trPr>
        <w:tc>
          <w:tcPr>
            <w:tcW w:w="42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EDD45B" w14:textId="77777777" w:rsidR="00BB07A2" w:rsidRPr="00603981" w:rsidRDefault="00BB07A2" w:rsidP="002C04F0">
            <w:pPr>
              <w:spacing w:before="40" w:after="40" w:line="240" w:lineRule="auto"/>
              <w:rPr>
                <w:rFonts w:cstheme="minorHAnsi"/>
              </w:rPr>
            </w:pPr>
            <w:r w:rsidRPr="00603981">
              <w:rPr>
                <w:rFonts w:cstheme="minorHAnsi"/>
              </w:rPr>
              <w:t>Post casual adjustment median hourly wage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F85C2F" w14:textId="77777777" w:rsidR="00BB07A2" w:rsidRPr="00603981" w:rsidRDefault="00BB07A2" w:rsidP="002C04F0">
            <w:pPr>
              <w:spacing w:before="40" w:after="40" w:line="240" w:lineRule="auto"/>
              <w:rPr>
                <w:rFonts w:cstheme="minorHAnsi"/>
              </w:rPr>
            </w:pPr>
            <w:r w:rsidRPr="00603981">
              <w:rPr>
                <w:rFonts w:cstheme="minorHAnsi"/>
              </w:rPr>
              <w:t>$29.08</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F54899" w14:textId="77777777" w:rsidR="00BB07A2" w:rsidRPr="00603981" w:rsidRDefault="00BB07A2" w:rsidP="002C04F0">
            <w:pPr>
              <w:spacing w:before="40" w:after="40" w:line="240" w:lineRule="auto"/>
              <w:rPr>
                <w:rFonts w:cstheme="minorHAnsi"/>
              </w:rPr>
            </w:pPr>
            <w:r w:rsidRPr="00603981">
              <w:rPr>
                <w:rFonts w:cstheme="minorHAnsi"/>
              </w:rPr>
              <w:t>$36.41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EEEC7F" w14:textId="77777777" w:rsidR="00BB07A2" w:rsidRPr="00603981" w:rsidRDefault="00BB07A2" w:rsidP="002C04F0">
            <w:pPr>
              <w:spacing w:before="40" w:after="40" w:line="240" w:lineRule="auto"/>
              <w:rPr>
                <w:rFonts w:cstheme="minorHAnsi"/>
              </w:rPr>
            </w:pPr>
            <w:r w:rsidRPr="00603981">
              <w:rPr>
                <w:rFonts w:cstheme="minorHAnsi"/>
              </w:rPr>
              <w:t>-$7.33</w:t>
            </w:r>
          </w:p>
        </w:tc>
      </w:tr>
    </w:tbl>
    <w:p w14:paraId="5D0B22EF" w14:textId="77777777" w:rsidR="00BB07A2" w:rsidRPr="00065C4B" w:rsidRDefault="00BB07A2" w:rsidP="00BB07A2">
      <w:pPr>
        <w:spacing w:before="120" w:after="160" w:line="259" w:lineRule="auto"/>
        <w:rPr>
          <w:rFonts w:cstheme="minorHAnsi"/>
          <w:sz w:val="18"/>
          <w:szCs w:val="18"/>
        </w:rPr>
      </w:pPr>
      <w:r w:rsidRPr="00065C4B">
        <w:rPr>
          <w:rFonts w:cstheme="minorHAnsi"/>
          <w:sz w:val="18"/>
          <w:szCs w:val="18"/>
        </w:rPr>
        <w:t>For the table above, and with reference to ABS Characteristics of Employment data:</w:t>
      </w:r>
      <w:r w:rsidRPr="00065C4B">
        <w:rPr>
          <w:rStyle w:val="FootnoteReference"/>
          <w:sz w:val="18"/>
          <w:szCs w:val="18"/>
        </w:rPr>
        <w:footnoteReference w:id="102"/>
      </w:r>
    </w:p>
    <w:p w14:paraId="0F4810F4" w14:textId="77777777" w:rsidR="00BB07A2" w:rsidRPr="00065C4B" w:rsidRDefault="00BB07A2" w:rsidP="00BB07A2">
      <w:pPr>
        <w:pStyle w:val="ListParagraph"/>
        <w:numPr>
          <w:ilvl w:val="0"/>
          <w:numId w:val="18"/>
        </w:numPr>
        <w:spacing w:after="160" w:line="259" w:lineRule="auto"/>
        <w:contextualSpacing w:val="0"/>
        <w:rPr>
          <w:rFonts w:cstheme="minorHAnsi"/>
          <w:i/>
          <w:iCs/>
          <w:sz w:val="18"/>
          <w:szCs w:val="18"/>
        </w:rPr>
      </w:pPr>
      <w:r w:rsidRPr="00065C4B">
        <w:rPr>
          <w:sz w:val="18"/>
          <w:szCs w:val="18"/>
        </w:rPr>
        <w:t>Median wage for permanent employees (19.5% of full-time labour hire) = $27.34</w:t>
      </w:r>
    </w:p>
    <w:p w14:paraId="5ABF2A38" w14:textId="77777777" w:rsidR="00BB07A2" w:rsidRPr="00065C4B" w:rsidRDefault="00BB07A2" w:rsidP="00BB07A2">
      <w:pPr>
        <w:pStyle w:val="ListParagraph"/>
        <w:numPr>
          <w:ilvl w:val="0"/>
          <w:numId w:val="18"/>
        </w:numPr>
        <w:spacing w:after="160" w:line="259" w:lineRule="auto"/>
        <w:contextualSpacing w:val="0"/>
        <w:rPr>
          <w:rFonts w:cstheme="minorHAnsi"/>
          <w:i/>
          <w:iCs/>
          <w:sz w:val="18"/>
          <w:szCs w:val="18"/>
        </w:rPr>
      </w:pPr>
      <w:r w:rsidRPr="00065C4B">
        <w:rPr>
          <w:sz w:val="18"/>
          <w:szCs w:val="18"/>
        </w:rPr>
        <w:t>Median wage for casual workers (80.5 per cent of full-time labour hire) = $36.88</w:t>
      </w:r>
    </w:p>
    <w:p w14:paraId="72C38E6B" w14:textId="77777777" w:rsidR="00BB07A2" w:rsidRPr="00065C4B" w:rsidRDefault="00BB07A2" w:rsidP="00BB07A2">
      <w:pPr>
        <w:pStyle w:val="ListParagraph"/>
        <w:numPr>
          <w:ilvl w:val="0"/>
          <w:numId w:val="18"/>
        </w:numPr>
        <w:spacing w:after="160" w:line="259" w:lineRule="auto"/>
        <w:contextualSpacing w:val="0"/>
        <w:rPr>
          <w:rFonts w:cstheme="minorHAnsi"/>
          <w:sz w:val="18"/>
          <w:szCs w:val="18"/>
        </w:rPr>
      </w:pPr>
      <w:r w:rsidRPr="00065C4B">
        <w:rPr>
          <w:rFonts w:cstheme="minorHAnsi"/>
          <w:sz w:val="18"/>
          <w:szCs w:val="18"/>
        </w:rPr>
        <w:t>Median wage for casual workers after 25 per cent casual loading is removed = $29.50</w:t>
      </w:r>
    </w:p>
    <w:p w14:paraId="533B842C" w14:textId="77777777" w:rsidR="00BB07A2" w:rsidRPr="00065C4B" w:rsidRDefault="00BB07A2" w:rsidP="00BB07A2">
      <w:pPr>
        <w:pStyle w:val="ListParagraph"/>
        <w:widowControl w:val="0"/>
        <w:numPr>
          <w:ilvl w:val="0"/>
          <w:numId w:val="18"/>
        </w:numPr>
        <w:spacing w:after="160" w:line="259" w:lineRule="auto"/>
        <w:contextualSpacing w:val="0"/>
        <w:rPr>
          <w:rFonts w:cstheme="minorHAnsi"/>
          <w:sz w:val="18"/>
          <w:szCs w:val="18"/>
        </w:rPr>
      </w:pPr>
      <w:r w:rsidRPr="00065C4B">
        <w:rPr>
          <w:rFonts w:cstheme="minorHAnsi"/>
          <w:sz w:val="18"/>
          <w:szCs w:val="18"/>
        </w:rPr>
        <w:t>(19.5%*$27.34) + (80.5%*$29.50) = median hourly wage after casual adjustment of $29.08</w:t>
      </w:r>
    </w:p>
    <w:p w14:paraId="2D4A7C01" w14:textId="77777777" w:rsidR="00BB07A2" w:rsidRPr="00065C4B" w:rsidRDefault="00BB07A2" w:rsidP="00BB07A2">
      <w:pPr>
        <w:widowControl w:val="0"/>
        <w:spacing w:after="160" w:line="259" w:lineRule="auto"/>
        <w:rPr>
          <w:rFonts w:cstheme="minorHAnsi"/>
          <w:sz w:val="18"/>
          <w:szCs w:val="18"/>
        </w:rPr>
      </w:pPr>
      <w:r w:rsidRPr="00065C4B">
        <w:rPr>
          <w:rFonts w:cstheme="minorHAnsi"/>
          <w:sz w:val="18"/>
          <w:szCs w:val="18"/>
        </w:rPr>
        <w:t>Also,</w:t>
      </w:r>
    </w:p>
    <w:p w14:paraId="1D83FB0C" w14:textId="77777777" w:rsidR="00BB07A2" w:rsidRPr="00065C4B" w:rsidRDefault="00BB07A2" w:rsidP="00BB07A2">
      <w:pPr>
        <w:pStyle w:val="ListParagraph"/>
        <w:widowControl w:val="0"/>
        <w:numPr>
          <w:ilvl w:val="0"/>
          <w:numId w:val="18"/>
        </w:numPr>
        <w:spacing w:after="160" w:line="259" w:lineRule="auto"/>
        <w:contextualSpacing w:val="0"/>
        <w:rPr>
          <w:rFonts w:cstheme="minorHAnsi"/>
          <w:i/>
          <w:iCs/>
          <w:sz w:val="18"/>
          <w:szCs w:val="18"/>
        </w:rPr>
      </w:pPr>
      <w:r w:rsidRPr="00065C4B">
        <w:rPr>
          <w:sz w:val="18"/>
          <w:szCs w:val="18"/>
        </w:rPr>
        <w:t>Median wage for permanent employees (85.3 per cent of full-time non labour hire) = $38.55</w:t>
      </w:r>
    </w:p>
    <w:p w14:paraId="6B42B62D" w14:textId="77777777" w:rsidR="00BB07A2" w:rsidRPr="00065C4B" w:rsidRDefault="00BB07A2" w:rsidP="00BB07A2">
      <w:pPr>
        <w:pStyle w:val="ListParagraph"/>
        <w:widowControl w:val="0"/>
        <w:numPr>
          <w:ilvl w:val="0"/>
          <w:numId w:val="18"/>
        </w:numPr>
        <w:spacing w:after="160" w:line="259" w:lineRule="auto"/>
        <w:contextualSpacing w:val="0"/>
        <w:rPr>
          <w:rFonts w:cstheme="minorHAnsi"/>
          <w:i/>
          <w:iCs/>
          <w:sz w:val="18"/>
          <w:szCs w:val="18"/>
        </w:rPr>
      </w:pPr>
      <w:r w:rsidRPr="00065C4B">
        <w:rPr>
          <w:sz w:val="18"/>
          <w:szCs w:val="18"/>
        </w:rPr>
        <w:t>Median wage for casual workers (14.7 per cent of full-time non labour hire) = $30.00</w:t>
      </w:r>
    </w:p>
    <w:p w14:paraId="7953CCBD" w14:textId="77777777" w:rsidR="00BB07A2" w:rsidRPr="00065C4B" w:rsidRDefault="00BB07A2" w:rsidP="00BB07A2">
      <w:pPr>
        <w:pStyle w:val="ListParagraph"/>
        <w:widowControl w:val="0"/>
        <w:numPr>
          <w:ilvl w:val="0"/>
          <w:numId w:val="18"/>
        </w:numPr>
        <w:spacing w:after="160" w:line="259" w:lineRule="auto"/>
        <w:contextualSpacing w:val="0"/>
        <w:rPr>
          <w:rFonts w:cstheme="minorHAnsi"/>
          <w:sz w:val="18"/>
          <w:szCs w:val="18"/>
        </w:rPr>
      </w:pPr>
      <w:r w:rsidRPr="00065C4B">
        <w:rPr>
          <w:rFonts w:cstheme="minorHAnsi"/>
          <w:sz w:val="18"/>
          <w:szCs w:val="18"/>
        </w:rPr>
        <w:t>Median wage for casual workers after 25 per cent casual loading is removed = $24.00</w:t>
      </w:r>
    </w:p>
    <w:p w14:paraId="1EE25A2F" w14:textId="77777777" w:rsidR="00BB07A2" w:rsidRDefault="00BB07A2" w:rsidP="00BB07A2">
      <w:pPr>
        <w:pStyle w:val="ListParagraph"/>
        <w:widowControl w:val="0"/>
        <w:numPr>
          <w:ilvl w:val="0"/>
          <w:numId w:val="18"/>
        </w:numPr>
        <w:spacing w:after="160" w:line="259" w:lineRule="auto"/>
        <w:contextualSpacing w:val="0"/>
        <w:rPr>
          <w:rFonts w:cstheme="minorHAnsi"/>
        </w:rPr>
      </w:pPr>
      <w:r w:rsidRPr="00065C4B">
        <w:rPr>
          <w:rFonts w:cstheme="minorHAnsi"/>
          <w:sz w:val="18"/>
          <w:szCs w:val="18"/>
        </w:rPr>
        <w:t>(85.3%*$38.55) + (14.7%*$24.00) = median hourly wage after casual adjustment of $36.41</w:t>
      </w:r>
    </w:p>
    <w:p w14:paraId="6CAA89B9" w14:textId="77777777" w:rsidR="00BB07A2" w:rsidRPr="00871C6E" w:rsidRDefault="00BB07A2" w:rsidP="00BB07A2">
      <w:pPr>
        <w:spacing w:before="200" w:after="40" w:line="259" w:lineRule="auto"/>
        <w:rPr>
          <w:b/>
          <w:bCs/>
          <w:u w:val="single"/>
        </w:rPr>
      </w:pPr>
      <w:r w:rsidRPr="00871C6E">
        <w:rPr>
          <w:b/>
          <w:bCs/>
          <w:u w:val="single"/>
        </w:rPr>
        <w:lastRenderedPageBreak/>
        <w:t xml:space="preserve">Table 3: Median wages by occupation </w:t>
      </w:r>
    </w:p>
    <w:tbl>
      <w:tblPr>
        <w:tblW w:w="0" w:type="auto"/>
        <w:tblCellMar>
          <w:left w:w="0" w:type="dxa"/>
          <w:right w:w="0" w:type="dxa"/>
        </w:tblCellMar>
        <w:tblLook w:val="04A0" w:firstRow="1" w:lastRow="0" w:firstColumn="1" w:lastColumn="0" w:noHBand="0" w:noVBand="1"/>
      </w:tblPr>
      <w:tblGrid>
        <w:gridCol w:w="1626"/>
        <w:gridCol w:w="1491"/>
        <w:gridCol w:w="1504"/>
        <w:gridCol w:w="1044"/>
        <w:gridCol w:w="1701"/>
        <w:gridCol w:w="1650"/>
      </w:tblGrid>
      <w:tr w:rsidR="00BB07A2" w:rsidRPr="006F4B46" w14:paraId="541F086D" w14:textId="77777777" w:rsidTr="002C04F0">
        <w:trPr>
          <w:trHeight w:val="255"/>
        </w:trPr>
        <w:tc>
          <w:tcPr>
            <w:tcW w:w="1626" w:type="dxa"/>
            <w:tcBorders>
              <w:top w:val="single" w:sz="4" w:space="0" w:color="auto"/>
              <w:left w:val="single" w:sz="4" w:space="0" w:color="auto"/>
              <w:bottom w:val="single" w:sz="4" w:space="0" w:color="auto"/>
              <w:right w:val="single" w:sz="4" w:space="0" w:color="auto"/>
            </w:tcBorders>
            <w:shd w:val="clear" w:color="auto" w:fill="404246"/>
            <w:noWrap/>
            <w:tcMar>
              <w:top w:w="0" w:type="dxa"/>
              <w:left w:w="108" w:type="dxa"/>
              <w:bottom w:w="0" w:type="dxa"/>
              <w:right w:w="108" w:type="dxa"/>
            </w:tcMar>
            <w:vAlign w:val="center"/>
            <w:hideMark/>
          </w:tcPr>
          <w:p w14:paraId="65727770" w14:textId="77777777" w:rsidR="00BB07A2" w:rsidRPr="00A86E27" w:rsidRDefault="00BB07A2" w:rsidP="002C04F0">
            <w:pPr>
              <w:spacing w:before="40" w:after="40" w:line="240" w:lineRule="auto"/>
              <w:rPr>
                <w:rFonts w:cstheme="minorHAnsi"/>
                <w:b/>
                <w:bCs/>
                <w:color w:val="FFFFFF" w:themeColor="background1"/>
              </w:rPr>
            </w:pPr>
            <w:r w:rsidRPr="00A86E27">
              <w:rPr>
                <w:rFonts w:cstheme="minorHAnsi"/>
                <w:b/>
                <w:bCs/>
                <w:color w:val="FFFFFF" w:themeColor="background1"/>
              </w:rPr>
              <w:t>Occupation</w:t>
            </w:r>
          </w:p>
        </w:tc>
        <w:tc>
          <w:tcPr>
            <w:tcW w:w="1491" w:type="dxa"/>
            <w:tcBorders>
              <w:top w:val="single" w:sz="4" w:space="0" w:color="auto"/>
              <w:left w:val="single" w:sz="4" w:space="0" w:color="auto"/>
              <w:bottom w:val="single" w:sz="4" w:space="0" w:color="auto"/>
              <w:right w:val="single" w:sz="4" w:space="0" w:color="auto"/>
            </w:tcBorders>
            <w:shd w:val="clear" w:color="auto" w:fill="404246"/>
            <w:noWrap/>
            <w:tcMar>
              <w:top w:w="0" w:type="dxa"/>
              <w:left w:w="108" w:type="dxa"/>
              <w:bottom w:w="0" w:type="dxa"/>
              <w:right w:w="108" w:type="dxa"/>
            </w:tcMar>
            <w:vAlign w:val="center"/>
            <w:hideMark/>
          </w:tcPr>
          <w:p w14:paraId="735CFFFE" w14:textId="77777777" w:rsidR="00BB07A2" w:rsidRPr="00A86E27" w:rsidRDefault="00BB07A2" w:rsidP="002C04F0">
            <w:pPr>
              <w:spacing w:before="40" w:after="40" w:line="240" w:lineRule="auto"/>
              <w:rPr>
                <w:rFonts w:cstheme="minorHAnsi"/>
                <w:b/>
                <w:color w:val="FFFFFF" w:themeColor="background1"/>
              </w:rPr>
            </w:pPr>
            <w:r w:rsidRPr="00A86E27">
              <w:rPr>
                <w:rFonts w:cstheme="minorHAnsi"/>
                <w:b/>
                <w:color w:val="FFFFFF" w:themeColor="background1"/>
              </w:rPr>
              <w:t xml:space="preserve">Full-time labour hire share of </w:t>
            </w:r>
            <w:r w:rsidRPr="00A86E27">
              <w:rPr>
                <w:rFonts w:cstheme="minorHAnsi"/>
                <w:b/>
                <w:bCs/>
                <w:color w:val="FFFFFF" w:themeColor="background1"/>
              </w:rPr>
              <w:t>employment</w:t>
            </w:r>
            <w:r w:rsidRPr="00A86E27">
              <w:rPr>
                <w:rFonts w:cstheme="minorHAnsi"/>
                <w:b/>
                <w:color w:val="FFFFFF" w:themeColor="background1"/>
                <w:vertAlign w:val="superscript"/>
              </w:rPr>
              <w:t>1</w:t>
            </w:r>
          </w:p>
        </w:tc>
        <w:tc>
          <w:tcPr>
            <w:tcW w:w="1504" w:type="dxa"/>
            <w:tcBorders>
              <w:top w:val="single" w:sz="4" w:space="0" w:color="auto"/>
              <w:left w:val="single" w:sz="4" w:space="0" w:color="auto"/>
              <w:bottom w:val="single" w:sz="4" w:space="0" w:color="auto"/>
              <w:right w:val="single" w:sz="4" w:space="0" w:color="auto"/>
            </w:tcBorders>
            <w:shd w:val="clear" w:color="auto" w:fill="404246"/>
            <w:noWrap/>
            <w:tcMar>
              <w:top w:w="0" w:type="dxa"/>
              <w:left w:w="108" w:type="dxa"/>
              <w:bottom w:w="0" w:type="dxa"/>
              <w:right w:w="108" w:type="dxa"/>
            </w:tcMar>
            <w:vAlign w:val="center"/>
            <w:hideMark/>
          </w:tcPr>
          <w:p w14:paraId="51D59A39" w14:textId="77777777" w:rsidR="00BB07A2" w:rsidRPr="00A86E27" w:rsidRDefault="00BB07A2" w:rsidP="002C04F0">
            <w:pPr>
              <w:spacing w:before="40" w:after="40" w:line="240" w:lineRule="auto"/>
              <w:rPr>
                <w:rFonts w:cstheme="minorHAnsi"/>
                <w:b/>
                <w:color w:val="FFFFFF" w:themeColor="background1"/>
              </w:rPr>
            </w:pPr>
            <w:r w:rsidRPr="00A86E27">
              <w:rPr>
                <w:rFonts w:cstheme="minorHAnsi"/>
                <w:b/>
                <w:color w:val="FFFFFF" w:themeColor="background1"/>
              </w:rPr>
              <w:t xml:space="preserve">Full-time non-labour hire share of </w:t>
            </w:r>
            <w:r w:rsidRPr="00A86E27">
              <w:rPr>
                <w:rFonts w:cstheme="minorHAnsi"/>
                <w:b/>
                <w:bCs/>
                <w:color w:val="FFFFFF" w:themeColor="background1"/>
              </w:rPr>
              <w:t>employment</w:t>
            </w:r>
            <w:r w:rsidRPr="00A86E27">
              <w:rPr>
                <w:rFonts w:cstheme="minorHAnsi"/>
                <w:b/>
                <w:bCs/>
                <w:color w:val="FFFFFF" w:themeColor="background1"/>
                <w:vertAlign w:val="superscript"/>
              </w:rPr>
              <w:t>1</w:t>
            </w:r>
          </w:p>
        </w:tc>
        <w:tc>
          <w:tcPr>
            <w:tcW w:w="1044" w:type="dxa"/>
            <w:tcBorders>
              <w:top w:val="single" w:sz="4" w:space="0" w:color="auto"/>
              <w:left w:val="single" w:sz="4" w:space="0" w:color="auto"/>
              <w:bottom w:val="single" w:sz="4" w:space="0" w:color="auto"/>
              <w:right w:val="single" w:sz="4" w:space="0" w:color="auto"/>
            </w:tcBorders>
            <w:shd w:val="clear" w:color="auto" w:fill="404246"/>
            <w:noWrap/>
            <w:tcMar>
              <w:top w:w="0" w:type="dxa"/>
              <w:left w:w="108" w:type="dxa"/>
              <w:bottom w:w="0" w:type="dxa"/>
              <w:right w:w="108" w:type="dxa"/>
            </w:tcMar>
            <w:vAlign w:val="center"/>
            <w:hideMark/>
          </w:tcPr>
          <w:p w14:paraId="0A8A6CBA" w14:textId="77777777" w:rsidR="00BB07A2" w:rsidRPr="00A86E27" w:rsidRDefault="00BB07A2" w:rsidP="002C04F0">
            <w:pPr>
              <w:spacing w:before="40" w:after="40" w:line="240" w:lineRule="auto"/>
              <w:rPr>
                <w:rFonts w:cstheme="minorHAnsi"/>
                <w:b/>
                <w:color w:val="FFFFFF" w:themeColor="background1"/>
              </w:rPr>
            </w:pPr>
            <w:r w:rsidRPr="00A86E27">
              <w:rPr>
                <w:rFonts w:cstheme="minorHAnsi"/>
                <w:b/>
                <w:color w:val="FFFFFF" w:themeColor="background1"/>
              </w:rPr>
              <w:t>Median wage full-</w:t>
            </w:r>
            <w:r w:rsidRPr="00A86E27">
              <w:rPr>
                <w:rFonts w:cstheme="minorHAnsi"/>
                <w:b/>
                <w:bCs/>
                <w:color w:val="FFFFFF" w:themeColor="background1"/>
              </w:rPr>
              <w:t>time</w:t>
            </w:r>
            <w:r w:rsidRPr="00A86E27">
              <w:rPr>
                <w:rFonts w:cstheme="minorHAnsi"/>
                <w:b/>
                <w:color w:val="FFFFFF" w:themeColor="background1"/>
                <w:vertAlign w:val="superscript"/>
              </w:rPr>
              <w:t>1</w:t>
            </w:r>
          </w:p>
        </w:tc>
        <w:tc>
          <w:tcPr>
            <w:tcW w:w="1701" w:type="dxa"/>
            <w:tcBorders>
              <w:top w:val="single" w:sz="4" w:space="0" w:color="auto"/>
              <w:left w:val="single" w:sz="4" w:space="0" w:color="auto"/>
              <w:bottom w:val="single" w:sz="4" w:space="0" w:color="auto"/>
              <w:right w:val="single" w:sz="4" w:space="0" w:color="auto"/>
            </w:tcBorders>
            <w:shd w:val="clear" w:color="auto" w:fill="404246"/>
            <w:vAlign w:val="center"/>
          </w:tcPr>
          <w:p w14:paraId="7B79E43F" w14:textId="77777777" w:rsidR="00BB07A2" w:rsidRPr="00A86E27" w:rsidRDefault="00BB07A2" w:rsidP="002C04F0">
            <w:pPr>
              <w:spacing w:before="40" w:after="40" w:line="240" w:lineRule="auto"/>
              <w:rPr>
                <w:rFonts w:cstheme="minorHAnsi"/>
                <w:b/>
                <w:bCs/>
                <w:color w:val="FFFFFF" w:themeColor="background1"/>
              </w:rPr>
            </w:pPr>
            <w:r w:rsidRPr="00A86E27">
              <w:rPr>
                <w:rFonts w:cstheme="minorHAnsi"/>
                <w:b/>
                <w:bCs/>
                <w:color w:val="FFFFFF" w:themeColor="background1"/>
              </w:rPr>
              <w:t>Contribution to hypothetical median wage under full-time labour hire occupation share</w:t>
            </w:r>
          </w:p>
        </w:tc>
        <w:tc>
          <w:tcPr>
            <w:tcW w:w="1650" w:type="dxa"/>
            <w:tcBorders>
              <w:top w:val="single" w:sz="4" w:space="0" w:color="auto"/>
              <w:left w:val="single" w:sz="4" w:space="0" w:color="auto"/>
              <w:bottom w:val="single" w:sz="4" w:space="0" w:color="auto"/>
              <w:right w:val="single" w:sz="4" w:space="0" w:color="auto"/>
            </w:tcBorders>
            <w:shd w:val="clear" w:color="auto" w:fill="404246"/>
            <w:vAlign w:val="center"/>
          </w:tcPr>
          <w:p w14:paraId="0E364C6F" w14:textId="77777777" w:rsidR="00BB07A2" w:rsidRPr="00A86E27" w:rsidRDefault="00BB07A2" w:rsidP="002C04F0">
            <w:pPr>
              <w:spacing w:before="40" w:after="40" w:line="240" w:lineRule="auto"/>
              <w:rPr>
                <w:rFonts w:cstheme="minorHAnsi"/>
                <w:b/>
                <w:bCs/>
                <w:color w:val="FFFFFF" w:themeColor="background1"/>
              </w:rPr>
            </w:pPr>
            <w:r w:rsidRPr="00A86E27">
              <w:rPr>
                <w:rFonts w:cstheme="minorHAnsi"/>
                <w:b/>
                <w:bCs/>
                <w:color w:val="FFFFFF" w:themeColor="background1"/>
              </w:rPr>
              <w:t>Contribution to hypothetical median wage under full-time non-labour hire occupation share</w:t>
            </w:r>
          </w:p>
        </w:tc>
      </w:tr>
      <w:tr w:rsidR="00BB07A2" w:rsidRPr="006F4B46" w14:paraId="035CAEE5" w14:textId="77777777" w:rsidTr="002C04F0">
        <w:trPr>
          <w:trHeight w:val="255"/>
        </w:trPr>
        <w:tc>
          <w:tcPr>
            <w:tcW w:w="1626" w:type="dxa"/>
            <w:tcBorders>
              <w:top w:val="single"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45933017" w14:textId="77777777" w:rsidR="00BB07A2" w:rsidRPr="00A86E27" w:rsidRDefault="00BB07A2" w:rsidP="002C04F0">
            <w:pPr>
              <w:spacing w:before="40" w:after="40" w:line="240" w:lineRule="auto"/>
              <w:rPr>
                <w:rFonts w:cstheme="minorHAnsi"/>
              </w:rPr>
            </w:pPr>
            <w:r w:rsidRPr="00A86E27">
              <w:rPr>
                <w:rFonts w:cstheme="minorHAnsi"/>
              </w:rPr>
              <w:t>Managers</w:t>
            </w:r>
          </w:p>
        </w:tc>
        <w:tc>
          <w:tcPr>
            <w:tcW w:w="1491" w:type="dxa"/>
            <w:tcBorders>
              <w:top w:val="single"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3AA8AAD0" w14:textId="77777777" w:rsidR="00BB07A2" w:rsidRPr="00A86E27" w:rsidRDefault="00BB07A2" w:rsidP="002C04F0">
            <w:pPr>
              <w:spacing w:before="40" w:after="40" w:line="240" w:lineRule="auto"/>
              <w:rPr>
                <w:rFonts w:cstheme="minorHAnsi"/>
              </w:rPr>
            </w:pPr>
            <w:r w:rsidRPr="00A86E27">
              <w:rPr>
                <w:rFonts w:cstheme="minorHAnsi"/>
              </w:rPr>
              <w:t>3.8%</w:t>
            </w:r>
          </w:p>
        </w:tc>
        <w:tc>
          <w:tcPr>
            <w:tcW w:w="1504" w:type="dxa"/>
            <w:tcBorders>
              <w:top w:val="single"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73ADB9D6" w14:textId="77777777" w:rsidR="00BB07A2" w:rsidRPr="00A86E27" w:rsidRDefault="00BB07A2" w:rsidP="002C04F0">
            <w:pPr>
              <w:spacing w:before="40" w:after="40" w:line="240" w:lineRule="auto"/>
              <w:rPr>
                <w:rFonts w:cstheme="minorHAnsi"/>
              </w:rPr>
            </w:pPr>
            <w:r w:rsidRPr="00A86E27">
              <w:rPr>
                <w:rFonts w:cstheme="minorHAnsi"/>
              </w:rPr>
              <w:t>12.9%</w:t>
            </w:r>
          </w:p>
        </w:tc>
        <w:tc>
          <w:tcPr>
            <w:tcW w:w="1044" w:type="dxa"/>
            <w:tcBorders>
              <w:top w:val="single"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6ABF437F" w14:textId="77777777" w:rsidR="00BB07A2" w:rsidRPr="00A86E27" w:rsidRDefault="00BB07A2" w:rsidP="002C04F0">
            <w:pPr>
              <w:spacing w:before="40" w:after="40" w:line="240" w:lineRule="auto"/>
              <w:rPr>
                <w:rFonts w:cstheme="minorHAnsi"/>
              </w:rPr>
            </w:pPr>
            <w:r w:rsidRPr="00A86E27">
              <w:rPr>
                <w:rFonts w:cstheme="minorHAnsi"/>
              </w:rPr>
              <w:t>$48.13</w:t>
            </w:r>
          </w:p>
        </w:tc>
        <w:tc>
          <w:tcPr>
            <w:tcW w:w="1701" w:type="dxa"/>
            <w:tcBorders>
              <w:top w:val="single" w:sz="4" w:space="0" w:color="auto"/>
              <w:left w:val="single" w:sz="4" w:space="0" w:color="auto"/>
              <w:bottom w:val="dotted" w:sz="4" w:space="0" w:color="auto"/>
              <w:right w:val="single" w:sz="4" w:space="0" w:color="auto"/>
            </w:tcBorders>
            <w:vAlign w:val="center"/>
          </w:tcPr>
          <w:p w14:paraId="468D499C" w14:textId="77777777" w:rsidR="00BB07A2" w:rsidRPr="00A86E27" w:rsidRDefault="00BB07A2" w:rsidP="002C04F0">
            <w:pPr>
              <w:spacing w:before="40" w:after="40" w:line="240" w:lineRule="auto"/>
              <w:rPr>
                <w:rFonts w:cstheme="minorHAnsi"/>
              </w:rPr>
            </w:pPr>
            <w:r w:rsidRPr="00A86E27">
              <w:rPr>
                <w:rFonts w:cstheme="minorHAnsi"/>
              </w:rPr>
              <w:t>$1.85 (=$48.13*3.8%)</w:t>
            </w:r>
          </w:p>
        </w:tc>
        <w:tc>
          <w:tcPr>
            <w:tcW w:w="1650" w:type="dxa"/>
            <w:tcBorders>
              <w:top w:val="single" w:sz="4" w:space="0" w:color="auto"/>
              <w:left w:val="single" w:sz="4" w:space="0" w:color="auto"/>
              <w:bottom w:val="dotted" w:sz="4" w:space="0" w:color="auto"/>
              <w:right w:val="single" w:sz="4" w:space="0" w:color="auto"/>
            </w:tcBorders>
            <w:vAlign w:val="center"/>
          </w:tcPr>
          <w:p w14:paraId="354DC3C8" w14:textId="77777777" w:rsidR="00BB07A2" w:rsidRPr="00A86E27" w:rsidRDefault="00BB07A2" w:rsidP="002C04F0">
            <w:pPr>
              <w:spacing w:before="40" w:after="40" w:line="240" w:lineRule="auto"/>
              <w:rPr>
                <w:rFonts w:cstheme="minorHAnsi"/>
              </w:rPr>
            </w:pPr>
            <w:r w:rsidRPr="00A86E27">
              <w:rPr>
                <w:rFonts w:cstheme="minorHAnsi"/>
              </w:rPr>
              <w:t>$6.23 (=$48.13*12.9%)</w:t>
            </w:r>
          </w:p>
        </w:tc>
      </w:tr>
      <w:tr w:rsidR="00BB07A2" w:rsidRPr="006F4B46" w14:paraId="6BC0E849" w14:textId="77777777" w:rsidTr="002C04F0">
        <w:trPr>
          <w:trHeight w:val="255"/>
        </w:trPr>
        <w:tc>
          <w:tcPr>
            <w:tcW w:w="1626"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15AE3580" w14:textId="77777777" w:rsidR="00BB07A2" w:rsidRPr="00A86E27" w:rsidRDefault="00BB07A2" w:rsidP="002C04F0">
            <w:pPr>
              <w:spacing w:before="40" w:after="40" w:line="240" w:lineRule="auto"/>
              <w:rPr>
                <w:rFonts w:cstheme="minorHAnsi"/>
              </w:rPr>
            </w:pPr>
            <w:r w:rsidRPr="00A86E27">
              <w:rPr>
                <w:rFonts w:cstheme="minorHAnsi"/>
              </w:rPr>
              <w:t>Professionals</w:t>
            </w:r>
          </w:p>
        </w:tc>
        <w:tc>
          <w:tcPr>
            <w:tcW w:w="1491"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57472CB7" w14:textId="77777777" w:rsidR="00BB07A2" w:rsidRPr="00A86E27" w:rsidRDefault="00BB07A2" w:rsidP="002C04F0">
            <w:pPr>
              <w:spacing w:before="40" w:after="40" w:line="240" w:lineRule="auto"/>
              <w:rPr>
                <w:rFonts w:cstheme="minorHAnsi"/>
              </w:rPr>
            </w:pPr>
            <w:r w:rsidRPr="00A86E27">
              <w:rPr>
                <w:rFonts w:cstheme="minorHAnsi"/>
              </w:rPr>
              <w:t>18.9%</w:t>
            </w:r>
          </w:p>
        </w:tc>
        <w:tc>
          <w:tcPr>
            <w:tcW w:w="1504"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608B51AE" w14:textId="77777777" w:rsidR="00BB07A2" w:rsidRPr="00A86E27" w:rsidRDefault="00BB07A2" w:rsidP="002C04F0">
            <w:pPr>
              <w:spacing w:before="40" w:after="40" w:line="240" w:lineRule="auto"/>
              <w:rPr>
                <w:rFonts w:cstheme="minorHAnsi"/>
              </w:rPr>
            </w:pPr>
            <w:r w:rsidRPr="00A86E27">
              <w:rPr>
                <w:rFonts w:cstheme="minorHAnsi"/>
              </w:rPr>
              <w:t>29.6%</w:t>
            </w:r>
          </w:p>
        </w:tc>
        <w:tc>
          <w:tcPr>
            <w:tcW w:w="1044"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5BC95AF3" w14:textId="77777777" w:rsidR="00BB07A2" w:rsidRPr="00A86E27" w:rsidRDefault="00BB07A2" w:rsidP="002C04F0">
            <w:pPr>
              <w:spacing w:before="40" w:after="40" w:line="240" w:lineRule="auto"/>
              <w:rPr>
                <w:rFonts w:cstheme="minorHAnsi"/>
              </w:rPr>
            </w:pPr>
            <w:r w:rsidRPr="00A86E27">
              <w:rPr>
                <w:rFonts w:cstheme="minorHAnsi"/>
              </w:rPr>
              <w:t>$52.11</w:t>
            </w:r>
          </w:p>
        </w:tc>
        <w:tc>
          <w:tcPr>
            <w:tcW w:w="1701" w:type="dxa"/>
            <w:tcBorders>
              <w:top w:val="dotted" w:sz="4" w:space="0" w:color="auto"/>
              <w:left w:val="single" w:sz="4" w:space="0" w:color="auto"/>
              <w:bottom w:val="dotted" w:sz="4" w:space="0" w:color="auto"/>
              <w:right w:val="single" w:sz="4" w:space="0" w:color="auto"/>
            </w:tcBorders>
            <w:vAlign w:val="center"/>
          </w:tcPr>
          <w:p w14:paraId="56B2F4D7" w14:textId="77777777" w:rsidR="00BB07A2" w:rsidRPr="00A86E27" w:rsidRDefault="00BB07A2" w:rsidP="002C04F0">
            <w:pPr>
              <w:spacing w:before="40" w:after="40" w:line="240" w:lineRule="auto"/>
              <w:rPr>
                <w:rFonts w:cstheme="minorHAnsi"/>
              </w:rPr>
            </w:pPr>
            <w:r w:rsidRPr="00A86E27">
              <w:rPr>
                <w:rFonts w:cstheme="minorHAnsi"/>
              </w:rPr>
              <w:t>$9.86</w:t>
            </w:r>
          </w:p>
        </w:tc>
        <w:tc>
          <w:tcPr>
            <w:tcW w:w="1650" w:type="dxa"/>
            <w:tcBorders>
              <w:top w:val="dotted" w:sz="4" w:space="0" w:color="auto"/>
              <w:left w:val="single" w:sz="4" w:space="0" w:color="auto"/>
              <w:bottom w:val="dotted" w:sz="4" w:space="0" w:color="auto"/>
              <w:right w:val="single" w:sz="4" w:space="0" w:color="auto"/>
            </w:tcBorders>
            <w:vAlign w:val="center"/>
          </w:tcPr>
          <w:p w14:paraId="2A67D0C5" w14:textId="77777777" w:rsidR="00BB07A2" w:rsidRPr="00A86E27" w:rsidRDefault="00BB07A2" w:rsidP="002C04F0">
            <w:pPr>
              <w:spacing w:before="40" w:after="40" w:line="240" w:lineRule="auto"/>
              <w:rPr>
                <w:rFonts w:cstheme="minorHAnsi"/>
              </w:rPr>
            </w:pPr>
            <w:r w:rsidRPr="00A86E27">
              <w:rPr>
                <w:rFonts w:cstheme="minorHAnsi"/>
              </w:rPr>
              <w:t>$15.45</w:t>
            </w:r>
          </w:p>
        </w:tc>
      </w:tr>
      <w:tr w:rsidR="00BB07A2" w:rsidRPr="006F4B46" w14:paraId="043A0027" w14:textId="77777777" w:rsidTr="002C04F0">
        <w:trPr>
          <w:trHeight w:val="255"/>
        </w:trPr>
        <w:tc>
          <w:tcPr>
            <w:tcW w:w="1626"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629C26BD" w14:textId="77777777" w:rsidR="00BB07A2" w:rsidRPr="00A86E27" w:rsidRDefault="00BB07A2" w:rsidP="002C04F0">
            <w:pPr>
              <w:spacing w:before="40" w:after="40" w:line="240" w:lineRule="auto"/>
              <w:rPr>
                <w:rFonts w:cstheme="minorHAnsi"/>
              </w:rPr>
            </w:pPr>
            <w:r w:rsidRPr="00A86E27">
              <w:rPr>
                <w:rFonts w:cstheme="minorHAnsi"/>
              </w:rPr>
              <w:t>Technicians and Trades Workers</w:t>
            </w:r>
          </w:p>
        </w:tc>
        <w:tc>
          <w:tcPr>
            <w:tcW w:w="1491"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1B8701FF" w14:textId="77777777" w:rsidR="00BB07A2" w:rsidRPr="00A86E27" w:rsidRDefault="00BB07A2" w:rsidP="002C04F0">
            <w:pPr>
              <w:spacing w:before="40" w:after="40" w:line="240" w:lineRule="auto"/>
              <w:rPr>
                <w:rFonts w:cstheme="minorHAnsi"/>
              </w:rPr>
            </w:pPr>
            <w:r w:rsidRPr="00A86E27">
              <w:rPr>
                <w:rFonts w:cstheme="minorHAnsi"/>
              </w:rPr>
              <w:t>15.7%</w:t>
            </w:r>
          </w:p>
        </w:tc>
        <w:tc>
          <w:tcPr>
            <w:tcW w:w="1504"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2564453E" w14:textId="77777777" w:rsidR="00BB07A2" w:rsidRPr="00A86E27" w:rsidRDefault="00BB07A2" w:rsidP="002C04F0">
            <w:pPr>
              <w:spacing w:before="40" w:after="40" w:line="240" w:lineRule="auto"/>
              <w:rPr>
                <w:rFonts w:cstheme="minorHAnsi"/>
              </w:rPr>
            </w:pPr>
            <w:r w:rsidRPr="00A86E27">
              <w:rPr>
                <w:rFonts w:cstheme="minorHAnsi"/>
              </w:rPr>
              <w:t>16.2%</w:t>
            </w:r>
          </w:p>
        </w:tc>
        <w:tc>
          <w:tcPr>
            <w:tcW w:w="1044"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12C11871" w14:textId="77777777" w:rsidR="00BB07A2" w:rsidRPr="00A86E27" w:rsidRDefault="00BB07A2" w:rsidP="002C04F0">
            <w:pPr>
              <w:spacing w:before="40" w:after="40" w:line="240" w:lineRule="auto"/>
              <w:rPr>
                <w:rFonts w:cstheme="minorHAnsi"/>
              </w:rPr>
            </w:pPr>
            <w:r w:rsidRPr="00A86E27">
              <w:rPr>
                <w:rFonts w:cstheme="minorHAnsi"/>
              </w:rPr>
              <w:t>$33.02</w:t>
            </w:r>
          </w:p>
        </w:tc>
        <w:tc>
          <w:tcPr>
            <w:tcW w:w="1701" w:type="dxa"/>
            <w:tcBorders>
              <w:top w:val="dotted" w:sz="4" w:space="0" w:color="auto"/>
              <w:left w:val="single" w:sz="4" w:space="0" w:color="auto"/>
              <w:bottom w:val="dotted" w:sz="4" w:space="0" w:color="auto"/>
              <w:right w:val="single" w:sz="4" w:space="0" w:color="auto"/>
            </w:tcBorders>
            <w:vAlign w:val="center"/>
          </w:tcPr>
          <w:p w14:paraId="14D37461" w14:textId="77777777" w:rsidR="00BB07A2" w:rsidRPr="00A86E27" w:rsidRDefault="00BB07A2" w:rsidP="002C04F0">
            <w:pPr>
              <w:spacing w:before="40" w:after="40" w:line="240" w:lineRule="auto"/>
              <w:rPr>
                <w:rFonts w:cstheme="minorHAnsi"/>
              </w:rPr>
            </w:pPr>
            <w:r w:rsidRPr="00A86E27">
              <w:rPr>
                <w:rFonts w:cstheme="minorHAnsi"/>
              </w:rPr>
              <w:t>$5.18</w:t>
            </w:r>
          </w:p>
        </w:tc>
        <w:tc>
          <w:tcPr>
            <w:tcW w:w="1650" w:type="dxa"/>
            <w:tcBorders>
              <w:top w:val="dotted" w:sz="4" w:space="0" w:color="auto"/>
              <w:left w:val="single" w:sz="4" w:space="0" w:color="auto"/>
              <w:bottom w:val="dotted" w:sz="4" w:space="0" w:color="auto"/>
              <w:right w:val="single" w:sz="4" w:space="0" w:color="auto"/>
            </w:tcBorders>
            <w:vAlign w:val="center"/>
          </w:tcPr>
          <w:p w14:paraId="0F24721A" w14:textId="77777777" w:rsidR="00BB07A2" w:rsidRPr="00A86E27" w:rsidRDefault="00BB07A2" w:rsidP="002C04F0">
            <w:pPr>
              <w:spacing w:before="40" w:after="40" w:line="240" w:lineRule="auto"/>
              <w:rPr>
                <w:rFonts w:cstheme="minorHAnsi"/>
              </w:rPr>
            </w:pPr>
            <w:r w:rsidRPr="00A86E27">
              <w:rPr>
                <w:rFonts w:cstheme="minorHAnsi"/>
              </w:rPr>
              <w:t>$5.35</w:t>
            </w:r>
          </w:p>
        </w:tc>
      </w:tr>
      <w:tr w:rsidR="00BB07A2" w:rsidRPr="006F4B46" w14:paraId="0255409D" w14:textId="77777777" w:rsidTr="002C04F0">
        <w:trPr>
          <w:trHeight w:val="255"/>
        </w:trPr>
        <w:tc>
          <w:tcPr>
            <w:tcW w:w="1626"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40248E31" w14:textId="77777777" w:rsidR="00BB07A2" w:rsidRPr="00A86E27" w:rsidRDefault="00BB07A2" w:rsidP="002C04F0">
            <w:pPr>
              <w:spacing w:before="40" w:after="40" w:line="240" w:lineRule="auto"/>
              <w:rPr>
                <w:rFonts w:cstheme="minorHAnsi"/>
              </w:rPr>
            </w:pPr>
            <w:r w:rsidRPr="00A86E27">
              <w:rPr>
                <w:rFonts w:cstheme="minorHAnsi"/>
              </w:rPr>
              <w:t>Community and Personal Service Workers</w:t>
            </w:r>
          </w:p>
        </w:tc>
        <w:tc>
          <w:tcPr>
            <w:tcW w:w="1491"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556FC637" w14:textId="77777777" w:rsidR="00BB07A2" w:rsidRPr="00A86E27" w:rsidRDefault="00BB07A2" w:rsidP="002C04F0">
            <w:pPr>
              <w:spacing w:before="40" w:after="40" w:line="240" w:lineRule="auto"/>
              <w:rPr>
                <w:rFonts w:cstheme="minorHAnsi"/>
              </w:rPr>
            </w:pPr>
            <w:r w:rsidRPr="00A86E27">
              <w:rPr>
                <w:rFonts w:cstheme="minorHAnsi"/>
              </w:rPr>
              <w:t>3.1%</w:t>
            </w:r>
          </w:p>
        </w:tc>
        <w:tc>
          <w:tcPr>
            <w:tcW w:w="1504"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3C1412B5" w14:textId="77777777" w:rsidR="00BB07A2" w:rsidRPr="00A86E27" w:rsidRDefault="00BB07A2" w:rsidP="002C04F0">
            <w:pPr>
              <w:spacing w:before="40" w:after="40" w:line="240" w:lineRule="auto"/>
              <w:rPr>
                <w:rFonts w:cstheme="minorHAnsi"/>
              </w:rPr>
            </w:pPr>
            <w:r w:rsidRPr="00A86E27">
              <w:rPr>
                <w:rFonts w:cstheme="minorHAnsi"/>
              </w:rPr>
              <w:t>7.6%</w:t>
            </w:r>
          </w:p>
        </w:tc>
        <w:tc>
          <w:tcPr>
            <w:tcW w:w="1044"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691E84B7" w14:textId="77777777" w:rsidR="00BB07A2" w:rsidRPr="00A86E27" w:rsidRDefault="00BB07A2" w:rsidP="002C04F0">
            <w:pPr>
              <w:spacing w:before="40" w:after="40" w:line="240" w:lineRule="auto"/>
              <w:rPr>
                <w:rFonts w:cstheme="minorHAnsi"/>
              </w:rPr>
            </w:pPr>
            <w:r w:rsidRPr="00A86E27">
              <w:rPr>
                <w:rFonts w:cstheme="minorHAnsi"/>
              </w:rPr>
              <w:t>$31.68</w:t>
            </w:r>
          </w:p>
        </w:tc>
        <w:tc>
          <w:tcPr>
            <w:tcW w:w="1701" w:type="dxa"/>
            <w:tcBorders>
              <w:top w:val="dotted" w:sz="4" w:space="0" w:color="auto"/>
              <w:left w:val="single" w:sz="4" w:space="0" w:color="auto"/>
              <w:bottom w:val="dotted" w:sz="4" w:space="0" w:color="auto"/>
              <w:right w:val="single" w:sz="4" w:space="0" w:color="auto"/>
            </w:tcBorders>
            <w:vAlign w:val="center"/>
          </w:tcPr>
          <w:p w14:paraId="52D64DF3" w14:textId="77777777" w:rsidR="00BB07A2" w:rsidRPr="00A86E27" w:rsidRDefault="00BB07A2" w:rsidP="002C04F0">
            <w:pPr>
              <w:spacing w:before="40" w:after="40" w:line="240" w:lineRule="auto"/>
              <w:rPr>
                <w:rFonts w:cstheme="minorHAnsi"/>
              </w:rPr>
            </w:pPr>
            <w:r w:rsidRPr="00A86E27">
              <w:rPr>
                <w:rFonts w:cstheme="minorHAnsi"/>
              </w:rPr>
              <w:t>$0.97</w:t>
            </w:r>
          </w:p>
        </w:tc>
        <w:tc>
          <w:tcPr>
            <w:tcW w:w="1650" w:type="dxa"/>
            <w:tcBorders>
              <w:top w:val="dotted" w:sz="4" w:space="0" w:color="auto"/>
              <w:left w:val="single" w:sz="4" w:space="0" w:color="auto"/>
              <w:bottom w:val="dotted" w:sz="4" w:space="0" w:color="auto"/>
              <w:right w:val="single" w:sz="4" w:space="0" w:color="auto"/>
            </w:tcBorders>
            <w:vAlign w:val="center"/>
          </w:tcPr>
          <w:p w14:paraId="02794B95" w14:textId="77777777" w:rsidR="00BB07A2" w:rsidRPr="00A86E27" w:rsidRDefault="00BB07A2" w:rsidP="002C04F0">
            <w:pPr>
              <w:spacing w:before="40" w:after="40" w:line="240" w:lineRule="auto"/>
              <w:rPr>
                <w:rFonts w:cstheme="minorHAnsi"/>
              </w:rPr>
            </w:pPr>
            <w:r w:rsidRPr="00A86E27">
              <w:rPr>
                <w:rFonts w:cstheme="minorHAnsi"/>
              </w:rPr>
              <w:t>$2.42</w:t>
            </w:r>
          </w:p>
        </w:tc>
      </w:tr>
      <w:tr w:rsidR="00BB07A2" w:rsidRPr="006F4B46" w14:paraId="743072FC" w14:textId="77777777" w:rsidTr="002C04F0">
        <w:trPr>
          <w:trHeight w:val="255"/>
        </w:trPr>
        <w:tc>
          <w:tcPr>
            <w:tcW w:w="1626"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1B9C8455" w14:textId="77777777" w:rsidR="00BB07A2" w:rsidRPr="00A86E27" w:rsidRDefault="00BB07A2" w:rsidP="002C04F0">
            <w:pPr>
              <w:spacing w:before="40" w:after="40" w:line="240" w:lineRule="auto"/>
              <w:rPr>
                <w:rFonts w:cstheme="minorHAnsi"/>
              </w:rPr>
            </w:pPr>
            <w:r w:rsidRPr="00A86E27">
              <w:rPr>
                <w:rFonts w:cstheme="minorHAnsi"/>
              </w:rPr>
              <w:t>Clerical and Administrative Workers</w:t>
            </w:r>
          </w:p>
        </w:tc>
        <w:tc>
          <w:tcPr>
            <w:tcW w:w="1491"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5E8D6B51" w14:textId="77777777" w:rsidR="00BB07A2" w:rsidRPr="00A86E27" w:rsidRDefault="00BB07A2" w:rsidP="002C04F0">
            <w:pPr>
              <w:spacing w:before="40" w:after="40" w:line="240" w:lineRule="auto"/>
              <w:rPr>
                <w:rFonts w:cstheme="minorHAnsi"/>
              </w:rPr>
            </w:pPr>
            <w:r w:rsidRPr="00A86E27">
              <w:rPr>
                <w:rFonts w:cstheme="minorHAnsi"/>
              </w:rPr>
              <w:t>20.8%</w:t>
            </w:r>
          </w:p>
        </w:tc>
        <w:tc>
          <w:tcPr>
            <w:tcW w:w="1504"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725AEEB2" w14:textId="77777777" w:rsidR="00BB07A2" w:rsidRPr="00A86E27" w:rsidRDefault="00BB07A2" w:rsidP="002C04F0">
            <w:pPr>
              <w:spacing w:before="40" w:after="40" w:line="240" w:lineRule="auto"/>
              <w:rPr>
                <w:rFonts w:cstheme="minorHAnsi"/>
              </w:rPr>
            </w:pPr>
            <w:r w:rsidRPr="00A86E27">
              <w:rPr>
                <w:rFonts w:cstheme="minorHAnsi"/>
              </w:rPr>
              <w:t>13.2%</w:t>
            </w:r>
          </w:p>
        </w:tc>
        <w:tc>
          <w:tcPr>
            <w:tcW w:w="1044"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25840E90" w14:textId="77777777" w:rsidR="00BB07A2" w:rsidRPr="00A86E27" w:rsidRDefault="00BB07A2" w:rsidP="002C04F0">
            <w:pPr>
              <w:spacing w:before="40" w:after="40" w:line="240" w:lineRule="auto"/>
              <w:rPr>
                <w:rFonts w:cstheme="minorHAnsi"/>
              </w:rPr>
            </w:pPr>
            <w:r w:rsidRPr="00A86E27">
              <w:rPr>
                <w:rFonts w:cstheme="minorHAnsi"/>
              </w:rPr>
              <w:t>$36.23</w:t>
            </w:r>
          </w:p>
        </w:tc>
        <w:tc>
          <w:tcPr>
            <w:tcW w:w="1701" w:type="dxa"/>
            <w:tcBorders>
              <w:top w:val="dotted" w:sz="4" w:space="0" w:color="auto"/>
              <w:left w:val="single" w:sz="4" w:space="0" w:color="auto"/>
              <w:bottom w:val="dotted" w:sz="4" w:space="0" w:color="auto"/>
              <w:right w:val="single" w:sz="4" w:space="0" w:color="auto"/>
            </w:tcBorders>
            <w:vAlign w:val="center"/>
          </w:tcPr>
          <w:p w14:paraId="562F735E" w14:textId="77777777" w:rsidR="00BB07A2" w:rsidRPr="00A86E27" w:rsidRDefault="00BB07A2" w:rsidP="002C04F0">
            <w:pPr>
              <w:spacing w:before="40" w:after="40" w:line="240" w:lineRule="auto"/>
              <w:rPr>
                <w:rFonts w:cstheme="minorHAnsi"/>
              </w:rPr>
            </w:pPr>
            <w:r w:rsidRPr="00A86E27">
              <w:rPr>
                <w:rFonts w:cstheme="minorHAnsi"/>
              </w:rPr>
              <w:t>$7.53</w:t>
            </w:r>
          </w:p>
        </w:tc>
        <w:tc>
          <w:tcPr>
            <w:tcW w:w="1650" w:type="dxa"/>
            <w:tcBorders>
              <w:top w:val="dotted" w:sz="4" w:space="0" w:color="auto"/>
              <w:left w:val="single" w:sz="4" w:space="0" w:color="auto"/>
              <w:bottom w:val="dotted" w:sz="4" w:space="0" w:color="auto"/>
              <w:right w:val="single" w:sz="4" w:space="0" w:color="auto"/>
            </w:tcBorders>
            <w:vAlign w:val="center"/>
          </w:tcPr>
          <w:p w14:paraId="7569BACE" w14:textId="77777777" w:rsidR="00BB07A2" w:rsidRPr="00A86E27" w:rsidRDefault="00BB07A2" w:rsidP="002C04F0">
            <w:pPr>
              <w:spacing w:before="40" w:after="40" w:line="240" w:lineRule="auto"/>
              <w:rPr>
                <w:rFonts w:cstheme="minorHAnsi"/>
              </w:rPr>
            </w:pPr>
            <w:r w:rsidRPr="00A86E27">
              <w:rPr>
                <w:rFonts w:cstheme="minorHAnsi"/>
              </w:rPr>
              <w:t>$4.80</w:t>
            </w:r>
          </w:p>
        </w:tc>
      </w:tr>
      <w:tr w:rsidR="00BB07A2" w:rsidRPr="006F4B46" w14:paraId="4B624A89" w14:textId="77777777" w:rsidTr="002C04F0">
        <w:trPr>
          <w:trHeight w:val="255"/>
        </w:trPr>
        <w:tc>
          <w:tcPr>
            <w:tcW w:w="1626"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01B81B05" w14:textId="77777777" w:rsidR="00BB07A2" w:rsidRPr="00A86E27" w:rsidRDefault="00BB07A2" w:rsidP="002C04F0">
            <w:pPr>
              <w:spacing w:before="40" w:after="40" w:line="240" w:lineRule="auto"/>
              <w:rPr>
                <w:rFonts w:cstheme="minorHAnsi"/>
              </w:rPr>
            </w:pPr>
            <w:r w:rsidRPr="00A86E27">
              <w:rPr>
                <w:rFonts w:cstheme="minorHAnsi"/>
              </w:rPr>
              <w:t>Sales Workers</w:t>
            </w:r>
          </w:p>
        </w:tc>
        <w:tc>
          <w:tcPr>
            <w:tcW w:w="1491"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0EF150D5" w14:textId="77777777" w:rsidR="00BB07A2" w:rsidRPr="00A86E27" w:rsidRDefault="00BB07A2" w:rsidP="002C04F0">
            <w:pPr>
              <w:spacing w:before="40" w:after="40" w:line="240" w:lineRule="auto"/>
              <w:rPr>
                <w:rFonts w:cstheme="minorHAnsi"/>
              </w:rPr>
            </w:pPr>
            <w:r w:rsidRPr="00A86E27">
              <w:rPr>
                <w:rFonts w:cstheme="minorHAnsi"/>
              </w:rPr>
              <w:t>0.0%</w:t>
            </w:r>
          </w:p>
        </w:tc>
        <w:tc>
          <w:tcPr>
            <w:tcW w:w="1504"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5AB6AFD4" w14:textId="77777777" w:rsidR="00BB07A2" w:rsidRPr="00A86E27" w:rsidRDefault="00BB07A2" w:rsidP="002C04F0">
            <w:pPr>
              <w:spacing w:before="40" w:after="40" w:line="240" w:lineRule="auto"/>
              <w:rPr>
                <w:rFonts w:cstheme="minorHAnsi"/>
              </w:rPr>
            </w:pPr>
            <w:r w:rsidRPr="00A86E27">
              <w:rPr>
                <w:rFonts w:cstheme="minorHAnsi"/>
              </w:rPr>
              <w:t>5.8%</w:t>
            </w:r>
          </w:p>
        </w:tc>
        <w:tc>
          <w:tcPr>
            <w:tcW w:w="1044"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2D844E8E" w14:textId="77777777" w:rsidR="00BB07A2" w:rsidRPr="00A86E27" w:rsidRDefault="00BB07A2" w:rsidP="002C04F0">
            <w:pPr>
              <w:spacing w:before="40" w:after="40" w:line="240" w:lineRule="auto"/>
              <w:rPr>
                <w:rFonts w:cstheme="minorHAnsi"/>
              </w:rPr>
            </w:pPr>
            <w:r w:rsidRPr="00A86E27">
              <w:rPr>
                <w:rFonts w:cstheme="minorHAnsi"/>
              </w:rPr>
              <w:t>$30.70</w:t>
            </w:r>
          </w:p>
        </w:tc>
        <w:tc>
          <w:tcPr>
            <w:tcW w:w="1701" w:type="dxa"/>
            <w:tcBorders>
              <w:top w:val="dotted" w:sz="4" w:space="0" w:color="auto"/>
              <w:left w:val="single" w:sz="4" w:space="0" w:color="auto"/>
              <w:bottom w:val="dotted" w:sz="4" w:space="0" w:color="auto"/>
              <w:right w:val="single" w:sz="4" w:space="0" w:color="auto"/>
            </w:tcBorders>
            <w:vAlign w:val="center"/>
          </w:tcPr>
          <w:p w14:paraId="47C65EB3" w14:textId="77777777" w:rsidR="00BB07A2" w:rsidRPr="00A86E27" w:rsidRDefault="00BB07A2" w:rsidP="002C04F0">
            <w:pPr>
              <w:spacing w:before="40" w:after="40" w:line="240" w:lineRule="auto"/>
              <w:rPr>
                <w:rFonts w:cstheme="minorHAnsi"/>
              </w:rPr>
            </w:pPr>
            <w:r w:rsidRPr="00A86E27">
              <w:rPr>
                <w:rFonts w:cstheme="minorHAnsi"/>
              </w:rPr>
              <w:t>$0.00</w:t>
            </w:r>
          </w:p>
        </w:tc>
        <w:tc>
          <w:tcPr>
            <w:tcW w:w="1650" w:type="dxa"/>
            <w:tcBorders>
              <w:top w:val="dotted" w:sz="4" w:space="0" w:color="auto"/>
              <w:left w:val="single" w:sz="4" w:space="0" w:color="auto"/>
              <w:bottom w:val="dotted" w:sz="4" w:space="0" w:color="auto"/>
              <w:right w:val="single" w:sz="4" w:space="0" w:color="auto"/>
            </w:tcBorders>
            <w:vAlign w:val="center"/>
          </w:tcPr>
          <w:p w14:paraId="202BCCF3" w14:textId="77777777" w:rsidR="00BB07A2" w:rsidRPr="00A86E27" w:rsidRDefault="00BB07A2" w:rsidP="002C04F0">
            <w:pPr>
              <w:spacing w:before="40" w:after="40" w:line="240" w:lineRule="auto"/>
              <w:rPr>
                <w:rFonts w:cstheme="minorHAnsi"/>
              </w:rPr>
            </w:pPr>
            <w:r w:rsidRPr="00A86E27">
              <w:rPr>
                <w:rFonts w:cstheme="minorHAnsi"/>
              </w:rPr>
              <w:t>$1.79</w:t>
            </w:r>
          </w:p>
        </w:tc>
      </w:tr>
      <w:tr w:rsidR="00BB07A2" w:rsidRPr="006F4B46" w14:paraId="5008C803" w14:textId="77777777" w:rsidTr="002C04F0">
        <w:trPr>
          <w:trHeight w:val="255"/>
        </w:trPr>
        <w:tc>
          <w:tcPr>
            <w:tcW w:w="1626"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14D255D2" w14:textId="77777777" w:rsidR="00BB07A2" w:rsidRPr="00A86E27" w:rsidRDefault="00BB07A2" w:rsidP="002C04F0">
            <w:pPr>
              <w:spacing w:before="40" w:after="40" w:line="240" w:lineRule="auto"/>
              <w:rPr>
                <w:rFonts w:cstheme="minorHAnsi"/>
              </w:rPr>
            </w:pPr>
            <w:r w:rsidRPr="00A86E27">
              <w:rPr>
                <w:rFonts w:cstheme="minorHAnsi"/>
              </w:rPr>
              <w:t>Machinery Operators and Drivers</w:t>
            </w:r>
          </w:p>
        </w:tc>
        <w:tc>
          <w:tcPr>
            <w:tcW w:w="1491"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643309EA" w14:textId="77777777" w:rsidR="00BB07A2" w:rsidRPr="00A86E27" w:rsidRDefault="00BB07A2" w:rsidP="002C04F0">
            <w:pPr>
              <w:spacing w:before="40" w:after="40" w:line="240" w:lineRule="auto"/>
              <w:rPr>
                <w:rFonts w:cstheme="minorHAnsi"/>
              </w:rPr>
            </w:pPr>
            <w:r w:rsidRPr="00A86E27">
              <w:rPr>
                <w:rFonts w:cstheme="minorHAnsi"/>
              </w:rPr>
              <w:t>24.0%</w:t>
            </w:r>
          </w:p>
        </w:tc>
        <w:tc>
          <w:tcPr>
            <w:tcW w:w="1504"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151051CB" w14:textId="77777777" w:rsidR="00BB07A2" w:rsidRPr="00A86E27" w:rsidRDefault="00BB07A2" w:rsidP="002C04F0">
            <w:pPr>
              <w:spacing w:before="40" w:after="40" w:line="240" w:lineRule="auto"/>
              <w:rPr>
                <w:rFonts w:cstheme="minorHAnsi"/>
              </w:rPr>
            </w:pPr>
            <w:r w:rsidRPr="00A86E27">
              <w:rPr>
                <w:rFonts w:cstheme="minorHAnsi"/>
              </w:rPr>
              <w:t>7.7%</w:t>
            </w:r>
          </w:p>
        </w:tc>
        <w:tc>
          <w:tcPr>
            <w:tcW w:w="1044"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2E1E8EEC" w14:textId="77777777" w:rsidR="00BB07A2" w:rsidRPr="00A86E27" w:rsidRDefault="00BB07A2" w:rsidP="002C04F0">
            <w:pPr>
              <w:spacing w:before="40" w:after="40" w:line="240" w:lineRule="auto"/>
              <w:rPr>
                <w:rFonts w:cstheme="minorHAnsi"/>
              </w:rPr>
            </w:pPr>
            <w:r w:rsidRPr="00A86E27">
              <w:rPr>
                <w:rFonts w:cstheme="minorHAnsi"/>
              </w:rPr>
              <w:t>$31.61</w:t>
            </w:r>
          </w:p>
        </w:tc>
        <w:tc>
          <w:tcPr>
            <w:tcW w:w="1701" w:type="dxa"/>
            <w:tcBorders>
              <w:top w:val="dotted" w:sz="4" w:space="0" w:color="auto"/>
              <w:left w:val="single" w:sz="4" w:space="0" w:color="auto"/>
              <w:bottom w:val="dotted" w:sz="4" w:space="0" w:color="auto"/>
              <w:right w:val="single" w:sz="4" w:space="0" w:color="auto"/>
            </w:tcBorders>
            <w:vAlign w:val="center"/>
          </w:tcPr>
          <w:p w14:paraId="655DB3B9" w14:textId="77777777" w:rsidR="00BB07A2" w:rsidRPr="00A86E27" w:rsidRDefault="00BB07A2" w:rsidP="002C04F0">
            <w:pPr>
              <w:spacing w:before="40" w:after="40" w:line="240" w:lineRule="auto"/>
              <w:rPr>
                <w:rFonts w:cstheme="minorHAnsi"/>
              </w:rPr>
            </w:pPr>
            <w:r w:rsidRPr="00A86E27">
              <w:rPr>
                <w:rFonts w:cstheme="minorHAnsi"/>
              </w:rPr>
              <w:t>$7.59</w:t>
            </w:r>
          </w:p>
        </w:tc>
        <w:tc>
          <w:tcPr>
            <w:tcW w:w="1650" w:type="dxa"/>
            <w:tcBorders>
              <w:top w:val="dotted" w:sz="4" w:space="0" w:color="auto"/>
              <w:left w:val="single" w:sz="4" w:space="0" w:color="auto"/>
              <w:bottom w:val="dotted" w:sz="4" w:space="0" w:color="auto"/>
              <w:right w:val="single" w:sz="4" w:space="0" w:color="auto"/>
            </w:tcBorders>
            <w:vAlign w:val="center"/>
          </w:tcPr>
          <w:p w14:paraId="56C49EB1" w14:textId="77777777" w:rsidR="00BB07A2" w:rsidRPr="00A86E27" w:rsidRDefault="00BB07A2" w:rsidP="002C04F0">
            <w:pPr>
              <w:spacing w:before="40" w:after="40" w:line="240" w:lineRule="auto"/>
              <w:rPr>
                <w:rFonts w:cstheme="minorHAnsi"/>
              </w:rPr>
            </w:pPr>
            <w:r w:rsidRPr="00A86E27">
              <w:rPr>
                <w:rFonts w:cstheme="minorHAnsi"/>
              </w:rPr>
              <w:t>$2.44</w:t>
            </w:r>
          </w:p>
        </w:tc>
      </w:tr>
      <w:tr w:rsidR="00BB07A2" w:rsidRPr="006F4B46" w14:paraId="5AE36C60" w14:textId="77777777" w:rsidTr="002C04F0">
        <w:trPr>
          <w:trHeight w:val="255"/>
        </w:trPr>
        <w:tc>
          <w:tcPr>
            <w:tcW w:w="1626"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7BEE0183" w14:textId="77777777" w:rsidR="00BB07A2" w:rsidRPr="00A86E27" w:rsidRDefault="00BB07A2" w:rsidP="002C04F0">
            <w:pPr>
              <w:spacing w:before="40" w:after="40" w:line="240" w:lineRule="auto"/>
              <w:rPr>
                <w:rFonts w:cstheme="minorHAnsi"/>
              </w:rPr>
            </w:pPr>
            <w:r w:rsidRPr="00A86E27">
              <w:rPr>
                <w:rFonts w:cstheme="minorHAnsi"/>
              </w:rPr>
              <w:t>Labourers</w:t>
            </w:r>
          </w:p>
        </w:tc>
        <w:tc>
          <w:tcPr>
            <w:tcW w:w="1491"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74BD0A67" w14:textId="77777777" w:rsidR="00BB07A2" w:rsidRPr="00A86E27" w:rsidRDefault="00BB07A2" w:rsidP="002C04F0">
            <w:pPr>
              <w:spacing w:before="40" w:after="40" w:line="240" w:lineRule="auto"/>
              <w:rPr>
                <w:rFonts w:cstheme="minorHAnsi"/>
              </w:rPr>
            </w:pPr>
            <w:r w:rsidRPr="00A86E27">
              <w:rPr>
                <w:rFonts w:cstheme="minorHAnsi"/>
              </w:rPr>
              <w:t>13.7%</w:t>
            </w:r>
          </w:p>
        </w:tc>
        <w:tc>
          <w:tcPr>
            <w:tcW w:w="1504"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13450F86" w14:textId="77777777" w:rsidR="00BB07A2" w:rsidRPr="00A86E27" w:rsidRDefault="00BB07A2" w:rsidP="002C04F0">
            <w:pPr>
              <w:spacing w:before="40" w:after="40" w:line="240" w:lineRule="auto"/>
              <w:rPr>
                <w:rFonts w:cstheme="minorHAnsi"/>
              </w:rPr>
            </w:pPr>
            <w:r w:rsidRPr="00A86E27">
              <w:rPr>
                <w:rFonts w:cstheme="minorHAnsi"/>
              </w:rPr>
              <w:t>6.8%</w:t>
            </w:r>
          </w:p>
        </w:tc>
        <w:tc>
          <w:tcPr>
            <w:tcW w:w="1044" w:type="dxa"/>
            <w:tcBorders>
              <w:top w:val="dotted" w:sz="4" w:space="0" w:color="auto"/>
              <w:left w:val="single" w:sz="4" w:space="0" w:color="auto"/>
              <w:bottom w:val="dotted" w:sz="4" w:space="0" w:color="auto"/>
              <w:right w:val="single" w:sz="4" w:space="0" w:color="auto"/>
            </w:tcBorders>
            <w:noWrap/>
            <w:tcMar>
              <w:top w:w="0" w:type="dxa"/>
              <w:left w:w="108" w:type="dxa"/>
              <w:bottom w:w="0" w:type="dxa"/>
              <w:right w:w="108" w:type="dxa"/>
            </w:tcMar>
            <w:vAlign w:val="center"/>
            <w:hideMark/>
          </w:tcPr>
          <w:p w14:paraId="5B715621" w14:textId="77777777" w:rsidR="00BB07A2" w:rsidRPr="00A86E27" w:rsidRDefault="00BB07A2" w:rsidP="002C04F0">
            <w:pPr>
              <w:spacing w:before="40" w:after="40" w:line="240" w:lineRule="auto"/>
              <w:rPr>
                <w:rFonts w:cstheme="minorHAnsi"/>
              </w:rPr>
            </w:pPr>
            <w:r w:rsidRPr="00A86E27">
              <w:rPr>
                <w:rFonts w:cstheme="minorHAnsi"/>
              </w:rPr>
              <w:t>$28.46</w:t>
            </w:r>
          </w:p>
        </w:tc>
        <w:tc>
          <w:tcPr>
            <w:tcW w:w="1701" w:type="dxa"/>
            <w:tcBorders>
              <w:top w:val="dotted" w:sz="4" w:space="0" w:color="auto"/>
              <w:left w:val="single" w:sz="4" w:space="0" w:color="auto"/>
              <w:bottom w:val="dotted" w:sz="4" w:space="0" w:color="auto"/>
              <w:right w:val="single" w:sz="4" w:space="0" w:color="auto"/>
            </w:tcBorders>
            <w:vAlign w:val="center"/>
          </w:tcPr>
          <w:p w14:paraId="260210A6" w14:textId="77777777" w:rsidR="00BB07A2" w:rsidRPr="00A86E27" w:rsidRDefault="00BB07A2" w:rsidP="002C04F0">
            <w:pPr>
              <w:spacing w:before="40" w:after="40" w:line="240" w:lineRule="auto"/>
              <w:rPr>
                <w:rFonts w:cstheme="minorHAnsi"/>
              </w:rPr>
            </w:pPr>
            <w:r w:rsidRPr="00A86E27">
              <w:rPr>
                <w:rFonts w:cstheme="minorHAnsi"/>
              </w:rPr>
              <w:t>$3.90</w:t>
            </w:r>
          </w:p>
        </w:tc>
        <w:tc>
          <w:tcPr>
            <w:tcW w:w="1650" w:type="dxa"/>
            <w:tcBorders>
              <w:top w:val="dotted" w:sz="4" w:space="0" w:color="auto"/>
              <w:left w:val="single" w:sz="4" w:space="0" w:color="auto"/>
              <w:bottom w:val="dotted" w:sz="4" w:space="0" w:color="auto"/>
              <w:right w:val="single" w:sz="4" w:space="0" w:color="auto"/>
            </w:tcBorders>
            <w:vAlign w:val="center"/>
          </w:tcPr>
          <w:p w14:paraId="38456FEB" w14:textId="77777777" w:rsidR="00BB07A2" w:rsidRPr="00A86E27" w:rsidRDefault="00BB07A2" w:rsidP="002C04F0">
            <w:pPr>
              <w:spacing w:before="40" w:after="40" w:line="240" w:lineRule="auto"/>
              <w:rPr>
                <w:rFonts w:cstheme="minorHAnsi"/>
              </w:rPr>
            </w:pPr>
            <w:r w:rsidRPr="00A86E27">
              <w:rPr>
                <w:rFonts w:cstheme="minorHAnsi"/>
              </w:rPr>
              <w:t>$1.93</w:t>
            </w:r>
          </w:p>
        </w:tc>
      </w:tr>
      <w:tr w:rsidR="00BB07A2" w:rsidRPr="006F4B46" w14:paraId="3130B074" w14:textId="77777777" w:rsidTr="002C04F0">
        <w:trPr>
          <w:trHeight w:val="255"/>
        </w:trPr>
        <w:tc>
          <w:tcPr>
            <w:tcW w:w="1626" w:type="dxa"/>
            <w:tcBorders>
              <w:top w:val="dotted"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C18F31" w14:textId="77777777" w:rsidR="00BB07A2" w:rsidRPr="00A86E27" w:rsidRDefault="00BB07A2" w:rsidP="002C04F0">
            <w:pPr>
              <w:spacing w:before="40" w:after="40" w:line="240" w:lineRule="auto"/>
              <w:rPr>
                <w:rFonts w:cstheme="minorHAnsi"/>
                <w:b/>
                <w:bCs/>
              </w:rPr>
            </w:pPr>
            <w:r w:rsidRPr="00A86E27">
              <w:rPr>
                <w:rFonts w:cstheme="minorHAnsi"/>
                <w:b/>
                <w:bCs/>
              </w:rPr>
              <w:t>Total</w:t>
            </w:r>
          </w:p>
        </w:tc>
        <w:tc>
          <w:tcPr>
            <w:tcW w:w="1491" w:type="dxa"/>
            <w:tcBorders>
              <w:top w:val="dotted"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9F2F5A" w14:textId="77777777" w:rsidR="00BB07A2" w:rsidRPr="00A86E27" w:rsidRDefault="00BB07A2" w:rsidP="002C04F0">
            <w:pPr>
              <w:spacing w:before="40" w:after="40" w:line="240" w:lineRule="auto"/>
              <w:rPr>
                <w:rFonts w:cstheme="minorHAnsi"/>
                <w:b/>
                <w:bCs/>
              </w:rPr>
            </w:pPr>
          </w:p>
        </w:tc>
        <w:tc>
          <w:tcPr>
            <w:tcW w:w="1504" w:type="dxa"/>
            <w:tcBorders>
              <w:top w:val="dotted"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AE886C2" w14:textId="77777777" w:rsidR="00BB07A2" w:rsidRPr="00A86E27" w:rsidRDefault="00BB07A2" w:rsidP="002C04F0">
            <w:pPr>
              <w:spacing w:before="40" w:after="40" w:line="240" w:lineRule="auto"/>
              <w:rPr>
                <w:rFonts w:cstheme="minorHAnsi"/>
                <w:b/>
                <w:bCs/>
              </w:rPr>
            </w:pPr>
          </w:p>
        </w:tc>
        <w:tc>
          <w:tcPr>
            <w:tcW w:w="1044" w:type="dxa"/>
            <w:tcBorders>
              <w:top w:val="dotted"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868C01" w14:textId="77777777" w:rsidR="00BB07A2" w:rsidRPr="00A86E27" w:rsidRDefault="00BB07A2" w:rsidP="002C04F0">
            <w:pPr>
              <w:spacing w:before="40" w:after="40" w:line="240" w:lineRule="auto"/>
              <w:rPr>
                <w:rFonts w:cstheme="minorHAnsi"/>
                <w:b/>
                <w:bCs/>
              </w:rPr>
            </w:pPr>
          </w:p>
        </w:tc>
        <w:tc>
          <w:tcPr>
            <w:tcW w:w="1701" w:type="dxa"/>
            <w:tcBorders>
              <w:top w:val="dotted" w:sz="4" w:space="0" w:color="auto"/>
              <w:left w:val="single" w:sz="4" w:space="0" w:color="auto"/>
              <w:bottom w:val="single" w:sz="4" w:space="0" w:color="auto"/>
              <w:right w:val="single" w:sz="4" w:space="0" w:color="auto"/>
            </w:tcBorders>
            <w:vAlign w:val="center"/>
          </w:tcPr>
          <w:p w14:paraId="25B5DFCD" w14:textId="77777777" w:rsidR="00BB07A2" w:rsidRPr="00A86E27" w:rsidRDefault="00BB07A2" w:rsidP="002C04F0">
            <w:pPr>
              <w:spacing w:before="40" w:after="40" w:line="240" w:lineRule="auto"/>
              <w:rPr>
                <w:rFonts w:cstheme="minorHAnsi"/>
                <w:b/>
                <w:bCs/>
              </w:rPr>
            </w:pPr>
            <w:r w:rsidRPr="00A86E27">
              <w:rPr>
                <w:rFonts w:cstheme="minorHAnsi"/>
                <w:b/>
                <w:bCs/>
              </w:rPr>
              <w:t>$36.88</w:t>
            </w:r>
          </w:p>
        </w:tc>
        <w:tc>
          <w:tcPr>
            <w:tcW w:w="1650" w:type="dxa"/>
            <w:tcBorders>
              <w:top w:val="dotted" w:sz="4" w:space="0" w:color="auto"/>
              <w:left w:val="single" w:sz="4" w:space="0" w:color="auto"/>
              <w:bottom w:val="single" w:sz="4" w:space="0" w:color="auto"/>
              <w:right w:val="single" w:sz="4" w:space="0" w:color="auto"/>
            </w:tcBorders>
            <w:vAlign w:val="center"/>
          </w:tcPr>
          <w:p w14:paraId="4D57825B" w14:textId="77777777" w:rsidR="00BB07A2" w:rsidRPr="00A86E27" w:rsidRDefault="00BB07A2" w:rsidP="002C04F0">
            <w:pPr>
              <w:spacing w:before="40" w:after="40" w:line="240" w:lineRule="auto"/>
              <w:rPr>
                <w:rFonts w:cstheme="minorHAnsi"/>
                <w:b/>
                <w:bCs/>
              </w:rPr>
            </w:pPr>
            <w:r w:rsidRPr="00A86E27">
              <w:rPr>
                <w:rFonts w:cstheme="minorHAnsi"/>
                <w:b/>
                <w:bCs/>
              </w:rPr>
              <w:t>$40.40</w:t>
            </w:r>
          </w:p>
        </w:tc>
      </w:tr>
    </w:tbl>
    <w:p w14:paraId="33EE325A" w14:textId="77777777" w:rsidR="00BB07A2" w:rsidRPr="00571BD5" w:rsidRDefault="00BB07A2" w:rsidP="00BB07A2">
      <w:pPr>
        <w:rPr>
          <w:sz w:val="18"/>
          <w:szCs w:val="18"/>
        </w:rPr>
      </w:pPr>
      <w:r w:rsidRPr="00603981">
        <w:rPr>
          <w:sz w:val="18"/>
          <w:szCs w:val="18"/>
          <w:vertAlign w:val="superscript"/>
        </w:rPr>
        <w:t>1</w:t>
      </w:r>
      <w:r w:rsidRPr="00603981">
        <w:rPr>
          <w:b/>
          <w:sz w:val="18"/>
          <w:szCs w:val="18"/>
        </w:rPr>
        <w:t xml:space="preserve"> </w:t>
      </w:r>
      <w:r w:rsidRPr="00571BD5">
        <w:rPr>
          <w:bCs/>
          <w:sz w:val="18"/>
          <w:szCs w:val="18"/>
          <w:u w:val="single"/>
        </w:rPr>
        <w:t>Source</w:t>
      </w:r>
      <w:r w:rsidRPr="00603981">
        <w:rPr>
          <w:sz w:val="18"/>
          <w:szCs w:val="18"/>
        </w:rPr>
        <w:t xml:space="preserve">: ABS, </w:t>
      </w:r>
      <w:r w:rsidRPr="00603981">
        <w:rPr>
          <w:i/>
          <w:sz w:val="18"/>
          <w:szCs w:val="18"/>
        </w:rPr>
        <w:t>Characteristics of Employment, August 2022</w:t>
      </w:r>
      <w:r w:rsidRPr="00603981">
        <w:rPr>
          <w:sz w:val="18"/>
          <w:szCs w:val="18"/>
        </w:rPr>
        <w:t>, unpublished Tablebuilder.</w:t>
      </w:r>
    </w:p>
    <w:p w14:paraId="540E62DD" w14:textId="77777777" w:rsidR="00BB07A2" w:rsidRPr="00871C6E" w:rsidRDefault="00BB07A2" w:rsidP="00BB07A2">
      <w:pPr>
        <w:spacing w:before="200" w:after="40" w:line="259" w:lineRule="auto"/>
        <w:rPr>
          <w:b/>
          <w:bCs/>
          <w:u w:val="single"/>
        </w:rPr>
      </w:pPr>
      <w:r w:rsidRPr="00871C6E">
        <w:rPr>
          <w:b/>
          <w:bCs/>
          <w:u w:val="single"/>
        </w:rPr>
        <w:t>Table 4: Adjusted wage figures accounting for casual loading and occupation</w:t>
      </w:r>
    </w:p>
    <w:tbl>
      <w:tblPr>
        <w:tblW w:w="5000" w:type="pct"/>
        <w:tblCellMar>
          <w:left w:w="0" w:type="dxa"/>
          <w:right w:w="0" w:type="dxa"/>
        </w:tblCellMar>
        <w:tblLook w:val="04A0" w:firstRow="1" w:lastRow="0" w:firstColumn="1" w:lastColumn="0" w:noHBand="0" w:noVBand="1"/>
      </w:tblPr>
      <w:tblGrid>
        <w:gridCol w:w="4161"/>
        <w:gridCol w:w="1564"/>
        <w:gridCol w:w="1880"/>
        <w:gridCol w:w="1445"/>
      </w:tblGrid>
      <w:tr w:rsidR="00BB07A2" w:rsidRPr="00603981" w14:paraId="7D1C10E2" w14:textId="77777777" w:rsidTr="002C04F0">
        <w:trPr>
          <w:trHeight w:val="255"/>
        </w:trPr>
        <w:tc>
          <w:tcPr>
            <w:tcW w:w="2382" w:type="pct"/>
            <w:tcBorders>
              <w:top w:val="single" w:sz="8" w:space="0" w:color="auto"/>
              <w:left w:val="single" w:sz="8" w:space="0" w:color="auto"/>
              <w:bottom w:val="single" w:sz="8" w:space="0" w:color="auto"/>
              <w:right w:val="single" w:sz="8" w:space="0" w:color="auto"/>
            </w:tcBorders>
            <w:shd w:val="clear" w:color="auto" w:fill="404246"/>
            <w:noWrap/>
            <w:tcMar>
              <w:top w:w="0" w:type="dxa"/>
              <w:left w:w="108" w:type="dxa"/>
              <w:bottom w:w="0" w:type="dxa"/>
              <w:right w:w="108" w:type="dxa"/>
            </w:tcMar>
            <w:vAlign w:val="bottom"/>
            <w:hideMark/>
          </w:tcPr>
          <w:p w14:paraId="46F38CA8" w14:textId="77777777" w:rsidR="00BB07A2" w:rsidRPr="00603981" w:rsidRDefault="00BB07A2" w:rsidP="002C04F0">
            <w:pPr>
              <w:keepNext/>
              <w:spacing w:before="40" w:after="40" w:line="240" w:lineRule="auto"/>
              <w:rPr>
                <w:rFonts w:cstheme="minorHAnsi"/>
                <w:b/>
                <w:bCs/>
                <w:color w:val="FFFFFF" w:themeColor="background1"/>
              </w:rPr>
            </w:pPr>
            <w:r w:rsidRPr="00603981">
              <w:rPr>
                <w:rFonts w:cstheme="minorHAnsi"/>
                <w:b/>
                <w:bCs/>
                <w:color w:val="FFFFFF" w:themeColor="background1"/>
              </w:rPr>
              <w:t>Full time employees</w:t>
            </w:r>
          </w:p>
        </w:tc>
        <w:tc>
          <w:tcPr>
            <w:tcW w:w="770" w:type="pct"/>
            <w:tcBorders>
              <w:top w:val="single" w:sz="8" w:space="0" w:color="auto"/>
              <w:left w:val="nil"/>
              <w:bottom w:val="single" w:sz="8" w:space="0" w:color="auto"/>
              <w:right w:val="single" w:sz="8" w:space="0" w:color="auto"/>
            </w:tcBorders>
            <w:shd w:val="clear" w:color="auto" w:fill="404246"/>
            <w:noWrap/>
            <w:tcMar>
              <w:top w:w="0" w:type="dxa"/>
              <w:left w:w="108" w:type="dxa"/>
              <w:bottom w:w="0" w:type="dxa"/>
              <w:right w:w="108" w:type="dxa"/>
            </w:tcMar>
            <w:vAlign w:val="bottom"/>
            <w:hideMark/>
          </w:tcPr>
          <w:p w14:paraId="0867D0BE" w14:textId="77777777" w:rsidR="00BB07A2" w:rsidRPr="00603981" w:rsidRDefault="00BB07A2" w:rsidP="002C04F0">
            <w:pPr>
              <w:keepNext/>
              <w:spacing w:before="40" w:after="40" w:line="240" w:lineRule="auto"/>
              <w:rPr>
                <w:rFonts w:cstheme="minorHAnsi"/>
                <w:b/>
                <w:bCs/>
                <w:color w:val="FFFFFF" w:themeColor="background1"/>
              </w:rPr>
            </w:pPr>
            <w:r w:rsidRPr="00603981">
              <w:rPr>
                <w:rFonts w:cstheme="minorHAnsi"/>
                <w:b/>
                <w:bCs/>
                <w:color w:val="FFFFFF" w:themeColor="background1"/>
              </w:rPr>
              <w:t>Labour hire worker</w:t>
            </w:r>
          </w:p>
        </w:tc>
        <w:tc>
          <w:tcPr>
            <w:tcW w:w="1001" w:type="pct"/>
            <w:tcBorders>
              <w:top w:val="single" w:sz="8" w:space="0" w:color="auto"/>
              <w:left w:val="nil"/>
              <w:bottom w:val="single" w:sz="8" w:space="0" w:color="auto"/>
              <w:right w:val="single" w:sz="8" w:space="0" w:color="auto"/>
            </w:tcBorders>
            <w:shd w:val="clear" w:color="auto" w:fill="404246"/>
            <w:noWrap/>
            <w:tcMar>
              <w:top w:w="0" w:type="dxa"/>
              <w:left w:w="108" w:type="dxa"/>
              <w:bottom w:w="0" w:type="dxa"/>
              <w:right w:w="108" w:type="dxa"/>
            </w:tcMar>
            <w:vAlign w:val="bottom"/>
            <w:hideMark/>
          </w:tcPr>
          <w:p w14:paraId="11BFB5FC" w14:textId="77777777" w:rsidR="00BB07A2" w:rsidRPr="00603981" w:rsidRDefault="00BB07A2" w:rsidP="002C04F0">
            <w:pPr>
              <w:keepNext/>
              <w:spacing w:before="40" w:after="40" w:line="240" w:lineRule="auto"/>
              <w:rPr>
                <w:rFonts w:cstheme="minorHAnsi"/>
                <w:b/>
                <w:bCs/>
                <w:color w:val="FFFFFF" w:themeColor="background1"/>
              </w:rPr>
            </w:pPr>
            <w:r w:rsidRPr="00603981">
              <w:rPr>
                <w:rFonts w:cstheme="minorHAnsi"/>
                <w:b/>
                <w:bCs/>
                <w:color w:val="FFFFFF" w:themeColor="background1"/>
              </w:rPr>
              <w:t>Non-labour hire worker</w:t>
            </w:r>
          </w:p>
        </w:tc>
        <w:tc>
          <w:tcPr>
            <w:tcW w:w="847" w:type="pct"/>
            <w:tcBorders>
              <w:top w:val="single" w:sz="8" w:space="0" w:color="auto"/>
              <w:left w:val="nil"/>
              <w:bottom w:val="single" w:sz="8" w:space="0" w:color="auto"/>
              <w:right w:val="single" w:sz="8" w:space="0" w:color="auto"/>
            </w:tcBorders>
            <w:shd w:val="clear" w:color="auto" w:fill="404246"/>
            <w:noWrap/>
            <w:tcMar>
              <w:top w:w="0" w:type="dxa"/>
              <w:left w:w="108" w:type="dxa"/>
              <w:bottom w:w="0" w:type="dxa"/>
              <w:right w:w="108" w:type="dxa"/>
            </w:tcMar>
            <w:vAlign w:val="bottom"/>
            <w:hideMark/>
          </w:tcPr>
          <w:p w14:paraId="02B5376D" w14:textId="77777777" w:rsidR="00BB07A2" w:rsidRPr="00603981" w:rsidRDefault="00BB07A2" w:rsidP="002C04F0">
            <w:pPr>
              <w:keepNext/>
              <w:spacing w:before="40" w:after="40" w:line="240" w:lineRule="auto"/>
              <w:rPr>
                <w:rFonts w:cstheme="minorHAnsi"/>
                <w:b/>
                <w:bCs/>
                <w:color w:val="FFFFFF" w:themeColor="background1"/>
              </w:rPr>
            </w:pPr>
            <w:r w:rsidRPr="00603981">
              <w:rPr>
                <w:rFonts w:cstheme="minorHAnsi"/>
                <w:b/>
                <w:bCs/>
                <w:color w:val="FFFFFF" w:themeColor="background1"/>
              </w:rPr>
              <w:t>Wage differential</w:t>
            </w:r>
          </w:p>
        </w:tc>
      </w:tr>
      <w:tr w:rsidR="00BB07A2" w:rsidRPr="00603981" w14:paraId="2C068DD9" w14:textId="77777777" w:rsidTr="002C04F0">
        <w:trPr>
          <w:trHeight w:val="255"/>
        </w:trPr>
        <w:tc>
          <w:tcPr>
            <w:tcW w:w="2382" w:type="pct"/>
            <w:tcBorders>
              <w:top w:val="single" w:sz="8" w:space="0" w:color="auto"/>
              <w:left w:val="single" w:sz="4" w:space="0" w:color="auto"/>
              <w:bottom w:val="dotted" w:sz="4" w:space="0" w:color="auto"/>
              <w:right w:val="single" w:sz="4" w:space="0" w:color="auto"/>
            </w:tcBorders>
            <w:noWrap/>
            <w:tcMar>
              <w:top w:w="0" w:type="dxa"/>
              <w:left w:w="108" w:type="dxa"/>
              <w:bottom w:w="0" w:type="dxa"/>
              <w:right w:w="108" w:type="dxa"/>
            </w:tcMar>
            <w:vAlign w:val="bottom"/>
            <w:hideMark/>
          </w:tcPr>
          <w:p w14:paraId="38C0A876" w14:textId="77777777" w:rsidR="00BB07A2" w:rsidRPr="00603981" w:rsidRDefault="00BB07A2" w:rsidP="002C04F0">
            <w:pPr>
              <w:spacing w:before="40" w:after="40" w:line="240" w:lineRule="auto"/>
              <w:rPr>
                <w:rFonts w:cstheme="minorHAnsi"/>
              </w:rPr>
            </w:pPr>
            <w:r w:rsidRPr="00603981">
              <w:rPr>
                <w:rFonts w:cstheme="minorHAnsi"/>
              </w:rPr>
              <w:t>Post casual adjustment median hourly wage</w:t>
            </w:r>
          </w:p>
        </w:tc>
        <w:tc>
          <w:tcPr>
            <w:tcW w:w="770" w:type="pct"/>
            <w:tcBorders>
              <w:top w:val="single" w:sz="8" w:space="0" w:color="auto"/>
              <w:left w:val="single" w:sz="4" w:space="0" w:color="auto"/>
              <w:bottom w:val="dotted" w:sz="4" w:space="0" w:color="auto"/>
              <w:right w:val="single" w:sz="4" w:space="0" w:color="auto"/>
            </w:tcBorders>
            <w:noWrap/>
            <w:tcMar>
              <w:top w:w="0" w:type="dxa"/>
              <w:left w:w="108" w:type="dxa"/>
              <w:bottom w:w="0" w:type="dxa"/>
              <w:right w:w="108" w:type="dxa"/>
            </w:tcMar>
            <w:vAlign w:val="bottom"/>
            <w:hideMark/>
          </w:tcPr>
          <w:p w14:paraId="520B9919" w14:textId="77777777" w:rsidR="00BB07A2" w:rsidRPr="00603981" w:rsidRDefault="00BB07A2" w:rsidP="002C04F0">
            <w:pPr>
              <w:spacing w:before="40" w:after="40" w:line="240" w:lineRule="auto"/>
              <w:rPr>
                <w:rFonts w:cstheme="minorHAnsi"/>
              </w:rPr>
            </w:pPr>
            <w:r w:rsidRPr="00603981">
              <w:rPr>
                <w:rFonts w:cstheme="minorHAnsi"/>
              </w:rPr>
              <w:t>$29.08</w:t>
            </w:r>
          </w:p>
        </w:tc>
        <w:tc>
          <w:tcPr>
            <w:tcW w:w="1001" w:type="pct"/>
            <w:tcBorders>
              <w:top w:val="single" w:sz="8" w:space="0" w:color="auto"/>
              <w:left w:val="single" w:sz="4" w:space="0" w:color="auto"/>
              <w:bottom w:val="dotted" w:sz="4" w:space="0" w:color="auto"/>
              <w:right w:val="single" w:sz="4" w:space="0" w:color="auto"/>
            </w:tcBorders>
            <w:noWrap/>
            <w:tcMar>
              <w:top w:w="0" w:type="dxa"/>
              <w:left w:w="108" w:type="dxa"/>
              <w:bottom w:w="0" w:type="dxa"/>
              <w:right w:w="108" w:type="dxa"/>
            </w:tcMar>
            <w:vAlign w:val="bottom"/>
            <w:hideMark/>
          </w:tcPr>
          <w:p w14:paraId="21FD32F2" w14:textId="77777777" w:rsidR="00BB07A2" w:rsidRPr="00603981" w:rsidRDefault="00BB07A2" w:rsidP="002C04F0">
            <w:pPr>
              <w:spacing w:before="40" w:after="40" w:line="240" w:lineRule="auto"/>
              <w:rPr>
                <w:rFonts w:cstheme="minorHAnsi"/>
              </w:rPr>
            </w:pPr>
            <w:r w:rsidRPr="00603981">
              <w:rPr>
                <w:rFonts w:cstheme="minorHAnsi"/>
              </w:rPr>
              <w:t>$36.41</w:t>
            </w:r>
          </w:p>
        </w:tc>
        <w:tc>
          <w:tcPr>
            <w:tcW w:w="847" w:type="pct"/>
            <w:tcBorders>
              <w:top w:val="single" w:sz="8" w:space="0" w:color="auto"/>
              <w:left w:val="single" w:sz="4" w:space="0" w:color="auto"/>
              <w:bottom w:val="dotted" w:sz="4" w:space="0" w:color="auto"/>
              <w:right w:val="single" w:sz="8" w:space="0" w:color="auto"/>
            </w:tcBorders>
            <w:noWrap/>
            <w:tcMar>
              <w:top w:w="0" w:type="dxa"/>
              <w:left w:w="108" w:type="dxa"/>
              <w:bottom w:w="0" w:type="dxa"/>
              <w:right w:w="108" w:type="dxa"/>
            </w:tcMar>
            <w:vAlign w:val="bottom"/>
            <w:hideMark/>
          </w:tcPr>
          <w:p w14:paraId="09981FBF" w14:textId="77777777" w:rsidR="00BB07A2" w:rsidRPr="00603981" w:rsidRDefault="00BB07A2" w:rsidP="002C04F0">
            <w:pPr>
              <w:spacing w:before="40" w:after="40" w:line="240" w:lineRule="auto"/>
              <w:rPr>
                <w:rFonts w:cstheme="minorHAnsi"/>
              </w:rPr>
            </w:pPr>
            <w:r w:rsidRPr="00603981">
              <w:rPr>
                <w:rFonts w:cstheme="minorHAnsi"/>
              </w:rPr>
              <w:t>-$7.33</w:t>
            </w:r>
          </w:p>
        </w:tc>
      </w:tr>
      <w:tr w:rsidR="00BB07A2" w:rsidRPr="00603981" w14:paraId="2BFB079D" w14:textId="77777777" w:rsidTr="002C04F0">
        <w:trPr>
          <w:trHeight w:val="255"/>
        </w:trPr>
        <w:tc>
          <w:tcPr>
            <w:tcW w:w="2382" w:type="pct"/>
            <w:tcBorders>
              <w:top w:val="dotted"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7C7ECC" w14:textId="77777777" w:rsidR="00BB07A2" w:rsidRPr="00603981" w:rsidRDefault="00BB07A2" w:rsidP="002C04F0">
            <w:pPr>
              <w:spacing w:before="40" w:after="40" w:line="240" w:lineRule="auto"/>
              <w:rPr>
                <w:rFonts w:cstheme="minorHAnsi"/>
              </w:rPr>
            </w:pPr>
            <w:r w:rsidRPr="00603981">
              <w:rPr>
                <w:rFonts w:cstheme="minorHAnsi"/>
              </w:rPr>
              <w:t>Post casual and occupation adjusted median hourly wage</w:t>
            </w:r>
          </w:p>
        </w:tc>
        <w:tc>
          <w:tcPr>
            <w:tcW w:w="770" w:type="pct"/>
            <w:tcBorders>
              <w:top w:val="dotted" w:sz="4"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D191E18" w14:textId="77777777" w:rsidR="00BB07A2" w:rsidRPr="00603981" w:rsidRDefault="00BB07A2" w:rsidP="002C04F0">
            <w:pPr>
              <w:spacing w:before="40" w:after="40" w:line="240" w:lineRule="auto"/>
              <w:rPr>
                <w:rFonts w:cstheme="minorHAnsi"/>
              </w:rPr>
            </w:pPr>
            <w:r w:rsidRPr="00603981">
              <w:rPr>
                <w:rFonts w:cstheme="minorHAnsi"/>
              </w:rPr>
              <w:t>$31.62</w:t>
            </w:r>
          </w:p>
        </w:tc>
        <w:tc>
          <w:tcPr>
            <w:tcW w:w="1001" w:type="pct"/>
            <w:tcBorders>
              <w:top w:val="dotted" w:sz="4"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7A44B38" w14:textId="77777777" w:rsidR="00BB07A2" w:rsidRPr="00603981" w:rsidRDefault="00BB07A2" w:rsidP="002C04F0">
            <w:pPr>
              <w:spacing w:before="40" w:after="40" w:line="240" w:lineRule="auto"/>
              <w:rPr>
                <w:rFonts w:cstheme="minorHAnsi"/>
              </w:rPr>
            </w:pPr>
            <w:r w:rsidRPr="00603981">
              <w:rPr>
                <w:rFonts w:cstheme="minorHAnsi"/>
              </w:rPr>
              <w:t>$36.41</w:t>
            </w:r>
          </w:p>
        </w:tc>
        <w:tc>
          <w:tcPr>
            <w:tcW w:w="847" w:type="pct"/>
            <w:tcBorders>
              <w:top w:val="dotted" w:sz="4"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E68EA4" w14:textId="77777777" w:rsidR="00BB07A2" w:rsidRPr="00603981" w:rsidRDefault="00BB07A2" w:rsidP="002C04F0">
            <w:pPr>
              <w:spacing w:before="40" w:after="40" w:line="240" w:lineRule="auto"/>
              <w:rPr>
                <w:rFonts w:cstheme="minorHAnsi"/>
              </w:rPr>
            </w:pPr>
            <w:r w:rsidRPr="00603981">
              <w:rPr>
                <w:rFonts w:cstheme="minorHAnsi"/>
              </w:rPr>
              <w:t>-$4.79</w:t>
            </w:r>
          </w:p>
        </w:tc>
      </w:tr>
    </w:tbl>
    <w:p w14:paraId="585FEA4D" w14:textId="77777777" w:rsidR="00BB07A2" w:rsidRPr="001B1D6B" w:rsidRDefault="00BB07A2" w:rsidP="00BB07A2">
      <w:pPr>
        <w:spacing w:after="160" w:line="259" w:lineRule="auto"/>
      </w:pPr>
    </w:p>
    <w:p w14:paraId="42DEF669" w14:textId="0DB08EE2" w:rsidR="00A86E27" w:rsidRDefault="00A86E27">
      <w:pPr>
        <w:spacing w:after="160" w:line="259" w:lineRule="auto"/>
        <w:rPr>
          <w:b/>
          <w:bCs/>
        </w:rPr>
      </w:pPr>
      <w:bookmarkStart w:id="57" w:name="_Hlk138799180"/>
      <w:bookmarkStart w:id="58" w:name="_Hlk138773661"/>
      <w:bookmarkEnd w:id="1"/>
      <w:bookmarkEnd w:id="57"/>
      <w:bookmarkEnd w:id="58"/>
      <w:r>
        <w:rPr>
          <w:b/>
          <w:bCs/>
        </w:rPr>
        <w:br w:type="page"/>
      </w:r>
    </w:p>
    <w:p w14:paraId="58AF93F7" w14:textId="13AB2B49" w:rsidR="00A86E27" w:rsidRDefault="00A86E27" w:rsidP="00A86E27">
      <w:pPr>
        <w:pStyle w:val="Heading1"/>
        <w:jc w:val="right"/>
      </w:pPr>
      <w:bookmarkStart w:id="59" w:name="_Toc143696603"/>
      <w:r w:rsidRPr="61FBF16C">
        <w:rPr>
          <w:u w:val="single"/>
        </w:rPr>
        <w:lastRenderedPageBreak/>
        <w:t xml:space="preserve">ANNEXURE </w:t>
      </w:r>
      <w:r>
        <w:rPr>
          <w:u w:val="single"/>
        </w:rPr>
        <w:t>D</w:t>
      </w:r>
      <w:bookmarkEnd w:id="59"/>
    </w:p>
    <w:p w14:paraId="62CC42FF" w14:textId="3BAF04DC" w:rsidR="00A86E27" w:rsidRDefault="00A86E27" w:rsidP="00A86E27">
      <w:pPr>
        <w:spacing w:after="160" w:line="259" w:lineRule="auto"/>
        <w:jc w:val="center"/>
        <w:rPr>
          <w:b/>
          <w:bCs/>
          <w:color w:val="404246"/>
          <w:sz w:val="32"/>
          <w:szCs w:val="32"/>
        </w:rPr>
      </w:pPr>
      <w:r>
        <w:rPr>
          <w:b/>
          <w:bCs/>
          <w:color w:val="404246"/>
          <w:sz w:val="32"/>
          <w:szCs w:val="32"/>
        </w:rPr>
        <w:t>Costing administrative burden of reviewing guidance materials</w:t>
      </w:r>
    </w:p>
    <w:p w14:paraId="41DBA804" w14:textId="0B381933" w:rsidR="00A228BD" w:rsidRDefault="00A228BD" w:rsidP="0069669F">
      <w:pPr>
        <w:spacing w:after="160" w:line="259" w:lineRule="auto"/>
      </w:pPr>
      <w:r>
        <w:t>In various sections in previous Annexures, reference is made to hosts and labour hire employers reading guidance materials made available by the Fair Work Commission about this proposal, and that doing so would attract a cost. This Annexure sets out how ‘reading guidance materials’ is costed, and where possible, the cost to different parties.</w:t>
      </w:r>
    </w:p>
    <w:p w14:paraId="496621E2" w14:textId="017284AA" w:rsidR="0065054A" w:rsidRDefault="00722655" w:rsidP="00D0307B">
      <w:pPr>
        <w:pStyle w:val="Heading2"/>
      </w:pPr>
      <w:bookmarkStart w:id="60" w:name="_Toc143696604"/>
      <w:r>
        <w:t>Time taken to read</w:t>
      </w:r>
      <w:r w:rsidR="00A228BD" w:rsidRPr="00ED406C">
        <w:t xml:space="preserve"> </w:t>
      </w:r>
      <w:r w:rsidR="00A228BD">
        <w:t>guidance materials</w:t>
      </w:r>
      <w:r>
        <w:t xml:space="preserve"> and underlying cost assumptions</w:t>
      </w:r>
      <w:bookmarkEnd w:id="60"/>
    </w:p>
    <w:p w14:paraId="5E1B0515" w14:textId="1F499534" w:rsidR="00722655" w:rsidRPr="00603981" w:rsidRDefault="00722655" w:rsidP="00722655">
      <w:pPr>
        <w:spacing w:after="160" w:line="259" w:lineRule="auto"/>
        <w:rPr>
          <w:rStyle w:val="ui-provider"/>
        </w:rPr>
      </w:pPr>
      <w:r>
        <w:rPr>
          <w:rStyle w:val="ui-provider"/>
        </w:rPr>
        <w:t>The Office of Impact</w:t>
      </w:r>
      <w:r w:rsidRPr="00603981">
        <w:rPr>
          <w:rStyle w:val="ui-provider"/>
        </w:rPr>
        <w:t xml:space="preserve"> </w:t>
      </w:r>
      <w:r w:rsidR="00F523C0">
        <w:rPr>
          <w:rStyle w:val="ui-provider"/>
        </w:rPr>
        <w:t xml:space="preserve">Analysis </w:t>
      </w:r>
      <w:r w:rsidRPr="00603981">
        <w:rPr>
          <w:rStyle w:val="ui-provider"/>
        </w:rPr>
        <w:t>provides an hourly rate of $79.63 for ‘work related labour rates’</w:t>
      </w:r>
      <w:r w:rsidR="00523C41">
        <w:rPr>
          <w:rStyle w:val="ui-provider"/>
        </w:rPr>
        <w:t>, which can be used here for calculating time-based costs relating to reading guidance material.</w:t>
      </w:r>
      <w:r w:rsidRPr="00603981">
        <w:rPr>
          <w:rStyle w:val="FootnoteReference"/>
        </w:rPr>
        <w:footnoteReference w:id="103"/>
      </w:r>
      <w:r w:rsidRPr="00603981">
        <w:rPr>
          <w:rStyle w:val="ui-provider"/>
        </w:rPr>
        <w:t xml:space="preserve"> In relation to the amount of time </w:t>
      </w:r>
      <w:r w:rsidR="0000412E">
        <w:rPr>
          <w:rStyle w:val="ui-provider"/>
        </w:rPr>
        <w:t>affected parties</w:t>
      </w:r>
      <w:r w:rsidRPr="00603981">
        <w:rPr>
          <w:rStyle w:val="ui-provider"/>
        </w:rPr>
        <w:t xml:space="preserve"> may take to read guidance material</w:t>
      </w:r>
      <w:r w:rsidR="0000412E">
        <w:rPr>
          <w:rStyle w:val="ui-provider"/>
        </w:rPr>
        <w:t xml:space="preserve"> made available by the Fair</w:t>
      </w:r>
      <w:r w:rsidR="00007F6A">
        <w:rPr>
          <w:rStyle w:val="ui-provider"/>
        </w:rPr>
        <w:t> </w:t>
      </w:r>
      <w:r w:rsidR="0000412E">
        <w:rPr>
          <w:rStyle w:val="ui-provider"/>
        </w:rPr>
        <w:t>Work Commission</w:t>
      </w:r>
      <w:r w:rsidRPr="00603981">
        <w:rPr>
          <w:rStyle w:val="ui-provider"/>
        </w:rPr>
        <w:t>, the department has assumed 30 minutes to quantify a minimum amount of time for these calculations. Examples of similar guidance produced by the Fair</w:t>
      </w:r>
      <w:r w:rsidR="0000412E">
        <w:rPr>
          <w:rStyle w:val="ui-provider"/>
        </w:rPr>
        <w:t> </w:t>
      </w:r>
      <w:r w:rsidRPr="00603981">
        <w:rPr>
          <w:rStyle w:val="ui-provider"/>
        </w:rPr>
        <w:t>Work Ombudsman and Fair</w:t>
      </w:r>
      <w:r w:rsidR="00523C41">
        <w:rPr>
          <w:rStyle w:val="ui-provider"/>
        </w:rPr>
        <w:t> </w:t>
      </w:r>
      <w:r w:rsidRPr="00603981">
        <w:rPr>
          <w:rStyle w:val="ui-provider"/>
        </w:rPr>
        <w:t xml:space="preserve">Work Commission can be found on their respective websites, and it is assumed similar guidance would be prepared for the ‘Closing </w:t>
      </w:r>
      <w:r w:rsidR="0000412E">
        <w:rPr>
          <w:rStyle w:val="ui-provider"/>
        </w:rPr>
        <w:t xml:space="preserve">the </w:t>
      </w:r>
      <w:r w:rsidRPr="00603981">
        <w:rPr>
          <w:rStyle w:val="ui-provider"/>
        </w:rPr>
        <w:t>labour hire loophole’ proposal, once legislated.</w:t>
      </w:r>
      <w:r w:rsidRPr="00603981">
        <w:rPr>
          <w:rStyle w:val="FootnoteReference"/>
        </w:rPr>
        <w:footnoteReference w:id="104"/>
      </w:r>
    </w:p>
    <w:p w14:paraId="4D9EDB8F" w14:textId="690011DA" w:rsidR="00722655" w:rsidRPr="00603981" w:rsidRDefault="00722655" w:rsidP="00722655">
      <w:pPr>
        <w:spacing w:after="160" w:line="259" w:lineRule="auto"/>
        <w:rPr>
          <w:rFonts w:cstheme="minorHAnsi"/>
          <w:u w:val="single"/>
        </w:rPr>
      </w:pPr>
      <w:r w:rsidRPr="00603981">
        <w:t>Feedback received from stakeholders during consultation did not generally describe or quantify a compliance burden that may arise in relation to reading publicly available guidance material on the proposal. In light of this, an estimate of 30 minutes has been informed by taking into account similar time considerations used in previous impact analyses for workplace relations reforms, such as:</w:t>
      </w:r>
    </w:p>
    <w:p w14:paraId="6259CA20" w14:textId="77777777" w:rsidR="00722655" w:rsidRPr="00603981" w:rsidRDefault="00722655" w:rsidP="00722655">
      <w:pPr>
        <w:pStyle w:val="ListParagraph"/>
        <w:widowControl w:val="0"/>
        <w:numPr>
          <w:ilvl w:val="0"/>
          <w:numId w:val="16"/>
        </w:numPr>
        <w:spacing w:before="120" w:after="120" w:line="259" w:lineRule="auto"/>
        <w:contextualSpacing w:val="0"/>
        <w:rPr>
          <w:rFonts w:cstheme="minorHAnsi"/>
        </w:rPr>
      </w:pPr>
      <w:r w:rsidRPr="00603981">
        <w:rPr>
          <w:rFonts w:cstheme="minorHAnsi"/>
        </w:rPr>
        <w:t>25 minutes, in relation to assessing the regularity of a casual employee’s engagement and calculating cost liabilities if the casual employee has been misclassified;</w:t>
      </w:r>
      <w:r w:rsidRPr="00603981">
        <w:rPr>
          <w:rStyle w:val="FootnoteReference"/>
          <w:rFonts w:cstheme="minorHAnsi"/>
        </w:rPr>
        <w:footnoteReference w:id="105"/>
      </w:r>
    </w:p>
    <w:p w14:paraId="29AC0AEA" w14:textId="77777777" w:rsidR="00722655" w:rsidRPr="00603981" w:rsidRDefault="00722655" w:rsidP="00722655">
      <w:pPr>
        <w:pStyle w:val="ListParagraph"/>
        <w:widowControl w:val="0"/>
        <w:numPr>
          <w:ilvl w:val="0"/>
          <w:numId w:val="16"/>
        </w:numPr>
        <w:spacing w:before="120" w:after="120" w:line="259" w:lineRule="auto"/>
        <w:contextualSpacing w:val="0"/>
        <w:rPr>
          <w:rFonts w:cstheme="minorHAnsi"/>
        </w:rPr>
      </w:pPr>
      <w:r w:rsidRPr="00603981">
        <w:rPr>
          <w:rFonts w:cstheme="minorHAnsi"/>
        </w:rPr>
        <w:t>15 minutes, in relation to reading, understanding and implementing new provisions regarding part-time flexibility provisions;</w:t>
      </w:r>
      <w:r w:rsidRPr="00603981">
        <w:rPr>
          <w:rStyle w:val="FootnoteReference"/>
          <w:rFonts w:cstheme="minorHAnsi"/>
        </w:rPr>
        <w:footnoteReference w:id="106"/>
      </w:r>
      <w:r w:rsidRPr="00603981">
        <w:rPr>
          <w:rFonts w:cstheme="minorHAnsi"/>
        </w:rPr>
        <w:t xml:space="preserve"> and</w:t>
      </w:r>
    </w:p>
    <w:p w14:paraId="482B6BF4" w14:textId="77777777" w:rsidR="00722655" w:rsidRPr="00603981" w:rsidRDefault="00722655" w:rsidP="00722655">
      <w:pPr>
        <w:pStyle w:val="ListParagraph"/>
        <w:widowControl w:val="0"/>
        <w:numPr>
          <w:ilvl w:val="0"/>
          <w:numId w:val="16"/>
        </w:numPr>
        <w:spacing w:before="120" w:after="120" w:line="259" w:lineRule="auto"/>
        <w:contextualSpacing w:val="0"/>
        <w:rPr>
          <w:rFonts w:cstheme="minorHAnsi"/>
        </w:rPr>
      </w:pPr>
      <w:r w:rsidRPr="00603981">
        <w:rPr>
          <w:rFonts w:cstheme="minorHAnsi"/>
        </w:rPr>
        <w:t>15 minutes, in relation to considering guidance materials from the Fair Work Ombudsman to determine obligations regarding the sunsetting of ‘zombie agreements’ (noting this ‘15 minute’ window is also cited with respect to considering guidance material and understanding obligations with respect to single and multi-enterprise bargaining, and changes to the Better Off Overall Test, respectively).</w:t>
      </w:r>
      <w:r w:rsidRPr="00603981">
        <w:rPr>
          <w:rStyle w:val="FootnoteReference"/>
          <w:rFonts w:cstheme="minorHAnsi"/>
        </w:rPr>
        <w:footnoteReference w:id="107"/>
      </w:r>
    </w:p>
    <w:p w14:paraId="44D94B47" w14:textId="569963CE" w:rsidR="00722655" w:rsidRDefault="00722655" w:rsidP="00722655">
      <w:pPr>
        <w:spacing w:after="160" w:line="259" w:lineRule="auto"/>
        <w:rPr>
          <w:rStyle w:val="ui-provider"/>
        </w:rPr>
      </w:pPr>
      <w:r w:rsidRPr="00603981">
        <w:t xml:space="preserve">With these previous figures taken into account, the department acknowledges that obligations arising under this proposal may be less familiar than, for example, obligations relating to casual employment or bargaining (though the above-listed measures did introduce new obligations previously unfamiliar to </w:t>
      </w:r>
      <w:r w:rsidR="002D5D95">
        <w:t>affected parties</w:t>
      </w:r>
      <w:r w:rsidRPr="00603981">
        <w:t xml:space="preserve">). Nonetheless, the department considers it appropriate to allow for 30 minutes for </w:t>
      </w:r>
      <w:r w:rsidR="002D5D95">
        <w:t>parties</w:t>
      </w:r>
      <w:r w:rsidRPr="00603981">
        <w:t xml:space="preserve"> to consider publicly available guidance to determine </w:t>
      </w:r>
      <w:r w:rsidR="002D5D95">
        <w:t>the scope of the proposal and how applications made to the Fair Work Commission may be handled</w:t>
      </w:r>
      <w:r w:rsidRPr="00603981">
        <w:t>.</w:t>
      </w:r>
      <w:r w:rsidRPr="00603981">
        <w:rPr>
          <w:rStyle w:val="ui-provider"/>
        </w:rPr>
        <w:t xml:space="preserve">  </w:t>
      </w:r>
    </w:p>
    <w:p w14:paraId="27D106A2" w14:textId="3425D3DC" w:rsidR="002D5D95" w:rsidRPr="00D0307B" w:rsidRDefault="002D5D95" w:rsidP="00D0307B">
      <w:pPr>
        <w:pStyle w:val="Heading2"/>
      </w:pPr>
      <w:bookmarkStart w:id="61" w:name="_Toc143696605"/>
      <w:r w:rsidRPr="00D0307B">
        <w:lastRenderedPageBreak/>
        <w:t>The cost to hosts</w:t>
      </w:r>
      <w:bookmarkEnd w:id="61"/>
    </w:p>
    <w:p w14:paraId="1154B947" w14:textId="71E85097" w:rsidR="002D5D95" w:rsidRDefault="002D5D95" w:rsidP="00722655">
      <w:pPr>
        <w:spacing w:after="160" w:line="259" w:lineRule="auto"/>
        <w:rPr>
          <w:rStyle w:val="ui-provider"/>
        </w:rPr>
      </w:pPr>
      <w:r>
        <w:rPr>
          <w:rStyle w:val="ui-provider"/>
        </w:rPr>
        <w:t xml:space="preserve">As mentioned in previous Annexures, it is not possible to calculate the cost to hosts of reading guidance materials made available by the Fair Work Commission, because there is no available data on how many businesses use labour hire. However, hosts should be aware that they will accrue a cost if they review guidance materials, which can be quantified on a case by case basis at $79.63 per hour (using OIA’s figures), or </w:t>
      </w:r>
      <w:r w:rsidR="008175B8">
        <w:rPr>
          <w:rStyle w:val="ui-provider"/>
        </w:rPr>
        <w:t>$39.82 (if 30 minutes is taken to do so).</w:t>
      </w:r>
    </w:p>
    <w:p w14:paraId="549CA33C" w14:textId="5B4D6418" w:rsidR="00901A3D" w:rsidRDefault="00901A3D" w:rsidP="00722655">
      <w:pPr>
        <w:spacing w:after="160" w:line="259" w:lineRule="auto"/>
        <w:rPr>
          <w:rStyle w:val="ui-provider"/>
        </w:rPr>
      </w:pPr>
      <w:r>
        <w:rPr>
          <w:rStyle w:val="ui-provider"/>
        </w:rPr>
        <w:t xml:space="preserve">Additionally, it is noted that as well as </w:t>
      </w:r>
      <w:r w:rsidRPr="00603981">
        <w:rPr>
          <w:rStyle w:val="ui-provider"/>
        </w:rPr>
        <w:t>spending 30 minutes reviewing guidance from the Fair</w:t>
      </w:r>
      <w:r w:rsidR="00035D9A">
        <w:rPr>
          <w:rStyle w:val="ui-provider"/>
        </w:rPr>
        <w:t> </w:t>
      </w:r>
      <w:r w:rsidRPr="00603981">
        <w:rPr>
          <w:rStyle w:val="ui-provider"/>
        </w:rPr>
        <w:t xml:space="preserve">Work Commission, it is also open to business to choose to use existing membership arrangements with employer representative organisations and industry groups – such as, for example, the Australian Chamber of Commerce and Industry, Australian Industry Group, and the Business Council of Australia – to seek advice about </w:t>
      </w:r>
      <w:r w:rsidR="00035D9A">
        <w:rPr>
          <w:rStyle w:val="ui-provider"/>
        </w:rPr>
        <w:t>this</w:t>
      </w:r>
      <w:r w:rsidRPr="00603981">
        <w:rPr>
          <w:rStyle w:val="ui-provider"/>
        </w:rPr>
        <w:t xml:space="preserve"> proposal. Where business chooses to engage with industry groups to seek such advice, this would not represent an additional regulatory burden imposed on business arising from this proposal. Rather, this would be business volunteering to seek guidance separate to that which is made available by the Fair Work Commission, but is still expected to assist in understanding obligations and complement </w:t>
      </w:r>
      <w:r w:rsidR="0004245C">
        <w:rPr>
          <w:rStyle w:val="ui-provider"/>
        </w:rPr>
        <w:t xml:space="preserve">available </w:t>
      </w:r>
      <w:r w:rsidRPr="00603981">
        <w:rPr>
          <w:rStyle w:val="ui-provider"/>
        </w:rPr>
        <w:t>guidance materials.</w:t>
      </w:r>
    </w:p>
    <w:p w14:paraId="5F1ECF14" w14:textId="33502FD2" w:rsidR="008175B8" w:rsidRPr="00D0307B" w:rsidRDefault="008175B8" w:rsidP="00D0307B">
      <w:pPr>
        <w:pStyle w:val="Heading2"/>
      </w:pPr>
      <w:bookmarkStart w:id="62" w:name="_Toc143696606"/>
      <w:r w:rsidRPr="00D0307B">
        <w:t>The cost to labour hire employers</w:t>
      </w:r>
      <w:bookmarkEnd w:id="62"/>
    </w:p>
    <w:p w14:paraId="1895B2FB" w14:textId="6B778455" w:rsidR="008175B8" w:rsidRDefault="008175B8" w:rsidP="00722655">
      <w:pPr>
        <w:spacing w:after="160" w:line="259" w:lineRule="auto"/>
        <w:rPr>
          <w:rStyle w:val="ui-provider"/>
        </w:rPr>
      </w:pPr>
      <w:r>
        <w:rPr>
          <w:rStyle w:val="ui-provider"/>
        </w:rPr>
        <w:t>As mentioned in previous Annexures, it is estimated that there are 6,245 employing labour hire business</w:t>
      </w:r>
      <w:r w:rsidR="008E1304">
        <w:rPr>
          <w:rStyle w:val="ui-provider"/>
        </w:rPr>
        <w:t>es</w:t>
      </w:r>
      <w:r>
        <w:rPr>
          <w:rStyle w:val="ui-provider"/>
        </w:rPr>
        <w:t xml:space="preserve"> in Australia. Assuming each of these labour hire </w:t>
      </w:r>
      <w:r w:rsidR="00501E95">
        <w:rPr>
          <w:rStyle w:val="ui-provider"/>
        </w:rPr>
        <w:t>employers takes 30 minutes to consider guidance material made available by the Fair Work Commission about this proposal, the cost to labour hire employers of doing so can be calculated using the following formula:</w:t>
      </w:r>
    </w:p>
    <w:p w14:paraId="4C12F2B2" w14:textId="3BDC203E" w:rsidR="00501E95" w:rsidRDefault="00501E95" w:rsidP="00501E95">
      <w:pPr>
        <w:spacing w:after="160" w:line="259" w:lineRule="auto"/>
        <w:jc w:val="center"/>
        <w:rPr>
          <w:rStyle w:val="ui-provider"/>
          <w:i/>
          <w:iCs/>
        </w:rPr>
      </w:pPr>
      <w:r>
        <w:rPr>
          <w:rStyle w:val="ui-provider"/>
          <w:i/>
          <w:iCs/>
        </w:rPr>
        <w:t xml:space="preserve">Number of labour hire employers x </w:t>
      </w:r>
      <w:r w:rsidR="00EA106E">
        <w:rPr>
          <w:rStyle w:val="ui-provider"/>
          <w:i/>
          <w:iCs/>
        </w:rPr>
        <w:t>(</w:t>
      </w:r>
      <w:r>
        <w:rPr>
          <w:rStyle w:val="ui-provider"/>
          <w:i/>
          <w:iCs/>
        </w:rPr>
        <w:t>$79.</w:t>
      </w:r>
      <w:r w:rsidR="00EA106E">
        <w:rPr>
          <w:rStyle w:val="ui-provider"/>
          <w:i/>
          <w:iCs/>
        </w:rPr>
        <w:t>63/2) = Cost of reading guidance materials</w:t>
      </w:r>
    </w:p>
    <w:p w14:paraId="29F956CD" w14:textId="4BBF2C7D" w:rsidR="00501E95" w:rsidRDefault="00EA106E" w:rsidP="00722655">
      <w:pPr>
        <w:spacing w:after="160" w:line="259" w:lineRule="auto"/>
        <w:rPr>
          <w:rStyle w:val="ui-provider"/>
        </w:rPr>
      </w:pPr>
      <w:r>
        <w:rPr>
          <w:rStyle w:val="ui-provider"/>
        </w:rPr>
        <w:t>Therefore:</w:t>
      </w:r>
    </w:p>
    <w:p w14:paraId="154EC0EB" w14:textId="22432792" w:rsidR="00EA106E" w:rsidRPr="00D0307B" w:rsidRDefault="00EA106E" w:rsidP="00D0307B">
      <w:pPr>
        <w:spacing w:after="160" w:line="259" w:lineRule="auto"/>
        <w:jc w:val="center"/>
        <w:rPr>
          <w:rStyle w:val="ui-provider"/>
          <w:i/>
          <w:iCs/>
        </w:rPr>
      </w:pPr>
      <w:r w:rsidRPr="00D0307B">
        <w:rPr>
          <w:rStyle w:val="ui-provider"/>
          <w:i/>
          <w:iCs/>
        </w:rPr>
        <w:t xml:space="preserve">6,245 x $39.82 = </w:t>
      </w:r>
      <w:r w:rsidR="00345F2C">
        <w:rPr>
          <w:rStyle w:val="ui-provider"/>
          <w:i/>
          <w:iCs/>
        </w:rPr>
        <w:t xml:space="preserve">around </w:t>
      </w:r>
      <w:r w:rsidR="00DB1873" w:rsidRPr="00D0307B">
        <w:rPr>
          <w:rStyle w:val="ui-provider"/>
          <w:i/>
          <w:iCs/>
        </w:rPr>
        <w:t>$248,</w:t>
      </w:r>
      <w:r w:rsidR="00345F2C">
        <w:rPr>
          <w:rStyle w:val="ui-provider"/>
          <w:i/>
          <w:iCs/>
        </w:rPr>
        <w:t>676</w:t>
      </w:r>
      <w:r w:rsidR="004B2F14">
        <w:rPr>
          <w:rStyle w:val="ui-provider"/>
          <w:i/>
          <w:iCs/>
        </w:rPr>
        <w:t xml:space="preserve"> per year (in the first year of the proposal alone)</w:t>
      </w:r>
      <w:r w:rsidRPr="007F4BEC">
        <w:rPr>
          <w:rStyle w:val="ui-provider"/>
          <w:i/>
          <w:vertAlign w:val="superscript"/>
        </w:rPr>
        <w:footnoteReference w:id="108"/>
      </w:r>
    </w:p>
    <w:p w14:paraId="17FACBBA" w14:textId="411EAE5B" w:rsidR="002D5D95" w:rsidRDefault="00694699" w:rsidP="00722655">
      <w:pPr>
        <w:spacing w:after="160" w:line="259" w:lineRule="auto"/>
        <w:rPr>
          <w:rStyle w:val="ui-provider"/>
        </w:rPr>
      </w:pPr>
      <w:r>
        <w:rPr>
          <w:rStyle w:val="ui-provider"/>
        </w:rPr>
        <w:t>Of note, this cost is only counted once in the headline cost figure for this proposal</w:t>
      </w:r>
      <w:r w:rsidR="00EF0181">
        <w:rPr>
          <w:rStyle w:val="ui-provider"/>
        </w:rPr>
        <w:t>, on the assumption that labour hire employers will only likely read this guidance material once upon the enactment of relevant provisions. If labour hire employers read this guidance material on multiple occasions (either within the first year of this measure, or in subsequent years) costs will increase.</w:t>
      </w:r>
    </w:p>
    <w:p w14:paraId="05D9E1D3" w14:textId="30BA0346" w:rsidR="00F26680" w:rsidRPr="00D0307B" w:rsidRDefault="00892609" w:rsidP="00ED406C">
      <w:pPr>
        <w:spacing w:after="160" w:line="259" w:lineRule="auto"/>
      </w:pPr>
      <w:r>
        <w:rPr>
          <w:rStyle w:val="ui-provider"/>
        </w:rPr>
        <w:t>Observations above about businesses seeking advice from representative organisations also applied to labour hire employers, as well as hosts.</w:t>
      </w:r>
      <w:r w:rsidR="00987BEA" w:rsidDel="00987BEA">
        <w:rPr>
          <w:rStyle w:val="CommentReference"/>
        </w:rPr>
        <w:t xml:space="preserve"> </w:t>
      </w:r>
    </w:p>
    <w:sectPr w:rsidR="00F26680" w:rsidRPr="00D0307B" w:rsidSect="00BE737E">
      <w:headerReference w:type="even" r:id="rId25"/>
      <w:headerReference w:type="default" r:id="rId26"/>
      <w:footerReference w:type="default" r:id="rId27"/>
      <w:headerReference w:type="first" r:id="rId28"/>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61A5F" w14:textId="77777777" w:rsidR="00006793" w:rsidRDefault="00006793" w:rsidP="0051352E">
      <w:pPr>
        <w:spacing w:after="0" w:line="240" w:lineRule="auto"/>
      </w:pPr>
      <w:r>
        <w:separator/>
      </w:r>
    </w:p>
  </w:endnote>
  <w:endnote w:type="continuationSeparator" w:id="0">
    <w:p w14:paraId="430316B3" w14:textId="77777777" w:rsidR="00006793" w:rsidRDefault="00006793" w:rsidP="0051352E">
      <w:pPr>
        <w:spacing w:after="0" w:line="240" w:lineRule="auto"/>
      </w:pPr>
      <w:r>
        <w:continuationSeparator/>
      </w:r>
    </w:p>
  </w:endnote>
  <w:endnote w:type="continuationNotice" w:id="1">
    <w:p w14:paraId="29E3E2AB" w14:textId="77777777" w:rsidR="00006793" w:rsidRDefault="000067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CE53" w14:textId="77777777" w:rsidR="00DB5F59" w:rsidRDefault="00DB5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26638" w14:textId="77777777" w:rsidR="00EA67FC" w:rsidRDefault="00EA67FC">
    <w:pPr>
      <w:pStyle w:val="Footer"/>
      <w:jc w:val="right"/>
    </w:pPr>
  </w:p>
  <w:p w14:paraId="69B8631C" w14:textId="77777777" w:rsidR="00EA67FC" w:rsidRDefault="00EA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0D949" w14:textId="77777777" w:rsidR="00DB5F59" w:rsidRDefault="00DB5F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8B456" w14:textId="77777777" w:rsidR="00733BA4" w:rsidRDefault="00733BA4">
    <w:pPr>
      <w:pStyle w:val="Footer"/>
      <w:jc w:val="right"/>
    </w:pPr>
  </w:p>
  <w:p w14:paraId="0812D923" w14:textId="56AF4B27" w:rsidR="00EA67FC" w:rsidRDefault="001E3F67">
    <w:pPr>
      <w:pStyle w:val="Footer"/>
      <w:jc w:val="right"/>
    </w:pPr>
    <w:r>
      <w:t>Annexures to Certification Letter (OBPR</w:t>
    </w:r>
    <w:r w:rsidR="009769B8">
      <w:t>22-02409)</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8B2CF0">
          <w:rPr>
            <w:noProof/>
          </w:rPr>
          <w:t>21</w:t>
        </w:r>
        <w:r w:rsidR="00EA67FC">
          <w:rPr>
            <w:noProof/>
          </w:rPr>
          <w:fldChar w:fldCharType="end"/>
        </w:r>
      </w:sdtContent>
    </w:sdt>
  </w:p>
  <w:p w14:paraId="5620B9A1" w14:textId="3B696ECA" w:rsidR="00EA67FC" w:rsidRDefault="00BE737E">
    <w:pPr>
      <w:pStyle w:val="Footer"/>
    </w:pPr>
    <w:r>
      <w:rPr>
        <w:noProof/>
        <w:lang w:eastAsia="en-AU"/>
      </w:rPr>
      <mc:AlternateContent>
        <mc:Choice Requires="wps">
          <w:drawing>
            <wp:anchor distT="0" distB="0" distL="114300" distR="114300" simplePos="0" relativeHeight="251658240" behindDoc="0" locked="0" layoutInCell="1" allowOverlap="1" wp14:anchorId="04F7627B" wp14:editId="242DB177">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0490F" id="Rectangle 1" o:spid="_x0000_s1026"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FECF7" w14:textId="77777777" w:rsidR="00006793" w:rsidRDefault="00006793" w:rsidP="0051352E">
      <w:pPr>
        <w:spacing w:after="0" w:line="240" w:lineRule="auto"/>
      </w:pPr>
      <w:r>
        <w:separator/>
      </w:r>
    </w:p>
  </w:footnote>
  <w:footnote w:type="continuationSeparator" w:id="0">
    <w:p w14:paraId="7ED20985" w14:textId="77777777" w:rsidR="00006793" w:rsidRDefault="00006793" w:rsidP="0051352E">
      <w:pPr>
        <w:spacing w:after="0" w:line="240" w:lineRule="auto"/>
      </w:pPr>
      <w:r>
        <w:continuationSeparator/>
      </w:r>
    </w:p>
  </w:footnote>
  <w:footnote w:type="continuationNotice" w:id="1">
    <w:p w14:paraId="310DE8B0" w14:textId="77777777" w:rsidR="00006793" w:rsidRDefault="00006793">
      <w:pPr>
        <w:spacing w:after="0" w:line="240" w:lineRule="auto"/>
      </w:pPr>
    </w:p>
  </w:footnote>
  <w:footnote w:id="2">
    <w:p w14:paraId="4A5589CF" w14:textId="672F230C"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Impact Analysis Questions 1</w:t>
      </w:r>
      <w:r w:rsidR="004E5EE3" w:rsidRPr="000B2A8F">
        <w:rPr>
          <w:rFonts w:cstheme="minorHAnsi"/>
          <w:sz w:val="18"/>
          <w:szCs w:val="18"/>
        </w:rPr>
        <w:t>-</w:t>
      </w:r>
      <w:r w:rsidRPr="000B2A8F">
        <w:rPr>
          <w:rFonts w:cstheme="minorHAnsi"/>
          <w:sz w:val="18"/>
          <w:szCs w:val="18"/>
        </w:rPr>
        <w:t xml:space="preserve">7 can be found at: Office of Impact Analysis, </w:t>
      </w:r>
      <w:r w:rsidRPr="000B2A8F">
        <w:rPr>
          <w:rFonts w:cstheme="minorHAnsi"/>
          <w:i/>
          <w:iCs/>
          <w:sz w:val="18"/>
          <w:szCs w:val="18"/>
        </w:rPr>
        <w:t xml:space="preserve">Australian Government Guide to Policy Impact Analysis </w:t>
      </w:r>
      <w:r w:rsidRPr="000B2A8F">
        <w:rPr>
          <w:rFonts w:cstheme="minorHAnsi"/>
          <w:sz w:val="18"/>
          <w:szCs w:val="18"/>
        </w:rPr>
        <w:t>(March 2023) p 9.</w:t>
      </w:r>
    </w:p>
  </w:footnote>
  <w:footnote w:id="3">
    <w:p w14:paraId="02328CAB" w14:textId="175EFEAE" w:rsidR="00BC056F" w:rsidRPr="000B2A8F" w:rsidRDefault="00BC056F"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Victorian Inquiry into the Labour Hire Industry and Insecure Work (Final Report, 31 August 2016)</w:t>
      </w:r>
      <w:r w:rsidR="00B71700" w:rsidRPr="000B2A8F">
        <w:rPr>
          <w:rFonts w:cstheme="minorHAnsi"/>
          <w:sz w:val="18"/>
          <w:szCs w:val="18"/>
        </w:rPr>
        <w:t xml:space="preserve"> &lt;</w:t>
      </w:r>
      <w:hyperlink r:id="rId1" w:history="1">
        <w:r w:rsidR="00B71700" w:rsidRPr="000B2A8F">
          <w:rPr>
            <w:rStyle w:val="Hyperlink"/>
            <w:rFonts w:cstheme="minorHAnsi"/>
            <w:color w:val="auto"/>
            <w:sz w:val="18"/>
            <w:szCs w:val="18"/>
          </w:rPr>
          <w:t>www.vgls.vic.gov.au/</w:t>
        </w:r>
        <w:r w:rsidR="00B71700" w:rsidRPr="000B2A8F">
          <w:rPr>
            <w:rStyle w:val="Hyperlink"/>
            <w:rFonts w:cstheme="minorHAnsi"/>
            <w:color w:val="auto"/>
            <w:sz w:val="18"/>
            <w:szCs w:val="18"/>
          </w:rPr>
          <w:br/>
          <w:t>client/en_AU/search/asset/1293786/0</w:t>
        </w:r>
      </w:hyperlink>
      <w:r w:rsidR="00977F47" w:rsidRPr="000B2A8F">
        <w:rPr>
          <w:rFonts w:cstheme="minorHAnsi"/>
          <w:sz w:val="18"/>
          <w:szCs w:val="18"/>
        </w:rPr>
        <w:t>&gt;</w:t>
      </w:r>
      <w:r w:rsidR="00D32D63" w:rsidRPr="000B2A8F">
        <w:rPr>
          <w:rFonts w:cstheme="minorHAnsi"/>
          <w:sz w:val="18"/>
          <w:szCs w:val="18"/>
        </w:rPr>
        <w:t xml:space="preserve"> </w:t>
      </w:r>
      <w:r w:rsidR="00F62F57" w:rsidRPr="000B2A8F">
        <w:rPr>
          <w:rFonts w:cstheme="minorHAnsi"/>
          <w:sz w:val="18"/>
          <w:szCs w:val="18"/>
        </w:rPr>
        <w:t>(</w:t>
      </w:r>
      <w:r w:rsidR="00F62F57" w:rsidRPr="000B2A8F">
        <w:rPr>
          <w:rFonts w:cstheme="minorHAnsi"/>
          <w:b/>
          <w:bCs/>
          <w:sz w:val="18"/>
          <w:szCs w:val="18"/>
        </w:rPr>
        <w:t>Victorian Inquiry Report</w:t>
      </w:r>
      <w:r w:rsidR="00F62F57" w:rsidRPr="000B2A8F">
        <w:rPr>
          <w:rFonts w:cstheme="minorHAnsi"/>
          <w:sz w:val="18"/>
          <w:szCs w:val="18"/>
        </w:rPr>
        <w:t>)</w:t>
      </w:r>
      <w:r w:rsidR="00977F47" w:rsidRPr="000B2A8F">
        <w:rPr>
          <w:rFonts w:cstheme="minorHAnsi"/>
          <w:sz w:val="18"/>
          <w:szCs w:val="18"/>
        </w:rPr>
        <w:t>.</w:t>
      </w:r>
    </w:p>
  </w:footnote>
  <w:footnote w:id="4">
    <w:p w14:paraId="09C224D9" w14:textId="6EF33227" w:rsidR="00572732" w:rsidRPr="000B2A8F" w:rsidRDefault="00572732" w:rsidP="003B36E4">
      <w:pPr>
        <w:pStyle w:val="FootnoteText"/>
        <w:rPr>
          <w:rFonts w:cstheme="minorHAnsi"/>
          <w:sz w:val="18"/>
          <w:szCs w:val="18"/>
        </w:rPr>
      </w:pPr>
      <w:r w:rsidRPr="000B2A8F">
        <w:rPr>
          <w:rStyle w:val="FootnoteReference"/>
          <w:rFonts w:cstheme="minorHAnsi"/>
          <w:sz w:val="18"/>
          <w:szCs w:val="18"/>
        </w:rPr>
        <w:footnoteRef/>
      </w:r>
      <w:r w:rsidR="006E4C54" w:rsidRPr="000B2A8F">
        <w:rPr>
          <w:rFonts w:cstheme="minorHAnsi"/>
          <w:sz w:val="18"/>
          <w:szCs w:val="18"/>
        </w:rPr>
        <w:t xml:space="preserve"> </w:t>
      </w:r>
      <w:r w:rsidR="003B0D1A" w:rsidRPr="000B2A8F">
        <w:rPr>
          <w:rFonts w:cstheme="minorHAnsi"/>
          <w:sz w:val="18"/>
          <w:szCs w:val="18"/>
        </w:rPr>
        <w:t>Senate Select Committee on Job Security, Third interim report: labour hire and contracting</w:t>
      </w:r>
      <w:r w:rsidRPr="000B2A8F">
        <w:rPr>
          <w:rFonts w:cstheme="minorHAnsi"/>
          <w:sz w:val="18"/>
          <w:szCs w:val="18"/>
        </w:rPr>
        <w:t xml:space="preserve"> </w:t>
      </w:r>
      <w:r w:rsidR="003B0D1A" w:rsidRPr="000B2A8F">
        <w:rPr>
          <w:rFonts w:cstheme="minorHAnsi"/>
          <w:sz w:val="18"/>
          <w:szCs w:val="18"/>
        </w:rPr>
        <w:t>(Report, November 2021)</w:t>
      </w:r>
      <w:r w:rsidR="00A15E4E" w:rsidRPr="000B2A8F">
        <w:rPr>
          <w:rFonts w:cstheme="minorHAnsi"/>
          <w:sz w:val="18"/>
          <w:szCs w:val="18"/>
        </w:rPr>
        <w:t xml:space="preserve"> </w:t>
      </w:r>
      <w:r w:rsidR="003B0D1A" w:rsidRPr="000B2A8F">
        <w:rPr>
          <w:rFonts w:cstheme="minorHAnsi"/>
          <w:sz w:val="18"/>
          <w:szCs w:val="18"/>
        </w:rPr>
        <w:t>&lt;</w:t>
      </w:r>
      <w:hyperlink r:id="rId2" w:history="1">
        <w:r w:rsidR="003B0D1A" w:rsidRPr="000B2A8F">
          <w:rPr>
            <w:rStyle w:val="Hyperlink"/>
            <w:rFonts w:cstheme="minorHAnsi"/>
            <w:color w:val="auto"/>
            <w:sz w:val="18"/>
            <w:szCs w:val="18"/>
          </w:rPr>
          <w:t>www.aph.gov.au/Parliamentary_Business/Committees/Senate/Job_Security/JobSecurity/Third_Interim_Report</w:t>
        </w:r>
      </w:hyperlink>
      <w:r w:rsidR="003B0D1A" w:rsidRPr="000B2A8F">
        <w:rPr>
          <w:rFonts w:cstheme="minorHAnsi"/>
          <w:sz w:val="18"/>
          <w:szCs w:val="18"/>
        </w:rPr>
        <w:t>&gt;</w:t>
      </w:r>
      <w:r w:rsidR="00F62F57" w:rsidRPr="000B2A8F">
        <w:rPr>
          <w:rFonts w:cstheme="minorHAnsi"/>
          <w:sz w:val="18"/>
          <w:szCs w:val="18"/>
        </w:rPr>
        <w:t xml:space="preserve"> (</w:t>
      </w:r>
      <w:r w:rsidR="00F62F57" w:rsidRPr="000B2A8F">
        <w:rPr>
          <w:rFonts w:cstheme="minorHAnsi"/>
          <w:b/>
          <w:bCs/>
          <w:sz w:val="18"/>
          <w:szCs w:val="18"/>
        </w:rPr>
        <w:t>Third</w:t>
      </w:r>
      <w:r w:rsidR="004017FF" w:rsidRPr="000B2A8F">
        <w:rPr>
          <w:rFonts w:cstheme="minorHAnsi"/>
          <w:b/>
          <w:bCs/>
          <w:sz w:val="18"/>
          <w:szCs w:val="18"/>
        </w:rPr>
        <w:t> </w:t>
      </w:r>
      <w:r w:rsidR="00F62F57" w:rsidRPr="000B2A8F">
        <w:rPr>
          <w:rFonts w:cstheme="minorHAnsi"/>
          <w:b/>
          <w:bCs/>
          <w:sz w:val="18"/>
          <w:szCs w:val="18"/>
        </w:rPr>
        <w:t>Interim Report</w:t>
      </w:r>
      <w:r w:rsidR="00F62F57" w:rsidRPr="000B2A8F">
        <w:rPr>
          <w:rFonts w:cstheme="minorHAnsi"/>
          <w:sz w:val="18"/>
          <w:szCs w:val="18"/>
        </w:rPr>
        <w:t>)</w:t>
      </w:r>
      <w:r w:rsidR="003B0D1A" w:rsidRPr="000B2A8F">
        <w:rPr>
          <w:rFonts w:cstheme="minorHAnsi"/>
          <w:sz w:val="18"/>
          <w:szCs w:val="18"/>
        </w:rPr>
        <w:t>.</w:t>
      </w:r>
    </w:p>
  </w:footnote>
  <w:footnote w:id="5">
    <w:p w14:paraId="2F406775" w14:textId="6CE2F451" w:rsidR="005C70C8" w:rsidRPr="000B2A8F" w:rsidRDefault="005C70C8"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Senate Education and Employment Legislation Committee, Fair Work Amendment (Equal Pay for Equal Work) Bill 2022 (Report, October 2022) </w:t>
      </w:r>
      <w:r w:rsidR="00B71700" w:rsidRPr="000B2A8F">
        <w:rPr>
          <w:rFonts w:cstheme="minorHAnsi"/>
          <w:sz w:val="18"/>
          <w:szCs w:val="18"/>
        </w:rPr>
        <w:t>&lt;</w:t>
      </w:r>
      <w:hyperlink r:id="rId3" w:history="1">
        <w:r w:rsidR="006E4C54" w:rsidRPr="000B2A8F">
          <w:rPr>
            <w:rStyle w:val="Hyperlink"/>
            <w:rFonts w:cstheme="minorHAnsi"/>
            <w:color w:val="auto"/>
            <w:sz w:val="18"/>
            <w:szCs w:val="18"/>
          </w:rPr>
          <w:t>aph.gov.au/Parliamentary_Business/Committees/Senate/Education_and_Employment/</w:t>
        </w:r>
        <w:r w:rsidR="00B71700" w:rsidRPr="000B2A8F">
          <w:rPr>
            <w:rStyle w:val="Hyperlink"/>
            <w:rFonts w:cstheme="minorHAnsi"/>
            <w:color w:val="auto"/>
            <w:sz w:val="18"/>
            <w:szCs w:val="18"/>
          </w:rPr>
          <w:br/>
        </w:r>
        <w:r w:rsidR="006E4C54" w:rsidRPr="000B2A8F">
          <w:rPr>
            <w:rStyle w:val="Hyperlink"/>
            <w:rFonts w:cstheme="minorHAnsi"/>
            <w:color w:val="auto"/>
            <w:sz w:val="18"/>
            <w:szCs w:val="18"/>
          </w:rPr>
          <w:t>EqualPayBill2022/Report</w:t>
        </w:r>
      </w:hyperlink>
      <w:r w:rsidR="00143ACC" w:rsidRPr="000B2A8F">
        <w:rPr>
          <w:rFonts w:cstheme="minorHAnsi"/>
          <w:sz w:val="18"/>
          <w:szCs w:val="18"/>
        </w:rPr>
        <w:t>&gt;</w:t>
      </w:r>
      <w:r w:rsidR="00F62F57" w:rsidRPr="000B2A8F">
        <w:rPr>
          <w:rFonts w:cstheme="minorHAnsi"/>
          <w:sz w:val="18"/>
          <w:szCs w:val="18"/>
        </w:rPr>
        <w:t xml:space="preserve"> (</w:t>
      </w:r>
      <w:r w:rsidR="00F62F57" w:rsidRPr="000B2A8F">
        <w:rPr>
          <w:rFonts w:cstheme="minorHAnsi"/>
          <w:b/>
          <w:bCs/>
          <w:sz w:val="18"/>
          <w:szCs w:val="18"/>
        </w:rPr>
        <w:t>EPEW Report</w:t>
      </w:r>
      <w:r w:rsidR="00F62F57" w:rsidRPr="000B2A8F">
        <w:rPr>
          <w:rFonts w:cstheme="minorHAnsi"/>
          <w:sz w:val="18"/>
          <w:szCs w:val="18"/>
        </w:rPr>
        <w:t>)</w:t>
      </w:r>
      <w:r w:rsidR="00143ACC" w:rsidRPr="000B2A8F">
        <w:rPr>
          <w:rFonts w:cstheme="minorHAnsi"/>
          <w:sz w:val="18"/>
          <w:szCs w:val="18"/>
        </w:rPr>
        <w:t>.</w:t>
      </w:r>
    </w:p>
  </w:footnote>
  <w:footnote w:id="6">
    <w:p w14:paraId="4E94B1C0" w14:textId="4BA19023"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69476D" w:rsidRPr="000B2A8F">
        <w:rPr>
          <w:rFonts w:cstheme="minorHAnsi"/>
          <w:sz w:val="18"/>
          <w:szCs w:val="18"/>
        </w:rPr>
        <w:t>Victorian Inquiry Report</w:t>
      </w:r>
      <w:r w:rsidR="00F62F57" w:rsidRPr="000B2A8F">
        <w:rPr>
          <w:rFonts w:cstheme="minorHAnsi"/>
          <w:sz w:val="18"/>
          <w:szCs w:val="18"/>
        </w:rPr>
        <w:t>,</w:t>
      </w:r>
      <w:r w:rsidRPr="000B2A8F">
        <w:rPr>
          <w:rFonts w:cstheme="minorHAnsi"/>
          <w:sz w:val="18"/>
          <w:szCs w:val="18"/>
        </w:rPr>
        <w:t xml:space="preserve"> p 37.</w:t>
      </w:r>
    </w:p>
  </w:footnote>
  <w:footnote w:id="7">
    <w:p w14:paraId="2F706CB8" w14:textId="440C361E"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6D458E" w:rsidRPr="000B2A8F">
        <w:rPr>
          <w:rFonts w:cstheme="minorHAnsi"/>
          <w:sz w:val="18"/>
          <w:szCs w:val="18"/>
        </w:rPr>
        <w:t>Ibid</w:t>
      </w:r>
      <w:r w:rsidR="00F62F57" w:rsidRPr="000B2A8F">
        <w:rPr>
          <w:rFonts w:cstheme="minorHAnsi"/>
          <w:sz w:val="18"/>
          <w:szCs w:val="18"/>
        </w:rPr>
        <w:t>,</w:t>
      </w:r>
      <w:r w:rsidR="00405D92" w:rsidRPr="000B2A8F">
        <w:rPr>
          <w:rFonts w:cstheme="minorHAnsi"/>
          <w:sz w:val="18"/>
          <w:szCs w:val="18"/>
        </w:rPr>
        <w:t xml:space="preserve"> </w:t>
      </w:r>
      <w:r w:rsidRPr="000B2A8F">
        <w:rPr>
          <w:rFonts w:cstheme="minorHAnsi"/>
          <w:sz w:val="18"/>
          <w:szCs w:val="18"/>
        </w:rPr>
        <w:t>p 14.</w:t>
      </w:r>
    </w:p>
  </w:footnote>
  <w:footnote w:id="8">
    <w:p w14:paraId="070794E8" w14:textId="60A0C61C"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Ibid, p 101. </w:t>
      </w:r>
      <w:r w:rsidR="00793DB5" w:rsidRPr="000B2A8F">
        <w:rPr>
          <w:rFonts w:cstheme="minorHAnsi"/>
          <w:sz w:val="18"/>
          <w:szCs w:val="18"/>
        </w:rPr>
        <w:t>Further, t</w:t>
      </w:r>
      <w:r w:rsidRPr="000B2A8F">
        <w:rPr>
          <w:rFonts w:cstheme="minorHAnsi"/>
          <w:sz w:val="18"/>
          <w:szCs w:val="18"/>
        </w:rPr>
        <w:t xml:space="preserve">he Productivity Commission has acknowledged that the capacity of an employer to </w:t>
      </w:r>
      <w:r w:rsidR="002E414F" w:rsidRPr="000B2A8F">
        <w:rPr>
          <w:rFonts w:cstheme="minorHAnsi"/>
          <w:sz w:val="18"/>
          <w:szCs w:val="18"/>
        </w:rPr>
        <w:t xml:space="preserve">contract with lower cost or more flexible forms of labour (such as labour hire) </w:t>
      </w:r>
      <w:r w:rsidRPr="000B2A8F">
        <w:rPr>
          <w:rFonts w:cstheme="minorHAnsi"/>
          <w:sz w:val="18"/>
          <w:szCs w:val="18"/>
        </w:rPr>
        <w:t>may undermine collective bargaining power in reaching enterprise agreements, but concluded this was unlikely to occur to a great extent: see Victorian Inquiry Report, p 105, citing</w:t>
      </w:r>
      <w:r w:rsidR="000F3360" w:rsidRPr="000B2A8F">
        <w:rPr>
          <w:rFonts w:cstheme="minorHAnsi"/>
          <w:sz w:val="18"/>
          <w:szCs w:val="18"/>
        </w:rPr>
        <w:t> </w:t>
      </w:r>
      <w:r w:rsidRPr="000B2A8F">
        <w:rPr>
          <w:rFonts w:cstheme="minorHAnsi"/>
          <w:sz w:val="18"/>
          <w:szCs w:val="18"/>
        </w:rPr>
        <w:t>Productivity Commission</w:t>
      </w:r>
      <w:r w:rsidR="00F2303B" w:rsidRPr="000B2A8F">
        <w:rPr>
          <w:rFonts w:cstheme="minorHAnsi"/>
          <w:sz w:val="18"/>
          <w:szCs w:val="18"/>
        </w:rPr>
        <w:t>,</w:t>
      </w:r>
      <w:r w:rsidRPr="000B2A8F">
        <w:rPr>
          <w:rFonts w:cstheme="minorHAnsi"/>
          <w:i/>
          <w:iCs/>
          <w:sz w:val="18"/>
          <w:szCs w:val="18"/>
        </w:rPr>
        <w:t xml:space="preserve"> </w:t>
      </w:r>
      <w:r w:rsidRPr="000B2A8F">
        <w:rPr>
          <w:rFonts w:cstheme="minorHAnsi"/>
          <w:sz w:val="18"/>
          <w:szCs w:val="18"/>
        </w:rPr>
        <w:t>Workplace Relations Framework Report</w:t>
      </w:r>
      <w:r w:rsidRPr="000B2A8F">
        <w:rPr>
          <w:rFonts w:cstheme="minorHAnsi"/>
          <w:i/>
          <w:iCs/>
          <w:sz w:val="18"/>
          <w:szCs w:val="18"/>
        </w:rPr>
        <w:t xml:space="preserve"> </w:t>
      </w:r>
      <w:r w:rsidRPr="000B2A8F">
        <w:rPr>
          <w:rFonts w:cstheme="minorHAnsi"/>
          <w:sz w:val="18"/>
          <w:szCs w:val="18"/>
        </w:rPr>
        <w:t>(2015) p 815.</w:t>
      </w:r>
    </w:p>
  </w:footnote>
  <w:footnote w:id="9">
    <w:p w14:paraId="48E83563" w14:textId="3FC7DFA7"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Ibid</w:t>
      </w:r>
      <w:r w:rsidR="00FD5C0C" w:rsidRPr="000B2A8F">
        <w:rPr>
          <w:rFonts w:cstheme="minorHAnsi"/>
          <w:sz w:val="18"/>
          <w:szCs w:val="18"/>
        </w:rPr>
        <w:t xml:space="preserve"> </w:t>
      </w:r>
      <w:r w:rsidRPr="000B2A8F">
        <w:rPr>
          <w:rFonts w:cstheme="minorHAnsi"/>
          <w:sz w:val="18"/>
          <w:szCs w:val="18"/>
        </w:rPr>
        <w:t>p 38.</w:t>
      </w:r>
    </w:p>
  </w:footnote>
  <w:footnote w:id="10">
    <w:p w14:paraId="689A684A" w14:textId="451011EE" w:rsidR="00A958BD" w:rsidRPr="000B2A8F" w:rsidRDefault="00A958BD"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Ibid p 19, Recommendation 2.</w:t>
      </w:r>
      <w:r w:rsidR="00B220BF" w:rsidRPr="000B2A8F">
        <w:rPr>
          <w:rFonts w:cstheme="minorHAnsi"/>
          <w:sz w:val="18"/>
          <w:szCs w:val="18"/>
        </w:rPr>
        <w:t xml:space="preserve"> </w:t>
      </w:r>
      <w:r w:rsidR="00CE627A" w:rsidRPr="000B2A8F">
        <w:rPr>
          <w:rFonts w:cstheme="minorHAnsi"/>
          <w:sz w:val="18"/>
          <w:szCs w:val="18"/>
        </w:rPr>
        <w:t>T</w:t>
      </w:r>
      <w:r w:rsidR="00B220BF" w:rsidRPr="000B2A8F">
        <w:rPr>
          <w:rStyle w:val="cf01"/>
          <w:rFonts w:asciiTheme="minorHAnsi" w:hAnsiTheme="minorHAnsi" w:cstheme="minorHAnsi"/>
        </w:rPr>
        <w:t>he common effect of a parity clause (or jump up clause) is to provide that where a labour hire worker is performing work which is the subject of an enterprise agreement, that employee is entitled to be paid at the same rate, and receive the same conditions, as a direct employee of the host performing that work.</w:t>
      </w:r>
    </w:p>
  </w:footnote>
  <w:footnote w:id="11">
    <w:p w14:paraId="71F55527" w14:textId="50C427AB"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3F3EC9" w:rsidRPr="000B2A8F">
        <w:rPr>
          <w:rFonts w:cstheme="minorHAnsi"/>
          <w:sz w:val="18"/>
          <w:szCs w:val="18"/>
        </w:rPr>
        <w:t xml:space="preserve">Parliament of the Commonwealth of Australia, </w:t>
      </w:r>
      <w:r w:rsidRPr="000B2A8F">
        <w:rPr>
          <w:rFonts w:cstheme="minorHAnsi"/>
          <w:i/>
          <w:iCs/>
          <w:sz w:val="18"/>
          <w:szCs w:val="18"/>
        </w:rPr>
        <w:t>Senate Journals</w:t>
      </w:r>
      <w:r w:rsidRPr="000B2A8F">
        <w:rPr>
          <w:rFonts w:cstheme="minorHAnsi"/>
          <w:sz w:val="18"/>
          <w:szCs w:val="18"/>
        </w:rPr>
        <w:t xml:space="preserve"> </w:t>
      </w:r>
      <w:r w:rsidRPr="000B2A8F">
        <w:rPr>
          <w:rFonts w:cstheme="minorHAnsi"/>
          <w:i/>
          <w:iCs/>
          <w:sz w:val="18"/>
          <w:szCs w:val="18"/>
        </w:rPr>
        <w:t>No. 81—10 December 2020</w:t>
      </w:r>
      <w:r w:rsidRPr="000B2A8F">
        <w:rPr>
          <w:rFonts w:cstheme="minorHAnsi"/>
          <w:sz w:val="18"/>
          <w:szCs w:val="18"/>
        </w:rPr>
        <w:t>, pp 2890–</w:t>
      </w:r>
      <w:r w:rsidR="005716F1" w:rsidRPr="000B2A8F">
        <w:rPr>
          <w:rFonts w:cstheme="minorHAnsi"/>
          <w:sz w:val="18"/>
          <w:szCs w:val="18"/>
        </w:rPr>
        <w:t>2</w:t>
      </w:r>
      <w:r w:rsidRPr="000B2A8F">
        <w:rPr>
          <w:rFonts w:cstheme="minorHAnsi"/>
          <w:sz w:val="18"/>
          <w:szCs w:val="18"/>
        </w:rPr>
        <w:t>.</w:t>
      </w:r>
    </w:p>
  </w:footnote>
  <w:footnote w:id="12">
    <w:p w14:paraId="6BD0A3B7" w14:textId="77777777"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Job Security Committee, </w:t>
      </w:r>
      <w:r w:rsidRPr="000B2A8F">
        <w:rPr>
          <w:rFonts w:cstheme="minorHAnsi"/>
          <w:i/>
          <w:iCs/>
          <w:sz w:val="18"/>
          <w:szCs w:val="18"/>
        </w:rPr>
        <w:t>Terms of Reference</w:t>
      </w:r>
      <w:r w:rsidRPr="000B2A8F">
        <w:rPr>
          <w:rFonts w:cstheme="minorHAnsi"/>
          <w:sz w:val="18"/>
          <w:szCs w:val="18"/>
        </w:rPr>
        <w:t>.</w:t>
      </w:r>
    </w:p>
  </w:footnote>
  <w:footnote w:id="13">
    <w:p w14:paraId="3E2588B6" w14:textId="77777777"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Third Interim Report, p 4 [1.21].</w:t>
      </w:r>
    </w:p>
  </w:footnote>
  <w:footnote w:id="14">
    <w:p w14:paraId="5A8140D5" w14:textId="23BFD356" w:rsidR="004B0910" w:rsidRPr="000B2A8F" w:rsidRDefault="004B0910"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Ibid, p </w:t>
      </w:r>
      <w:r w:rsidR="008C1D7A" w:rsidRPr="000B2A8F">
        <w:rPr>
          <w:rFonts w:cstheme="minorHAnsi"/>
          <w:sz w:val="18"/>
          <w:szCs w:val="18"/>
        </w:rPr>
        <w:t>4-</w:t>
      </w:r>
      <w:r w:rsidRPr="000B2A8F">
        <w:rPr>
          <w:rFonts w:cstheme="minorHAnsi"/>
          <w:sz w:val="18"/>
          <w:szCs w:val="18"/>
        </w:rPr>
        <w:t xml:space="preserve">5 </w:t>
      </w:r>
      <w:r w:rsidR="008C1D7A" w:rsidRPr="000B2A8F">
        <w:rPr>
          <w:rFonts w:cstheme="minorHAnsi"/>
          <w:sz w:val="18"/>
          <w:szCs w:val="18"/>
        </w:rPr>
        <w:t xml:space="preserve">[1.21], </w:t>
      </w:r>
      <w:r w:rsidRPr="000B2A8F">
        <w:rPr>
          <w:rFonts w:cstheme="minorHAnsi"/>
          <w:sz w:val="18"/>
          <w:szCs w:val="18"/>
        </w:rPr>
        <w:t>[1.24].</w:t>
      </w:r>
    </w:p>
  </w:footnote>
  <w:footnote w:id="15">
    <w:p w14:paraId="62C93B82" w14:textId="1D3516E3"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Ibid</w:t>
      </w:r>
      <w:r w:rsidR="00BC45C5" w:rsidRPr="000B2A8F">
        <w:rPr>
          <w:rFonts w:cstheme="minorHAnsi"/>
          <w:sz w:val="18"/>
          <w:szCs w:val="18"/>
        </w:rPr>
        <w:t>,</w:t>
      </w:r>
      <w:r w:rsidR="00FD5C0C" w:rsidRPr="000B2A8F">
        <w:rPr>
          <w:rFonts w:cstheme="minorHAnsi"/>
          <w:sz w:val="18"/>
          <w:szCs w:val="18"/>
        </w:rPr>
        <w:t xml:space="preserve"> </w:t>
      </w:r>
      <w:r w:rsidRPr="000B2A8F">
        <w:rPr>
          <w:rFonts w:cstheme="minorHAnsi"/>
          <w:sz w:val="18"/>
          <w:szCs w:val="18"/>
        </w:rPr>
        <w:t>p ix Recommendation 1.</w:t>
      </w:r>
    </w:p>
  </w:footnote>
  <w:footnote w:id="16">
    <w:p w14:paraId="5CFCC6E9" w14:textId="7349F856"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EPEW Report</w:t>
      </w:r>
      <w:r w:rsidR="006547BF" w:rsidRPr="000B2A8F">
        <w:rPr>
          <w:rFonts w:cstheme="minorHAnsi"/>
          <w:sz w:val="18"/>
          <w:szCs w:val="18"/>
        </w:rPr>
        <w:t>,</w:t>
      </w:r>
      <w:r w:rsidRPr="000B2A8F">
        <w:rPr>
          <w:rFonts w:cstheme="minorHAnsi"/>
          <w:sz w:val="18"/>
          <w:szCs w:val="18"/>
        </w:rPr>
        <w:t xml:space="preserve"> p 22 [2.55].</w:t>
      </w:r>
    </w:p>
  </w:footnote>
  <w:footnote w:id="17">
    <w:p w14:paraId="6867CCEE" w14:textId="6929A291"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6547BF" w:rsidRPr="000B2A8F">
        <w:rPr>
          <w:rFonts w:cstheme="minorHAnsi"/>
          <w:sz w:val="18"/>
          <w:szCs w:val="18"/>
        </w:rPr>
        <w:t>Ibid,</w:t>
      </w:r>
      <w:r w:rsidRPr="000B2A8F">
        <w:rPr>
          <w:rFonts w:cstheme="minorHAnsi"/>
          <w:sz w:val="18"/>
          <w:szCs w:val="18"/>
        </w:rPr>
        <w:t xml:space="preserve"> p 2</w:t>
      </w:r>
      <w:r w:rsidR="003C3A64" w:rsidRPr="000B2A8F">
        <w:rPr>
          <w:rFonts w:cstheme="minorHAnsi"/>
          <w:sz w:val="18"/>
          <w:szCs w:val="18"/>
        </w:rPr>
        <w:t>1 [</w:t>
      </w:r>
      <w:r w:rsidR="0092485C" w:rsidRPr="000B2A8F">
        <w:rPr>
          <w:rFonts w:cstheme="minorHAnsi"/>
          <w:sz w:val="18"/>
          <w:szCs w:val="18"/>
        </w:rPr>
        <w:t>2.52]</w:t>
      </w:r>
      <w:r w:rsidRPr="000B2A8F">
        <w:rPr>
          <w:rFonts w:cstheme="minorHAnsi"/>
          <w:sz w:val="18"/>
          <w:szCs w:val="18"/>
        </w:rPr>
        <w:t>.</w:t>
      </w:r>
    </w:p>
  </w:footnote>
  <w:footnote w:id="18">
    <w:p w14:paraId="0A26FCB7" w14:textId="39BE96DE" w:rsidR="00D21E05" w:rsidRPr="000B2A8F" w:rsidRDefault="00D21E0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ABS, </w:t>
      </w:r>
      <w:r w:rsidRPr="000B2A8F">
        <w:rPr>
          <w:rFonts w:cstheme="minorHAnsi"/>
          <w:i/>
          <w:iCs/>
          <w:sz w:val="18"/>
          <w:szCs w:val="18"/>
        </w:rPr>
        <w:t xml:space="preserve">labour hire workers, June 2022 </w:t>
      </w:r>
      <w:r w:rsidRPr="000B2A8F">
        <w:rPr>
          <w:rFonts w:cstheme="minorHAnsi"/>
          <w:sz w:val="18"/>
          <w:szCs w:val="18"/>
        </w:rPr>
        <w:t xml:space="preserve">(released 6 December 2022) using ABS, </w:t>
      </w:r>
      <w:r w:rsidRPr="000B2A8F">
        <w:rPr>
          <w:rFonts w:cstheme="minorHAnsi"/>
          <w:i/>
          <w:iCs/>
          <w:sz w:val="18"/>
          <w:szCs w:val="18"/>
        </w:rPr>
        <w:t>Labour Account, June 2022</w:t>
      </w:r>
      <w:r w:rsidRPr="000B2A8F">
        <w:rPr>
          <w:rFonts w:cstheme="minorHAnsi"/>
          <w:sz w:val="18"/>
          <w:szCs w:val="18"/>
        </w:rPr>
        <w:t>, though the ABS</w:t>
      </w:r>
      <w:r w:rsidR="009007AF" w:rsidRPr="000B2A8F">
        <w:rPr>
          <w:rFonts w:cstheme="minorHAnsi"/>
          <w:sz w:val="18"/>
          <w:szCs w:val="18"/>
        </w:rPr>
        <w:t> </w:t>
      </w:r>
      <w:r w:rsidRPr="000B2A8F">
        <w:rPr>
          <w:rFonts w:cstheme="minorHAnsi"/>
          <w:sz w:val="18"/>
          <w:szCs w:val="18"/>
        </w:rPr>
        <w:t>notes limitations with this data within this cited resource.</w:t>
      </w:r>
    </w:p>
  </w:footnote>
  <w:footnote w:id="19">
    <w:p w14:paraId="14B9C1B0" w14:textId="29E48502" w:rsidR="00D21E05" w:rsidRPr="000B2A8F" w:rsidRDefault="00D21E0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See, e.g.,</w:t>
      </w:r>
      <w:r w:rsidR="00084465" w:rsidRPr="000B2A8F">
        <w:rPr>
          <w:rFonts w:cstheme="minorHAnsi"/>
          <w:sz w:val="18"/>
          <w:szCs w:val="18"/>
        </w:rPr>
        <w:t xml:space="preserve"> Victorian Inquiry Report</w:t>
      </w:r>
      <w:r w:rsidRPr="000B2A8F">
        <w:rPr>
          <w:rFonts w:cstheme="minorHAnsi"/>
          <w:sz w:val="18"/>
          <w:szCs w:val="18"/>
        </w:rPr>
        <w:t xml:space="preserve">; </w:t>
      </w:r>
      <w:r w:rsidR="0021551F" w:rsidRPr="000B2A8F">
        <w:rPr>
          <w:rFonts w:cstheme="minorHAnsi"/>
          <w:sz w:val="18"/>
          <w:szCs w:val="18"/>
        </w:rPr>
        <w:t>Third Interim Report. See also</w:t>
      </w:r>
      <w:r w:rsidR="008E13B9" w:rsidRPr="000B2A8F">
        <w:rPr>
          <w:rFonts w:cstheme="minorHAnsi"/>
          <w:sz w:val="18"/>
          <w:szCs w:val="18"/>
        </w:rPr>
        <w:t>:</w:t>
      </w:r>
      <w:r w:rsidRPr="000B2A8F">
        <w:rPr>
          <w:rFonts w:cstheme="minorHAnsi"/>
          <w:sz w:val="18"/>
          <w:szCs w:val="18"/>
        </w:rPr>
        <w:t xml:space="preserve"> Senate Education and Employment References Committee, </w:t>
      </w:r>
      <w:r w:rsidRPr="000B2A8F">
        <w:rPr>
          <w:rFonts w:cstheme="minorHAnsi"/>
          <w:i/>
          <w:iCs/>
          <w:sz w:val="18"/>
          <w:szCs w:val="18"/>
        </w:rPr>
        <w:t xml:space="preserve">Corporate avoidance of the Fair Work Act 2009 </w:t>
      </w:r>
      <w:r w:rsidRPr="000B2A8F">
        <w:rPr>
          <w:rFonts w:cstheme="minorHAnsi"/>
          <w:sz w:val="18"/>
          <w:szCs w:val="18"/>
        </w:rPr>
        <w:t>(September 2017</w:t>
      </w:r>
      <w:r w:rsidR="0021551F" w:rsidRPr="000B2A8F">
        <w:rPr>
          <w:rFonts w:cstheme="minorHAnsi"/>
          <w:sz w:val="18"/>
          <w:szCs w:val="18"/>
        </w:rPr>
        <w:t>);</w:t>
      </w:r>
      <w:r w:rsidRPr="000B2A8F">
        <w:rPr>
          <w:rFonts w:cstheme="minorHAnsi"/>
          <w:sz w:val="18"/>
          <w:szCs w:val="18"/>
        </w:rPr>
        <w:t xml:space="preserve"> Senate Economics References Committee, </w:t>
      </w:r>
      <w:r w:rsidRPr="000B2A8F">
        <w:rPr>
          <w:rFonts w:cstheme="minorHAnsi"/>
          <w:i/>
          <w:iCs/>
          <w:sz w:val="18"/>
          <w:szCs w:val="18"/>
        </w:rPr>
        <w:t xml:space="preserve">Systemic, sustained and shameful: Unlawful underpayment of workers’ remuneration </w:t>
      </w:r>
      <w:r w:rsidRPr="000B2A8F">
        <w:rPr>
          <w:rFonts w:cstheme="minorHAnsi"/>
          <w:sz w:val="18"/>
          <w:szCs w:val="18"/>
        </w:rPr>
        <w:t>(March 2022).</w:t>
      </w:r>
    </w:p>
  </w:footnote>
  <w:footnote w:id="20">
    <w:p w14:paraId="3548422C" w14:textId="73B6327B" w:rsidR="00D21E05" w:rsidRPr="000B2A8F" w:rsidRDefault="00D21E0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2A6036" w:rsidRPr="000B2A8F">
        <w:rPr>
          <w:rFonts w:cstheme="minorHAnsi"/>
          <w:sz w:val="18"/>
          <w:szCs w:val="18"/>
        </w:rPr>
        <w:t>Third Interim Report,</w:t>
      </w:r>
      <w:r w:rsidRPr="000B2A8F">
        <w:rPr>
          <w:rFonts w:cstheme="minorHAnsi"/>
          <w:sz w:val="18"/>
          <w:szCs w:val="18"/>
        </w:rPr>
        <w:t xml:space="preserve"> pp 39-62; 63-84; 85-11</w:t>
      </w:r>
      <w:r w:rsidR="00252E63" w:rsidRPr="000B2A8F">
        <w:rPr>
          <w:rFonts w:cstheme="minorHAnsi"/>
          <w:sz w:val="18"/>
          <w:szCs w:val="18"/>
        </w:rPr>
        <w:t>8</w:t>
      </w:r>
      <w:r w:rsidRPr="000B2A8F">
        <w:rPr>
          <w:rFonts w:cstheme="minorHAnsi"/>
          <w:sz w:val="18"/>
          <w:szCs w:val="18"/>
        </w:rPr>
        <w:t>.</w:t>
      </w:r>
    </w:p>
  </w:footnote>
  <w:footnote w:id="21">
    <w:p w14:paraId="712DC310" w14:textId="5C3A0605"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Victorian Inquiry Report</w:t>
      </w:r>
      <w:r w:rsidR="006B6D56" w:rsidRPr="000B2A8F">
        <w:rPr>
          <w:rFonts w:cstheme="minorHAnsi"/>
          <w:sz w:val="18"/>
          <w:szCs w:val="18"/>
        </w:rPr>
        <w:t xml:space="preserve">, </w:t>
      </w:r>
      <w:r w:rsidRPr="000B2A8F">
        <w:rPr>
          <w:rFonts w:cstheme="minorHAnsi"/>
          <w:sz w:val="18"/>
          <w:szCs w:val="18"/>
        </w:rPr>
        <w:t>p 84</w:t>
      </w:r>
      <w:r w:rsidR="002A6036" w:rsidRPr="000B2A8F">
        <w:rPr>
          <w:rFonts w:cstheme="minorHAnsi"/>
          <w:sz w:val="18"/>
          <w:szCs w:val="18"/>
        </w:rPr>
        <w:t xml:space="preserve">, Finding </w:t>
      </w:r>
      <w:r w:rsidRPr="000B2A8F">
        <w:rPr>
          <w:rFonts w:cstheme="minorHAnsi"/>
          <w:sz w:val="18"/>
          <w:szCs w:val="18"/>
        </w:rPr>
        <w:t>3.</w:t>
      </w:r>
      <w:r w:rsidR="002A6036" w:rsidRPr="000B2A8F">
        <w:rPr>
          <w:rFonts w:cstheme="minorHAnsi"/>
          <w:sz w:val="18"/>
          <w:szCs w:val="18"/>
        </w:rPr>
        <w:t>6</w:t>
      </w:r>
      <w:r w:rsidRPr="000B2A8F">
        <w:rPr>
          <w:rFonts w:cstheme="minorHAnsi"/>
          <w:sz w:val="18"/>
          <w:szCs w:val="18"/>
        </w:rPr>
        <w:t>.</w:t>
      </w:r>
    </w:p>
  </w:footnote>
  <w:footnote w:id="22">
    <w:p w14:paraId="5C132FBF" w14:textId="32BEDB58"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DA0842" w:rsidRPr="000B2A8F">
        <w:rPr>
          <w:rFonts w:cstheme="minorHAnsi"/>
          <w:sz w:val="18"/>
          <w:szCs w:val="18"/>
        </w:rPr>
        <w:t>Ibid</w:t>
      </w:r>
      <w:r w:rsidRPr="000B2A8F">
        <w:rPr>
          <w:rFonts w:cstheme="minorHAnsi"/>
          <w:sz w:val="18"/>
          <w:szCs w:val="18"/>
        </w:rPr>
        <w:t>, p 84, Finding 3.7.</w:t>
      </w:r>
    </w:p>
  </w:footnote>
  <w:footnote w:id="23">
    <w:p w14:paraId="671BA2ED" w14:textId="754AD247"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Ibid.</w:t>
      </w:r>
    </w:p>
  </w:footnote>
  <w:footnote w:id="24">
    <w:p w14:paraId="2A46578F" w14:textId="0CD9907C"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Pr="000B2A8F">
        <w:rPr>
          <w:rFonts w:cstheme="minorHAnsi"/>
          <w:iCs/>
          <w:sz w:val="18"/>
          <w:szCs w:val="18"/>
        </w:rPr>
        <w:t>Third Interim Report</w:t>
      </w:r>
      <w:r w:rsidRPr="000B2A8F">
        <w:rPr>
          <w:rFonts w:cstheme="minorHAnsi"/>
          <w:sz w:val="18"/>
          <w:szCs w:val="18"/>
        </w:rPr>
        <w:t>,</w:t>
      </w:r>
      <w:r w:rsidR="00141627" w:rsidRPr="000B2A8F">
        <w:rPr>
          <w:rFonts w:cstheme="minorHAnsi"/>
          <w:sz w:val="18"/>
          <w:szCs w:val="18"/>
        </w:rPr>
        <w:t xml:space="preserve"> </w:t>
      </w:r>
      <w:r w:rsidRPr="000B2A8F">
        <w:rPr>
          <w:rFonts w:cstheme="minorHAnsi"/>
          <w:sz w:val="18"/>
          <w:szCs w:val="18"/>
        </w:rPr>
        <w:t>p 2 [1.8].</w:t>
      </w:r>
    </w:p>
  </w:footnote>
  <w:footnote w:id="25">
    <w:p w14:paraId="6799CD48" w14:textId="4EF57335"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Ibid, p </w:t>
      </w:r>
      <w:r w:rsidR="00687551" w:rsidRPr="000B2A8F">
        <w:rPr>
          <w:rFonts w:cstheme="minorHAnsi"/>
          <w:sz w:val="18"/>
          <w:szCs w:val="18"/>
        </w:rPr>
        <w:t xml:space="preserve">60 </w:t>
      </w:r>
      <w:r w:rsidRPr="000B2A8F">
        <w:rPr>
          <w:rFonts w:cstheme="minorHAnsi"/>
          <w:sz w:val="18"/>
          <w:szCs w:val="18"/>
        </w:rPr>
        <w:t>[</w:t>
      </w:r>
      <w:r w:rsidR="00687551" w:rsidRPr="000B2A8F">
        <w:rPr>
          <w:rFonts w:cstheme="minorHAnsi"/>
          <w:sz w:val="18"/>
          <w:szCs w:val="18"/>
        </w:rPr>
        <w:t>3.62</w:t>
      </w:r>
      <w:r w:rsidRPr="000B2A8F">
        <w:rPr>
          <w:rFonts w:cstheme="minorHAnsi"/>
          <w:sz w:val="18"/>
          <w:szCs w:val="18"/>
        </w:rPr>
        <w:t>].</w:t>
      </w:r>
    </w:p>
  </w:footnote>
  <w:footnote w:id="26">
    <w:p w14:paraId="1265362D" w14:textId="45966841"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EPEW Report</w:t>
      </w:r>
      <w:r w:rsidR="006547BF" w:rsidRPr="000B2A8F">
        <w:rPr>
          <w:rFonts w:cstheme="minorHAnsi"/>
          <w:sz w:val="18"/>
          <w:szCs w:val="18"/>
        </w:rPr>
        <w:t>,</w:t>
      </w:r>
      <w:r w:rsidRPr="000B2A8F">
        <w:rPr>
          <w:rFonts w:cstheme="minorHAnsi"/>
          <w:sz w:val="18"/>
          <w:szCs w:val="18"/>
        </w:rPr>
        <w:t xml:space="preserve"> p 20 [2.47].</w:t>
      </w:r>
    </w:p>
  </w:footnote>
  <w:footnote w:id="27">
    <w:p w14:paraId="4FDC08DB" w14:textId="362A5A5C"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Ibid</w:t>
      </w:r>
      <w:r w:rsidR="006547BF" w:rsidRPr="000B2A8F">
        <w:rPr>
          <w:rFonts w:cstheme="minorHAnsi"/>
          <w:sz w:val="18"/>
          <w:szCs w:val="18"/>
        </w:rPr>
        <w:t>,</w:t>
      </w:r>
      <w:r w:rsidR="00FD5C0C" w:rsidRPr="000B2A8F">
        <w:rPr>
          <w:rFonts w:cstheme="minorHAnsi"/>
          <w:sz w:val="18"/>
          <w:szCs w:val="18"/>
        </w:rPr>
        <w:t xml:space="preserve"> </w:t>
      </w:r>
      <w:r w:rsidRPr="000B2A8F">
        <w:rPr>
          <w:rFonts w:cstheme="minorHAnsi"/>
          <w:sz w:val="18"/>
          <w:szCs w:val="18"/>
        </w:rPr>
        <w:t>p 21 [2.50].</w:t>
      </w:r>
    </w:p>
  </w:footnote>
  <w:footnote w:id="28">
    <w:p w14:paraId="474C8F5A" w14:textId="15B15A1F"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Ibid</w:t>
      </w:r>
      <w:r w:rsidR="006547BF" w:rsidRPr="000B2A8F">
        <w:rPr>
          <w:rFonts w:cstheme="minorHAnsi"/>
          <w:sz w:val="18"/>
          <w:szCs w:val="18"/>
        </w:rPr>
        <w:t>,</w:t>
      </w:r>
      <w:r w:rsidR="00FD5C0C" w:rsidRPr="000B2A8F">
        <w:rPr>
          <w:rFonts w:cstheme="minorHAnsi"/>
          <w:sz w:val="18"/>
          <w:szCs w:val="18"/>
        </w:rPr>
        <w:t xml:space="preserve"> </w:t>
      </w:r>
      <w:r w:rsidR="00861B3A" w:rsidRPr="000B2A8F">
        <w:rPr>
          <w:rFonts w:cstheme="minorHAnsi"/>
          <w:sz w:val="18"/>
          <w:szCs w:val="18"/>
        </w:rPr>
        <w:t>p</w:t>
      </w:r>
      <w:r w:rsidRPr="000B2A8F">
        <w:rPr>
          <w:rFonts w:cstheme="minorHAnsi"/>
          <w:sz w:val="18"/>
          <w:szCs w:val="18"/>
        </w:rPr>
        <w:t>p 25</w:t>
      </w:r>
      <w:r w:rsidR="00861B3A" w:rsidRPr="000B2A8F">
        <w:rPr>
          <w:rFonts w:cstheme="minorHAnsi"/>
          <w:sz w:val="18"/>
          <w:szCs w:val="18"/>
        </w:rPr>
        <w:t xml:space="preserve">-6, </w:t>
      </w:r>
      <w:r w:rsidRPr="000B2A8F">
        <w:rPr>
          <w:rFonts w:cstheme="minorHAnsi"/>
          <w:sz w:val="18"/>
          <w:szCs w:val="18"/>
        </w:rPr>
        <w:t>[1.16]</w:t>
      </w:r>
      <w:r w:rsidR="00861B3A" w:rsidRPr="000B2A8F">
        <w:rPr>
          <w:rFonts w:cstheme="minorHAnsi"/>
          <w:sz w:val="18"/>
          <w:szCs w:val="18"/>
        </w:rPr>
        <w:t xml:space="preserve">, </w:t>
      </w:r>
      <w:r w:rsidRPr="000B2A8F">
        <w:rPr>
          <w:rFonts w:cstheme="minorHAnsi"/>
          <w:sz w:val="18"/>
          <w:szCs w:val="18"/>
        </w:rPr>
        <w:t>[1.21].</w:t>
      </w:r>
    </w:p>
  </w:footnote>
  <w:footnote w:id="29">
    <w:p w14:paraId="0E063FDE" w14:textId="77777777" w:rsidR="007075B5" w:rsidRPr="000B2A8F" w:rsidRDefault="007075B5" w:rsidP="003B36E4">
      <w:pPr>
        <w:pStyle w:val="FootnoteText"/>
        <w:rPr>
          <w:rFonts w:cstheme="minorHAnsi"/>
          <w:iCs/>
          <w:sz w:val="18"/>
          <w:szCs w:val="18"/>
        </w:rPr>
      </w:pPr>
      <w:r w:rsidRPr="000B2A8F">
        <w:rPr>
          <w:rStyle w:val="FootnoteReference"/>
          <w:rFonts w:cstheme="minorHAnsi"/>
          <w:sz w:val="18"/>
          <w:szCs w:val="18"/>
        </w:rPr>
        <w:footnoteRef/>
      </w:r>
      <w:r w:rsidRPr="000B2A8F">
        <w:rPr>
          <w:rFonts w:cstheme="minorHAnsi"/>
          <w:sz w:val="18"/>
          <w:szCs w:val="18"/>
        </w:rPr>
        <w:t xml:space="preserve"> ABS, </w:t>
      </w:r>
      <w:r w:rsidRPr="000B2A8F">
        <w:rPr>
          <w:rFonts w:cstheme="minorHAnsi"/>
          <w:i/>
          <w:sz w:val="18"/>
          <w:szCs w:val="18"/>
        </w:rPr>
        <w:t>Labour hire workers, June 2022</w:t>
      </w:r>
      <w:r w:rsidRPr="000B2A8F">
        <w:rPr>
          <w:rFonts w:cstheme="minorHAnsi"/>
          <w:iCs/>
          <w:sz w:val="18"/>
          <w:szCs w:val="18"/>
        </w:rPr>
        <w:t>.</w:t>
      </w:r>
    </w:p>
  </w:footnote>
  <w:footnote w:id="30">
    <w:p w14:paraId="20CCE1A5" w14:textId="7260B97E" w:rsidR="007075B5" w:rsidRPr="000B2A8F" w:rsidRDefault="007075B5" w:rsidP="003B36E4">
      <w:pPr>
        <w:pStyle w:val="FootnoteText"/>
        <w:rPr>
          <w:rFonts w:cstheme="minorHAnsi"/>
          <w:iCs/>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647145" w:rsidRPr="000B2A8F">
        <w:rPr>
          <w:rFonts w:cstheme="minorHAnsi"/>
          <w:sz w:val="18"/>
          <w:szCs w:val="18"/>
        </w:rPr>
        <w:t>Ibid</w:t>
      </w:r>
      <w:r w:rsidRPr="000B2A8F">
        <w:rPr>
          <w:rFonts w:cstheme="minorHAnsi"/>
          <w:sz w:val="18"/>
          <w:szCs w:val="18"/>
        </w:rPr>
        <w:t xml:space="preserve">, using </w:t>
      </w:r>
      <w:r w:rsidRPr="000B2A8F">
        <w:rPr>
          <w:rFonts w:cstheme="minorHAnsi"/>
          <w:i/>
          <w:sz w:val="18"/>
          <w:szCs w:val="18"/>
        </w:rPr>
        <w:t>Characteristics of Employment, August 2022</w:t>
      </w:r>
      <w:r w:rsidRPr="000B2A8F">
        <w:rPr>
          <w:rFonts w:cstheme="minorHAnsi"/>
          <w:iCs/>
          <w:sz w:val="18"/>
          <w:szCs w:val="18"/>
        </w:rPr>
        <w:t>.</w:t>
      </w:r>
    </w:p>
  </w:footnote>
  <w:footnote w:id="31">
    <w:p w14:paraId="6EF9410B" w14:textId="77777777" w:rsidR="007075B5" w:rsidRPr="000B2A8F" w:rsidRDefault="007075B5" w:rsidP="003B36E4">
      <w:pPr>
        <w:pStyle w:val="FootnoteText"/>
        <w:rPr>
          <w:rFonts w:cstheme="minorHAnsi"/>
          <w:i/>
          <w:iCs/>
          <w:sz w:val="18"/>
          <w:szCs w:val="18"/>
        </w:rPr>
      </w:pPr>
      <w:r w:rsidRPr="000B2A8F">
        <w:rPr>
          <w:rStyle w:val="FootnoteReference"/>
          <w:rFonts w:cstheme="minorHAnsi"/>
          <w:sz w:val="18"/>
          <w:szCs w:val="18"/>
        </w:rPr>
        <w:footnoteRef/>
      </w:r>
      <w:r w:rsidRPr="000B2A8F">
        <w:rPr>
          <w:rFonts w:cstheme="minorHAnsi"/>
          <w:sz w:val="18"/>
          <w:szCs w:val="18"/>
        </w:rPr>
        <w:t xml:space="preserve"> Ibid.</w:t>
      </w:r>
    </w:p>
  </w:footnote>
  <w:footnote w:id="32">
    <w:p w14:paraId="6B41357C" w14:textId="77777777" w:rsidR="007075B5" w:rsidRPr="000B2A8F" w:rsidRDefault="007075B5" w:rsidP="003B36E4">
      <w:pPr>
        <w:pStyle w:val="FootnoteText"/>
        <w:rPr>
          <w:rFonts w:cstheme="minorHAnsi"/>
          <w:i/>
          <w:iCs/>
          <w:sz w:val="18"/>
          <w:szCs w:val="18"/>
        </w:rPr>
      </w:pPr>
      <w:r w:rsidRPr="000B2A8F">
        <w:rPr>
          <w:rStyle w:val="FootnoteReference"/>
          <w:rFonts w:cstheme="minorHAnsi"/>
          <w:sz w:val="18"/>
          <w:szCs w:val="18"/>
        </w:rPr>
        <w:footnoteRef/>
      </w:r>
      <w:r w:rsidRPr="000B2A8F">
        <w:rPr>
          <w:rFonts w:cstheme="minorHAnsi"/>
          <w:sz w:val="18"/>
          <w:szCs w:val="18"/>
        </w:rPr>
        <w:t xml:space="preserve"> Ibid.</w:t>
      </w:r>
    </w:p>
  </w:footnote>
  <w:footnote w:id="33">
    <w:p w14:paraId="3FADC4DE" w14:textId="77777777" w:rsidR="007075B5" w:rsidRPr="000B2A8F" w:rsidRDefault="007075B5" w:rsidP="003B36E4">
      <w:pPr>
        <w:pStyle w:val="FootnoteText"/>
        <w:rPr>
          <w:rFonts w:cstheme="minorHAnsi"/>
          <w:i/>
          <w:iCs/>
          <w:sz w:val="18"/>
          <w:szCs w:val="18"/>
        </w:rPr>
      </w:pPr>
      <w:r w:rsidRPr="000B2A8F">
        <w:rPr>
          <w:rStyle w:val="FootnoteReference"/>
          <w:rFonts w:cstheme="minorHAnsi"/>
          <w:sz w:val="18"/>
          <w:szCs w:val="18"/>
        </w:rPr>
        <w:footnoteRef/>
      </w:r>
      <w:r w:rsidRPr="000B2A8F">
        <w:rPr>
          <w:rFonts w:cstheme="minorHAnsi"/>
          <w:sz w:val="18"/>
          <w:szCs w:val="18"/>
        </w:rPr>
        <w:t xml:space="preserve"> Ibid.</w:t>
      </w:r>
    </w:p>
  </w:footnote>
  <w:footnote w:id="34">
    <w:p w14:paraId="08664501" w14:textId="77777777"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Wooden, M and Laβ, I 2019, The Structure of the Wage Gap for Temporary Workers: Evidence from Australian Panel Data, </w:t>
      </w:r>
      <w:r w:rsidRPr="000B2A8F">
        <w:rPr>
          <w:rFonts w:cstheme="minorHAnsi"/>
          <w:i/>
          <w:sz w:val="18"/>
          <w:szCs w:val="18"/>
        </w:rPr>
        <w:t>British Journal of Industrial Relations</w:t>
      </w:r>
      <w:r w:rsidRPr="000B2A8F">
        <w:rPr>
          <w:rFonts w:cstheme="minorHAnsi"/>
          <w:sz w:val="18"/>
          <w:szCs w:val="18"/>
        </w:rPr>
        <w:t xml:space="preserve"> 57:3, pp 453-478, 474.</w:t>
      </w:r>
    </w:p>
  </w:footnote>
  <w:footnote w:id="35">
    <w:p w14:paraId="6BD225B2" w14:textId="7E6F6183"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103C9E" w:rsidRPr="000B2A8F">
        <w:rPr>
          <w:rFonts w:cstheme="minorHAnsi"/>
          <w:sz w:val="18"/>
          <w:szCs w:val="18"/>
        </w:rPr>
        <w:t>T</w:t>
      </w:r>
      <w:r w:rsidRPr="000B2A8F">
        <w:rPr>
          <w:rFonts w:cstheme="minorHAnsi"/>
          <w:sz w:val="18"/>
          <w:szCs w:val="18"/>
        </w:rPr>
        <w:t>he department considers that the ABS estimate of labour hire workers is preferable to HILDA data. The HILDA survey uses self-identification to classify employees as temporary agency workers, which is different from the ABS Labour Account publication</w:t>
      </w:r>
      <w:r w:rsidR="008B602D" w:rsidRPr="000B2A8F">
        <w:rPr>
          <w:rFonts w:cstheme="minorHAnsi"/>
          <w:sz w:val="18"/>
          <w:szCs w:val="18"/>
        </w:rPr>
        <w:t>,</w:t>
      </w:r>
      <w:r w:rsidRPr="000B2A8F">
        <w:rPr>
          <w:rFonts w:cstheme="minorHAnsi"/>
          <w:sz w:val="18"/>
          <w:szCs w:val="18"/>
        </w:rPr>
        <w:t xml:space="preserve"> which uses industry disaggregated data. The ABS conducted a review into Labour Hire data in 2022 which concluded that using industry disaggregated data is a better measure of the headline number of labour hire workers, as collecting labour hire information in a household survey can result in an undercount as individuals are not always able to identify that they are in a labour hire arrangement, due to employment and payment arrangements in the labour hire industry.</w:t>
      </w:r>
      <w:r w:rsidR="00125716" w:rsidRPr="000B2A8F">
        <w:rPr>
          <w:rFonts w:cstheme="minorHAnsi"/>
          <w:sz w:val="18"/>
          <w:szCs w:val="18"/>
        </w:rPr>
        <w:t xml:space="preserve"> </w:t>
      </w:r>
      <w:r w:rsidRPr="000B2A8F">
        <w:rPr>
          <w:rFonts w:cstheme="minorHAnsi"/>
          <w:sz w:val="18"/>
          <w:szCs w:val="18"/>
        </w:rPr>
        <w:t>In addition, given labour hire arrangements comprise a small proportion of overall employment in Australia (2.3</w:t>
      </w:r>
      <w:r w:rsidR="000F497A" w:rsidRPr="000B2A8F">
        <w:rPr>
          <w:rFonts w:cstheme="minorHAnsi"/>
          <w:sz w:val="18"/>
          <w:szCs w:val="18"/>
        </w:rPr>
        <w:t> </w:t>
      </w:r>
      <w:r w:rsidRPr="000B2A8F">
        <w:rPr>
          <w:rFonts w:cstheme="minorHAnsi"/>
          <w:sz w:val="18"/>
          <w:szCs w:val="18"/>
        </w:rPr>
        <w:t xml:space="preserve">per cent in June 2022), sample size concerns make it challenging to provide data at highly disaggregated levels. This is particularly the case with the HILDA labour hire data, where in 2021, just 177 respondents identified as being in a labour hire arrangement. Further, any differences in the ABS labour hire data and results from Wooden and Laβ’s paper may, in part, reflect that Wooden and Laβ use 2015 HILDA data, which is less recent </w:t>
      </w:r>
      <w:r w:rsidR="00EA567C" w:rsidRPr="000B2A8F">
        <w:rPr>
          <w:rFonts w:cstheme="minorHAnsi"/>
          <w:sz w:val="18"/>
          <w:szCs w:val="18"/>
        </w:rPr>
        <w:t>than</w:t>
      </w:r>
      <w:r w:rsidRPr="000B2A8F">
        <w:rPr>
          <w:rFonts w:cstheme="minorHAnsi"/>
          <w:sz w:val="18"/>
          <w:szCs w:val="18"/>
        </w:rPr>
        <w:t xml:space="preserve"> ABS data from June 2022 (headline figure for number of labour hire workers) or August 2022 (earnings figures).</w:t>
      </w:r>
    </w:p>
  </w:footnote>
  <w:footnote w:id="36">
    <w:p w14:paraId="77FD1B8A" w14:textId="012059F3"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BD4688" w:rsidRPr="000B2A8F">
        <w:rPr>
          <w:rFonts w:cstheme="minorHAnsi"/>
          <w:sz w:val="18"/>
          <w:szCs w:val="18"/>
        </w:rPr>
        <w:t>E</w:t>
      </w:r>
      <w:r w:rsidRPr="000B2A8F">
        <w:rPr>
          <w:rFonts w:cstheme="minorHAnsi"/>
          <w:sz w:val="18"/>
          <w:szCs w:val="18"/>
        </w:rPr>
        <w:t xml:space="preserve">vidence accepted by the Victorian Inquiry </w:t>
      </w:r>
      <w:r w:rsidR="00BD4688" w:rsidRPr="000B2A8F">
        <w:rPr>
          <w:rFonts w:cstheme="minorHAnsi"/>
          <w:sz w:val="18"/>
          <w:szCs w:val="18"/>
        </w:rPr>
        <w:t>indicated</w:t>
      </w:r>
      <w:r w:rsidRPr="000B2A8F">
        <w:rPr>
          <w:rFonts w:cstheme="minorHAnsi"/>
          <w:sz w:val="18"/>
          <w:szCs w:val="18"/>
        </w:rPr>
        <w:t xml:space="preserve"> that some labour hire providers voluntarily pay site rates</w:t>
      </w:r>
      <w:r w:rsidR="00BD4688" w:rsidRPr="000B2A8F">
        <w:rPr>
          <w:rFonts w:cstheme="minorHAnsi"/>
          <w:sz w:val="18"/>
          <w:szCs w:val="18"/>
        </w:rPr>
        <w:t xml:space="preserve"> already</w:t>
      </w:r>
      <w:r w:rsidR="00D27CE6" w:rsidRPr="000B2A8F">
        <w:rPr>
          <w:rFonts w:cstheme="minorHAnsi"/>
          <w:sz w:val="18"/>
          <w:szCs w:val="18"/>
        </w:rPr>
        <w:t>:</w:t>
      </w:r>
      <w:r w:rsidRPr="000B2A8F">
        <w:rPr>
          <w:rFonts w:cstheme="minorHAnsi"/>
          <w:sz w:val="18"/>
          <w:szCs w:val="18"/>
        </w:rPr>
        <w:t xml:space="preserve"> see</w:t>
      </w:r>
      <w:r w:rsidR="00BD4688" w:rsidRPr="000B2A8F">
        <w:rPr>
          <w:rFonts w:cstheme="minorHAnsi"/>
          <w:sz w:val="18"/>
          <w:szCs w:val="18"/>
        </w:rPr>
        <w:t> </w:t>
      </w:r>
      <w:r w:rsidR="00D27CE6" w:rsidRPr="000B2A8F">
        <w:rPr>
          <w:rFonts w:cstheme="minorHAnsi"/>
          <w:sz w:val="18"/>
          <w:szCs w:val="18"/>
        </w:rPr>
        <w:t xml:space="preserve">Victorian Inquiry Report, </w:t>
      </w:r>
      <w:r w:rsidRPr="000B2A8F">
        <w:rPr>
          <w:rFonts w:cstheme="minorHAnsi"/>
          <w:sz w:val="18"/>
          <w:szCs w:val="18"/>
        </w:rPr>
        <w:t>p 100.</w:t>
      </w:r>
    </w:p>
  </w:footnote>
  <w:footnote w:id="37">
    <w:p w14:paraId="44168354" w14:textId="77777777" w:rsidR="007075B5" w:rsidRPr="000B2A8F" w:rsidRDefault="007075B5" w:rsidP="003B36E4">
      <w:pPr>
        <w:pStyle w:val="FootnoteText"/>
        <w:rPr>
          <w:rFonts w:cstheme="minorHAnsi"/>
          <w:iCs/>
          <w:sz w:val="18"/>
          <w:szCs w:val="18"/>
        </w:rPr>
      </w:pPr>
      <w:r w:rsidRPr="000B2A8F">
        <w:rPr>
          <w:rStyle w:val="FootnoteReference"/>
          <w:rFonts w:cstheme="minorHAnsi"/>
          <w:sz w:val="18"/>
          <w:szCs w:val="18"/>
        </w:rPr>
        <w:footnoteRef/>
      </w:r>
      <w:r w:rsidRPr="000B2A8F">
        <w:rPr>
          <w:rFonts w:cstheme="minorHAnsi"/>
          <w:sz w:val="18"/>
          <w:szCs w:val="18"/>
        </w:rPr>
        <w:t xml:space="preserve"> </w:t>
      </w:r>
      <w:r w:rsidRPr="000B2A8F">
        <w:rPr>
          <w:rFonts w:cstheme="minorHAnsi"/>
          <w:sz w:val="18"/>
          <w:szCs w:val="18"/>
          <w:lang w:eastAsia="en-AU"/>
        </w:rPr>
        <w:t xml:space="preserve">ABS, </w:t>
      </w:r>
      <w:r w:rsidRPr="000B2A8F">
        <w:rPr>
          <w:rFonts w:cstheme="minorHAnsi"/>
          <w:i/>
          <w:sz w:val="18"/>
          <w:szCs w:val="18"/>
          <w:lang w:eastAsia="en-AU"/>
        </w:rPr>
        <w:t>Labour hire workers</w:t>
      </w:r>
      <w:r w:rsidRPr="000B2A8F">
        <w:rPr>
          <w:rFonts w:cstheme="minorHAnsi"/>
          <w:sz w:val="18"/>
          <w:szCs w:val="18"/>
          <w:lang w:eastAsia="en-AU"/>
        </w:rPr>
        <w:t xml:space="preserve">, using </w:t>
      </w:r>
      <w:r w:rsidRPr="000B2A8F">
        <w:rPr>
          <w:rFonts w:cstheme="minorHAnsi"/>
          <w:i/>
          <w:sz w:val="18"/>
          <w:szCs w:val="18"/>
          <w:lang w:eastAsia="en-AU"/>
        </w:rPr>
        <w:t>Characteristics of Employment, August 2022</w:t>
      </w:r>
      <w:r w:rsidRPr="000B2A8F">
        <w:rPr>
          <w:rFonts w:cstheme="minorHAnsi"/>
          <w:iCs/>
          <w:sz w:val="18"/>
          <w:szCs w:val="18"/>
          <w:lang w:eastAsia="en-AU"/>
        </w:rPr>
        <w:t>.</w:t>
      </w:r>
    </w:p>
  </w:footnote>
  <w:footnote w:id="38">
    <w:p w14:paraId="2EB913A5" w14:textId="3FCE3467"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Victorian Inquiry Report</w:t>
      </w:r>
      <w:r w:rsidR="00D95DA3" w:rsidRPr="000B2A8F">
        <w:rPr>
          <w:rFonts w:cstheme="minorHAnsi"/>
          <w:sz w:val="18"/>
          <w:szCs w:val="18"/>
        </w:rPr>
        <w:t>,</w:t>
      </w:r>
      <w:r w:rsidRPr="000B2A8F">
        <w:rPr>
          <w:rFonts w:cstheme="minorHAnsi"/>
          <w:sz w:val="18"/>
          <w:szCs w:val="18"/>
        </w:rPr>
        <w:t xml:space="preserve"> p 106.</w:t>
      </w:r>
    </w:p>
  </w:footnote>
  <w:footnote w:id="39">
    <w:p w14:paraId="0D336A86" w14:textId="27390BE7"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Ibid</w:t>
      </w:r>
      <w:r w:rsidR="005007B4" w:rsidRPr="000B2A8F">
        <w:rPr>
          <w:rFonts w:cstheme="minorHAnsi"/>
          <w:sz w:val="18"/>
          <w:szCs w:val="18"/>
        </w:rPr>
        <w:t>,</w:t>
      </w:r>
      <w:r w:rsidRPr="000B2A8F">
        <w:rPr>
          <w:rFonts w:cstheme="minorHAnsi"/>
          <w:sz w:val="18"/>
          <w:szCs w:val="18"/>
        </w:rPr>
        <w:t xml:space="preserve"> p 107, Recommendation 2.</w:t>
      </w:r>
    </w:p>
  </w:footnote>
  <w:footnote w:id="40">
    <w:p w14:paraId="3E6DD9A2" w14:textId="086E03A3"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Third Interim Report, p 33 [2.</w:t>
      </w:r>
      <w:r w:rsidR="00BB55A4" w:rsidRPr="000B2A8F">
        <w:rPr>
          <w:rFonts w:cstheme="minorHAnsi"/>
          <w:sz w:val="18"/>
          <w:szCs w:val="18"/>
        </w:rPr>
        <w:t>85</w:t>
      </w:r>
      <w:r w:rsidRPr="000B2A8F">
        <w:rPr>
          <w:rFonts w:cstheme="minorHAnsi"/>
          <w:sz w:val="18"/>
          <w:szCs w:val="18"/>
        </w:rPr>
        <w:t>].</w:t>
      </w:r>
    </w:p>
  </w:footnote>
  <w:footnote w:id="41">
    <w:p w14:paraId="7C6B74E7" w14:textId="7C08DDAC"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EPEW Report</w:t>
      </w:r>
      <w:r w:rsidR="00103C9E" w:rsidRPr="000B2A8F">
        <w:rPr>
          <w:rFonts w:cstheme="minorHAnsi"/>
          <w:sz w:val="18"/>
          <w:szCs w:val="18"/>
        </w:rPr>
        <w:t>,</w:t>
      </w:r>
      <w:r w:rsidRPr="000B2A8F">
        <w:rPr>
          <w:rFonts w:cstheme="minorHAnsi"/>
          <w:sz w:val="18"/>
          <w:szCs w:val="18"/>
        </w:rPr>
        <w:t xml:space="preserve"> p 21 [2.52].</w:t>
      </w:r>
    </w:p>
  </w:footnote>
  <w:footnote w:id="42">
    <w:p w14:paraId="4170C977" w14:textId="094A7619" w:rsidR="007075B5" w:rsidRPr="000B2A8F" w:rsidRDefault="007075B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Ibid</w:t>
      </w:r>
      <w:r w:rsidR="00103C9E" w:rsidRPr="000B2A8F">
        <w:rPr>
          <w:rFonts w:cstheme="minorHAnsi"/>
          <w:sz w:val="18"/>
          <w:szCs w:val="18"/>
        </w:rPr>
        <w:t>,</w:t>
      </w:r>
      <w:r w:rsidRPr="000B2A8F">
        <w:rPr>
          <w:rFonts w:cstheme="minorHAnsi"/>
          <w:sz w:val="18"/>
          <w:szCs w:val="18"/>
        </w:rPr>
        <w:t xml:space="preserve"> p </w:t>
      </w:r>
      <w:r w:rsidR="00E1537B" w:rsidRPr="000B2A8F">
        <w:rPr>
          <w:rFonts w:cstheme="minorHAnsi"/>
          <w:sz w:val="18"/>
          <w:szCs w:val="18"/>
        </w:rPr>
        <w:t>22</w:t>
      </w:r>
      <w:r w:rsidRPr="000B2A8F">
        <w:rPr>
          <w:rFonts w:cstheme="minorHAnsi"/>
          <w:sz w:val="18"/>
          <w:szCs w:val="18"/>
        </w:rPr>
        <w:t xml:space="preserve"> [2.</w:t>
      </w:r>
      <w:r w:rsidR="00E1537B" w:rsidRPr="000B2A8F">
        <w:rPr>
          <w:rFonts w:cstheme="minorHAnsi"/>
          <w:sz w:val="18"/>
          <w:szCs w:val="18"/>
        </w:rPr>
        <w:t>55</w:t>
      </w:r>
      <w:r w:rsidRPr="000B2A8F">
        <w:rPr>
          <w:rFonts w:cstheme="minorHAnsi"/>
          <w:sz w:val="18"/>
          <w:szCs w:val="18"/>
        </w:rPr>
        <w:t>].</w:t>
      </w:r>
    </w:p>
  </w:footnote>
  <w:footnote w:id="43">
    <w:p w14:paraId="312A94CD" w14:textId="07E58589" w:rsidR="00D100F2" w:rsidRPr="000B2A8F" w:rsidRDefault="00D100F2"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Ibid</w:t>
      </w:r>
      <w:r w:rsidR="00103C9E" w:rsidRPr="000B2A8F">
        <w:rPr>
          <w:rFonts w:cstheme="minorHAnsi"/>
          <w:sz w:val="18"/>
          <w:szCs w:val="18"/>
        </w:rPr>
        <w:t>,</w:t>
      </w:r>
      <w:r w:rsidRPr="000B2A8F">
        <w:rPr>
          <w:rFonts w:cstheme="minorHAnsi"/>
          <w:sz w:val="18"/>
          <w:szCs w:val="18"/>
        </w:rPr>
        <w:t xml:space="preserve"> p 23 [1.6].</w:t>
      </w:r>
    </w:p>
  </w:footnote>
  <w:footnote w:id="44">
    <w:p w14:paraId="0F7F24CD" w14:textId="77777777" w:rsidR="003A1496" w:rsidRPr="000B2A8F" w:rsidRDefault="003A1496" w:rsidP="003A1496">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Or, for public sector employers, a public sector collective employment instrument described in the Bill.</w:t>
      </w:r>
    </w:p>
  </w:footnote>
  <w:footnote w:id="45">
    <w:p w14:paraId="44EDAE2A" w14:textId="77777777" w:rsidR="000816CB" w:rsidRPr="000B2A8F" w:rsidRDefault="000816CB" w:rsidP="000816CB">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Defined in section 18 of the </w:t>
      </w:r>
      <w:r w:rsidRPr="000B2A8F">
        <w:rPr>
          <w:rFonts w:cstheme="minorHAnsi"/>
          <w:i/>
          <w:iCs/>
          <w:sz w:val="18"/>
          <w:szCs w:val="18"/>
        </w:rPr>
        <w:t>Fair Work Act 2009</w:t>
      </w:r>
      <w:r w:rsidRPr="000B2A8F">
        <w:rPr>
          <w:rFonts w:cstheme="minorHAnsi"/>
          <w:sz w:val="18"/>
          <w:szCs w:val="18"/>
        </w:rPr>
        <w:t>, and includes incentive-based payments and bonuses, loadings, monetary allowances, overtime or penalty rates, and other separately identifiable amounts.</w:t>
      </w:r>
    </w:p>
  </w:footnote>
  <w:footnote w:id="46">
    <w:p w14:paraId="50099295" w14:textId="7066102A" w:rsidR="00AE4775" w:rsidRPr="000B2A8F" w:rsidRDefault="00AE477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Pr="000B2A8F">
        <w:rPr>
          <w:rFonts w:cstheme="minorHAnsi"/>
          <w:sz w:val="18"/>
          <w:szCs w:val="18"/>
        </w:rPr>
        <w:fldChar w:fldCharType="begin"/>
      </w:r>
      <w:r w:rsidRPr="000B2A8F">
        <w:rPr>
          <w:rFonts w:cstheme="minorHAnsi"/>
          <w:sz w:val="18"/>
          <w:szCs w:val="18"/>
        </w:rPr>
        <w:fldChar w:fldCharType="separate"/>
      </w:r>
      <w:r w:rsidRPr="000B2A8F">
        <w:rPr>
          <w:rStyle w:val="Hyperlink"/>
          <w:rFonts w:cstheme="minorHAnsi"/>
          <w:color w:val="auto"/>
          <w:sz w:val="18"/>
          <w:szCs w:val="18"/>
        </w:rPr>
        <w:t>DEWR – Same Job, Same Pay Consultation Paper</w:t>
      </w:r>
      <w:r w:rsidRPr="000B2A8F">
        <w:rPr>
          <w:rFonts w:cstheme="minorHAnsi"/>
          <w:sz w:val="18"/>
          <w:szCs w:val="18"/>
        </w:rPr>
        <w:fldChar w:fldCharType="end"/>
      </w:r>
      <w:r w:rsidRPr="000B2A8F">
        <w:rPr>
          <w:rFonts w:cstheme="minorHAnsi"/>
          <w:sz w:val="18"/>
          <w:szCs w:val="18"/>
        </w:rPr>
        <w:t xml:space="preserve">Australian Government, </w:t>
      </w:r>
      <w:r w:rsidRPr="000B2A8F">
        <w:rPr>
          <w:rFonts w:cstheme="minorHAnsi"/>
          <w:i/>
          <w:iCs/>
          <w:sz w:val="18"/>
          <w:szCs w:val="18"/>
        </w:rPr>
        <w:t>Same Job, Same Pay consultation paper</w:t>
      </w:r>
      <w:r w:rsidRPr="000B2A8F">
        <w:rPr>
          <w:rFonts w:cstheme="minorHAnsi"/>
          <w:sz w:val="18"/>
          <w:szCs w:val="18"/>
        </w:rPr>
        <w:t xml:space="preserve"> (April 2023) (Consultation Paper)</w:t>
      </w:r>
      <w:r w:rsidR="001330FF" w:rsidRPr="000B2A8F">
        <w:rPr>
          <w:rFonts w:cstheme="minorHAnsi"/>
          <w:sz w:val="18"/>
          <w:szCs w:val="18"/>
        </w:rPr>
        <w:t>,</w:t>
      </w:r>
      <w:r w:rsidRPr="000B2A8F">
        <w:rPr>
          <w:rFonts w:cstheme="minorHAnsi"/>
          <w:sz w:val="18"/>
          <w:szCs w:val="18"/>
        </w:rPr>
        <w:t xml:space="preserve"> pp 12-3.</w:t>
      </w:r>
    </w:p>
  </w:footnote>
  <w:footnote w:id="47">
    <w:p w14:paraId="1A492E01" w14:textId="4FAADED3" w:rsidR="00AE4775" w:rsidRPr="000B2A8F" w:rsidRDefault="00AE477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F912F5" w:rsidRPr="000B2A8F">
        <w:rPr>
          <w:rFonts w:cstheme="minorHAnsi"/>
          <w:sz w:val="18"/>
          <w:szCs w:val="18"/>
        </w:rPr>
        <w:t>D</w:t>
      </w:r>
      <w:r w:rsidRPr="000B2A8F">
        <w:rPr>
          <w:rFonts w:cstheme="minorHAnsi"/>
          <w:sz w:val="18"/>
          <w:szCs w:val="18"/>
        </w:rPr>
        <w:t>ata limitations mentioned previously may mean these figures are higher than what can be estimated accurately.</w:t>
      </w:r>
    </w:p>
  </w:footnote>
  <w:footnote w:id="48">
    <w:p w14:paraId="0476A7F8" w14:textId="77777777" w:rsidR="00AE4775" w:rsidRPr="000B2A8F" w:rsidRDefault="00AE477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Hepworth, K, 2020, </w:t>
      </w:r>
      <w:r w:rsidRPr="000B2A8F">
        <w:rPr>
          <w:rFonts w:cstheme="minorHAnsi"/>
          <w:i/>
          <w:iCs/>
          <w:sz w:val="18"/>
          <w:szCs w:val="18"/>
        </w:rPr>
        <w:t>Labour Hire and Contracting Across the ASX100</w:t>
      </w:r>
      <w:r w:rsidRPr="000B2A8F">
        <w:rPr>
          <w:rFonts w:cstheme="minorHAnsi"/>
          <w:sz w:val="18"/>
          <w:szCs w:val="18"/>
        </w:rPr>
        <w:t>, Australasian Centre for Corporate Responsibility, &lt;www.accr.org.au/research/labour-hire-contracting-across-the-asx100/&gt;.</w:t>
      </w:r>
    </w:p>
  </w:footnote>
  <w:footnote w:id="49">
    <w:p w14:paraId="57169322" w14:textId="2BCC5E68" w:rsidR="00AE4775" w:rsidRPr="000B2A8F" w:rsidRDefault="00AE477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ABS, </w:t>
      </w:r>
      <w:r w:rsidRPr="000B2A8F">
        <w:rPr>
          <w:rFonts w:cstheme="minorHAnsi"/>
          <w:i/>
          <w:iCs/>
          <w:sz w:val="18"/>
          <w:szCs w:val="18"/>
        </w:rPr>
        <w:t>Counts of Australian Businesses, including Entries and Exits, July 2018 – June 2022</w:t>
      </w:r>
      <w:r w:rsidRPr="000B2A8F">
        <w:rPr>
          <w:rFonts w:cstheme="minorHAnsi"/>
          <w:sz w:val="18"/>
          <w:szCs w:val="18"/>
        </w:rPr>
        <w:t xml:space="preserve"> (see ANZSIC code: 7212 Labour Supply Services). Note, if a business is captured by this proposal but is </w:t>
      </w:r>
      <w:r w:rsidRPr="000B2A8F">
        <w:rPr>
          <w:rFonts w:cstheme="minorHAnsi"/>
          <w:i/>
          <w:iCs/>
          <w:sz w:val="18"/>
          <w:szCs w:val="18"/>
        </w:rPr>
        <w:t>not</w:t>
      </w:r>
      <w:r w:rsidRPr="000B2A8F">
        <w:rPr>
          <w:rFonts w:cstheme="minorHAnsi"/>
          <w:sz w:val="18"/>
          <w:szCs w:val="18"/>
        </w:rPr>
        <w:t xml:space="preserve"> counted by the ABS under </w:t>
      </w:r>
      <w:r w:rsidR="00434885" w:rsidRPr="000B2A8F">
        <w:rPr>
          <w:rFonts w:cstheme="minorHAnsi"/>
          <w:sz w:val="18"/>
          <w:szCs w:val="18"/>
        </w:rPr>
        <w:t>‘</w:t>
      </w:r>
      <w:r w:rsidRPr="000B2A8F">
        <w:rPr>
          <w:rFonts w:cstheme="minorHAnsi"/>
          <w:sz w:val="18"/>
          <w:szCs w:val="18"/>
        </w:rPr>
        <w:t>ANZSIC code: 7212 Labour Supply Services</w:t>
      </w:r>
      <w:r w:rsidR="00434885" w:rsidRPr="000B2A8F">
        <w:rPr>
          <w:rFonts w:cstheme="minorHAnsi"/>
          <w:sz w:val="18"/>
          <w:szCs w:val="18"/>
        </w:rPr>
        <w:t>’</w:t>
      </w:r>
      <w:r w:rsidRPr="000B2A8F">
        <w:rPr>
          <w:rFonts w:cstheme="minorHAnsi"/>
          <w:sz w:val="18"/>
          <w:szCs w:val="18"/>
        </w:rPr>
        <w:t>, there may be discrepancies with this figure.</w:t>
      </w:r>
    </w:p>
  </w:footnote>
  <w:footnote w:id="50">
    <w:p w14:paraId="4B24B2CF" w14:textId="5223476D" w:rsidR="0004376F" w:rsidRPr="000B2A8F" w:rsidRDefault="0004376F"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7C3E42" w:rsidRPr="000B2A8F">
        <w:rPr>
          <w:rFonts w:cstheme="minorHAnsi"/>
          <w:sz w:val="18"/>
          <w:szCs w:val="18"/>
        </w:rPr>
        <w:t xml:space="preserve">ABS, </w:t>
      </w:r>
      <w:r w:rsidR="007C3E42" w:rsidRPr="000B2A8F">
        <w:rPr>
          <w:rFonts w:cstheme="minorHAnsi"/>
          <w:i/>
          <w:iCs/>
          <w:sz w:val="18"/>
          <w:szCs w:val="18"/>
        </w:rPr>
        <w:t>Counts of Australian Businesses</w:t>
      </w:r>
      <w:r w:rsidR="007C3E42" w:rsidRPr="000B2A8F">
        <w:rPr>
          <w:rFonts w:cstheme="minorHAnsi"/>
          <w:sz w:val="18"/>
          <w:szCs w:val="18"/>
        </w:rPr>
        <w:t xml:space="preserve">, </w:t>
      </w:r>
      <w:r w:rsidR="007C3E42" w:rsidRPr="000B2A8F">
        <w:rPr>
          <w:rFonts w:cstheme="minorHAnsi"/>
          <w:i/>
          <w:iCs/>
          <w:sz w:val="18"/>
          <w:szCs w:val="18"/>
        </w:rPr>
        <w:t>June 2022</w:t>
      </w:r>
      <w:r w:rsidR="00434885" w:rsidRPr="000B2A8F">
        <w:rPr>
          <w:rFonts w:cstheme="minorHAnsi"/>
          <w:sz w:val="18"/>
          <w:szCs w:val="18"/>
        </w:rPr>
        <w:t>.</w:t>
      </w:r>
    </w:p>
  </w:footnote>
  <w:footnote w:id="51">
    <w:p w14:paraId="1817687B" w14:textId="77777777" w:rsidR="00AE4775" w:rsidRPr="000B2A8F" w:rsidRDefault="00AE477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ABS, </w:t>
      </w:r>
      <w:r w:rsidRPr="000B2A8F">
        <w:rPr>
          <w:rFonts w:cstheme="minorHAnsi"/>
          <w:i/>
          <w:iCs/>
          <w:sz w:val="18"/>
          <w:szCs w:val="18"/>
        </w:rPr>
        <w:t>Labour hire workers, June 2022</w:t>
      </w:r>
      <w:r w:rsidRPr="000B2A8F">
        <w:rPr>
          <w:rFonts w:cstheme="minorHAnsi"/>
          <w:sz w:val="18"/>
          <w:szCs w:val="18"/>
        </w:rPr>
        <w:t xml:space="preserve">; using </w:t>
      </w:r>
      <w:r w:rsidRPr="000B2A8F">
        <w:rPr>
          <w:rFonts w:cstheme="minorHAnsi"/>
          <w:i/>
          <w:iCs/>
          <w:sz w:val="18"/>
          <w:szCs w:val="18"/>
        </w:rPr>
        <w:t>Labour Account, June 2022</w:t>
      </w:r>
      <w:r w:rsidRPr="000B2A8F">
        <w:rPr>
          <w:rFonts w:cstheme="minorHAnsi"/>
          <w:sz w:val="18"/>
          <w:szCs w:val="18"/>
        </w:rPr>
        <w:t>.</w:t>
      </w:r>
    </w:p>
  </w:footnote>
  <w:footnote w:id="52">
    <w:p w14:paraId="1A8AE70E" w14:textId="77777777" w:rsidR="00783630" w:rsidRPr="000B2A8F" w:rsidRDefault="00783630" w:rsidP="003B36E4">
      <w:pPr>
        <w:spacing w:after="0" w:line="240" w:lineRule="auto"/>
        <w:rPr>
          <w:rFonts w:cstheme="minorHAnsi"/>
          <w:sz w:val="18"/>
          <w:szCs w:val="18"/>
        </w:rPr>
      </w:pPr>
      <w:r w:rsidRPr="000B2A8F">
        <w:rPr>
          <w:rFonts w:cstheme="minorHAnsi"/>
          <w:sz w:val="18"/>
          <w:szCs w:val="18"/>
          <w:vertAlign w:val="superscript"/>
        </w:rPr>
        <w:footnoteRef/>
      </w:r>
      <w:r w:rsidRPr="000B2A8F">
        <w:rPr>
          <w:rFonts w:cstheme="minorHAnsi"/>
          <w:sz w:val="18"/>
          <w:szCs w:val="18"/>
          <w:vertAlign w:val="superscript"/>
        </w:rPr>
        <w:t xml:space="preserve"> </w:t>
      </w:r>
      <w:r w:rsidRPr="000B2A8F">
        <w:rPr>
          <w:rFonts w:cstheme="minorHAnsi"/>
          <w:sz w:val="18"/>
          <w:szCs w:val="18"/>
        </w:rPr>
        <w:t xml:space="preserve">Clun, Rachel, ‘BHP claims proposed labour-hire policy would cost company $1.3b per year’, </w:t>
      </w:r>
      <w:r w:rsidRPr="000B2A8F">
        <w:rPr>
          <w:rFonts w:cstheme="minorHAnsi"/>
          <w:i/>
          <w:iCs/>
          <w:sz w:val="18"/>
          <w:szCs w:val="18"/>
        </w:rPr>
        <w:t xml:space="preserve">The Sydney Morning Herald, </w:t>
      </w:r>
      <w:r w:rsidRPr="000B2A8F">
        <w:rPr>
          <w:rFonts w:cstheme="minorHAnsi"/>
          <w:sz w:val="18"/>
          <w:szCs w:val="18"/>
        </w:rPr>
        <w:t>22 May 2023.</w:t>
      </w:r>
    </w:p>
  </w:footnote>
  <w:footnote w:id="53">
    <w:p w14:paraId="68709157" w14:textId="56868FEA" w:rsidR="00945E24" w:rsidRPr="000B2A8F" w:rsidRDefault="00945E24"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Costings </w:t>
      </w:r>
      <w:r w:rsidR="0022145C" w:rsidRPr="000B2A8F">
        <w:rPr>
          <w:rFonts w:cstheme="minorHAnsi"/>
          <w:sz w:val="18"/>
          <w:szCs w:val="18"/>
        </w:rPr>
        <w:t>have been based on the default 3-month surge exemption period, noting the Fair Work Commission’s capacity to extend or reduce that exemption period</w:t>
      </w:r>
      <w:r w:rsidR="00D4427D" w:rsidRPr="000B2A8F">
        <w:rPr>
          <w:rFonts w:cstheme="minorHAnsi"/>
          <w:sz w:val="18"/>
          <w:szCs w:val="18"/>
        </w:rPr>
        <w:t xml:space="preserve"> in limited circumstances</w:t>
      </w:r>
      <w:r w:rsidR="0022145C" w:rsidRPr="000B2A8F">
        <w:rPr>
          <w:rFonts w:cstheme="minorHAnsi"/>
          <w:sz w:val="18"/>
          <w:szCs w:val="18"/>
        </w:rPr>
        <w:t xml:space="preserve">. </w:t>
      </w:r>
    </w:p>
  </w:footnote>
  <w:footnote w:id="54">
    <w:p w14:paraId="38845C79" w14:textId="77777777" w:rsidR="009B30C2" w:rsidRPr="000B2A8F" w:rsidRDefault="009B30C2" w:rsidP="009B30C2">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Victorian Inquiry Report, p 100.</w:t>
      </w:r>
    </w:p>
  </w:footnote>
  <w:footnote w:id="55">
    <w:p w14:paraId="24F7BAF6" w14:textId="77777777" w:rsidR="0090170F" w:rsidRPr="000B2A8F" w:rsidRDefault="0090170F" w:rsidP="009B30C2">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OIA, </w:t>
      </w:r>
      <w:r w:rsidRPr="000B2A8F">
        <w:rPr>
          <w:rFonts w:cstheme="minorHAnsi"/>
          <w:i/>
          <w:sz w:val="18"/>
          <w:szCs w:val="18"/>
        </w:rPr>
        <w:t>Regulatory Burden Measurement Framework</w:t>
      </w:r>
      <w:r w:rsidRPr="000B2A8F">
        <w:rPr>
          <w:rFonts w:cstheme="minorHAnsi"/>
          <w:sz w:val="18"/>
          <w:szCs w:val="18"/>
        </w:rPr>
        <w:t xml:space="preserve"> (25 May 2023) &lt;https://oia.pmc.gov.au/resources/guidance-assessing-impacts/regulatory-burden-measurement-framework&gt;.</w:t>
      </w:r>
    </w:p>
  </w:footnote>
  <w:footnote w:id="56">
    <w:p w14:paraId="3024E33E" w14:textId="77777777" w:rsidR="00361DB7" w:rsidRPr="000B2A8F" w:rsidRDefault="00361DB7" w:rsidP="00361DB7">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ABS, </w:t>
      </w:r>
      <w:r w:rsidRPr="000B2A8F">
        <w:rPr>
          <w:rFonts w:cstheme="minorHAnsi"/>
          <w:i/>
          <w:iCs/>
          <w:sz w:val="18"/>
          <w:szCs w:val="18"/>
        </w:rPr>
        <w:t>Counts of Australian Businesses</w:t>
      </w:r>
      <w:r w:rsidRPr="000B2A8F">
        <w:rPr>
          <w:rFonts w:cstheme="minorHAnsi"/>
          <w:sz w:val="18"/>
          <w:szCs w:val="18"/>
        </w:rPr>
        <w:t xml:space="preserve">, </w:t>
      </w:r>
      <w:r w:rsidRPr="000B2A8F">
        <w:rPr>
          <w:rFonts w:cstheme="minorHAnsi"/>
          <w:i/>
          <w:iCs/>
          <w:sz w:val="18"/>
          <w:szCs w:val="18"/>
        </w:rPr>
        <w:t>June 2022</w:t>
      </w:r>
      <w:r w:rsidRPr="000B2A8F">
        <w:rPr>
          <w:rFonts w:cstheme="minorHAnsi"/>
          <w:sz w:val="18"/>
          <w:szCs w:val="18"/>
        </w:rPr>
        <w:t>.</w:t>
      </w:r>
    </w:p>
  </w:footnote>
  <w:footnote w:id="57">
    <w:p w14:paraId="38A4D3A1" w14:textId="6C905139" w:rsidR="00AE4775" w:rsidRPr="000B2A8F" w:rsidRDefault="00AE477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ABS, </w:t>
      </w:r>
      <w:r w:rsidRPr="000B2A8F">
        <w:rPr>
          <w:rFonts w:cstheme="minorHAnsi"/>
          <w:i/>
          <w:sz w:val="18"/>
          <w:szCs w:val="18"/>
        </w:rPr>
        <w:t>Australian National Accounts: National Income, Expenditure and Product, March 2023</w:t>
      </w:r>
      <w:r w:rsidRPr="000B2A8F">
        <w:rPr>
          <w:rFonts w:cstheme="minorHAnsi"/>
          <w:sz w:val="18"/>
          <w:szCs w:val="18"/>
        </w:rPr>
        <w:t>.</w:t>
      </w:r>
    </w:p>
  </w:footnote>
  <w:footnote w:id="58">
    <w:p w14:paraId="2657A347" w14:textId="5DF023A1" w:rsidR="00AE4775" w:rsidRPr="000B2A8F" w:rsidRDefault="00AE477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4B1B23" w:rsidRPr="000B2A8F">
        <w:rPr>
          <w:rFonts w:cstheme="minorHAnsi"/>
          <w:sz w:val="18"/>
          <w:szCs w:val="18"/>
        </w:rPr>
        <w:t>Victorian Inquiry Report</w:t>
      </w:r>
      <w:r w:rsidRPr="000B2A8F">
        <w:rPr>
          <w:rFonts w:cstheme="minorHAnsi"/>
          <w:sz w:val="18"/>
          <w:szCs w:val="18"/>
        </w:rPr>
        <w:t>, p 100.</w:t>
      </w:r>
    </w:p>
  </w:footnote>
  <w:footnote w:id="59">
    <w:p w14:paraId="578FFCFC" w14:textId="587F5916" w:rsidR="00AE4775" w:rsidRPr="000B2A8F" w:rsidRDefault="00AE477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821BB1" w:rsidRPr="000B2A8F">
        <w:rPr>
          <w:rFonts w:cstheme="minorHAnsi"/>
          <w:sz w:val="18"/>
          <w:szCs w:val="18"/>
        </w:rPr>
        <w:t>Third Interim Report</w:t>
      </w:r>
      <w:r w:rsidRPr="000B2A8F">
        <w:rPr>
          <w:rFonts w:cstheme="minorHAnsi"/>
          <w:sz w:val="18"/>
          <w:szCs w:val="18"/>
        </w:rPr>
        <w:t>, p</w:t>
      </w:r>
      <w:r w:rsidR="00821BB1" w:rsidRPr="000B2A8F">
        <w:rPr>
          <w:rFonts w:cstheme="minorHAnsi"/>
          <w:sz w:val="18"/>
          <w:szCs w:val="18"/>
        </w:rPr>
        <w:t>p</w:t>
      </w:r>
      <w:r w:rsidRPr="000B2A8F">
        <w:rPr>
          <w:rFonts w:cstheme="minorHAnsi"/>
          <w:sz w:val="18"/>
          <w:szCs w:val="18"/>
        </w:rPr>
        <w:t xml:space="preserve"> 27</w:t>
      </w:r>
      <w:r w:rsidR="00821BB1" w:rsidRPr="000B2A8F">
        <w:rPr>
          <w:rFonts w:cstheme="minorHAnsi"/>
          <w:sz w:val="18"/>
          <w:szCs w:val="18"/>
        </w:rPr>
        <w:t>-8</w:t>
      </w:r>
      <w:r w:rsidRPr="000B2A8F">
        <w:rPr>
          <w:rFonts w:cstheme="minorHAnsi"/>
          <w:sz w:val="18"/>
          <w:szCs w:val="18"/>
        </w:rPr>
        <w:t>.</w:t>
      </w:r>
    </w:p>
  </w:footnote>
  <w:footnote w:id="60">
    <w:p w14:paraId="109DAFE0" w14:textId="1DE82D29" w:rsidR="00AE4775" w:rsidRPr="000B2A8F" w:rsidRDefault="00AE477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Noting the distribution of these increased wages will not be equal for affected workers, and noting the data limitations with respect to the number of workers who may be captured by this proposal (which affects the calculation of the overall wages increase and the value of that increase when divided equally across affected workers).</w:t>
      </w:r>
    </w:p>
  </w:footnote>
  <w:footnote w:id="61">
    <w:p w14:paraId="0C70CB57" w14:textId="77777777" w:rsidR="00AE4775" w:rsidRPr="000B2A8F" w:rsidRDefault="00AE477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ABS,</w:t>
      </w:r>
      <w:r w:rsidRPr="000B2A8F">
        <w:rPr>
          <w:rFonts w:cstheme="minorHAnsi"/>
          <w:i/>
          <w:iCs/>
          <w:sz w:val="18"/>
          <w:szCs w:val="18"/>
        </w:rPr>
        <w:t> Labour Hire Workers, June 2022, using Characteristics of Employment</w:t>
      </w:r>
      <w:r w:rsidRPr="000B2A8F">
        <w:rPr>
          <w:rFonts w:cstheme="minorHAnsi"/>
          <w:sz w:val="18"/>
          <w:szCs w:val="18"/>
        </w:rPr>
        <w:t xml:space="preserve">, </w:t>
      </w:r>
      <w:r w:rsidRPr="000B2A8F">
        <w:rPr>
          <w:rFonts w:cstheme="minorHAnsi"/>
          <w:i/>
          <w:iCs/>
          <w:sz w:val="18"/>
          <w:szCs w:val="18"/>
        </w:rPr>
        <w:t>August 2022</w:t>
      </w:r>
      <w:r w:rsidRPr="000B2A8F">
        <w:rPr>
          <w:rFonts w:cstheme="minorHAnsi"/>
          <w:sz w:val="18"/>
          <w:szCs w:val="18"/>
        </w:rPr>
        <w:t>.</w:t>
      </w:r>
    </w:p>
  </w:footnote>
  <w:footnote w:id="62">
    <w:p w14:paraId="5E358D77" w14:textId="4A95C482" w:rsidR="00AE4775" w:rsidRPr="000B2A8F" w:rsidRDefault="00AE477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D73373" w:rsidRPr="000B2A8F">
        <w:rPr>
          <w:rFonts w:cstheme="minorHAnsi"/>
          <w:sz w:val="18"/>
          <w:szCs w:val="18"/>
        </w:rPr>
        <w:t xml:space="preserve">See, </w:t>
      </w:r>
      <w:r w:rsidR="00D467FF" w:rsidRPr="000B2A8F">
        <w:rPr>
          <w:rFonts w:cstheme="minorHAnsi"/>
          <w:sz w:val="18"/>
          <w:szCs w:val="18"/>
        </w:rPr>
        <w:t>e.g.</w:t>
      </w:r>
      <w:r w:rsidR="00D73373" w:rsidRPr="000B2A8F">
        <w:rPr>
          <w:rFonts w:cstheme="minorHAnsi"/>
          <w:sz w:val="18"/>
          <w:szCs w:val="18"/>
        </w:rPr>
        <w:t xml:space="preserve">, </w:t>
      </w:r>
      <w:r w:rsidR="002A6036" w:rsidRPr="000B2A8F">
        <w:rPr>
          <w:rFonts w:cstheme="minorHAnsi"/>
          <w:sz w:val="18"/>
          <w:szCs w:val="18"/>
        </w:rPr>
        <w:t>Third Interim Report,</w:t>
      </w:r>
      <w:r w:rsidRPr="000B2A8F">
        <w:rPr>
          <w:rFonts w:cstheme="minorHAnsi"/>
          <w:sz w:val="18"/>
          <w:szCs w:val="18"/>
        </w:rPr>
        <w:t xml:space="preserve"> p 72 </w:t>
      </w:r>
      <w:r w:rsidR="00D73373" w:rsidRPr="000B2A8F">
        <w:rPr>
          <w:rFonts w:cstheme="minorHAnsi"/>
          <w:sz w:val="18"/>
          <w:szCs w:val="18"/>
        </w:rPr>
        <w:t>[</w:t>
      </w:r>
      <w:r w:rsidRPr="000B2A8F">
        <w:rPr>
          <w:rFonts w:cstheme="minorHAnsi"/>
          <w:sz w:val="18"/>
          <w:szCs w:val="18"/>
        </w:rPr>
        <w:t>4.43</w:t>
      </w:r>
      <w:r w:rsidR="00D73373" w:rsidRPr="000B2A8F">
        <w:rPr>
          <w:rFonts w:cstheme="minorHAnsi"/>
          <w:sz w:val="18"/>
          <w:szCs w:val="18"/>
        </w:rPr>
        <w:t>]</w:t>
      </w:r>
      <w:r w:rsidRPr="000B2A8F">
        <w:rPr>
          <w:rFonts w:cstheme="minorHAnsi"/>
          <w:sz w:val="18"/>
          <w:szCs w:val="18"/>
        </w:rPr>
        <w:t>.</w:t>
      </w:r>
      <w:r w:rsidRPr="000B2A8F" w:rsidDel="00F87768">
        <w:rPr>
          <w:rFonts w:cstheme="minorHAnsi"/>
          <w:sz w:val="18"/>
          <w:szCs w:val="18"/>
          <w:highlight w:val="yellow"/>
        </w:rPr>
        <w:t xml:space="preserve"> </w:t>
      </w:r>
    </w:p>
  </w:footnote>
  <w:footnote w:id="63">
    <w:p w14:paraId="666CE269" w14:textId="7F551BCF" w:rsidR="00716983" w:rsidRPr="000B2A8F" w:rsidRDefault="00716983">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122A90" w:rsidRPr="000B2A8F">
        <w:rPr>
          <w:rFonts w:cstheme="minorHAnsi"/>
          <w:sz w:val="18"/>
          <w:szCs w:val="18"/>
        </w:rPr>
        <w:t xml:space="preserve">ABS, </w:t>
      </w:r>
      <w:r w:rsidR="00122A90" w:rsidRPr="00D0307B">
        <w:rPr>
          <w:rFonts w:cstheme="minorHAnsi"/>
          <w:i/>
          <w:iCs/>
          <w:sz w:val="18"/>
          <w:szCs w:val="18"/>
        </w:rPr>
        <w:t>Labour Hire Workers, June 2022</w:t>
      </w:r>
      <w:r w:rsidR="00122A90" w:rsidRPr="000B2A8F">
        <w:rPr>
          <w:rFonts w:cstheme="minorHAnsi"/>
          <w:sz w:val="18"/>
          <w:szCs w:val="18"/>
        </w:rPr>
        <w:t xml:space="preserve">, using </w:t>
      </w:r>
      <w:r w:rsidR="00122A90" w:rsidRPr="00D0307B">
        <w:rPr>
          <w:rFonts w:cstheme="minorHAnsi"/>
          <w:i/>
          <w:iCs/>
          <w:sz w:val="18"/>
          <w:szCs w:val="18"/>
        </w:rPr>
        <w:t>Jobs in Australia, 2019-20</w:t>
      </w:r>
      <w:r w:rsidR="00122A90" w:rsidRPr="000B2A8F">
        <w:rPr>
          <w:rFonts w:cstheme="minorHAnsi"/>
          <w:sz w:val="18"/>
          <w:szCs w:val="18"/>
        </w:rPr>
        <w:t>.</w:t>
      </w:r>
    </w:p>
  </w:footnote>
  <w:footnote w:id="64">
    <w:p w14:paraId="23F1E2BE" w14:textId="5B29F352" w:rsidR="00AE4775" w:rsidRPr="000B2A8F" w:rsidRDefault="00AE477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Noting data is limited with respect to identifying the number of </w:t>
      </w:r>
      <w:r w:rsidR="00C66F3A" w:rsidRPr="000B2A8F">
        <w:rPr>
          <w:rFonts w:cstheme="minorHAnsi"/>
          <w:sz w:val="18"/>
          <w:szCs w:val="18"/>
        </w:rPr>
        <w:t>Indigenous</w:t>
      </w:r>
      <w:r w:rsidRPr="000B2A8F">
        <w:rPr>
          <w:rFonts w:cstheme="minorHAnsi"/>
          <w:sz w:val="18"/>
          <w:szCs w:val="18"/>
        </w:rPr>
        <w:t xml:space="preserve"> Australians who may be engaged as labour hire workers and who may be impacted by the proposal.</w:t>
      </w:r>
    </w:p>
  </w:footnote>
  <w:footnote w:id="65">
    <w:p w14:paraId="03528C4B" w14:textId="32C8965B" w:rsidR="00AE4775" w:rsidRPr="000B2A8F" w:rsidRDefault="00AE4775" w:rsidP="003B36E4">
      <w:pPr>
        <w:pStyle w:val="FootnoteText"/>
        <w:rPr>
          <w:rFonts w:cstheme="minorHAnsi"/>
          <w:i/>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AB3CE9" w:rsidRPr="000B2A8F">
        <w:rPr>
          <w:rFonts w:cstheme="minorHAnsi"/>
          <w:sz w:val="18"/>
          <w:szCs w:val="18"/>
        </w:rPr>
        <w:t>Directive 2008/104/EC of the European Parliament and of the Council of 19 November 2008 on temporary agency work</w:t>
      </w:r>
      <w:r w:rsidRPr="000B2A8F">
        <w:rPr>
          <w:rFonts w:cstheme="minorHAnsi"/>
          <w:iCs/>
          <w:sz w:val="18"/>
          <w:szCs w:val="18"/>
        </w:rPr>
        <w:t>.</w:t>
      </w:r>
    </w:p>
  </w:footnote>
  <w:footnote w:id="66">
    <w:p w14:paraId="00C0B13B" w14:textId="72C28C08" w:rsidR="00AE4775" w:rsidRPr="000B2A8F" w:rsidRDefault="00AE477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1E0596" w:rsidRPr="000B2A8F">
        <w:rPr>
          <w:rFonts w:cstheme="minorHAnsi"/>
          <w:sz w:val="18"/>
          <w:szCs w:val="18"/>
        </w:rPr>
        <w:t xml:space="preserve">See, e.g., </w:t>
      </w:r>
      <w:r w:rsidR="007D14C8" w:rsidRPr="000B2A8F">
        <w:rPr>
          <w:rFonts w:cstheme="minorHAnsi"/>
          <w:noProof/>
          <w:sz w:val="18"/>
          <w:szCs w:val="18"/>
        </w:rPr>
        <w:t>OECD</w:t>
      </w:r>
      <w:r w:rsidRPr="000B2A8F">
        <w:rPr>
          <w:rFonts w:cstheme="minorHAnsi"/>
          <w:noProof/>
          <w:sz w:val="18"/>
          <w:szCs w:val="18"/>
        </w:rPr>
        <w:t xml:space="preserve">, </w:t>
      </w:r>
      <w:r w:rsidRPr="000B2A8F">
        <w:rPr>
          <w:rFonts w:cstheme="minorHAnsi"/>
          <w:i/>
          <w:sz w:val="18"/>
          <w:szCs w:val="18"/>
        </w:rPr>
        <w:t>Detailed description of employment protection legislation, 2012-2013</w:t>
      </w:r>
      <w:r w:rsidRPr="000B2A8F">
        <w:rPr>
          <w:rFonts w:cstheme="minorHAnsi"/>
          <w:noProof/>
          <w:sz w:val="18"/>
          <w:szCs w:val="18"/>
        </w:rPr>
        <w:t xml:space="preserve"> (2013)</w:t>
      </w:r>
      <w:r w:rsidR="001E0596" w:rsidRPr="000B2A8F">
        <w:rPr>
          <w:rFonts w:cstheme="minorHAnsi"/>
          <w:noProof/>
          <w:sz w:val="18"/>
          <w:szCs w:val="18"/>
        </w:rPr>
        <w:t xml:space="preserve">; </w:t>
      </w:r>
      <w:r w:rsidR="00C97798" w:rsidRPr="000B2A8F">
        <w:rPr>
          <w:rFonts w:cstheme="minorHAnsi"/>
          <w:noProof/>
          <w:sz w:val="18"/>
          <w:szCs w:val="18"/>
        </w:rPr>
        <w:t xml:space="preserve">European Commission, </w:t>
      </w:r>
      <w:r w:rsidR="00C97798" w:rsidRPr="000B2A8F">
        <w:rPr>
          <w:rFonts w:cstheme="minorHAnsi"/>
          <w:i/>
          <w:iCs/>
          <w:noProof/>
          <w:sz w:val="18"/>
          <w:szCs w:val="18"/>
        </w:rPr>
        <w:t>Report from the Commission to the European Parliament, the Council, the European Economic and Social Committee and the Committee of the Regions on the application of Directive 2008/104/EC on temporary agency work</w:t>
      </w:r>
      <w:r w:rsidR="00C97798" w:rsidRPr="000B2A8F">
        <w:rPr>
          <w:rFonts w:cstheme="minorHAnsi"/>
          <w:noProof/>
          <w:sz w:val="18"/>
          <w:szCs w:val="18"/>
        </w:rPr>
        <w:t xml:space="preserve"> (2014) 4.2.</w:t>
      </w:r>
    </w:p>
  </w:footnote>
  <w:footnote w:id="67">
    <w:p w14:paraId="152829F7" w14:textId="7BC0281C" w:rsidR="00AE4775" w:rsidRPr="000B2A8F" w:rsidRDefault="00AE4775" w:rsidP="003B36E4">
      <w:pPr>
        <w:pStyle w:val="FootnoteText"/>
        <w:rPr>
          <w:rFonts w:cstheme="minorHAnsi"/>
          <w:iCs/>
          <w:sz w:val="18"/>
          <w:szCs w:val="18"/>
        </w:rPr>
      </w:pPr>
      <w:r w:rsidRPr="000B2A8F">
        <w:rPr>
          <w:rStyle w:val="FootnoteReference"/>
          <w:rFonts w:cstheme="minorHAnsi"/>
          <w:sz w:val="18"/>
          <w:szCs w:val="18"/>
        </w:rPr>
        <w:footnoteRef/>
      </w:r>
      <w:r w:rsidRPr="000B2A8F">
        <w:rPr>
          <w:rFonts w:cstheme="minorHAnsi"/>
          <w:sz w:val="18"/>
          <w:szCs w:val="18"/>
        </w:rPr>
        <w:t xml:space="preserve"> </w:t>
      </w:r>
      <w:r w:rsidRPr="000B2A8F">
        <w:rPr>
          <w:rFonts w:cstheme="minorHAnsi"/>
          <w:iCs/>
          <w:sz w:val="18"/>
          <w:szCs w:val="18"/>
        </w:rPr>
        <w:t>Ibid, 15</w:t>
      </w:r>
      <w:r w:rsidR="001449C6" w:rsidRPr="000B2A8F">
        <w:rPr>
          <w:rFonts w:cstheme="minorHAnsi"/>
          <w:iCs/>
          <w:sz w:val="18"/>
          <w:szCs w:val="18"/>
        </w:rPr>
        <w:t>-6</w:t>
      </w:r>
      <w:r w:rsidRPr="000B2A8F">
        <w:rPr>
          <w:rFonts w:cstheme="minorHAnsi"/>
          <w:iCs/>
          <w:sz w:val="18"/>
          <w:szCs w:val="18"/>
        </w:rPr>
        <w:t>.</w:t>
      </w:r>
    </w:p>
  </w:footnote>
  <w:footnote w:id="68">
    <w:p w14:paraId="30361EDE" w14:textId="77777777" w:rsidR="00AE4775" w:rsidRPr="000B2A8F" w:rsidRDefault="00AE4775" w:rsidP="003B36E4">
      <w:pPr>
        <w:pStyle w:val="FootnoteText"/>
        <w:rPr>
          <w:rFonts w:cstheme="minorHAnsi"/>
          <w:sz w:val="18"/>
          <w:szCs w:val="18"/>
        </w:rPr>
      </w:pPr>
      <w:r w:rsidRPr="000B2A8F">
        <w:rPr>
          <w:rStyle w:val="FootnoteReference"/>
          <w:rFonts w:cstheme="minorHAnsi"/>
          <w:iCs/>
          <w:sz w:val="18"/>
          <w:szCs w:val="18"/>
        </w:rPr>
        <w:footnoteRef/>
      </w:r>
      <w:r w:rsidRPr="000B2A8F">
        <w:rPr>
          <w:rFonts w:cstheme="minorHAnsi"/>
          <w:iCs/>
          <w:sz w:val="18"/>
          <w:szCs w:val="18"/>
        </w:rPr>
        <w:t xml:space="preserve"> Ibid, 18.</w:t>
      </w:r>
    </w:p>
  </w:footnote>
  <w:footnote w:id="69">
    <w:p w14:paraId="4FDD5B39" w14:textId="57F7C6D8" w:rsidR="00AE4775" w:rsidRPr="000B2A8F" w:rsidRDefault="00AE477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Pr="000B2A8F">
        <w:rPr>
          <w:rFonts w:cstheme="minorHAnsi"/>
          <w:sz w:val="18"/>
          <w:szCs w:val="18"/>
          <w:shd w:val="clear" w:color="auto" w:fill="FFFFFF"/>
        </w:rPr>
        <w:t xml:space="preserve">Act on </w:t>
      </w:r>
      <w:r w:rsidR="00AA1479" w:rsidRPr="000B2A8F">
        <w:rPr>
          <w:rFonts w:cstheme="minorHAnsi"/>
          <w:sz w:val="18"/>
          <w:szCs w:val="18"/>
          <w:shd w:val="clear" w:color="auto" w:fill="FFFFFF"/>
        </w:rPr>
        <w:t>I</w:t>
      </w:r>
      <w:r w:rsidRPr="000B2A8F">
        <w:rPr>
          <w:rFonts w:cstheme="minorHAnsi"/>
          <w:sz w:val="18"/>
          <w:szCs w:val="18"/>
          <w:shd w:val="clear" w:color="auto" w:fill="FFFFFF"/>
        </w:rPr>
        <w:t>mprovement</w:t>
      </w:r>
      <w:r w:rsidR="00AA1479" w:rsidRPr="000B2A8F">
        <w:rPr>
          <w:rFonts w:cstheme="minorHAnsi"/>
          <w:sz w:val="18"/>
          <w:szCs w:val="18"/>
          <w:shd w:val="clear" w:color="auto" w:fill="FFFFFF"/>
        </w:rPr>
        <w:t>,</w:t>
      </w:r>
      <w:r w:rsidRPr="000B2A8F">
        <w:rPr>
          <w:rFonts w:cstheme="minorHAnsi"/>
          <w:sz w:val="18"/>
          <w:szCs w:val="18"/>
          <w:shd w:val="clear" w:color="auto" w:fill="FFFFFF"/>
        </w:rPr>
        <w:t xml:space="preserve"> etc. of Employment Management for Part-Time and Fixed-term Workers 1993, </w:t>
      </w:r>
      <w:r w:rsidRPr="000B2A8F">
        <w:rPr>
          <w:rFonts w:cstheme="minorHAnsi"/>
          <w:sz w:val="18"/>
          <w:szCs w:val="18"/>
        </w:rPr>
        <w:t>Article 8</w:t>
      </w:r>
      <w:r w:rsidR="00525F12" w:rsidRPr="000B2A8F">
        <w:rPr>
          <w:rFonts w:cstheme="minorHAnsi"/>
          <w:sz w:val="18"/>
          <w:szCs w:val="18"/>
        </w:rPr>
        <w:t>.</w:t>
      </w:r>
    </w:p>
  </w:footnote>
  <w:footnote w:id="70">
    <w:p w14:paraId="25CBA73F" w14:textId="77777777" w:rsidR="00AE4775" w:rsidRPr="000B2A8F" w:rsidRDefault="00AE477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Pr="000B2A8F">
        <w:rPr>
          <w:rFonts w:cstheme="minorHAnsi"/>
          <w:i/>
          <w:sz w:val="18"/>
          <w:szCs w:val="18"/>
        </w:rPr>
        <w:t xml:space="preserve">National Workplace Relations Consultative Council </w:t>
      </w:r>
      <w:r w:rsidRPr="000B2A8F">
        <w:rPr>
          <w:rFonts w:cstheme="minorHAnsi"/>
          <w:i/>
          <w:iCs/>
          <w:sz w:val="18"/>
          <w:szCs w:val="18"/>
        </w:rPr>
        <w:t>Act 2002</w:t>
      </w:r>
      <w:r w:rsidRPr="000B2A8F">
        <w:rPr>
          <w:rFonts w:cstheme="minorHAnsi"/>
          <w:sz w:val="18"/>
          <w:szCs w:val="18"/>
        </w:rPr>
        <w:t>, s 5.</w:t>
      </w:r>
    </w:p>
  </w:footnote>
  <w:footnote w:id="71">
    <w:p w14:paraId="0C774DF2" w14:textId="29E378A2" w:rsidR="00AE4775" w:rsidRPr="000B2A8F" w:rsidRDefault="00AE4775" w:rsidP="003B36E4">
      <w:pPr>
        <w:pStyle w:val="FootnoteText"/>
        <w:rPr>
          <w:rFonts w:cstheme="minorHAnsi"/>
          <w:sz w:val="18"/>
          <w:szCs w:val="18"/>
        </w:rPr>
      </w:pPr>
      <w:r w:rsidRPr="000B2A8F">
        <w:rPr>
          <w:rStyle w:val="FootnoteReference"/>
          <w:rFonts w:cstheme="minorHAnsi"/>
          <w:sz w:val="18"/>
          <w:szCs w:val="18"/>
        </w:rPr>
        <w:footnoteRef/>
      </w:r>
      <w:r w:rsidRPr="000B2A8F" w:rsidDel="00BE1087">
        <w:rPr>
          <w:rFonts w:cstheme="minorHAnsi"/>
          <w:sz w:val="18"/>
          <w:szCs w:val="18"/>
        </w:rPr>
        <w:t xml:space="preserve"> </w:t>
      </w:r>
      <w:r w:rsidRPr="000B2A8F">
        <w:rPr>
          <w:rFonts w:cstheme="minorHAnsi"/>
          <w:sz w:val="18"/>
          <w:szCs w:val="18"/>
        </w:rPr>
        <w:t>Coorey, Phillip</w:t>
      </w:r>
      <w:r w:rsidR="001202C1" w:rsidRPr="000B2A8F">
        <w:rPr>
          <w:rFonts w:cstheme="minorHAnsi"/>
          <w:sz w:val="18"/>
          <w:szCs w:val="18"/>
        </w:rPr>
        <w:t>,</w:t>
      </w:r>
      <w:r w:rsidRPr="000B2A8F">
        <w:rPr>
          <w:rFonts w:cstheme="minorHAnsi"/>
          <w:sz w:val="18"/>
          <w:szCs w:val="18"/>
        </w:rPr>
        <w:t xml:space="preserve"> ‘BHP “right to fear” $1.3b wages hit’, </w:t>
      </w:r>
      <w:r w:rsidRPr="000B2A8F">
        <w:rPr>
          <w:rFonts w:cstheme="minorHAnsi"/>
          <w:i/>
          <w:iCs/>
          <w:sz w:val="18"/>
          <w:szCs w:val="18"/>
        </w:rPr>
        <w:t xml:space="preserve">Australian Financial Review, </w:t>
      </w:r>
      <w:r w:rsidRPr="000B2A8F">
        <w:rPr>
          <w:rFonts w:cstheme="minorHAnsi"/>
          <w:sz w:val="18"/>
          <w:szCs w:val="18"/>
        </w:rPr>
        <w:t>23 May 2023.</w:t>
      </w:r>
    </w:p>
  </w:footnote>
  <w:footnote w:id="72">
    <w:p w14:paraId="57F5E1ED" w14:textId="00A02473" w:rsidR="00AE4775" w:rsidRPr="000B2A8F" w:rsidRDefault="00AE4775" w:rsidP="003B36E4">
      <w:pPr>
        <w:spacing w:after="0" w:line="240" w:lineRule="auto"/>
        <w:rPr>
          <w:rFonts w:eastAsia="Calibri"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Pr="000B2A8F">
        <w:rPr>
          <w:rFonts w:eastAsia="Calibri" w:cstheme="minorHAnsi"/>
          <w:sz w:val="18"/>
          <w:szCs w:val="18"/>
        </w:rPr>
        <w:t xml:space="preserve">Reserve Bank of Australia, </w:t>
      </w:r>
      <w:r w:rsidRPr="000B2A8F">
        <w:rPr>
          <w:rFonts w:eastAsia="Calibri" w:cstheme="minorHAnsi"/>
          <w:i/>
          <w:iCs/>
          <w:sz w:val="18"/>
          <w:szCs w:val="18"/>
        </w:rPr>
        <w:t>Statement on Monetary Policy</w:t>
      </w:r>
      <w:r w:rsidR="00E46543" w:rsidRPr="000B2A8F">
        <w:rPr>
          <w:rFonts w:eastAsia="Calibri" w:cstheme="minorHAnsi"/>
          <w:i/>
          <w:iCs/>
          <w:sz w:val="18"/>
          <w:szCs w:val="18"/>
        </w:rPr>
        <w:t xml:space="preserve"> – </w:t>
      </w:r>
      <w:r w:rsidRPr="000B2A8F">
        <w:rPr>
          <w:rFonts w:eastAsia="Calibri" w:cstheme="minorHAnsi"/>
          <w:i/>
          <w:iCs/>
          <w:sz w:val="18"/>
          <w:szCs w:val="18"/>
        </w:rPr>
        <w:t>February 2023</w:t>
      </w:r>
      <w:r w:rsidRPr="000B2A8F">
        <w:rPr>
          <w:rFonts w:eastAsia="Calibri" w:cstheme="minorHAnsi"/>
          <w:sz w:val="18"/>
          <w:szCs w:val="18"/>
        </w:rPr>
        <w:t>.</w:t>
      </w:r>
    </w:p>
  </w:footnote>
  <w:footnote w:id="73">
    <w:p w14:paraId="0EE936F7" w14:textId="76E03B7B" w:rsidR="00AE4775" w:rsidRPr="000B2A8F" w:rsidRDefault="00AE477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Suthaharan, N and Bleakley, J, ‘Wage-price dynamics in a high inflation environment: the international evidence’, </w:t>
      </w:r>
      <w:r w:rsidRPr="000B2A8F">
        <w:rPr>
          <w:rFonts w:cstheme="minorHAnsi"/>
          <w:i/>
          <w:iCs/>
          <w:sz w:val="18"/>
          <w:szCs w:val="18"/>
        </w:rPr>
        <w:t>Reserve Bank of Australia, Bulletin</w:t>
      </w:r>
      <w:r w:rsidR="00452496" w:rsidRPr="000B2A8F">
        <w:rPr>
          <w:rFonts w:cstheme="minorHAnsi"/>
          <w:i/>
          <w:iCs/>
          <w:sz w:val="18"/>
          <w:szCs w:val="18"/>
        </w:rPr>
        <w:t xml:space="preserve"> – </w:t>
      </w:r>
      <w:r w:rsidRPr="000B2A8F">
        <w:rPr>
          <w:rFonts w:cstheme="minorHAnsi"/>
          <w:i/>
          <w:iCs/>
          <w:sz w:val="18"/>
          <w:szCs w:val="18"/>
        </w:rPr>
        <w:t>September 2022</w:t>
      </w:r>
      <w:r w:rsidR="00652CB7" w:rsidRPr="000B2A8F">
        <w:rPr>
          <w:rFonts w:cstheme="minorHAnsi"/>
          <w:sz w:val="18"/>
          <w:szCs w:val="18"/>
        </w:rPr>
        <w:t>,</w:t>
      </w:r>
      <w:r w:rsidRPr="000B2A8F">
        <w:rPr>
          <w:rFonts w:cstheme="minorHAnsi"/>
          <w:i/>
          <w:iCs/>
          <w:sz w:val="18"/>
          <w:szCs w:val="18"/>
        </w:rPr>
        <w:t xml:space="preserve"> </w:t>
      </w:r>
      <w:r w:rsidRPr="000B2A8F">
        <w:rPr>
          <w:rFonts w:cstheme="minorHAnsi"/>
          <w:sz w:val="18"/>
          <w:szCs w:val="18"/>
        </w:rPr>
        <w:t>p 59.</w:t>
      </w:r>
    </w:p>
  </w:footnote>
  <w:footnote w:id="74">
    <w:p w14:paraId="23EE4A7E" w14:textId="015CCBAA" w:rsidR="00AE4775" w:rsidRPr="000B2A8F" w:rsidRDefault="00AE477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Pr="000B2A8F">
        <w:rPr>
          <w:rFonts w:cstheme="minorHAnsi"/>
          <w:i/>
          <w:iCs/>
          <w:sz w:val="18"/>
          <w:szCs w:val="18"/>
        </w:rPr>
        <w:t xml:space="preserve">Labour Hire Licensing Act 2018 </w:t>
      </w:r>
      <w:r w:rsidRPr="000B2A8F">
        <w:rPr>
          <w:rFonts w:cstheme="minorHAnsi"/>
          <w:sz w:val="18"/>
          <w:szCs w:val="18"/>
        </w:rPr>
        <w:t>(Vic), s 7.</w:t>
      </w:r>
    </w:p>
  </w:footnote>
  <w:footnote w:id="75">
    <w:p w14:paraId="07AC966C" w14:textId="72759D09" w:rsidR="00AE4775" w:rsidRPr="000B2A8F" w:rsidRDefault="00AE4775"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See, </w:t>
      </w:r>
      <w:r w:rsidR="00200BC9" w:rsidRPr="000B2A8F">
        <w:rPr>
          <w:rFonts w:cstheme="minorHAnsi"/>
          <w:sz w:val="18"/>
          <w:szCs w:val="18"/>
        </w:rPr>
        <w:t>e.g.</w:t>
      </w:r>
      <w:r w:rsidRPr="000B2A8F">
        <w:rPr>
          <w:rFonts w:cstheme="minorHAnsi"/>
          <w:sz w:val="18"/>
          <w:szCs w:val="18"/>
        </w:rPr>
        <w:t>, Aircraft Cabin Crew Award 2020 [</w:t>
      </w:r>
      <w:r w:rsidR="00927B53" w:rsidRPr="000B2A8F">
        <w:rPr>
          <w:rFonts w:cstheme="minorHAnsi"/>
          <w:sz w:val="18"/>
          <w:szCs w:val="18"/>
        </w:rPr>
        <w:t>MA000047</w:t>
      </w:r>
      <w:r w:rsidRPr="000B2A8F">
        <w:rPr>
          <w:rFonts w:cstheme="minorHAnsi"/>
          <w:sz w:val="18"/>
          <w:szCs w:val="18"/>
        </w:rPr>
        <w:t xml:space="preserve">], cl </w:t>
      </w:r>
      <w:r w:rsidR="00927B53" w:rsidRPr="000B2A8F">
        <w:rPr>
          <w:rFonts w:cstheme="minorHAnsi"/>
          <w:sz w:val="18"/>
          <w:szCs w:val="18"/>
        </w:rPr>
        <w:t>2</w:t>
      </w:r>
      <w:r w:rsidRPr="000B2A8F">
        <w:rPr>
          <w:rFonts w:cstheme="minorHAnsi"/>
          <w:sz w:val="18"/>
          <w:szCs w:val="18"/>
        </w:rPr>
        <w:t>.</w:t>
      </w:r>
    </w:p>
  </w:footnote>
  <w:footnote w:id="76">
    <w:p w14:paraId="1B7480A4" w14:textId="7C5F3111" w:rsidR="00AE4775" w:rsidRPr="000B2A8F" w:rsidRDefault="00AE4775" w:rsidP="003B36E4">
      <w:pPr>
        <w:pStyle w:val="FootnoteText"/>
        <w:rPr>
          <w:rFonts w:cstheme="minorHAnsi"/>
          <w:i/>
          <w:iCs/>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1B6A4D" w:rsidRPr="000B2A8F">
        <w:rPr>
          <w:rFonts w:cstheme="minorHAnsi"/>
          <w:sz w:val="18"/>
          <w:szCs w:val="18"/>
        </w:rPr>
        <w:t xml:space="preserve">See, </w:t>
      </w:r>
      <w:r w:rsidR="00200BC9" w:rsidRPr="000B2A8F">
        <w:rPr>
          <w:rFonts w:cstheme="minorHAnsi"/>
          <w:sz w:val="18"/>
          <w:szCs w:val="18"/>
        </w:rPr>
        <w:t>e.g.</w:t>
      </w:r>
      <w:r w:rsidR="001B6A4D" w:rsidRPr="000B2A8F">
        <w:rPr>
          <w:rFonts w:cstheme="minorHAnsi"/>
          <w:sz w:val="18"/>
          <w:szCs w:val="18"/>
        </w:rPr>
        <w:t xml:space="preserve">, </w:t>
      </w:r>
      <w:r w:rsidR="002A6036" w:rsidRPr="000B2A8F">
        <w:rPr>
          <w:rFonts w:cstheme="minorHAnsi"/>
          <w:sz w:val="18"/>
          <w:szCs w:val="18"/>
        </w:rPr>
        <w:t xml:space="preserve">Third Interim Report, </w:t>
      </w:r>
      <w:r w:rsidRPr="000B2A8F">
        <w:rPr>
          <w:rFonts w:cstheme="minorHAnsi"/>
          <w:sz w:val="18"/>
          <w:szCs w:val="18"/>
        </w:rPr>
        <w:t>p 61 [3.</w:t>
      </w:r>
      <w:r w:rsidR="001B6A4D" w:rsidRPr="000B2A8F">
        <w:rPr>
          <w:rFonts w:cstheme="minorHAnsi"/>
          <w:sz w:val="18"/>
          <w:szCs w:val="18"/>
        </w:rPr>
        <w:t>67</w:t>
      </w:r>
      <w:r w:rsidRPr="000B2A8F">
        <w:rPr>
          <w:rFonts w:cstheme="minorHAnsi"/>
          <w:sz w:val="18"/>
          <w:szCs w:val="18"/>
        </w:rPr>
        <w:t>].</w:t>
      </w:r>
    </w:p>
  </w:footnote>
  <w:footnote w:id="77">
    <w:p w14:paraId="2F5B6F91" w14:textId="2B6B9FEC" w:rsidR="00E85898" w:rsidRPr="000B2A8F" w:rsidRDefault="00E85898" w:rsidP="00E85898">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See, e.g., </w:t>
      </w:r>
      <w:r w:rsidRPr="000B2A8F">
        <w:rPr>
          <w:rFonts w:cstheme="minorHAnsi"/>
          <w:sz w:val="18"/>
          <w:szCs w:val="18"/>
          <w:shd w:val="clear" w:color="auto" w:fill="FFFFFF"/>
        </w:rPr>
        <w:t xml:space="preserve">Australian Resources and Energy Employer Association, </w:t>
      </w:r>
      <w:r w:rsidRPr="000B2A8F">
        <w:rPr>
          <w:rFonts w:cstheme="minorHAnsi"/>
          <w:i/>
          <w:iCs/>
          <w:sz w:val="18"/>
          <w:szCs w:val="18"/>
          <w:shd w:val="clear" w:color="auto" w:fill="FFFFFF"/>
        </w:rPr>
        <w:t>Same Job, Same Pay: Resource employers urge Gov to exclude contractors</w:t>
      </w:r>
      <w:r w:rsidRPr="000B2A8F">
        <w:rPr>
          <w:rFonts w:cstheme="minorHAnsi"/>
          <w:sz w:val="18"/>
          <w:szCs w:val="18"/>
          <w:shd w:val="clear" w:color="auto" w:fill="FFFFFF"/>
        </w:rPr>
        <w:t>, 12 June 2023 &lt;</w:t>
      </w:r>
      <w:r w:rsidRPr="000B2A8F">
        <w:rPr>
          <w:rFonts w:cstheme="minorHAnsi"/>
          <w:sz w:val="18"/>
          <w:szCs w:val="18"/>
        </w:rPr>
        <w:t>www.areea.com.au/news-media/media-center/media-release-job-pay-resource-employers-urge-gov-exclude-contractors/</w:t>
      </w:r>
      <w:r w:rsidRPr="000B2A8F">
        <w:rPr>
          <w:rFonts w:cstheme="minorHAnsi"/>
          <w:sz w:val="18"/>
          <w:szCs w:val="18"/>
          <w:shd w:val="clear" w:color="auto" w:fill="FFFFFF"/>
        </w:rPr>
        <w:t>&gt;.</w:t>
      </w:r>
    </w:p>
  </w:footnote>
  <w:footnote w:id="78">
    <w:p w14:paraId="7205D453" w14:textId="0CA9F509" w:rsidR="000745FA" w:rsidRPr="000B2A8F" w:rsidRDefault="000745FA"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World Health Organization, ‘Mental health at work’, September</w:t>
      </w:r>
      <w:r w:rsidR="00DB2D03" w:rsidRPr="000B2A8F">
        <w:rPr>
          <w:rFonts w:cstheme="minorHAnsi"/>
          <w:sz w:val="18"/>
          <w:szCs w:val="18"/>
        </w:rPr>
        <w:t xml:space="preserve"> 2022</w:t>
      </w:r>
      <w:r w:rsidR="00BB7C0C" w:rsidRPr="000B2A8F">
        <w:rPr>
          <w:rFonts w:cstheme="minorHAnsi"/>
          <w:sz w:val="18"/>
          <w:szCs w:val="18"/>
        </w:rPr>
        <w:t>.</w:t>
      </w:r>
    </w:p>
  </w:footnote>
  <w:footnote w:id="79">
    <w:p w14:paraId="209532E5" w14:textId="7D41CBC6" w:rsidR="008B6800" w:rsidRPr="000B2A8F" w:rsidRDefault="008B6800" w:rsidP="003B36E4">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OECD, </w:t>
      </w:r>
      <w:r w:rsidRPr="000B2A8F">
        <w:rPr>
          <w:rFonts w:cstheme="minorHAnsi"/>
          <w:i/>
          <w:iCs/>
          <w:sz w:val="18"/>
          <w:szCs w:val="18"/>
        </w:rPr>
        <w:t>Measuring and Assessing Job Quality: The OECD Job Quality Framework</w:t>
      </w:r>
      <w:r w:rsidR="00DB2D03" w:rsidRPr="000B2A8F">
        <w:rPr>
          <w:rFonts w:cstheme="minorHAnsi"/>
          <w:sz w:val="18"/>
          <w:szCs w:val="18"/>
        </w:rPr>
        <w:t>, 2015</w:t>
      </w:r>
      <w:r w:rsidRPr="000B2A8F">
        <w:rPr>
          <w:rFonts w:cstheme="minorHAnsi"/>
          <w:sz w:val="18"/>
          <w:szCs w:val="18"/>
        </w:rPr>
        <w:t>.</w:t>
      </w:r>
    </w:p>
  </w:footnote>
  <w:footnote w:id="80">
    <w:p w14:paraId="74017070" w14:textId="38D5B6FB" w:rsidR="00E1297A" w:rsidRPr="000B2A8F" w:rsidRDefault="00E1297A">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672F3F" w:rsidRPr="000B2A8F">
        <w:rPr>
          <w:rFonts w:cstheme="minorHAnsi"/>
          <w:sz w:val="18"/>
          <w:szCs w:val="18"/>
        </w:rPr>
        <w:t>See s</w:t>
      </w:r>
      <w:r w:rsidR="00DE5936" w:rsidRPr="000B2A8F">
        <w:rPr>
          <w:rFonts w:cstheme="minorHAnsi"/>
          <w:sz w:val="18"/>
          <w:szCs w:val="18"/>
        </w:rPr>
        <w:t>s</w:t>
      </w:r>
      <w:r w:rsidR="00672F3F" w:rsidRPr="000B2A8F">
        <w:rPr>
          <w:rFonts w:cstheme="minorHAnsi"/>
          <w:sz w:val="18"/>
          <w:szCs w:val="18"/>
        </w:rPr>
        <w:t xml:space="preserve"> 365 and </w:t>
      </w:r>
      <w:r w:rsidR="00DE5936" w:rsidRPr="000B2A8F">
        <w:rPr>
          <w:rFonts w:cstheme="minorHAnsi"/>
          <w:sz w:val="18"/>
          <w:szCs w:val="18"/>
        </w:rPr>
        <w:t xml:space="preserve">372 of the </w:t>
      </w:r>
      <w:r w:rsidR="00DE5936" w:rsidRPr="000B2A8F">
        <w:rPr>
          <w:rFonts w:cstheme="minorHAnsi"/>
          <w:i/>
          <w:iCs/>
          <w:sz w:val="18"/>
          <w:szCs w:val="18"/>
        </w:rPr>
        <w:t>Fair Work Act 2009</w:t>
      </w:r>
    </w:p>
  </w:footnote>
  <w:footnote w:id="81">
    <w:p w14:paraId="72AC64C3" w14:textId="69236232" w:rsidR="00BB07A2" w:rsidRPr="000B2A8F" w:rsidRDefault="00BB07A2" w:rsidP="00BB07A2">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Note: Figures </w:t>
      </w:r>
      <w:r w:rsidR="00CD7320" w:rsidRPr="000B2A8F">
        <w:rPr>
          <w:rFonts w:cstheme="minorHAnsi"/>
          <w:sz w:val="18"/>
          <w:szCs w:val="18"/>
        </w:rPr>
        <w:t>in the component parts of this formula</w:t>
      </w:r>
      <w:r w:rsidRPr="000B2A8F">
        <w:rPr>
          <w:rFonts w:cstheme="minorHAnsi"/>
          <w:sz w:val="18"/>
          <w:szCs w:val="18"/>
        </w:rPr>
        <w:t xml:space="preserve"> have been rounded for readability. Final statistics have been calculated with regard to precise data points in ABS source material.</w:t>
      </w:r>
    </w:p>
  </w:footnote>
  <w:footnote w:id="82">
    <w:p w14:paraId="5AA2700B" w14:textId="77777777" w:rsidR="00BB07A2" w:rsidRPr="000B2A8F" w:rsidRDefault="00BB07A2" w:rsidP="00BB07A2">
      <w:pPr>
        <w:pStyle w:val="FootnoteText"/>
        <w:rPr>
          <w:rFonts w:cstheme="minorHAnsi"/>
          <w:iCs/>
          <w:sz w:val="18"/>
          <w:szCs w:val="18"/>
        </w:rPr>
      </w:pPr>
      <w:r w:rsidRPr="000B2A8F">
        <w:rPr>
          <w:rStyle w:val="FootnoteReference"/>
          <w:rFonts w:cstheme="minorHAnsi"/>
          <w:sz w:val="18"/>
          <w:szCs w:val="18"/>
        </w:rPr>
        <w:footnoteRef/>
      </w:r>
      <w:r w:rsidRPr="000B2A8F">
        <w:rPr>
          <w:rFonts w:cstheme="minorHAnsi"/>
          <w:sz w:val="18"/>
          <w:szCs w:val="18"/>
        </w:rPr>
        <w:t xml:space="preserve"> ABS, </w:t>
      </w:r>
      <w:r w:rsidRPr="000B2A8F">
        <w:rPr>
          <w:rFonts w:cstheme="minorHAnsi"/>
          <w:i/>
          <w:sz w:val="18"/>
          <w:szCs w:val="18"/>
        </w:rPr>
        <w:t>Labour hire workers, June 2022</w:t>
      </w:r>
      <w:r w:rsidRPr="000B2A8F">
        <w:rPr>
          <w:rFonts w:cstheme="minorHAnsi"/>
          <w:sz w:val="18"/>
          <w:szCs w:val="18"/>
        </w:rPr>
        <w:t xml:space="preserve">; using </w:t>
      </w:r>
      <w:r w:rsidRPr="000B2A8F">
        <w:rPr>
          <w:rFonts w:cstheme="minorHAnsi"/>
          <w:i/>
          <w:sz w:val="18"/>
          <w:szCs w:val="18"/>
        </w:rPr>
        <w:t>Labour Account, June 2022</w:t>
      </w:r>
      <w:r w:rsidRPr="000B2A8F">
        <w:rPr>
          <w:rFonts w:cstheme="minorHAnsi"/>
          <w:iCs/>
          <w:sz w:val="18"/>
          <w:szCs w:val="18"/>
        </w:rPr>
        <w:t>.</w:t>
      </w:r>
    </w:p>
  </w:footnote>
  <w:footnote w:id="83">
    <w:p w14:paraId="24B142B8" w14:textId="77777777" w:rsidR="00BB07A2" w:rsidRPr="000B2A8F" w:rsidRDefault="00BB07A2" w:rsidP="00BB07A2">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ABS, </w:t>
      </w:r>
      <w:r w:rsidRPr="000B2A8F">
        <w:rPr>
          <w:rFonts w:cstheme="minorHAnsi"/>
          <w:i/>
          <w:sz w:val="18"/>
          <w:szCs w:val="18"/>
        </w:rPr>
        <w:t>Labour hire workers, June 2022</w:t>
      </w:r>
      <w:r w:rsidRPr="000B2A8F">
        <w:rPr>
          <w:rFonts w:cstheme="minorHAnsi"/>
          <w:sz w:val="18"/>
          <w:szCs w:val="18"/>
        </w:rPr>
        <w:t xml:space="preserve">, using </w:t>
      </w:r>
      <w:r w:rsidRPr="000B2A8F">
        <w:rPr>
          <w:rFonts w:cstheme="minorHAnsi"/>
          <w:i/>
          <w:sz w:val="18"/>
          <w:szCs w:val="18"/>
        </w:rPr>
        <w:t>Characteristics of Employment, August 2022</w:t>
      </w:r>
      <w:r w:rsidRPr="000B2A8F">
        <w:rPr>
          <w:rFonts w:cstheme="minorHAnsi"/>
          <w:iCs/>
          <w:sz w:val="18"/>
          <w:szCs w:val="18"/>
        </w:rPr>
        <w:t>.</w:t>
      </w:r>
    </w:p>
  </w:footnote>
  <w:footnote w:id="84">
    <w:p w14:paraId="3F5955D3" w14:textId="44A867D3" w:rsidR="00BB07A2" w:rsidRPr="000B2A8F" w:rsidRDefault="00BB07A2" w:rsidP="00BB07A2">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991B0F" w:rsidRPr="000B2A8F">
        <w:rPr>
          <w:rFonts w:cstheme="minorHAnsi"/>
          <w:sz w:val="18"/>
          <w:szCs w:val="18"/>
        </w:rPr>
        <w:t>Ibid</w:t>
      </w:r>
      <w:r w:rsidRPr="000B2A8F">
        <w:rPr>
          <w:rFonts w:cstheme="minorHAnsi"/>
          <w:iCs/>
          <w:sz w:val="18"/>
          <w:szCs w:val="18"/>
        </w:rPr>
        <w:t>.</w:t>
      </w:r>
    </w:p>
  </w:footnote>
  <w:footnote w:id="85">
    <w:p w14:paraId="613E5658" w14:textId="65AA3B90" w:rsidR="00BB07A2" w:rsidRPr="000B2A8F" w:rsidRDefault="00BB07A2" w:rsidP="00BB07A2">
      <w:pPr>
        <w:pStyle w:val="FootnoteText"/>
        <w:rPr>
          <w:rFonts w:cstheme="minorHAnsi"/>
          <w:iCs/>
          <w:sz w:val="18"/>
          <w:szCs w:val="18"/>
        </w:rPr>
      </w:pPr>
      <w:r w:rsidRPr="000B2A8F">
        <w:rPr>
          <w:rStyle w:val="FootnoteReference"/>
          <w:rFonts w:cstheme="minorHAnsi"/>
          <w:sz w:val="18"/>
          <w:szCs w:val="18"/>
        </w:rPr>
        <w:footnoteRef/>
      </w:r>
      <w:r w:rsidRPr="000B2A8F">
        <w:rPr>
          <w:rFonts w:cstheme="minorHAnsi"/>
          <w:sz w:val="18"/>
          <w:szCs w:val="18"/>
        </w:rPr>
        <w:t xml:space="preserve"> </w:t>
      </w:r>
      <w:r w:rsidR="00991B0F" w:rsidRPr="000B2A8F">
        <w:rPr>
          <w:rFonts w:cstheme="minorHAnsi"/>
          <w:sz w:val="18"/>
          <w:szCs w:val="18"/>
        </w:rPr>
        <w:t>Ibid</w:t>
      </w:r>
      <w:r w:rsidR="00B21B71" w:rsidRPr="000B2A8F">
        <w:rPr>
          <w:rFonts w:cstheme="minorHAnsi"/>
          <w:iCs/>
          <w:sz w:val="18"/>
          <w:szCs w:val="18"/>
        </w:rPr>
        <w:t>,</w:t>
      </w:r>
      <w:r w:rsidR="00991B0F" w:rsidRPr="000B2A8F">
        <w:rPr>
          <w:rFonts w:cstheme="minorHAnsi"/>
          <w:iCs/>
          <w:sz w:val="18"/>
          <w:szCs w:val="18"/>
        </w:rPr>
        <w:t xml:space="preserve"> using</w:t>
      </w:r>
      <w:r w:rsidR="00B21B71" w:rsidRPr="000B2A8F">
        <w:rPr>
          <w:rFonts w:cstheme="minorHAnsi"/>
          <w:iCs/>
          <w:sz w:val="18"/>
          <w:szCs w:val="18"/>
        </w:rPr>
        <w:t xml:space="preserve"> unpublished Tablebuilder</w:t>
      </w:r>
      <w:r w:rsidRPr="000B2A8F">
        <w:rPr>
          <w:rFonts w:cstheme="minorHAnsi"/>
          <w:iCs/>
          <w:sz w:val="18"/>
          <w:szCs w:val="18"/>
        </w:rPr>
        <w:t>.</w:t>
      </w:r>
    </w:p>
  </w:footnote>
  <w:footnote w:id="86">
    <w:p w14:paraId="2F834DE1" w14:textId="77777777" w:rsidR="00BB07A2" w:rsidRPr="000B2A8F" w:rsidRDefault="00BB07A2" w:rsidP="00BB07A2">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Note: Figures here have been rounded for readability. Final statistics have been calculated with regard to precise data points in ABS source material.</w:t>
      </w:r>
    </w:p>
  </w:footnote>
  <w:footnote w:id="87">
    <w:p w14:paraId="5B4F7765" w14:textId="77777777" w:rsidR="00BB07A2" w:rsidRPr="000B2A8F" w:rsidRDefault="00BB07A2" w:rsidP="00BB07A2">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See together: ABS, </w:t>
      </w:r>
      <w:r w:rsidRPr="000B2A8F">
        <w:rPr>
          <w:rFonts w:cstheme="minorHAnsi"/>
          <w:i/>
          <w:sz w:val="18"/>
          <w:szCs w:val="18"/>
        </w:rPr>
        <w:t>Characteristics of Employment, August 2022</w:t>
      </w:r>
      <w:r w:rsidRPr="000B2A8F">
        <w:rPr>
          <w:rFonts w:cstheme="minorHAnsi"/>
          <w:sz w:val="18"/>
          <w:szCs w:val="18"/>
        </w:rPr>
        <w:t>, unpublished Tablebuilder; ABS, </w:t>
      </w:r>
      <w:r w:rsidRPr="000B2A8F">
        <w:rPr>
          <w:rFonts w:cstheme="minorHAnsi"/>
          <w:i/>
          <w:sz w:val="18"/>
          <w:szCs w:val="18"/>
        </w:rPr>
        <w:t>Labour hire workers, June 2022</w:t>
      </w:r>
      <w:r w:rsidRPr="000B2A8F">
        <w:rPr>
          <w:rFonts w:cstheme="minorHAnsi"/>
          <w:sz w:val="18"/>
          <w:szCs w:val="18"/>
        </w:rPr>
        <w:t xml:space="preserve">; using </w:t>
      </w:r>
      <w:r w:rsidRPr="000B2A8F">
        <w:rPr>
          <w:rFonts w:cstheme="minorHAnsi"/>
          <w:i/>
          <w:sz w:val="18"/>
          <w:szCs w:val="18"/>
        </w:rPr>
        <w:t xml:space="preserve">Labour Account, June 2022; </w:t>
      </w:r>
      <w:r w:rsidRPr="000B2A8F">
        <w:rPr>
          <w:rFonts w:cstheme="minorHAnsi"/>
          <w:sz w:val="18"/>
          <w:szCs w:val="18"/>
        </w:rPr>
        <w:t xml:space="preserve">ABS, </w:t>
      </w:r>
      <w:r w:rsidRPr="000B2A8F">
        <w:rPr>
          <w:rFonts w:cstheme="minorHAnsi"/>
          <w:i/>
          <w:sz w:val="18"/>
          <w:szCs w:val="18"/>
        </w:rPr>
        <w:t>Employee Earnings and Hours, May 2021</w:t>
      </w:r>
      <w:r w:rsidRPr="000B2A8F">
        <w:rPr>
          <w:rFonts w:cstheme="minorHAnsi"/>
          <w:sz w:val="18"/>
          <w:szCs w:val="18"/>
        </w:rPr>
        <w:t>, unpublished Tablebuilder.</w:t>
      </w:r>
    </w:p>
  </w:footnote>
  <w:footnote w:id="88">
    <w:p w14:paraId="12A4428C" w14:textId="77777777" w:rsidR="00BB07A2" w:rsidRPr="000B2A8F" w:rsidRDefault="00BB07A2" w:rsidP="00BB07A2">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Note: Figures here have been rounded for readability. Final statistics have been calculated with regard to precise data points in ABS source material.</w:t>
      </w:r>
    </w:p>
  </w:footnote>
  <w:footnote w:id="89">
    <w:p w14:paraId="4299BB11" w14:textId="77777777" w:rsidR="00BB07A2" w:rsidRPr="000B2A8F" w:rsidRDefault="00BB07A2" w:rsidP="00BB07A2">
      <w:pPr>
        <w:pStyle w:val="FootnoteText"/>
        <w:rPr>
          <w:rFonts w:cstheme="minorHAnsi"/>
          <w:iCs/>
          <w:sz w:val="18"/>
          <w:szCs w:val="18"/>
        </w:rPr>
      </w:pPr>
      <w:r w:rsidRPr="000B2A8F">
        <w:rPr>
          <w:rStyle w:val="FootnoteReference"/>
          <w:rFonts w:cstheme="minorHAnsi"/>
          <w:sz w:val="18"/>
          <w:szCs w:val="18"/>
        </w:rPr>
        <w:footnoteRef/>
      </w:r>
      <w:r w:rsidRPr="000B2A8F">
        <w:rPr>
          <w:rFonts w:cstheme="minorHAnsi"/>
          <w:sz w:val="18"/>
          <w:szCs w:val="18"/>
        </w:rPr>
        <w:t xml:space="preserve"> ABS, </w:t>
      </w:r>
      <w:r w:rsidRPr="000B2A8F">
        <w:rPr>
          <w:rFonts w:cstheme="minorHAnsi"/>
          <w:i/>
          <w:sz w:val="18"/>
          <w:szCs w:val="18"/>
        </w:rPr>
        <w:t>Labour hire workers, June 2022</w:t>
      </w:r>
      <w:r w:rsidRPr="000B2A8F">
        <w:rPr>
          <w:rFonts w:cstheme="minorHAnsi"/>
          <w:sz w:val="18"/>
          <w:szCs w:val="18"/>
        </w:rPr>
        <w:t xml:space="preserve">, using </w:t>
      </w:r>
      <w:r w:rsidRPr="000B2A8F">
        <w:rPr>
          <w:rFonts w:cstheme="minorHAnsi"/>
          <w:i/>
          <w:sz w:val="18"/>
          <w:szCs w:val="18"/>
        </w:rPr>
        <w:t>Characteristics of Employment, August 2022</w:t>
      </w:r>
      <w:r w:rsidRPr="000B2A8F">
        <w:rPr>
          <w:rFonts w:cstheme="minorHAnsi"/>
          <w:iCs/>
          <w:sz w:val="18"/>
          <w:szCs w:val="18"/>
        </w:rPr>
        <w:t>.</w:t>
      </w:r>
    </w:p>
  </w:footnote>
  <w:footnote w:id="90">
    <w:p w14:paraId="1EAA5C96" w14:textId="77777777" w:rsidR="00BB07A2" w:rsidRPr="000B2A8F" w:rsidRDefault="00BB07A2" w:rsidP="00BB07A2">
      <w:pPr>
        <w:pStyle w:val="FootnoteText"/>
        <w:rPr>
          <w:rFonts w:cstheme="minorHAnsi"/>
          <w:iCs/>
          <w:sz w:val="18"/>
          <w:szCs w:val="18"/>
        </w:rPr>
      </w:pPr>
      <w:r w:rsidRPr="000B2A8F">
        <w:rPr>
          <w:rStyle w:val="FootnoteReference"/>
          <w:rFonts w:cstheme="minorHAnsi"/>
          <w:sz w:val="18"/>
          <w:szCs w:val="18"/>
        </w:rPr>
        <w:footnoteRef/>
      </w:r>
      <w:r w:rsidRPr="000B2A8F">
        <w:rPr>
          <w:rFonts w:cstheme="minorHAnsi"/>
          <w:sz w:val="18"/>
          <w:szCs w:val="18"/>
        </w:rPr>
        <w:t xml:space="preserve"> Ibid</w:t>
      </w:r>
      <w:r w:rsidRPr="000B2A8F">
        <w:rPr>
          <w:rFonts w:cstheme="minorHAnsi"/>
          <w:iCs/>
          <w:sz w:val="18"/>
          <w:szCs w:val="18"/>
        </w:rPr>
        <w:t>.</w:t>
      </w:r>
    </w:p>
  </w:footnote>
  <w:footnote w:id="91">
    <w:p w14:paraId="08AE9F11" w14:textId="77777777" w:rsidR="00BB07A2" w:rsidRPr="000B2A8F" w:rsidRDefault="00BB07A2" w:rsidP="00BB07A2">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Note: Figures here have been rounded for readability. Final statistics have been calculated with regard to precise data points in ABS source material.</w:t>
      </w:r>
    </w:p>
  </w:footnote>
  <w:footnote w:id="92">
    <w:p w14:paraId="2E1907F9" w14:textId="77777777" w:rsidR="00BB07A2" w:rsidRPr="000B2A8F" w:rsidRDefault="00BB07A2" w:rsidP="00BB07A2">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ABS, </w:t>
      </w:r>
      <w:r w:rsidRPr="000B2A8F">
        <w:rPr>
          <w:rFonts w:cstheme="minorHAnsi"/>
          <w:i/>
          <w:sz w:val="18"/>
          <w:szCs w:val="18"/>
        </w:rPr>
        <w:t>Labour hire workers, June 2022</w:t>
      </w:r>
      <w:r w:rsidRPr="000B2A8F">
        <w:rPr>
          <w:rFonts w:cstheme="minorHAnsi"/>
          <w:sz w:val="18"/>
          <w:szCs w:val="18"/>
        </w:rPr>
        <w:t xml:space="preserve">, using </w:t>
      </w:r>
      <w:r w:rsidRPr="000B2A8F">
        <w:rPr>
          <w:rFonts w:cstheme="minorHAnsi"/>
          <w:i/>
          <w:sz w:val="18"/>
          <w:szCs w:val="18"/>
        </w:rPr>
        <w:t>Characteristics of Employment, August 2022</w:t>
      </w:r>
      <w:r w:rsidRPr="000B2A8F">
        <w:rPr>
          <w:rFonts w:cstheme="minorHAnsi"/>
          <w:sz w:val="18"/>
          <w:szCs w:val="18"/>
        </w:rPr>
        <w:t>.</w:t>
      </w:r>
    </w:p>
  </w:footnote>
  <w:footnote w:id="93">
    <w:p w14:paraId="1153A929" w14:textId="77777777" w:rsidR="00BB07A2" w:rsidRPr="000B2A8F" w:rsidRDefault="00BB07A2" w:rsidP="00BB07A2">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Note: Figures here have been rounded for readability. Final statistics have been calculated with regard to precise data points in ABS source material.</w:t>
      </w:r>
    </w:p>
  </w:footnote>
  <w:footnote w:id="94">
    <w:p w14:paraId="518D4B3B" w14:textId="77777777" w:rsidR="00BB07A2" w:rsidRPr="000B2A8F" w:rsidRDefault="00BB07A2" w:rsidP="00BB07A2">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Ibid.</w:t>
      </w:r>
    </w:p>
  </w:footnote>
  <w:footnote w:id="95">
    <w:p w14:paraId="348BFF42" w14:textId="77777777" w:rsidR="00BB07A2" w:rsidRPr="000B2A8F" w:rsidRDefault="00BB07A2" w:rsidP="00BB07A2">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Note: Figures here have been rounded for readability. Final statistics have been calculated with regard to precise data points in ABS source material.</w:t>
      </w:r>
    </w:p>
  </w:footnote>
  <w:footnote w:id="96">
    <w:p w14:paraId="79CC653C" w14:textId="77777777" w:rsidR="00BB07A2" w:rsidRPr="000B2A8F" w:rsidRDefault="00BB07A2" w:rsidP="00BB07A2">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ABS, </w:t>
      </w:r>
      <w:r w:rsidRPr="000B2A8F">
        <w:rPr>
          <w:rFonts w:cstheme="minorHAnsi"/>
          <w:i/>
          <w:sz w:val="18"/>
          <w:szCs w:val="18"/>
        </w:rPr>
        <w:t>Labour hire workers, June 2022</w:t>
      </w:r>
      <w:r w:rsidRPr="000B2A8F">
        <w:rPr>
          <w:rFonts w:cstheme="minorHAnsi"/>
          <w:sz w:val="18"/>
          <w:szCs w:val="18"/>
        </w:rPr>
        <w:t xml:space="preserve">, using </w:t>
      </w:r>
      <w:r w:rsidRPr="000B2A8F">
        <w:rPr>
          <w:rFonts w:cstheme="minorHAnsi"/>
          <w:i/>
          <w:sz w:val="18"/>
          <w:szCs w:val="18"/>
        </w:rPr>
        <w:t>Characteristics of Employment, August 2022</w:t>
      </w:r>
      <w:r w:rsidRPr="000B2A8F">
        <w:rPr>
          <w:rFonts w:cstheme="minorHAnsi"/>
          <w:sz w:val="18"/>
          <w:szCs w:val="18"/>
        </w:rPr>
        <w:t>.</w:t>
      </w:r>
    </w:p>
  </w:footnote>
  <w:footnote w:id="97">
    <w:p w14:paraId="31549BF8" w14:textId="77777777" w:rsidR="00BB07A2" w:rsidRPr="000B2A8F" w:rsidRDefault="00BB07A2" w:rsidP="00BB07A2">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Note: Figures here have been rounded for readability. Final statistics have been calculated with regard to precise data points in ABS source material.</w:t>
      </w:r>
    </w:p>
  </w:footnote>
  <w:footnote w:id="98">
    <w:p w14:paraId="15F04599" w14:textId="77777777" w:rsidR="00BB07A2" w:rsidRPr="000B2A8F" w:rsidRDefault="00BB07A2" w:rsidP="00BB07A2">
      <w:pPr>
        <w:pStyle w:val="FootnoteText"/>
        <w:rPr>
          <w:rFonts w:cstheme="minorHAnsi"/>
          <w:iCs/>
          <w:sz w:val="18"/>
          <w:szCs w:val="18"/>
        </w:rPr>
      </w:pPr>
      <w:r w:rsidRPr="000B2A8F">
        <w:rPr>
          <w:rStyle w:val="FootnoteReference"/>
          <w:rFonts w:cstheme="minorHAnsi"/>
          <w:sz w:val="18"/>
          <w:szCs w:val="18"/>
        </w:rPr>
        <w:footnoteRef/>
      </w:r>
      <w:r w:rsidRPr="000B2A8F">
        <w:rPr>
          <w:rFonts w:cstheme="minorHAnsi"/>
          <w:sz w:val="18"/>
          <w:szCs w:val="18"/>
        </w:rPr>
        <w:t xml:space="preserve"> ABS, </w:t>
      </w:r>
      <w:r w:rsidRPr="000B2A8F">
        <w:rPr>
          <w:rFonts w:cstheme="minorHAnsi"/>
          <w:i/>
          <w:sz w:val="18"/>
          <w:szCs w:val="18"/>
        </w:rPr>
        <w:t>Labour hire workers, June 2022</w:t>
      </w:r>
      <w:r w:rsidRPr="000B2A8F">
        <w:rPr>
          <w:rFonts w:cstheme="minorHAnsi"/>
          <w:sz w:val="18"/>
          <w:szCs w:val="18"/>
        </w:rPr>
        <w:t xml:space="preserve">, using </w:t>
      </w:r>
      <w:r w:rsidRPr="000B2A8F">
        <w:rPr>
          <w:rFonts w:cstheme="minorHAnsi"/>
          <w:i/>
          <w:sz w:val="18"/>
          <w:szCs w:val="18"/>
        </w:rPr>
        <w:t>Characteristics of Employment, August 2022</w:t>
      </w:r>
      <w:r w:rsidRPr="000B2A8F">
        <w:rPr>
          <w:rFonts w:cstheme="minorHAnsi"/>
          <w:sz w:val="18"/>
          <w:szCs w:val="18"/>
        </w:rPr>
        <w:t xml:space="preserve">; ABS, </w:t>
      </w:r>
      <w:r w:rsidRPr="000B2A8F">
        <w:rPr>
          <w:rFonts w:cstheme="minorHAnsi"/>
          <w:i/>
          <w:sz w:val="18"/>
          <w:szCs w:val="18"/>
        </w:rPr>
        <w:t>Jobs and Income of Employed Persons 2019-20</w:t>
      </w:r>
      <w:r w:rsidRPr="000B2A8F">
        <w:rPr>
          <w:rFonts w:cstheme="minorHAnsi"/>
          <w:iCs/>
          <w:sz w:val="18"/>
          <w:szCs w:val="18"/>
        </w:rPr>
        <w:t xml:space="preserve">. </w:t>
      </w:r>
      <w:r w:rsidRPr="000B2A8F">
        <w:rPr>
          <w:rFonts w:cstheme="minorHAnsi"/>
          <w:sz w:val="18"/>
          <w:szCs w:val="18"/>
        </w:rPr>
        <w:t>Note: Figures here have been rounded for readability. Final statistics have been calculated with regard to precise data points in ABS source material.</w:t>
      </w:r>
    </w:p>
  </w:footnote>
  <w:footnote w:id="99">
    <w:p w14:paraId="3DAAC384" w14:textId="77777777" w:rsidR="00BB07A2" w:rsidRPr="000B2A8F" w:rsidRDefault="00BB07A2" w:rsidP="00BB07A2">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In August 2022, 2.3% of all employed persons in Australia had a job in labour supply services: ABS, </w:t>
      </w:r>
      <w:r w:rsidRPr="000B2A8F">
        <w:rPr>
          <w:rFonts w:cstheme="minorHAnsi"/>
          <w:i/>
          <w:sz w:val="18"/>
          <w:szCs w:val="18"/>
        </w:rPr>
        <w:t xml:space="preserve">Labour hire workers, June 2022 </w:t>
      </w:r>
      <w:r w:rsidRPr="000B2A8F">
        <w:rPr>
          <w:rFonts w:cstheme="minorHAnsi"/>
          <w:sz w:val="18"/>
          <w:szCs w:val="18"/>
        </w:rPr>
        <w:t xml:space="preserve">(released 6 December 2022), using ABS, </w:t>
      </w:r>
      <w:r w:rsidRPr="000B2A8F">
        <w:rPr>
          <w:rFonts w:cstheme="minorHAnsi"/>
          <w:i/>
          <w:iCs/>
          <w:sz w:val="18"/>
          <w:szCs w:val="18"/>
        </w:rPr>
        <w:t>Labour Account, June 2022</w:t>
      </w:r>
      <w:r w:rsidRPr="000B2A8F">
        <w:rPr>
          <w:rFonts w:cstheme="minorHAnsi"/>
          <w:sz w:val="18"/>
          <w:szCs w:val="18"/>
        </w:rPr>
        <w:t>.</w:t>
      </w:r>
    </w:p>
  </w:footnote>
  <w:footnote w:id="100">
    <w:p w14:paraId="5B1B7CFD" w14:textId="77777777" w:rsidR="00BB07A2" w:rsidRPr="000B2A8F" w:rsidRDefault="00BB07A2" w:rsidP="00BB07A2">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The ABS notes that data sources relevant to understanding labour hire work ‘have relative strengths and limitations’: ABS, </w:t>
      </w:r>
      <w:r w:rsidRPr="000B2A8F">
        <w:rPr>
          <w:rFonts w:cstheme="minorHAnsi"/>
          <w:i/>
          <w:sz w:val="18"/>
          <w:szCs w:val="18"/>
        </w:rPr>
        <w:t xml:space="preserve">Labour hire workers, June 2022 </w:t>
      </w:r>
      <w:r w:rsidRPr="000B2A8F">
        <w:rPr>
          <w:rFonts w:cstheme="minorHAnsi"/>
          <w:sz w:val="18"/>
          <w:szCs w:val="18"/>
        </w:rPr>
        <w:t>(released 6 December 2022).</w:t>
      </w:r>
    </w:p>
  </w:footnote>
  <w:footnote w:id="101">
    <w:p w14:paraId="4896CE2D" w14:textId="77777777" w:rsidR="00BB07A2" w:rsidRPr="000B2A8F" w:rsidRDefault="00BB07A2" w:rsidP="00BB07A2">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Ibid.</w:t>
      </w:r>
    </w:p>
  </w:footnote>
  <w:footnote w:id="102">
    <w:p w14:paraId="5C706D23" w14:textId="77777777" w:rsidR="00BB07A2" w:rsidRPr="000B2A8F" w:rsidRDefault="00BB07A2" w:rsidP="00BB07A2">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ABS, </w:t>
      </w:r>
      <w:r w:rsidRPr="000B2A8F">
        <w:rPr>
          <w:rFonts w:cstheme="minorHAnsi"/>
          <w:i/>
          <w:sz w:val="18"/>
          <w:szCs w:val="18"/>
        </w:rPr>
        <w:t>Characteristics of Employment, August 2022</w:t>
      </w:r>
      <w:r w:rsidRPr="000B2A8F">
        <w:rPr>
          <w:rFonts w:cstheme="minorHAnsi"/>
          <w:sz w:val="18"/>
          <w:szCs w:val="18"/>
        </w:rPr>
        <w:t>, unpublished Tablebuilder.</w:t>
      </w:r>
    </w:p>
  </w:footnote>
  <w:footnote w:id="103">
    <w:p w14:paraId="600DFAD3" w14:textId="77777777" w:rsidR="00722655" w:rsidRPr="000B2A8F" w:rsidRDefault="00722655" w:rsidP="00722655">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OIA, </w:t>
      </w:r>
      <w:r w:rsidRPr="000B2A8F">
        <w:rPr>
          <w:rFonts w:cstheme="minorHAnsi"/>
          <w:i/>
          <w:iCs/>
          <w:sz w:val="18"/>
          <w:szCs w:val="18"/>
        </w:rPr>
        <w:t>Regulatory Burden Measurement Framework</w:t>
      </w:r>
      <w:r w:rsidRPr="000B2A8F">
        <w:rPr>
          <w:rFonts w:cstheme="minorHAnsi"/>
          <w:sz w:val="18"/>
          <w:szCs w:val="18"/>
        </w:rPr>
        <w:t>, p 11.</w:t>
      </w:r>
    </w:p>
  </w:footnote>
  <w:footnote w:id="104">
    <w:p w14:paraId="135C47DF" w14:textId="2DD5B563" w:rsidR="00722655" w:rsidRPr="000B2A8F" w:rsidRDefault="00722655" w:rsidP="00722655">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See, e.g., Fair Work Ombudsman, </w:t>
      </w:r>
      <w:r w:rsidRPr="000B2A8F">
        <w:rPr>
          <w:rFonts w:cstheme="minorHAnsi"/>
          <w:i/>
          <w:iCs/>
          <w:sz w:val="18"/>
          <w:szCs w:val="18"/>
        </w:rPr>
        <w:t xml:space="preserve">New rules for enterprise agreements and bargaining </w:t>
      </w:r>
      <w:r w:rsidRPr="000B2A8F">
        <w:rPr>
          <w:rFonts w:cstheme="minorHAnsi"/>
          <w:sz w:val="18"/>
          <w:szCs w:val="18"/>
        </w:rPr>
        <w:t xml:space="preserve">(Web page) &lt;www.fairwork.gov.au/tools-and-resources/fact-sheets/rights-and-obligations/enterprise-bargaining&gt;; </w:t>
      </w:r>
      <w:r w:rsidRPr="000B2A8F">
        <w:rPr>
          <w:rFonts w:eastAsia="Calibri" w:cstheme="minorHAnsi"/>
          <w:sz w:val="18"/>
          <w:szCs w:val="18"/>
        </w:rPr>
        <w:t xml:space="preserve">Fair Work Commission, </w:t>
      </w:r>
      <w:r w:rsidRPr="000B2A8F">
        <w:rPr>
          <w:rFonts w:eastAsia="Calibri" w:cstheme="minorHAnsi"/>
          <w:i/>
          <w:iCs/>
          <w:sz w:val="18"/>
          <w:szCs w:val="18"/>
        </w:rPr>
        <w:t xml:space="preserve">Secure Jobs Better Pay Act – what’s changing </w:t>
      </w:r>
      <w:r w:rsidRPr="000B2A8F">
        <w:rPr>
          <w:rFonts w:eastAsia="Calibri" w:cstheme="minorHAnsi"/>
          <w:sz w:val="18"/>
          <w:szCs w:val="18"/>
        </w:rPr>
        <w:t>(Web page) &lt;www.fwc.gov.au/about-us/secure-jobs-better-pay-act-whats-changing&gt;.</w:t>
      </w:r>
    </w:p>
  </w:footnote>
  <w:footnote w:id="105">
    <w:p w14:paraId="563DF9F8" w14:textId="77777777" w:rsidR="00722655" w:rsidRPr="000B2A8F" w:rsidRDefault="00722655" w:rsidP="00722655">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Attorney-General’s Department, Regulatory Impact Statement: Casual Employment Reforms</w:t>
      </w:r>
      <w:r w:rsidRPr="000B2A8F">
        <w:rPr>
          <w:rFonts w:cstheme="minorHAnsi"/>
          <w:i/>
          <w:iCs/>
          <w:sz w:val="18"/>
          <w:szCs w:val="18"/>
        </w:rPr>
        <w:t xml:space="preserve"> </w:t>
      </w:r>
      <w:r w:rsidRPr="000B2A8F">
        <w:rPr>
          <w:rFonts w:cstheme="minorHAnsi"/>
          <w:sz w:val="18"/>
          <w:szCs w:val="18"/>
        </w:rPr>
        <w:t>(December 2020), pp 10-1.</w:t>
      </w:r>
    </w:p>
  </w:footnote>
  <w:footnote w:id="106">
    <w:p w14:paraId="22AB95A2" w14:textId="77777777" w:rsidR="00722655" w:rsidRPr="000B2A8F" w:rsidRDefault="00722655" w:rsidP="00722655">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Attorney-General’s Department, Regulatory Impact Statement: Part-time flexibility (December 2020), p 9.</w:t>
      </w:r>
    </w:p>
  </w:footnote>
  <w:footnote w:id="107">
    <w:p w14:paraId="2B9828F7" w14:textId="77777777" w:rsidR="00722655" w:rsidRPr="000B2A8F" w:rsidRDefault="00722655" w:rsidP="00722655">
      <w:pPr>
        <w:pStyle w:val="FootnoteText"/>
        <w:rPr>
          <w:rFonts w:cstheme="minorHAnsi"/>
          <w:sz w:val="18"/>
          <w:szCs w:val="18"/>
        </w:rPr>
      </w:pPr>
      <w:r w:rsidRPr="000B2A8F">
        <w:rPr>
          <w:rStyle w:val="FootnoteReference"/>
          <w:rFonts w:cstheme="minorHAnsi"/>
          <w:sz w:val="18"/>
          <w:szCs w:val="18"/>
        </w:rPr>
        <w:footnoteRef/>
      </w:r>
      <w:r w:rsidRPr="000B2A8F">
        <w:rPr>
          <w:rFonts w:cstheme="minorHAnsi"/>
          <w:sz w:val="18"/>
          <w:szCs w:val="18"/>
        </w:rPr>
        <w:t xml:space="preserve"> Department of Employment and Workplace Relations, </w:t>
      </w:r>
      <w:r w:rsidRPr="000B2A8F">
        <w:rPr>
          <w:rFonts w:cstheme="minorHAnsi"/>
          <w:i/>
          <w:iCs/>
          <w:sz w:val="18"/>
          <w:szCs w:val="18"/>
        </w:rPr>
        <w:t>Enterprise bargaining outcomes from the Australian Jobs and Skills Summit, Regulation Impact Statement</w:t>
      </w:r>
      <w:r w:rsidRPr="000B2A8F">
        <w:rPr>
          <w:rFonts w:cstheme="minorHAnsi"/>
          <w:sz w:val="18"/>
          <w:szCs w:val="18"/>
        </w:rPr>
        <w:t xml:space="preserve"> (October 2022), pp 48, 53, 58.</w:t>
      </w:r>
    </w:p>
  </w:footnote>
  <w:footnote w:id="108">
    <w:p w14:paraId="402D7B73" w14:textId="42D410F0" w:rsidR="7C59B8DA" w:rsidRPr="000B2A8F" w:rsidRDefault="7C59B8DA" w:rsidP="7C59B8DA">
      <w:pPr>
        <w:rPr>
          <w:rFonts w:cstheme="minorHAnsi"/>
          <w:sz w:val="18"/>
          <w:szCs w:val="18"/>
        </w:rPr>
      </w:pPr>
      <w:r w:rsidRPr="00D0307B">
        <w:rPr>
          <w:rFonts w:cstheme="minorHAnsi"/>
          <w:sz w:val="18"/>
          <w:szCs w:val="18"/>
          <w:vertAlign w:val="superscript"/>
        </w:rPr>
        <w:footnoteRef/>
      </w:r>
      <w:r w:rsidRPr="000B2A8F">
        <w:rPr>
          <w:rFonts w:cstheme="minorHAnsi"/>
          <w:sz w:val="18"/>
          <w:szCs w:val="18"/>
        </w:rPr>
        <w:t xml:space="preserve"> Note: Figures in the component parts of this formula have been rounded for readability. Final statistics have been calculated with regard to precise data points.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62B7" w14:textId="77777777" w:rsidR="00DB5F59" w:rsidRDefault="00DB5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4DC4" w14:textId="77777777" w:rsidR="00DB5F59" w:rsidRDefault="00DB5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70E42" w14:textId="77777777" w:rsidR="00DB5F59" w:rsidRDefault="00DB5F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0633D" w14:textId="6A3F363A" w:rsidR="0068783E" w:rsidRDefault="006878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2A351" w14:textId="1610362D" w:rsidR="00EA67FC" w:rsidRDefault="00EA67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FBE0" w14:textId="483D1443" w:rsidR="0068783E" w:rsidRDefault="00687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D9D"/>
    <w:multiLevelType w:val="hybridMultilevel"/>
    <w:tmpl w:val="906C01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E0489A"/>
    <w:multiLevelType w:val="hybridMultilevel"/>
    <w:tmpl w:val="FFFFFFFF"/>
    <w:lvl w:ilvl="0" w:tplc="402EB9FA">
      <w:start w:val="1"/>
      <w:numFmt w:val="bullet"/>
      <w:lvlText w:val="·"/>
      <w:lvlJc w:val="left"/>
      <w:pPr>
        <w:ind w:left="720" w:hanging="360"/>
      </w:pPr>
      <w:rPr>
        <w:rFonts w:ascii="Symbol" w:hAnsi="Symbol" w:hint="default"/>
      </w:rPr>
    </w:lvl>
    <w:lvl w:ilvl="1" w:tplc="314CA82A">
      <w:start w:val="1"/>
      <w:numFmt w:val="bullet"/>
      <w:lvlText w:val="o"/>
      <w:lvlJc w:val="left"/>
      <w:pPr>
        <w:ind w:left="1440" w:hanging="360"/>
      </w:pPr>
      <w:rPr>
        <w:rFonts w:ascii="Courier New" w:hAnsi="Courier New" w:hint="default"/>
      </w:rPr>
    </w:lvl>
    <w:lvl w:ilvl="2" w:tplc="FE92E07E">
      <w:start w:val="1"/>
      <w:numFmt w:val="bullet"/>
      <w:lvlText w:val=""/>
      <w:lvlJc w:val="left"/>
      <w:pPr>
        <w:ind w:left="2160" w:hanging="360"/>
      </w:pPr>
      <w:rPr>
        <w:rFonts w:ascii="Wingdings" w:hAnsi="Wingdings" w:hint="default"/>
      </w:rPr>
    </w:lvl>
    <w:lvl w:ilvl="3" w:tplc="01FC67A8">
      <w:start w:val="1"/>
      <w:numFmt w:val="bullet"/>
      <w:lvlText w:val=""/>
      <w:lvlJc w:val="left"/>
      <w:pPr>
        <w:ind w:left="2880" w:hanging="360"/>
      </w:pPr>
      <w:rPr>
        <w:rFonts w:ascii="Symbol" w:hAnsi="Symbol" w:hint="default"/>
      </w:rPr>
    </w:lvl>
    <w:lvl w:ilvl="4" w:tplc="216468D2">
      <w:start w:val="1"/>
      <w:numFmt w:val="bullet"/>
      <w:lvlText w:val="o"/>
      <w:lvlJc w:val="left"/>
      <w:pPr>
        <w:ind w:left="3600" w:hanging="360"/>
      </w:pPr>
      <w:rPr>
        <w:rFonts w:ascii="Courier New" w:hAnsi="Courier New" w:hint="default"/>
      </w:rPr>
    </w:lvl>
    <w:lvl w:ilvl="5" w:tplc="A1524D4A">
      <w:start w:val="1"/>
      <w:numFmt w:val="bullet"/>
      <w:lvlText w:val=""/>
      <w:lvlJc w:val="left"/>
      <w:pPr>
        <w:ind w:left="4320" w:hanging="360"/>
      </w:pPr>
      <w:rPr>
        <w:rFonts w:ascii="Wingdings" w:hAnsi="Wingdings" w:hint="default"/>
      </w:rPr>
    </w:lvl>
    <w:lvl w:ilvl="6" w:tplc="647AFA70">
      <w:start w:val="1"/>
      <w:numFmt w:val="bullet"/>
      <w:lvlText w:val=""/>
      <w:lvlJc w:val="left"/>
      <w:pPr>
        <w:ind w:left="5040" w:hanging="360"/>
      </w:pPr>
      <w:rPr>
        <w:rFonts w:ascii="Symbol" w:hAnsi="Symbol" w:hint="default"/>
      </w:rPr>
    </w:lvl>
    <w:lvl w:ilvl="7" w:tplc="592EA916">
      <w:start w:val="1"/>
      <w:numFmt w:val="bullet"/>
      <w:lvlText w:val="o"/>
      <w:lvlJc w:val="left"/>
      <w:pPr>
        <w:ind w:left="5760" w:hanging="360"/>
      </w:pPr>
      <w:rPr>
        <w:rFonts w:ascii="Courier New" w:hAnsi="Courier New" w:hint="default"/>
      </w:rPr>
    </w:lvl>
    <w:lvl w:ilvl="8" w:tplc="48C4EEB4">
      <w:start w:val="1"/>
      <w:numFmt w:val="bullet"/>
      <w:lvlText w:val=""/>
      <w:lvlJc w:val="left"/>
      <w:pPr>
        <w:ind w:left="6480" w:hanging="360"/>
      </w:pPr>
      <w:rPr>
        <w:rFonts w:ascii="Wingdings" w:hAnsi="Wingdings" w:hint="default"/>
      </w:rPr>
    </w:lvl>
  </w:abstractNum>
  <w:abstractNum w:abstractNumId="2" w15:restartNumberingAfterBreak="0">
    <w:nsid w:val="0DCE4BFA"/>
    <w:multiLevelType w:val="hybridMultilevel"/>
    <w:tmpl w:val="B956B7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152336"/>
    <w:multiLevelType w:val="hybridMultilevel"/>
    <w:tmpl w:val="2D7C3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B64F95"/>
    <w:multiLevelType w:val="hybridMultilevel"/>
    <w:tmpl w:val="35FEA2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1B50C9"/>
    <w:multiLevelType w:val="hybridMultilevel"/>
    <w:tmpl w:val="17240B2A"/>
    <w:lvl w:ilvl="0" w:tplc="BE288374">
      <w:start w:val="1"/>
      <w:numFmt w:val="bullet"/>
      <w:lvlText w:val=""/>
      <w:lvlJc w:val="left"/>
      <w:pPr>
        <w:ind w:left="360" w:hanging="360"/>
      </w:pPr>
      <w:rPr>
        <w:rFonts w:ascii="Symbol" w:hAnsi="Symbol" w:hint="default"/>
        <w:b w:val="0"/>
        <w:bCs w:val="0"/>
        <w:sz w:val="22"/>
        <w:szCs w:val="22"/>
        <w:vertAlign w:val="baseline"/>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17611697"/>
    <w:multiLevelType w:val="hybridMultilevel"/>
    <w:tmpl w:val="C4AA25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812F98"/>
    <w:multiLevelType w:val="multilevel"/>
    <w:tmpl w:val="12A0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094D9F"/>
    <w:multiLevelType w:val="hybridMultilevel"/>
    <w:tmpl w:val="4A96B1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3507E5"/>
    <w:multiLevelType w:val="hybridMultilevel"/>
    <w:tmpl w:val="004E0AE8"/>
    <w:lvl w:ilvl="0" w:tplc="FFFFFFFF">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2" w15:restartNumberingAfterBreak="0">
    <w:nsid w:val="1BEA28D5"/>
    <w:multiLevelType w:val="hybridMultilevel"/>
    <w:tmpl w:val="53C29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537D5E"/>
    <w:multiLevelType w:val="hybridMultilevel"/>
    <w:tmpl w:val="A6BCE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8C6CC1"/>
    <w:multiLevelType w:val="hybridMultilevel"/>
    <w:tmpl w:val="DFCE8E5E"/>
    <w:lvl w:ilvl="0" w:tplc="FFFFFFFF">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7BF0205"/>
    <w:multiLevelType w:val="hybridMultilevel"/>
    <w:tmpl w:val="6C22B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A33DEB"/>
    <w:multiLevelType w:val="hybridMultilevel"/>
    <w:tmpl w:val="37088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82D5D4D"/>
    <w:multiLevelType w:val="hybridMultilevel"/>
    <w:tmpl w:val="2BCC8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780A0C"/>
    <w:multiLevelType w:val="hybridMultilevel"/>
    <w:tmpl w:val="BF3014BA"/>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8AE3831"/>
    <w:multiLevelType w:val="hybridMultilevel"/>
    <w:tmpl w:val="D5965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D75ACD"/>
    <w:multiLevelType w:val="hybridMultilevel"/>
    <w:tmpl w:val="6DE67D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03425C"/>
    <w:multiLevelType w:val="hybridMultilevel"/>
    <w:tmpl w:val="4AFE69A8"/>
    <w:lvl w:ilvl="0" w:tplc="FFFFFFFF">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F25ED0"/>
    <w:multiLevelType w:val="hybridMultilevel"/>
    <w:tmpl w:val="15B4E5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4D02F4"/>
    <w:multiLevelType w:val="hybridMultilevel"/>
    <w:tmpl w:val="D38AD5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771B19"/>
    <w:multiLevelType w:val="hybridMultilevel"/>
    <w:tmpl w:val="A518173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AD0AD3"/>
    <w:multiLevelType w:val="hybridMultilevel"/>
    <w:tmpl w:val="06C297D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455DBC"/>
    <w:multiLevelType w:val="hybridMultilevel"/>
    <w:tmpl w:val="74BE06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B298E"/>
    <w:multiLevelType w:val="hybridMultilevel"/>
    <w:tmpl w:val="F4E0C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DA739E"/>
    <w:multiLevelType w:val="hybridMultilevel"/>
    <w:tmpl w:val="D4FE956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E22066"/>
    <w:multiLevelType w:val="hybridMultilevel"/>
    <w:tmpl w:val="4E3004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EC782E"/>
    <w:multiLevelType w:val="hybridMultilevel"/>
    <w:tmpl w:val="02BA08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B35EA0"/>
    <w:multiLevelType w:val="hybridMultilevel"/>
    <w:tmpl w:val="E038787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4" w15:restartNumberingAfterBreak="0">
    <w:nsid w:val="6EA56FC3"/>
    <w:multiLevelType w:val="hybridMultilevel"/>
    <w:tmpl w:val="B95A5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FB0913"/>
    <w:multiLevelType w:val="hybridMultilevel"/>
    <w:tmpl w:val="D792AEAA"/>
    <w:lvl w:ilvl="0" w:tplc="2D1007D8">
      <w:start w:val="1"/>
      <w:numFmt w:val="decimal"/>
      <w:lvlText w:val="%1."/>
      <w:lvlJc w:val="left"/>
      <w:pPr>
        <w:ind w:left="720" w:hanging="360"/>
      </w:pPr>
      <w:rPr>
        <w:rFonts w:hint="default"/>
        <w:sz w:val="22"/>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C24969"/>
    <w:multiLevelType w:val="hybridMultilevel"/>
    <w:tmpl w:val="28B043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5D7C23"/>
    <w:multiLevelType w:val="multilevel"/>
    <w:tmpl w:val="6212EB86"/>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8" w15:restartNumberingAfterBreak="0">
    <w:nsid w:val="7E391466"/>
    <w:multiLevelType w:val="hybridMultilevel"/>
    <w:tmpl w:val="7A266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EA55004"/>
    <w:multiLevelType w:val="hybridMultilevel"/>
    <w:tmpl w:val="9754F0D4"/>
    <w:lvl w:ilvl="0" w:tplc="9FBA0D6A">
      <w:start w:val="1"/>
      <w:numFmt w:val="decimal"/>
      <w:lvlText w:val="%1."/>
      <w:lvlJc w:val="left"/>
      <w:pPr>
        <w:ind w:left="720" w:hanging="360"/>
      </w:pPr>
      <w:rPr>
        <w:rFonts w:asciiTheme="minorHAnsi" w:hAnsiTheme="minorHAnsi" w:cs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7"/>
  </w:num>
  <w:num w:numId="3">
    <w:abstractNumId w:val="1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2"/>
  </w:num>
  <w:num w:numId="7">
    <w:abstractNumId w:val="37"/>
  </w:num>
  <w:num w:numId="8">
    <w:abstractNumId w:val="35"/>
  </w:num>
  <w:num w:numId="9">
    <w:abstractNumId w:val="23"/>
  </w:num>
  <w:num w:numId="10">
    <w:abstractNumId w:val="20"/>
  </w:num>
  <w:num w:numId="11">
    <w:abstractNumId w:val="6"/>
  </w:num>
  <w:num w:numId="12">
    <w:abstractNumId w:val="5"/>
  </w:num>
  <w:num w:numId="13">
    <w:abstractNumId w:val="39"/>
  </w:num>
  <w:num w:numId="14">
    <w:abstractNumId w:val="1"/>
  </w:num>
  <w:num w:numId="15">
    <w:abstractNumId w:val="2"/>
  </w:num>
  <w:num w:numId="16">
    <w:abstractNumId w:val="10"/>
  </w:num>
  <w:num w:numId="17">
    <w:abstractNumId w:val="27"/>
  </w:num>
  <w:num w:numId="18">
    <w:abstractNumId w:val="16"/>
  </w:num>
  <w:num w:numId="19">
    <w:abstractNumId w:val="31"/>
  </w:num>
  <w:num w:numId="20">
    <w:abstractNumId w:val="30"/>
  </w:num>
  <w:num w:numId="21">
    <w:abstractNumId w:val="11"/>
  </w:num>
  <w:num w:numId="22">
    <w:abstractNumId w:val="26"/>
  </w:num>
  <w:num w:numId="23">
    <w:abstractNumId w:val="14"/>
  </w:num>
  <w:num w:numId="24">
    <w:abstractNumId w:val="9"/>
  </w:num>
  <w:num w:numId="25">
    <w:abstractNumId w:val="28"/>
  </w:num>
  <w:num w:numId="26">
    <w:abstractNumId w:val="34"/>
  </w:num>
  <w:num w:numId="27">
    <w:abstractNumId w:val="0"/>
  </w:num>
  <w:num w:numId="28">
    <w:abstractNumId w:val="25"/>
  </w:num>
  <w:num w:numId="29">
    <w:abstractNumId w:val="22"/>
  </w:num>
  <w:num w:numId="30">
    <w:abstractNumId w:val="36"/>
  </w:num>
  <w:num w:numId="31">
    <w:abstractNumId w:val="8"/>
  </w:num>
  <w:num w:numId="32">
    <w:abstractNumId w:val="13"/>
  </w:num>
  <w:num w:numId="33">
    <w:abstractNumId w:val="21"/>
  </w:num>
  <w:num w:numId="34">
    <w:abstractNumId w:val="12"/>
  </w:num>
  <w:num w:numId="35">
    <w:abstractNumId w:val="33"/>
  </w:num>
  <w:num w:numId="36">
    <w:abstractNumId w:val="38"/>
  </w:num>
  <w:num w:numId="37">
    <w:abstractNumId w:val="19"/>
  </w:num>
  <w:num w:numId="38">
    <w:abstractNumId w:val="24"/>
  </w:num>
  <w:num w:numId="39">
    <w:abstractNumId w:val="4"/>
  </w:num>
  <w:num w:numId="40">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7E"/>
    <w:rsid w:val="000003F4"/>
    <w:rsid w:val="0000147A"/>
    <w:rsid w:val="00001713"/>
    <w:rsid w:val="00001AD2"/>
    <w:rsid w:val="00001C72"/>
    <w:rsid w:val="0000227A"/>
    <w:rsid w:val="000026F9"/>
    <w:rsid w:val="00002962"/>
    <w:rsid w:val="000031C4"/>
    <w:rsid w:val="0000412E"/>
    <w:rsid w:val="00004ED9"/>
    <w:rsid w:val="00005951"/>
    <w:rsid w:val="000065D1"/>
    <w:rsid w:val="00006793"/>
    <w:rsid w:val="000067AE"/>
    <w:rsid w:val="00006A0C"/>
    <w:rsid w:val="00006A96"/>
    <w:rsid w:val="00007A3A"/>
    <w:rsid w:val="00007F6A"/>
    <w:rsid w:val="0001006C"/>
    <w:rsid w:val="00010341"/>
    <w:rsid w:val="0001037C"/>
    <w:rsid w:val="0001038E"/>
    <w:rsid w:val="00010429"/>
    <w:rsid w:val="00010C01"/>
    <w:rsid w:val="00010EC6"/>
    <w:rsid w:val="00011426"/>
    <w:rsid w:val="00011B80"/>
    <w:rsid w:val="00012F8D"/>
    <w:rsid w:val="0001459C"/>
    <w:rsid w:val="0001503E"/>
    <w:rsid w:val="00015180"/>
    <w:rsid w:val="0001548F"/>
    <w:rsid w:val="0001556E"/>
    <w:rsid w:val="00015D48"/>
    <w:rsid w:val="000167D8"/>
    <w:rsid w:val="00016C6B"/>
    <w:rsid w:val="00016CFB"/>
    <w:rsid w:val="00017345"/>
    <w:rsid w:val="000176EA"/>
    <w:rsid w:val="00017AE4"/>
    <w:rsid w:val="000207E6"/>
    <w:rsid w:val="00021F55"/>
    <w:rsid w:val="00022680"/>
    <w:rsid w:val="00022BA9"/>
    <w:rsid w:val="00022F29"/>
    <w:rsid w:val="00022FB1"/>
    <w:rsid w:val="000235CC"/>
    <w:rsid w:val="00023BC8"/>
    <w:rsid w:val="000241EA"/>
    <w:rsid w:val="000249F7"/>
    <w:rsid w:val="00024B72"/>
    <w:rsid w:val="00024CB6"/>
    <w:rsid w:val="00025483"/>
    <w:rsid w:val="00025E3E"/>
    <w:rsid w:val="00025F90"/>
    <w:rsid w:val="0002626A"/>
    <w:rsid w:val="000266C4"/>
    <w:rsid w:val="00026B27"/>
    <w:rsid w:val="0002777A"/>
    <w:rsid w:val="00027CA1"/>
    <w:rsid w:val="0003088A"/>
    <w:rsid w:val="00030CF1"/>
    <w:rsid w:val="00030D41"/>
    <w:rsid w:val="0003183F"/>
    <w:rsid w:val="000318EE"/>
    <w:rsid w:val="00031A81"/>
    <w:rsid w:val="00031B99"/>
    <w:rsid w:val="00031BE0"/>
    <w:rsid w:val="00032766"/>
    <w:rsid w:val="00032A4B"/>
    <w:rsid w:val="00032B67"/>
    <w:rsid w:val="00032D40"/>
    <w:rsid w:val="00033310"/>
    <w:rsid w:val="000337F8"/>
    <w:rsid w:val="000339F2"/>
    <w:rsid w:val="00033B8B"/>
    <w:rsid w:val="00033BA2"/>
    <w:rsid w:val="00033BF1"/>
    <w:rsid w:val="00033C6A"/>
    <w:rsid w:val="000340F4"/>
    <w:rsid w:val="0003417A"/>
    <w:rsid w:val="00034387"/>
    <w:rsid w:val="000348DA"/>
    <w:rsid w:val="00034A58"/>
    <w:rsid w:val="0003541D"/>
    <w:rsid w:val="0003565B"/>
    <w:rsid w:val="00035B8A"/>
    <w:rsid w:val="00035D9A"/>
    <w:rsid w:val="000361C6"/>
    <w:rsid w:val="00036267"/>
    <w:rsid w:val="00036FAA"/>
    <w:rsid w:val="000370F6"/>
    <w:rsid w:val="0003723B"/>
    <w:rsid w:val="00040128"/>
    <w:rsid w:val="000402DB"/>
    <w:rsid w:val="0004038A"/>
    <w:rsid w:val="0004092A"/>
    <w:rsid w:val="00040C6C"/>
    <w:rsid w:val="00041686"/>
    <w:rsid w:val="00041AD5"/>
    <w:rsid w:val="00041CE7"/>
    <w:rsid w:val="00042151"/>
    <w:rsid w:val="0004245C"/>
    <w:rsid w:val="000427FC"/>
    <w:rsid w:val="00043085"/>
    <w:rsid w:val="000433D1"/>
    <w:rsid w:val="0004376F"/>
    <w:rsid w:val="000438F1"/>
    <w:rsid w:val="00043BCB"/>
    <w:rsid w:val="00044079"/>
    <w:rsid w:val="00044240"/>
    <w:rsid w:val="00044273"/>
    <w:rsid w:val="000446DE"/>
    <w:rsid w:val="00044711"/>
    <w:rsid w:val="00044D10"/>
    <w:rsid w:val="00044EDA"/>
    <w:rsid w:val="000453BE"/>
    <w:rsid w:val="00045B76"/>
    <w:rsid w:val="00046ABC"/>
    <w:rsid w:val="00046ADF"/>
    <w:rsid w:val="00046E92"/>
    <w:rsid w:val="00047527"/>
    <w:rsid w:val="00047C10"/>
    <w:rsid w:val="00047CC9"/>
    <w:rsid w:val="00050ECA"/>
    <w:rsid w:val="000513DA"/>
    <w:rsid w:val="00051475"/>
    <w:rsid w:val="00051BF9"/>
    <w:rsid w:val="0005236E"/>
    <w:rsid w:val="0005242C"/>
    <w:rsid w:val="000527F3"/>
    <w:rsid w:val="00052BBC"/>
    <w:rsid w:val="00053554"/>
    <w:rsid w:val="00053719"/>
    <w:rsid w:val="00053F49"/>
    <w:rsid w:val="0005451A"/>
    <w:rsid w:val="00054ADF"/>
    <w:rsid w:val="00054E39"/>
    <w:rsid w:val="000551C8"/>
    <w:rsid w:val="00055709"/>
    <w:rsid w:val="00056017"/>
    <w:rsid w:val="000561AF"/>
    <w:rsid w:val="00056407"/>
    <w:rsid w:val="000564F6"/>
    <w:rsid w:val="0005660D"/>
    <w:rsid w:val="000569B6"/>
    <w:rsid w:val="00057FB7"/>
    <w:rsid w:val="00060239"/>
    <w:rsid w:val="00060A19"/>
    <w:rsid w:val="00060A9B"/>
    <w:rsid w:val="00060FF1"/>
    <w:rsid w:val="0006173A"/>
    <w:rsid w:val="000626A5"/>
    <w:rsid w:val="00062A8A"/>
    <w:rsid w:val="00062C84"/>
    <w:rsid w:val="000630D5"/>
    <w:rsid w:val="000635CF"/>
    <w:rsid w:val="000637DE"/>
    <w:rsid w:val="00063C36"/>
    <w:rsid w:val="00064726"/>
    <w:rsid w:val="00064ECE"/>
    <w:rsid w:val="00065E78"/>
    <w:rsid w:val="000665D7"/>
    <w:rsid w:val="00066CC3"/>
    <w:rsid w:val="0006701E"/>
    <w:rsid w:val="000672C7"/>
    <w:rsid w:val="00070065"/>
    <w:rsid w:val="00070C65"/>
    <w:rsid w:val="00070C9F"/>
    <w:rsid w:val="000717F9"/>
    <w:rsid w:val="000719B3"/>
    <w:rsid w:val="00072FCC"/>
    <w:rsid w:val="00073451"/>
    <w:rsid w:val="000745FA"/>
    <w:rsid w:val="00074917"/>
    <w:rsid w:val="0007578D"/>
    <w:rsid w:val="000766A3"/>
    <w:rsid w:val="00076DA9"/>
    <w:rsid w:val="00077085"/>
    <w:rsid w:val="0007790A"/>
    <w:rsid w:val="00077DC1"/>
    <w:rsid w:val="00080152"/>
    <w:rsid w:val="00080446"/>
    <w:rsid w:val="000813F9"/>
    <w:rsid w:val="00081684"/>
    <w:rsid w:val="000816CB"/>
    <w:rsid w:val="00081C87"/>
    <w:rsid w:val="0008276C"/>
    <w:rsid w:val="000829AE"/>
    <w:rsid w:val="00082CDE"/>
    <w:rsid w:val="00082DFA"/>
    <w:rsid w:val="00082E0F"/>
    <w:rsid w:val="000836C3"/>
    <w:rsid w:val="000836D4"/>
    <w:rsid w:val="00083D39"/>
    <w:rsid w:val="00083D81"/>
    <w:rsid w:val="000841ED"/>
    <w:rsid w:val="00084465"/>
    <w:rsid w:val="000846E3"/>
    <w:rsid w:val="00084CA9"/>
    <w:rsid w:val="00084FC9"/>
    <w:rsid w:val="00085424"/>
    <w:rsid w:val="00085757"/>
    <w:rsid w:val="00085B71"/>
    <w:rsid w:val="00085E72"/>
    <w:rsid w:val="00085F2C"/>
    <w:rsid w:val="00086F90"/>
    <w:rsid w:val="0008758C"/>
    <w:rsid w:val="000875D3"/>
    <w:rsid w:val="0008770E"/>
    <w:rsid w:val="00087729"/>
    <w:rsid w:val="00087AE1"/>
    <w:rsid w:val="00087F27"/>
    <w:rsid w:val="00090360"/>
    <w:rsid w:val="000904C7"/>
    <w:rsid w:val="00090684"/>
    <w:rsid w:val="000906B2"/>
    <w:rsid w:val="000907FF"/>
    <w:rsid w:val="000908C4"/>
    <w:rsid w:val="00090C53"/>
    <w:rsid w:val="00090EEC"/>
    <w:rsid w:val="000917F0"/>
    <w:rsid w:val="0009196C"/>
    <w:rsid w:val="00092505"/>
    <w:rsid w:val="000928C4"/>
    <w:rsid w:val="00092940"/>
    <w:rsid w:val="00092E60"/>
    <w:rsid w:val="00092EB5"/>
    <w:rsid w:val="00092F31"/>
    <w:rsid w:val="00093CF9"/>
    <w:rsid w:val="00093EDC"/>
    <w:rsid w:val="0009426B"/>
    <w:rsid w:val="000945DB"/>
    <w:rsid w:val="00094673"/>
    <w:rsid w:val="00094689"/>
    <w:rsid w:val="00095B72"/>
    <w:rsid w:val="00095BBF"/>
    <w:rsid w:val="00096573"/>
    <w:rsid w:val="00096AA5"/>
    <w:rsid w:val="00096AF7"/>
    <w:rsid w:val="00097181"/>
    <w:rsid w:val="000978F3"/>
    <w:rsid w:val="000A0283"/>
    <w:rsid w:val="000A0FEC"/>
    <w:rsid w:val="000A1108"/>
    <w:rsid w:val="000A157E"/>
    <w:rsid w:val="000A1821"/>
    <w:rsid w:val="000A188E"/>
    <w:rsid w:val="000A1935"/>
    <w:rsid w:val="000A21B1"/>
    <w:rsid w:val="000A26B5"/>
    <w:rsid w:val="000A276F"/>
    <w:rsid w:val="000A3194"/>
    <w:rsid w:val="000A33BE"/>
    <w:rsid w:val="000A3446"/>
    <w:rsid w:val="000A3FA5"/>
    <w:rsid w:val="000A4046"/>
    <w:rsid w:val="000A4105"/>
    <w:rsid w:val="000A453D"/>
    <w:rsid w:val="000A4BB0"/>
    <w:rsid w:val="000A57A7"/>
    <w:rsid w:val="000A6249"/>
    <w:rsid w:val="000A6523"/>
    <w:rsid w:val="000A6C62"/>
    <w:rsid w:val="000A6ED7"/>
    <w:rsid w:val="000A7974"/>
    <w:rsid w:val="000A7C2A"/>
    <w:rsid w:val="000A7E72"/>
    <w:rsid w:val="000B091C"/>
    <w:rsid w:val="000B0ABD"/>
    <w:rsid w:val="000B17C9"/>
    <w:rsid w:val="000B1A17"/>
    <w:rsid w:val="000B2492"/>
    <w:rsid w:val="000B259B"/>
    <w:rsid w:val="000B25AE"/>
    <w:rsid w:val="000B2698"/>
    <w:rsid w:val="000B2A8F"/>
    <w:rsid w:val="000B2C4D"/>
    <w:rsid w:val="000B31BA"/>
    <w:rsid w:val="000B368E"/>
    <w:rsid w:val="000B44C2"/>
    <w:rsid w:val="000B4D12"/>
    <w:rsid w:val="000B526A"/>
    <w:rsid w:val="000B52C0"/>
    <w:rsid w:val="000B5A8E"/>
    <w:rsid w:val="000B5AF4"/>
    <w:rsid w:val="000B5DFC"/>
    <w:rsid w:val="000B5F69"/>
    <w:rsid w:val="000B6F72"/>
    <w:rsid w:val="000B7313"/>
    <w:rsid w:val="000B765F"/>
    <w:rsid w:val="000B7738"/>
    <w:rsid w:val="000B78BA"/>
    <w:rsid w:val="000C0418"/>
    <w:rsid w:val="000C0BF7"/>
    <w:rsid w:val="000C0C2D"/>
    <w:rsid w:val="000C1421"/>
    <w:rsid w:val="000C1571"/>
    <w:rsid w:val="000C20C8"/>
    <w:rsid w:val="000C2977"/>
    <w:rsid w:val="000C29A7"/>
    <w:rsid w:val="000C2EE8"/>
    <w:rsid w:val="000C3A88"/>
    <w:rsid w:val="000C3E11"/>
    <w:rsid w:val="000C3E76"/>
    <w:rsid w:val="000C3F28"/>
    <w:rsid w:val="000C4686"/>
    <w:rsid w:val="000C4CD9"/>
    <w:rsid w:val="000C4E62"/>
    <w:rsid w:val="000C4FAD"/>
    <w:rsid w:val="000C5C9A"/>
    <w:rsid w:val="000C5E66"/>
    <w:rsid w:val="000C5E85"/>
    <w:rsid w:val="000C636B"/>
    <w:rsid w:val="000C642F"/>
    <w:rsid w:val="000C6632"/>
    <w:rsid w:val="000C6DA9"/>
    <w:rsid w:val="000C78E6"/>
    <w:rsid w:val="000C79E4"/>
    <w:rsid w:val="000D00A9"/>
    <w:rsid w:val="000D0519"/>
    <w:rsid w:val="000D08A3"/>
    <w:rsid w:val="000D0E80"/>
    <w:rsid w:val="000D1BC4"/>
    <w:rsid w:val="000D2524"/>
    <w:rsid w:val="000D2F33"/>
    <w:rsid w:val="000D305D"/>
    <w:rsid w:val="000D3077"/>
    <w:rsid w:val="000D3719"/>
    <w:rsid w:val="000D38B1"/>
    <w:rsid w:val="000D39D3"/>
    <w:rsid w:val="000D3FDC"/>
    <w:rsid w:val="000D47D4"/>
    <w:rsid w:val="000D51B1"/>
    <w:rsid w:val="000D5ECD"/>
    <w:rsid w:val="000D657B"/>
    <w:rsid w:val="000D6A5C"/>
    <w:rsid w:val="000D772D"/>
    <w:rsid w:val="000D7CA2"/>
    <w:rsid w:val="000E0555"/>
    <w:rsid w:val="000E0E77"/>
    <w:rsid w:val="000E1027"/>
    <w:rsid w:val="000E117B"/>
    <w:rsid w:val="000E198F"/>
    <w:rsid w:val="000E290B"/>
    <w:rsid w:val="000E2A4A"/>
    <w:rsid w:val="000E2ABA"/>
    <w:rsid w:val="000E2D5E"/>
    <w:rsid w:val="000E33EB"/>
    <w:rsid w:val="000E36E6"/>
    <w:rsid w:val="000E39ED"/>
    <w:rsid w:val="000E3D80"/>
    <w:rsid w:val="000E40F6"/>
    <w:rsid w:val="000E4371"/>
    <w:rsid w:val="000E50D4"/>
    <w:rsid w:val="000E5116"/>
    <w:rsid w:val="000E5203"/>
    <w:rsid w:val="000E545C"/>
    <w:rsid w:val="000E5937"/>
    <w:rsid w:val="000E5A28"/>
    <w:rsid w:val="000E5EA0"/>
    <w:rsid w:val="000E6118"/>
    <w:rsid w:val="000E6DB1"/>
    <w:rsid w:val="000E6FDF"/>
    <w:rsid w:val="000E70DA"/>
    <w:rsid w:val="000E7411"/>
    <w:rsid w:val="000E76BF"/>
    <w:rsid w:val="000E7939"/>
    <w:rsid w:val="000E7D55"/>
    <w:rsid w:val="000F04B3"/>
    <w:rsid w:val="000F0A9C"/>
    <w:rsid w:val="000F0AB4"/>
    <w:rsid w:val="000F0B8E"/>
    <w:rsid w:val="000F1290"/>
    <w:rsid w:val="000F1339"/>
    <w:rsid w:val="000F1358"/>
    <w:rsid w:val="000F16D9"/>
    <w:rsid w:val="000F1A6E"/>
    <w:rsid w:val="000F1D49"/>
    <w:rsid w:val="000F1E6A"/>
    <w:rsid w:val="000F2379"/>
    <w:rsid w:val="000F2B02"/>
    <w:rsid w:val="000F2C79"/>
    <w:rsid w:val="000F2D5A"/>
    <w:rsid w:val="000F2EE5"/>
    <w:rsid w:val="000F3360"/>
    <w:rsid w:val="000F3FCA"/>
    <w:rsid w:val="000F4030"/>
    <w:rsid w:val="000F46D9"/>
    <w:rsid w:val="000F497A"/>
    <w:rsid w:val="000F5867"/>
    <w:rsid w:val="000F5A48"/>
    <w:rsid w:val="000F605A"/>
    <w:rsid w:val="000F62ED"/>
    <w:rsid w:val="000F6866"/>
    <w:rsid w:val="000F68F9"/>
    <w:rsid w:val="000F6980"/>
    <w:rsid w:val="000F6A48"/>
    <w:rsid w:val="000F6BB0"/>
    <w:rsid w:val="000F7520"/>
    <w:rsid w:val="000F7EF7"/>
    <w:rsid w:val="0010027A"/>
    <w:rsid w:val="00102644"/>
    <w:rsid w:val="001026E0"/>
    <w:rsid w:val="001026E1"/>
    <w:rsid w:val="00102B16"/>
    <w:rsid w:val="00102E9E"/>
    <w:rsid w:val="0010380A"/>
    <w:rsid w:val="00103C9E"/>
    <w:rsid w:val="001045BC"/>
    <w:rsid w:val="00104D7E"/>
    <w:rsid w:val="00105A1E"/>
    <w:rsid w:val="00105D88"/>
    <w:rsid w:val="00105EC2"/>
    <w:rsid w:val="00106344"/>
    <w:rsid w:val="0010638A"/>
    <w:rsid w:val="00106CC7"/>
    <w:rsid w:val="00107316"/>
    <w:rsid w:val="001073C4"/>
    <w:rsid w:val="001074C3"/>
    <w:rsid w:val="00110008"/>
    <w:rsid w:val="001105F4"/>
    <w:rsid w:val="0011099D"/>
    <w:rsid w:val="001112C8"/>
    <w:rsid w:val="001122AB"/>
    <w:rsid w:val="001124D5"/>
    <w:rsid w:val="00112656"/>
    <w:rsid w:val="00113106"/>
    <w:rsid w:val="0011375A"/>
    <w:rsid w:val="00113A2C"/>
    <w:rsid w:val="00114287"/>
    <w:rsid w:val="001148E7"/>
    <w:rsid w:val="001149DA"/>
    <w:rsid w:val="00114A6F"/>
    <w:rsid w:val="00115014"/>
    <w:rsid w:val="001163E7"/>
    <w:rsid w:val="00116A12"/>
    <w:rsid w:val="001172C5"/>
    <w:rsid w:val="0011790B"/>
    <w:rsid w:val="001201E5"/>
    <w:rsid w:val="001202C1"/>
    <w:rsid w:val="001215A4"/>
    <w:rsid w:val="00121772"/>
    <w:rsid w:val="00121A91"/>
    <w:rsid w:val="0012201D"/>
    <w:rsid w:val="0012274D"/>
    <w:rsid w:val="00122A90"/>
    <w:rsid w:val="001231C9"/>
    <w:rsid w:val="00123464"/>
    <w:rsid w:val="001236BE"/>
    <w:rsid w:val="00123DEC"/>
    <w:rsid w:val="0012486B"/>
    <w:rsid w:val="00124D82"/>
    <w:rsid w:val="00124FD0"/>
    <w:rsid w:val="0012548E"/>
    <w:rsid w:val="00125716"/>
    <w:rsid w:val="001258D3"/>
    <w:rsid w:val="00125A7B"/>
    <w:rsid w:val="00125A86"/>
    <w:rsid w:val="00125D54"/>
    <w:rsid w:val="00126B64"/>
    <w:rsid w:val="00126E0E"/>
    <w:rsid w:val="001276D3"/>
    <w:rsid w:val="00127816"/>
    <w:rsid w:val="0012791C"/>
    <w:rsid w:val="00130042"/>
    <w:rsid w:val="00130C7F"/>
    <w:rsid w:val="00130CAE"/>
    <w:rsid w:val="00130D6E"/>
    <w:rsid w:val="00130D99"/>
    <w:rsid w:val="00132DF2"/>
    <w:rsid w:val="001330FF"/>
    <w:rsid w:val="00133243"/>
    <w:rsid w:val="00133753"/>
    <w:rsid w:val="00133C3A"/>
    <w:rsid w:val="00133D70"/>
    <w:rsid w:val="00133FA9"/>
    <w:rsid w:val="001347DF"/>
    <w:rsid w:val="0013481E"/>
    <w:rsid w:val="00134EBC"/>
    <w:rsid w:val="00134F7C"/>
    <w:rsid w:val="00135038"/>
    <w:rsid w:val="001350D7"/>
    <w:rsid w:val="001353F9"/>
    <w:rsid w:val="00137551"/>
    <w:rsid w:val="00137B93"/>
    <w:rsid w:val="0014045E"/>
    <w:rsid w:val="00140900"/>
    <w:rsid w:val="0014104D"/>
    <w:rsid w:val="00141627"/>
    <w:rsid w:val="00141A1F"/>
    <w:rsid w:val="00141CD8"/>
    <w:rsid w:val="00141D6B"/>
    <w:rsid w:val="0014211F"/>
    <w:rsid w:val="0014219B"/>
    <w:rsid w:val="00142257"/>
    <w:rsid w:val="001423AD"/>
    <w:rsid w:val="0014281A"/>
    <w:rsid w:val="00142ADD"/>
    <w:rsid w:val="00142B0F"/>
    <w:rsid w:val="001430F7"/>
    <w:rsid w:val="001436F9"/>
    <w:rsid w:val="00143ACC"/>
    <w:rsid w:val="00143C09"/>
    <w:rsid w:val="00144061"/>
    <w:rsid w:val="001446DC"/>
    <w:rsid w:val="001449C6"/>
    <w:rsid w:val="001449FA"/>
    <w:rsid w:val="001450F6"/>
    <w:rsid w:val="00145984"/>
    <w:rsid w:val="00145AE8"/>
    <w:rsid w:val="00145D80"/>
    <w:rsid w:val="00145FE9"/>
    <w:rsid w:val="001464C0"/>
    <w:rsid w:val="001466A5"/>
    <w:rsid w:val="00146BB0"/>
    <w:rsid w:val="0014766E"/>
    <w:rsid w:val="001479D3"/>
    <w:rsid w:val="00147F32"/>
    <w:rsid w:val="00147F36"/>
    <w:rsid w:val="0015013D"/>
    <w:rsid w:val="00150278"/>
    <w:rsid w:val="001505C3"/>
    <w:rsid w:val="0015082A"/>
    <w:rsid w:val="00150CD3"/>
    <w:rsid w:val="00151807"/>
    <w:rsid w:val="00151B84"/>
    <w:rsid w:val="00151C44"/>
    <w:rsid w:val="00151E09"/>
    <w:rsid w:val="00152C43"/>
    <w:rsid w:val="0015368B"/>
    <w:rsid w:val="0015375C"/>
    <w:rsid w:val="0015384E"/>
    <w:rsid w:val="00153F6C"/>
    <w:rsid w:val="00154107"/>
    <w:rsid w:val="00154370"/>
    <w:rsid w:val="00154A8E"/>
    <w:rsid w:val="001561AC"/>
    <w:rsid w:val="00157201"/>
    <w:rsid w:val="001572BC"/>
    <w:rsid w:val="0015740A"/>
    <w:rsid w:val="00157467"/>
    <w:rsid w:val="00157D99"/>
    <w:rsid w:val="00157F35"/>
    <w:rsid w:val="00160276"/>
    <w:rsid w:val="001606C6"/>
    <w:rsid w:val="00160790"/>
    <w:rsid w:val="00160AAB"/>
    <w:rsid w:val="00160EAB"/>
    <w:rsid w:val="001610E9"/>
    <w:rsid w:val="0016111C"/>
    <w:rsid w:val="001613A6"/>
    <w:rsid w:val="001614F7"/>
    <w:rsid w:val="0016176A"/>
    <w:rsid w:val="001617B9"/>
    <w:rsid w:val="001622A0"/>
    <w:rsid w:val="0016382D"/>
    <w:rsid w:val="00164172"/>
    <w:rsid w:val="00164295"/>
    <w:rsid w:val="001649FC"/>
    <w:rsid w:val="00164FBD"/>
    <w:rsid w:val="00165961"/>
    <w:rsid w:val="001659A3"/>
    <w:rsid w:val="00166406"/>
    <w:rsid w:val="001664E1"/>
    <w:rsid w:val="001666A3"/>
    <w:rsid w:val="00166B65"/>
    <w:rsid w:val="00167777"/>
    <w:rsid w:val="00167B41"/>
    <w:rsid w:val="001706CB"/>
    <w:rsid w:val="001717B5"/>
    <w:rsid w:val="00171E1A"/>
    <w:rsid w:val="00171EF6"/>
    <w:rsid w:val="0017204D"/>
    <w:rsid w:val="00172747"/>
    <w:rsid w:val="00172AA5"/>
    <w:rsid w:val="00173AB0"/>
    <w:rsid w:val="00173DF2"/>
    <w:rsid w:val="001740CA"/>
    <w:rsid w:val="001740E0"/>
    <w:rsid w:val="00174159"/>
    <w:rsid w:val="001745BA"/>
    <w:rsid w:val="00175753"/>
    <w:rsid w:val="00176597"/>
    <w:rsid w:val="00176C6E"/>
    <w:rsid w:val="00176D24"/>
    <w:rsid w:val="00176E1F"/>
    <w:rsid w:val="00177DEF"/>
    <w:rsid w:val="00180642"/>
    <w:rsid w:val="0018069F"/>
    <w:rsid w:val="00180B46"/>
    <w:rsid w:val="00181B7F"/>
    <w:rsid w:val="00182501"/>
    <w:rsid w:val="001826FB"/>
    <w:rsid w:val="00182A2A"/>
    <w:rsid w:val="00182DE9"/>
    <w:rsid w:val="00182EE0"/>
    <w:rsid w:val="00183389"/>
    <w:rsid w:val="0018344D"/>
    <w:rsid w:val="00183B41"/>
    <w:rsid w:val="00183F3B"/>
    <w:rsid w:val="00184527"/>
    <w:rsid w:val="0018452D"/>
    <w:rsid w:val="00184793"/>
    <w:rsid w:val="00184D2F"/>
    <w:rsid w:val="00184F8B"/>
    <w:rsid w:val="00185360"/>
    <w:rsid w:val="00185B9F"/>
    <w:rsid w:val="00185CB6"/>
    <w:rsid w:val="00186685"/>
    <w:rsid w:val="001869D3"/>
    <w:rsid w:val="00186A2D"/>
    <w:rsid w:val="00186AA8"/>
    <w:rsid w:val="00186FEF"/>
    <w:rsid w:val="00186FFC"/>
    <w:rsid w:val="00187836"/>
    <w:rsid w:val="00190066"/>
    <w:rsid w:val="001902F0"/>
    <w:rsid w:val="00190410"/>
    <w:rsid w:val="00190832"/>
    <w:rsid w:val="001908A8"/>
    <w:rsid w:val="00190D35"/>
    <w:rsid w:val="00190E6C"/>
    <w:rsid w:val="00190F0A"/>
    <w:rsid w:val="0019192A"/>
    <w:rsid w:val="00191B16"/>
    <w:rsid w:val="001922F0"/>
    <w:rsid w:val="001925CF"/>
    <w:rsid w:val="00192723"/>
    <w:rsid w:val="00192D22"/>
    <w:rsid w:val="00192F6A"/>
    <w:rsid w:val="00193348"/>
    <w:rsid w:val="001936AF"/>
    <w:rsid w:val="00193907"/>
    <w:rsid w:val="0019437C"/>
    <w:rsid w:val="0019484F"/>
    <w:rsid w:val="00194CBA"/>
    <w:rsid w:val="00195218"/>
    <w:rsid w:val="001955E9"/>
    <w:rsid w:val="0019562C"/>
    <w:rsid w:val="0019572C"/>
    <w:rsid w:val="0019586A"/>
    <w:rsid w:val="001959EF"/>
    <w:rsid w:val="00197571"/>
    <w:rsid w:val="00197B80"/>
    <w:rsid w:val="00197D29"/>
    <w:rsid w:val="00197DA4"/>
    <w:rsid w:val="001A018B"/>
    <w:rsid w:val="001A0A5F"/>
    <w:rsid w:val="001A0BF6"/>
    <w:rsid w:val="001A0C64"/>
    <w:rsid w:val="001A0E02"/>
    <w:rsid w:val="001A12ED"/>
    <w:rsid w:val="001A1658"/>
    <w:rsid w:val="001A332F"/>
    <w:rsid w:val="001A34A5"/>
    <w:rsid w:val="001A4CDB"/>
    <w:rsid w:val="001A4FA8"/>
    <w:rsid w:val="001A5494"/>
    <w:rsid w:val="001A5603"/>
    <w:rsid w:val="001A563B"/>
    <w:rsid w:val="001A6591"/>
    <w:rsid w:val="001A660F"/>
    <w:rsid w:val="001A6933"/>
    <w:rsid w:val="001A6AEA"/>
    <w:rsid w:val="001A7547"/>
    <w:rsid w:val="001A7A55"/>
    <w:rsid w:val="001B05D0"/>
    <w:rsid w:val="001B0C8F"/>
    <w:rsid w:val="001B0FCE"/>
    <w:rsid w:val="001B205D"/>
    <w:rsid w:val="001B2388"/>
    <w:rsid w:val="001B3466"/>
    <w:rsid w:val="001B3897"/>
    <w:rsid w:val="001B3E4B"/>
    <w:rsid w:val="001B3ED5"/>
    <w:rsid w:val="001B4091"/>
    <w:rsid w:val="001B4551"/>
    <w:rsid w:val="001B5061"/>
    <w:rsid w:val="001B5C99"/>
    <w:rsid w:val="001B62E7"/>
    <w:rsid w:val="001B6A4D"/>
    <w:rsid w:val="001B6AD9"/>
    <w:rsid w:val="001B6E60"/>
    <w:rsid w:val="001B722B"/>
    <w:rsid w:val="001B7357"/>
    <w:rsid w:val="001B79BD"/>
    <w:rsid w:val="001B7D11"/>
    <w:rsid w:val="001C0355"/>
    <w:rsid w:val="001C0C26"/>
    <w:rsid w:val="001C0C76"/>
    <w:rsid w:val="001C18FC"/>
    <w:rsid w:val="001C198C"/>
    <w:rsid w:val="001C1F16"/>
    <w:rsid w:val="001C260F"/>
    <w:rsid w:val="001C2B52"/>
    <w:rsid w:val="001C2C12"/>
    <w:rsid w:val="001C2C2F"/>
    <w:rsid w:val="001C2E6F"/>
    <w:rsid w:val="001C3066"/>
    <w:rsid w:val="001C3247"/>
    <w:rsid w:val="001C3795"/>
    <w:rsid w:val="001C51AF"/>
    <w:rsid w:val="001C53EE"/>
    <w:rsid w:val="001C55BD"/>
    <w:rsid w:val="001C58B2"/>
    <w:rsid w:val="001C5BD4"/>
    <w:rsid w:val="001C5F67"/>
    <w:rsid w:val="001C605C"/>
    <w:rsid w:val="001C69CF"/>
    <w:rsid w:val="001C6E7C"/>
    <w:rsid w:val="001C6F2D"/>
    <w:rsid w:val="001C76DF"/>
    <w:rsid w:val="001C7D22"/>
    <w:rsid w:val="001C7F25"/>
    <w:rsid w:val="001D03A4"/>
    <w:rsid w:val="001D0C79"/>
    <w:rsid w:val="001D115F"/>
    <w:rsid w:val="001D13BC"/>
    <w:rsid w:val="001D1826"/>
    <w:rsid w:val="001D1BEB"/>
    <w:rsid w:val="001D2261"/>
    <w:rsid w:val="001D2282"/>
    <w:rsid w:val="001D28CF"/>
    <w:rsid w:val="001D2ABD"/>
    <w:rsid w:val="001D2CA2"/>
    <w:rsid w:val="001D329A"/>
    <w:rsid w:val="001D32DE"/>
    <w:rsid w:val="001D41D9"/>
    <w:rsid w:val="001D4408"/>
    <w:rsid w:val="001D483E"/>
    <w:rsid w:val="001D49A0"/>
    <w:rsid w:val="001D49F9"/>
    <w:rsid w:val="001D55B0"/>
    <w:rsid w:val="001D56AB"/>
    <w:rsid w:val="001D640F"/>
    <w:rsid w:val="001D652E"/>
    <w:rsid w:val="001D6904"/>
    <w:rsid w:val="001D703D"/>
    <w:rsid w:val="001D7872"/>
    <w:rsid w:val="001D78B0"/>
    <w:rsid w:val="001D79A2"/>
    <w:rsid w:val="001D7B48"/>
    <w:rsid w:val="001E0596"/>
    <w:rsid w:val="001E09BA"/>
    <w:rsid w:val="001E0E0C"/>
    <w:rsid w:val="001E1662"/>
    <w:rsid w:val="001E16BD"/>
    <w:rsid w:val="001E1E13"/>
    <w:rsid w:val="001E28EB"/>
    <w:rsid w:val="001E29EF"/>
    <w:rsid w:val="001E2F77"/>
    <w:rsid w:val="001E3936"/>
    <w:rsid w:val="001E3C08"/>
    <w:rsid w:val="001E3C8F"/>
    <w:rsid w:val="001E3CAE"/>
    <w:rsid w:val="001E3E21"/>
    <w:rsid w:val="001E3EAC"/>
    <w:rsid w:val="001E3F67"/>
    <w:rsid w:val="001E3FA2"/>
    <w:rsid w:val="001E47C6"/>
    <w:rsid w:val="001E4841"/>
    <w:rsid w:val="001E4FE5"/>
    <w:rsid w:val="001E50D4"/>
    <w:rsid w:val="001E6C03"/>
    <w:rsid w:val="001F003D"/>
    <w:rsid w:val="001F0C05"/>
    <w:rsid w:val="001F0FB3"/>
    <w:rsid w:val="001F11B0"/>
    <w:rsid w:val="001F173F"/>
    <w:rsid w:val="001F186F"/>
    <w:rsid w:val="001F1904"/>
    <w:rsid w:val="001F1C98"/>
    <w:rsid w:val="001F21E1"/>
    <w:rsid w:val="001F4098"/>
    <w:rsid w:val="001F4DBE"/>
    <w:rsid w:val="001F4EB4"/>
    <w:rsid w:val="001F4F2A"/>
    <w:rsid w:val="001F5559"/>
    <w:rsid w:val="001F5726"/>
    <w:rsid w:val="001F660C"/>
    <w:rsid w:val="001F6BC1"/>
    <w:rsid w:val="001F6DE2"/>
    <w:rsid w:val="0020069A"/>
    <w:rsid w:val="00200A9C"/>
    <w:rsid w:val="00200BC9"/>
    <w:rsid w:val="00200C13"/>
    <w:rsid w:val="00201514"/>
    <w:rsid w:val="00203164"/>
    <w:rsid w:val="00203B22"/>
    <w:rsid w:val="00203F04"/>
    <w:rsid w:val="0020433D"/>
    <w:rsid w:val="00204424"/>
    <w:rsid w:val="0020444B"/>
    <w:rsid w:val="0020542E"/>
    <w:rsid w:val="00205A52"/>
    <w:rsid w:val="00205CB5"/>
    <w:rsid w:val="002061E2"/>
    <w:rsid w:val="002063C9"/>
    <w:rsid w:val="00206679"/>
    <w:rsid w:val="00206E10"/>
    <w:rsid w:val="0020714F"/>
    <w:rsid w:val="00207387"/>
    <w:rsid w:val="002076EF"/>
    <w:rsid w:val="0021006B"/>
    <w:rsid w:val="002102B9"/>
    <w:rsid w:val="002103DD"/>
    <w:rsid w:val="00210A66"/>
    <w:rsid w:val="00210BEF"/>
    <w:rsid w:val="00211B22"/>
    <w:rsid w:val="00211E31"/>
    <w:rsid w:val="002122EB"/>
    <w:rsid w:val="002124EF"/>
    <w:rsid w:val="00212667"/>
    <w:rsid w:val="00212BD3"/>
    <w:rsid w:val="00213478"/>
    <w:rsid w:val="00214E15"/>
    <w:rsid w:val="0021551F"/>
    <w:rsid w:val="0021563B"/>
    <w:rsid w:val="0021655A"/>
    <w:rsid w:val="00216573"/>
    <w:rsid w:val="002165C2"/>
    <w:rsid w:val="00216A32"/>
    <w:rsid w:val="002170F0"/>
    <w:rsid w:val="002171EE"/>
    <w:rsid w:val="002177B4"/>
    <w:rsid w:val="00217AE0"/>
    <w:rsid w:val="00217EAB"/>
    <w:rsid w:val="00220153"/>
    <w:rsid w:val="00220A13"/>
    <w:rsid w:val="00220DE7"/>
    <w:rsid w:val="0022131F"/>
    <w:rsid w:val="0022145C"/>
    <w:rsid w:val="002216C9"/>
    <w:rsid w:val="002219A9"/>
    <w:rsid w:val="00222026"/>
    <w:rsid w:val="0022212F"/>
    <w:rsid w:val="002227F8"/>
    <w:rsid w:val="0022287A"/>
    <w:rsid w:val="0022348B"/>
    <w:rsid w:val="00223D98"/>
    <w:rsid w:val="002243D5"/>
    <w:rsid w:val="0022485E"/>
    <w:rsid w:val="0022498C"/>
    <w:rsid w:val="00224B70"/>
    <w:rsid w:val="00225117"/>
    <w:rsid w:val="002258ED"/>
    <w:rsid w:val="00226683"/>
    <w:rsid w:val="00226DEE"/>
    <w:rsid w:val="00226F4B"/>
    <w:rsid w:val="002273EC"/>
    <w:rsid w:val="00227746"/>
    <w:rsid w:val="00227EE6"/>
    <w:rsid w:val="0023146C"/>
    <w:rsid w:val="00231C81"/>
    <w:rsid w:val="00231D7D"/>
    <w:rsid w:val="00231DE0"/>
    <w:rsid w:val="002326DD"/>
    <w:rsid w:val="002329D9"/>
    <w:rsid w:val="002329FB"/>
    <w:rsid w:val="00232A75"/>
    <w:rsid w:val="00232E4D"/>
    <w:rsid w:val="002338DA"/>
    <w:rsid w:val="00233F7E"/>
    <w:rsid w:val="00234CD5"/>
    <w:rsid w:val="002353F7"/>
    <w:rsid w:val="002356D8"/>
    <w:rsid w:val="00235A25"/>
    <w:rsid w:val="002361B4"/>
    <w:rsid w:val="00236727"/>
    <w:rsid w:val="00236AAA"/>
    <w:rsid w:val="0023725D"/>
    <w:rsid w:val="002374BB"/>
    <w:rsid w:val="002377AD"/>
    <w:rsid w:val="002377E6"/>
    <w:rsid w:val="00237CDC"/>
    <w:rsid w:val="00237CFF"/>
    <w:rsid w:val="002400DC"/>
    <w:rsid w:val="0024014B"/>
    <w:rsid w:val="00240C12"/>
    <w:rsid w:val="00240D5D"/>
    <w:rsid w:val="00241497"/>
    <w:rsid w:val="0024288F"/>
    <w:rsid w:val="00242BD1"/>
    <w:rsid w:val="002431F7"/>
    <w:rsid w:val="00243AF6"/>
    <w:rsid w:val="002444D1"/>
    <w:rsid w:val="002447F0"/>
    <w:rsid w:val="00244880"/>
    <w:rsid w:val="00244A74"/>
    <w:rsid w:val="00245156"/>
    <w:rsid w:val="002457DD"/>
    <w:rsid w:val="00245A36"/>
    <w:rsid w:val="00245B0D"/>
    <w:rsid w:val="00246085"/>
    <w:rsid w:val="0024610C"/>
    <w:rsid w:val="002469FB"/>
    <w:rsid w:val="00246AD4"/>
    <w:rsid w:val="00246C3B"/>
    <w:rsid w:val="00250085"/>
    <w:rsid w:val="002507CF"/>
    <w:rsid w:val="0025105E"/>
    <w:rsid w:val="00251B73"/>
    <w:rsid w:val="00251E9E"/>
    <w:rsid w:val="00252328"/>
    <w:rsid w:val="00252DFB"/>
    <w:rsid w:val="00252E63"/>
    <w:rsid w:val="00252F9C"/>
    <w:rsid w:val="00252FF4"/>
    <w:rsid w:val="002530CB"/>
    <w:rsid w:val="00253598"/>
    <w:rsid w:val="00253A26"/>
    <w:rsid w:val="002549C9"/>
    <w:rsid w:val="00254AAA"/>
    <w:rsid w:val="00254B44"/>
    <w:rsid w:val="00254F2E"/>
    <w:rsid w:val="002558DE"/>
    <w:rsid w:val="00255A01"/>
    <w:rsid w:val="00255D39"/>
    <w:rsid w:val="002562D7"/>
    <w:rsid w:val="00256CEC"/>
    <w:rsid w:val="00256E2D"/>
    <w:rsid w:val="0025710A"/>
    <w:rsid w:val="0025710C"/>
    <w:rsid w:val="002576CD"/>
    <w:rsid w:val="00257939"/>
    <w:rsid w:val="00257A70"/>
    <w:rsid w:val="002603E4"/>
    <w:rsid w:val="00260496"/>
    <w:rsid w:val="002607E4"/>
    <w:rsid w:val="00261BFC"/>
    <w:rsid w:val="00261DD2"/>
    <w:rsid w:val="00261F5F"/>
    <w:rsid w:val="002625DD"/>
    <w:rsid w:val="0026303A"/>
    <w:rsid w:val="002633E3"/>
    <w:rsid w:val="00263478"/>
    <w:rsid w:val="002640A0"/>
    <w:rsid w:val="00264178"/>
    <w:rsid w:val="002643D5"/>
    <w:rsid w:val="002646C4"/>
    <w:rsid w:val="00264729"/>
    <w:rsid w:val="00264775"/>
    <w:rsid w:val="00264A9F"/>
    <w:rsid w:val="00264ADE"/>
    <w:rsid w:val="00264ECC"/>
    <w:rsid w:val="00265322"/>
    <w:rsid w:val="00265C7D"/>
    <w:rsid w:val="00265F45"/>
    <w:rsid w:val="002664B4"/>
    <w:rsid w:val="00266868"/>
    <w:rsid w:val="00266A0B"/>
    <w:rsid w:val="00266BAF"/>
    <w:rsid w:val="0027083B"/>
    <w:rsid w:val="00270B0C"/>
    <w:rsid w:val="00270C20"/>
    <w:rsid w:val="00271144"/>
    <w:rsid w:val="002716D1"/>
    <w:rsid w:val="00272126"/>
    <w:rsid w:val="002724D0"/>
    <w:rsid w:val="00272E85"/>
    <w:rsid w:val="00273119"/>
    <w:rsid w:val="00273495"/>
    <w:rsid w:val="0027365C"/>
    <w:rsid w:val="00273D5B"/>
    <w:rsid w:val="002749C1"/>
    <w:rsid w:val="00274EC7"/>
    <w:rsid w:val="00275AD3"/>
    <w:rsid w:val="00275FD2"/>
    <w:rsid w:val="00276451"/>
    <w:rsid w:val="00276CF4"/>
    <w:rsid w:val="002807E5"/>
    <w:rsid w:val="00280B32"/>
    <w:rsid w:val="00280D6B"/>
    <w:rsid w:val="00281007"/>
    <w:rsid w:val="002811DF"/>
    <w:rsid w:val="002814FF"/>
    <w:rsid w:val="00281690"/>
    <w:rsid w:val="002816A5"/>
    <w:rsid w:val="00281FAD"/>
    <w:rsid w:val="002820DE"/>
    <w:rsid w:val="002822DD"/>
    <w:rsid w:val="00282461"/>
    <w:rsid w:val="00282925"/>
    <w:rsid w:val="00282D63"/>
    <w:rsid w:val="00282DB9"/>
    <w:rsid w:val="00282E6B"/>
    <w:rsid w:val="00283064"/>
    <w:rsid w:val="002831AE"/>
    <w:rsid w:val="0028443C"/>
    <w:rsid w:val="00284ECD"/>
    <w:rsid w:val="00285336"/>
    <w:rsid w:val="002859E2"/>
    <w:rsid w:val="00285EA7"/>
    <w:rsid w:val="00286654"/>
    <w:rsid w:val="00286734"/>
    <w:rsid w:val="00286B86"/>
    <w:rsid w:val="00286DD0"/>
    <w:rsid w:val="002870CC"/>
    <w:rsid w:val="00287124"/>
    <w:rsid w:val="00287175"/>
    <w:rsid w:val="00287261"/>
    <w:rsid w:val="00287E52"/>
    <w:rsid w:val="002900D2"/>
    <w:rsid w:val="00290815"/>
    <w:rsid w:val="00290B06"/>
    <w:rsid w:val="00291262"/>
    <w:rsid w:val="002912C2"/>
    <w:rsid w:val="002925AE"/>
    <w:rsid w:val="002928EF"/>
    <w:rsid w:val="002932B1"/>
    <w:rsid w:val="00293741"/>
    <w:rsid w:val="0029421A"/>
    <w:rsid w:val="00294B0A"/>
    <w:rsid w:val="00295336"/>
    <w:rsid w:val="00295826"/>
    <w:rsid w:val="002964BD"/>
    <w:rsid w:val="00296D38"/>
    <w:rsid w:val="00296EA8"/>
    <w:rsid w:val="00297283"/>
    <w:rsid w:val="0029748F"/>
    <w:rsid w:val="00297A4D"/>
    <w:rsid w:val="002A0094"/>
    <w:rsid w:val="002A063E"/>
    <w:rsid w:val="002A0E3A"/>
    <w:rsid w:val="002A1429"/>
    <w:rsid w:val="002A1518"/>
    <w:rsid w:val="002A1BB5"/>
    <w:rsid w:val="002A1C66"/>
    <w:rsid w:val="002A1E77"/>
    <w:rsid w:val="002A21AB"/>
    <w:rsid w:val="002A2796"/>
    <w:rsid w:val="002A2B92"/>
    <w:rsid w:val="002A4E9C"/>
    <w:rsid w:val="002A5120"/>
    <w:rsid w:val="002A54CB"/>
    <w:rsid w:val="002A54E6"/>
    <w:rsid w:val="002A5B10"/>
    <w:rsid w:val="002A5D8D"/>
    <w:rsid w:val="002A5ECA"/>
    <w:rsid w:val="002A6036"/>
    <w:rsid w:val="002A62B9"/>
    <w:rsid w:val="002A66A6"/>
    <w:rsid w:val="002A67AC"/>
    <w:rsid w:val="002A69C7"/>
    <w:rsid w:val="002A7403"/>
    <w:rsid w:val="002A7B17"/>
    <w:rsid w:val="002B0623"/>
    <w:rsid w:val="002B099B"/>
    <w:rsid w:val="002B0C60"/>
    <w:rsid w:val="002B1AA9"/>
    <w:rsid w:val="002B1CE5"/>
    <w:rsid w:val="002B1DF4"/>
    <w:rsid w:val="002B2193"/>
    <w:rsid w:val="002B2467"/>
    <w:rsid w:val="002B2BAF"/>
    <w:rsid w:val="002B2F33"/>
    <w:rsid w:val="002B317B"/>
    <w:rsid w:val="002B35D7"/>
    <w:rsid w:val="002B3977"/>
    <w:rsid w:val="002B39A2"/>
    <w:rsid w:val="002B3B82"/>
    <w:rsid w:val="002B3D44"/>
    <w:rsid w:val="002B3E1F"/>
    <w:rsid w:val="002B40C5"/>
    <w:rsid w:val="002B42B3"/>
    <w:rsid w:val="002B48A6"/>
    <w:rsid w:val="002B4B87"/>
    <w:rsid w:val="002B4BCF"/>
    <w:rsid w:val="002B4FD0"/>
    <w:rsid w:val="002B5B7B"/>
    <w:rsid w:val="002B5D6B"/>
    <w:rsid w:val="002B68F5"/>
    <w:rsid w:val="002B6B7A"/>
    <w:rsid w:val="002B7367"/>
    <w:rsid w:val="002B73C2"/>
    <w:rsid w:val="002B79BA"/>
    <w:rsid w:val="002C01CF"/>
    <w:rsid w:val="002C0211"/>
    <w:rsid w:val="002C04F0"/>
    <w:rsid w:val="002C06C3"/>
    <w:rsid w:val="002C0999"/>
    <w:rsid w:val="002C0C5C"/>
    <w:rsid w:val="002C0EAF"/>
    <w:rsid w:val="002C2970"/>
    <w:rsid w:val="002C2DC9"/>
    <w:rsid w:val="002C33B0"/>
    <w:rsid w:val="002C3406"/>
    <w:rsid w:val="002C47C6"/>
    <w:rsid w:val="002C51AC"/>
    <w:rsid w:val="002C5385"/>
    <w:rsid w:val="002C54C7"/>
    <w:rsid w:val="002C5590"/>
    <w:rsid w:val="002C57C3"/>
    <w:rsid w:val="002C634B"/>
    <w:rsid w:val="002C6995"/>
    <w:rsid w:val="002C6F54"/>
    <w:rsid w:val="002C7E27"/>
    <w:rsid w:val="002C7E3A"/>
    <w:rsid w:val="002C7F00"/>
    <w:rsid w:val="002D21F8"/>
    <w:rsid w:val="002D24D4"/>
    <w:rsid w:val="002D36D4"/>
    <w:rsid w:val="002D394B"/>
    <w:rsid w:val="002D3FA5"/>
    <w:rsid w:val="002D4023"/>
    <w:rsid w:val="002D4272"/>
    <w:rsid w:val="002D449E"/>
    <w:rsid w:val="002D459F"/>
    <w:rsid w:val="002D4644"/>
    <w:rsid w:val="002D4B38"/>
    <w:rsid w:val="002D4BB9"/>
    <w:rsid w:val="002D4CBC"/>
    <w:rsid w:val="002D52C0"/>
    <w:rsid w:val="002D575F"/>
    <w:rsid w:val="002D5D95"/>
    <w:rsid w:val="002D618A"/>
    <w:rsid w:val="002D6482"/>
    <w:rsid w:val="002D68A7"/>
    <w:rsid w:val="002D70B5"/>
    <w:rsid w:val="002E0087"/>
    <w:rsid w:val="002E0CF9"/>
    <w:rsid w:val="002E10E1"/>
    <w:rsid w:val="002E159D"/>
    <w:rsid w:val="002E1BD6"/>
    <w:rsid w:val="002E269D"/>
    <w:rsid w:val="002E2B6D"/>
    <w:rsid w:val="002E2BF4"/>
    <w:rsid w:val="002E3518"/>
    <w:rsid w:val="002E356F"/>
    <w:rsid w:val="002E3922"/>
    <w:rsid w:val="002E39F0"/>
    <w:rsid w:val="002E3D50"/>
    <w:rsid w:val="002E3FED"/>
    <w:rsid w:val="002E414F"/>
    <w:rsid w:val="002E48A0"/>
    <w:rsid w:val="002E4DC6"/>
    <w:rsid w:val="002E4E8E"/>
    <w:rsid w:val="002E5803"/>
    <w:rsid w:val="002E5878"/>
    <w:rsid w:val="002E5B8C"/>
    <w:rsid w:val="002E60B2"/>
    <w:rsid w:val="002E66B7"/>
    <w:rsid w:val="002E746B"/>
    <w:rsid w:val="002E7978"/>
    <w:rsid w:val="002E79C8"/>
    <w:rsid w:val="002E7B0E"/>
    <w:rsid w:val="002F01CD"/>
    <w:rsid w:val="002F0550"/>
    <w:rsid w:val="002F06DA"/>
    <w:rsid w:val="002F0D54"/>
    <w:rsid w:val="002F18CF"/>
    <w:rsid w:val="002F27D8"/>
    <w:rsid w:val="002F2CAA"/>
    <w:rsid w:val="002F3334"/>
    <w:rsid w:val="002F387A"/>
    <w:rsid w:val="002F45E9"/>
    <w:rsid w:val="002F4DB3"/>
    <w:rsid w:val="002F4EFF"/>
    <w:rsid w:val="002F5110"/>
    <w:rsid w:val="002F519B"/>
    <w:rsid w:val="002F54D0"/>
    <w:rsid w:val="002F5590"/>
    <w:rsid w:val="002F55A3"/>
    <w:rsid w:val="002F5E06"/>
    <w:rsid w:val="002F5E34"/>
    <w:rsid w:val="002F7598"/>
    <w:rsid w:val="002F78C9"/>
    <w:rsid w:val="002F7B3A"/>
    <w:rsid w:val="00300319"/>
    <w:rsid w:val="0030063A"/>
    <w:rsid w:val="00300BB8"/>
    <w:rsid w:val="00300F01"/>
    <w:rsid w:val="003013A3"/>
    <w:rsid w:val="00301A4D"/>
    <w:rsid w:val="00301B81"/>
    <w:rsid w:val="00302A32"/>
    <w:rsid w:val="00303324"/>
    <w:rsid w:val="00303397"/>
    <w:rsid w:val="0030387B"/>
    <w:rsid w:val="00303DAC"/>
    <w:rsid w:val="00305019"/>
    <w:rsid w:val="00305BA4"/>
    <w:rsid w:val="00306055"/>
    <w:rsid w:val="0030632E"/>
    <w:rsid w:val="00306F23"/>
    <w:rsid w:val="00307558"/>
    <w:rsid w:val="003075B8"/>
    <w:rsid w:val="00307620"/>
    <w:rsid w:val="003076EC"/>
    <w:rsid w:val="00307B5D"/>
    <w:rsid w:val="00307D6F"/>
    <w:rsid w:val="00307DC9"/>
    <w:rsid w:val="00307E45"/>
    <w:rsid w:val="00307FB0"/>
    <w:rsid w:val="003100FD"/>
    <w:rsid w:val="003104F0"/>
    <w:rsid w:val="00310771"/>
    <w:rsid w:val="00310BA3"/>
    <w:rsid w:val="003116A2"/>
    <w:rsid w:val="00311D26"/>
    <w:rsid w:val="00311EC2"/>
    <w:rsid w:val="0031279D"/>
    <w:rsid w:val="00313459"/>
    <w:rsid w:val="00313DBB"/>
    <w:rsid w:val="00313EEA"/>
    <w:rsid w:val="00313F53"/>
    <w:rsid w:val="0031426E"/>
    <w:rsid w:val="00314F3A"/>
    <w:rsid w:val="00315239"/>
    <w:rsid w:val="003153FB"/>
    <w:rsid w:val="00315DD0"/>
    <w:rsid w:val="003163B7"/>
    <w:rsid w:val="00316D2B"/>
    <w:rsid w:val="00317291"/>
    <w:rsid w:val="00317472"/>
    <w:rsid w:val="0031758B"/>
    <w:rsid w:val="003179D1"/>
    <w:rsid w:val="00317A18"/>
    <w:rsid w:val="00317A73"/>
    <w:rsid w:val="003204B3"/>
    <w:rsid w:val="0032066C"/>
    <w:rsid w:val="00320F9D"/>
    <w:rsid w:val="00321860"/>
    <w:rsid w:val="00322041"/>
    <w:rsid w:val="003221CA"/>
    <w:rsid w:val="003223F3"/>
    <w:rsid w:val="00322762"/>
    <w:rsid w:val="00323018"/>
    <w:rsid w:val="0032310F"/>
    <w:rsid w:val="00323552"/>
    <w:rsid w:val="0032387B"/>
    <w:rsid w:val="0032404A"/>
    <w:rsid w:val="003245EB"/>
    <w:rsid w:val="00324909"/>
    <w:rsid w:val="00324C36"/>
    <w:rsid w:val="00324C6F"/>
    <w:rsid w:val="00324EE9"/>
    <w:rsid w:val="003260BF"/>
    <w:rsid w:val="003261FE"/>
    <w:rsid w:val="00326985"/>
    <w:rsid w:val="00326F9D"/>
    <w:rsid w:val="003273F0"/>
    <w:rsid w:val="0032756F"/>
    <w:rsid w:val="00330298"/>
    <w:rsid w:val="00330899"/>
    <w:rsid w:val="0033225F"/>
    <w:rsid w:val="00332532"/>
    <w:rsid w:val="003342F0"/>
    <w:rsid w:val="003344CA"/>
    <w:rsid w:val="00334511"/>
    <w:rsid w:val="00334773"/>
    <w:rsid w:val="00334E45"/>
    <w:rsid w:val="00334E83"/>
    <w:rsid w:val="00334EDA"/>
    <w:rsid w:val="003353FC"/>
    <w:rsid w:val="0033546E"/>
    <w:rsid w:val="00335C8F"/>
    <w:rsid w:val="00335D47"/>
    <w:rsid w:val="003365B9"/>
    <w:rsid w:val="0033694A"/>
    <w:rsid w:val="00337257"/>
    <w:rsid w:val="003372A2"/>
    <w:rsid w:val="00337484"/>
    <w:rsid w:val="0033749B"/>
    <w:rsid w:val="00337CFB"/>
    <w:rsid w:val="00337D19"/>
    <w:rsid w:val="00337FE4"/>
    <w:rsid w:val="00340A60"/>
    <w:rsid w:val="00341550"/>
    <w:rsid w:val="003419E5"/>
    <w:rsid w:val="00342506"/>
    <w:rsid w:val="00342BFA"/>
    <w:rsid w:val="0034375B"/>
    <w:rsid w:val="00344166"/>
    <w:rsid w:val="003441EB"/>
    <w:rsid w:val="00344871"/>
    <w:rsid w:val="00344B60"/>
    <w:rsid w:val="00344E21"/>
    <w:rsid w:val="00345944"/>
    <w:rsid w:val="00345CC1"/>
    <w:rsid w:val="00345EF9"/>
    <w:rsid w:val="00345F2C"/>
    <w:rsid w:val="00346479"/>
    <w:rsid w:val="00346BB8"/>
    <w:rsid w:val="00346EAE"/>
    <w:rsid w:val="003470A0"/>
    <w:rsid w:val="003470BA"/>
    <w:rsid w:val="00350606"/>
    <w:rsid w:val="0035064B"/>
    <w:rsid w:val="00350D4A"/>
    <w:rsid w:val="00350FFA"/>
    <w:rsid w:val="0035173A"/>
    <w:rsid w:val="00351771"/>
    <w:rsid w:val="00351970"/>
    <w:rsid w:val="00351F18"/>
    <w:rsid w:val="00352207"/>
    <w:rsid w:val="0035306E"/>
    <w:rsid w:val="00354ED3"/>
    <w:rsid w:val="00354EEE"/>
    <w:rsid w:val="00355051"/>
    <w:rsid w:val="003562E1"/>
    <w:rsid w:val="0035631E"/>
    <w:rsid w:val="00357D55"/>
    <w:rsid w:val="003601B4"/>
    <w:rsid w:val="00360978"/>
    <w:rsid w:val="00360A8E"/>
    <w:rsid w:val="00360B2D"/>
    <w:rsid w:val="0036125F"/>
    <w:rsid w:val="00361409"/>
    <w:rsid w:val="00361682"/>
    <w:rsid w:val="00361DB7"/>
    <w:rsid w:val="0036211C"/>
    <w:rsid w:val="003627E2"/>
    <w:rsid w:val="003632CD"/>
    <w:rsid w:val="00363A36"/>
    <w:rsid w:val="00363FC9"/>
    <w:rsid w:val="003641C3"/>
    <w:rsid w:val="00364258"/>
    <w:rsid w:val="003642D2"/>
    <w:rsid w:val="003650DA"/>
    <w:rsid w:val="00365256"/>
    <w:rsid w:val="00365A38"/>
    <w:rsid w:val="00365B57"/>
    <w:rsid w:val="00365FCD"/>
    <w:rsid w:val="003669CA"/>
    <w:rsid w:val="003676DC"/>
    <w:rsid w:val="00367798"/>
    <w:rsid w:val="003679B1"/>
    <w:rsid w:val="00367C48"/>
    <w:rsid w:val="00370250"/>
    <w:rsid w:val="0037026C"/>
    <w:rsid w:val="00370E3D"/>
    <w:rsid w:val="003710D7"/>
    <w:rsid w:val="00371809"/>
    <w:rsid w:val="00371B20"/>
    <w:rsid w:val="00371B2C"/>
    <w:rsid w:val="00371C52"/>
    <w:rsid w:val="00371DDA"/>
    <w:rsid w:val="00371E75"/>
    <w:rsid w:val="00371F98"/>
    <w:rsid w:val="00372A84"/>
    <w:rsid w:val="00372DA7"/>
    <w:rsid w:val="00372E4C"/>
    <w:rsid w:val="00373DBB"/>
    <w:rsid w:val="00374120"/>
    <w:rsid w:val="003743E5"/>
    <w:rsid w:val="00374D8B"/>
    <w:rsid w:val="003750A2"/>
    <w:rsid w:val="003750A3"/>
    <w:rsid w:val="00376488"/>
    <w:rsid w:val="003766E6"/>
    <w:rsid w:val="00376BAD"/>
    <w:rsid w:val="00380983"/>
    <w:rsid w:val="00380AFD"/>
    <w:rsid w:val="00380D76"/>
    <w:rsid w:val="00380DEC"/>
    <w:rsid w:val="00381236"/>
    <w:rsid w:val="0038159D"/>
    <w:rsid w:val="00381DF0"/>
    <w:rsid w:val="003820B2"/>
    <w:rsid w:val="003821D3"/>
    <w:rsid w:val="003823C6"/>
    <w:rsid w:val="003825BD"/>
    <w:rsid w:val="00382F07"/>
    <w:rsid w:val="00383628"/>
    <w:rsid w:val="003848FE"/>
    <w:rsid w:val="00384EDD"/>
    <w:rsid w:val="003854FD"/>
    <w:rsid w:val="003855E8"/>
    <w:rsid w:val="00385A5B"/>
    <w:rsid w:val="00386145"/>
    <w:rsid w:val="00387212"/>
    <w:rsid w:val="0038738F"/>
    <w:rsid w:val="00387985"/>
    <w:rsid w:val="00387B1E"/>
    <w:rsid w:val="00387D39"/>
    <w:rsid w:val="003907ED"/>
    <w:rsid w:val="00390A1C"/>
    <w:rsid w:val="00390A63"/>
    <w:rsid w:val="00390D81"/>
    <w:rsid w:val="00390E81"/>
    <w:rsid w:val="0039150B"/>
    <w:rsid w:val="00391631"/>
    <w:rsid w:val="003919F7"/>
    <w:rsid w:val="00391ACE"/>
    <w:rsid w:val="003922F3"/>
    <w:rsid w:val="00392AD1"/>
    <w:rsid w:val="0039329F"/>
    <w:rsid w:val="0039348D"/>
    <w:rsid w:val="00393722"/>
    <w:rsid w:val="00393CD1"/>
    <w:rsid w:val="00394A8E"/>
    <w:rsid w:val="00394C00"/>
    <w:rsid w:val="003951CA"/>
    <w:rsid w:val="0039524F"/>
    <w:rsid w:val="00395932"/>
    <w:rsid w:val="00395A5F"/>
    <w:rsid w:val="00395ACD"/>
    <w:rsid w:val="00395C14"/>
    <w:rsid w:val="003966E9"/>
    <w:rsid w:val="00396F62"/>
    <w:rsid w:val="00397B8B"/>
    <w:rsid w:val="00397BE1"/>
    <w:rsid w:val="00397F12"/>
    <w:rsid w:val="003A05CB"/>
    <w:rsid w:val="003A0B73"/>
    <w:rsid w:val="003A11EB"/>
    <w:rsid w:val="003A1496"/>
    <w:rsid w:val="003A15ED"/>
    <w:rsid w:val="003A2401"/>
    <w:rsid w:val="003A2543"/>
    <w:rsid w:val="003A2AF6"/>
    <w:rsid w:val="003A2D90"/>
    <w:rsid w:val="003A3612"/>
    <w:rsid w:val="003A3784"/>
    <w:rsid w:val="003A37A0"/>
    <w:rsid w:val="003A380A"/>
    <w:rsid w:val="003A3DFB"/>
    <w:rsid w:val="003A431F"/>
    <w:rsid w:val="003A4464"/>
    <w:rsid w:val="003A465A"/>
    <w:rsid w:val="003A469E"/>
    <w:rsid w:val="003A4979"/>
    <w:rsid w:val="003A4F2E"/>
    <w:rsid w:val="003A501A"/>
    <w:rsid w:val="003A5285"/>
    <w:rsid w:val="003A567C"/>
    <w:rsid w:val="003A56A0"/>
    <w:rsid w:val="003A5CC6"/>
    <w:rsid w:val="003A5FB4"/>
    <w:rsid w:val="003A607A"/>
    <w:rsid w:val="003A6689"/>
    <w:rsid w:val="003A6B15"/>
    <w:rsid w:val="003A6D38"/>
    <w:rsid w:val="003A6F20"/>
    <w:rsid w:val="003A7017"/>
    <w:rsid w:val="003A735D"/>
    <w:rsid w:val="003A74C6"/>
    <w:rsid w:val="003A7757"/>
    <w:rsid w:val="003B06B7"/>
    <w:rsid w:val="003B0876"/>
    <w:rsid w:val="003B0C07"/>
    <w:rsid w:val="003B0D1A"/>
    <w:rsid w:val="003B0DB9"/>
    <w:rsid w:val="003B295E"/>
    <w:rsid w:val="003B2B2E"/>
    <w:rsid w:val="003B2D64"/>
    <w:rsid w:val="003B2ECF"/>
    <w:rsid w:val="003B3165"/>
    <w:rsid w:val="003B32AF"/>
    <w:rsid w:val="003B36E4"/>
    <w:rsid w:val="003B4747"/>
    <w:rsid w:val="003B4F60"/>
    <w:rsid w:val="003B5004"/>
    <w:rsid w:val="003B5AB1"/>
    <w:rsid w:val="003B651A"/>
    <w:rsid w:val="003B6B15"/>
    <w:rsid w:val="003B6B5D"/>
    <w:rsid w:val="003B6DAB"/>
    <w:rsid w:val="003B6E22"/>
    <w:rsid w:val="003B6FE4"/>
    <w:rsid w:val="003B7B32"/>
    <w:rsid w:val="003C017B"/>
    <w:rsid w:val="003C03B3"/>
    <w:rsid w:val="003C05A2"/>
    <w:rsid w:val="003C10F3"/>
    <w:rsid w:val="003C13BE"/>
    <w:rsid w:val="003C1B04"/>
    <w:rsid w:val="003C26D6"/>
    <w:rsid w:val="003C276C"/>
    <w:rsid w:val="003C2B30"/>
    <w:rsid w:val="003C3A64"/>
    <w:rsid w:val="003C3CD8"/>
    <w:rsid w:val="003C3EA9"/>
    <w:rsid w:val="003C4384"/>
    <w:rsid w:val="003C462B"/>
    <w:rsid w:val="003C53D7"/>
    <w:rsid w:val="003C641A"/>
    <w:rsid w:val="003C6F9E"/>
    <w:rsid w:val="003C748C"/>
    <w:rsid w:val="003C7C78"/>
    <w:rsid w:val="003C7ED6"/>
    <w:rsid w:val="003D020F"/>
    <w:rsid w:val="003D02E4"/>
    <w:rsid w:val="003D1061"/>
    <w:rsid w:val="003D1120"/>
    <w:rsid w:val="003D1530"/>
    <w:rsid w:val="003D1AF0"/>
    <w:rsid w:val="003D20C4"/>
    <w:rsid w:val="003D274A"/>
    <w:rsid w:val="003D2863"/>
    <w:rsid w:val="003D2FDF"/>
    <w:rsid w:val="003D3823"/>
    <w:rsid w:val="003D3825"/>
    <w:rsid w:val="003D3AD8"/>
    <w:rsid w:val="003D43E9"/>
    <w:rsid w:val="003D496F"/>
    <w:rsid w:val="003D4F48"/>
    <w:rsid w:val="003D54FB"/>
    <w:rsid w:val="003D6897"/>
    <w:rsid w:val="003D6B7A"/>
    <w:rsid w:val="003D6D2A"/>
    <w:rsid w:val="003D6FAC"/>
    <w:rsid w:val="003D77D0"/>
    <w:rsid w:val="003E016D"/>
    <w:rsid w:val="003E02A5"/>
    <w:rsid w:val="003E04A6"/>
    <w:rsid w:val="003E13A3"/>
    <w:rsid w:val="003E161C"/>
    <w:rsid w:val="003E1DA1"/>
    <w:rsid w:val="003E1E43"/>
    <w:rsid w:val="003E24CE"/>
    <w:rsid w:val="003E2D51"/>
    <w:rsid w:val="003E378A"/>
    <w:rsid w:val="003E3DC5"/>
    <w:rsid w:val="003E4604"/>
    <w:rsid w:val="003E4F37"/>
    <w:rsid w:val="003E568D"/>
    <w:rsid w:val="003E5B3E"/>
    <w:rsid w:val="003E5FE2"/>
    <w:rsid w:val="003E6763"/>
    <w:rsid w:val="003E692C"/>
    <w:rsid w:val="003E6996"/>
    <w:rsid w:val="003E712F"/>
    <w:rsid w:val="003E74A5"/>
    <w:rsid w:val="003E7D91"/>
    <w:rsid w:val="003F0E32"/>
    <w:rsid w:val="003F0F43"/>
    <w:rsid w:val="003F0F69"/>
    <w:rsid w:val="003F106A"/>
    <w:rsid w:val="003F11E4"/>
    <w:rsid w:val="003F17B2"/>
    <w:rsid w:val="003F1995"/>
    <w:rsid w:val="003F2DDF"/>
    <w:rsid w:val="003F36A1"/>
    <w:rsid w:val="003F3EC9"/>
    <w:rsid w:val="003F431D"/>
    <w:rsid w:val="003F43A4"/>
    <w:rsid w:val="003F59A1"/>
    <w:rsid w:val="003F605C"/>
    <w:rsid w:val="003F6248"/>
    <w:rsid w:val="003F63E5"/>
    <w:rsid w:val="003F665B"/>
    <w:rsid w:val="003F68B1"/>
    <w:rsid w:val="003F6A20"/>
    <w:rsid w:val="003F6C37"/>
    <w:rsid w:val="003F6D43"/>
    <w:rsid w:val="003F709A"/>
    <w:rsid w:val="003F7972"/>
    <w:rsid w:val="003F7FE1"/>
    <w:rsid w:val="003F88DA"/>
    <w:rsid w:val="00400270"/>
    <w:rsid w:val="00400498"/>
    <w:rsid w:val="00400923"/>
    <w:rsid w:val="00400979"/>
    <w:rsid w:val="004014CF"/>
    <w:rsid w:val="004017FF"/>
    <w:rsid w:val="00401819"/>
    <w:rsid w:val="00401A99"/>
    <w:rsid w:val="00401DAB"/>
    <w:rsid w:val="00402528"/>
    <w:rsid w:val="00402A11"/>
    <w:rsid w:val="004030F1"/>
    <w:rsid w:val="004039C9"/>
    <w:rsid w:val="00403FBD"/>
    <w:rsid w:val="00403FCE"/>
    <w:rsid w:val="00404054"/>
    <w:rsid w:val="00404626"/>
    <w:rsid w:val="00404699"/>
    <w:rsid w:val="00404B62"/>
    <w:rsid w:val="00404FEA"/>
    <w:rsid w:val="0040566B"/>
    <w:rsid w:val="00405A96"/>
    <w:rsid w:val="00405D92"/>
    <w:rsid w:val="00406539"/>
    <w:rsid w:val="00406884"/>
    <w:rsid w:val="00406CA0"/>
    <w:rsid w:val="00406D78"/>
    <w:rsid w:val="00407146"/>
    <w:rsid w:val="00407C5C"/>
    <w:rsid w:val="00407DB1"/>
    <w:rsid w:val="004107E0"/>
    <w:rsid w:val="00410EAC"/>
    <w:rsid w:val="00411A3E"/>
    <w:rsid w:val="00411FF5"/>
    <w:rsid w:val="004128A2"/>
    <w:rsid w:val="00412E0D"/>
    <w:rsid w:val="00412E13"/>
    <w:rsid w:val="00412F12"/>
    <w:rsid w:val="0041328E"/>
    <w:rsid w:val="00413A15"/>
    <w:rsid w:val="00414096"/>
    <w:rsid w:val="0041475A"/>
    <w:rsid w:val="00415544"/>
    <w:rsid w:val="0041590C"/>
    <w:rsid w:val="00415A80"/>
    <w:rsid w:val="00415CF5"/>
    <w:rsid w:val="004161CC"/>
    <w:rsid w:val="00416D71"/>
    <w:rsid w:val="00416E96"/>
    <w:rsid w:val="0042032D"/>
    <w:rsid w:val="004203A2"/>
    <w:rsid w:val="00420E74"/>
    <w:rsid w:val="00421215"/>
    <w:rsid w:val="004215B9"/>
    <w:rsid w:val="00422106"/>
    <w:rsid w:val="0042223D"/>
    <w:rsid w:val="00422907"/>
    <w:rsid w:val="004229AF"/>
    <w:rsid w:val="004229F9"/>
    <w:rsid w:val="00422B3C"/>
    <w:rsid w:val="00422F61"/>
    <w:rsid w:val="004232CB"/>
    <w:rsid w:val="00423354"/>
    <w:rsid w:val="00423415"/>
    <w:rsid w:val="00423DB3"/>
    <w:rsid w:val="004240BE"/>
    <w:rsid w:val="004240CF"/>
    <w:rsid w:val="004242FD"/>
    <w:rsid w:val="00424489"/>
    <w:rsid w:val="00425C96"/>
    <w:rsid w:val="00425D7B"/>
    <w:rsid w:val="00426204"/>
    <w:rsid w:val="00426735"/>
    <w:rsid w:val="00426900"/>
    <w:rsid w:val="00427162"/>
    <w:rsid w:val="00430211"/>
    <w:rsid w:val="004309D4"/>
    <w:rsid w:val="0043115D"/>
    <w:rsid w:val="00431407"/>
    <w:rsid w:val="00432BE3"/>
    <w:rsid w:val="004344F4"/>
    <w:rsid w:val="0043479F"/>
    <w:rsid w:val="00434885"/>
    <w:rsid w:val="00434A28"/>
    <w:rsid w:val="00435FE0"/>
    <w:rsid w:val="00436321"/>
    <w:rsid w:val="004367EC"/>
    <w:rsid w:val="0043683D"/>
    <w:rsid w:val="00436EFC"/>
    <w:rsid w:val="004379C2"/>
    <w:rsid w:val="0044006D"/>
    <w:rsid w:val="00440BD8"/>
    <w:rsid w:val="00440D6F"/>
    <w:rsid w:val="00440FE9"/>
    <w:rsid w:val="00441291"/>
    <w:rsid w:val="004416AE"/>
    <w:rsid w:val="00441AFE"/>
    <w:rsid w:val="00441DC0"/>
    <w:rsid w:val="004432AA"/>
    <w:rsid w:val="00443634"/>
    <w:rsid w:val="0044381D"/>
    <w:rsid w:val="004439BB"/>
    <w:rsid w:val="00443FED"/>
    <w:rsid w:val="0044455C"/>
    <w:rsid w:val="00444856"/>
    <w:rsid w:val="00444B88"/>
    <w:rsid w:val="004455F0"/>
    <w:rsid w:val="00446199"/>
    <w:rsid w:val="00446213"/>
    <w:rsid w:val="00446244"/>
    <w:rsid w:val="00447094"/>
    <w:rsid w:val="00447BB8"/>
    <w:rsid w:val="00450780"/>
    <w:rsid w:val="004508C3"/>
    <w:rsid w:val="00452300"/>
    <w:rsid w:val="00452496"/>
    <w:rsid w:val="00453206"/>
    <w:rsid w:val="00453434"/>
    <w:rsid w:val="0045371B"/>
    <w:rsid w:val="00453C04"/>
    <w:rsid w:val="00453D8E"/>
    <w:rsid w:val="00453F97"/>
    <w:rsid w:val="00453FE3"/>
    <w:rsid w:val="00454BFE"/>
    <w:rsid w:val="00455371"/>
    <w:rsid w:val="004561E0"/>
    <w:rsid w:val="004566F1"/>
    <w:rsid w:val="00456ED1"/>
    <w:rsid w:val="00457C0B"/>
    <w:rsid w:val="00460E26"/>
    <w:rsid w:val="0046110B"/>
    <w:rsid w:val="0046168B"/>
    <w:rsid w:val="00461759"/>
    <w:rsid w:val="00461DD8"/>
    <w:rsid w:val="00463122"/>
    <w:rsid w:val="00463403"/>
    <w:rsid w:val="0046368D"/>
    <w:rsid w:val="00463801"/>
    <w:rsid w:val="00463A61"/>
    <w:rsid w:val="00464213"/>
    <w:rsid w:val="00464373"/>
    <w:rsid w:val="004644F1"/>
    <w:rsid w:val="004647F6"/>
    <w:rsid w:val="00464AD7"/>
    <w:rsid w:val="00464D5A"/>
    <w:rsid w:val="00464EF8"/>
    <w:rsid w:val="00464FE5"/>
    <w:rsid w:val="00465178"/>
    <w:rsid w:val="0046563E"/>
    <w:rsid w:val="00465878"/>
    <w:rsid w:val="00465956"/>
    <w:rsid w:val="00465A6D"/>
    <w:rsid w:val="00466118"/>
    <w:rsid w:val="00466DCD"/>
    <w:rsid w:val="004672C6"/>
    <w:rsid w:val="004674CC"/>
    <w:rsid w:val="00467593"/>
    <w:rsid w:val="004676E3"/>
    <w:rsid w:val="00467DEB"/>
    <w:rsid w:val="00470086"/>
    <w:rsid w:val="004703F6"/>
    <w:rsid w:val="00470BF3"/>
    <w:rsid w:val="00470BF4"/>
    <w:rsid w:val="00470E1B"/>
    <w:rsid w:val="00470EE1"/>
    <w:rsid w:val="00471F2C"/>
    <w:rsid w:val="00472BD3"/>
    <w:rsid w:val="004730F0"/>
    <w:rsid w:val="00473808"/>
    <w:rsid w:val="00473A8C"/>
    <w:rsid w:val="00473B9F"/>
    <w:rsid w:val="00473BBE"/>
    <w:rsid w:val="00473C86"/>
    <w:rsid w:val="00474B1E"/>
    <w:rsid w:val="00475242"/>
    <w:rsid w:val="004752F0"/>
    <w:rsid w:val="00475D55"/>
    <w:rsid w:val="00475D63"/>
    <w:rsid w:val="00475F52"/>
    <w:rsid w:val="00477218"/>
    <w:rsid w:val="004774A8"/>
    <w:rsid w:val="004775F4"/>
    <w:rsid w:val="00477D9A"/>
    <w:rsid w:val="004808E8"/>
    <w:rsid w:val="00480DCC"/>
    <w:rsid w:val="004820A8"/>
    <w:rsid w:val="00482201"/>
    <w:rsid w:val="0048231D"/>
    <w:rsid w:val="004827CC"/>
    <w:rsid w:val="00482DAC"/>
    <w:rsid w:val="004838B7"/>
    <w:rsid w:val="0048390C"/>
    <w:rsid w:val="00483ABB"/>
    <w:rsid w:val="00483C4F"/>
    <w:rsid w:val="00483CAC"/>
    <w:rsid w:val="00484265"/>
    <w:rsid w:val="00484A90"/>
    <w:rsid w:val="004856A4"/>
    <w:rsid w:val="004857C6"/>
    <w:rsid w:val="00485896"/>
    <w:rsid w:val="004859EA"/>
    <w:rsid w:val="004865C3"/>
    <w:rsid w:val="0048694A"/>
    <w:rsid w:val="0048760E"/>
    <w:rsid w:val="0048786D"/>
    <w:rsid w:val="004879DF"/>
    <w:rsid w:val="00487E76"/>
    <w:rsid w:val="0049175B"/>
    <w:rsid w:val="00491D2E"/>
    <w:rsid w:val="004923C9"/>
    <w:rsid w:val="00492BC8"/>
    <w:rsid w:val="00492E79"/>
    <w:rsid w:val="00494027"/>
    <w:rsid w:val="00494749"/>
    <w:rsid w:val="00494881"/>
    <w:rsid w:val="00495B89"/>
    <w:rsid w:val="00495CC3"/>
    <w:rsid w:val="00496070"/>
    <w:rsid w:val="004960DA"/>
    <w:rsid w:val="004968A8"/>
    <w:rsid w:val="00496D56"/>
    <w:rsid w:val="00496E26"/>
    <w:rsid w:val="004970BA"/>
    <w:rsid w:val="00497143"/>
    <w:rsid w:val="004974D2"/>
    <w:rsid w:val="00497764"/>
    <w:rsid w:val="00497859"/>
    <w:rsid w:val="00497FF0"/>
    <w:rsid w:val="004A00DB"/>
    <w:rsid w:val="004A023C"/>
    <w:rsid w:val="004A220A"/>
    <w:rsid w:val="004A2ABC"/>
    <w:rsid w:val="004A2BEF"/>
    <w:rsid w:val="004A3276"/>
    <w:rsid w:val="004A3466"/>
    <w:rsid w:val="004A3EC5"/>
    <w:rsid w:val="004A416C"/>
    <w:rsid w:val="004A426A"/>
    <w:rsid w:val="004A45BE"/>
    <w:rsid w:val="004A4B10"/>
    <w:rsid w:val="004A4BF2"/>
    <w:rsid w:val="004A4CFA"/>
    <w:rsid w:val="004A58F5"/>
    <w:rsid w:val="004A591C"/>
    <w:rsid w:val="004A66A0"/>
    <w:rsid w:val="004A6E27"/>
    <w:rsid w:val="004A6EED"/>
    <w:rsid w:val="004A6F04"/>
    <w:rsid w:val="004B0910"/>
    <w:rsid w:val="004B10DF"/>
    <w:rsid w:val="004B15E9"/>
    <w:rsid w:val="004B19CA"/>
    <w:rsid w:val="004B1B23"/>
    <w:rsid w:val="004B1D7A"/>
    <w:rsid w:val="004B218F"/>
    <w:rsid w:val="004B2D0C"/>
    <w:rsid w:val="004B2EC8"/>
    <w:rsid w:val="004B2F14"/>
    <w:rsid w:val="004B31D6"/>
    <w:rsid w:val="004B3373"/>
    <w:rsid w:val="004B3633"/>
    <w:rsid w:val="004B3762"/>
    <w:rsid w:val="004B38FE"/>
    <w:rsid w:val="004B437F"/>
    <w:rsid w:val="004B4905"/>
    <w:rsid w:val="004B4AF0"/>
    <w:rsid w:val="004B63A2"/>
    <w:rsid w:val="004B6E6A"/>
    <w:rsid w:val="004B731F"/>
    <w:rsid w:val="004B7467"/>
    <w:rsid w:val="004B7574"/>
    <w:rsid w:val="004B7826"/>
    <w:rsid w:val="004C0391"/>
    <w:rsid w:val="004C1100"/>
    <w:rsid w:val="004C16FE"/>
    <w:rsid w:val="004C1948"/>
    <w:rsid w:val="004C2E45"/>
    <w:rsid w:val="004C3492"/>
    <w:rsid w:val="004C38C1"/>
    <w:rsid w:val="004C425C"/>
    <w:rsid w:val="004C44DD"/>
    <w:rsid w:val="004C46DA"/>
    <w:rsid w:val="004C4CC1"/>
    <w:rsid w:val="004C4CF6"/>
    <w:rsid w:val="004C512D"/>
    <w:rsid w:val="004C55FE"/>
    <w:rsid w:val="004C5F6E"/>
    <w:rsid w:val="004C62B9"/>
    <w:rsid w:val="004C651C"/>
    <w:rsid w:val="004C6A78"/>
    <w:rsid w:val="004C6ADB"/>
    <w:rsid w:val="004D001D"/>
    <w:rsid w:val="004D0AA0"/>
    <w:rsid w:val="004D0F7F"/>
    <w:rsid w:val="004D1169"/>
    <w:rsid w:val="004D17B8"/>
    <w:rsid w:val="004D1AD8"/>
    <w:rsid w:val="004D26EF"/>
    <w:rsid w:val="004D2DFD"/>
    <w:rsid w:val="004D32B9"/>
    <w:rsid w:val="004D364A"/>
    <w:rsid w:val="004D38A8"/>
    <w:rsid w:val="004D3B2B"/>
    <w:rsid w:val="004D3B48"/>
    <w:rsid w:val="004D3EE5"/>
    <w:rsid w:val="004D42B0"/>
    <w:rsid w:val="004D5502"/>
    <w:rsid w:val="004D5DEC"/>
    <w:rsid w:val="004D5FD0"/>
    <w:rsid w:val="004D6026"/>
    <w:rsid w:val="004D62A5"/>
    <w:rsid w:val="004D634A"/>
    <w:rsid w:val="004D6468"/>
    <w:rsid w:val="004D65A8"/>
    <w:rsid w:val="004D6987"/>
    <w:rsid w:val="004D6DA7"/>
    <w:rsid w:val="004D6FF4"/>
    <w:rsid w:val="004D7D96"/>
    <w:rsid w:val="004D7F4E"/>
    <w:rsid w:val="004E1240"/>
    <w:rsid w:val="004E143E"/>
    <w:rsid w:val="004E1DBC"/>
    <w:rsid w:val="004E2493"/>
    <w:rsid w:val="004E2538"/>
    <w:rsid w:val="004E25D2"/>
    <w:rsid w:val="004E3243"/>
    <w:rsid w:val="004E339E"/>
    <w:rsid w:val="004E382E"/>
    <w:rsid w:val="004E3AD4"/>
    <w:rsid w:val="004E3B7E"/>
    <w:rsid w:val="004E42B6"/>
    <w:rsid w:val="004E4626"/>
    <w:rsid w:val="004E47E9"/>
    <w:rsid w:val="004E596B"/>
    <w:rsid w:val="004E5EE3"/>
    <w:rsid w:val="004E63EF"/>
    <w:rsid w:val="004E644F"/>
    <w:rsid w:val="004E65A9"/>
    <w:rsid w:val="004E6A5C"/>
    <w:rsid w:val="004E748C"/>
    <w:rsid w:val="004E753D"/>
    <w:rsid w:val="004E7BC0"/>
    <w:rsid w:val="004E7CE4"/>
    <w:rsid w:val="004F0443"/>
    <w:rsid w:val="004F0E2C"/>
    <w:rsid w:val="004F31FC"/>
    <w:rsid w:val="004F385B"/>
    <w:rsid w:val="004F38C6"/>
    <w:rsid w:val="004F4738"/>
    <w:rsid w:val="004F4B29"/>
    <w:rsid w:val="004F5060"/>
    <w:rsid w:val="004F5B3A"/>
    <w:rsid w:val="004F64FE"/>
    <w:rsid w:val="004F672A"/>
    <w:rsid w:val="004F6D25"/>
    <w:rsid w:val="004F7224"/>
    <w:rsid w:val="004F77B8"/>
    <w:rsid w:val="004F7DFE"/>
    <w:rsid w:val="005007B4"/>
    <w:rsid w:val="00501292"/>
    <w:rsid w:val="00501352"/>
    <w:rsid w:val="00501CD6"/>
    <w:rsid w:val="00501D35"/>
    <w:rsid w:val="00501E95"/>
    <w:rsid w:val="00502316"/>
    <w:rsid w:val="00502894"/>
    <w:rsid w:val="00502EE8"/>
    <w:rsid w:val="00503061"/>
    <w:rsid w:val="00503392"/>
    <w:rsid w:val="00503414"/>
    <w:rsid w:val="00504381"/>
    <w:rsid w:val="005055D2"/>
    <w:rsid w:val="0050590B"/>
    <w:rsid w:val="00505C6D"/>
    <w:rsid w:val="00506054"/>
    <w:rsid w:val="005060C5"/>
    <w:rsid w:val="005064A9"/>
    <w:rsid w:val="0050721A"/>
    <w:rsid w:val="005073EF"/>
    <w:rsid w:val="005074E5"/>
    <w:rsid w:val="005076CA"/>
    <w:rsid w:val="00507A14"/>
    <w:rsid w:val="00507A82"/>
    <w:rsid w:val="0051038E"/>
    <w:rsid w:val="0051057C"/>
    <w:rsid w:val="0051121D"/>
    <w:rsid w:val="005112A8"/>
    <w:rsid w:val="005112E0"/>
    <w:rsid w:val="0051130F"/>
    <w:rsid w:val="0051148D"/>
    <w:rsid w:val="00511967"/>
    <w:rsid w:val="005121BD"/>
    <w:rsid w:val="005123B3"/>
    <w:rsid w:val="0051257C"/>
    <w:rsid w:val="00512B1F"/>
    <w:rsid w:val="00512C57"/>
    <w:rsid w:val="0051352E"/>
    <w:rsid w:val="005137DF"/>
    <w:rsid w:val="0051386D"/>
    <w:rsid w:val="00513AAA"/>
    <w:rsid w:val="00514CF6"/>
    <w:rsid w:val="00514FF5"/>
    <w:rsid w:val="0051661F"/>
    <w:rsid w:val="00516FA4"/>
    <w:rsid w:val="00516FC6"/>
    <w:rsid w:val="005170A9"/>
    <w:rsid w:val="00517AEC"/>
    <w:rsid w:val="00517DA7"/>
    <w:rsid w:val="00517DC7"/>
    <w:rsid w:val="0052002D"/>
    <w:rsid w:val="005204B2"/>
    <w:rsid w:val="005205D7"/>
    <w:rsid w:val="00520680"/>
    <w:rsid w:val="00520A33"/>
    <w:rsid w:val="00520B86"/>
    <w:rsid w:val="00520F4B"/>
    <w:rsid w:val="00521A28"/>
    <w:rsid w:val="00521DB6"/>
    <w:rsid w:val="0052223A"/>
    <w:rsid w:val="005222E4"/>
    <w:rsid w:val="00522316"/>
    <w:rsid w:val="00523525"/>
    <w:rsid w:val="0052369E"/>
    <w:rsid w:val="00523C41"/>
    <w:rsid w:val="00523D02"/>
    <w:rsid w:val="005241DB"/>
    <w:rsid w:val="005242E0"/>
    <w:rsid w:val="0052442B"/>
    <w:rsid w:val="005252B8"/>
    <w:rsid w:val="0052565C"/>
    <w:rsid w:val="00525F12"/>
    <w:rsid w:val="0052739F"/>
    <w:rsid w:val="00527749"/>
    <w:rsid w:val="00527AE4"/>
    <w:rsid w:val="00527AE9"/>
    <w:rsid w:val="00527B34"/>
    <w:rsid w:val="0053004A"/>
    <w:rsid w:val="00530BE1"/>
    <w:rsid w:val="00530BFC"/>
    <w:rsid w:val="00530EF1"/>
    <w:rsid w:val="005310CF"/>
    <w:rsid w:val="00531536"/>
    <w:rsid w:val="00531DDF"/>
    <w:rsid w:val="005320AD"/>
    <w:rsid w:val="005320BE"/>
    <w:rsid w:val="0053262B"/>
    <w:rsid w:val="005327B4"/>
    <w:rsid w:val="005329E4"/>
    <w:rsid w:val="00532E29"/>
    <w:rsid w:val="00533145"/>
    <w:rsid w:val="0053350F"/>
    <w:rsid w:val="00533C7D"/>
    <w:rsid w:val="00533DC0"/>
    <w:rsid w:val="00533FEE"/>
    <w:rsid w:val="00535B35"/>
    <w:rsid w:val="00535C90"/>
    <w:rsid w:val="00536BB1"/>
    <w:rsid w:val="005377EC"/>
    <w:rsid w:val="005378B2"/>
    <w:rsid w:val="00537C45"/>
    <w:rsid w:val="00537D52"/>
    <w:rsid w:val="0054010F"/>
    <w:rsid w:val="0054038F"/>
    <w:rsid w:val="00540416"/>
    <w:rsid w:val="005408FC"/>
    <w:rsid w:val="00540A21"/>
    <w:rsid w:val="0054183F"/>
    <w:rsid w:val="00542755"/>
    <w:rsid w:val="00542E27"/>
    <w:rsid w:val="00542F83"/>
    <w:rsid w:val="00543B6D"/>
    <w:rsid w:val="00544304"/>
    <w:rsid w:val="00544374"/>
    <w:rsid w:val="00544703"/>
    <w:rsid w:val="0054495F"/>
    <w:rsid w:val="005457DA"/>
    <w:rsid w:val="00545C10"/>
    <w:rsid w:val="00545CD9"/>
    <w:rsid w:val="00547126"/>
    <w:rsid w:val="005476C8"/>
    <w:rsid w:val="00550508"/>
    <w:rsid w:val="00550606"/>
    <w:rsid w:val="00551526"/>
    <w:rsid w:val="00551B2A"/>
    <w:rsid w:val="00551E41"/>
    <w:rsid w:val="005523FA"/>
    <w:rsid w:val="005525B1"/>
    <w:rsid w:val="00552B64"/>
    <w:rsid w:val="00552BE3"/>
    <w:rsid w:val="00553044"/>
    <w:rsid w:val="00554137"/>
    <w:rsid w:val="005542A3"/>
    <w:rsid w:val="00554E53"/>
    <w:rsid w:val="0055586E"/>
    <w:rsid w:val="00555DA0"/>
    <w:rsid w:val="00555F37"/>
    <w:rsid w:val="005564B2"/>
    <w:rsid w:val="00556F1E"/>
    <w:rsid w:val="00556F32"/>
    <w:rsid w:val="005574E6"/>
    <w:rsid w:val="00557550"/>
    <w:rsid w:val="0055758E"/>
    <w:rsid w:val="00557A2B"/>
    <w:rsid w:val="00560DA5"/>
    <w:rsid w:val="00560E00"/>
    <w:rsid w:val="00560E6A"/>
    <w:rsid w:val="00561DAC"/>
    <w:rsid w:val="005620BA"/>
    <w:rsid w:val="00562E33"/>
    <w:rsid w:val="005634C1"/>
    <w:rsid w:val="00563880"/>
    <w:rsid w:val="00563A9E"/>
    <w:rsid w:val="00563B6B"/>
    <w:rsid w:val="0056447E"/>
    <w:rsid w:val="00564528"/>
    <w:rsid w:val="0056484C"/>
    <w:rsid w:val="00564D2E"/>
    <w:rsid w:val="00564EAA"/>
    <w:rsid w:val="00565200"/>
    <w:rsid w:val="00565B05"/>
    <w:rsid w:val="00565FC3"/>
    <w:rsid w:val="0056642D"/>
    <w:rsid w:val="00566EEC"/>
    <w:rsid w:val="0056702B"/>
    <w:rsid w:val="005670B8"/>
    <w:rsid w:val="0056741C"/>
    <w:rsid w:val="005676D9"/>
    <w:rsid w:val="00567995"/>
    <w:rsid w:val="00567B4E"/>
    <w:rsid w:val="00567D7A"/>
    <w:rsid w:val="00570564"/>
    <w:rsid w:val="00570968"/>
    <w:rsid w:val="005709FC"/>
    <w:rsid w:val="00570B15"/>
    <w:rsid w:val="005713C7"/>
    <w:rsid w:val="005716F1"/>
    <w:rsid w:val="00571B14"/>
    <w:rsid w:val="00571FE1"/>
    <w:rsid w:val="0057229F"/>
    <w:rsid w:val="00572732"/>
    <w:rsid w:val="00572752"/>
    <w:rsid w:val="00572D24"/>
    <w:rsid w:val="00573076"/>
    <w:rsid w:val="00573AA5"/>
    <w:rsid w:val="00573DC6"/>
    <w:rsid w:val="00574855"/>
    <w:rsid w:val="00574A78"/>
    <w:rsid w:val="00574A87"/>
    <w:rsid w:val="00574C99"/>
    <w:rsid w:val="00575054"/>
    <w:rsid w:val="00575289"/>
    <w:rsid w:val="00575DC8"/>
    <w:rsid w:val="005760D8"/>
    <w:rsid w:val="00576585"/>
    <w:rsid w:val="005768A9"/>
    <w:rsid w:val="00576FA4"/>
    <w:rsid w:val="0057783D"/>
    <w:rsid w:val="005812AD"/>
    <w:rsid w:val="005814F5"/>
    <w:rsid w:val="005815D3"/>
    <w:rsid w:val="00582403"/>
    <w:rsid w:val="00582B16"/>
    <w:rsid w:val="00583BE4"/>
    <w:rsid w:val="00584627"/>
    <w:rsid w:val="00584E50"/>
    <w:rsid w:val="0058531A"/>
    <w:rsid w:val="0058535E"/>
    <w:rsid w:val="0058541E"/>
    <w:rsid w:val="005855DC"/>
    <w:rsid w:val="005857ED"/>
    <w:rsid w:val="00586402"/>
    <w:rsid w:val="0058671C"/>
    <w:rsid w:val="005869EA"/>
    <w:rsid w:val="005875A8"/>
    <w:rsid w:val="00590A18"/>
    <w:rsid w:val="00590B8D"/>
    <w:rsid w:val="00590DDC"/>
    <w:rsid w:val="00591122"/>
    <w:rsid w:val="00591232"/>
    <w:rsid w:val="005914F9"/>
    <w:rsid w:val="0059160F"/>
    <w:rsid w:val="0059224E"/>
    <w:rsid w:val="00592355"/>
    <w:rsid w:val="00593895"/>
    <w:rsid w:val="005945AF"/>
    <w:rsid w:val="0059527A"/>
    <w:rsid w:val="00595D87"/>
    <w:rsid w:val="005960FD"/>
    <w:rsid w:val="0059619B"/>
    <w:rsid w:val="005966D0"/>
    <w:rsid w:val="00596797"/>
    <w:rsid w:val="00596D4A"/>
    <w:rsid w:val="00596E7F"/>
    <w:rsid w:val="00596F89"/>
    <w:rsid w:val="00597DAD"/>
    <w:rsid w:val="00597FC6"/>
    <w:rsid w:val="00597FFA"/>
    <w:rsid w:val="005A05C9"/>
    <w:rsid w:val="005A0757"/>
    <w:rsid w:val="005A0897"/>
    <w:rsid w:val="005A0CC8"/>
    <w:rsid w:val="005A1676"/>
    <w:rsid w:val="005A1BD6"/>
    <w:rsid w:val="005A1F5F"/>
    <w:rsid w:val="005A2096"/>
    <w:rsid w:val="005A22DE"/>
    <w:rsid w:val="005A2379"/>
    <w:rsid w:val="005A2C7B"/>
    <w:rsid w:val="005A2DD2"/>
    <w:rsid w:val="005A2F45"/>
    <w:rsid w:val="005A33E8"/>
    <w:rsid w:val="005A5250"/>
    <w:rsid w:val="005A539B"/>
    <w:rsid w:val="005A54FB"/>
    <w:rsid w:val="005A56F1"/>
    <w:rsid w:val="005A61FA"/>
    <w:rsid w:val="005A69B9"/>
    <w:rsid w:val="005A722B"/>
    <w:rsid w:val="005A72A1"/>
    <w:rsid w:val="005A746C"/>
    <w:rsid w:val="005A7E4F"/>
    <w:rsid w:val="005B025F"/>
    <w:rsid w:val="005B064B"/>
    <w:rsid w:val="005B0AA4"/>
    <w:rsid w:val="005B0B91"/>
    <w:rsid w:val="005B0D8B"/>
    <w:rsid w:val="005B108B"/>
    <w:rsid w:val="005B147C"/>
    <w:rsid w:val="005B16C4"/>
    <w:rsid w:val="005B17B0"/>
    <w:rsid w:val="005B1EDC"/>
    <w:rsid w:val="005B207D"/>
    <w:rsid w:val="005B227B"/>
    <w:rsid w:val="005B2C41"/>
    <w:rsid w:val="005B33ED"/>
    <w:rsid w:val="005B3739"/>
    <w:rsid w:val="005B3784"/>
    <w:rsid w:val="005B3D22"/>
    <w:rsid w:val="005B40A1"/>
    <w:rsid w:val="005B4C38"/>
    <w:rsid w:val="005B4E6A"/>
    <w:rsid w:val="005B510E"/>
    <w:rsid w:val="005B5906"/>
    <w:rsid w:val="005B6347"/>
    <w:rsid w:val="005B70BD"/>
    <w:rsid w:val="005B7578"/>
    <w:rsid w:val="005C0FCE"/>
    <w:rsid w:val="005C13CD"/>
    <w:rsid w:val="005C185D"/>
    <w:rsid w:val="005C18E0"/>
    <w:rsid w:val="005C2615"/>
    <w:rsid w:val="005C282D"/>
    <w:rsid w:val="005C2F3F"/>
    <w:rsid w:val="005C3145"/>
    <w:rsid w:val="005C3577"/>
    <w:rsid w:val="005C3755"/>
    <w:rsid w:val="005C431B"/>
    <w:rsid w:val="005C4C92"/>
    <w:rsid w:val="005C5775"/>
    <w:rsid w:val="005C5C7A"/>
    <w:rsid w:val="005C69ED"/>
    <w:rsid w:val="005C70C8"/>
    <w:rsid w:val="005C7E0F"/>
    <w:rsid w:val="005C7F38"/>
    <w:rsid w:val="005D036D"/>
    <w:rsid w:val="005D036F"/>
    <w:rsid w:val="005D08E2"/>
    <w:rsid w:val="005D0B9E"/>
    <w:rsid w:val="005D12A4"/>
    <w:rsid w:val="005D1354"/>
    <w:rsid w:val="005D14A8"/>
    <w:rsid w:val="005D1DB8"/>
    <w:rsid w:val="005D25D5"/>
    <w:rsid w:val="005D2BB9"/>
    <w:rsid w:val="005D2CDD"/>
    <w:rsid w:val="005D3B33"/>
    <w:rsid w:val="005D3BF8"/>
    <w:rsid w:val="005D4667"/>
    <w:rsid w:val="005D5CA9"/>
    <w:rsid w:val="005D5E98"/>
    <w:rsid w:val="005D65D8"/>
    <w:rsid w:val="005D666D"/>
    <w:rsid w:val="005D6A1D"/>
    <w:rsid w:val="005D7677"/>
    <w:rsid w:val="005D7B31"/>
    <w:rsid w:val="005D7C94"/>
    <w:rsid w:val="005D7DC8"/>
    <w:rsid w:val="005D7F9A"/>
    <w:rsid w:val="005E033B"/>
    <w:rsid w:val="005E04FF"/>
    <w:rsid w:val="005E0A38"/>
    <w:rsid w:val="005E0D86"/>
    <w:rsid w:val="005E182D"/>
    <w:rsid w:val="005E1B68"/>
    <w:rsid w:val="005E1D61"/>
    <w:rsid w:val="005E1F19"/>
    <w:rsid w:val="005E255C"/>
    <w:rsid w:val="005E2920"/>
    <w:rsid w:val="005E2D1A"/>
    <w:rsid w:val="005E2DAC"/>
    <w:rsid w:val="005E335E"/>
    <w:rsid w:val="005E33F0"/>
    <w:rsid w:val="005E3A68"/>
    <w:rsid w:val="005E3D27"/>
    <w:rsid w:val="005E3EC3"/>
    <w:rsid w:val="005E4308"/>
    <w:rsid w:val="005E44DC"/>
    <w:rsid w:val="005E4BD9"/>
    <w:rsid w:val="005E5E21"/>
    <w:rsid w:val="005E6298"/>
    <w:rsid w:val="005E6432"/>
    <w:rsid w:val="005E650C"/>
    <w:rsid w:val="005E725D"/>
    <w:rsid w:val="005E72AC"/>
    <w:rsid w:val="005E72C4"/>
    <w:rsid w:val="005E7A8F"/>
    <w:rsid w:val="005E7F46"/>
    <w:rsid w:val="005F0859"/>
    <w:rsid w:val="005F0C33"/>
    <w:rsid w:val="005F0C6C"/>
    <w:rsid w:val="005F1658"/>
    <w:rsid w:val="005F1D1D"/>
    <w:rsid w:val="005F1DCA"/>
    <w:rsid w:val="005F2462"/>
    <w:rsid w:val="005F295B"/>
    <w:rsid w:val="005F35ED"/>
    <w:rsid w:val="005F3BA0"/>
    <w:rsid w:val="005F4A13"/>
    <w:rsid w:val="005F576C"/>
    <w:rsid w:val="005F59DB"/>
    <w:rsid w:val="005F5C95"/>
    <w:rsid w:val="005F5DA5"/>
    <w:rsid w:val="005F6768"/>
    <w:rsid w:val="005F68C4"/>
    <w:rsid w:val="005F68E8"/>
    <w:rsid w:val="005F71F0"/>
    <w:rsid w:val="005F72A1"/>
    <w:rsid w:val="005F7B0C"/>
    <w:rsid w:val="005F7C62"/>
    <w:rsid w:val="005F7EE0"/>
    <w:rsid w:val="006001CB"/>
    <w:rsid w:val="006002F5"/>
    <w:rsid w:val="00600461"/>
    <w:rsid w:val="00601194"/>
    <w:rsid w:val="0060192A"/>
    <w:rsid w:val="00601CDE"/>
    <w:rsid w:val="006022C4"/>
    <w:rsid w:val="006023D6"/>
    <w:rsid w:val="006026BF"/>
    <w:rsid w:val="006026DA"/>
    <w:rsid w:val="0060282D"/>
    <w:rsid w:val="00602E36"/>
    <w:rsid w:val="00602F89"/>
    <w:rsid w:val="0060388E"/>
    <w:rsid w:val="00603930"/>
    <w:rsid w:val="0060395F"/>
    <w:rsid w:val="00603981"/>
    <w:rsid w:val="006046DC"/>
    <w:rsid w:val="0060558C"/>
    <w:rsid w:val="006056CB"/>
    <w:rsid w:val="00605757"/>
    <w:rsid w:val="006059EA"/>
    <w:rsid w:val="00605B45"/>
    <w:rsid w:val="0060613B"/>
    <w:rsid w:val="00606547"/>
    <w:rsid w:val="00606881"/>
    <w:rsid w:val="00607251"/>
    <w:rsid w:val="00607723"/>
    <w:rsid w:val="006077A3"/>
    <w:rsid w:val="0060787C"/>
    <w:rsid w:val="00607A0B"/>
    <w:rsid w:val="00610305"/>
    <w:rsid w:val="006103C0"/>
    <w:rsid w:val="006104A2"/>
    <w:rsid w:val="00610F96"/>
    <w:rsid w:val="006110B7"/>
    <w:rsid w:val="006111ED"/>
    <w:rsid w:val="006119FC"/>
    <w:rsid w:val="00611D71"/>
    <w:rsid w:val="00611F8A"/>
    <w:rsid w:val="00612E19"/>
    <w:rsid w:val="0061315A"/>
    <w:rsid w:val="00613382"/>
    <w:rsid w:val="006133F3"/>
    <w:rsid w:val="00613D65"/>
    <w:rsid w:val="00613E8B"/>
    <w:rsid w:val="006148CB"/>
    <w:rsid w:val="00615098"/>
    <w:rsid w:val="00615E05"/>
    <w:rsid w:val="00616474"/>
    <w:rsid w:val="00616882"/>
    <w:rsid w:val="0061713E"/>
    <w:rsid w:val="00617829"/>
    <w:rsid w:val="00617AFE"/>
    <w:rsid w:val="0062028E"/>
    <w:rsid w:val="0062066E"/>
    <w:rsid w:val="00621A03"/>
    <w:rsid w:val="00621A4C"/>
    <w:rsid w:val="00621CEC"/>
    <w:rsid w:val="00621EE8"/>
    <w:rsid w:val="00621FB0"/>
    <w:rsid w:val="00622758"/>
    <w:rsid w:val="00622862"/>
    <w:rsid w:val="00622F9F"/>
    <w:rsid w:val="00623AEF"/>
    <w:rsid w:val="00623F0C"/>
    <w:rsid w:val="006247F0"/>
    <w:rsid w:val="00624E89"/>
    <w:rsid w:val="006251A5"/>
    <w:rsid w:val="006254C8"/>
    <w:rsid w:val="0062590B"/>
    <w:rsid w:val="00625973"/>
    <w:rsid w:val="00625A98"/>
    <w:rsid w:val="00625EF6"/>
    <w:rsid w:val="00626107"/>
    <w:rsid w:val="00626D76"/>
    <w:rsid w:val="0062750F"/>
    <w:rsid w:val="0062794C"/>
    <w:rsid w:val="00630313"/>
    <w:rsid w:val="006304EB"/>
    <w:rsid w:val="00630891"/>
    <w:rsid w:val="00630C6E"/>
    <w:rsid w:val="00630DA8"/>
    <w:rsid w:val="00630DDF"/>
    <w:rsid w:val="0063177A"/>
    <w:rsid w:val="00631E13"/>
    <w:rsid w:val="00631F6C"/>
    <w:rsid w:val="00632183"/>
    <w:rsid w:val="006322E1"/>
    <w:rsid w:val="006323DF"/>
    <w:rsid w:val="00632588"/>
    <w:rsid w:val="0063342F"/>
    <w:rsid w:val="00633878"/>
    <w:rsid w:val="006344BE"/>
    <w:rsid w:val="00634B64"/>
    <w:rsid w:val="00634C9D"/>
    <w:rsid w:val="006353DB"/>
    <w:rsid w:val="006358B2"/>
    <w:rsid w:val="006358FB"/>
    <w:rsid w:val="00635B71"/>
    <w:rsid w:val="00635C23"/>
    <w:rsid w:val="00636178"/>
    <w:rsid w:val="00636915"/>
    <w:rsid w:val="006369DB"/>
    <w:rsid w:val="00636AD8"/>
    <w:rsid w:val="00636D50"/>
    <w:rsid w:val="0063754A"/>
    <w:rsid w:val="0063758C"/>
    <w:rsid w:val="006403DF"/>
    <w:rsid w:val="00641BE1"/>
    <w:rsid w:val="00641CDC"/>
    <w:rsid w:val="00642253"/>
    <w:rsid w:val="0064236E"/>
    <w:rsid w:val="00642576"/>
    <w:rsid w:val="0064283B"/>
    <w:rsid w:val="00642A0F"/>
    <w:rsid w:val="00642D60"/>
    <w:rsid w:val="00642E87"/>
    <w:rsid w:val="00643C18"/>
    <w:rsid w:val="00644715"/>
    <w:rsid w:val="00644ED5"/>
    <w:rsid w:val="00645B5C"/>
    <w:rsid w:val="00645D6F"/>
    <w:rsid w:val="006461EC"/>
    <w:rsid w:val="00646222"/>
    <w:rsid w:val="0064656D"/>
    <w:rsid w:val="0064662B"/>
    <w:rsid w:val="0064674E"/>
    <w:rsid w:val="00646B10"/>
    <w:rsid w:val="00646C95"/>
    <w:rsid w:val="00647145"/>
    <w:rsid w:val="006471E8"/>
    <w:rsid w:val="0064785B"/>
    <w:rsid w:val="006479C1"/>
    <w:rsid w:val="00647D22"/>
    <w:rsid w:val="00647EA7"/>
    <w:rsid w:val="0065054A"/>
    <w:rsid w:val="00650D13"/>
    <w:rsid w:val="00651442"/>
    <w:rsid w:val="00651CAC"/>
    <w:rsid w:val="00651E56"/>
    <w:rsid w:val="00652047"/>
    <w:rsid w:val="00652CB7"/>
    <w:rsid w:val="00653B00"/>
    <w:rsid w:val="00654022"/>
    <w:rsid w:val="0065469D"/>
    <w:rsid w:val="006547BF"/>
    <w:rsid w:val="0065530A"/>
    <w:rsid w:val="0065530C"/>
    <w:rsid w:val="006556EC"/>
    <w:rsid w:val="006564C7"/>
    <w:rsid w:val="006602AA"/>
    <w:rsid w:val="0066086C"/>
    <w:rsid w:val="00660BCF"/>
    <w:rsid w:val="006614B0"/>
    <w:rsid w:val="00661521"/>
    <w:rsid w:val="00661E5A"/>
    <w:rsid w:val="00661FEF"/>
    <w:rsid w:val="00662279"/>
    <w:rsid w:val="0066231B"/>
    <w:rsid w:val="00662819"/>
    <w:rsid w:val="006628FA"/>
    <w:rsid w:val="00663B38"/>
    <w:rsid w:val="00663EB2"/>
    <w:rsid w:val="00664000"/>
    <w:rsid w:val="00664478"/>
    <w:rsid w:val="00664B77"/>
    <w:rsid w:val="00665037"/>
    <w:rsid w:val="006653F7"/>
    <w:rsid w:val="0066584D"/>
    <w:rsid w:val="00665EF9"/>
    <w:rsid w:val="00666054"/>
    <w:rsid w:val="006665D8"/>
    <w:rsid w:val="006668A2"/>
    <w:rsid w:val="006668EA"/>
    <w:rsid w:val="00666BC6"/>
    <w:rsid w:val="00666E52"/>
    <w:rsid w:val="006670A6"/>
    <w:rsid w:val="0066777F"/>
    <w:rsid w:val="00667DCF"/>
    <w:rsid w:val="00667E7E"/>
    <w:rsid w:val="006700AE"/>
    <w:rsid w:val="00670126"/>
    <w:rsid w:val="00670404"/>
    <w:rsid w:val="006706C7"/>
    <w:rsid w:val="006707BE"/>
    <w:rsid w:val="00670E2F"/>
    <w:rsid w:val="006712AC"/>
    <w:rsid w:val="006714AA"/>
    <w:rsid w:val="00672F3F"/>
    <w:rsid w:val="006746C0"/>
    <w:rsid w:val="006747B2"/>
    <w:rsid w:val="00674F31"/>
    <w:rsid w:val="00675236"/>
    <w:rsid w:val="00676781"/>
    <w:rsid w:val="006770D5"/>
    <w:rsid w:val="00677520"/>
    <w:rsid w:val="00677DA8"/>
    <w:rsid w:val="00677FB3"/>
    <w:rsid w:val="00677FF6"/>
    <w:rsid w:val="00680501"/>
    <w:rsid w:val="006806DB"/>
    <w:rsid w:val="00680BB0"/>
    <w:rsid w:val="0068107A"/>
    <w:rsid w:val="0068170B"/>
    <w:rsid w:val="006819C3"/>
    <w:rsid w:val="00681C84"/>
    <w:rsid w:val="00682737"/>
    <w:rsid w:val="00682C86"/>
    <w:rsid w:val="0068306D"/>
    <w:rsid w:val="00683260"/>
    <w:rsid w:val="006840FB"/>
    <w:rsid w:val="00684532"/>
    <w:rsid w:val="006847FA"/>
    <w:rsid w:val="0068638E"/>
    <w:rsid w:val="006863FF"/>
    <w:rsid w:val="00686AC4"/>
    <w:rsid w:val="00686AC5"/>
    <w:rsid w:val="00686B6C"/>
    <w:rsid w:val="00686E84"/>
    <w:rsid w:val="00687551"/>
    <w:rsid w:val="00687618"/>
    <w:rsid w:val="0068777F"/>
    <w:rsid w:val="0068783E"/>
    <w:rsid w:val="00690552"/>
    <w:rsid w:val="00691A82"/>
    <w:rsid w:val="00691C5B"/>
    <w:rsid w:val="00691D31"/>
    <w:rsid w:val="00692367"/>
    <w:rsid w:val="006928F0"/>
    <w:rsid w:val="0069303E"/>
    <w:rsid w:val="00693324"/>
    <w:rsid w:val="00693760"/>
    <w:rsid w:val="006937EE"/>
    <w:rsid w:val="00693862"/>
    <w:rsid w:val="00693EF1"/>
    <w:rsid w:val="006944D8"/>
    <w:rsid w:val="0069458D"/>
    <w:rsid w:val="00694699"/>
    <w:rsid w:val="0069476D"/>
    <w:rsid w:val="00694E92"/>
    <w:rsid w:val="006953EA"/>
    <w:rsid w:val="00695E44"/>
    <w:rsid w:val="0069669F"/>
    <w:rsid w:val="0069794F"/>
    <w:rsid w:val="00697A5C"/>
    <w:rsid w:val="006A0013"/>
    <w:rsid w:val="006A01F5"/>
    <w:rsid w:val="006A051A"/>
    <w:rsid w:val="006A1585"/>
    <w:rsid w:val="006A1F5D"/>
    <w:rsid w:val="006A25C4"/>
    <w:rsid w:val="006A28E3"/>
    <w:rsid w:val="006A3361"/>
    <w:rsid w:val="006A340B"/>
    <w:rsid w:val="006A35B1"/>
    <w:rsid w:val="006A35D2"/>
    <w:rsid w:val="006A3986"/>
    <w:rsid w:val="006A39AF"/>
    <w:rsid w:val="006A3C4C"/>
    <w:rsid w:val="006A44FD"/>
    <w:rsid w:val="006A46BF"/>
    <w:rsid w:val="006A503A"/>
    <w:rsid w:val="006A525F"/>
    <w:rsid w:val="006A5F51"/>
    <w:rsid w:val="006A619F"/>
    <w:rsid w:val="006A6275"/>
    <w:rsid w:val="006A68F1"/>
    <w:rsid w:val="006A692E"/>
    <w:rsid w:val="006A6A6C"/>
    <w:rsid w:val="006A6C64"/>
    <w:rsid w:val="006A73D5"/>
    <w:rsid w:val="006A7427"/>
    <w:rsid w:val="006B00B3"/>
    <w:rsid w:val="006B08E8"/>
    <w:rsid w:val="006B1241"/>
    <w:rsid w:val="006B1AB8"/>
    <w:rsid w:val="006B1D25"/>
    <w:rsid w:val="006B1EC2"/>
    <w:rsid w:val="006B28CF"/>
    <w:rsid w:val="006B2A6E"/>
    <w:rsid w:val="006B2CB2"/>
    <w:rsid w:val="006B30B2"/>
    <w:rsid w:val="006B367A"/>
    <w:rsid w:val="006B48B1"/>
    <w:rsid w:val="006B5C1A"/>
    <w:rsid w:val="006B672A"/>
    <w:rsid w:val="006B6D56"/>
    <w:rsid w:val="006B76AF"/>
    <w:rsid w:val="006B775D"/>
    <w:rsid w:val="006B786F"/>
    <w:rsid w:val="006B7F8A"/>
    <w:rsid w:val="006B7FF7"/>
    <w:rsid w:val="006C0717"/>
    <w:rsid w:val="006C07FA"/>
    <w:rsid w:val="006C0A68"/>
    <w:rsid w:val="006C1021"/>
    <w:rsid w:val="006C16F2"/>
    <w:rsid w:val="006C322F"/>
    <w:rsid w:val="006C3ABA"/>
    <w:rsid w:val="006C47BD"/>
    <w:rsid w:val="006C4EA2"/>
    <w:rsid w:val="006C5158"/>
    <w:rsid w:val="006C5BE1"/>
    <w:rsid w:val="006C5D97"/>
    <w:rsid w:val="006C5DD5"/>
    <w:rsid w:val="006C61D8"/>
    <w:rsid w:val="006C67D4"/>
    <w:rsid w:val="006C6B42"/>
    <w:rsid w:val="006C7360"/>
    <w:rsid w:val="006C7592"/>
    <w:rsid w:val="006C77DD"/>
    <w:rsid w:val="006C78BD"/>
    <w:rsid w:val="006D0907"/>
    <w:rsid w:val="006D094E"/>
    <w:rsid w:val="006D1BF8"/>
    <w:rsid w:val="006D2560"/>
    <w:rsid w:val="006D2799"/>
    <w:rsid w:val="006D29E9"/>
    <w:rsid w:val="006D337F"/>
    <w:rsid w:val="006D458E"/>
    <w:rsid w:val="006D4608"/>
    <w:rsid w:val="006D5113"/>
    <w:rsid w:val="006D52C5"/>
    <w:rsid w:val="006D5F82"/>
    <w:rsid w:val="006D682C"/>
    <w:rsid w:val="006D7520"/>
    <w:rsid w:val="006D795B"/>
    <w:rsid w:val="006E062D"/>
    <w:rsid w:val="006E0D96"/>
    <w:rsid w:val="006E0FFC"/>
    <w:rsid w:val="006E1086"/>
    <w:rsid w:val="006E1601"/>
    <w:rsid w:val="006E1A0C"/>
    <w:rsid w:val="006E2327"/>
    <w:rsid w:val="006E2D9F"/>
    <w:rsid w:val="006E2E12"/>
    <w:rsid w:val="006E2EF3"/>
    <w:rsid w:val="006E3084"/>
    <w:rsid w:val="006E369D"/>
    <w:rsid w:val="006E36EE"/>
    <w:rsid w:val="006E3720"/>
    <w:rsid w:val="006E383E"/>
    <w:rsid w:val="006E3F0B"/>
    <w:rsid w:val="006E439F"/>
    <w:rsid w:val="006E48DB"/>
    <w:rsid w:val="006E4C2C"/>
    <w:rsid w:val="006E4C54"/>
    <w:rsid w:val="006E4FD6"/>
    <w:rsid w:val="006E53F6"/>
    <w:rsid w:val="006E5456"/>
    <w:rsid w:val="006E56F4"/>
    <w:rsid w:val="006E58C5"/>
    <w:rsid w:val="006E5D6E"/>
    <w:rsid w:val="006E63EF"/>
    <w:rsid w:val="006E6760"/>
    <w:rsid w:val="006F00B0"/>
    <w:rsid w:val="006F04E4"/>
    <w:rsid w:val="006F04F8"/>
    <w:rsid w:val="006F0E31"/>
    <w:rsid w:val="006F111D"/>
    <w:rsid w:val="006F2A49"/>
    <w:rsid w:val="006F30EB"/>
    <w:rsid w:val="006F3BC8"/>
    <w:rsid w:val="006F3F07"/>
    <w:rsid w:val="006F42A4"/>
    <w:rsid w:val="006F4B09"/>
    <w:rsid w:val="006F4B46"/>
    <w:rsid w:val="006F4E2E"/>
    <w:rsid w:val="006F541C"/>
    <w:rsid w:val="006F56AF"/>
    <w:rsid w:val="006F67B4"/>
    <w:rsid w:val="006F6A8E"/>
    <w:rsid w:val="006F76AD"/>
    <w:rsid w:val="006F7EC1"/>
    <w:rsid w:val="007007C1"/>
    <w:rsid w:val="00701191"/>
    <w:rsid w:val="0070199A"/>
    <w:rsid w:val="00702625"/>
    <w:rsid w:val="00702794"/>
    <w:rsid w:val="00702AB8"/>
    <w:rsid w:val="00703333"/>
    <w:rsid w:val="007033E0"/>
    <w:rsid w:val="00703589"/>
    <w:rsid w:val="00704118"/>
    <w:rsid w:val="00704B91"/>
    <w:rsid w:val="007057CD"/>
    <w:rsid w:val="00705B24"/>
    <w:rsid w:val="00705F1C"/>
    <w:rsid w:val="007061FB"/>
    <w:rsid w:val="00707323"/>
    <w:rsid w:val="007075B5"/>
    <w:rsid w:val="007076E0"/>
    <w:rsid w:val="00707B6A"/>
    <w:rsid w:val="0071013B"/>
    <w:rsid w:val="0071016B"/>
    <w:rsid w:val="007101E9"/>
    <w:rsid w:val="007107DA"/>
    <w:rsid w:val="00711558"/>
    <w:rsid w:val="00712587"/>
    <w:rsid w:val="00713441"/>
    <w:rsid w:val="00713989"/>
    <w:rsid w:val="00714332"/>
    <w:rsid w:val="0071470B"/>
    <w:rsid w:val="00714B3E"/>
    <w:rsid w:val="0071510B"/>
    <w:rsid w:val="0071528E"/>
    <w:rsid w:val="00715393"/>
    <w:rsid w:val="00715A96"/>
    <w:rsid w:val="007163BE"/>
    <w:rsid w:val="007164CC"/>
    <w:rsid w:val="00716745"/>
    <w:rsid w:val="007168E7"/>
    <w:rsid w:val="00716983"/>
    <w:rsid w:val="00716B69"/>
    <w:rsid w:val="00716B81"/>
    <w:rsid w:val="007170AE"/>
    <w:rsid w:val="00717124"/>
    <w:rsid w:val="00717632"/>
    <w:rsid w:val="00717694"/>
    <w:rsid w:val="00717741"/>
    <w:rsid w:val="00717C1C"/>
    <w:rsid w:val="007200B6"/>
    <w:rsid w:val="007205A4"/>
    <w:rsid w:val="00720AA8"/>
    <w:rsid w:val="00720B7C"/>
    <w:rsid w:val="00720CF1"/>
    <w:rsid w:val="00720FF9"/>
    <w:rsid w:val="0072124F"/>
    <w:rsid w:val="00721B03"/>
    <w:rsid w:val="0072229E"/>
    <w:rsid w:val="00722434"/>
    <w:rsid w:val="00722655"/>
    <w:rsid w:val="007228FF"/>
    <w:rsid w:val="00722D52"/>
    <w:rsid w:val="00723131"/>
    <w:rsid w:val="00723C38"/>
    <w:rsid w:val="00724217"/>
    <w:rsid w:val="00724540"/>
    <w:rsid w:val="00724CD1"/>
    <w:rsid w:val="0072547C"/>
    <w:rsid w:val="0072566F"/>
    <w:rsid w:val="00725DDB"/>
    <w:rsid w:val="00726106"/>
    <w:rsid w:val="00726498"/>
    <w:rsid w:val="00726B20"/>
    <w:rsid w:val="00726DD1"/>
    <w:rsid w:val="00727271"/>
    <w:rsid w:val="007279BA"/>
    <w:rsid w:val="007301C6"/>
    <w:rsid w:val="007304AA"/>
    <w:rsid w:val="0073057B"/>
    <w:rsid w:val="007306AA"/>
    <w:rsid w:val="00730771"/>
    <w:rsid w:val="00730854"/>
    <w:rsid w:val="00730DC1"/>
    <w:rsid w:val="0073164C"/>
    <w:rsid w:val="00731733"/>
    <w:rsid w:val="0073174F"/>
    <w:rsid w:val="00731784"/>
    <w:rsid w:val="0073190F"/>
    <w:rsid w:val="007319A4"/>
    <w:rsid w:val="00731D80"/>
    <w:rsid w:val="00731ECC"/>
    <w:rsid w:val="007320A9"/>
    <w:rsid w:val="0073228F"/>
    <w:rsid w:val="00732C02"/>
    <w:rsid w:val="00733AD3"/>
    <w:rsid w:val="00733BA4"/>
    <w:rsid w:val="007341D6"/>
    <w:rsid w:val="00734AD8"/>
    <w:rsid w:val="00734F6A"/>
    <w:rsid w:val="00735D69"/>
    <w:rsid w:val="00735EED"/>
    <w:rsid w:val="0073625B"/>
    <w:rsid w:val="00736E15"/>
    <w:rsid w:val="00736E2A"/>
    <w:rsid w:val="00736FC2"/>
    <w:rsid w:val="00737C59"/>
    <w:rsid w:val="00740443"/>
    <w:rsid w:val="00740A5B"/>
    <w:rsid w:val="00740A8D"/>
    <w:rsid w:val="0074120D"/>
    <w:rsid w:val="007416BC"/>
    <w:rsid w:val="0074171E"/>
    <w:rsid w:val="00743265"/>
    <w:rsid w:val="00743761"/>
    <w:rsid w:val="00743A70"/>
    <w:rsid w:val="0074422B"/>
    <w:rsid w:val="007443AF"/>
    <w:rsid w:val="00744608"/>
    <w:rsid w:val="007446AD"/>
    <w:rsid w:val="00745548"/>
    <w:rsid w:val="0074585A"/>
    <w:rsid w:val="00746748"/>
    <w:rsid w:val="0074734D"/>
    <w:rsid w:val="00747CEE"/>
    <w:rsid w:val="0075015E"/>
    <w:rsid w:val="007502AB"/>
    <w:rsid w:val="00750CE2"/>
    <w:rsid w:val="00750F67"/>
    <w:rsid w:val="0075128A"/>
    <w:rsid w:val="007513CF"/>
    <w:rsid w:val="007524D6"/>
    <w:rsid w:val="00753244"/>
    <w:rsid w:val="007536CC"/>
    <w:rsid w:val="007537A2"/>
    <w:rsid w:val="0075397D"/>
    <w:rsid w:val="00753AA3"/>
    <w:rsid w:val="00753C76"/>
    <w:rsid w:val="00754A3B"/>
    <w:rsid w:val="00754DB8"/>
    <w:rsid w:val="0075505E"/>
    <w:rsid w:val="007555DF"/>
    <w:rsid w:val="007561DE"/>
    <w:rsid w:val="0075623A"/>
    <w:rsid w:val="007562A5"/>
    <w:rsid w:val="0075735C"/>
    <w:rsid w:val="00757685"/>
    <w:rsid w:val="007576B5"/>
    <w:rsid w:val="007577E4"/>
    <w:rsid w:val="00760264"/>
    <w:rsid w:val="00760306"/>
    <w:rsid w:val="0076031F"/>
    <w:rsid w:val="007607B1"/>
    <w:rsid w:val="00760A7B"/>
    <w:rsid w:val="0076115C"/>
    <w:rsid w:val="00761728"/>
    <w:rsid w:val="00761FA4"/>
    <w:rsid w:val="0076201F"/>
    <w:rsid w:val="0076220D"/>
    <w:rsid w:val="00764CE2"/>
    <w:rsid w:val="00764E86"/>
    <w:rsid w:val="007650C9"/>
    <w:rsid w:val="007652F9"/>
    <w:rsid w:val="00765506"/>
    <w:rsid w:val="00765BF9"/>
    <w:rsid w:val="00765F34"/>
    <w:rsid w:val="007661F8"/>
    <w:rsid w:val="00766331"/>
    <w:rsid w:val="00766706"/>
    <w:rsid w:val="0076690E"/>
    <w:rsid w:val="00767199"/>
    <w:rsid w:val="00767DE1"/>
    <w:rsid w:val="00770269"/>
    <w:rsid w:val="007715D7"/>
    <w:rsid w:val="00772067"/>
    <w:rsid w:val="007725C5"/>
    <w:rsid w:val="0077298A"/>
    <w:rsid w:val="00772A8A"/>
    <w:rsid w:val="00772B9F"/>
    <w:rsid w:val="00773D35"/>
    <w:rsid w:val="00773F8E"/>
    <w:rsid w:val="00774889"/>
    <w:rsid w:val="00774A58"/>
    <w:rsid w:val="00775507"/>
    <w:rsid w:val="00775740"/>
    <w:rsid w:val="007757D0"/>
    <w:rsid w:val="00775C33"/>
    <w:rsid w:val="00775CEE"/>
    <w:rsid w:val="00777553"/>
    <w:rsid w:val="00780BA2"/>
    <w:rsid w:val="00780EB5"/>
    <w:rsid w:val="00781474"/>
    <w:rsid w:val="00781D69"/>
    <w:rsid w:val="00782445"/>
    <w:rsid w:val="0078258F"/>
    <w:rsid w:val="0078275D"/>
    <w:rsid w:val="007827B8"/>
    <w:rsid w:val="00782A2C"/>
    <w:rsid w:val="00782E76"/>
    <w:rsid w:val="00782F2F"/>
    <w:rsid w:val="00782FAA"/>
    <w:rsid w:val="007835C5"/>
    <w:rsid w:val="00783630"/>
    <w:rsid w:val="00783CBB"/>
    <w:rsid w:val="00783D4E"/>
    <w:rsid w:val="007843B0"/>
    <w:rsid w:val="00784603"/>
    <w:rsid w:val="0078473E"/>
    <w:rsid w:val="007855CC"/>
    <w:rsid w:val="00785853"/>
    <w:rsid w:val="00787B9D"/>
    <w:rsid w:val="00787FBA"/>
    <w:rsid w:val="0079007A"/>
    <w:rsid w:val="0079055F"/>
    <w:rsid w:val="0079091E"/>
    <w:rsid w:val="0079094C"/>
    <w:rsid w:val="00790A4C"/>
    <w:rsid w:val="00790A67"/>
    <w:rsid w:val="00791040"/>
    <w:rsid w:val="007914CB"/>
    <w:rsid w:val="00792247"/>
    <w:rsid w:val="00792669"/>
    <w:rsid w:val="00793CBD"/>
    <w:rsid w:val="00793CC8"/>
    <w:rsid w:val="00793DB5"/>
    <w:rsid w:val="007940C0"/>
    <w:rsid w:val="007940C8"/>
    <w:rsid w:val="00794410"/>
    <w:rsid w:val="0079479A"/>
    <w:rsid w:val="00794E3A"/>
    <w:rsid w:val="007952B6"/>
    <w:rsid w:val="00795D54"/>
    <w:rsid w:val="00795F94"/>
    <w:rsid w:val="007961DE"/>
    <w:rsid w:val="00796850"/>
    <w:rsid w:val="00796F56"/>
    <w:rsid w:val="00797659"/>
    <w:rsid w:val="00797C87"/>
    <w:rsid w:val="007A00E3"/>
    <w:rsid w:val="007A01F5"/>
    <w:rsid w:val="007A0297"/>
    <w:rsid w:val="007A030B"/>
    <w:rsid w:val="007A05BF"/>
    <w:rsid w:val="007A09C1"/>
    <w:rsid w:val="007A234D"/>
    <w:rsid w:val="007A386E"/>
    <w:rsid w:val="007A4820"/>
    <w:rsid w:val="007A5427"/>
    <w:rsid w:val="007A5C7E"/>
    <w:rsid w:val="007A62FF"/>
    <w:rsid w:val="007A6D36"/>
    <w:rsid w:val="007A732F"/>
    <w:rsid w:val="007A7B2E"/>
    <w:rsid w:val="007A7F02"/>
    <w:rsid w:val="007B0E15"/>
    <w:rsid w:val="007B0FF4"/>
    <w:rsid w:val="007B16A0"/>
    <w:rsid w:val="007B19D6"/>
    <w:rsid w:val="007B1ABA"/>
    <w:rsid w:val="007B1DD7"/>
    <w:rsid w:val="007B212E"/>
    <w:rsid w:val="007B2565"/>
    <w:rsid w:val="007B2732"/>
    <w:rsid w:val="007B2734"/>
    <w:rsid w:val="007B2989"/>
    <w:rsid w:val="007B2DA1"/>
    <w:rsid w:val="007B3297"/>
    <w:rsid w:val="007B398D"/>
    <w:rsid w:val="007B3D84"/>
    <w:rsid w:val="007B4507"/>
    <w:rsid w:val="007B4680"/>
    <w:rsid w:val="007B4933"/>
    <w:rsid w:val="007B500D"/>
    <w:rsid w:val="007B5A0A"/>
    <w:rsid w:val="007B5B2A"/>
    <w:rsid w:val="007B5FD5"/>
    <w:rsid w:val="007B61C9"/>
    <w:rsid w:val="007B63DF"/>
    <w:rsid w:val="007B6C74"/>
    <w:rsid w:val="007B71AD"/>
    <w:rsid w:val="007B74C5"/>
    <w:rsid w:val="007B777B"/>
    <w:rsid w:val="007B7A0E"/>
    <w:rsid w:val="007B7E05"/>
    <w:rsid w:val="007C0127"/>
    <w:rsid w:val="007C0558"/>
    <w:rsid w:val="007C09F3"/>
    <w:rsid w:val="007C0A4A"/>
    <w:rsid w:val="007C0DFD"/>
    <w:rsid w:val="007C155A"/>
    <w:rsid w:val="007C1CF7"/>
    <w:rsid w:val="007C21DD"/>
    <w:rsid w:val="007C25BD"/>
    <w:rsid w:val="007C267D"/>
    <w:rsid w:val="007C2EB2"/>
    <w:rsid w:val="007C30C2"/>
    <w:rsid w:val="007C3411"/>
    <w:rsid w:val="007C3E42"/>
    <w:rsid w:val="007C40BF"/>
    <w:rsid w:val="007C478C"/>
    <w:rsid w:val="007C4ED8"/>
    <w:rsid w:val="007C5AAD"/>
    <w:rsid w:val="007C6173"/>
    <w:rsid w:val="007C6903"/>
    <w:rsid w:val="007C7154"/>
    <w:rsid w:val="007C72BF"/>
    <w:rsid w:val="007D08BA"/>
    <w:rsid w:val="007D0BB9"/>
    <w:rsid w:val="007D14C8"/>
    <w:rsid w:val="007D2061"/>
    <w:rsid w:val="007D287E"/>
    <w:rsid w:val="007D2BE1"/>
    <w:rsid w:val="007D2C49"/>
    <w:rsid w:val="007D2C60"/>
    <w:rsid w:val="007D34BA"/>
    <w:rsid w:val="007D3654"/>
    <w:rsid w:val="007D3913"/>
    <w:rsid w:val="007D4556"/>
    <w:rsid w:val="007D4BF9"/>
    <w:rsid w:val="007D4D2A"/>
    <w:rsid w:val="007D4F06"/>
    <w:rsid w:val="007D520B"/>
    <w:rsid w:val="007D5579"/>
    <w:rsid w:val="007D5742"/>
    <w:rsid w:val="007D6084"/>
    <w:rsid w:val="007D63EF"/>
    <w:rsid w:val="007D676C"/>
    <w:rsid w:val="007D6B76"/>
    <w:rsid w:val="007D71F4"/>
    <w:rsid w:val="007D75B4"/>
    <w:rsid w:val="007D7DA7"/>
    <w:rsid w:val="007E029B"/>
    <w:rsid w:val="007E05F8"/>
    <w:rsid w:val="007E07ED"/>
    <w:rsid w:val="007E0AF1"/>
    <w:rsid w:val="007E1263"/>
    <w:rsid w:val="007E20A8"/>
    <w:rsid w:val="007E21B2"/>
    <w:rsid w:val="007E231F"/>
    <w:rsid w:val="007E2627"/>
    <w:rsid w:val="007E28F2"/>
    <w:rsid w:val="007E2930"/>
    <w:rsid w:val="007E2B95"/>
    <w:rsid w:val="007E2D06"/>
    <w:rsid w:val="007E3304"/>
    <w:rsid w:val="007E3661"/>
    <w:rsid w:val="007E397F"/>
    <w:rsid w:val="007E3A14"/>
    <w:rsid w:val="007E495B"/>
    <w:rsid w:val="007E4AF9"/>
    <w:rsid w:val="007E4D03"/>
    <w:rsid w:val="007E58D1"/>
    <w:rsid w:val="007E5E85"/>
    <w:rsid w:val="007E6A4C"/>
    <w:rsid w:val="007E7835"/>
    <w:rsid w:val="007E7B18"/>
    <w:rsid w:val="007F0455"/>
    <w:rsid w:val="007F09BC"/>
    <w:rsid w:val="007F0DC1"/>
    <w:rsid w:val="007F11CD"/>
    <w:rsid w:val="007F1549"/>
    <w:rsid w:val="007F2007"/>
    <w:rsid w:val="007F2FEC"/>
    <w:rsid w:val="007F36C7"/>
    <w:rsid w:val="007F3A70"/>
    <w:rsid w:val="007F3C58"/>
    <w:rsid w:val="007F4BEC"/>
    <w:rsid w:val="007F5495"/>
    <w:rsid w:val="007F57C3"/>
    <w:rsid w:val="007F5A96"/>
    <w:rsid w:val="007F62CB"/>
    <w:rsid w:val="007F687A"/>
    <w:rsid w:val="007F6A92"/>
    <w:rsid w:val="007F6C7B"/>
    <w:rsid w:val="007F70DF"/>
    <w:rsid w:val="007F72DE"/>
    <w:rsid w:val="007F72F6"/>
    <w:rsid w:val="0080025C"/>
    <w:rsid w:val="00801C7E"/>
    <w:rsid w:val="00801CF8"/>
    <w:rsid w:val="00802302"/>
    <w:rsid w:val="00802E2E"/>
    <w:rsid w:val="008036C5"/>
    <w:rsid w:val="00803741"/>
    <w:rsid w:val="008040F1"/>
    <w:rsid w:val="00804C19"/>
    <w:rsid w:val="00805819"/>
    <w:rsid w:val="0080609C"/>
    <w:rsid w:val="008072E1"/>
    <w:rsid w:val="00807486"/>
    <w:rsid w:val="00807F85"/>
    <w:rsid w:val="00810309"/>
    <w:rsid w:val="008105C5"/>
    <w:rsid w:val="00810713"/>
    <w:rsid w:val="00810954"/>
    <w:rsid w:val="00810C7C"/>
    <w:rsid w:val="0081292D"/>
    <w:rsid w:val="0081303B"/>
    <w:rsid w:val="00813D7E"/>
    <w:rsid w:val="00814100"/>
    <w:rsid w:val="00814517"/>
    <w:rsid w:val="00814599"/>
    <w:rsid w:val="008148A9"/>
    <w:rsid w:val="008158C1"/>
    <w:rsid w:val="0081593D"/>
    <w:rsid w:val="00815AAE"/>
    <w:rsid w:val="008165B4"/>
    <w:rsid w:val="00816BB6"/>
    <w:rsid w:val="00816D3E"/>
    <w:rsid w:val="00816F22"/>
    <w:rsid w:val="0081702B"/>
    <w:rsid w:val="0081723B"/>
    <w:rsid w:val="008175B8"/>
    <w:rsid w:val="00817843"/>
    <w:rsid w:val="00817C58"/>
    <w:rsid w:val="00817D17"/>
    <w:rsid w:val="00820571"/>
    <w:rsid w:val="00820971"/>
    <w:rsid w:val="00820A69"/>
    <w:rsid w:val="00820BA2"/>
    <w:rsid w:val="00820EF3"/>
    <w:rsid w:val="008210AB"/>
    <w:rsid w:val="00821735"/>
    <w:rsid w:val="00821BB1"/>
    <w:rsid w:val="00821D17"/>
    <w:rsid w:val="00821E47"/>
    <w:rsid w:val="00821FD9"/>
    <w:rsid w:val="0082279F"/>
    <w:rsid w:val="00822944"/>
    <w:rsid w:val="0082298D"/>
    <w:rsid w:val="00822AA8"/>
    <w:rsid w:val="00822D96"/>
    <w:rsid w:val="00823DD8"/>
    <w:rsid w:val="00824181"/>
    <w:rsid w:val="0082447A"/>
    <w:rsid w:val="00824874"/>
    <w:rsid w:val="00824E2F"/>
    <w:rsid w:val="0082500F"/>
    <w:rsid w:val="0082506F"/>
    <w:rsid w:val="008250FB"/>
    <w:rsid w:val="0082580C"/>
    <w:rsid w:val="00825AA4"/>
    <w:rsid w:val="00825B3F"/>
    <w:rsid w:val="0082644B"/>
    <w:rsid w:val="0082685D"/>
    <w:rsid w:val="00826A9B"/>
    <w:rsid w:val="00826C36"/>
    <w:rsid w:val="00826D1B"/>
    <w:rsid w:val="008302A2"/>
    <w:rsid w:val="0083057B"/>
    <w:rsid w:val="008307E1"/>
    <w:rsid w:val="0083096E"/>
    <w:rsid w:val="00830F25"/>
    <w:rsid w:val="00831C0A"/>
    <w:rsid w:val="00831E04"/>
    <w:rsid w:val="00831EA2"/>
    <w:rsid w:val="008324B1"/>
    <w:rsid w:val="0083268D"/>
    <w:rsid w:val="008328A9"/>
    <w:rsid w:val="00832EC1"/>
    <w:rsid w:val="00833BA5"/>
    <w:rsid w:val="00833D17"/>
    <w:rsid w:val="00833EBD"/>
    <w:rsid w:val="0083534F"/>
    <w:rsid w:val="00835AB9"/>
    <w:rsid w:val="00835D35"/>
    <w:rsid w:val="00835D9A"/>
    <w:rsid w:val="00835DCB"/>
    <w:rsid w:val="008362A3"/>
    <w:rsid w:val="00836371"/>
    <w:rsid w:val="00836768"/>
    <w:rsid w:val="00837CD1"/>
    <w:rsid w:val="0084069B"/>
    <w:rsid w:val="008409D2"/>
    <w:rsid w:val="00840B39"/>
    <w:rsid w:val="0084125D"/>
    <w:rsid w:val="00841CF2"/>
    <w:rsid w:val="00841DA0"/>
    <w:rsid w:val="008420F6"/>
    <w:rsid w:val="00842606"/>
    <w:rsid w:val="008426D9"/>
    <w:rsid w:val="008428DA"/>
    <w:rsid w:val="00843017"/>
    <w:rsid w:val="008435A7"/>
    <w:rsid w:val="00843A13"/>
    <w:rsid w:val="00843D37"/>
    <w:rsid w:val="0084428E"/>
    <w:rsid w:val="0084460B"/>
    <w:rsid w:val="008452C4"/>
    <w:rsid w:val="0084575E"/>
    <w:rsid w:val="00845790"/>
    <w:rsid w:val="00845811"/>
    <w:rsid w:val="00846253"/>
    <w:rsid w:val="008465C7"/>
    <w:rsid w:val="00846C4F"/>
    <w:rsid w:val="00847740"/>
    <w:rsid w:val="00847F6D"/>
    <w:rsid w:val="00850042"/>
    <w:rsid w:val="008507C1"/>
    <w:rsid w:val="00850A2D"/>
    <w:rsid w:val="00850B4E"/>
    <w:rsid w:val="00850E41"/>
    <w:rsid w:val="00850F40"/>
    <w:rsid w:val="00850FC2"/>
    <w:rsid w:val="008515DD"/>
    <w:rsid w:val="008516B4"/>
    <w:rsid w:val="008526C3"/>
    <w:rsid w:val="00852883"/>
    <w:rsid w:val="00852AD6"/>
    <w:rsid w:val="00852B80"/>
    <w:rsid w:val="00852FF9"/>
    <w:rsid w:val="008536FF"/>
    <w:rsid w:val="00854118"/>
    <w:rsid w:val="0085438F"/>
    <w:rsid w:val="00854ADF"/>
    <w:rsid w:val="008554C3"/>
    <w:rsid w:val="00855825"/>
    <w:rsid w:val="0085695A"/>
    <w:rsid w:val="008578E6"/>
    <w:rsid w:val="00857A78"/>
    <w:rsid w:val="00857AAA"/>
    <w:rsid w:val="00857ECA"/>
    <w:rsid w:val="008601E2"/>
    <w:rsid w:val="00860A13"/>
    <w:rsid w:val="00860E7F"/>
    <w:rsid w:val="00860ED6"/>
    <w:rsid w:val="008610A9"/>
    <w:rsid w:val="008610D1"/>
    <w:rsid w:val="008611F6"/>
    <w:rsid w:val="008615C3"/>
    <w:rsid w:val="00861934"/>
    <w:rsid w:val="00861B3A"/>
    <w:rsid w:val="00861BA1"/>
    <w:rsid w:val="0086253D"/>
    <w:rsid w:val="00863446"/>
    <w:rsid w:val="00863B0D"/>
    <w:rsid w:val="00863B34"/>
    <w:rsid w:val="00863C7D"/>
    <w:rsid w:val="00863FB7"/>
    <w:rsid w:val="0086428C"/>
    <w:rsid w:val="00864419"/>
    <w:rsid w:val="0086471E"/>
    <w:rsid w:val="008648A4"/>
    <w:rsid w:val="008649F2"/>
    <w:rsid w:val="00864CFF"/>
    <w:rsid w:val="0086538D"/>
    <w:rsid w:val="00865B97"/>
    <w:rsid w:val="00865FF9"/>
    <w:rsid w:val="0086623B"/>
    <w:rsid w:val="0086639B"/>
    <w:rsid w:val="00867612"/>
    <w:rsid w:val="00870CBF"/>
    <w:rsid w:val="00870FB3"/>
    <w:rsid w:val="00871029"/>
    <w:rsid w:val="00871032"/>
    <w:rsid w:val="0087105B"/>
    <w:rsid w:val="00871273"/>
    <w:rsid w:val="0087154F"/>
    <w:rsid w:val="00873238"/>
    <w:rsid w:val="008739F6"/>
    <w:rsid w:val="00873F12"/>
    <w:rsid w:val="00874759"/>
    <w:rsid w:val="00874913"/>
    <w:rsid w:val="00874C38"/>
    <w:rsid w:val="00874E24"/>
    <w:rsid w:val="0087569E"/>
    <w:rsid w:val="0087682A"/>
    <w:rsid w:val="008768BB"/>
    <w:rsid w:val="00876FC3"/>
    <w:rsid w:val="00877726"/>
    <w:rsid w:val="008777F5"/>
    <w:rsid w:val="008802A4"/>
    <w:rsid w:val="008807D2"/>
    <w:rsid w:val="008807FC"/>
    <w:rsid w:val="00880A5E"/>
    <w:rsid w:val="00880DFD"/>
    <w:rsid w:val="00880F15"/>
    <w:rsid w:val="008817F4"/>
    <w:rsid w:val="00882198"/>
    <w:rsid w:val="008826CE"/>
    <w:rsid w:val="0088290F"/>
    <w:rsid w:val="00882FD1"/>
    <w:rsid w:val="00883451"/>
    <w:rsid w:val="008834CD"/>
    <w:rsid w:val="00883782"/>
    <w:rsid w:val="00883A9C"/>
    <w:rsid w:val="00883C8D"/>
    <w:rsid w:val="00883DAE"/>
    <w:rsid w:val="00884917"/>
    <w:rsid w:val="00885285"/>
    <w:rsid w:val="00885D85"/>
    <w:rsid w:val="00885E06"/>
    <w:rsid w:val="00885FA0"/>
    <w:rsid w:val="0088659F"/>
    <w:rsid w:val="0088686D"/>
    <w:rsid w:val="00886B44"/>
    <w:rsid w:val="00886FCE"/>
    <w:rsid w:val="008871C0"/>
    <w:rsid w:val="00887473"/>
    <w:rsid w:val="00887499"/>
    <w:rsid w:val="008876A9"/>
    <w:rsid w:val="00887EB5"/>
    <w:rsid w:val="00887FDE"/>
    <w:rsid w:val="00890304"/>
    <w:rsid w:val="0089080D"/>
    <w:rsid w:val="00890C4A"/>
    <w:rsid w:val="00891AB7"/>
    <w:rsid w:val="00891C30"/>
    <w:rsid w:val="00891EF1"/>
    <w:rsid w:val="0089209C"/>
    <w:rsid w:val="00892609"/>
    <w:rsid w:val="00893333"/>
    <w:rsid w:val="008944F0"/>
    <w:rsid w:val="00894515"/>
    <w:rsid w:val="00894748"/>
    <w:rsid w:val="00894EB9"/>
    <w:rsid w:val="00895B4A"/>
    <w:rsid w:val="00895EDD"/>
    <w:rsid w:val="00896038"/>
    <w:rsid w:val="0089656E"/>
    <w:rsid w:val="00896805"/>
    <w:rsid w:val="00896F0B"/>
    <w:rsid w:val="00897495"/>
    <w:rsid w:val="0089753F"/>
    <w:rsid w:val="0089771D"/>
    <w:rsid w:val="00897CBC"/>
    <w:rsid w:val="008A0076"/>
    <w:rsid w:val="008A1136"/>
    <w:rsid w:val="008A1510"/>
    <w:rsid w:val="008A173B"/>
    <w:rsid w:val="008A1B9A"/>
    <w:rsid w:val="008A2386"/>
    <w:rsid w:val="008A27E2"/>
    <w:rsid w:val="008A2DBF"/>
    <w:rsid w:val="008A2FF6"/>
    <w:rsid w:val="008A310E"/>
    <w:rsid w:val="008A35BC"/>
    <w:rsid w:val="008A3911"/>
    <w:rsid w:val="008A3EAE"/>
    <w:rsid w:val="008A45A5"/>
    <w:rsid w:val="008A48E4"/>
    <w:rsid w:val="008A4C35"/>
    <w:rsid w:val="008A4E09"/>
    <w:rsid w:val="008A66DE"/>
    <w:rsid w:val="008A691D"/>
    <w:rsid w:val="008A6B2B"/>
    <w:rsid w:val="008A706A"/>
    <w:rsid w:val="008A7C35"/>
    <w:rsid w:val="008A7C72"/>
    <w:rsid w:val="008A7EF3"/>
    <w:rsid w:val="008B02A3"/>
    <w:rsid w:val="008B0387"/>
    <w:rsid w:val="008B0ECB"/>
    <w:rsid w:val="008B10DA"/>
    <w:rsid w:val="008B16A6"/>
    <w:rsid w:val="008B1713"/>
    <w:rsid w:val="008B1DA4"/>
    <w:rsid w:val="008B1DE4"/>
    <w:rsid w:val="008B222B"/>
    <w:rsid w:val="008B2258"/>
    <w:rsid w:val="008B2C8F"/>
    <w:rsid w:val="008B2CAF"/>
    <w:rsid w:val="008B2CF0"/>
    <w:rsid w:val="008B312B"/>
    <w:rsid w:val="008B3382"/>
    <w:rsid w:val="008B4107"/>
    <w:rsid w:val="008B4C0D"/>
    <w:rsid w:val="008B4FC3"/>
    <w:rsid w:val="008B52DB"/>
    <w:rsid w:val="008B5333"/>
    <w:rsid w:val="008B5473"/>
    <w:rsid w:val="008B572B"/>
    <w:rsid w:val="008B5979"/>
    <w:rsid w:val="008B602D"/>
    <w:rsid w:val="008B6800"/>
    <w:rsid w:val="008B6AF7"/>
    <w:rsid w:val="008B6E77"/>
    <w:rsid w:val="008B6FB3"/>
    <w:rsid w:val="008B7052"/>
    <w:rsid w:val="008B7440"/>
    <w:rsid w:val="008B74BC"/>
    <w:rsid w:val="008B74DD"/>
    <w:rsid w:val="008B783D"/>
    <w:rsid w:val="008B79A1"/>
    <w:rsid w:val="008B7FBE"/>
    <w:rsid w:val="008C089F"/>
    <w:rsid w:val="008C0D21"/>
    <w:rsid w:val="008C0E25"/>
    <w:rsid w:val="008C185D"/>
    <w:rsid w:val="008C1999"/>
    <w:rsid w:val="008C1D7A"/>
    <w:rsid w:val="008C2168"/>
    <w:rsid w:val="008C278D"/>
    <w:rsid w:val="008C28BD"/>
    <w:rsid w:val="008C2AA3"/>
    <w:rsid w:val="008C2C65"/>
    <w:rsid w:val="008C4107"/>
    <w:rsid w:val="008C4302"/>
    <w:rsid w:val="008C4589"/>
    <w:rsid w:val="008C4C62"/>
    <w:rsid w:val="008C4F3F"/>
    <w:rsid w:val="008C5117"/>
    <w:rsid w:val="008C5B8B"/>
    <w:rsid w:val="008C604C"/>
    <w:rsid w:val="008C6169"/>
    <w:rsid w:val="008C6459"/>
    <w:rsid w:val="008C6846"/>
    <w:rsid w:val="008C6898"/>
    <w:rsid w:val="008C68AC"/>
    <w:rsid w:val="008C712E"/>
    <w:rsid w:val="008C75A3"/>
    <w:rsid w:val="008C7724"/>
    <w:rsid w:val="008C7BFF"/>
    <w:rsid w:val="008D0015"/>
    <w:rsid w:val="008D021F"/>
    <w:rsid w:val="008D03DC"/>
    <w:rsid w:val="008D046A"/>
    <w:rsid w:val="008D179C"/>
    <w:rsid w:val="008D1B62"/>
    <w:rsid w:val="008D201A"/>
    <w:rsid w:val="008D26CC"/>
    <w:rsid w:val="008D2855"/>
    <w:rsid w:val="008D378B"/>
    <w:rsid w:val="008D3959"/>
    <w:rsid w:val="008D4115"/>
    <w:rsid w:val="008D42C0"/>
    <w:rsid w:val="008D4573"/>
    <w:rsid w:val="008D4759"/>
    <w:rsid w:val="008D58D5"/>
    <w:rsid w:val="008D5974"/>
    <w:rsid w:val="008D5DCB"/>
    <w:rsid w:val="008D610D"/>
    <w:rsid w:val="008D6537"/>
    <w:rsid w:val="008D7DAA"/>
    <w:rsid w:val="008E1304"/>
    <w:rsid w:val="008E13B9"/>
    <w:rsid w:val="008E169B"/>
    <w:rsid w:val="008E1932"/>
    <w:rsid w:val="008E19A5"/>
    <w:rsid w:val="008E1DE9"/>
    <w:rsid w:val="008E1E13"/>
    <w:rsid w:val="008E1E7F"/>
    <w:rsid w:val="008E25A4"/>
    <w:rsid w:val="008E2854"/>
    <w:rsid w:val="008E2E4B"/>
    <w:rsid w:val="008E3A43"/>
    <w:rsid w:val="008E41C5"/>
    <w:rsid w:val="008E4CB6"/>
    <w:rsid w:val="008E581C"/>
    <w:rsid w:val="008E5E9A"/>
    <w:rsid w:val="008E5EF4"/>
    <w:rsid w:val="008E673E"/>
    <w:rsid w:val="008E6903"/>
    <w:rsid w:val="008E6BC9"/>
    <w:rsid w:val="008E6C47"/>
    <w:rsid w:val="008E710E"/>
    <w:rsid w:val="008E7B13"/>
    <w:rsid w:val="008F0721"/>
    <w:rsid w:val="008F0AC9"/>
    <w:rsid w:val="008F0C64"/>
    <w:rsid w:val="008F126C"/>
    <w:rsid w:val="008F13C9"/>
    <w:rsid w:val="008F1805"/>
    <w:rsid w:val="008F18FB"/>
    <w:rsid w:val="008F1A87"/>
    <w:rsid w:val="008F2897"/>
    <w:rsid w:val="008F302A"/>
    <w:rsid w:val="008F3D63"/>
    <w:rsid w:val="008F3DF2"/>
    <w:rsid w:val="008F499D"/>
    <w:rsid w:val="008F4B51"/>
    <w:rsid w:val="008F4E5E"/>
    <w:rsid w:val="008F4FCA"/>
    <w:rsid w:val="008F505F"/>
    <w:rsid w:val="008F53A4"/>
    <w:rsid w:val="008F56D8"/>
    <w:rsid w:val="008F5B7C"/>
    <w:rsid w:val="008F6424"/>
    <w:rsid w:val="008F67B4"/>
    <w:rsid w:val="008F6D4C"/>
    <w:rsid w:val="008F6F50"/>
    <w:rsid w:val="008F705B"/>
    <w:rsid w:val="008F7594"/>
    <w:rsid w:val="008F7AC0"/>
    <w:rsid w:val="00900225"/>
    <w:rsid w:val="009007AF"/>
    <w:rsid w:val="00900A69"/>
    <w:rsid w:val="0090154E"/>
    <w:rsid w:val="0090170F"/>
    <w:rsid w:val="00901A3D"/>
    <w:rsid w:val="00901BD8"/>
    <w:rsid w:val="00901C97"/>
    <w:rsid w:val="00902976"/>
    <w:rsid w:val="00902DEB"/>
    <w:rsid w:val="009038CD"/>
    <w:rsid w:val="00903DE9"/>
    <w:rsid w:val="00903F94"/>
    <w:rsid w:val="00903FF8"/>
    <w:rsid w:val="0090404B"/>
    <w:rsid w:val="0090472B"/>
    <w:rsid w:val="0090499F"/>
    <w:rsid w:val="00904AFB"/>
    <w:rsid w:val="00904BFC"/>
    <w:rsid w:val="0090503E"/>
    <w:rsid w:val="009055D2"/>
    <w:rsid w:val="00905D32"/>
    <w:rsid w:val="00905E1E"/>
    <w:rsid w:val="0090610C"/>
    <w:rsid w:val="00906205"/>
    <w:rsid w:val="009064E6"/>
    <w:rsid w:val="00906649"/>
    <w:rsid w:val="00907B59"/>
    <w:rsid w:val="00910AD0"/>
    <w:rsid w:val="00910EC5"/>
    <w:rsid w:val="00911065"/>
    <w:rsid w:val="00911084"/>
    <w:rsid w:val="00911285"/>
    <w:rsid w:val="00911B25"/>
    <w:rsid w:val="0091212F"/>
    <w:rsid w:val="0091232B"/>
    <w:rsid w:val="0091303F"/>
    <w:rsid w:val="00913052"/>
    <w:rsid w:val="00913441"/>
    <w:rsid w:val="00913675"/>
    <w:rsid w:val="009145CE"/>
    <w:rsid w:val="00914E01"/>
    <w:rsid w:val="00915591"/>
    <w:rsid w:val="009156E7"/>
    <w:rsid w:val="00915776"/>
    <w:rsid w:val="009157EF"/>
    <w:rsid w:val="00915D56"/>
    <w:rsid w:val="00915FE8"/>
    <w:rsid w:val="0091650F"/>
    <w:rsid w:val="00916891"/>
    <w:rsid w:val="00916BB8"/>
    <w:rsid w:val="00916EB4"/>
    <w:rsid w:val="00916FB8"/>
    <w:rsid w:val="009171B9"/>
    <w:rsid w:val="00917953"/>
    <w:rsid w:val="00917A83"/>
    <w:rsid w:val="00920A99"/>
    <w:rsid w:val="00920B2C"/>
    <w:rsid w:val="00920B61"/>
    <w:rsid w:val="00920BB8"/>
    <w:rsid w:val="0092110E"/>
    <w:rsid w:val="0092202E"/>
    <w:rsid w:val="00922158"/>
    <w:rsid w:val="009227C2"/>
    <w:rsid w:val="00922822"/>
    <w:rsid w:val="00922BA1"/>
    <w:rsid w:val="009238D3"/>
    <w:rsid w:val="00923DA0"/>
    <w:rsid w:val="00923DDD"/>
    <w:rsid w:val="00924771"/>
    <w:rsid w:val="0092485C"/>
    <w:rsid w:val="00924FCD"/>
    <w:rsid w:val="009250F3"/>
    <w:rsid w:val="00925470"/>
    <w:rsid w:val="0092548C"/>
    <w:rsid w:val="009255AA"/>
    <w:rsid w:val="00925BE7"/>
    <w:rsid w:val="00925F6C"/>
    <w:rsid w:val="00926200"/>
    <w:rsid w:val="009268C2"/>
    <w:rsid w:val="00926EC6"/>
    <w:rsid w:val="0092705D"/>
    <w:rsid w:val="00927836"/>
    <w:rsid w:val="00927B53"/>
    <w:rsid w:val="009301A4"/>
    <w:rsid w:val="009302BF"/>
    <w:rsid w:val="00930B2F"/>
    <w:rsid w:val="00930CDA"/>
    <w:rsid w:val="00930E3A"/>
    <w:rsid w:val="0093126E"/>
    <w:rsid w:val="009314E7"/>
    <w:rsid w:val="009326D2"/>
    <w:rsid w:val="00932A5F"/>
    <w:rsid w:val="00932C4B"/>
    <w:rsid w:val="00933E17"/>
    <w:rsid w:val="00933FBC"/>
    <w:rsid w:val="00934452"/>
    <w:rsid w:val="0093473D"/>
    <w:rsid w:val="00934851"/>
    <w:rsid w:val="00936097"/>
    <w:rsid w:val="009365BE"/>
    <w:rsid w:val="00936A95"/>
    <w:rsid w:val="0093719F"/>
    <w:rsid w:val="009371CC"/>
    <w:rsid w:val="00937B18"/>
    <w:rsid w:val="00937FB9"/>
    <w:rsid w:val="00940719"/>
    <w:rsid w:val="00940783"/>
    <w:rsid w:val="0094087E"/>
    <w:rsid w:val="00940DA1"/>
    <w:rsid w:val="009413C6"/>
    <w:rsid w:val="009418BC"/>
    <w:rsid w:val="00941A8D"/>
    <w:rsid w:val="00941FB8"/>
    <w:rsid w:val="009423E4"/>
    <w:rsid w:val="009423E5"/>
    <w:rsid w:val="00942721"/>
    <w:rsid w:val="00942CCA"/>
    <w:rsid w:val="00943AF7"/>
    <w:rsid w:val="009446CB"/>
    <w:rsid w:val="009447F4"/>
    <w:rsid w:val="0094503F"/>
    <w:rsid w:val="00945AB0"/>
    <w:rsid w:val="00945E24"/>
    <w:rsid w:val="00946384"/>
    <w:rsid w:val="009464DB"/>
    <w:rsid w:val="00946A3F"/>
    <w:rsid w:val="00947146"/>
    <w:rsid w:val="009474F4"/>
    <w:rsid w:val="00947766"/>
    <w:rsid w:val="00947861"/>
    <w:rsid w:val="00947906"/>
    <w:rsid w:val="0095049B"/>
    <w:rsid w:val="00950981"/>
    <w:rsid w:val="00950B05"/>
    <w:rsid w:val="009514B2"/>
    <w:rsid w:val="009519A6"/>
    <w:rsid w:val="00951BD3"/>
    <w:rsid w:val="00951C7E"/>
    <w:rsid w:val="009520C7"/>
    <w:rsid w:val="00952A5F"/>
    <w:rsid w:val="00952D47"/>
    <w:rsid w:val="00953441"/>
    <w:rsid w:val="0095383A"/>
    <w:rsid w:val="0095384E"/>
    <w:rsid w:val="009538D9"/>
    <w:rsid w:val="00953A2E"/>
    <w:rsid w:val="009543AB"/>
    <w:rsid w:val="0095498B"/>
    <w:rsid w:val="00954CDE"/>
    <w:rsid w:val="0095514B"/>
    <w:rsid w:val="009559B0"/>
    <w:rsid w:val="0095636C"/>
    <w:rsid w:val="009568F3"/>
    <w:rsid w:val="00956999"/>
    <w:rsid w:val="00956DE2"/>
    <w:rsid w:val="0095759B"/>
    <w:rsid w:val="0095760E"/>
    <w:rsid w:val="00957B27"/>
    <w:rsid w:val="00960AF9"/>
    <w:rsid w:val="00960C3E"/>
    <w:rsid w:val="009619E5"/>
    <w:rsid w:val="009633A1"/>
    <w:rsid w:val="009633CE"/>
    <w:rsid w:val="0096374A"/>
    <w:rsid w:val="00963B53"/>
    <w:rsid w:val="00963B7F"/>
    <w:rsid w:val="00964865"/>
    <w:rsid w:val="00964AE5"/>
    <w:rsid w:val="00965074"/>
    <w:rsid w:val="009650AD"/>
    <w:rsid w:val="00965414"/>
    <w:rsid w:val="00965D64"/>
    <w:rsid w:val="00966019"/>
    <w:rsid w:val="00966060"/>
    <w:rsid w:val="0096674E"/>
    <w:rsid w:val="00966BC9"/>
    <w:rsid w:val="00966DDF"/>
    <w:rsid w:val="00967039"/>
    <w:rsid w:val="009672B9"/>
    <w:rsid w:val="00967433"/>
    <w:rsid w:val="009700EA"/>
    <w:rsid w:val="0097083F"/>
    <w:rsid w:val="00971760"/>
    <w:rsid w:val="009719DF"/>
    <w:rsid w:val="00971DB5"/>
    <w:rsid w:val="0097251D"/>
    <w:rsid w:val="009729E2"/>
    <w:rsid w:val="00972BBC"/>
    <w:rsid w:val="00972F57"/>
    <w:rsid w:val="00972FD6"/>
    <w:rsid w:val="00973095"/>
    <w:rsid w:val="00973212"/>
    <w:rsid w:val="0097336D"/>
    <w:rsid w:val="0097347B"/>
    <w:rsid w:val="00973C36"/>
    <w:rsid w:val="0097400B"/>
    <w:rsid w:val="0097542F"/>
    <w:rsid w:val="00975C12"/>
    <w:rsid w:val="00975C8A"/>
    <w:rsid w:val="009769B8"/>
    <w:rsid w:val="00976B6A"/>
    <w:rsid w:val="00976B98"/>
    <w:rsid w:val="00977F47"/>
    <w:rsid w:val="0098028D"/>
    <w:rsid w:val="00980626"/>
    <w:rsid w:val="009808DF"/>
    <w:rsid w:val="00981A00"/>
    <w:rsid w:val="00981DFE"/>
    <w:rsid w:val="00982005"/>
    <w:rsid w:val="009820C0"/>
    <w:rsid w:val="0098240F"/>
    <w:rsid w:val="00982736"/>
    <w:rsid w:val="00982E79"/>
    <w:rsid w:val="00982F3F"/>
    <w:rsid w:val="009831E7"/>
    <w:rsid w:val="009836EA"/>
    <w:rsid w:val="00983C90"/>
    <w:rsid w:val="00983CB1"/>
    <w:rsid w:val="00984713"/>
    <w:rsid w:val="00984B87"/>
    <w:rsid w:val="00984FB8"/>
    <w:rsid w:val="00985387"/>
    <w:rsid w:val="009853E7"/>
    <w:rsid w:val="00985582"/>
    <w:rsid w:val="00985591"/>
    <w:rsid w:val="00985750"/>
    <w:rsid w:val="009858D6"/>
    <w:rsid w:val="00985B24"/>
    <w:rsid w:val="00985BB2"/>
    <w:rsid w:val="0098646E"/>
    <w:rsid w:val="009864B3"/>
    <w:rsid w:val="009865B8"/>
    <w:rsid w:val="00986638"/>
    <w:rsid w:val="00986F28"/>
    <w:rsid w:val="00987121"/>
    <w:rsid w:val="00987892"/>
    <w:rsid w:val="00987BEA"/>
    <w:rsid w:val="00990295"/>
    <w:rsid w:val="00990387"/>
    <w:rsid w:val="009907C7"/>
    <w:rsid w:val="00990A5B"/>
    <w:rsid w:val="009914F8"/>
    <w:rsid w:val="0099153F"/>
    <w:rsid w:val="009917F1"/>
    <w:rsid w:val="00991952"/>
    <w:rsid w:val="00991B0F"/>
    <w:rsid w:val="00991B6B"/>
    <w:rsid w:val="00991E48"/>
    <w:rsid w:val="0099244B"/>
    <w:rsid w:val="00992476"/>
    <w:rsid w:val="009928B0"/>
    <w:rsid w:val="009928DD"/>
    <w:rsid w:val="00992C4B"/>
    <w:rsid w:val="0099307D"/>
    <w:rsid w:val="00993240"/>
    <w:rsid w:val="009941C6"/>
    <w:rsid w:val="00994E0B"/>
    <w:rsid w:val="00995280"/>
    <w:rsid w:val="009954D5"/>
    <w:rsid w:val="009955A6"/>
    <w:rsid w:val="009955C9"/>
    <w:rsid w:val="0099620E"/>
    <w:rsid w:val="009963A0"/>
    <w:rsid w:val="00997583"/>
    <w:rsid w:val="00997636"/>
    <w:rsid w:val="009977AE"/>
    <w:rsid w:val="00997D40"/>
    <w:rsid w:val="009A0868"/>
    <w:rsid w:val="009A13CB"/>
    <w:rsid w:val="009A1718"/>
    <w:rsid w:val="009A17D7"/>
    <w:rsid w:val="009A19BA"/>
    <w:rsid w:val="009A1CE9"/>
    <w:rsid w:val="009A235E"/>
    <w:rsid w:val="009A2B62"/>
    <w:rsid w:val="009A343D"/>
    <w:rsid w:val="009A3603"/>
    <w:rsid w:val="009A42B5"/>
    <w:rsid w:val="009A4DA0"/>
    <w:rsid w:val="009A4EE1"/>
    <w:rsid w:val="009A5A33"/>
    <w:rsid w:val="009A5FD9"/>
    <w:rsid w:val="009A6B91"/>
    <w:rsid w:val="009A7414"/>
    <w:rsid w:val="009A7642"/>
    <w:rsid w:val="009A76F5"/>
    <w:rsid w:val="009A7C73"/>
    <w:rsid w:val="009A7D13"/>
    <w:rsid w:val="009A7E54"/>
    <w:rsid w:val="009B0B05"/>
    <w:rsid w:val="009B0FA5"/>
    <w:rsid w:val="009B1BCA"/>
    <w:rsid w:val="009B30C2"/>
    <w:rsid w:val="009B3544"/>
    <w:rsid w:val="009B3973"/>
    <w:rsid w:val="009B3C3E"/>
    <w:rsid w:val="009B484C"/>
    <w:rsid w:val="009B4B51"/>
    <w:rsid w:val="009B5967"/>
    <w:rsid w:val="009B68C6"/>
    <w:rsid w:val="009B7236"/>
    <w:rsid w:val="009B74F2"/>
    <w:rsid w:val="009B7557"/>
    <w:rsid w:val="009B7C86"/>
    <w:rsid w:val="009B7D64"/>
    <w:rsid w:val="009C0280"/>
    <w:rsid w:val="009C0DEF"/>
    <w:rsid w:val="009C1584"/>
    <w:rsid w:val="009C1DAC"/>
    <w:rsid w:val="009C270B"/>
    <w:rsid w:val="009C2A1D"/>
    <w:rsid w:val="009C2D85"/>
    <w:rsid w:val="009C35C2"/>
    <w:rsid w:val="009C39A2"/>
    <w:rsid w:val="009C3C8F"/>
    <w:rsid w:val="009C3F5F"/>
    <w:rsid w:val="009C43D9"/>
    <w:rsid w:val="009C5F6E"/>
    <w:rsid w:val="009C63EF"/>
    <w:rsid w:val="009C65B1"/>
    <w:rsid w:val="009C72F3"/>
    <w:rsid w:val="009C7389"/>
    <w:rsid w:val="009C7911"/>
    <w:rsid w:val="009C7938"/>
    <w:rsid w:val="009C7FF5"/>
    <w:rsid w:val="009D0913"/>
    <w:rsid w:val="009D0E59"/>
    <w:rsid w:val="009D10F5"/>
    <w:rsid w:val="009D16B6"/>
    <w:rsid w:val="009D1C53"/>
    <w:rsid w:val="009D1CC0"/>
    <w:rsid w:val="009D2BC3"/>
    <w:rsid w:val="009D3179"/>
    <w:rsid w:val="009D348B"/>
    <w:rsid w:val="009D34B0"/>
    <w:rsid w:val="009D3A16"/>
    <w:rsid w:val="009D43BF"/>
    <w:rsid w:val="009D4AF7"/>
    <w:rsid w:val="009D5948"/>
    <w:rsid w:val="009D759A"/>
    <w:rsid w:val="009E026A"/>
    <w:rsid w:val="009E0896"/>
    <w:rsid w:val="009E091E"/>
    <w:rsid w:val="009E0CFD"/>
    <w:rsid w:val="009E1332"/>
    <w:rsid w:val="009E1C93"/>
    <w:rsid w:val="009E1F52"/>
    <w:rsid w:val="009E27AB"/>
    <w:rsid w:val="009E2AD3"/>
    <w:rsid w:val="009E2BCA"/>
    <w:rsid w:val="009E2DB3"/>
    <w:rsid w:val="009E356A"/>
    <w:rsid w:val="009E3836"/>
    <w:rsid w:val="009E459A"/>
    <w:rsid w:val="009E4D8C"/>
    <w:rsid w:val="009E578B"/>
    <w:rsid w:val="009E59F8"/>
    <w:rsid w:val="009E6201"/>
    <w:rsid w:val="009E6358"/>
    <w:rsid w:val="009E6E7E"/>
    <w:rsid w:val="009E7048"/>
    <w:rsid w:val="009E70F5"/>
    <w:rsid w:val="009E72EB"/>
    <w:rsid w:val="009E7633"/>
    <w:rsid w:val="009F04E2"/>
    <w:rsid w:val="009F0A63"/>
    <w:rsid w:val="009F0C6E"/>
    <w:rsid w:val="009F106B"/>
    <w:rsid w:val="009F1297"/>
    <w:rsid w:val="009F16A8"/>
    <w:rsid w:val="009F1FB3"/>
    <w:rsid w:val="009F2202"/>
    <w:rsid w:val="009F2260"/>
    <w:rsid w:val="009F236C"/>
    <w:rsid w:val="009F2401"/>
    <w:rsid w:val="009F2514"/>
    <w:rsid w:val="009F2637"/>
    <w:rsid w:val="009F2B23"/>
    <w:rsid w:val="009F2C62"/>
    <w:rsid w:val="009F2EF2"/>
    <w:rsid w:val="009F3110"/>
    <w:rsid w:val="009F333E"/>
    <w:rsid w:val="009F3B9A"/>
    <w:rsid w:val="009F3D76"/>
    <w:rsid w:val="009F4613"/>
    <w:rsid w:val="009F47F2"/>
    <w:rsid w:val="009F4C9E"/>
    <w:rsid w:val="009F4E0F"/>
    <w:rsid w:val="009F547C"/>
    <w:rsid w:val="009F5541"/>
    <w:rsid w:val="009F57A2"/>
    <w:rsid w:val="009F5E94"/>
    <w:rsid w:val="009F5F61"/>
    <w:rsid w:val="009F631E"/>
    <w:rsid w:val="009F6AA2"/>
    <w:rsid w:val="009F6C2F"/>
    <w:rsid w:val="009F6F7C"/>
    <w:rsid w:val="009F729E"/>
    <w:rsid w:val="00A012B5"/>
    <w:rsid w:val="00A012BF"/>
    <w:rsid w:val="00A01388"/>
    <w:rsid w:val="00A0142A"/>
    <w:rsid w:val="00A01571"/>
    <w:rsid w:val="00A01CB7"/>
    <w:rsid w:val="00A01D23"/>
    <w:rsid w:val="00A01DCE"/>
    <w:rsid w:val="00A02550"/>
    <w:rsid w:val="00A028E1"/>
    <w:rsid w:val="00A02F0E"/>
    <w:rsid w:val="00A03200"/>
    <w:rsid w:val="00A0335C"/>
    <w:rsid w:val="00A03C3B"/>
    <w:rsid w:val="00A03E83"/>
    <w:rsid w:val="00A03FF3"/>
    <w:rsid w:val="00A041DF"/>
    <w:rsid w:val="00A0676C"/>
    <w:rsid w:val="00A067A6"/>
    <w:rsid w:val="00A0710F"/>
    <w:rsid w:val="00A07451"/>
    <w:rsid w:val="00A07D14"/>
    <w:rsid w:val="00A10711"/>
    <w:rsid w:val="00A10ACA"/>
    <w:rsid w:val="00A1113E"/>
    <w:rsid w:val="00A1142A"/>
    <w:rsid w:val="00A1146B"/>
    <w:rsid w:val="00A11783"/>
    <w:rsid w:val="00A11A2F"/>
    <w:rsid w:val="00A11B95"/>
    <w:rsid w:val="00A11EEC"/>
    <w:rsid w:val="00A1230B"/>
    <w:rsid w:val="00A12E2A"/>
    <w:rsid w:val="00A140F3"/>
    <w:rsid w:val="00A1434C"/>
    <w:rsid w:val="00A145F8"/>
    <w:rsid w:val="00A1465D"/>
    <w:rsid w:val="00A14871"/>
    <w:rsid w:val="00A14AA2"/>
    <w:rsid w:val="00A14C7D"/>
    <w:rsid w:val="00A151DB"/>
    <w:rsid w:val="00A15223"/>
    <w:rsid w:val="00A1527D"/>
    <w:rsid w:val="00A15D40"/>
    <w:rsid w:val="00A15E4E"/>
    <w:rsid w:val="00A15E75"/>
    <w:rsid w:val="00A16298"/>
    <w:rsid w:val="00A17595"/>
    <w:rsid w:val="00A1764E"/>
    <w:rsid w:val="00A176CD"/>
    <w:rsid w:val="00A17EDF"/>
    <w:rsid w:val="00A2008C"/>
    <w:rsid w:val="00A20422"/>
    <w:rsid w:val="00A21752"/>
    <w:rsid w:val="00A21C0C"/>
    <w:rsid w:val="00A21C3A"/>
    <w:rsid w:val="00A21D3D"/>
    <w:rsid w:val="00A2236E"/>
    <w:rsid w:val="00A22849"/>
    <w:rsid w:val="00A228BD"/>
    <w:rsid w:val="00A23856"/>
    <w:rsid w:val="00A23B36"/>
    <w:rsid w:val="00A245F4"/>
    <w:rsid w:val="00A246B9"/>
    <w:rsid w:val="00A24E17"/>
    <w:rsid w:val="00A24E6E"/>
    <w:rsid w:val="00A250BA"/>
    <w:rsid w:val="00A25175"/>
    <w:rsid w:val="00A25DC4"/>
    <w:rsid w:val="00A25E54"/>
    <w:rsid w:val="00A25F8D"/>
    <w:rsid w:val="00A26A45"/>
    <w:rsid w:val="00A27F99"/>
    <w:rsid w:val="00A30BF5"/>
    <w:rsid w:val="00A311F3"/>
    <w:rsid w:val="00A31A35"/>
    <w:rsid w:val="00A31F2F"/>
    <w:rsid w:val="00A323B1"/>
    <w:rsid w:val="00A3297E"/>
    <w:rsid w:val="00A32F0A"/>
    <w:rsid w:val="00A330F4"/>
    <w:rsid w:val="00A338C2"/>
    <w:rsid w:val="00A34025"/>
    <w:rsid w:val="00A3431D"/>
    <w:rsid w:val="00A34DE4"/>
    <w:rsid w:val="00A35650"/>
    <w:rsid w:val="00A35697"/>
    <w:rsid w:val="00A35B40"/>
    <w:rsid w:val="00A35F07"/>
    <w:rsid w:val="00A3673C"/>
    <w:rsid w:val="00A3673F"/>
    <w:rsid w:val="00A3694B"/>
    <w:rsid w:val="00A36F17"/>
    <w:rsid w:val="00A37607"/>
    <w:rsid w:val="00A37CD6"/>
    <w:rsid w:val="00A40619"/>
    <w:rsid w:val="00A406CC"/>
    <w:rsid w:val="00A40A99"/>
    <w:rsid w:val="00A40DBC"/>
    <w:rsid w:val="00A41340"/>
    <w:rsid w:val="00A41C35"/>
    <w:rsid w:val="00A41DC7"/>
    <w:rsid w:val="00A420CD"/>
    <w:rsid w:val="00A42DB2"/>
    <w:rsid w:val="00A4333C"/>
    <w:rsid w:val="00A43694"/>
    <w:rsid w:val="00A43982"/>
    <w:rsid w:val="00A43B5A"/>
    <w:rsid w:val="00A43C1B"/>
    <w:rsid w:val="00A43CBB"/>
    <w:rsid w:val="00A44131"/>
    <w:rsid w:val="00A444B9"/>
    <w:rsid w:val="00A4475E"/>
    <w:rsid w:val="00A44B37"/>
    <w:rsid w:val="00A4590B"/>
    <w:rsid w:val="00A46AC6"/>
    <w:rsid w:val="00A46FB8"/>
    <w:rsid w:val="00A47067"/>
    <w:rsid w:val="00A47673"/>
    <w:rsid w:val="00A47C93"/>
    <w:rsid w:val="00A50BD4"/>
    <w:rsid w:val="00A51585"/>
    <w:rsid w:val="00A51E75"/>
    <w:rsid w:val="00A51F28"/>
    <w:rsid w:val="00A52ADD"/>
    <w:rsid w:val="00A52D59"/>
    <w:rsid w:val="00A534C2"/>
    <w:rsid w:val="00A53A90"/>
    <w:rsid w:val="00A53F35"/>
    <w:rsid w:val="00A547F6"/>
    <w:rsid w:val="00A549FF"/>
    <w:rsid w:val="00A54DFF"/>
    <w:rsid w:val="00A551CA"/>
    <w:rsid w:val="00A55214"/>
    <w:rsid w:val="00A556E9"/>
    <w:rsid w:val="00A55970"/>
    <w:rsid w:val="00A55BCF"/>
    <w:rsid w:val="00A55DCE"/>
    <w:rsid w:val="00A56FC7"/>
    <w:rsid w:val="00A57507"/>
    <w:rsid w:val="00A57D17"/>
    <w:rsid w:val="00A57DC4"/>
    <w:rsid w:val="00A57F7C"/>
    <w:rsid w:val="00A601FC"/>
    <w:rsid w:val="00A602B3"/>
    <w:rsid w:val="00A609A2"/>
    <w:rsid w:val="00A60A20"/>
    <w:rsid w:val="00A60BB5"/>
    <w:rsid w:val="00A60C1B"/>
    <w:rsid w:val="00A60CB7"/>
    <w:rsid w:val="00A60CC6"/>
    <w:rsid w:val="00A612EA"/>
    <w:rsid w:val="00A61C8D"/>
    <w:rsid w:val="00A61F77"/>
    <w:rsid w:val="00A620C2"/>
    <w:rsid w:val="00A622AC"/>
    <w:rsid w:val="00A62733"/>
    <w:rsid w:val="00A62C86"/>
    <w:rsid w:val="00A635F2"/>
    <w:rsid w:val="00A64A4C"/>
    <w:rsid w:val="00A653F3"/>
    <w:rsid w:val="00A65484"/>
    <w:rsid w:val="00A65912"/>
    <w:rsid w:val="00A6604C"/>
    <w:rsid w:val="00A6637D"/>
    <w:rsid w:val="00A66549"/>
    <w:rsid w:val="00A667C3"/>
    <w:rsid w:val="00A66AE8"/>
    <w:rsid w:val="00A674A5"/>
    <w:rsid w:val="00A676EB"/>
    <w:rsid w:val="00A702B8"/>
    <w:rsid w:val="00A704C7"/>
    <w:rsid w:val="00A7098D"/>
    <w:rsid w:val="00A70D83"/>
    <w:rsid w:val="00A71E0F"/>
    <w:rsid w:val="00A72575"/>
    <w:rsid w:val="00A729E5"/>
    <w:rsid w:val="00A72D70"/>
    <w:rsid w:val="00A73DE4"/>
    <w:rsid w:val="00A74071"/>
    <w:rsid w:val="00A741F1"/>
    <w:rsid w:val="00A7475B"/>
    <w:rsid w:val="00A749DD"/>
    <w:rsid w:val="00A74B57"/>
    <w:rsid w:val="00A75220"/>
    <w:rsid w:val="00A75A9F"/>
    <w:rsid w:val="00A7667D"/>
    <w:rsid w:val="00A76717"/>
    <w:rsid w:val="00A76E59"/>
    <w:rsid w:val="00A77B73"/>
    <w:rsid w:val="00A808B5"/>
    <w:rsid w:val="00A82EB1"/>
    <w:rsid w:val="00A832EF"/>
    <w:rsid w:val="00A83468"/>
    <w:rsid w:val="00A83945"/>
    <w:rsid w:val="00A842CE"/>
    <w:rsid w:val="00A8577A"/>
    <w:rsid w:val="00A866BC"/>
    <w:rsid w:val="00A86BC9"/>
    <w:rsid w:val="00A86E27"/>
    <w:rsid w:val="00A87386"/>
    <w:rsid w:val="00A87DFB"/>
    <w:rsid w:val="00A90803"/>
    <w:rsid w:val="00A90E59"/>
    <w:rsid w:val="00A91363"/>
    <w:rsid w:val="00A913BE"/>
    <w:rsid w:val="00A914AC"/>
    <w:rsid w:val="00A91564"/>
    <w:rsid w:val="00A91642"/>
    <w:rsid w:val="00A91D12"/>
    <w:rsid w:val="00A91EF2"/>
    <w:rsid w:val="00A9240C"/>
    <w:rsid w:val="00A9247B"/>
    <w:rsid w:val="00A929E3"/>
    <w:rsid w:val="00A92EF3"/>
    <w:rsid w:val="00A93215"/>
    <w:rsid w:val="00A935E9"/>
    <w:rsid w:val="00A9480A"/>
    <w:rsid w:val="00A95742"/>
    <w:rsid w:val="00A958BD"/>
    <w:rsid w:val="00A961CF"/>
    <w:rsid w:val="00A96564"/>
    <w:rsid w:val="00A9693B"/>
    <w:rsid w:val="00A971BF"/>
    <w:rsid w:val="00A9756A"/>
    <w:rsid w:val="00A9774F"/>
    <w:rsid w:val="00A97A33"/>
    <w:rsid w:val="00A97C20"/>
    <w:rsid w:val="00AA0076"/>
    <w:rsid w:val="00AA0475"/>
    <w:rsid w:val="00AA04FB"/>
    <w:rsid w:val="00AA0F6C"/>
    <w:rsid w:val="00AA124A"/>
    <w:rsid w:val="00AA1479"/>
    <w:rsid w:val="00AA152C"/>
    <w:rsid w:val="00AA1580"/>
    <w:rsid w:val="00AA16B4"/>
    <w:rsid w:val="00AA17C2"/>
    <w:rsid w:val="00AA1D4A"/>
    <w:rsid w:val="00AA20DB"/>
    <w:rsid w:val="00AA2524"/>
    <w:rsid w:val="00AA279E"/>
    <w:rsid w:val="00AA2A96"/>
    <w:rsid w:val="00AA2CFA"/>
    <w:rsid w:val="00AA2EDC"/>
    <w:rsid w:val="00AA2F71"/>
    <w:rsid w:val="00AA3141"/>
    <w:rsid w:val="00AA3392"/>
    <w:rsid w:val="00AA34AE"/>
    <w:rsid w:val="00AA3C43"/>
    <w:rsid w:val="00AA4908"/>
    <w:rsid w:val="00AA4921"/>
    <w:rsid w:val="00AA4A89"/>
    <w:rsid w:val="00AA4C80"/>
    <w:rsid w:val="00AA4CA6"/>
    <w:rsid w:val="00AA52F7"/>
    <w:rsid w:val="00AA5301"/>
    <w:rsid w:val="00AA544F"/>
    <w:rsid w:val="00AA5B3E"/>
    <w:rsid w:val="00AA5DF0"/>
    <w:rsid w:val="00AA5F4B"/>
    <w:rsid w:val="00AA6E55"/>
    <w:rsid w:val="00AA7087"/>
    <w:rsid w:val="00AA72E5"/>
    <w:rsid w:val="00AA777A"/>
    <w:rsid w:val="00AA79B1"/>
    <w:rsid w:val="00AB046F"/>
    <w:rsid w:val="00AB2D1F"/>
    <w:rsid w:val="00AB32F8"/>
    <w:rsid w:val="00AB34E3"/>
    <w:rsid w:val="00AB38AB"/>
    <w:rsid w:val="00AB3CE9"/>
    <w:rsid w:val="00AB3D79"/>
    <w:rsid w:val="00AB3F52"/>
    <w:rsid w:val="00AB4536"/>
    <w:rsid w:val="00AB4655"/>
    <w:rsid w:val="00AB5A72"/>
    <w:rsid w:val="00AB5B59"/>
    <w:rsid w:val="00AB5CC6"/>
    <w:rsid w:val="00AB602B"/>
    <w:rsid w:val="00AB622D"/>
    <w:rsid w:val="00AB64A6"/>
    <w:rsid w:val="00AB66D0"/>
    <w:rsid w:val="00AB692D"/>
    <w:rsid w:val="00AB69B1"/>
    <w:rsid w:val="00AB6B5A"/>
    <w:rsid w:val="00AB6F81"/>
    <w:rsid w:val="00AB7696"/>
    <w:rsid w:val="00AB7C5C"/>
    <w:rsid w:val="00AB7CCA"/>
    <w:rsid w:val="00AC07E1"/>
    <w:rsid w:val="00AC0B90"/>
    <w:rsid w:val="00AC0C27"/>
    <w:rsid w:val="00AC10D2"/>
    <w:rsid w:val="00AC129B"/>
    <w:rsid w:val="00AC13C0"/>
    <w:rsid w:val="00AC1EEB"/>
    <w:rsid w:val="00AC2117"/>
    <w:rsid w:val="00AC257B"/>
    <w:rsid w:val="00AC2A84"/>
    <w:rsid w:val="00AC2BC5"/>
    <w:rsid w:val="00AC2D01"/>
    <w:rsid w:val="00AC2DAE"/>
    <w:rsid w:val="00AC3250"/>
    <w:rsid w:val="00AC331B"/>
    <w:rsid w:val="00AC355A"/>
    <w:rsid w:val="00AC37AA"/>
    <w:rsid w:val="00AC3DF3"/>
    <w:rsid w:val="00AC44DF"/>
    <w:rsid w:val="00AC493A"/>
    <w:rsid w:val="00AC4969"/>
    <w:rsid w:val="00AC4D2D"/>
    <w:rsid w:val="00AC53E9"/>
    <w:rsid w:val="00AC5837"/>
    <w:rsid w:val="00AC5967"/>
    <w:rsid w:val="00AC5FB6"/>
    <w:rsid w:val="00AC6052"/>
    <w:rsid w:val="00AC62E1"/>
    <w:rsid w:val="00AC7099"/>
    <w:rsid w:val="00AD0FA0"/>
    <w:rsid w:val="00AD15B7"/>
    <w:rsid w:val="00AD1D8D"/>
    <w:rsid w:val="00AD21BB"/>
    <w:rsid w:val="00AD2511"/>
    <w:rsid w:val="00AD27ED"/>
    <w:rsid w:val="00AD2CA2"/>
    <w:rsid w:val="00AD30D6"/>
    <w:rsid w:val="00AD3E3B"/>
    <w:rsid w:val="00AD403D"/>
    <w:rsid w:val="00AD41CB"/>
    <w:rsid w:val="00AD4322"/>
    <w:rsid w:val="00AD4C0F"/>
    <w:rsid w:val="00AD5449"/>
    <w:rsid w:val="00AD5803"/>
    <w:rsid w:val="00AD5F41"/>
    <w:rsid w:val="00AD60A5"/>
    <w:rsid w:val="00AD60E7"/>
    <w:rsid w:val="00AD6464"/>
    <w:rsid w:val="00AD6AC0"/>
    <w:rsid w:val="00AD6CAA"/>
    <w:rsid w:val="00AD6D11"/>
    <w:rsid w:val="00AD70AC"/>
    <w:rsid w:val="00AD73E3"/>
    <w:rsid w:val="00AD742D"/>
    <w:rsid w:val="00AD75D9"/>
    <w:rsid w:val="00AD75E4"/>
    <w:rsid w:val="00AD76AC"/>
    <w:rsid w:val="00AD7815"/>
    <w:rsid w:val="00AD795A"/>
    <w:rsid w:val="00AE0250"/>
    <w:rsid w:val="00AE0878"/>
    <w:rsid w:val="00AE1EBC"/>
    <w:rsid w:val="00AE1ECF"/>
    <w:rsid w:val="00AE42D7"/>
    <w:rsid w:val="00AE441A"/>
    <w:rsid w:val="00AE468F"/>
    <w:rsid w:val="00AE4775"/>
    <w:rsid w:val="00AE5127"/>
    <w:rsid w:val="00AE55A5"/>
    <w:rsid w:val="00AE6026"/>
    <w:rsid w:val="00AE617A"/>
    <w:rsid w:val="00AE624B"/>
    <w:rsid w:val="00AE6414"/>
    <w:rsid w:val="00AE6BC0"/>
    <w:rsid w:val="00AE6EEA"/>
    <w:rsid w:val="00AE6FB6"/>
    <w:rsid w:val="00AE74AF"/>
    <w:rsid w:val="00AE757F"/>
    <w:rsid w:val="00AE77AA"/>
    <w:rsid w:val="00AE7817"/>
    <w:rsid w:val="00AF0236"/>
    <w:rsid w:val="00AF07B2"/>
    <w:rsid w:val="00AF0BAE"/>
    <w:rsid w:val="00AF0BC5"/>
    <w:rsid w:val="00AF10F8"/>
    <w:rsid w:val="00AF1173"/>
    <w:rsid w:val="00AF1933"/>
    <w:rsid w:val="00AF1EBB"/>
    <w:rsid w:val="00AF267C"/>
    <w:rsid w:val="00AF26DA"/>
    <w:rsid w:val="00AF31D8"/>
    <w:rsid w:val="00AF371D"/>
    <w:rsid w:val="00AF4525"/>
    <w:rsid w:val="00AF48DC"/>
    <w:rsid w:val="00AF493D"/>
    <w:rsid w:val="00AF4CA9"/>
    <w:rsid w:val="00AF4DF6"/>
    <w:rsid w:val="00AF5707"/>
    <w:rsid w:val="00AF6498"/>
    <w:rsid w:val="00AF686C"/>
    <w:rsid w:val="00AF6EE1"/>
    <w:rsid w:val="00AF7005"/>
    <w:rsid w:val="00AF73B7"/>
    <w:rsid w:val="00AF76DC"/>
    <w:rsid w:val="00AF799B"/>
    <w:rsid w:val="00B000B8"/>
    <w:rsid w:val="00B0034E"/>
    <w:rsid w:val="00B0045D"/>
    <w:rsid w:val="00B00FC8"/>
    <w:rsid w:val="00B00FD5"/>
    <w:rsid w:val="00B013E4"/>
    <w:rsid w:val="00B015B1"/>
    <w:rsid w:val="00B0180B"/>
    <w:rsid w:val="00B019A3"/>
    <w:rsid w:val="00B01A0D"/>
    <w:rsid w:val="00B01B58"/>
    <w:rsid w:val="00B01C5F"/>
    <w:rsid w:val="00B02061"/>
    <w:rsid w:val="00B0208A"/>
    <w:rsid w:val="00B02792"/>
    <w:rsid w:val="00B02BDE"/>
    <w:rsid w:val="00B02C2A"/>
    <w:rsid w:val="00B03D20"/>
    <w:rsid w:val="00B0460C"/>
    <w:rsid w:val="00B04954"/>
    <w:rsid w:val="00B04B4B"/>
    <w:rsid w:val="00B053FE"/>
    <w:rsid w:val="00B05B64"/>
    <w:rsid w:val="00B05E5D"/>
    <w:rsid w:val="00B05F83"/>
    <w:rsid w:val="00B06199"/>
    <w:rsid w:val="00B062AD"/>
    <w:rsid w:val="00B0681E"/>
    <w:rsid w:val="00B06C0B"/>
    <w:rsid w:val="00B06E43"/>
    <w:rsid w:val="00B06F3F"/>
    <w:rsid w:val="00B06F61"/>
    <w:rsid w:val="00B074EA"/>
    <w:rsid w:val="00B07830"/>
    <w:rsid w:val="00B07F74"/>
    <w:rsid w:val="00B0ED91"/>
    <w:rsid w:val="00B100CC"/>
    <w:rsid w:val="00B10263"/>
    <w:rsid w:val="00B10521"/>
    <w:rsid w:val="00B105C6"/>
    <w:rsid w:val="00B106C6"/>
    <w:rsid w:val="00B10B1F"/>
    <w:rsid w:val="00B11B88"/>
    <w:rsid w:val="00B11CE6"/>
    <w:rsid w:val="00B11E70"/>
    <w:rsid w:val="00B1211B"/>
    <w:rsid w:val="00B12A84"/>
    <w:rsid w:val="00B13591"/>
    <w:rsid w:val="00B13D12"/>
    <w:rsid w:val="00B14055"/>
    <w:rsid w:val="00B1428E"/>
    <w:rsid w:val="00B14879"/>
    <w:rsid w:val="00B14B2B"/>
    <w:rsid w:val="00B14C93"/>
    <w:rsid w:val="00B14DC5"/>
    <w:rsid w:val="00B1527C"/>
    <w:rsid w:val="00B15374"/>
    <w:rsid w:val="00B15AE8"/>
    <w:rsid w:val="00B168FC"/>
    <w:rsid w:val="00B17B03"/>
    <w:rsid w:val="00B17B60"/>
    <w:rsid w:val="00B17FD9"/>
    <w:rsid w:val="00B2180E"/>
    <w:rsid w:val="00B21B71"/>
    <w:rsid w:val="00B21C95"/>
    <w:rsid w:val="00B21D08"/>
    <w:rsid w:val="00B22030"/>
    <w:rsid w:val="00B220BF"/>
    <w:rsid w:val="00B2242E"/>
    <w:rsid w:val="00B22F03"/>
    <w:rsid w:val="00B235CC"/>
    <w:rsid w:val="00B235EE"/>
    <w:rsid w:val="00B23E8C"/>
    <w:rsid w:val="00B24070"/>
    <w:rsid w:val="00B24790"/>
    <w:rsid w:val="00B24834"/>
    <w:rsid w:val="00B24853"/>
    <w:rsid w:val="00B2494B"/>
    <w:rsid w:val="00B24B10"/>
    <w:rsid w:val="00B25DC2"/>
    <w:rsid w:val="00B26153"/>
    <w:rsid w:val="00B267B1"/>
    <w:rsid w:val="00B26948"/>
    <w:rsid w:val="00B26B8D"/>
    <w:rsid w:val="00B26E20"/>
    <w:rsid w:val="00B27012"/>
    <w:rsid w:val="00B271FD"/>
    <w:rsid w:val="00B2728D"/>
    <w:rsid w:val="00B27342"/>
    <w:rsid w:val="00B27A86"/>
    <w:rsid w:val="00B3023F"/>
    <w:rsid w:val="00B30BA4"/>
    <w:rsid w:val="00B3114B"/>
    <w:rsid w:val="00B31BFD"/>
    <w:rsid w:val="00B31D8E"/>
    <w:rsid w:val="00B32846"/>
    <w:rsid w:val="00B32E5F"/>
    <w:rsid w:val="00B33BF1"/>
    <w:rsid w:val="00B34760"/>
    <w:rsid w:val="00B35DA5"/>
    <w:rsid w:val="00B35DCA"/>
    <w:rsid w:val="00B3656F"/>
    <w:rsid w:val="00B36C33"/>
    <w:rsid w:val="00B37077"/>
    <w:rsid w:val="00B37385"/>
    <w:rsid w:val="00B3776D"/>
    <w:rsid w:val="00B37988"/>
    <w:rsid w:val="00B40325"/>
    <w:rsid w:val="00B411AF"/>
    <w:rsid w:val="00B41E8D"/>
    <w:rsid w:val="00B41EC6"/>
    <w:rsid w:val="00B424B9"/>
    <w:rsid w:val="00B42C8B"/>
    <w:rsid w:val="00B42CCF"/>
    <w:rsid w:val="00B43495"/>
    <w:rsid w:val="00B4378E"/>
    <w:rsid w:val="00B441F2"/>
    <w:rsid w:val="00B44D6E"/>
    <w:rsid w:val="00B44E89"/>
    <w:rsid w:val="00B458EE"/>
    <w:rsid w:val="00B45918"/>
    <w:rsid w:val="00B45ABB"/>
    <w:rsid w:val="00B45D75"/>
    <w:rsid w:val="00B4624E"/>
    <w:rsid w:val="00B4640B"/>
    <w:rsid w:val="00B4661A"/>
    <w:rsid w:val="00B46784"/>
    <w:rsid w:val="00B46B4E"/>
    <w:rsid w:val="00B4712F"/>
    <w:rsid w:val="00B47EA4"/>
    <w:rsid w:val="00B50A36"/>
    <w:rsid w:val="00B50CFD"/>
    <w:rsid w:val="00B511C2"/>
    <w:rsid w:val="00B5340C"/>
    <w:rsid w:val="00B53789"/>
    <w:rsid w:val="00B53897"/>
    <w:rsid w:val="00B53B09"/>
    <w:rsid w:val="00B55470"/>
    <w:rsid w:val="00B5636E"/>
    <w:rsid w:val="00B5662F"/>
    <w:rsid w:val="00B570A9"/>
    <w:rsid w:val="00B571FF"/>
    <w:rsid w:val="00B5721F"/>
    <w:rsid w:val="00B57B3F"/>
    <w:rsid w:val="00B6040F"/>
    <w:rsid w:val="00B606CC"/>
    <w:rsid w:val="00B60A40"/>
    <w:rsid w:val="00B618AE"/>
    <w:rsid w:val="00B61BC5"/>
    <w:rsid w:val="00B61BEB"/>
    <w:rsid w:val="00B62277"/>
    <w:rsid w:val="00B62A1B"/>
    <w:rsid w:val="00B63012"/>
    <w:rsid w:val="00B6306F"/>
    <w:rsid w:val="00B63217"/>
    <w:rsid w:val="00B637E1"/>
    <w:rsid w:val="00B63D78"/>
    <w:rsid w:val="00B64831"/>
    <w:rsid w:val="00B6522A"/>
    <w:rsid w:val="00B65661"/>
    <w:rsid w:val="00B659FE"/>
    <w:rsid w:val="00B65C90"/>
    <w:rsid w:val="00B65DA0"/>
    <w:rsid w:val="00B65FAB"/>
    <w:rsid w:val="00B666B2"/>
    <w:rsid w:val="00B6689D"/>
    <w:rsid w:val="00B66C1F"/>
    <w:rsid w:val="00B67504"/>
    <w:rsid w:val="00B67ED5"/>
    <w:rsid w:val="00B70082"/>
    <w:rsid w:val="00B70CC7"/>
    <w:rsid w:val="00B71700"/>
    <w:rsid w:val="00B7205E"/>
    <w:rsid w:val="00B72368"/>
    <w:rsid w:val="00B723FF"/>
    <w:rsid w:val="00B72C61"/>
    <w:rsid w:val="00B734C5"/>
    <w:rsid w:val="00B73539"/>
    <w:rsid w:val="00B736E5"/>
    <w:rsid w:val="00B73A15"/>
    <w:rsid w:val="00B742BC"/>
    <w:rsid w:val="00B74937"/>
    <w:rsid w:val="00B74BA0"/>
    <w:rsid w:val="00B74D47"/>
    <w:rsid w:val="00B75077"/>
    <w:rsid w:val="00B7543A"/>
    <w:rsid w:val="00B7545C"/>
    <w:rsid w:val="00B755E2"/>
    <w:rsid w:val="00B7601B"/>
    <w:rsid w:val="00B76EB1"/>
    <w:rsid w:val="00B76F03"/>
    <w:rsid w:val="00B7708F"/>
    <w:rsid w:val="00B776EC"/>
    <w:rsid w:val="00B7772B"/>
    <w:rsid w:val="00B77787"/>
    <w:rsid w:val="00B80114"/>
    <w:rsid w:val="00B80575"/>
    <w:rsid w:val="00B807B8"/>
    <w:rsid w:val="00B808F3"/>
    <w:rsid w:val="00B81E28"/>
    <w:rsid w:val="00B8230C"/>
    <w:rsid w:val="00B82691"/>
    <w:rsid w:val="00B826E3"/>
    <w:rsid w:val="00B83187"/>
    <w:rsid w:val="00B831BF"/>
    <w:rsid w:val="00B83534"/>
    <w:rsid w:val="00B83651"/>
    <w:rsid w:val="00B83D3F"/>
    <w:rsid w:val="00B83F44"/>
    <w:rsid w:val="00B83F8C"/>
    <w:rsid w:val="00B84551"/>
    <w:rsid w:val="00B84660"/>
    <w:rsid w:val="00B8468D"/>
    <w:rsid w:val="00B846E4"/>
    <w:rsid w:val="00B84A88"/>
    <w:rsid w:val="00B84AE3"/>
    <w:rsid w:val="00B84CD5"/>
    <w:rsid w:val="00B8536B"/>
    <w:rsid w:val="00B8545F"/>
    <w:rsid w:val="00B858F4"/>
    <w:rsid w:val="00B85A73"/>
    <w:rsid w:val="00B85BE5"/>
    <w:rsid w:val="00B860C7"/>
    <w:rsid w:val="00B86274"/>
    <w:rsid w:val="00B86492"/>
    <w:rsid w:val="00B864BE"/>
    <w:rsid w:val="00B86E18"/>
    <w:rsid w:val="00B86E9B"/>
    <w:rsid w:val="00B873A6"/>
    <w:rsid w:val="00B877E4"/>
    <w:rsid w:val="00B87E03"/>
    <w:rsid w:val="00B87EAF"/>
    <w:rsid w:val="00B9029E"/>
    <w:rsid w:val="00B90F80"/>
    <w:rsid w:val="00B91196"/>
    <w:rsid w:val="00B9157B"/>
    <w:rsid w:val="00B91CDA"/>
    <w:rsid w:val="00B9226F"/>
    <w:rsid w:val="00B924ED"/>
    <w:rsid w:val="00B927DA"/>
    <w:rsid w:val="00B929AD"/>
    <w:rsid w:val="00B9317F"/>
    <w:rsid w:val="00B949BB"/>
    <w:rsid w:val="00B94E9D"/>
    <w:rsid w:val="00B95273"/>
    <w:rsid w:val="00B95DFE"/>
    <w:rsid w:val="00B96518"/>
    <w:rsid w:val="00B96B24"/>
    <w:rsid w:val="00B97E28"/>
    <w:rsid w:val="00BA04B4"/>
    <w:rsid w:val="00BA08D5"/>
    <w:rsid w:val="00BA0FDC"/>
    <w:rsid w:val="00BA1443"/>
    <w:rsid w:val="00BA1B71"/>
    <w:rsid w:val="00BA2026"/>
    <w:rsid w:val="00BA22C8"/>
    <w:rsid w:val="00BA2E50"/>
    <w:rsid w:val="00BA37C8"/>
    <w:rsid w:val="00BA385F"/>
    <w:rsid w:val="00BA3CF6"/>
    <w:rsid w:val="00BA4B39"/>
    <w:rsid w:val="00BA4BBC"/>
    <w:rsid w:val="00BA4E51"/>
    <w:rsid w:val="00BA4EF2"/>
    <w:rsid w:val="00BA55C8"/>
    <w:rsid w:val="00BA5920"/>
    <w:rsid w:val="00BA5B03"/>
    <w:rsid w:val="00BA5B39"/>
    <w:rsid w:val="00BA5E74"/>
    <w:rsid w:val="00BA67F8"/>
    <w:rsid w:val="00BA6A67"/>
    <w:rsid w:val="00BA76D0"/>
    <w:rsid w:val="00BA7E5B"/>
    <w:rsid w:val="00BA7F02"/>
    <w:rsid w:val="00BB07A2"/>
    <w:rsid w:val="00BB0A5B"/>
    <w:rsid w:val="00BB0E71"/>
    <w:rsid w:val="00BB1F94"/>
    <w:rsid w:val="00BB20BE"/>
    <w:rsid w:val="00BB2188"/>
    <w:rsid w:val="00BB2BD1"/>
    <w:rsid w:val="00BB3061"/>
    <w:rsid w:val="00BB32CD"/>
    <w:rsid w:val="00BB33A5"/>
    <w:rsid w:val="00BB39C0"/>
    <w:rsid w:val="00BB39F3"/>
    <w:rsid w:val="00BB3D23"/>
    <w:rsid w:val="00BB3F52"/>
    <w:rsid w:val="00BB41D9"/>
    <w:rsid w:val="00BB4459"/>
    <w:rsid w:val="00BB4770"/>
    <w:rsid w:val="00BB4DF2"/>
    <w:rsid w:val="00BB4FD7"/>
    <w:rsid w:val="00BB51EF"/>
    <w:rsid w:val="00BB55A4"/>
    <w:rsid w:val="00BB5CCF"/>
    <w:rsid w:val="00BB62E6"/>
    <w:rsid w:val="00BB6CAF"/>
    <w:rsid w:val="00BB6F3D"/>
    <w:rsid w:val="00BB7023"/>
    <w:rsid w:val="00BB74D4"/>
    <w:rsid w:val="00BB7513"/>
    <w:rsid w:val="00BB7666"/>
    <w:rsid w:val="00BB78D3"/>
    <w:rsid w:val="00BB7C0C"/>
    <w:rsid w:val="00BB7E31"/>
    <w:rsid w:val="00BC0353"/>
    <w:rsid w:val="00BC056F"/>
    <w:rsid w:val="00BC100B"/>
    <w:rsid w:val="00BC1123"/>
    <w:rsid w:val="00BC1676"/>
    <w:rsid w:val="00BC16C0"/>
    <w:rsid w:val="00BC2723"/>
    <w:rsid w:val="00BC3015"/>
    <w:rsid w:val="00BC30FF"/>
    <w:rsid w:val="00BC34E1"/>
    <w:rsid w:val="00BC3A1E"/>
    <w:rsid w:val="00BC3D3D"/>
    <w:rsid w:val="00BC3F02"/>
    <w:rsid w:val="00BC4048"/>
    <w:rsid w:val="00BC408D"/>
    <w:rsid w:val="00BC4590"/>
    <w:rsid w:val="00BC45C5"/>
    <w:rsid w:val="00BC46A0"/>
    <w:rsid w:val="00BC5B9B"/>
    <w:rsid w:val="00BC612C"/>
    <w:rsid w:val="00BC62DB"/>
    <w:rsid w:val="00BC69BD"/>
    <w:rsid w:val="00BC7297"/>
    <w:rsid w:val="00BC739C"/>
    <w:rsid w:val="00BC7567"/>
    <w:rsid w:val="00BC798A"/>
    <w:rsid w:val="00BC79D9"/>
    <w:rsid w:val="00BD0857"/>
    <w:rsid w:val="00BD0C3A"/>
    <w:rsid w:val="00BD0F54"/>
    <w:rsid w:val="00BD11E8"/>
    <w:rsid w:val="00BD13CE"/>
    <w:rsid w:val="00BD29D1"/>
    <w:rsid w:val="00BD2B0E"/>
    <w:rsid w:val="00BD2CFC"/>
    <w:rsid w:val="00BD2D8B"/>
    <w:rsid w:val="00BD2EAB"/>
    <w:rsid w:val="00BD39CC"/>
    <w:rsid w:val="00BD3CCB"/>
    <w:rsid w:val="00BD3FDA"/>
    <w:rsid w:val="00BD42BF"/>
    <w:rsid w:val="00BD43A9"/>
    <w:rsid w:val="00BD4688"/>
    <w:rsid w:val="00BD46D0"/>
    <w:rsid w:val="00BD49C6"/>
    <w:rsid w:val="00BD4A0E"/>
    <w:rsid w:val="00BD4C7B"/>
    <w:rsid w:val="00BD5387"/>
    <w:rsid w:val="00BD5529"/>
    <w:rsid w:val="00BD5708"/>
    <w:rsid w:val="00BD5B8D"/>
    <w:rsid w:val="00BD5DCE"/>
    <w:rsid w:val="00BD6048"/>
    <w:rsid w:val="00BD62D7"/>
    <w:rsid w:val="00BD63E3"/>
    <w:rsid w:val="00BD6851"/>
    <w:rsid w:val="00BD687F"/>
    <w:rsid w:val="00BD7018"/>
    <w:rsid w:val="00BD70BA"/>
    <w:rsid w:val="00BD76F4"/>
    <w:rsid w:val="00BE05CE"/>
    <w:rsid w:val="00BE0613"/>
    <w:rsid w:val="00BE08DE"/>
    <w:rsid w:val="00BE0A8E"/>
    <w:rsid w:val="00BE0BE0"/>
    <w:rsid w:val="00BE0FEB"/>
    <w:rsid w:val="00BE1486"/>
    <w:rsid w:val="00BE1BE4"/>
    <w:rsid w:val="00BE1F10"/>
    <w:rsid w:val="00BE2411"/>
    <w:rsid w:val="00BE2472"/>
    <w:rsid w:val="00BE2853"/>
    <w:rsid w:val="00BE2B98"/>
    <w:rsid w:val="00BE2DA2"/>
    <w:rsid w:val="00BE3024"/>
    <w:rsid w:val="00BE34B2"/>
    <w:rsid w:val="00BE35F7"/>
    <w:rsid w:val="00BE4558"/>
    <w:rsid w:val="00BE4799"/>
    <w:rsid w:val="00BE4953"/>
    <w:rsid w:val="00BE514A"/>
    <w:rsid w:val="00BE519F"/>
    <w:rsid w:val="00BE535A"/>
    <w:rsid w:val="00BE57A2"/>
    <w:rsid w:val="00BE5AF8"/>
    <w:rsid w:val="00BE5D83"/>
    <w:rsid w:val="00BE607B"/>
    <w:rsid w:val="00BE6724"/>
    <w:rsid w:val="00BE695E"/>
    <w:rsid w:val="00BE6972"/>
    <w:rsid w:val="00BE6C17"/>
    <w:rsid w:val="00BE700C"/>
    <w:rsid w:val="00BE7133"/>
    <w:rsid w:val="00BE7280"/>
    <w:rsid w:val="00BE737E"/>
    <w:rsid w:val="00BE7CB4"/>
    <w:rsid w:val="00BE7D50"/>
    <w:rsid w:val="00BE7D92"/>
    <w:rsid w:val="00BE7DF9"/>
    <w:rsid w:val="00BF00C8"/>
    <w:rsid w:val="00BF051D"/>
    <w:rsid w:val="00BF06E9"/>
    <w:rsid w:val="00BF0C0A"/>
    <w:rsid w:val="00BF0E61"/>
    <w:rsid w:val="00BF113C"/>
    <w:rsid w:val="00BF1451"/>
    <w:rsid w:val="00BF14DA"/>
    <w:rsid w:val="00BF1555"/>
    <w:rsid w:val="00BF158F"/>
    <w:rsid w:val="00BF2088"/>
    <w:rsid w:val="00BF2CE1"/>
    <w:rsid w:val="00BF2D64"/>
    <w:rsid w:val="00BF3205"/>
    <w:rsid w:val="00BF3219"/>
    <w:rsid w:val="00BF377D"/>
    <w:rsid w:val="00BF3885"/>
    <w:rsid w:val="00BF3ACC"/>
    <w:rsid w:val="00BF4275"/>
    <w:rsid w:val="00BF469B"/>
    <w:rsid w:val="00BF470C"/>
    <w:rsid w:val="00BF4FE5"/>
    <w:rsid w:val="00BF61E2"/>
    <w:rsid w:val="00BF6578"/>
    <w:rsid w:val="00BF65AD"/>
    <w:rsid w:val="00BF6A49"/>
    <w:rsid w:val="00BF7E24"/>
    <w:rsid w:val="00C00067"/>
    <w:rsid w:val="00C029FE"/>
    <w:rsid w:val="00C02B09"/>
    <w:rsid w:val="00C034F2"/>
    <w:rsid w:val="00C03F23"/>
    <w:rsid w:val="00C03F73"/>
    <w:rsid w:val="00C042CE"/>
    <w:rsid w:val="00C0485E"/>
    <w:rsid w:val="00C04DBA"/>
    <w:rsid w:val="00C04E77"/>
    <w:rsid w:val="00C06B84"/>
    <w:rsid w:val="00C06FF3"/>
    <w:rsid w:val="00C0776D"/>
    <w:rsid w:val="00C07C20"/>
    <w:rsid w:val="00C07D8E"/>
    <w:rsid w:val="00C07E0C"/>
    <w:rsid w:val="00C103FE"/>
    <w:rsid w:val="00C10703"/>
    <w:rsid w:val="00C10917"/>
    <w:rsid w:val="00C112CD"/>
    <w:rsid w:val="00C11B38"/>
    <w:rsid w:val="00C11DC2"/>
    <w:rsid w:val="00C12C28"/>
    <w:rsid w:val="00C12C49"/>
    <w:rsid w:val="00C1323C"/>
    <w:rsid w:val="00C142B1"/>
    <w:rsid w:val="00C14649"/>
    <w:rsid w:val="00C15155"/>
    <w:rsid w:val="00C15425"/>
    <w:rsid w:val="00C162D1"/>
    <w:rsid w:val="00C16372"/>
    <w:rsid w:val="00C165A5"/>
    <w:rsid w:val="00C17756"/>
    <w:rsid w:val="00C202FF"/>
    <w:rsid w:val="00C20D5D"/>
    <w:rsid w:val="00C2129A"/>
    <w:rsid w:val="00C21C83"/>
    <w:rsid w:val="00C220F4"/>
    <w:rsid w:val="00C224AB"/>
    <w:rsid w:val="00C22605"/>
    <w:rsid w:val="00C233B2"/>
    <w:rsid w:val="00C2359E"/>
    <w:rsid w:val="00C255FF"/>
    <w:rsid w:val="00C25829"/>
    <w:rsid w:val="00C25858"/>
    <w:rsid w:val="00C259A6"/>
    <w:rsid w:val="00C2620C"/>
    <w:rsid w:val="00C26617"/>
    <w:rsid w:val="00C26B8E"/>
    <w:rsid w:val="00C26E1A"/>
    <w:rsid w:val="00C26EC8"/>
    <w:rsid w:val="00C27572"/>
    <w:rsid w:val="00C2794B"/>
    <w:rsid w:val="00C27E7F"/>
    <w:rsid w:val="00C27F53"/>
    <w:rsid w:val="00C302EE"/>
    <w:rsid w:val="00C31020"/>
    <w:rsid w:val="00C31DD0"/>
    <w:rsid w:val="00C32047"/>
    <w:rsid w:val="00C32666"/>
    <w:rsid w:val="00C32AD7"/>
    <w:rsid w:val="00C3303A"/>
    <w:rsid w:val="00C33215"/>
    <w:rsid w:val="00C332E5"/>
    <w:rsid w:val="00C33E64"/>
    <w:rsid w:val="00C346E3"/>
    <w:rsid w:val="00C34D43"/>
    <w:rsid w:val="00C34FB8"/>
    <w:rsid w:val="00C351BD"/>
    <w:rsid w:val="00C351D3"/>
    <w:rsid w:val="00C352D6"/>
    <w:rsid w:val="00C363F4"/>
    <w:rsid w:val="00C3647B"/>
    <w:rsid w:val="00C36A4E"/>
    <w:rsid w:val="00C36B03"/>
    <w:rsid w:val="00C36C17"/>
    <w:rsid w:val="00C36F7A"/>
    <w:rsid w:val="00C372CF"/>
    <w:rsid w:val="00C37A31"/>
    <w:rsid w:val="00C40D6F"/>
    <w:rsid w:val="00C40FD3"/>
    <w:rsid w:val="00C42AD6"/>
    <w:rsid w:val="00C42F5E"/>
    <w:rsid w:val="00C43184"/>
    <w:rsid w:val="00C43195"/>
    <w:rsid w:val="00C43DBE"/>
    <w:rsid w:val="00C44246"/>
    <w:rsid w:val="00C44501"/>
    <w:rsid w:val="00C44BC1"/>
    <w:rsid w:val="00C44D31"/>
    <w:rsid w:val="00C4513A"/>
    <w:rsid w:val="00C45F27"/>
    <w:rsid w:val="00C46E11"/>
    <w:rsid w:val="00C47775"/>
    <w:rsid w:val="00C47AE3"/>
    <w:rsid w:val="00C50020"/>
    <w:rsid w:val="00C50725"/>
    <w:rsid w:val="00C507F8"/>
    <w:rsid w:val="00C50D27"/>
    <w:rsid w:val="00C50E71"/>
    <w:rsid w:val="00C50FC0"/>
    <w:rsid w:val="00C517C2"/>
    <w:rsid w:val="00C51803"/>
    <w:rsid w:val="00C51840"/>
    <w:rsid w:val="00C52523"/>
    <w:rsid w:val="00C527BB"/>
    <w:rsid w:val="00C52B62"/>
    <w:rsid w:val="00C52C66"/>
    <w:rsid w:val="00C532F7"/>
    <w:rsid w:val="00C545C2"/>
    <w:rsid w:val="00C54612"/>
    <w:rsid w:val="00C54986"/>
    <w:rsid w:val="00C54AEA"/>
    <w:rsid w:val="00C54D58"/>
    <w:rsid w:val="00C54DFC"/>
    <w:rsid w:val="00C54E29"/>
    <w:rsid w:val="00C55F0B"/>
    <w:rsid w:val="00C56011"/>
    <w:rsid w:val="00C56536"/>
    <w:rsid w:val="00C565A3"/>
    <w:rsid w:val="00C570FB"/>
    <w:rsid w:val="00C573E1"/>
    <w:rsid w:val="00C575E5"/>
    <w:rsid w:val="00C57909"/>
    <w:rsid w:val="00C57D8D"/>
    <w:rsid w:val="00C602DB"/>
    <w:rsid w:val="00C60A0F"/>
    <w:rsid w:val="00C60F0A"/>
    <w:rsid w:val="00C61591"/>
    <w:rsid w:val="00C61ABE"/>
    <w:rsid w:val="00C629C6"/>
    <w:rsid w:val="00C63427"/>
    <w:rsid w:val="00C6460F"/>
    <w:rsid w:val="00C65279"/>
    <w:rsid w:val="00C6575D"/>
    <w:rsid w:val="00C6583D"/>
    <w:rsid w:val="00C658B9"/>
    <w:rsid w:val="00C65959"/>
    <w:rsid w:val="00C66753"/>
    <w:rsid w:val="00C66B59"/>
    <w:rsid w:val="00C66F3A"/>
    <w:rsid w:val="00C70DBC"/>
    <w:rsid w:val="00C715F5"/>
    <w:rsid w:val="00C719CE"/>
    <w:rsid w:val="00C71AD0"/>
    <w:rsid w:val="00C71B42"/>
    <w:rsid w:val="00C727B3"/>
    <w:rsid w:val="00C73703"/>
    <w:rsid w:val="00C73FC8"/>
    <w:rsid w:val="00C7458D"/>
    <w:rsid w:val="00C746EF"/>
    <w:rsid w:val="00C746F5"/>
    <w:rsid w:val="00C74C0D"/>
    <w:rsid w:val="00C74C45"/>
    <w:rsid w:val="00C75181"/>
    <w:rsid w:val="00C7544C"/>
    <w:rsid w:val="00C755DE"/>
    <w:rsid w:val="00C7706E"/>
    <w:rsid w:val="00C77168"/>
    <w:rsid w:val="00C77A44"/>
    <w:rsid w:val="00C803E1"/>
    <w:rsid w:val="00C804ED"/>
    <w:rsid w:val="00C80B28"/>
    <w:rsid w:val="00C81BB1"/>
    <w:rsid w:val="00C8203C"/>
    <w:rsid w:val="00C82970"/>
    <w:rsid w:val="00C82FE2"/>
    <w:rsid w:val="00C83065"/>
    <w:rsid w:val="00C832C9"/>
    <w:rsid w:val="00C83431"/>
    <w:rsid w:val="00C8368F"/>
    <w:rsid w:val="00C83D46"/>
    <w:rsid w:val="00C84205"/>
    <w:rsid w:val="00C84535"/>
    <w:rsid w:val="00C8455B"/>
    <w:rsid w:val="00C8467F"/>
    <w:rsid w:val="00C85005"/>
    <w:rsid w:val="00C850F4"/>
    <w:rsid w:val="00C85565"/>
    <w:rsid w:val="00C8582C"/>
    <w:rsid w:val="00C85C20"/>
    <w:rsid w:val="00C8606F"/>
    <w:rsid w:val="00C86407"/>
    <w:rsid w:val="00C86DC0"/>
    <w:rsid w:val="00C87B4E"/>
    <w:rsid w:val="00C90260"/>
    <w:rsid w:val="00C90354"/>
    <w:rsid w:val="00C904D8"/>
    <w:rsid w:val="00C90EC2"/>
    <w:rsid w:val="00C911F2"/>
    <w:rsid w:val="00C91D47"/>
    <w:rsid w:val="00C922B5"/>
    <w:rsid w:val="00C92657"/>
    <w:rsid w:val="00C92A6A"/>
    <w:rsid w:val="00C92CCE"/>
    <w:rsid w:val="00C9354D"/>
    <w:rsid w:val="00C936AE"/>
    <w:rsid w:val="00C939F9"/>
    <w:rsid w:val="00C94640"/>
    <w:rsid w:val="00C9514E"/>
    <w:rsid w:val="00C95DF6"/>
    <w:rsid w:val="00C96419"/>
    <w:rsid w:val="00C96889"/>
    <w:rsid w:val="00C968D8"/>
    <w:rsid w:val="00C96FC8"/>
    <w:rsid w:val="00C9717C"/>
    <w:rsid w:val="00C9731D"/>
    <w:rsid w:val="00C975CC"/>
    <w:rsid w:val="00C97767"/>
    <w:rsid w:val="00C97798"/>
    <w:rsid w:val="00C97C60"/>
    <w:rsid w:val="00CA12D9"/>
    <w:rsid w:val="00CA1D41"/>
    <w:rsid w:val="00CA2520"/>
    <w:rsid w:val="00CA2634"/>
    <w:rsid w:val="00CA2749"/>
    <w:rsid w:val="00CA2B85"/>
    <w:rsid w:val="00CA309E"/>
    <w:rsid w:val="00CA3167"/>
    <w:rsid w:val="00CA331F"/>
    <w:rsid w:val="00CA380E"/>
    <w:rsid w:val="00CA3FA1"/>
    <w:rsid w:val="00CA44D5"/>
    <w:rsid w:val="00CA46EB"/>
    <w:rsid w:val="00CA4BE7"/>
    <w:rsid w:val="00CA5556"/>
    <w:rsid w:val="00CA56E8"/>
    <w:rsid w:val="00CA6A87"/>
    <w:rsid w:val="00CA72D8"/>
    <w:rsid w:val="00CA72DE"/>
    <w:rsid w:val="00CA7816"/>
    <w:rsid w:val="00CA7B89"/>
    <w:rsid w:val="00CA7DCD"/>
    <w:rsid w:val="00CA7E89"/>
    <w:rsid w:val="00CA7EAB"/>
    <w:rsid w:val="00CB0D0A"/>
    <w:rsid w:val="00CB11E7"/>
    <w:rsid w:val="00CB23AB"/>
    <w:rsid w:val="00CB255F"/>
    <w:rsid w:val="00CB2B9D"/>
    <w:rsid w:val="00CB3D2F"/>
    <w:rsid w:val="00CB4544"/>
    <w:rsid w:val="00CB4B7B"/>
    <w:rsid w:val="00CB4C10"/>
    <w:rsid w:val="00CB4FB8"/>
    <w:rsid w:val="00CB5307"/>
    <w:rsid w:val="00CB5479"/>
    <w:rsid w:val="00CB5755"/>
    <w:rsid w:val="00CB5910"/>
    <w:rsid w:val="00CB5E39"/>
    <w:rsid w:val="00CB5EBD"/>
    <w:rsid w:val="00CB5F72"/>
    <w:rsid w:val="00CB6EF5"/>
    <w:rsid w:val="00CB7031"/>
    <w:rsid w:val="00CB70BE"/>
    <w:rsid w:val="00CB7B6D"/>
    <w:rsid w:val="00CC10B4"/>
    <w:rsid w:val="00CC13D6"/>
    <w:rsid w:val="00CC1491"/>
    <w:rsid w:val="00CC1CCE"/>
    <w:rsid w:val="00CC1D3B"/>
    <w:rsid w:val="00CC2C48"/>
    <w:rsid w:val="00CC2E4B"/>
    <w:rsid w:val="00CC3A36"/>
    <w:rsid w:val="00CC4179"/>
    <w:rsid w:val="00CC4E16"/>
    <w:rsid w:val="00CC53F0"/>
    <w:rsid w:val="00CC5778"/>
    <w:rsid w:val="00CC595E"/>
    <w:rsid w:val="00CC5998"/>
    <w:rsid w:val="00CC5D83"/>
    <w:rsid w:val="00CC5D8A"/>
    <w:rsid w:val="00CC5DF6"/>
    <w:rsid w:val="00CC62A0"/>
    <w:rsid w:val="00CC67E3"/>
    <w:rsid w:val="00CC6CDF"/>
    <w:rsid w:val="00CC72D8"/>
    <w:rsid w:val="00CC7B72"/>
    <w:rsid w:val="00CD029C"/>
    <w:rsid w:val="00CD08D2"/>
    <w:rsid w:val="00CD09D1"/>
    <w:rsid w:val="00CD107E"/>
    <w:rsid w:val="00CD151E"/>
    <w:rsid w:val="00CD246B"/>
    <w:rsid w:val="00CD2830"/>
    <w:rsid w:val="00CD310C"/>
    <w:rsid w:val="00CD372B"/>
    <w:rsid w:val="00CD3BFD"/>
    <w:rsid w:val="00CD3D94"/>
    <w:rsid w:val="00CD3DFF"/>
    <w:rsid w:val="00CD3EF0"/>
    <w:rsid w:val="00CD4788"/>
    <w:rsid w:val="00CD4960"/>
    <w:rsid w:val="00CD53B6"/>
    <w:rsid w:val="00CD58FA"/>
    <w:rsid w:val="00CD647D"/>
    <w:rsid w:val="00CD6C2C"/>
    <w:rsid w:val="00CD6FFD"/>
    <w:rsid w:val="00CD7320"/>
    <w:rsid w:val="00CD78E7"/>
    <w:rsid w:val="00CE0449"/>
    <w:rsid w:val="00CE239B"/>
    <w:rsid w:val="00CE2515"/>
    <w:rsid w:val="00CE27B6"/>
    <w:rsid w:val="00CE29BF"/>
    <w:rsid w:val="00CE2F72"/>
    <w:rsid w:val="00CE33A2"/>
    <w:rsid w:val="00CE363F"/>
    <w:rsid w:val="00CE39EE"/>
    <w:rsid w:val="00CE3B00"/>
    <w:rsid w:val="00CE3F54"/>
    <w:rsid w:val="00CE421A"/>
    <w:rsid w:val="00CE43A8"/>
    <w:rsid w:val="00CE55E7"/>
    <w:rsid w:val="00CE5BE4"/>
    <w:rsid w:val="00CE627A"/>
    <w:rsid w:val="00CE771C"/>
    <w:rsid w:val="00CE7B1B"/>
    <w:rsid w:val="00CE7F0A"/>
    <w:rsid w:val="00CE7FA6"/>
    <w:rsid w:val="00CF00E0"/>
    <w:rsid w:val="00CF0A71"/>
    <w:rsid w:val="00CF0B67"/>
    <w:rsid w:val="00CF0C31"/>
    <w:rsid w:val="00CF10A1"/>
    <w:rsid w:val="00CF1967"/>
    <w:rsid w:val="00CF1B67"/>
    <w:rsid w:val="00CF1D19"/>
    <w:rsid w:val="00CF1FC0"/>
    <w:rsid w:val="00CF20E9"/>
    <w:rsid w:val="00CF2B54"/>
    <w:rsid w:val="00CF2D58"/>
    <w:rsid w:val="00CF31DC"/>
    <w:rsid w:val="00CF333F"/>
    <w:rsid w:val="00CF340B"/>
    <w:rsid w:val="00CF3609"/>
    <w:rsid w:val="00CF49E8"/>
    <w:rsid w:val="00CF4C5A"/>
    <w:rsid w:val="00CF4C7A"/>
    <w:rsid w:val="00CF4EAC"/>
    <w:rsid w:val="00CF55B9"/>
    <w:rsid w:val="00CF55D4"/>
    <w:rsid w:val="00CF5EF5"/>
    <w:rsid w:val="00CF616F"/>
    <w:rsid w:val="00CF67E9"/>
    <w:rsid w:val="00CF7261"/>
    <w:rsid w:val="00CF7515"/>
    <w:rsid w:val="00CF758E"/>
    <w:rsid w:val="00D01108"/>
    <w:rsid w:val="00D016A5"/>
    <w:rsid w:val="00D0198B"/>
    <w:rsid w:val="00D01C33"/>
    <w:rsid w:val="00D02323"/>
    <w:rsid w:val="00D02409"/>
    <w:rsid w:val="00D02CF6"/>
    <w:rsid w:val="00D02FCE"/>
    <w:rsid w:val="00D0307B"/>
    <w:rsid w:val="00D0395C"/>
    <w:rsid w:val="00D03EB1"/>
    <w:rsid w:val="00D04369"/>
    <w:rsid w:val="00D05100"/>
    <w:rsid w:val="00D05395"/>
    <w:rsid w:val="00D05718"/>
    <w:rsid w:val="00D06943"/>
    <w:rsid w:val="00D06CD1"/>
    <w:rsid w:val="00D06F97"/>
    <w:rsid w:val="00D07685"/>
    <w:rsid w:val="00D077FF"/>
    <w:rsid w:val="00D07FE5"/>
    <w:rsid w:val="00D100F2"/>
    <w:rsid w:val="00D10251"/>
    <w:rsid w:val="00D10512"/>
    <w:rsid w:val="00D1074B"/>
    <w:rsid w:val="00D10FD1"/>
    <w:rsid w:val="00D11588"/>
    <w:rsid w:val="00D11672"/>
    <w:rsid w:val="00D1205C"/>
    <w:rsid w:val="00D12B79"/>
    <w:rsid w:val="00D12FFF"/>
    <w:rsid w:val="00D135C6"/>
    <w:rsid w:val="00D1481F"/>
    <w:rsid w:val="00D1484E"/>
    <w:rsid w:val="00D14DD9"/>
    <w:rsid w:val="00D14E9A"/>
    <w:rsid w:val="00D14F84"/>
    <w:rsid w:val="00D15E7D"/>
    <w:rsid w:val="00D1621C"/>
    <w:rsid w:val="00D169C7"/>
    <w:rsid w:val="00D16CDA"/>
    <w:rsid w:val="00D1796F"/>
    <w:rsid w:val="00D17B84"/>
    <w:rsid w:val="00D20D0C"/>
    <w:rsid w:val="00D20E96"/>
    <w:rsid w:val="00D216DE"/>
    <w:rsid w:val="00D21D02"/>
    <w:rsid w:val="00D21E05"/>
    <w:rsid w:val="00D21F55"/>
    <w:rsid w:val="00D22A0D"/>
    <w:rsid w:val="00D23166"/>
    <w:rsid w:val="00D233C1"/>
    <w:rsid w:val="00D234EF"/>
    <w:rsid w:val="00D2388C"/>
    <w:rsid w:val="00D23B37"/>
    <w:rsid w:val="00D24077"/>
    <w:rsid w:val="00D2461E"/>
    <w:rsid w:val="00D249C6"/>
    <w:rsid w:val="00D25C55"/>
    <w:rsid w:val="00D25D54"/>
    <w:rsid w:val="00D25DEE"/>
    <w:rsid w:val="00D2606A"/>
    <w:rsid w:val="00D262D1"/>
    <w:rsid w:val="00D2632E"/>
    <w:rsid w:val="00D2664C"/>
    <w:rsid w:val="00D27CE6"/>
    <w:rsid w:val="00D3117B"/>
    <w:rsid w:val="00D3160A"/>
    <w:rsid w:val="00D317B0"/>
    <w:rsid w:val="00D31D38"/>
    <w:rsid w:val="00D31F79"/>
    <w:rsid w:val="00D32D63"/>
    <w:rsid w:val="00D33C64"/>
    <w:rsid w:val="00D33CF9"/>
    <w:rsid w:val="00D34808"/>
    <w:rsid w:val="00D35203"/>
    <w:rsid w:val="00D35216"/>
    <w:rsid w:val="00D36659"/>
    <w:rsid w:val="00D368E9"/>
    <w:rsid w:val="00D3752C"/>
    <w:rsid w:val="00D37AE5"/>
    <w:rsid w:val="00D37DF7"/>
    <w:rsid w:val="00D37E51"/>
    <w:rsid w:val="00D40851"/>
    <w:rsid w:val="00D40CF8"/>
    <w:rsid w:val="00D410B8"/>
    <w:rsid w:val="00D428AD"/>
    <w:rsid w:val="00D42988"/>
    <w:rsid w:val="00D43AD7"/>
    <w:rsid w:val="00D43F39"/>
    <w:rsid w:val="00D4427D"/>
    <w:rsid w:val="00D44469"/>
    <w:rsid w:val="00D44CF6"/>
    <w:rsid w:val="00D45D8C"/>
    <w:rsid w:val="00D4635E"/>
    <w:rsid w:val="00D467FF"/>
    <w:rsid w:val="00D46846"/>
    <w:rsid w:val="00D46937"/>
    <w:rsid w:val="00D4766D"/>
    <w:rsid w:val="00D5036E"/>
    <w:rsid w:val="00D50C53"/>
    <w:rsid w:val="00D510DB"/>
    <w:rsid w:val="00D514FB"/>
    <w:rsid w:val="00D51D4A"/>
    <w:rsid w:val="00D51E40"/>
    <w:rsid w:val="00D520E6"/>
    <w:rsid w:val="00D522FF"/>
    <w:rsid w:val="00D524DC"/>
    <w:rsid w:val="00D52872"/>
    <w:rsid w:val="00D52932"/>
    <w:rsid w:val="00D52A80"/>
    <w:rsid w:val="00D52C60"/>
    <w:rsid w:val="00D52D45"/>
    <w:rsid w:val="00D52E58"/>
    <w:rsid w:val="00D53628"/>
    <w:rsid w:val="00D53994"/>
    <w:rsid w:val="00D55740"/>
    <w:rsid w:val="00D55DB2"/>
    <w:rsid w:val="00D575DD"/>
    <w:rsid w:val="00D576A0"/>
    <w:rsid w:val="00D604EC"/>
    <w:rsid w:val="00D60F16"/>
    <w:rsid w:val="00D612C0"/>
    <w:rsid w:val="00D6167F"/>
    <w:rsid w:val="00D61779"/>
    <w:rsid w:val="00D61A16"/>
    <w:rsid w:val="00D61E65"/>
    <w:rsid w:val="00D62AAF"/>
    <w:rsid w:val="00D63396"/>
    <w:rsid w:val="00D63CF0"/>
    <w:rsid w:val="00D64487"/>
    <w:rsid w:val="00D647E0"/>
    <w:rsid w:val="00D64894"/>
    <w:rsid w:val="00D648EE"/>
    <w:rsid w:val="00D6497A"/>
    <w:rsid w:val="00D64FD5"/>
    <w:rsid w:val="00D65300"/>
    <w:rsid w:val="00D65F97"/>
    <w:rsid w:val="00D6679C"/>
    <w:rsid w:val="00D66A04"/>
    <w:rsid w:val="00D66FB6"/>
    <w:rsid w:val="00D671F7"/>
    <w:rsid w:val="00D6767A"/>
    <w:rsid w:val="00D67FE4"/>
    <w:rsid w:val="00D7025B"/>
    <w:rsid w:val="00D710E2"/>
    <w:rsid w:val="00D71E53"/>
    <w:rsid w:val="00D72300"/>
    <w:rsid w:val="00D72738"/>
    <w:rsid w:val="00D727B6"/>
    <w:rsid w:val="00D72B20"/>
    <w:rsid w:val="00D72C03"/>
    <w:rsid w:val="00D72EBD"/>
    <w:rsid w:val="00D73373"/>
    <w:rsid w:val="00D733C8"/>
    <w:rsid w:val="00D7369B"/>
    <w:rsid w:val="00D73BC1"/>
    <w:rsid w:val="00D74A36"/>
    <w:rsid w:val="00D74B79"/>
    <w:rsid w:val="00D74FE5"/>
    <w:rsid w:val="00D75B6D"/>
    <w:rsid w:val="00D75F69"/>
    <w:rsid w:val="00D763F7"/>
    <w:rsid w:val="00D7776A"/>
    <w:rsid w:val="00D77CBA"/>
    <w:rsid w:val="00D80020"/>
    <w:rsid w:val="00D807DA"/>
    <w:rsid w:val="00D80A56"/>
    <w:rsid w:val="00D80B1F"/>
    <w:rsid w:val="00D80EAD"/>
    <w:rsid w:val="00D81017"/>
    <w:rsid w:val="00D813DF"/>
    <w:rsid w:val="00D815F1"/>
    <w:rsid w:val="00D82357"/>
    <w:rsid w:val="00D82909"/>
    <w:rsid w:val="00D829FB"/>
    <w:rsid w:val="00D82B90"/>
    <w:rsid w:val="00D831D0"/>
    <w:rsid w:val="00D83722"/>
    <w:rsid w:val="00D83806"/>
    <w:rsid w:val="00D844BF"/>
    <w:rsid w:val="00D84772"/>
    <w:rsid w:val="00D8494E"/>
    <w:rsid w:val="00D85140"/>
    <w:rsid w:val="00D852AA"/>
    <w:rsid w:val="00D858BA"/>
    <w:rsid w:val="00D858CC"/>
    <w:rsid w:val="00D85C15"/>
    <w:rsid w:val="00D86391"/>
    <w:rsid w:val="00D8690A"/>
    <w:rsid w:val="00D873B2"/>
    <w:rsid w:val="00D87DF3"/>
    <w:rsid w:val="00D905EB"/>
    <w:rsid w:val="00D90D42"/>
    <w:rsid w:val="00D90E3D"/>
    <w:rsid w:val="00D91229"/>
    <w:rsid w:val="00D91603"/>
    <w:rsid w:val="00D91867"/>
    <w:rsid w:val="00D91973"/>
    <w:rsid w:val="00D92755"/>
    <w:rsid w:val="00D92E5A"/>
    <w:rsid w:val="00D934FB"/>
    <w:rsid w:val="00D93AF0"/>
    <w:rsid w:val="00D93F0A"/>
    <w:rsid w:val="00D94329"/>
    <w:rsid w:val="00D94510"/>
    <w:rsid w:val="00D94C8A"/>
    <w:rsid w:val="00D958D2"/>
    <w:rsid w:val="00D9595B"/>
    <w:rsid w:val="00D95C10"/>
    <w:rsid w:val="00D95DA3"/>
    <w:rsid w:val="00D96D79"/>
    <w:rsid w:val="00D97249"/>
    <w:rsid w:val="00D97360"/>
    <w:rsid w:val="00D975E7"/>
    <w:rsid w:val="00DA0044"/>
    <w:rsid w:val="00DA05D9"/>
    <w:rsid w:val="00DA0842"/>
    <w:rsid w:val="00DA1442"/>
    <w:rsid w:val="00DA1742"/>
    <w:rsid w:val="00DA18E9"/>
    <w:rsid w:val="00DA1B7B"/>
    <w:rsid w:val="00DA1E7E"/>
    <w:rsid w:val="00DA1FB8"/>
    <w:rsid w:val="00DA21E6"/>
    <w:rsid w:val="00DA24F0"/>
    <w:rsid w:val="00DA2DEA"/>
    <w:rsid w:val="00DA3460"/>
    <w:rsid w:val="00DA3632"/>
    <w:rsid w:val="00DA3A56"/>
    <w:rsid w:val="00DA3D59"/>
    <w:rsid w:val="00DA4321"/>
    <w:rsid w:val="00DA4E72"/>
    <w:rsid w:val="00DA51D7"/>
    <w:rsid w:val="00DA535B"/>
    <w:rsid w:val="00DA5392"/>
    <w:rsid w:val="00DA5595"/>
    <w:rsid w:val="00DA6119"/>
    <w:rsid w:val="00DA61F0"/>
    <w:rsid w:val="00DA649E"/>
    <w:rsid w:val="00DA6570"/>
    <w:rsid w:val="00DA66C1"/>
    <w:rsid w:val="00DA7051"/>
    <w:rsid w:val="00DB0430"/>
    <w:rsid w:val="00DB0B2E"/>
    <w:rsid w:val="00DB165E"/>
    <w:rsid w:val="00DB1873"/>
    <w:rsid w:val="00DB1B63"/>
    <w:rsid w:val="00DB1F04"/>
    <w:rsid w:val="00DB2089"/>
    <w:rsid w:val="00DB2D03"/>
    <w:rsid w:val="00DB334B"/>
    <w:rsid w:val="00DB3F17"/>
    <w:rsid w:val="00DB4605"/>
    <w:rsid w:val="00DB5694"/>
    <w:rsid w:val="00DB5F59"/>
    <w:rsid w:val="00DB697A"/>
    <w:rsid w:val="00DB71AC"/>
    <w:rsid w:val="00DB79DF"/>
    <w:rsid w:val="00DB7EA9"/>
    <w:rsid w:val="00DB7FF3"/>
    <w:rsid w:val="00DC0031"/>
    <w:rsid w:val="00DC0D1C"/>
    <w:rsid w:val="00DC1098"/>
    <w:rsid w:val="00DC1716"/>
    <w:rsid w:val="00DC175F"/>
    <w:rsid w:val="00DC20C6"/>
    <w:rsid w:val="00DC2135"/>
    <w:rsid w:val="00DC2337"/>
    <w:rsid w:val="00DC291C"/>
    <w:rsid w:val="00DC343C"/>
    <w:rsid w:val="00DC4051"/>
    <w:rsid w:val="00DC4A1E"/>
    <w:rsid w:val="00DC4F8E"/>
    <w:rsid w:val="00DC5161"/>
    <w:rsid w:val="00DC5543"/>
    <w:rsid w:val="00DC5D2C"/>
    <w:rsid w:val="00DC64F5"/>
    <w:rsid w:val="00DC6734"/>
    <w:rsid w:val="00DC69AA"/>
    <w:rsid w:val="00DC74E7"/>
    <w:rsid w:val="00DC7E15"/>
    <w:rsid w:val="00DD0348"/>
    <w:rsid w:val="00DD0532"/>
    <w:rsid w:val="00DD15DB"/>
    <w:rsid w:val="00DD207C"/>
    <w:rsid w:val="00DD296B"/>
    <w:rsid w:val="00DD3857"/>
    <w:rsid w:val="00DD3975"/>
    <w:rsid w:val="00DD4BA3"/>
    <w:rsid w:val="00DD51BE"/>
    <w:rsid w:val="00DD5272"/>
    <w:rsid w:val="00DD5A82"/>
    <w:rsid w:val="00DD5BD0"/>
    <w:rsid w:val="00DD5D91"/>
    <w:rsid w:val="00DD6046"/>
    <w:rsid w:val="00DD6B11"/>
    <w:rsid w:val="00DD6D10"/>
    <w:rsid w:val="00DD751B"/>
    <w:rsid w:val="00DD770B"/>
    <w:rsid w:val="00DE00A7"/>
    <w:rsid w:val="00DE03D3"/>
    <w:rsid w:val="00DE04AC"/>
    <w:rsid w:val="00DE0946"/>
    <w:rsid w:val="00DE0BCC"/>
    <w:rsid w:val="00DE0F68"/>
    <w:rsid w:val="00DE1554"/>
    <w:rsid w:val="00DE183E"/>
    <w:rsid w:val="00DE1998"/>
    <w:rsid w:val="00DE25A4"/>
    <w:rsid w:val="00DE25C1"/>
    <w:rsid w:val="00DE2629"/>
    <w:rsid w:val="00DE2AEE"/>
    <w:rsid w:val="00DE2EA2"/>
    <w:rsid w:val="00DE2F76"/>
    <w:rsid w:val="00DE30B4"/>
    <w:rsid w:val="00DE317E"/>
    <w:rsid w:val="00DE356C"/>
    <w:rsid w:val="00DE3C60"/>
    <w:rsid w:val="00DE450F"/>
    <w:rsid w:val="00DE4697"/>
    <w:rsid w:val="00DE5936"/>
    <w:rsid w:val="00DE5D71"/>
    <w:rsid w:val="00DE6A4C"/>
    <w:rsid w:val="00DE71E4"/>
    <w:rsid w:val="00DE7827"/>
    <w:rsid w:val="00DE7CAC"/>
    <w:rsid w:val="00DE7DD6"/>
    <w:rsid w:val="00DF004E"/>
    <w:rsid w:val="00DF0B99"/>
    <w:rsid w:val="00DF1003"/>
    <w:rsid w:val="00DF131C"/>
    <w:rsid w:val="00DF153F"/>
    <w:rsid w:val="00DF216A"/>
    <w:rsid w:val="00DF217A"/>
    <w:rsid w:val="00DF2336"/>
    <w:rsid w:val="00DF2684"/>
    <w:rsid w:val="00DF28B0"/>
    <w:rsid w:val="00DF28C1"/>
    <w:rsid w:val="00DF3A07"/>
    <w:rsid w:val="00DF44BC"/>
    <w:rsid w:val="00DF498A"/>
    <w:rsid w:val="00DF4E88"/>
    <w:rsid w:val="00DF504B"/>
    <w:rsid w:val="00DF55E5"/>
    <w:rsid w:val="00DF6075"/>
    <w:rsid w:val="00DF65B8"/>
    <w:rsid w:val="00DF6BFF"/>
    <w:rsid w:val="00DF6D54"/>
    <w:rsid w:val="00DF6F6C"/>
    <w:rsid w:val="00DF70D8"/>
    <w:rsid w:val="00DF7D02"/>
    <w:rsid w:val="00DF7E27"/>
    <w:rsid w:val="00DF7EAF"/>
    <w:rsid w:val="00E000A3"/>
    <w:rsid w:val="00E00440"/>
    <w:rsid w:val="00E00CC7"/>
    <w:rsid w:val="00E01056"/>
    <w:rsid w:val="00E0138E"/>
    <w:rsid w:val="00E014DE"/>
    <w:rsid w:val="00E01713"/>
    <w:rsid w:val="00E01CE7"/>
    <w:rsid w:val="00E03998"/>
    <w:rsid w:val="00E041BB"/>
    <w:rsid w:val="00E04708"/>
    <w:rsid w:val="00E04AB6"/>
    <w:rsid w:val="00E05041"/>
    <w:rsid w:val="00E053FF"/>
    <w:rsid w:val="00E05712"/>
    <w:rsid w:val="00E06662"/>
    <w:rsid w:val="00E0740F"/>
    <w:rsid w:val="00E1076F"/>
    <w:rsid w:val="00E11306"/>
    <w:rsid w:val="00E11BF2"/>
    <w:rsid w:val="00E1221A"/>
    <w:rsid w:val="00E1224F"/>
    <w:rsid w:val="00E1294C"/>
    <w:rsid w:val="00E1297A"/>
    <w:rsid w:val="00E130F4"/>
    <w:rsid w:val="00E13217"/>
    <w:rsid w:val="00E13747"/>
    <w:rsid w:val="00E1401D"/>
    <w:rsid w:val="00E1493D"/>
    <w:rsid w:val="00E14B4A"/>
    <w:rsid w:val="00E152A9"/>
    <w:rsid w:val="00E1537B"/>
    <w:rsid w:val="00E15712"/>
    <w:rsid w:val="00E15F00"/>
    <w:rsid w:val="00E16F7B"/>
    <w:rsid w:val="00E17343"/>
    <w:rsid w:val="00E1773F"/>
    <w:rsid w:val="00E17927"/>
    <w:rsid w:val="00E17D17"/>
    <w:rsid w:val="00E20874"/>
    <w:rsid w:val="00E2088E"/>
    <w:rsid w:val="00E20A43"/>
    <w:rsid w:val="00E20B59"/>
    <w:rsid w:val="00E20DA4"/>
    <w:rsid w:val="00E21100"/>
    <w:rsid w:val="00E212A3"/>
    <w:rsid w:val="00E22ABF"/>
    <w:rsid w:val="00E22F29"/>
    <w:rsid w:val="00E23093"/>
    <w:rsid w:val="00E234E3"/>
    <w:rsid w:val="00E2352C"/>
    <w:rsid w:val="00E23ADF"/>
    <w:rsid w:val="00E23FA6"/>
    <w:rsid w:val="00E2431F"/>
    <w:rsid w:val="00E24DCF"/>
    <w:rsid w:val="00E24E49"/>
    <w:rsid w:val="00E25C64"/>
    <w:rsid w:val="00E26211"/>
    <w:rsid w:val="00E265C1"/>
    <w:rsid w:val="00E26776"/>
    <w:rsid w:val="00E26F09"/>
    <w:rsid w:val="00E276F3"/>
    <w:rsid w:val="00E27CC0"/>
    <w:rsid w:val="00E30517"/>
    <w:rsid w:val="00E30FC5"/>
    <w:rsid w:val="00E3111D"/>
    <w:rsid w:val="00E314BE"/>
    <w:rsid w:val="00E31952"/>
    <w:rsid w:val="00E31BC7"/>
    <w:rsid w:val="00E31C0D"/>
    <w:rsid w:val="00E3213E"/>
    <w:rsid w:val="00E32939"/>
    <w:rsid w:val="00E3389C"/>
    <w:rsid w:val="00E347CB"/>
    <w:rsid w:val="00E34885"/>
    <w:rsid w:val="00E34C05"/>
    <w:rsid w:val="00E352B3"/>
    <w:rsid w:val="00E35413"/>
    <w:rsid w:val="00E361DC"/>
    <w:rsid w:val="00E36678"/>
    <w:rsid w:val="00E3680B"/>
    <w:rsid w:val="00E369EF"/>
    <w:rsid w:val="00E37143"/>
    <w:rsid w:val="00E374B7"/>
    <w:rsid w:val="00E379D8"/>
    <w:rsid w:val="00E403A3"/>
    <w:rsid w:val="00E40465"/>
    <w:rsid w:val="00E407AD"/>
    <w:rsid w:val="00E4091A"/>
    <w:rsid w:val="00E40BA4"/>
    <w:rsid w:val="00E41914"/>
    <w:rsid w:val="00E42D48"/>
    <w:rsid w:val="00E42D94"/>
    <w:rsid w:val="00E42E57"/>
    <w:rsid w:val="00E435C6"/>
    <w:rsid w:val="00E436CF"/>
    <w:rsid w:val="00E43A91"/>
    <w:rsid w:val="00E43AA6"/>
    <w:rsid w:val="00E4416C"/>
    <w:rsid w:val="00E44758"/>
    <w:rsid w:val="00E451CC"/>
    <w:rsid w:val="00E453F7"/>
    <w:rsid w:val="00E45686"/>
    <w:rsid w:val="00E45839"/>
    <w:rsid w:val="00E45ACB"/>
    <w:rsid w:val="00E4637F"/>
    <w:rsid w:val="00E46543"/>
    <w:rsid w:val="00E47480"/>
    <w:rsid w:val="00E4753F"/>
    <w:rsid w:val="00E475CD"/>
    <w:rsid w:val="00E47C6C"/>
    <w:rsid w:val="00E47EDC"/>
    <w:rsid w:val="00E506BF"/>
    <w:rsid w:val="00E51074"/>
    <w:rsid w:val="00E515B9"/>
    <w:rsid w:val="00E51657"/>
    <w:rsid w:val="00E520F1"/>
    <w:rsid w:val="00E52754"/>
    <w:rsid w:val="00E52E4A"/>
    <w:rsid w:val="00E53798"/>
    <w:rsid w:val="00E54053"/>
    <w:rsid w:val="00E5493C"/>
    <w:rsid w:val="00E55277"/>
    <w:rsid w:val="00E5591A"/>
    <w:rsid w:val="00E55929"/>
    <w:rsid w:val="00E559A0"/>
    <w:rsid w:val="00E55BF7"/>
    <w:rsid w:val="00E55FAF"/>
    <w:rsid w:val="00E56412"/>
    <w:rsid w:val="00E56AB3"/>
    <w:rsid w:val="00E57100"/>
    <w:rsid w:val="00E5711C"/>
    <w:rsid w:val="00E575D3"/>
    <w:rsid w:val="00E5793E"/>
    <w:rsid w:val="00E57FB8"/>
    <w:rsid w:val="00E605A1"/>
    <w:rsid w:val="00E607C3"/>
    <w:rsid w:val="00E60B17"/>
    <w:rsid w:val="00E614B4"/>
    <w:rsid w:val="00E6196C"/>
    <w:rsid w:val="00E622F3"/>
    <w:rsid w:val="00E62457"/>
    <w:rsid w:val="00E625D6"/>
    <w:rsid w:val="00E6283F"/>
    <w:rsid w:val="00E6285B"/>
    <w:rsid w:val="00E63037"/>
    <w:rsid w:val="00E63262"/>
    <w:rsid w:val="00E6482A"/>
    <w:rsid w:val="00E649FB"/>
    <w:rsid w:val="00E64A0E"/>
    <w:rsid w:val="00E67367"/>
    <w:rsid w:val="00E6792B"/>
    <w:rsid w:val="00E67D7A"/>
    <w:rsid w:val="00E700C9"/>
    <w:rsid w:val="00E7118D"/>
    <w:rsid w:val="00E7119E"/>
    <w:rsid w:val="00E71F8F"/>
    <w:rsid w:val="00E7205D"/>
    <w:rsid w:val="00E73E51"/>
    <w:rsid w:val="00E73FF3"/>
    <w:rsid w:val="00E740EF"/>
    <w:rsid w:val="00E747D2"/>
    <w:rsid w:val="00E74A57"/>
    <w:rsid w:val="00E74AE2"/>
    <w:rsid w:val="00E75C4A"/>
    <w:rsid w:val="00E765FD"/>
    <w:rsid w:val="00E768F8"/>
    <w:rsid w:val="00E76D88"/>
    <w:rsid w:val="00E77B13"/>
    <w:rsid w:val="00E81275"/>
    <w:rsid w:val="00E819D8"/>
    <w:rsid w:val="00E81B1F"/>
    <w:rsid w:val="00E81DA6"/>
    <w:rsid w:val="00E81EDE"/>
    <w:rsid w:val="00E82445"/>
    <w:rsid w:val="00E82609"/>
    <w:rsid w:val="00E82C6C"/>
    <w:rsid w:val="00E8342C"/>
    <w:rsid w:val="00E83852"/>
    <w:rsid w:val="00E83860"/>
    <w:rsid w:val="00E849A2"/>
    <w:rsid w:val="00E84A1E"/>
    <w:rsid w:val="00E84AE8"/>
    <w:rsid w:val="00E84AF9"/>
    <w:rsid w:val="00E84D14"/>
    <w:rsid w:val="00E84D1C"/>
    <w:rsid w:val="00E85549"/>
    <w:rsid w:val="00E85661"/>
    <w:rsid w:val="00E8582E"/>
    <w:rsid w:val="00E85898"/>
    <w:rsid w:val="00E859E1"/>
    <w:rsid w:val="00E85B45"/>
    <w:rsid w:val="00E85E10"/>
    <w:rsid w:val="00E86117"/>
    <w:rsid w:val="00E866AC"/>
    <w:rsid w:val="00E866FA"/>
    <w:rsid w:val="00E867DE"/>
    <w:rsid w:val="00E907A9"/>
    <w:rsid w:val="00E9082C"/>
    <w:rsid w:val="00E90919"/>
    <w:rsid w:val="00E90A2D"/>
    <w:rsid w:val="00E9180B"/>
    <w:rsid w:val="00E91C5F"/>
    <w:rsid w:val="00E9232E"/>
    <w:rsid w:val="00E9246E"/>
    <w:rsid w:val="00E92A1D"/>
    <w:rsid w:val="00E92BBA"/>
    <w:rsid w:val="00E9323B"/>
    <w:rsid w:val="00E93608"/>
    <w:rsid w:val="00E9360F"/>
    <w:rsid w:val="00E93BDE"/>
    <w:rsid w:val="00E954F7"/>
    <w:rsid w:val="00E95904"/>
    <w:rsid w:val="00E95C1B"/>
    <w:rsid w:val="00E95CA4"/>
    <w:rsid w:val="00E95D52"/>
    <w:rsid w:val="00E96E2F"/>
    <w:rsid w:val="00E97690"/>
    <w:rsid w:val="00E976DE"/>
    <w:rsid w:val="00E97837"/>
    <w:rsid w:val="00EA04AB"/>
    <w:rsid w:val="00EA07A0"/>
    <w:rsid w:val="00EA0802"/>
    <w:rsid w:val="00EA08E8"/>
    <w:rsid w:val="00EA091B"/>
    <w:rsid w:val="00EA0A99"/>
    <w:rsid w:val="00EA0ACA"/>
    <w:rsid w:val="00EA0B94"/>
    <w:rsid w:val="00EA0FAD"/>
    <w:rsid w:val="00EA1037"/>
    <w:rsid w:val="00EA106E"/>
    <w:rsid w:val="00EA1124"/>
    <w:rsid w:val="00EA11B5"/>
    <w:rsid w:val="00EA1213"/>
    <w:rsid w:val="00EA1811"/>
    <w:rsid w:val="00EA21A6"/>
    <w:rsid w:val="00EA29B1"/>
    <w:rsid w:val="00EA2C4E"/>
    <w:rsid w:val="00EA2CD7"/>
    <w:rsid w:val="00EA3111"/>
    <w:rsid w:val="00EA32F7"/>
    <w:rsid w:val="00EA342F"/>
    <w:rsid w:val="00EA34A7"/>
    <w:rsid w:val="00EA35AD"/>
    <w:rsid w:val="00EA3E3E"/>
    <w:rsid w:val="00EA4083"/>
    <w:rsid w:val="00EA47A6"/>
    <w:rsid w:val="00EA4A1B"/>
    <w:rsid w:val="00EA4C6C"/>
    <w:rsid w:val="00EA4E24"/>
    <w:rsid w:val="00EA503B"/>
    <w:rsid w:val="00EA567C"/>
    <w:rsid w:val="00EA5AE5"/>
    <w:rsid w:val="00EA5B0E"/>
    <w:rsid w:val="00EA67FC"/>
    <w:rsid w:val="00EA6B60"/>
    <w:rsid w:val="00EA6CAD"/>
    <w:rsid w:val="00EA6E35"/>
    <w:rsid w:val="00EA7B39"/>
    <w:rsid w:val="00EA7F58"/>
    <w:rsid w:val="00EB0101"/>
    <w:rsid w:val="00EB081B"/>
    <w:rsid w:val="00EB0A63"/>
    <w:rsid w:val="00EB177B"/>
    <w:rsid w:val="00EB184F"/>
    <w:rsid w:val="00EB1939"/>
    <w:rsid w:val="00EB22B6"/>
    <w:rsid w:val="00EB2706"/>
    <w:rsid w:val="00EB2BA9"/>
    <w:rsid w:val="00EB2C05"/>
    <w:rsid w:val="00EB2D8D"/>
    <w:rsid w:val="00EB2F76"/>
    <w:rsid w:val="00EB39D4"/>
    <w:rsid w:val="00EB4318"/>
    <w:rsid w:val="00EB434D"/>
    <w:rsid w:val="00EB4D00"/>
    <w:rsid w:val="00EB52C1"/>
    <w:rsid w:val="00EB6624"/>
    <w:rsid w:val="00EB6C3E"/>
    <w:rsid w:val="00EB6C4E"/>
    <w:rsid w:val="00EB6CE5"/>
    <w:rsid w:val="00EB76B3"/>
    <w:rsid w:val="00EC03CC"/>
    <w:rsid w:val="00EC0EC2"/>
    <w:rsid w:val="00EC0F8B"/>
    <w:rsid w:val="00EC136D"/>
    <w:rsid w:val="00EC15ED"/>
    <w:rsid w:val="00EC1DD3"/>
    <w:rsid w:val="00EC1F14"/>
    <w:rsid w:val="00EC2511"/>
    <w:rsid w:val="00EC2630"/>
    <w:rsid w:val="00EC2945"/>
    <w:rsid w:val="00EC2DA5"/>
    <w:rsid w:val="00EC2E56"/>
    <w:rsid w:val="00EC3158"/>
    <w:rsid w:val="00EC3468"/>
    <w:rsid w:val="00EC3CDD"/>
    <w:rsid w:val="00EC4C08"/>
    <w:rsid w:val="00EC5481"/>
    <w:rsid w:val="00EC5A38"/>
    <w:rsid w:val="00EC5C87"/>
    <w:rsid w:val="00EC5EB5"/>
    <w:rsid w:val="00EC6719"/>
    <w:rsid w:val="00EC6D0A"/>
    <w:rsid w:val="00ED01A6"/>
    <w:rsid w:val="00ED07CE"/>
    <w:rsid w:val="00ED11A0"/>
    <w:rsid w:val="00ED1207"/>
    <w:rsid w:val="00ED1876"/>
    <w:rsid w:val="00ED1954"/>
    <w:rsid w:val="00ED2104"/>
    <w:rsid w:val="00ED2336"/>
    <w:rsid w:val="00ED2398"/>
    <w:rsid w:val="00ED2BC4"/>
    <w:rsid w:val="00ED3005"/>
    <w:rsid w:val="00ED3062"/>
    <w:rsid w:val="00ED30B3"/>
    <w:rsid w:val="00ED3289"/>
    <w:rsid w:val="00ED3309"/>
    <w:rsid w:val="00ED34B9"/>
    <w:rsid w:val="00ED35A3"/>
    <w:rsid w:val="00ED406C"/>
    <w:rsid w:val="00ED4078"/>
    <w:rsid w:val="00ED4844"/>
    <w:rsid w:val="00ED50A4"/>
    <w:rsid w:val="00ED5443"/>
    <w:rsid w:val="00ED54D1"/>
    <w:rsid w:val="00ED557F"/>
    <w:rsid w:val="00ED5B5A"/>
    <w:rsid w:val="00ED642B"/>
    <w:rsid w:val="00ED6B79"/>
    <w:rsid w:val="00ED6BEE"/>
    <w:rsid w:val="00ED6E49"/>
    <w:rsid w:val="00ED72F7"/>
    <w:rsid w:val="00ED7A94"/>
    <w:rsid w:val="00ED7D3E"/>
    <w:rsid w:val="00EE005A"/>
    <w:rsid w:val="00EE01C3"/>
    <w:rsid w:val="00EE04A1"/>
    <w:rsid w:val="00EE0F82"/>
    <w:rsid w:val="00EE112F"/>
    <w:rsid w:val="00EE1ECD"/>
    <w:rsid w:val="00EE27F4"/>
    <w:rsid w:val="00EE2C6C"/>
    <w:rsid w:val="00EE390E"/>
    <w:rsid w:val="00EE3BB0"/>
    <w:rsid w:val="00EE40D5"/>
    <w:rsid w:val="00EE418A"/>
    <w:rsid w:val="00EE4335"/>
    <w:rsid w:val="00EE4617"/>
    <w:rsid w:val="00EE46DE"/>
    <w:rsid w:val="00EE4734"/>
    <w:rsid w:val="00EE53B5"/>
    <w:rsid w:val="00EE53F0"/>
    <w:rsid w:val="00EE5BD9"/>
    <w:rsid w:val="00EE5E8A"/>
    <w:rsid w:val="00EE7554"/>
    <w:rsid w:val="00EE772F"/>
    <w:rsid w:val="00EE7810"/>
    <w:rsid w:val="00EE78F6"/>
    <w:rsid w:val="00EE7A84"/>
    <w:rsid w:val="00EF0181"/>
    <w:rsid w:val="00EF039E"/>
    <w:rsid w:val="00EF0544"/>
    <w:rsid w:val="00EF05C1"/>
    <w:rsid w:val="00EF0BE6"/>
    <w:rsid w:val="00EF0D31"/>
    <w:rsid w:val="00EF0E8B"/>
    <w:rsid w:val="00EF12FC"/>
    <w:rsid w:val="00EF1576"/>
    <w:rsid w:val="00EF1B24"/>
    <w:rsid w:val="00EF24D1"/>
    <w:rsid w:val="00EF31AD"/>
    <w:rsid w:val="00EF349B"/>
    <w:rsid w:val="00EF3744"/>
    <w:rsid w:val="00EF3831"/>
    <w:rsid w:val="00EF3F2D"/>
    <w:rsid w:val="00EF41B0"/>
    <w:rsid w:val="00EF4540"/>
    <w:rsid w:val="00EF5936"/>
    <w:rsid w:val="00EF6449"/>
    <w:rsid w:val="00EF652A"/>
    <w:rsid w:val="00EF6C89"/>
    <w:rsid w:val="00EF7572"/>
    <w:rsid w:val="00EF7AE3"/>
    <w:rsid w:val="00F003E9"/>
    <w:rsid w:val="00F008A6"/>
    <w:rsid w:val="00F00FD3"/>
    <w:rsid w:val="00F027AA"/>
    <w:rsid w:val="00F0282C"/>
    <w:rsid w:val="00F0286A"/>
    <w:rsid w:val="00F028E7"/>
    <w:rsid w:val="00F02C75"/>
    <w:rsid w:val="00F02CCA"/>
    <w:rsid w:val="00F02DC1"/>
    <w:rsid w:val="00F0318D"/>
    <w:rsid w:val="00F0357A"/>
    <w:rsid w:val="00F03609"/>
    <w:rsid w:val="00F0430A"/>
    <w:rsid w:val="00F0472C"/>
    <w:rsid w:val="00F04A8D"/>
    <w:rsid w:val="00F04D16"/>
    <w:rsid w:val="00F04D2A"/>
    <w:rsid w:val="00F04EA8"/>
    <w:rsid w:val="00F05731"/>
    <w:rsid w:val="00F05EA1"/>
    <w:rsid w:val="00F05F59"/>
    <w:rsid w:val="00F066C2"/>
    <w:rsid w:val="00F0721E"/>
    <w:rsid w:val="00F077EC"/>
    <w:rsid w:val="00F1069F"/>
    <w:rsid w:val="00F10952"/>
    <w:rsid w:val="00F10C9C"/>
    <w:rsid w:val="00F1114C"/>
    <w:rsid w:val="00F11183"/>
    <w:rsid w:val="00F117AC"/>
    <w:rsid w:val="00F119C9"/>
    <w:rsid w:val="00F11D49"/>
    <w:rsid w:val="00F11E89"/>
    <w:rsid w:val="00F12829"/>
    <w:rsid w:val="00F13500"/>
    <w:rsid w:val="00F1387E"/>
    <w:rsid w:val="00F13F42"/>
    <w:rsid w:val="00F14512"/>
    <w:rsid w:val="00F14B83"/>
    <w:rsid w:val="00F1641A"/>
    <w:rsid w:val="00F16718"/>
    <w:rsid w:val="00F16B23"/>
    <w:rsid w:val="00F16BDC"/>
    <w:rsid w:val="00F1721C"/>
    <w:rsid w:val="00F1791C"/>
    <w:rsid w:val="00F17BAC"/>
    <w:rsid w:val="00F17EA9"/>
    <w:rsid w:val="00F203BA"/>
    <w:rsid w:val="00F207DC"/>
    <w:rsid w:val="00F20BB2"/>
    <w:rsid w:val="00F20DD6"/>
    <w:rsid w:val="00F20F05"/>
    <w:rsid w:val="00F21254"/>
    <w:rsid w:val="00F2155F"/>
    <w:rsid w:val="00F22294"/>
    <w:rsid w:val="00F226DE"/>
    <w:rsid w:val="00F22EEF"/>
    <w:rsid w:val="00F2303B"/>
    <w:rsid w:val="00F230CD"/>
    <w:rsid w:val="00F2324E"/>
    <w:rsid w:val="00F233F7"/>
    <w:rsid w:val="00F2385F"/>
    <w:rsid w:val="00F23BF6"/>
    <w:rsid w:val="00F23F5A"/>
    <w:rsid w:val="00F243A5"/>
    <w:rsid w:val="00F249C7"/>
    <w:rsid w:val="00F24C6D"/>
    <w:rsid w:val="00F24F1A"/>
    <w:rsid w:val="00F2538A"/>
    <w:rsid w:val="00F25FA2"/>
    <w:rsid w:val="00F261CC"/>
    <w:rsid w:val="00F26248"/>
    <w:rsid w:val="00F26680"/>
    <w:rsid w:val="00F26E85"/>
    <w:rsid w:val="00F27CBF"/>
    <w:rsid w:val="00F3036E"/>
    <w:rsid w:val="00F3038A"/>
    <w:rsid w:val="00F308C0"/>
    <w:rsid w:val="00F30B25"/>
    <w:rsid w:val="00F31038"/>
    <w:rsid w:val="00F312EE"/>
    <w:rsid w:val="00F31A13"/>
    <w:rsid w:val="00F31D4F"/>
    <w:rsid w:val="00F3215E"/>
    <w:rsid w:val="00F3248E"/>
    <w:rsid w:val="00F32579"/>
    <w:rsid w:val="00F32594"/>
    <w:rsid w:val="00F32760"/>
    <w:rsid w:val="00F32DF9"/>
    <w:rsid w:val="00F33280"/>
    <w:rsid w:val="00F33A28"/>
    <w:rsid w:val="00F34FEA"/>
    <w:rsid w:val="00F355CF"/>
    <w:rsid w:val="00F359EE"/>
    <w:rsid w:val="00F3611E"/>
    <w:rsid w:val="00F362A7"/>
    <w:rsid w:val="00F36327"/>
    <w:rsid w:val="00F3687E"/>
    <w:rsid w:val="00F37A69"/>
    <w:rsid w:val="00F37CF6"/>
    <w:rsid w:val="00F4094F"/>
    <w:rsid w:val="00F40F96"/>
    <w:rsid w:val="00F41F3B"/>
    <w:rsid w:val="00F420F3"/>
    <w:rsid w:val="00F423A0"/>
    <w:rsid w:val="00F42E10"/>
    <w:rsid w:val="00F43323"/>
    <w:rsid w:val="00F437E4"/>
    <w:rsid w:val="00F43A2B"/>
    <w:rsid w:val="00F43D44"/>
    <w:rsid w:val="00F44553"/>
    <w:rsid w:val="00F448F3"/>
    <w:rsid w:val="00F44B6F"/>
    <w:rsid w:val="00F458BF"/>
    <w:rsid w:val="00F45DFE"/>
    <w:rsid w:val="00F4609B"/>
    <w:rsid w:val="00F460CA"/>
    <w:rsid w:val="00F465EB"/>
    <w:rsid w:val="00F466B0"/>
    <w:rsid w:val="00F4679C"/>
    <w:rsid w:val="00F46CC3"/>
    <w:rsid w:val="00F46E74"/>
    <w:rsid w:val="00F46F61"/>
    <w:rsid w:val="00F47232"/>
    <w:rsid w:val="00F47512"/>
    <w:rsid w:val="00F477B4"/>
    <w:rsid w:val="00F4786D"/>
    <w:rsid w:val="00F4789E"/>
    <w:rsid w:val="00F50559"/>
    <w:rsid w:val="00F50887"/>
    <w:rsid w:val="00F50D0D"/>
    <w:rsid w:val="00F50D24"/>
    <w:rsid w:val="00F50D9D"/>
    <w:rsid w:val="00F50F80"/>
    <w:rsid w:val="00F51097"/>
    <w:rsid w:val="00F51222"/>
    <w:rsid w:val="00F51C18"/>
    <w:rsid w:val="00F51F3E"/>
    <w:rsid w:val="00F52014"/>
    <w:rsid w:val="00F520DC"/>
    <w:rsid w:val="00F523C0"/>
    <w:rsid w:val="00F52645"/>
    <w:rsid w:val="00F52910"/>
    <w:rsid w:val="00F52CA4"/>
    <w:rsid w:val="00F534DF"/>
    <w:rsid w:val="00F536D0"/>
    <w:rsid w:val="00F54F66"/>
    <w:rsid w:val="00F551C4"/>
    <w:rsid w:val="00F553F0"/>
    <w:rsid w:val="00F55B63"/>
    <w:rsid w:val="00F55E6D"/>
    <w:rsid w:val="00F55FA3"/>
    <w:rsid w:val="00F56498"/>
    <w:rsid w:val="00F56638"/>
    <w:rsid w:val="00F56769"/>
    <w:rsid w:val="00F56A2D"/>
    <w:rsid w:val="00F5710D"/>
    <w:rsid w:val="00F575AE"/>
    <w:rsid w:val="00F57B2E"/>
    <w:rsid w:val="00F60BE3"/>
    <w:rsid w:val="00F61102"/>
    <w:rsid w:val="00F6169A"/>
    <w:rsid w:val="00F618A1"/>
    <w:rsid w:val="00F623C6"/>
    <w:rsid w:val="00F6250F"/>
    <w:rsid w:val="00F62D0B"/>
    <w:rsid w:val="00F62F57"/>
    <w:rsid w:val="00F637B1"/>
    <w:rsid w:val="00F63BA7"/>
    <w:rsid w:val="00F63F60"/>
    <w:rsid w:val="00F64275"/>
    <w:rsid w:val="00F64380"/>
    <w:rsid w:val="00F643F9"/>
    <w:rsid w:val="00F65039"/>
    <w:rsid w:val="00F655E4"/>
    <w:rsid w:val="00F65E2C"/>
    <w:rsid w:val="00F663AD"/>
    <w:rsid w:val="00F6684C"/>
    <w:rsid w:val="00F66BA4"/>
    <w:rsid w:val="00F66F67"/>
    <w:rsid w:val="00F67023"/>
    <w:rsid w:val="00F67CD6"/>
    <w:rsid w:val="00F67FD8"/>
    <w:rsid w:val="00F7014E"/>
    <w:rsid w:val="00F7061C"/>
    <w:rsid w:val="00F71D92"/>
    <w:rsid w:val="00F71DF3"/>
    <w:rsid w:val="00F72789"/>
    <w:rsid w:val="00F73153"/>
    <w:rsid w:val="00F7336E"/>
    <w:rsid w:val="00F7341C"/>
    <w:rsid w:val="00F740BC"/>
    <w:rsid w:val="00F74A81"/>
    <w:rsid w:val="00F752D5"/>
    <w:rsid w:val="00F754AA"/>
    <w:rsid w:val="00F7584B"/>
    <w:rsid w:val="00F758AE"/>
    <w:rsid w:val="00F75AFB"/>
    <w:rsid w:val="00F76D18"/>
    <w:rsid w:val="00F774B0"/>
    <w:rsid w:val="00F774B6"/>
    <w:rsid w:val="00F778D4"/>
    <w:rsid w:val="00F778F9"/>
    <w:rsid w:val="00F77B54"/>
    <w:rsid w:val="00F77C05"/>
    <w:rsid w:val="00F801E9"/>
    <w:rsid w:val="00F808E2"/>
    <w:rsid w:val="00F80AEA"/>
    <w:rsid w:val="00F80B98"/>
    <w:rsid w:val="00F80C0A"/>
    <w:rsid w:val="00F80E23"/>
    <w:rsid w:val="00F81415"/>
    <w:rsid w:val="00F81969"/>
    <w:rsid w:val="00F81AC2"/>
    <w:rsid w:val="00F82001"/>
    <w:rsid w:val="00F823EB"/>
    <w:rsid w:val="00F82621"/>
    <w:rsid w:val="00F8269F"/>
    <w:rsid w:val="00F82978"/>
    <w:rsid w:val="00F83888"/>
    <w:rsid w:val="00F83CFD"/>
    <w:rsid w:val="00F83EBF"/>
    <w:rsid w:val="00F85452"/>
    <w:rsid w:val="00F85565"/>
    <w:rsid w:val="00F85F79"/>
    <w:rsid w:val="00F870B7"/>
    <w:rsid w:val="00F870FB"/>
    <w:rsid w:val="00F87338"/>
    <w:rsid w:val="00F874A0"/>
    <w:rsid w:val="00F875C7"/>
    <w:rsid w:val="00F8768F"/>
    <w:rsid w:val="00F87E72"/>
    <w:rsid w:val="00F9011C"/>
    <w:rsid w:val="00F90BBE"/>
    <w:rsid w:val="00F91091"/>
    <w:rsid w:val="00F9110B"/>
    <w:rsid w:val="00F912F5"/>
    <w:rsid w:val="00F91302"/>
    <w:rsid w:val="00F91E46"/>
    <w:rsid w:val="00F92267"/>
    <w:rsid w:val="00F923B6"/>
    <w:rsid w:val="00F93025"/>
    <w:rsid w:val="00F93CC5"/>
    <w:rsid w:val="00F93F7B"/>
    <w:rsid w:val="00F9404B"/>
    <w:rsid w:val="00F940F3"/>
    <w:rsid w:val="00F941F8"/>
    <w:rsid w:val="00F94334"/>
    <w:rsid w:val="00F94580"/>
    <w:rsid w:val="00F948D9"/>
    <w:rsid w:val="00F958F8"/>
    <w:rsid w:val="00F95E43"/>
    <w:rsid w:val="00F960AE"/>
    <w:rsid w:val="00F96B98"/>
    <w:rsid w:val="00F97295"/>
    <w:rsid w:val="00F97AC8"/>
    <w:rsid w:val="00FA0561"/>
    <w:rsid w:val="00FA0911"/>
    <w:rsid w:val="00FA0BFA"/>
    <w:rsid w:val="00FA12B4"/>
    <w:rsid w:val="00FA1A17"/>
    <w:rsid w:val="00FA2354"/>
    <w:rsid w:val="00FA30AF"/>
    <w:rsid w:val="00FA31E2"/>
    <w:rsid w:val="00FA429F"/>
    <w:rsid w:val="00FA4A05"/>
    <w:rsid w:val="00FA58A1"/>
    <w:rsid w:val="00FA5BFF"/>
    <w:rsid w:val="00FA63E9"/>
    <w:rsid w:val="00FA658A"/>
    <w:rsid w:val="00FA7183"/>
    <w:rsid w:val="00FA7457"/>
    <w:rsid w:val="00FA7693"/>
    <w:rsid w:val="00FB0996"/>
    <w:rsid w:val="00FB0BEB"/>
    <w:rsid w:val="00FB12AE"/>
    <w:rsid w:val="00FB2225"/>
    <w:rsid w:val="00FB28B3"/>
    <w:rsid w:val="00FB2ABE"/>
    <w:rsid w:val="00FB32F2"/>
    <w:rsid w:val="00FB3738"/>
    <w:rsid w:val="00FB376B"/>
    <w:rsid w:val="00FB3BD5"/>
    <w:rsid w:val="00FB3C87"/>
    <w:rsid w:val="00FB4846"/>
    <w:rsid w:val="00FB4BD9"/>
    <w:rsid w:val="00FB5C15"/>
    <w:rsid w:val="00FB603E"/>
    <w:rsid w:val="00FB76FB"/>
    <w:rsid w:val="00FB7CB0"/>
    <w:rsid w:val="00FB7FCE"/>
    <w:rsid w:val="00FC0502"/>
    <w:rsid w:val="00FC068F"/>
    <w:rsid w:val="00FC11C2"/>
    <w:rsid w:val="00FC132E"/>
    <w:rsid w:val="00FC147A"/>
    <w:rsid w:val="00FC15A1"/>
    <w:rsid w:val="00FC1C36"/>
    <w:rsid w:val="00FC1D96"/>
    <w:rsid w:val="00FC1DA1"/>
    <w:rsid w:val="00FC2028"/>
    <w:rsid w:val="00FC2143"/>
    <w:rsid w:val="00FC218E"/>
    <w:rsid w:val="00FC243A"/>
    <w:rsid w:val="00FC2AC1"/>
    <w:rsid w:val="00FC318E"/>
    <w:rsid w:val="00FC3C76"/>
    <w:rsid w:val="00FC3F73"/>
    <w:rsid w:val="00FC4125"/>
    <w:rsid w:val="00FC440F"/>
    <w:rsid w:val="00FC44CC"/>
    <w:rsid w:val="00FC4BD1"/>
    <w:rsid w:val="00FC4E38"/>
    <w:rsid w:val="00FC54B4"/>
    <w:rsid w:val="00FC5613"/>
    <w:rsid w:val="00FC597F"/>
    <w:rsid w:val="00FC5CAE"/>
    <w:rsid w:val="00FC6B92"/>
    <w:rsid w:val="00FC6F32"/>
    <w:rsid w:val="00FC7D28"/>
    <w:rsid w:val="00FC7D8D"/>
    <w:rsid w:val="00FD0022"/>
    <w:rsid w:val="00FD0023"/>
    <w:rsid w:val="00FD08F6"/>
    <w:rsid w:val="00FD0BD0"/>
    <w:rsid w:val="00FD1273"/>
    <w:rsid w:val="00FD15FD"/>
    <w:rsid w:val="00FD1836"/>
    <w:rsid w:val="00FD212A"/>
    <w:rsid w:val="00FD256D"/>
    <w:rsid w:val="00FD2623"/>
    <w:rsid w:val="00FD2C84"/>
    <w:rsid w:val="00FD3C65"/>
    <w:rsid w:val="00FD407C"/>
    <w:rsid w:val="00FD431E"/>
    <w:rsid w:val="00FD4B18"/>
    <w:rsid w:val="00FD517E"/>
    <w:rsid w:val="00FD57C9"/>
    <w:rsid w:val="00FD5C0C"/>
    <w:rsid w:val="00FD5D71"/>
    <w:rsid w:val="00FD5EBE"/>
    <w:rsid w:val="00FD5FAC"/>
    <w:rsid w:val="00FD695D"/>
    <w:rsid w:val="00FD6991"/>
    <w:rsid w:val="00FD6CC7"/>
    <w:rsid w:val="00FD7070"/>
    <w:rsid w:val="00FD71F3"/>
    <w:rsid w:val="00FD7362"/>
    <w:rsid w:val="00FD744B"/>
    <w:rsid w:val="00FD75B4"/>
    <w:rsid w:val="00FD772B"/>
    <w:rsid w:val="00FE003C"/>
    <w:rsid w:val="00FE00BB"/>
    <w:rsid w:val="00FE01D9"/>
    <w:rsid w:val="00FE03A6"/>
    <w:rsid w:val="00FE03A9"/>
    <w:rsid w:val="00FE1178"/>
    <w:rsid w:val="00FE11C0"/>
    <w:rsid w:val="00FE15B9"/>
    <w:rsid w:val="00FE1EEB"/>
    <w:rsid w:val="00FE1FB6"/>
    <w:rsid w:val="00FE2294"/>
    <w:rsid w:val="00FE2423"/>
    <w:rsid w:val="00FE2D9C"/>
    <w:rsid w:val="00FE2EE0"/>
    <w:rsid w:val="00FE4BDD"/>
    <w:rsid w:val="00FE52A1"/>
    <w:rsid w:val="00FE52BD"/>
    <w:rsid w:val="00FE5B8E"/>
    <w:rsid w:val="00FE5BA6"/>
    <w:rsid w:val="00FE5DFB"/>
    <w:rsid w:val="00FE6017"/>
    <w:rsid w:val="00FE74A8"/>
    <w:rsid w:val="00FE78DB"/>
    <w:rsid w:val="00FF0230"/>
    <w:rsid w:val="00FF0298"/>
    <w:rsid w:val="00FF067E"/>
    <w:rsid w:val="00FF1D0C"/>
    <w:rsid w:val="00FF1E5C"/>
    <w:rsid w:val="00FF23DF"/>
    <w:rsid w:val="00FF28E3"/>
    <w:rsid w:val="00FF2BB8"/>
    <w:rsid w:val="00FF3226"/>
    <w:rsid w:val="00FF3391"/>
    <w:rsid w:val="00FF3929"/>
    <w:rsid w:val="00FF399E"/>
    <w:rsid w:val="00FF3CFF"/>
    <w:rsid w:val="00FF4282"/>
    <w:rsid w:val="00FF48B9"/>
    <w:rsid w:val="00FF4989"/>
    <w:rsid w:val="00FF4A25"/>
    <w:rsid w:val="00FF5B70"/>
    <w:rsid w:val="00FF5BB9"/>
    <w:rsid w:val="00FF5D6E"/>
    <w:rsid w:val="00FF5F83"/>
    <w:rsid w:val="00FF61BE"/>
    <w:rsid w:val="00FF6EB7"/>
    <w:rsid w:val="00FF781A"/>
    <w:rsid w:val="00FF793F"/>
    <w:rsid w:val="01040032"/>
    <w:rsid w:val="0126B180"/>
    <w:rsid w:val="01345EF5"/>
    <w:rsid w:val="0142A750"/>
    <w:rsid w:val="0149726F"/>
    <w:rsid w:val="01A36E62"/>
    <w:rsid w:val="01C0B12E"/>
    <w:rsid w:val="01CD2185"/>
    <w:rsid w:val="0221833E"/>
    <w:rsid w:val="022AA14D"/>
    <w:rsid w:val="02404F85"/>
    <w:rsid w:val="025858C8"/>
    <w:rsid w:val="02A32DBC"/>
    <w:rsid w:val="03091FD5"/>
    <w:rsid w:val="0348A6A1"/>
    <w:rsid w:val="0395E0B8"/>
    <w:rsid w:val="0399860A"/>
    <w:rsid w:val="03B0DFC0"/>
    <w:rsid w:val="03BA7B22"/>
    <w:rsid w:val="03C171DF"/>
    <w:rsid w:val="0403BA06"/>
    <w:rsid w:val="0473058D"/>
    <w:rsid w:val="047FD2C4"/>
    <w:rsid w:val="04B3EBC9"/>
    <w:rsid w:val="04C5278A"/>
    <w:rsid w:val="04C53C46"/>
    <w:rsid w:val="05BE2269"/>
    <w:rsid w:val="05C7C84C"/>
    <w:rsid w:val="05EAA7A0"/>
    <w:rsid w:val="0601F609"/>
    <w:rsid w:val="060A93BF"/>
    <w:rsid w:val="063A20EA"/>
    <w:rsid w:val="0660C50D"/>
    <w:rsid w:val="06FE7F63"/>
    <w:rsid w:val="070521A8"/>
    <w:rsid w:val="0706C160"/>
    <w:rsid w:val="071FA99C"/>
    <w:rsid w:val="074ADBE7"/>
    <w:rsid w:val="075111F7"/>
    <w:rsid w:val="07650C5D"/>
    <w:rsid w:val="0783B10E"/>
    <w:rsid w:val="07A165CB"/>
    <w:rsid w:val="07AFD7A0"/>
    <w:rsid w:val="07CD8CA8"/>
    <w:rsid w:val="07CF9A69"/>
    <w:rsid w:val="07D23CF3"/>
    <w:rsid w:val="07EB7A0D"/>
    <w:rsid w:val="07F27247"/>
    <w:rsid w:val="084E8F94"/>
    <w:rsid w:val="08758851"/>
    <w:rsid w:val="08A14A04"/>
    <w:rsid w:val="08AF0F87"/>
    <w:rsid w:val="08DF1288"/>
    <w:rsid w:val="08EE2E37"/>
    <w:rsid w:val="09029AD4"/>
    <w:rsid w:val="091392F1"/>
    <w:rsid w:val="09485578"/>
    <w:rsid w:val="09767B6F"/>
    <w:rsid w:val="09B8F0FE"/>
    <w:rsid w:val="09C5F632"/>
    <w:rsid w:val="09F2901E"/>
    <w:rsid w:val="0A01E442"/>
    <w:rsid w:val="0A5B37D7"/>
    <w:rsid w:val="0AA8ACF4"/>
    <w:rsid w:val="0AAFDF37"/>
    <w:rsid w:val="0ABE2A04"/>
    <w:rsid w:val="0B2BBDEE"/>
    <w:rsid w:val="0B571CFD"/>
    <w:rsid w:val="0B713101"/>
    <w:rsid w:val="0B798A12"/>
    <w:rsid w:val="0BA1B6F6"/>
    <w:rsid w:val="0BB6FE16"/>
    <w:rsid w:val="0C10CB42"/>
    <w:rsid w:val="0C1469CA"/>
    <w:rsid w:val="0C14FF69"/>
    <w:rsid w:val="0C23DDDE"/>
    <w:rsid w:val="0C4AC747"/>
    <w:rsid w:val="0CA5F4EF"/>
    <w:rsid w:val="0CB18A12"/>
    <w:rsid w:val="0CED50C4"/>
    <w:rsid w:val="0D3072AE"/>
    <w:rsid w:val="0D7DCDE3"/>
    <w:rsid w:val="0E297B36"/>
    <w:rsid w:val="0E93F317"/>
    <w:rsid w:val="0EB12AD4"/>
    <w:rsid w:val="0EC36F97"/>
    <w:rsid w:val="0ECF684C"/>
    <w:rsid w:val="0EDCB99B"/>
    <w:rsid w:val="0F02CE58"/>
    <w:rsid w:val="0F13CCFF"/>
    <w:rsid w:val="0F7F007B"/>
    <w:rsid w:val="0FAF5773"/>
    <w:rsid w:val="1022C939"/>
    <w:rsid w:val="102948E1"/>
    <w:rsid w:val="103AF175"/>
    <w:rsid w:val="104D2C39"/>
    <w:rsid w:val="105380AC"/>
    <w:rsid w:val="1064E4F5"/>
    <w:rsid w:val="1087EE61"/>
    <w:rsid w:val="10FE5B95"/>
    <w:rsid w:val="111B18EB"/>
    <w:rsid w:val="118DEB7F"/>
    <w:rsid w:val="11E5D762"/>
    <w:rsid w:val="11E636B7"/>
    <w:rsid w:val="11F3F37B"/>
    <w:rsid w:val="123ED910"/>
    <w:rsid w:val="12808410"/>
    <w:rsid w:val="1281FD99"/>
    <w:rsid w:val="12A2FED9"/>
    <w:rsid w:val="12B15004"/>
    <w:rsid w:val="12C82742"/>
    <w:rsid w:val="12DADD84"/>
    <w:rsid w:val="12FB61F0"/>
    <w:rsid w:val="13501BE7"/>
    <w:rsid w:val="13886835"/>
    <w:rsid w:val="13B5EB9E"/>
    <w:rsid w:val="13BC4338"/>
    <w:rsid w:val="13C285B3"/>
    <w:rsid w:val="13D79AEB"/>
    <w:rsid w:val="13EE54EF"/>
    <w:rsid w:val="14013D62"/>
    <w:rsid w:val="144D9FA8"/>
    <w:rsid w:val="149BE06D"/>
    <w:rsid w:val="14C1E58B"/>
    <w:rsid w:val="14C404A7"/>
    <w:rsid w:val="14DFAFF6"/>
    <w:rsid w:val="14EAE501"/>
    <w:rsid w:val="15208727"/>
    <w:rsid w:val="15296A9E"/>
    <w:rsid w:val="1534BE14"/>
    <w:rsid w:val="156EC590"/>
    <w:rsid w:val="158FE609"/>
    <w:rsid w:val="1694EEFF"/>
    <w:rsid w:val="17294B24"/>
    <w:rsid w:val="17577D82"/>
    <w:rsid w:val="177D3A74"/>
    <w:rsid w:val="1787BF88"/>
    <w:rsid w:val="17DCF0BB"/>
    <w:rsid w:val="17E8D49F"/>
    <w:rsid w:val="17F2F76B"/>
    <w:rsid w:val="17FFABCF"/>
    <w:rsid w:val="1810A366"/>
    <w:rsid w:val="18351EC7"/>
    <w:rsid w:val="18596644"/>
    <w:rsid w:val="188C1085"/>
    <w:rsid w:val="18936858"/>
    <w:rsid w:val="18A41830"/>
    <w:rsid w:val="18B43D9C"/>
    <w:rsid w:val="1957EBE0"/>
    <w:rsid w:val="19657042"/>
    <w:rsid w:val="198D8ACA"/>
    <w:rsid w:val="199DAFC6"/>
    <w:rsid w:val="19CC00EC"/>
    <w:rsid w:val="19D3719D"/>
    <w:rsid w:val="19DA0D78"/>
    <w:rsid w:val="19FE9700"/>
    <w:rsid w:val="1A135B6A"/>
    <w:rsid w:val="1A150FC6"/>
    <w:rsid w:val="1A280B8C"/>
    <w:rsid w:val="1A7E0ED7"/>
    <w:rsid w:val="1A8CA821"/>
    <w:rsid w:val="1AB3600F"/>
    <w:rsid w:val="1AB49D7D"/>
    <w:rsid w:val="1AC0B5CE"/>
    <w:rsid w:val="1AEB2019"/>
    <w:rsid w:val="1B17EDF4"/>
    <w:rsid w:val="1B1FDE2C"/>
    <w:rsid w:val="1B25D4A5"/>
    <w:rsid w:val="1B29E91A"/>
    <w:rsid w:val="1B4F4ED3"/>
    <w:rsid w:val="1B585E41"/>
    <w:rsid w:val="1B636503"/>
    <w:rsid w:val="1BC2EF1F"/>
    <w:rsid w:val="1BCF3C5F"/>
    <w:rsid w:val="1C456280"/>
    <w:rsid w:val="1C9DD8D6"/>
    <w:rsid w:val="1D1D530B"/>
    <w:rsid w:val="1D212F63"/>
    <w:rsid w:val="1D821AB3"/>
    <w:rsid w:val="1DB1D427"/>
    <w:rsid w:val="1E1D7515"/>
    <w:rsid w:val="1E3FC13B"/>
    <w:rsid w:val="1E716DD6"/>
    <w:rsid w:val="1ED19857"/>
    <w:rsid w:val="1EF38A86"/>
    <w:rsid w:val="1F01AE9D"/>
    <w:rsid w:val="1F60F6ED"/>
    <w:rsid w:val="1F680708"/>
    <w:rsid w:val="1F9AA345"/>
    <w:rsid w:val="1FBDF01C"/>
    <w:rsid w:val="1FC9BC02"/>
    <w:rsid w:val="1FD134E9"/>
    <w:rsid w:val="1FDCD571"/>
    <w:rsid w:val="1FE4E9FF"/>
    <w:rsid w:val="1FE9B5DB"/>
    <w:rsid w:val="1FFB7669"/>
    <w:rsid w:val="203CBFA6"/>
    <w:rsid w:val="2077F8F2"/>
    <w:rsid w:val="2096AE0C"/>
    <w:rsid w:val="20CAE22E"/>
    <w:rsid w:val="20E4C275"/>
    <w:rsid w:val="20EC06D4"/>
    <w:rsid w:val="2106281E"/>
    <w:rsid w:val="21870011"/>
    <w:rsid w:val="21D80037"/>
    <w:rsid w:val="21EDB489"/>
    <w:rsid w:val="22C31B52"/>
    <w:rsid w:val="22E9619F"/>
    <w:rsid w:val="23119356"/>
    <w:rsid w:val="231B9D1E"/>
    <w:rsid w:val="23398118"/>
    <w:rsid w:val="238984EA"/>
    <w:rsid w:val="23ACF12D"/>
    <w:rsid w:val="23BB5521"/>
    <w:rsid w:val="23E24433"/>
    <w:rsid w:val="23E84104"/>
    <w:rsid w:val="240C7094"/>
    <w:rsid w:val="2441DFC1"/>
    <w:rsid w:val="24422705"/>
    <w:rsid w:val="244A2FDA"/>
    <w:rsid w:val="24AD6BBD"/>
    <w:rsid w:val="24B76723"/>
    <w:rsid w:val="24BD0037"/>
    <w:rsid w:val="24E285BC"/>
    <w:rsid w:val="24EA787D"/>
    <w:rsid w:val="24EECE0F"/>
    <w:rsid w:val="24F920AD"/>
    <w:rsid w:val="25359724"/>
    <w:rsid w:val="255096CA"/>
    <w:rsid w:val="258AAA0A"/>
    <w:rsid w:val="2593DE94"/>
    <w:rsid w:val="25B06BCB"/>
    <w:rsid w:val="25B8A02F"/>
    <w:rsid w:val="25B8BF10"/>
    <w:rsid w:val="25D32B52"/>
    <w:rsid w:val="263C05C4"/>
    <w:rsid w:val="263D1707"/>
    <w:rsid w:val="2677ABAF"/>
    <w:rsid w:val="270FE2BF"/>
    <w:rsid w:val="272712C2"/>
    <w:rsid w:val="2733EE15"/>
    <w:rsid w:val="2750654F"/>
    <w:rsid w:val="2756EF74"/>
    <w:rsid w:val="277939C0"/>
    <w:rsid w:val="27BE47FB"/>
    <w:rsid w:val="27C60DC3"/>
    <w:rsid w:val="27CC1A9E"/>
    <w:rsid w:val="27CCB7DA"/>
    <w:rsid w:val="284E4CBD"/>
    <w:rsid w:val="287CA3E1"/>
    <w:rsid w:val="28CB4CA9"/>
    <w:rsid w:val="28FE7DE7"/>
    <w:rsid w:val="2936FB3C"/>
    <w:rsid w:val="29736B74"/>
    <w:rsid w:val="2974507F"/>
    <w:rsid w:val="297677F9"/>
    <w:rsid w:val="297E88ED"/>
    <w:rsid w:val="299A6EFE"/>
    <w:rsid w:val="29B326F2"/>
    <w:rsid w:val="29B5EAAB"/>
    <w:rsid w:val="2A30E541"/>
    <w:rsid w:val="2A37CBE3"/>
    <w:rsid w:val="2A673F07"/>
    <w:rsid w:val="2A770D65"/>
    <w:rsid w:val="2A92C8E2"/>
    <w:rsid w:val="2AA34577"/>
    <w:rsid w:val="2AB343F4"/>
    <w:rsid w:val="2AD5D7AF"/>
    <w:rsid w:val="2AE8D354"/>
    <w:rsid w:val="2AFDE75C"/>
    <w:rsid w:val="2B03FBC0"/>
    <w:rsid w:val="2B1F09EA"/>
    <w:rsid w:val="2B6BA3C5"/>
    <w:rsid w:val="2BA3E84E"/>
    <w:rsid w:val="2BE20D7D"/>
    <w:rsid w:val="2BEDC7A6"/>
    <w:rsid w:val="2C2CB7C3"/>
    <w:rsid w:val="2C4137AE"/>
    <w:rsid w:val="2C560DDA"/>
    <w:rsid w:val="2C5C9CF3"/>
    <w:rsid w:val="2C678C7D"/>
    <w:rsid w:val="2C9E8FA3"/>
    <w:rsid w:val="2D285F13"/>
    <w:rsid w:val="2D4D5CDB"/>
    <w:rsid w:val="2D62B0A1"/>
    <w:rsid w:val="2D76CF5F"/>
    <w:rsid w:val="2D959A97"/>
    <w:rsid w:val="2DCE511E"/>
    <w:rsid w:val="2DE4AC55"/>
    <w:rsid w:val="2DEC01DE"/>
    <w:rsid w:val="2DED14BF"/>
    <w:rsid w:val="2E04A284"/>
    <w:rsid w:val="2E697F5E"/>
    <w:rsid w:val="2EB12E40"/>
    <w:rsid w:val="2EB62917"/>
    <w:rsid w:val="2ECF0A7C"/>
    <w:rsid w:val="2EE56C8B"/>
    <w:rsid w:val="2F00DEE2"/>
    <w:rsid w:val="2F04E4A4"/>
    <w:rsid w:val="2F24292E"/>
    <w:rsid w:val="2F52DC19"/>
    <w:rsid w:val="2F6407B3"/>
    <w:rsid w:val="2F67BE4B"/>
    <w:rsid w:val="303542A6"/>
    <w:rsid w:val="3088E378"/>
    <w:rsid w:val="30931510"/>
    <w:rsid w:val="30976FF1"/>
    <w:rsid w:val="30CCCA0E"/>
    <w:rsid w:val="318279A7"/>
    <w:rsid w:val="3184E823"/>
    <w:rsid w:val="3197D902"/>
    <w:rsid w:val="31D3E58C"/>
    <w:rsid w:val="325AE793"/>
    <w:rsid w:val="32748812"/>
    <w:rsid w:val="32891405"/>
    <w:rsid w:val="329E4457"/>
    <w:rsid w:val="32A89D12"/>
    <w:rsid w:val="32BE30E3"/>
    <w:rsid w:val="331E6ADD"/>
    <w:rsid w:val="333D6432"/>
    <w:rsid w:val="33610BAD"/>
    <w:rsid w:val="337BA42A"/>
    <w:rsid w:val="338476F0"/>
    <w:rsid w:val="338CCDA7"/>
    <w:rsid w:val="339D127D"/>
    <w:rsid w:val="33DEAA4A"/>
    <w:rsid w:val="341019B6"/>
    <w:rsid w:val="34335CB6"/>
    <w:rsid w:val="34346FB4"/>
    <w:rsid w:val="3439C464"/>
    <w:rsid w:val="3449403A"/>
    <w:rsid w:val="346ADC78"/>
    <w:rsid w:val="3482A344"/>
    <w:rsid w:val="34BA8F81"/>
    <w:rsid w:val="34BDC62D"/>
    <w:rsid w:val="34C8B6CB"/>
    <w:rsid w:val="34CA45F9"/>
    <w:rsid w:val="34D93B09"/>
    <w:rsid w:val="3556D9F5"/>
    <w:rsid w:val="356FD459"/>
    <w:rsid w:val="361CC118"/>
    <w:rsid w:val="362D233C"/>
    <w:rsid w:val="363B156D"/>
    <w:rsid w:val="36581ED6"/>
    <w:rsid w:val="366FC2DA"/>
    <w:rsid w:val="3683A96B"/>
    <w:rsid w:val="36E53E7A"/>
    <w:rsid w:val="370814C2"/>
    <w:rsid w:val="37220F12"/>
    <w:rsid w:val="37661062"/>
    <w:rsid w:val="376BF786"/>
    <w:rsid w:val="385B7FBE"/>
    <w:rsid w:val="38607426"/>
    <w:rsid w:val="3884B526"/>
    <w:rsid w:val="3890438F"/>
    <w:rsid w:val="38927B88"/>
    <w:rsid w:val="3893DD49"/>
    <w:rsid w:val="38AE6DA2"/>
    <w:rsid w:val="38B846D2"/>
    <w:rsid w:val="38BD674D"/>
    <w:rsid w:val="3907E5F0"/>
    <w:rsid w:val="3913F556"/>
    <w:rsid w:val="392E3515"/>
    <w:rsid w:val="3932969B"/>
    <w:rsid w:val="394DB46D"/>
    <w:rsid w:val="39E6A2D2"/>
    <w:rsid w:val="39FAD2A7"/>
    <w:rsid w:val="3A031532"/>
    <w:rsid w:val="3A17B478"/>
    <w:rsid w:val="3A578B5D"/>
    <w:rsid w:val="3A85A373"/>
    <w:rsid w:val="3AAC8EC6"/>
    <w:rsid w:val="3AE1251A"/>
    <w:rsid w:val="3B1D6F77"/>
    <w:rsid w:val="3B383D69"/>
    <w:rsid w:val="3B9BB027"/>
    <w:rsid w:val="3BF11487"/>
    <w:rsid w:val="3C37F084"/>
    <w:rsid w:val="3C71738D"/>
    <w:rsid w:val="3C7E539A"/>
    <w:rsid w:val="3CB2A672"/>
    <w:rsid w:val="3CCD9D09"/>
    <w:rsid w:val="3CFA7BB2"/>
    <w:rsid w:val="3CFF31C9"/>
    <w:rsid w:val="3D41B98F"/>
    <w:rsid w:val="3D51F1C4"/>
    <w:rsid w:val="3D65300D"/>
    <w:rsid w:val="3D825C00"/>
    <w:rsid w:val="3DC30FD8"/>
    <w:rsid w:val="3E212590"/>
    <w:rsid w:val="3E2C787C"/>
    <w:rsid w:val="3E3E0602"/>
    <w:rsid w:val="3E4E39F7"/>
    <w:rsid w:val="3E74C4E9"/>
    <w:rsid w:val="3E923998"/>
    <w:rsid w:val="3EA809BB"/>
    <w:rsid w:val="3F2A3115"/>
    <w:rsid w:val="3F5CCCA4"/>
    <w:rsid w:val="3F66CC14"/>
    <w:rsid w:val="3FA7E407"/>
    <w:rsid w:val="3FBCF5F1"/>
    <w:rsid w:val="3FC60570"/>
    <w:rsid w:val="402F7D67"/>
    <w:rsid w:val="402FA86C"/>
    <w:rsid w:val="40398AC2"/>
    <w:rsid w:val="403A9CBB"/>
    <w:rsid w:val="407B06BB"/>
    <w:rsid w:val="40A63761"/>
    <w:rsid w:val="40B0B8E4"/>
    <w:rsid w:val="41002343"/>
    <w:rsid w:val="41E3B485"/>
    <w:rsid w:val="41ECCE3C"/>
    <w:rsid w:val="42476147"/>
    <w:rsid w:val="42839C7E"/>
    <w:rsid w:val="42968A6D"/>
    <w:rsid w:val="42A734DD"/>
    <w:rsid w:val="42BE5377"/>
    <w:rsid w:val="42D5CD5C"/>
    <w:rsid w:val="42E5FAEF"/>
    <w:rsid w:val="42EA230B"/>
    <w:rsid w:val="42F496B3"/>
    <w:rsid w:val="4310BA60"/>
    <w:rsid w:val="43433C7B"/>
    <w:rsid w:val="43462F9F"/>
    <w:rsid w:val="4379E8DF"/>
    <w:rsid w:val="439C4208"/>
    <w:rsid w:val="44094EEE"/>
    <w:rsid w:val="44344306"/>
    <w:rsid w:val="4443CC06"/>
    <w:rsid w:val="44474145"/>
    <w:rsid w:val="44548545"/>
    <w:rsid w:val="449115BE"/>
    <w:rsid w:val="44CC4A48"/>
    <w:rsid w:val="44E6372B"/>
    <w:rsid w:val="450976FE"/>
    <w:rsid w:val="4529550D"/>
    <w:rsid w:val="454105F3"/>
    <w:rsid w:val="45AA06D9"/>
    <w:rsid w:val="45D691C9"/>
    <w:rsid w:val="45D8D095"/>
    <w:rsid w:val="45DCABE7"/>
    <w:rsid w:val="45E97EC6"/>
    <w:rsid w:val="46204258"/>
    <w:rsid w:val="46554D14"/>
    <w:rsid w:val="466BE4C0"/>
    <w:rsid w:val="468B016A"/>
    <w:rsid w:val="46953228"/>
    <w:rsid w:val="46B76774"/>
    <w:rsid w:val="46BCAACA"/>
    <w:rsid w:val="46BDCBE2"/>
    <w:rsid w:val="46C2D648"/>
    <w:rsid w:val="46CAF9FA"/>
    <w:rsid w:val="4708CD37"/>
    <w:rsid w:val="471A6D82"/>
    <w:rsid w:val="473D9538"/>
    <w:rsid w:val="4752F610"/>
    <w:rsid w:val="478C18E6"/>
    <w:rsid w:val="4795428A"/>
    <w:rsid w:val="47A57B56"/>
    <w:rsid w:val="47AAFC79"/>
    <w:rsid w:val="47B2B0ED"/>
    <w:rsid w:val="47C5DC01"/>
    <w:rsid w:val="4807507A"/>
    <w:rsid w:val="480C0A5A"/>
    <w:rsid w:val="4810F03A"/>
    <w:rsid w:val="48A0204A"/>
    <w:rsid w:val="48B3B858"/>
    <w:rsid w:val="48C3120E"/>
    <w:rsid w:val="48C66F4E"/>
    <w:rsid w:val="48F73D8B"/>
    <w:rsid w:val="48F76035"/>
    <w:rsid w:val="491D6F59"/>
    <w:rsid w:val="4975D7B3"/>
    <w:rsid w:val="499DA5D4"/>
    <w:rsid w:val="49EDA6AC"/>
    <w:rsid w:val="4A21D50C"/>
    <w:rsid w:val="4A469C27"/>
    <w:rsid w:val="4A93D6A4"/>
    <w:rsid w:val="4AD5EFF4"/>
    <w:rsid w:val="4AD794E5"/>
    <w:rsid w:val="4B7C6047"/>
    <w:rsid w:val="4B9751FF"/>
    <w:rsid w:val="4BBB3018"/>
    <w:rsid w:val="4BF028F2"/>
    <w:rsid w:val="4BF868BD"/>
    <w:rsid w:val="4C0D6EF6"/>
    <w:rsid w:val="4C1604D8"/>
    <w:rsid w:val="4C4B3E80"/>
    <w:rsid w:val="4C8F2062"/>
    <w:rsid w:val="4CA910C4"/>
    <w:rsid w:val="4CEE6C50"/>
    <w:rsid w:val="4D275515"/>
    <w:rsid w:val="4D64C952"/>
    <w:rsid w:val="4D73D757"/>
    <w:rsid w:val="4D9FF27C"/>
    <w:rsid w:val="4DA210AB"/>
    <w:rsid w:val="4DA2C618"/>
    <w:rsid w:val="4DC03E16"/>
    <w:rsid w:val="4DD30A3C"/>
    <w:rsid w:val="4E029D8D"/>
    <w:rsid w:val="4E13B9EA"/>
    <w:rsid w:val="4E258870"/>
    <w:rsid w:val="4E54DA21"/>
    <w:rsid w:val="4E6768AD"/>
    <w:rsid w:val="4E7985BC"/>
    <w:rsid w:val="4E7C64DA"/>
    <w:rsid w:val="4EC0CE1B"/>
    <w:rsid w:val="4F2C4DA4"/>
    <w:rsid w:val="4F428BD8"/>
    <w:rsid w:val="4F590279"/>
    <w:rsid w:val="4F6A3213"/>
    <w:rsid w:val="4FC50B09"/>
    <w:rsid w:val="5047697A"/>
    <w:rsid w:val="505B05AB"/>
    <w:rsid w:val="5083D013"/>
    <w:rsid w:val="5097F32A"/>
    <w:rsid w:val="50ABB56A"/>
    <w:rsid w:val="50FDCE26"/>
    <w:rsid w:val="51036D9E"/>
    <w:rsid w:val="51348E0A"/>
    <w:rsid w:val="5194E251"/>
    <w:rsid w:val="51D3DA34"/>
    <w:rsid w:val="51E6C1B1"/>
    <w:rsid w:val="51EE1802"/>
    <w:rsid w:val="520A5D12"/>
    <w:rsid w:val="522B7ACA"/>
    <w:rsid w:val="52623442"/>
    <w:rsid w:val="526B64CB"/>
    <w:rsid w:val="5283CB9A"/>
    <w:rsid w:val="52B25932"/>
    <w:rsid w:val="52DAEDDD"/>
    <w:rsid w:val="534732BF"/>
    <w:rsid w:val="537774D8"/>
    <w:rsid w:val="538D00D7"/>
    <w:rsid w:val="53951BD7"/>
    <w:rsid w:val="53A9CBF9"/>
    <w:rsid w:val="53CE3EC0"/>
    <w:rsid w:val="53F53405"/>
    <w:rsid w:val="53FB0566"/>
    <w:rsid w:val="54153D94"/>
    <w:rsid w:val="54384EC5"/>
    <w:rsid w:val="54A89144"/>
    <w:rsid w:val="54CBAAEE"/>
    <w:rsid w:val="551DD080"/>
    <w:rsid w:val="55675EB8"/>
    <w:rsid w:val="558CE4D1"/>
    <w:rsid w:val="5590AAB2"/>
    <w:rsid w:val="563C98B7"/>
    <w:rsid w:val="564A48C5"/>
    <w:rsid w:val="564CB6F8"/>
    <w:rsid w:val="565F3222"/>
    <w:rsid w:val="56B90AB1"/>
    <w:rsid w:val="56C18925"/>
    <w:rsid w:val="56C814A7"/>
    <w:rsid w:val="56D30DD5"/>
    <w:rsid w:val="56DCCF7D"/>
    <w:rsid w:val="56F9E0DB"/>
    <w:rsid w:val="570FF233"/>
    <w:rsid w:val="572378EB"/>
    <w:rsid w:val="5724E97D"/>
    <w:rsid w:val="5764571B"/>
    <w:rsid w:val="5775C71A"/>
    <w:rsid w:val="577A4156"/>
    <w:rsid w:val="577BBFCA"/>
    <w:rsid w:val="57A02DCC"/>
    <w:rsid w:val="57B75714"/>
    <w:rsid w:val="57C24A50"/>
    <w:rsid w:val="57C560C1"/>
    <w:rsid w:val="57E016E2"/>
    <w:rsid w:val="58343EC1"/>
    <w:rsid w:val="5849C735"/>
    <w:rsid w:val="584BA140"/>
    <w:rsid w:val="586E3D97"/>
    <w:rsid w:val="5881A899"/>
    <w:rsid w:val="5881EB59"/>
    <w:rsid w:val="58C12C94"/>
    <w:rsid w:val="58DF053F"/>
    <w:rsid w:val="58E6AB90"/>
    <w:rsid w:val="59026B41"/>
    <w:rsid w:val="5907FE19"/>
    <w:rsid w:val="5932F510"/>
    <w:rsid w:val="59BAA8E0"/>
    <w:rsid w:val="59BC60C3"/>
    <w:rsid w:val="59EF098D"/>
    <w:rsid w:val="59F883F4"/>
    <w:rsid w:val="5A0B74E0"/>
    <w:rsid w:val="5A32F3CB"/>
    <w:rsid w:val="5A4CAF51"/>
    <w:rsid w:val="5ABFD800"/>
    <w:rsid w:val="5AD85884"/>
    <w:rsid w:val="5AE509EC"/>
    <w:rsid w:val="5B1DB9E8"/>
    <w:rsid w:val="5BBC9FD8"/>
    <w:rsid w:val="5BE76D25"/>
    <w:rsid w:val="5C2D4DF3"/>
    <w:rsid w:val="5C2F58CD"/>
    <w:rsid w:val="5C5B1811"/>
    <w:rsid w:val="5C618A95"/>
    <w:rsid w:val="5C704F79"/>
    <w:rsid w:val="5C8C75F3"/>
    <w:rsid w:val="5CAD7EE7"/>
    <w:rsid w:val="5CCD6173"/>
    <w:rsid w:val="5CE429EB"/>
    <w:rsid w:val="5D390CA4"/>
    <w:rsid w:val="5D56FE62"/>
    <w:rsid w:val="5DD67946"/>
    <w:rsid w:val="5DEE7B96"/>
    <w:rsid w:val="5E1CAAAE"/>
    <w:rsid w:val="5E3B4427"/>
    <w:rsid w:val="5E8B9F14"/>
    <w:rsid w:val="5EA14548"/>
    <w:rsid w:val="5EACB199"/>
    <w:rsid w:val="5F32BD1D"/>
    <w:rsid w:val="5F47AA6D"/>
    <w:rsid w:val="5F7A37DB"/>
    <w:rsid w:val="5FC8EBB9"/>
    <w:rsid w:val="5FD10C0D"/>
    <w:rsid w:val="5FF34BAB"/>
    <w:rsid w:val="6004FA37"/>
    <w:rsid w:val="6052EE6C"/>
    <w:rsid w:val="606174AE"/>
    <w:rsid w:val="60E23644"/>
    <w:rsid w:val="6129610E"/>
    <w:rsid w:val="61775C8C"/>
    <w:rsid w:val="61FBF16C"/>
    <w:rsid w:val="62679602"/>
    <w:rsid w:val="628DAD4E"/>
    <w:rsid w:val="6294E354"/>
    <w:rsid w:val="62A1ECDA"/>
    <w:rsid w:val="62ED23FC"/>
    <w:rsid w:val="6305B208"/>
    <w:rsid w:val="635DE549"/>
    <w:rsid w:val="638C1A73"/>
    <w:rsid w:val="63A50AA3"/>
    <w:rsid w:val="63BE2353"/>
    <w:rsid w:val="640AF580"/>
    <w:rsid w:val="64248158"/>
    <w:rsid w:val="644C78D0"/>
    <w:rsid w:val="648A0910"/>
    <w:rsid w:val="64A3AE37"/>
    <w:rsid w:val="64A83B7A"/>
    <w:rsid w:val="64EC6AB4"/>
    <w:rsid w:val="64EF27B2"/>
    <w:rsid w:val="64FBF1BB"/>
    <w:rsid w:val="6531A47E"/>
    <w:rsid w:val="65405683"/>
    <w:rsid w:val="65753B37"/>
    <w:rsid w:val="65853CB4"/>
    <w:rsid w:val="659F36C4"/>
    <w:rsid w:val="65D7CFAF"/>
    <w:rsid w:val="65F1D016"/>
    <w:rsid w:val="664EA4AC"/>
    <w:rsid w:val="66943F22"/>
    <w:rsid w:val="66C1A17D"/>
    <w:rsid w:val="671DEFE7"/>
    <w:rsid w:val="67705B4F"/>
    <w:rsid w:val="67AF5CAB"/>
    <w:rsid w:val="68246CE2"/>
    <w:rsid w:val="682B20BE"/>
    <w:rsid w:val="683E97CD"/>
    <w:rsid w:val="6863A8E0"/>
    <w:rsid w:val="68756EDF"/>
    <w:rsid w:val="688E756F"/>
    <w:rsid w:val="68DBBE8B"/>
    <w:rsid w:val="68FA8E56"/>
    <w:rsid w:val="68FC137D"/>
    <w:rsid w:val="690508BE"/>
    <w:rsid w:val="690FF90C"/>
    <w:rsid w:val="694445E3"/>
    <w:rsid w:val="6A10FECB"/>
    <w:rsid w:val="6A113CCA"/>
    <w:rsid w:val="6A4A5917"/>
    <w:rsid w:val="6A5FAAA7"/>
    <w:rsid w:val="6A7090DE"/>
    <w:rsid w:val="6A94E112"/>
    <w:rsid w:val="6ACA1D77"/>
    <w:rsid w:val="6ADA53E6"/>
    <w:rsid w:val="6AF994AD"/>
    <w:rsid w:val="6B081BBD"/>
    <w:rsid w:val="6B10E539"/>
    <w:rsid w:val="6B1D694A"/>
    <w:rsid w:val="6B82EB2F"/>
    <w:rsid w:val="6BA5D00B"/>
    <w:rsid w:val="6BBDB34C"/>
    <w:rsid w:val="6BFB39D3"/>
    <w:rsid w:val="6C28DC32"/>
    <w:rsid w:val="6C4ED046"/>
    <w:rsid w:val="6C744D84"/>
    <w:rsid w:val="6C97C40F"/>
    <w:rsid w:val="6CD353AA"/>
    <w:rsid w:val="6CDB2A96"/>
    <w:rsid w:val="6D003E79"/>
    <w:rsid w:val="6D4CA9A9"/>
    <w:rsid w:val="6DA68411"/>
    <w:rsid w:val="6DB20093"/>
    <w:rsid w:val="6DEB9862"/>
    <w:rsid w:val="6E0F9FB3"/>
    <w:rsid w:val="6E1D5C5D"/>
    <w:rsid w:val="6E73FBE6"/>
    <w:rsid w:val="6E9024C7"/>
    <w:rsid w:val="6EC451A5"/>
    <w:rsid w:val="6ED78BEB"/>
    <w:rsid w:val="6EE040BD"/>
    <w:rsid w:val="6EE5B038"/>
    <w:rsid w:val="6F09B94F"/>
    <w:rsid w:val="6F2FC3C0"/>
    <w:rsid w:val="6F4D29CC"/>
    <w:rsid w:val="6F6A9F4E"/>
    <w:rsid w:val="6F98178E"/>
    <w:rsid w:val="6FA2F9AB"/>
    <w:rsid w:val="701D339F"/>
    <w:rsid w:val="70316E05"/>
    <w:rsid w:val="709FC834"/>
    <w:rsid w:val="70D88E3A"/>
    <w:rsid w:val="70DAC4CE"/>
    <w:rsid w:val="70E368DE"/>
    <w:rsid w:val="70FE002A"/>
    <w:rsid w:val="71038F7D"/>
    <w:rsid w:val="7144EB26"/>
    <w:rsid w:val="71458BB8"/>
    <w:rsid w:val="714B7D9B"/>
    <w:rsid w:val="715A941E"/>
    <w:rsid w:val="716289B3"/>
    <w:rsid w:val="717F6999"/>
    <w:rsid w:val="71825343"/>
    <w:rsid w:val="7199EFCA"/>
    <w:rsid w:val="71D60466"/>
    <w:rsid w:val="72630325"/>
    <w:rsid w:val="728E2A1F"/>
    <w:rsid w:val="72C4A868"/>
    <w:rsid w:val="7306363C"/>
    <w:rsid w:val="7314DE58"/>
    <w:rsid w:val="7314E9A4"/>
    <w:rsid w:val="7325F47C"/>
    <w:rsid w:val="734FE50C"/>
    <w:rsid w:val="7393ABEC"/>
    <w:rsid w:val="73D55A74"/>
    <w:rsid w:val="73ED3486"/>
    <w:rsid w:val="74052A2D"/>
    <w:rsid w:val="744330B0"/>
    <w:rsid w:val="744587C0"/>
    <w:rsid w:val="744E4730"/>
    <w:rsid w:val="74551760"/>
    <w:rsid w:val="7464AAAF"/>
    <w:rsid w:val="74832E95"/>
    <w:rsid w:val="748D7D2D"/>
    <w:rsid w:val="749CC4FE"/>
    <w:rsid w:val="75162D80"/>
    <w:rsid w:val="75823933"/>
    <w:rsid w:val="75BA7632"/>
    <w:rsid w:val="76222A51"/>
    <w:rsid w:val="76532E00"/>
    <w:rsid w:val="766FC891"/>
    <w:rsid w:val="76735763"/>
    <w:rsid w:val="76875FF8"/>
    <w:rsid w:val="768C6B54"/>
    <w:rsid w:val="771545DA"/>
    <w:rsid w:val="7758ED17"/>
    <w:rsid w:val="775B3BF8"/>
    <w:rsid w:val="7782E33F"/>
    <w:rsid w:val="780C4B8B"/>
    <w:rsid w:val="78121918"/>
    <w:rsid w:val="7823F0BE"/>
    <w:rsid w:val="78268273"/>
    <w:rsid w:val="7846CAB3"/>
    <w:rsid w:val="784E8D0F"/>
    <w:rsid w:val="788E7B40"/>
    <w:rsid w:val="78FDD612"/>
    <w:rsid w:val="7912D44B"/>
    <w:rsid w:val="792E062F"/>
    <w:rsid w:val="794B1353"/>
    <w:rsid w:val="79804AAB"/>
    <w:rsid w:val="79CF3FB5"/>
    <w:rsid w:val="79E643C4"/>
    <w:rsid w:val="7A0032FF"/>
    <w:rsid w:val="7A066530"/>
    <w:rsid w:val="7A1B3D3B"/>
    <w:rsid w:val="7A32FB78"/>
    <w:rsid w:val="7A43C05B"/>
    <w:rsid w:val="7A4BF538"/>
    <w:rsid w:val="7A57FEA3"/>
    <w:rsid w:val="7AB4D4C8"/>
    <w:rsid w:val="7ABCA9F2"/>
    <w:rsid w:val="7AFB8DA6"/>
    <w:rsid w:val="7B6BE088"/>
    <w:rsid w:val="7B80C3A6"/>
    <w:rsid w:val="7BACD9B3"/>
    <w:rsid w:val="7BFE1D30"/>
    <w:rsid w:val="7C458740"/>
    <w:rsid w:val="7C59B8DA"/>
    <w:rsid w:val="7C7D7AFA"/>
    <w:rsid w:val="7CACA618"/>
    <w:rsid w:val="7CFA847C"/>
    <w:rsid w:val="7D046A40"/>
    <w:rsid w:val="7D16DAF7"/>
    <w:rsid w:val="7D1EA70A"/>
    <w:rsid w:val="7D25E2EA"/>
    <w:rsid w:val="7D6C8724"/>
    <w:rsid w:val="7D6D1CA5"/>
    <w:rsid w:val="7D76928D"/>
    <w:rsid w:val="7DD28223"/>
    <w:rsid w:val="7DE54ECE"/>
    <w:rsid w:val="7DF8447F"/>
    <w:rsid w:val="7E4CD00B"/>
    <w:rsid w:val="7EAD18C6"/>
    <w:rsid w:val="7EDB3DF1"/>
    <w:rsid w:val="7EDFD6A1"/>
    <w:rsid w:val="7EF05524"/>
    <w:rsid w:val="7F034797"/>
    <w:rsid w:val="7F036DF6"/>
    <w:rsid w:val="7F09F369"/>
    <w:rsid w:val="7F0B2587"/>
    <w:rsid w:val="7F56DDC2"/>
    <w:rsid w:val="7F9F9F06"/>
    <w:rsid w:val="7FC45BDC"/>
    <w:rsid w:val="7FF9DF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0260"/>
    <w:pPr>
      <w:spacing w:before="324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10"/>
    <w:rsid w:val="00C90260"/>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05BA4"/>
    <w:pPr>
      <w:numPr>
        <w:ilvl w:val="1"/>
      </w:numPr>
      <w:spacing w:after="0"/>
    </w:pPr>
    <w:rPr>
      <w:rFonts w:ascii="Calibri" w:eastAsiaTheme="minorEastAsia" w:hAnsi="Calibri"/>
      <w:color w:val="789B4A"/>
      <w:spacing w:val="15"/>
      <w:sz w:val="40"/>
    </w:rPr>
  </w:style>
  <w:style w:type="character" w:customStyle="1" w:styleId="SubtitleChar">
    <w:name w:val="Subtitle Char"/>
    <w:basedOn w:val="DefaultParagraphFont"/>
    <w:link w:val="Subtitle"/>
    <w:uiPriority w:val="8"/>
    <w:rsid w:val="00305BA4"/>
    <w:rPr>
      <w:rFonts w:ascii="Calibri" w:eastAsiaTheme="minorEastAsia" w:hAnsi="Calibri"/>
      <w:color w:val="789B4A"/>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305BA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aliases w:val="Bulit List -  Paragraph,CV text,Dot pt,F5 List Paragraph,FooterText,L,List Paragraph1,List Paragraph11,List Paragraph111,List Paragraph2,Main numbered paragraph,Medium Grid 1 - Accent 21,Numbered Paragraph,Recommendation,Table text,number"/>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12E0D"/>
    <w:pPr>
      <w:tabs>
        <w:tab w:val="right" w:leader="dot" w:pos="9060"/>
      </w:tabs>
      <w:spacing w:after="100"/>
    </w:pPr>
    <w:rPr>
      <w:b/>
    </w:rPr>
  </w:style>
  <w:style w:type="paragraph" w:styleId="TOC2">
    <w:name w:val="toc 2"/>
    <w:basedOn w:val="Normal"/>
    <w:next w:val="Normal"/>
    <w:autoRedefine/>
    <w:uiPriority w:val="39"/>
    <w:unhideWhenUsed/>
    <w:rsid w:val="000F5867"/>
    <w:pPr>
      <w:tabs>
        <w:tab w:val="right" w:leader="dot" w:pos="9060"/>
      </w:tabs>
      <w:spacing w:after="100"/>
      <w:ind w:left="220"/>
    </w:pPr>
  </w:style>
  <w:style w:type="paragraph" w:styleId="TOC3">
    <w:name w:val="toc 3"/>
    <w:basedOn w:val="Normal"/>
    <w:next w:val="Normal"/>
    <w:autoRedefine/>
    <w:uiPriority w:val="39"/>
    <w:unhideWhenUsed/>
    <w:rsid w:val="00EA3E3E"/>
    <w:pPr>
      <w:tabs>
        <w:tab w:val="right" w:leader="dot" w:pos="9060"/>
      </w:tabs>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CommentReference">
    <w:name w:val="annotation reference"/>
    <w:basedOn w:val="DefaultParagraphFont"/>
    <w:uiPriority w:val="99"/>
    <w:semiHidden/>
    <w:unhideWhenUsed/>
    <w:rsid w:val="007075B5"/>
    <w:rPr>
      <w:sz w:val="16"/>
      <w:szCs w:val="16"/>
    </w:rPr>
  </w:style>
  <w:style w:type="paragraph" w:styleId="CommentText">
    <w:name w:val="annotation text"/>
    <w:basedOn w:val="Normal"/>
    <w:link w:val="CommentTextChar"/>
    <w:uiPriority w:val="99"/>
    <w:unhideWhenUsed/>
    <w:rsid w:val="007075B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075B5"/>
    <w:rPr>
      <w:rFonts w:ascii="Times New Roman" w:eastAsia="Times New Roman" w:hAnsi="Times New Roman" w:cs="Times New Roman"/>
      <w:sz w:val="20"/>
      <w:szCs w:val="20"/>
    </w:rPr>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basedOn w:val="DefaultParagraphFont"/>
    <w:link w:val="ListParagraph"/>
    <w:uiPriority w:val="34"/>
    <w:qFormat/>
    <w:rsid w:val="007075B5"/>
  </w:style>
  <w:style w:type="paragraph" w:styleId="FootnoteText">
    <w:name w:val="footnote text"/>
    <w:aliases w:val="Footnotes Text,FSFootnotes Text,FSFootnote Text"/>
    <w:basedOn w:val="Normal"/>
    <w:link w:val="FootnoteTextChar"/>
    <w:uiPriority w:val="99"/>
    <w:unhideWhenUsed/>
    <w:qFormat/>
    <w:rsid w:val="007075B5"/>
    <w:pPr>
      <w:spacing w:after="0" w:line="240" w:lineRule="auto"/>
    </w:pPr>
    <w:rPr>
      <w:sz w:val="20"/>
      <w:szCs w:val="20"/>
    </w:rPr>
  </w:style>
  <w:style w:type="character" w:customStyle="1" w:styleId="FootnoteTextChar">
    <w:name w:val="Footnote Text Char"/>
    <w:aliases w:val="Footnotes Text Char,FSFootnotes Text Char,FSFootnote Text Char"/>
    <w:basedOn w:val="DefaultParagraphFont"/>
    <w:link w:val="FootnoteText"/>
    <w:uiPriority w:val="99"/>
    <w:rsid w:val="007075B5"/>
    <w:rPr>
      <w:sz w:val="20"/>
      <w:szCs w:val="20"/>
    </w:rPr>
  </w:style>
  <w:style w:type="character" w:styleId="FootnoteReference">
    <w:name w:val="footnote reference"/>
    <w:aliases w:val="NO,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rsid w:val="007075B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7075B5"/>
    <w:pPr>
      <w:spacing w:after="160" w:line="240" w:lineRule="exact"/>
      <w:jc w:val="both"/>
    </w:pPr>
    <w:rPr>
      <w:vertAlign w:val="superscript"/>
    </w:rPr>
  </w:style>
  <w:style w:type="character" w:customStyle="1" w:styleId="cf01">
    <w:name w:val="cf01"/>
    <w:basedOn w:val="DefaultParagraphFont"/>
    <w:rsid w:val="007075B5"/>
    <w:rPr>
      <w:rFonts w:ascii="Segoe UI" w:hAnsi="Segoe UI" w:cs="Segoe UI" w:hint="default"/>
      <w:sz w:val="18"/>
      <w:szCs w:val="18"/>
    </w:rPr>
  </w:style>
  <w:style w:type="character" w:customStyle="1" w:styleId="Mention">
    <w:name w:val="Mention"/>
    <w:basedOn w:val="DefaultParagraphFont"/>
    <w:uiPriority w:val="99"/>
    <w:unhideWhenUsed/>
    <w:rsid w:val="007075B5"/>
    <w:rPr>
      <w:color w:val="2B579A"/>
      <w:shd w:val="clear" w:color="auto" w:fill="E1DFDD"/>
    </w:rPr>
  </w:style>
  <w:style w:type="paragraph" w:customStyle="1" w:styleId="pf0">
    <w:name w:val="pf0"/>
    <w:basedOn w:val="Normal"/>
    <w:rsid w:val="00AE47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AE4775"/>
    <w:rPr>
      <w:rFonts w:ascii="Segoe UI" w:hAnsi="Segoe UI" w:cs="Segoe UI" w:hint="default"/>
      <w:sz w:val="18"/>
      <w:szCs w:val="18"/>
    </w:rPr>
  </w:style>
  <w:style w:type="character" w:customStyle="1" w:styleId="cf21">
    <w:name w:val="cf21"/>
    <w:basedOn w:val="DefaultParagraphFont"/>
    <w:rsid w:val="00AE4775"/>
    <w:rPr>
      <w:rFonts w:ascii="Segoe UI" w:hAnsi="Segoe UI" w:cs="Segoe UI" w:hint="default"/>
      <w:sz w:val="18"/>
      <w:szCs w:val="18"/>
      <w:u w:val="single"/>
    </w:rPr>
  </w:style>
  <w:style w:type="paragraph" w:styleId="CommentSubject">
    <w:name w:val="annotation subject"/>
    <w:basedOn w:val="CommentText"/>
    <w:next w:val="CommentText"/>
    <w:link w:val="CommentSubjectChar"/>
    <w:uiPriority w:val="99"/>
    <w:semiHidden/>
    <w:unhideWhenUsed/>
    <w:rsid w:val="00AE4775"/>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AE4775"/>
    <w:rPr>
      <w:rFonts w:ascii="Times New Roman" w:eastAsia="Times New Roman" w:hAnsi="Times New Roman" w:cs="Times New Roman"/>
      <w:b/>
      <w:bCs/>
      <w:kern w:val="2"/>
      <w:sz w:val="20"/>
      <w:szCs w:val="20"/>
      <w14:ligatures w14:val="standardContextual"/>
    </w:rPr>
  </w:style>
  <w:style w:type="character" w:customStyle="1" w:styleId="ui-provider">
    <w:name w:val="ui-provider"/>
    <w:basedOn w:val="DefaultParagraphFont"/>
    <w:rsid w:val="00AE4775"/>
  </w:style>
  <w:style w:type="paragraph" w:customStyle="1" w:styleId="CABNETParagraph">
    <w:name w:val="CABNET Paragraph."/>
    <w:basedOn w:val="Normal"/>
    <w:link w:val="CABNETParagraphChar"/>
    <w:uiPriority w:val="98"/>
    <w:qFormat/>
    <w:rsid w:val="00AE4775"/>
    <w:pPr>
      <w:spacing w:before="120" w:after="120" w:line="240" w:lineRule="auto"/>
    </w:pPr>
    <w:rPr>
      <w:rFonts w:ascii="Arial" w:hAnsi="Arial" w:cstheme="minorHAnsi"/>
    </w:rPr>
  </w:style>
  <w:style w:type="character" w:customStyle="1" w:styleId="CABNETParagraphChar">
    <w:name w:val="CABNET Paragraph. Char"/>
    <w:basedOn w:val="DefaultParagraphFont"/>
    <w:link w:val="CABNETParagraph"/>
    <w:uiPriority w:val="98"/>
    <w:rsid w:val="00AE4775"/>
    <w:rPr>
      <w:rFonts w:ascii="Arial" w:hAnsi="Arial" w:cstheme="minorHAnsi"/>
    </w:rPr>
  </w:style>
  <w:style w:type="character" w:customStyle="1" w:styleId="normaltextrun">
    <w:name w:val="normaltextrun"/>
    <w:basedOn w:val="DefaultParagraphFont"/>
    <w:rsid w:val="00AE4775"/>
  </w:style>
  <w:style w:type="character" w:customStyle="1" w:styleId="eop">
    <w:name w:val="eop"/>
    <w:basedOn w:val="DefaultParagraphFont"/>
    <w:rsid w:val="00AE4775"/>
  </w:style>
  <w:style w:type="character" w:customStyle="1" w:styleId="UnresolvedMention">
    <w:name w:val="Unresolved Mention"/>
    <w:basedOn w:val="DefaultParagraphFont"/>
    <w:uiPriority w:val="99"/>
    <w:semiHidden/>
    <w:unhideWhenUsed/>
    <w:rsid w:val="00AE4775"/>
    <w:rPr>
      <w:color w:val="605E5C"/>
      <w:shd w:val="clear" w:color="auto" w:fill="E1DFDD"/>
    </w:rPr>
  </w:style>
  <w:style w:type="paragraph" w:styleId="Revision">
    <w:name w:val="Revision"/>
    <w:hidden/>
    <w:uiPriority w:val="99"/>
    <w:semiHidden/>
    <w:rsid w:val="00AE4775"/>
    <w:pPr>
      <w:spacing w:after="0" w:line="240" w:lineRule="auto"/>
    </w:pPr>
    <w:rPr>
      <w:kern w:val="2"/>
      <w14:ligatures w14:val="standardContextual"/>
    </w:rPr>
  </w:style>
  <w:style w:type="table" w:styleId="LightGrid-Accent2">
    <w:name w:val="Light Grid Accent 2"/>
    <w:basedOn w:val="TableNormal"/>
    <w:uiPriority w:val="62"/>
    <w:rsid w:val="0013481E"/>
    <w:pPr>
      <w:spacing w:after="0" w:line="240" w:lineRule="auto"/>
    </w:pPr>
    <w:rPr>
      <w:rFonts w:eastAsiaTheme="minorEastAsia"/>
      <w:sz w:val="24"/>
      <w:szCs w:val="24"/>
    </w:rPr>
    <w:tblPr>
      <w:tblStyleRowBandSize w:val="1"/>
      <w:tblStyleColBandSize w:val="1"/>
      <w:tblBorders>
        <w:top w:val="single" w:sz="8" w:space="0" w:color="F26322" w:themeColor="accent2"/>
        <w:left w:val="single" w:sz="8" w:space="0" w:color="F26322" w:themeColor="accent2"/>
        <w:bottom w:val="single" w:sz="8" w:space="0" w:color="F26322" w:themeColor="accent2"/>
        <w:right w:val="single" w:sz="8" w:space="0" w:color="F26322" w:themeColor="accent2"/>
        <w:insideH w:val="single" w:sz="8" w:space="0" w:color="F26322" w:themeColor="accent2"/>
        <w:insideV w:val="single" w:sz="8" w:space="0" w:color="F26322"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322" w:themeColor="accent2"/>
          <w:left w:val="single" w:sz="8" w:space="0" w:color="F26322" w:themeColor="accent2"/>
          <w:bottom w:val="single" w:sz="8" w:space="0" w:color="F26322" w:themeColor="accent2"/>
          <w:right w:val="single" w:sz="8" w:space="0" w:color="F26322" w:themeColor="accent2"/>
          <w:insideH w:val="nil"/>
          <w:insideV w:val="single" w:sz="8" w:space="0" w:color="F2632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322" w:themeColor="accent2"/>
          <w:left w:val="single" w:sz="8" w:space="0" w:color="F26322" w:themeColor="accent2"/>
          <w:bottom w:val="single" w:sz="8" w:space="0" w:color="F26322" w:themeColor="accent2"/>
          <w:right w:val="single" w:sz="8" w:space="0" w:color="F26322" w:themeColor="accent2"/>
        </w:tcBorders>
      </w:tcPr>
    </w:tblStylePr>
    <w:tblStylePr w:type="band2Horz">
      <w:tblPr/>
      <w:tcPr>
        <w:tcBorders>
          <w:top w:val="single" w:sz="8" w:space="0" w:color="F26322" w:themeColor="accent2"/>
          <w:left w:val="single" w:sz="8" w:space="0" w:color="F26322" w:themeColor="accent2"/>
          <w:bottom w:val="single" w:sz="8" w:space="0" w:color="F26322" w:themeColor="accent2"/>
          <w:right w:val="single" w:sz="8" w:space="0" w:color="F26322" w:themeColor="accent2"/>
          <w:insideV w:val="single" w:sz="8" w:space="0" w:color="F26322" w:themeColor="accent2"/>
        </w:tcBorders>
      </w:tcPr>
    </w:tblStylePr>
  </w:style>
  <w:style w:type="paragraph" w:customStyle="1" w:styleId="TableText">
    <w:name w:val="TableText"/>
    <w:basedOn w:val="Normal"/>
    <w:qFormat/>
    <w:rsid w:val="0013481E"/>
    <w:pPr>
      <w:spacing w:before="120" w:after="120" w:line="240" w:lineRule="auto"/>
    </w:pPr>
    <w:rPr>
      <w:rFonts w:ascii="Arial" w:eastAsiaTheme="majorEastAsia" w:hAnsi="Arial" w:cs="Arial"/>
      <w:bCs/>
      <w:sz w:val="20"/>
      <w:szCs w:val="20"/>
    </w:rPr>
  </w:style>
  <w:style w:type="paragraph" w:customStyle="1" w:styleId="paragraph">
    <w:name w:val="paragraph"/>
    <w:basedOn w:val="Normal"/>
    <w:rsid w:val="00F043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ndhit">
    <w:name w:val="findhit"/>
    <w:basedOn w:val="DefaultParagraphFont"/>
    <w:rsid w:val="00F0430A"/>
  </w:style>
  <w:style w:type="character" w:customStyle="1" w:styleId="superscript">
    <w:name w:val="superscript"/>
    <w:basedOn w:val="DefaultParagraphFont"/>
    <w:rsid w:val="00F04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655483">
      <w:bodyDiv w:val="1"/>
      <w:marLeft w:val="0"/>
      <w:marRight w:val="0"/>
      <w:marTop w:val="0"/>
      <w:marBottom w:val="0"/>
      <w:divBdr>
        <w:top w:val="none" w:sz="0" w:space="0" w:color="auto"/>
        <w:left w:val="none" w:sz="0" w:space="0" w:color="auto"/>
        <w:bottom w:val="none" w:sz="0" w:space="0" w:color="auto"/>
        <w:right w:val="none" w:sz="0" w:space="0" w:color="auto"/>
      </w:divBdr>
    </w:div>
    <w:div w:id="1228877175">
      <w:bodyDiv w:val="1"/>
      <w:marLeft w:val="0"/>
      <w:marRight w:val="0"/>
      <w:marTop w:val="0"/>
      <w:marBottom w:val="0"/>
      <w:divBdr>
        <w:top w:val="none" w:sz="0" w:space="0" w:color="auto"/>
        <w:left w:val="none" w:sz="0" w:space="0" w:color="auto"/>
        <w:bottom w:val="none" w:sz="0" w:space="0" w:color="auto"/>
        <w:right w:val="none" w:sz="0" w:space="0" w:color="auto"/>
      </w:divBdr>
    </w:div>
    <w:div w:id="1260873910">
      <w:bodyDiv w:val="1"/>
      <w:marLeft w:val="0"/>
      <w:marRight w:val="0"/>
      <w:marTop w:val="0"/>
      <w:marBottom w:val="0"/>
      <w:divBdr>
        <w:top w:val="none" w:sz="0" w:space="0" w:color="auto"/>
        <w:left w:val="none" w:sz="0" w:space="0" w:color="auto"/>
        <w:bottom w:val="none" w:sz="0" w:space="0" w:color="auto"/>
        <w:right w:val="none" w:sz="0" w:space="0" w:color="auto"/>
      </w:divBdr>
    </w:div>
    <w:div w:id="16809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creativecommons.org/licenses/by/4.0/legalcode"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reativecommons.org/licenses/by/4.0/"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cid:image001.png@01CC5B5E.C6C84990"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1.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Committees/Senate/Education_and_Employment/EqualPayBill2022/Report" TargetMode="External"/><Relationship Id="rId2" Type="http://schemas.openxmlformats.org/officeDocument/2006/relationships/hyperlink" Target="https://www.aph.gov.au/Parliamentary_Business/Committees/Senate/Job_Security/JobSecurity/Third_Interim_Report" TargetMode="External"/><Relationship Id="rId1" Type="http://schemas.openxmlformats.org/officeDocument/2006/relationships/hyperlink" Target="http://www.vgls.vic.gov.au/client/en_AU/search/asset/1293786/0" TargetMode="External"/></Relationships>
</file>

<file path=word/documenttasks/documenttasks1.xml><?xml version="1.0" encoding="utf-8"?>
<t:Tasks xmlns:t="http://schemas.microsoft.com/office/tasks/2019/documenttasks" xmlns:oel="http://schemas.microsoft.com/office/2019/extlst">
  <t:Task id="{6AE59E74-4A8F-4845-BDE0-BE1AF2C8492E}">
    <t:Anchor>
      <t:Comment id="675811575"/>
    </t:Anchor>
    <t:History>
      <t:Event id="{9875D1DF-7F5B-4AFA-94FC-841AD6C57AC8}" time="2023-06-29T04:26:38.749Z">
        <t:Attribution userId="S::andrew.gatenby@dewr.gov.au::6a9ce9ae-2247-46a1-b2a2-4cb2209d2adf" userProvider="AD" userName="GATENBY,Andrew"/>
        <t:Anchor>
          <t:Comment id="332425831"/>
        </t:Anchor>
        <t:Create/>
      </t:Event>
      <t:Event id="{795B525E-BB63-48FF-A6A9-37F7F8EC910B}" time="2023-06-29T04:26:38.749Z">
        <t:Attribution userId="S::andrew.gatenby@dewr.gov.au::6a9ce9ae-2247-46a1-b2a2-4cb2209d2adf" userProvider="AD" userName="GATENBY,Andrew"/>
        <t:Anchor>
          <t:Comment id="332425831"/>
        </t:Anchor>
        <t:Assign userId="S::Ella.Shribman-Dellmann@dewr.gov.au::3440e668-18f2-46da-82ff-10035f19b43b" userProvider="AD" userName="SHRIBMAN-DELLMANN,Ella"/>
      </t:Event>
      <t:Event id="{A4A2963C-835E-4B5A-B751-5C13E9E9786D}" time="2023-06-29T04:26:38.749Z">
        <t:Attribution userId="S::andrew.gatenby@dewr.gov.au::6a9ce9ae-2247-46a1-b2a2-4cb2209d2adf" userProvider="AD" userName="GATENBY,Andrew"/>
        <t:Anchor>
          <t:Comment id="332425831"/>
        </t:Anchor>
        <t:SetTitle title="@SHRIBMAN-DELLMANN,Ella looks good. Have just added &quot;recommended&quot; as it is true they wouldn't be in the 320,000 estimate, but they may be counted in some of the other estimates of labour hire (such as the ABS characteristics of employment estimate)."/>
      </t:Event>
    </t:History>
  </t:Task>
  <t:Task id="{158D5912-7A75-44CF-8B2A-78F817E71180}">
    <t:Anchor>
      <t:Comment id="679252885"/>
    </t:Anchor>
    <t:History>
      <t:Event id="{1FCD4D82-D96C-4CB9-83F6-962074CF9F90}" time="2023-08-08T00:12:37.677Z">
        <t:Attribution userId="S::Ella.Shribman-Dellmann@dewr.gov.au::3440e668-18f2-46da-82ff-10035f19b43b" userProvider="AD" userName="SHRIBMAN-DELLMANN,Ella"/>
        <t:Anchor>
          <t:Comment id="679252885"/>
        </t:Anchor>
        <t:Create/>
      </t:Event>
      <t:Event id="{F8D3C811-6796-4A34-88DF-5C64DB89C537}" time="2023-08-08T00:12:37.677Z">
        <t:Attribution userId="S::Ella.Shribman-Dellmann@dewr.gov.au::3440e668-18f2-46da-82ff-10035f19b43b" userProvider="AD" userName="SHRIBMAN-DELLMANN,Ella"/>
        <t:Anchor>
          <t:Comment id="679252885"/>
        </t:Anchor>
        <t:Assign userId="S::Atibhav.Damodaran@dewr.gov.au::bd613387-0d7d-4e13-8b35-bff791437588" userProvider="AD" userName="DAMODARAN,Atibhav"/>
      </t:Event>
      <t:Event id="{EFEA9273-0459-47CB-B66F-8E1E7AFB7955}" time="2023-08-08T00:12:37.677Z">
        <t:Attribution userId="S::Ella.Shribman-Dellmann@dewr.gov.au::3440e668-18f2-46da-82ff-10035f19b43b" userProvider="AD" userName="SHRIBMAN-DELLMANN,Ella"/>
        <t:Anchor>
          <t:Comment id="679252885"/>
        </t:Anchor>
        <t:SetTitle title="@DAMODARAN,Atibhav please update language, should only need small tweaks"/>
      </t:Event>
      <t:Event id="{5487E283-C01F-4385-8848-A35EE982CC32}" time="2023-08-09T06:12:16.538Z">
        <t:Attribution userId="S::Atibhav.Damodaran@dewr.gov.au::bd613387-0d7d-4e13-8b35-bff791437588" userProvider="AD" userName="DAMODARAN,Atibhav"/>
        <t:Progress percentComplete="100"/>
      </t:Event>
    </t:History>
  </t:Task>
  <t:Task id="{5925A954-8B72-4FCC-8353-61575C915E13}">
    <t:Anchor>
      <t:Comment id="679252928"/>
    </t:Anchor>
    <t:History>
      <t:Event id="{B7F91C8C-4636-4DBB-8771-72714B3E49A1}" time="2023-08-08T00:13:20.477Z">
        <t:Attribution userId="S::Ella.Shribman-Dellmann@dewr.gov.au::3440e668-18f2-46da-82ff-10035f19b43b" userProvider="AD" userName="SHRIBMAN-DELLMANN,Ella"/>
        <t:Anchor>
          <t:Comment id="679252928"/>
        </t:Anchor>
        <t:Create/>
      </t:Event>
      <t:Event id="{AC234D75-CD2B-463A-9B0A-5E08166C5C02}" time="2023-08-08T00:13:20.477Z">
        <t:Attribution userId="S::Ella.Shribman-Dellmann@dewr.gov.au::3440e668-18f2-46da-82ff-10035f19b43b" userProvider="AD" userName="SHRIBMAN-DELLMANN,Ella"/>
        <t:Anchor>
          <t:Comment id="679252928"/>
        </t:Anchor>
        <t:Assign userId="S::Atibhav.Damodaran@dewr.gov.au::bd613387-0d7d-4e13-8b35-bff791437588" userProvider="AD" userName="DAMODARAN,Atibhav"/>
      </t:Event>
      <t:Event id="{685476F5-2AD4-4E2C-AE9A-7F2482843EBA}" time="2023-08-08T00:13:20.477Z">
        <t:Attribution userId="S::Ella.Shribman-Dellmann@dewr.gov.au::3440e668-18f2-46da-82ff-10035f19b43b" userProvider="AD" userName="SHRIBMAN-DELLMANN,Ella"/>
        <t:Anchor>
          <t:Comment id="679252928"/>
        </t:Anchor>
        <t:SetTitle title="@DAMODARAN,Atibhav please draft, you can use the words for hosts I did above and amend as neccesary"/>
      </t:Event>
      <t:Event id="{FC858F6B-C1D5-490C-ADBB-43FFC50FB5FB}" time="2023-08-09T06:12:25.03Z">
        <t:Attribution userId="S::Atibhav.Damodaran@dewr.gov.au::bd613387-0d7d-4e13-8b35-bff791437588" userProvider="AD" userName="DAMODARAN,Atibhav"/>
        <t:Progress percentComplete="100"/>
      </t:Event>
    </t:History>
  </t:Task>
</t:Task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SharedWithUsers xmlns="4195ad5f-cdf2-4c4a-8d9b-b7944a108e98">
      <UserInfo>
        <DisplayName/>
        <AccountId xsi:nil="true"/>
        <AccountType/>
      </UserInfo>
    </SharedWithUsers>
    <_dlc_DocId xmlns="4195ad5f-cdf2-4c4a-8d9b-b7944a108e98">DOCID-322795542-36945</_dlc_DocId>
    <_dlc_DocIdUrl xmlns="4195ad5f-cdf2-4c4a-8d9b-b7944a108e98">
      <Url>https://pmc01.sharepoint.com/sites/CRMOBPR/_layouts/15/DocIdRedir.aspx?ID=DOCID-322795542-36945</Url>
      <Description>DOCID-322795542-36945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3F24-7B43-4BAE-BA98-61E6463AD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EAB3D-4973-42E8-8C47-B53D2E557482}">
  <ds:schemaRefs>
    <ds:schemaRef ds:uri="http://schemas.microsoft.com/sharepoint/events"/>
  </ds:schemaRefs>
</ds:datastoreItem>
</file>

<file path=customXml/itemProps3.xml><?xml version="1.0" encoding="utf-8"?>
<ds:datastoreItem xmlns:ds="http://schemas.openxmlformats.org/officeDocument/2006/customXml" ds:itemID="{E0695DAC-36AF-4521-B526-EE3AFC51D592}">
  <ds:schemaRefs>
    <ds:schemaRef ds:uri="http://schemas.microsoft.com/sharepoint/v3/contenttype/forms"/>
  </ds:schemaRefs>
</ds:datastoreItem>
</file>

<file path=customXml/itemProps4.xml><?xml version="1.0" encoding="utf-8"?>
<ds:datastoreItem xmlns:ds="http://schemas.openxmlformats.org/officeDocument/2006/customXml" ds:itemID="{0B0C1292-7D44-4846-BFD0-75446F435C14}">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26285671-540d-468b-b7a1-f3e0438dd51a"/>
    <ds:schemaRef ds:uri="4195ad5f-cdf2-4c4a-8d9b-b7944a108e98"/>
    <ds:schemaRef ds:uri="http://www.w3.org/XML/1998/namespace"/>
    <ds:schemaRef ds:uri="http://purl.org/dc/dcmitype/"/>
  </ds:schemaRefs>
</ds:datastoreItem>
</file>

<file path=customXml/itemProps5.xml><?xml version="1.0" encoding="utf-8"?>
<ds:datastoreItem xmlns:ds="http://schemas.openxmlformats.org/officeDocument/2006/customXml" ds:itemID="{F8C68CAB-A352-4188-9F20-8D78E54B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21402</Words>
  <Characters>121997</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2023-08-31T23:33:00Z</dcterms:created>
  <dcterms:modified xsi:type="dcterms:W3CDTF">2023-08-31T23:33:00Z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MediaServiceImageTags">
    <vt:lpwstr/>
  </property>
  <property fmtid="{D5CDD505-2E9C-101B-9397-08002B2CF9AE}" pid="4" name="_dlc_DocIdItemGuid">
    <vt:lpwstr>e37ff243-f92d-49d8-8201-e0a9a4b84f99</vt:lpwstr>
  </property>
</Properties>
</file>