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09F72" w14:textId="44127547" w:rsidR="008A059F" w:rsidRPr="00C10812" w:rsidRDefault="53BCFE8C" w:rsidP="008A059F">
      <w:pPr>
        <w:spacing w:before="120" w:after="120" w:line="360" w:lineRule="auto"/>
        <w:rPr>
          <w:rFonts w:ascii="Century Gothic" w:hAnsi="Century Gothic"/>
        </w:rPr>
      </w:pPr>
      <w:bookmarkStart w:id="0" w:name="_GoBack"/>
      <w:bookmarkEnd w:id="0"/>
      <w:r>
        <w:t xml:space="preserve"> </w:t>
      </w:r>
      <w:r w:rsidR="71B41372">
        <w:t xml:space="preserve"> </w:t>
      </w:r>
      <w:r w:rsidR="008A059F" w:rsidRPr="00C10812">
        <w:rPr>
          <w:rFonts w:ascii="Century Gothic" w:hAnsi="Century Gothic"/>
          <w:noProof/>
          <w:lang w:val="en-AU" w:eastAsia="en-AU"/>
        </w:rPr>
        <w:drawing>
          <wp:inline distT="0" distB="0" distL="0" distR="0" wp14:anchorId="0CBF4F59" wp14:editId="2253BFCF">
            <wp:extent cx="2383155" cy="727075"/>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383155" cy="727075"/>
                    </a:xfrm>
                    <a:prstGeom prst="rect">
                      <a:avLst/>
                    </a:prstGeom>
                  </pic:spPr>
                </pic:pic>
              </a:graphicData>
            </a:graphic>
          </wp:inline>
        </w:drawing>
      </w:r>
      <w:r w:rsidR="008A059F" w:rsidRPr="00C10812">
        <w:rPr>
          <w:rFonts w:ascii="Century Gothic" w:hAnsi="Century Gothic"/>
          <w:noProof/>
          <w:lang w:val="en-AU" w:eastAsia="en-AU"/>
        </w:rPr>
        <w:drawing>
          <wp:anchor distT="0" distB="0" distL="114300" distR="114300" simplePos="0" relativeHeight="251658240" behindDoc="1" locked="0" layoutInCell="1" allowOverlap="1" wp14:anchorId="01F21DB4" wp14:editId="406A2A07">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6601B1A7" w14:textId="77777777" w:rsidR="008A059F" w:rsidRDefault="008A059F" w:rsidP="008A059F">
      <w:pPr>
        <w:pStyle w:val="Title"/>
        <w:spacing w:before="120" w:after="120" w:line="360" w:lineRule="auto"/>
        <w:ind w:left="1276"/>
        <w:rPr>
          <w:rFonts w:asciiTheme="minorHAnsi" w:hAnsiTheme="minorHAnsi" w:cstheme="minorHAnsi"/>
          <w:noProof/>
          <w:color w:val="404246"/>
          <w:lang w:eastAsia="en-AU"/>
        </w:rPr>
      </w:pPr>
    </w:p>
    <w:p w14:paraId="108E647F" w14:textId="77777777" w:rsidR="000825B9" w:rsidRDefault="000825B9" w:rsidP="008A059F">
      <w:pPr>
        <w:pStyle w:val="Title"/>
        <w:spacing w:before="120" w:after="120" w:line="360" w:lineRule="auto"/>
        <w:ind w:left="1276"/>
        <w:rPr>
          <w:rFonts w:asciiTheme="minorHAnsi" w:hAnsiTheme="minorHAnsi" w:cstheme="minorBidi"/>
          <w:noProof/>
          <w:color w:val="404246"/>
          <w:lang w:eastAsia="en-AU"/>
        </w:rPr>
      </w:pPr>
    </w:p>
    <w:p w14:paraId="6A093A51" w14:textId="18007AF1" w:rsidR="008A059F" w:rsidRPr="00BA13F0" w:rsidRDefault="008A059F" w:rsidP="008A059F">
      <w:pPr>
        <w:pStyle w:val="Title"/>
        <w:spacing w:before="120" w:after="120" w:line="360" w:lineRule="auto"/>
        <w:ind w:left="1276"/>
        <w:rPr>
          <w:rFonts w:asciiTheme="minorHAnsi" w:hAnsiTheme="minorHAnsi" w:cstheme="minorBidi"/>
          <w:noProof/>
          <w:color w:val="404246"/>
          <w:lang w:eastAsia="en-AU"/>
        </w:rPr>
      </w:pPr>
      <w:r w:rsidRPr="7612DB8E">
        <w:rPr>
          <w:rFonts w:asciiTheme="minorHAnsi" w:hAnsiTheme="minorHAnsi" w:cstheme="minorBidi"/>
          <w:noProof/>
          <w:color w:val="404246"/>
          <w:lang w:eastAsia="en-AU"/>
        </w:rPr>
        <w:t xml:space="preserve">Standing </w:t>
      </w:r>
      <w:r w:rsidR="0053497E">
        <w:rPr>
          <w:rFonts w:asciiTheme="minorHAnsi" w:hAnsiTheme="minorHAnsi" w:cstheme="minorBidi"/>
          <w:noProof/>
          <w:color w:val="404246"/>
          <w:lang w:eastAsia="en-AU"/>
        </w:rPr>
        <w:t>u</w:t>
      </w:r>
      <w:r w:rsidRPr="7612DB8E">
        <w:rPr>
          <w:rFonts w:asciiTheme="minorHAnsi" w:hAnsiTheme="minorHAnsi" w:cstheme="minorBidi"/>
          <w:noProof/>
          <w:color w:val="404246"/>
          <w:lang w:eastAsia="en-AU"/>
        </w:rPr>
        <w:t xml:space="preserve">p for </w:t>
      </w:r>
      <w:r w:rsidR="0053497E">
        <w:rPr>
          <w:rFonts w:asciiTheme="minorHAnsi" w:hAnsiTheme="minorHAnsi" w:cstheme="minorBidi"/>
          <w:noProof/>
          <w:color w:val="404246"/>
          <w:lang w:eastAsia="en-AU"/>
        </w:rPr>
        <w:t>c</w:t>
      </w:r>
      <w:r w:rsidRPr="7612DB8E">
        <w:rPr>
          <w:rFonts w:asciiTheme="minorHAnsi" w:hAnsiTheme="minorHAnsi" w:cstheme="minorBidi"/>
          <w:noProof/>
          <w:color w:val="404246"/>
          <w:lang w:eastAsia="en-AU"/>
        </w:rPr>
        <w:t xml:space="preserve">asual </w:t>
      </w:r>
      <w:r w:rsidR="0053497E">
        <w:rPr>
          <w:rFonts w:asciiTheme="minorHAnsi" w:hAnsiTheme="minorHAnsi" w:cstheme="minorBidi"/>
          <w:noProof/>
          <w:color w:val="404246"/>
          <w:lang w:eastAsia="en-AU"/>
        </w:rPr>
        <w:t>w</w:t>
      </w:r>
      <w:r w:rsidRPr="7612DB8E">
        <w:rPr>
          <w:rFonts w:asciiTheme="minorHAnsi" w:hAnsiTheme="minorHAnsi" w:cstheme="minorBidi"/>
          <w:noProof/>
          <w:color w:val="404246"/>
          <w:lang w:eastAsia="en-AU"/>
        </w:rPr>
        <w:t xml:space="preserve">orkers (OBPR22-02412) </w:t>
      </w:r>
    </w:p>
    <w:p w14:paraId="5E0D1797" w14:textId="558A7D3A" w:rsidR="00D137CE" w:rsidRDefault="000825B9" w:rsidP="008A059F">
      <w:pPr>
        <w:spacing w:before="120" w:after="120" w:line="360" w:lineRule="auto"/>
        <w:ind w:left="1276"/>
        <w:rPr>
          <w:rFonts w:eastAsiaTheme="minorEastAsia" w:cstheme="minorHAnsi"/>
          <w:noProof/>
          <w:color w:val="789B4A"/>
          <w:spacing w:val="15"/>
          <w:sz w:val="40"/>
          <w:lang w:eastAsia="en-AU"/>
        </w:rPr>
      </w:pPr>
      <w:r>
        <w:rPr>
          <w:rFonts w:eastAsiaTheme="minorEastAsia" w:cstheme="minorHAnsi"/>
          <w:noProof/>
          <w:color w:val="789B4A"/>
          <w:spacing w:val="15"/>
          <w:sz w:val="40"/>
          <w:lang w:eastAsia="en-AU"/>
        </w:rPr>
        <w:t xml:space="preserve">Impact </w:t>
      </w:r>
      <w:r w:rsidR="00DC2EC3">
        <w:rPr>
          <w:rFonts w:eastAsiaTheme="minorEastAsia" w:cstheme="minorHAnsi"/>
          <w:noProof/>
          <w:color w:val="789B4A"/>
          <w:spacing w:val="15"/>
          <w:sz w:val="40"/>
          <w:lang w:eastAsia="en-AU"/>
        </w:rPr>
        <w:t>Analysis Equivalent</w:t>
      </w:r>
    </w:p>
    <w:p w14:paraId="7264C8D1" w14:textId="77777777" w:rsidR="000825B9" w:rsidRDefault="000825B9" w:rsidP="008A059F">
      <w:pPr>
        <w:spacing w:before="120" w:after="120" w:line="360" w:lineRule="auto"/>
        <w:ind w:left="1276"/>
        <w:rPr>
          <w:rFonts w:eastAsiaTheme="minorEastAsia" w:cstheme="minorHAnsi"/>
          <w:noProof/>
          <w:color w:val="789B4A"/>
          <w:spacing w:val="15"/>
          <w:sz w:val="40"/>
          <w:lang w:eastAsia="en-AU"/>
        </w:rPr>
      </w:pPr>
    </w:p>
    <w:p w14:paraId="7EE15894" w14:textId="77777777" w:rsidR="000825B9" w:rsidRDefault="000825B9" w:rsidP="008A059F">
      <w:pPr>
        <w:spacing w:before="120" w:after="120" w:line="360" w:lineRule="auto"/>
        <w:ind w:left="1276"/>
        <w:rPr>
          <w:rFonts w:eastAsiaTheme="minorEastAsia" w:cstheme="minorHAnsi"/>
          <w:noProof/>
          <w:color w:val="789B4A"/>
          <w:spacing w:val="15"/>
          <w:sz w:val="40"/>
          <w:lang w:eastAsia="en-AU"/>
        </w:rPr>
      </w:pPr>
    </w:p>
    <w:p w14:paraId="51DE6BAC" w14:textId="77777777" w:rsidR="000825B9" w:rsidRDefault="000825B9" w:rsidP="008A059F">
      <w:pPr>
        <w:spacing w:before="120" w:after="120" w:line="360" w:lineRule="auto"/>
        <w:ind w:left="1276"/>
        <w:rPr>
          <w:rFonts w:eastAsiaTheme="minorEastAsia" w:cstheme="minorHAnsi"/>
          <w:noProof/>
          <w:color w:val="789B4A"/>
          <w:spacing w:val="15"/>
          <w:sz w:val="40"/>
          <w:lang w:eastAsia="en-AU"/>
        </w:rPr>
      </w:pPr>
    </w:p>
    <w:p w14:paraId="0950D8FD" w14:textId="77777777" w:rsidR="000825B9" w:rsidRDefault="000825B9" w:rsidP="008A059F">
      <w:pPr>
        <w:spacing w:before="120" w:after="120" w:line="360" w:lineRule="auto"/>
        <w:ind w:left="1276"/>
        <w:rPr>
          <w:rFonts w:ascii="Century Gothic" w:eastAsiaTheme="minorEastAsia" w:hAnsi="Century Gothic"/>
          <w:noProof/>
          <w:color w:val="789B4A"/>
          <w:spacing w:val="15"/>
          <w:sz w:val="40"/>
          <w:lang w:eastAsia="en-AU"/>
        </w:rPr>
      </w:pPr>
    </w:p>
    <w:p w14:paraId="6B2BA880" w14:textId="77777777" w:rsidR="00D137CE" w:rsidRDefault="00D137CE" w:rsidP="008A059F">
      <w:pPr>
        <w:spacing w:before="120" w:after="120" w:line="360" w:lineRule="auto"/>
        <w:ind w:left="1276"/>
        <w:rPr>
          <w:rFonts w:ascii="Century Gothic" w:eastAsiaTheme="minorEastAsia" w:hAnsi="Century Gothic"/>
          <w:noProof/>
          <w:color w:val="789B4A"/>
          <w:spacing w:val="15"/>
          <w:sz w:val="40"/>
          <w:lang w:eastAsia="en-AU"/>
        </w:rPr>
      </w:pPr>
    </w:p>
    <w:p w14:paraId="71C54E1F" w14:textId="77777777" w:rsidR="00D137CE" w:rsidRDefault="00D137CE" w:rsidP="008A059F">
      <w:pPr>
        <w:spacing w:before="120" w:after="120" w:line="360" w:lineRule="auto"/>
        <w:ind w:left="1276"/>
        <w:rPr>
          <w:rFonts w:ascii="Century Gothic" w:eastAsiaTheme="minorEastAsia" w:hAnsi="Century Gothic"/>
          <w:noProof/>
          <w:color w:val="789B4A"/>
          <w:spacing w:val="15"/>
          <w:sz w:val="40"/>
          <w:lang w:eastAsia="en-AU"/>
        </w:rPr>
      </w:pPr>
    </w:p>
    <w:p w14:paraId="3EE7BD04" w14:textId="77777777" w:rsidR="00D137CE" w:rsidRDefault="00D137CE" w:rsidP="008A059F">
      <w:pPr>
        <w:spacing w:before="120" w:after="120" w:line="360" w:lineRule="auto"/>
        <w:ind w:left="1276"/>
        <w:rPr>
          <w:rFonts w:ascii="Century Gothic" w:eastAsiaTheme="minorEastAsia" w:hAnsi="Century Gothic"/>
          <w:noProof/>
          <w:color w:val="789B4A"/>
          <w:spacing w:val="15"/>
          <w:sz w:val="40"/>
          <w:lang w:eastAsia="en-AU"/>
        </w:rPr>
      </w:pPr>
    </w:p>
    <w:p w14:paraId="04A8FD40" w14:textId="4F36554C" w:rsidR="008A059F" w:rsidRPr="00C10812" w:rsidRDefault="008A059F" w:rsidP="006D52B4">
      <w:pPr>
        <w:pStyle w:val="Title"/>
        <w:tabs>
          <w:tab w:val="left" w:pos="5340"/>
        </w:tabs>
        <w:spacing w:before="120" w:after="120" w:line="360" w:lineRule="auto"/>
        <w:rPr>
          <w:rFonts w:ascii="Century Gothic" w:hAnsi="Century Gothic"/>
        </w:rPr>
      </w:pPr>
      <w:r w:rsidRPr="00C10812">
        <w:rPr>
          <w:rFonts w:ascii="Century Gothic" w:hAnsi="Century Gothic"/>
        </w:rPr>
        <w:t>Title</w:t>
      </w:r>
      <w:r w:rsidR="006D52B4">
        <w:rPr>
          <w:rFonts w:ascii="Century Gothic" w:hAnsi="Century Gothic"/>
        </w:rPr>
        <w:tab/>
      </w:r>
    </w:p>
    <w:p w14:paraId="620841CF" w14:textId="77777777" w:rsidR="008A059F" w:rsidRPr="006C061F" w:rsidRDefault="008A059F" w:rsidP="008A059F">
      <w:pPr>
        <w:spacing w:before="120" w:after="120" w:line="360" w:lineRule="auto"/>
        <w:rPr>
          <w:rFonts w:cstheme="minorHAnsi"/>
        </w:rPr>
      </w:pPr>
      <w:bookmarkStart w:id="1" w:name="_Toc30065222"/>
      <w:r w:rsidRPr="006C061F">
        <w:rPr>
          <w:rFonts w:cstheme="minorHAnsi"/>
          <w:noProof/>
          <w:lang w:val="en-AU" w:eastAsia="en-AU"/>
        </w:rPr>
        <w:lastRenderedPageBreak/>
        <w:drawing>
          <wp:inline distT="0" distB="0" distL="0" distR="0" wp14:anchorId="43DB2BC2" wp14:editId="4A2A7A75">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4" r:link="rId15"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71D19FED" w14:textId="77777777" w:rsidR="008A059F" w:rsidRPr="006C061F" w:rsidRDefault="008A059F" w:rsidP="008A059F">
      <w:pPr>
        <w:spacing w:before="120" w:after="120" w:line="360" w:lineRule="auto"/>
        <w:rPr>
          <w:rFonts w:cstheme="minorHAnsi"/>
        </w:rPr>
      </w:pPr>
      <w:r w:rsidRPr="006C061F">
        <w:rPr>
          <w:rFonts w:cstheme="minorHAnsi"/>
        </w:rPr>
        <w:t xml:space="preserve">With the exception of the Commonwealth Coat of Arms, the Department’s logo, any material protected by a trade mark and where otherwise noted all material presented in this document is provided under a </w:t>
      </w:r>
      <w:hyperlink r:id="rId16" w:history="1">
        <w:r w:rsidRPr="006C061F">
          <w:rPr>
            <w:rStyle w:val="Hyperlink"/>
            <w:rFonts w:cstheme="minorHAnsi"/>
          </w:rPr>
          <w:t>Creative Commons Attribution 4.0 International</w:t>
        </w:r>
      </w:hyperlink>
      <w:r w:rsidRPr="006C061F">
        <w:rPr>
          <w:rFonts w:cstheme="minorHAnsi"/>
        </w:rPr>
        <w:t xml:space="preserve"> (https://creativecommons.org/licenses/by/4.0/) licence.</w:t>
      </w:r>
    </w:p>
    <w:p w14:paraId="11F13F5C" w14:textId="77777777" w:rsidR="008A059F" w:rsidRPr="006C061F" w:rsidRDefault="008A059F" w:rsidP="008A059F">
      <w:pPr>
        <w:spacing w:before="120" w:after="120" w:line="360" w:lineRule="auto"/>
        <w:rPr>
          <w:rFonts w:cstheme="minorHAnsi"/>
        </w:rPr>
      </w:pPr>
      <w:r w:rsidRPr="006C061F">
        <w:rPr>
          <w:rFonts w:cstheme="minorHAnsi"/>
        </w:rPr>
        <w:t xml:space="preserve">The details of the relevant licence conditions are available on the Creative Commons website (accessible using the links provided) as is the full legal code for the </w:t>
      </w:r>
      <w:hyperlink r:id="rId17" w:history="1">
        <w:r w:rsidRPr="006C061F">
          <w:rPr>
            <w:rStyle w:val="Hyperlink"/>
            <w:rFonts w:cstheme="minorHAnsi"/>
          </w:rPr>
          <w:t>CC BY 4.0 International</w:t>
        </w:r>
      </w:hyperlink>
      <w:r w:rsidRPr="006C061F">
        <w:rPr>
          <w:rFonts w:cstheme="minorHAnsi"/>
        </w:rPr>
        <w:t xml:space="preserve"> (https://creativecommons.org/licenses/by/4.0/legalcode)</w:t>
      </w:r>
    </w:p>
    <w:p w14:paraId="6F18746D" w14:textId="3F406733" w:rsidR="008A059F" w:rsidRPr="00C10812" w:rsidRDefault="008A059F" w:rsidP="008A059F">
      <w:pPr>
        <w:spacing w:before="120" w:after="120" w:line="360" w:lineRule="auto"/>
        <w:rPr>
          <w:rFonts w:ascii="Century Gothic" w:hAnsi="Century Gothic"/>
        </w:rPr>
      </w:pPr>
      <w:r w:rsidRPr="006C061F">
        <w:rPr>
          <w:rFonts w:cstheme="minorHAnsi"/>
        </w:rPr>
        <w:t xml:space="preserve">The document must be attributed as </w:t>
      </w:r>
      <w:r w:rsidRPr="004C0BD7">
        <w:rPr>
          <w:rFonts w:cstheme="minorHAnsi"/>
        </w:rPr>
        <w:t xml:space="preserve">Standing </w:t>
      </w:r>
      <w:r w:rsidR="0053497E">
        <w:rPr>
          <w:rFonts w:cstheme="minorHAnsi"/>
        </w:rPr>
        <w:t>u</w:t>
      </w:r>
      <w:r w:rsidRPr="004C0BD7">
        <w:rPr>
          <w:rFonts w:cstheme="minorHAnsi"/>
        </w:rPr>
        <w:t xml:space="preserve">p for </w:t>
      </w:r>
      <w:r w:rsidR="0053497E">
        <w:rPr>
          <w:rFonts w:cstheme="minorHAnsi"/>
        </w:rPr>
        <w:t>c</w:t>
      </w:r>
      <w:r w:rsidRPr="004C0BD7">
        <w:rPr>
          <w:rFonts w:cstheme="minorHAnsi"/>
        </w:rPr>
        <w:t xml:space="preserve">asual </w:t>
      </w:r>
      <w:r w:rsidR="0053497E">
        <w:rPr>
          <w:rFonts w:cstheme="minorHAnsi"/>
        </w:rPr>
        <w:t>w</w:t>
      </w:r>
      <w:r w:rsidRPr="004C0BD7">
        <w:rPr>
          <w:rFonts w:cstheme="minorHAnsi"/>
        </w:rPr>
        <w:t xml:space="preserve">orkers (OBPR22-02412) </w:t>
      </w:r>
      <w:r w:rsidR="00EC1C31">
        <w:rPr>
          <w:rFonts w:cstheme="minorHAnsi"/>
        </w:rPr>
        <w:t>Impact Analysis Equivalent</w:t>
      </w:r>
      <w:r w:rsidRPr="004C0BD7">
        <w:rPr>
          <w:rFonts w:cstheme="minorHAnsi"/>
        </w:rPr>
        <w:t>.</w:t>
      </w:r>
      <w:r w:rsidRPr="7612DB8E">
        <w:rPr>
          <w:rFonts w:ascii="Century Gothic" w:hAnsi="Century Gothic"/>
        </w:rPr>
        <w:br w:type="page"/>
      </w:r>
    </w:p>
    <w:p w14:paraId="183768CB" w14:textId="77777777" w:rsidR="008A059F" w:rsidRPr="00C10812" w:rsidRDefault="008A059F" w:rsidP="008A059F">
      <w:pPr>
        <w:spacing w:before="120" w:after="120" w:line="360" w:lineRule="auto"/>
        <w:rPr>
          <w:rFonts w:ascii="Century Gothic" w:hAnsi="Century Gothic"/>
        </w:rPr>
        <w:sectPr w:rsidR="008A059F" w:rsidRPr="00C10812" w:rsidSect="008A059F">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sdt>
      <w:sdtPr>
        <w:id w:val="1964429044"/>
        <w:docPartObj>
          <w:docPartGallery w:val="Table of Contents"/>
          <w:docPartUnique/>
        </w:docPartObj>
      </w:sdtPr>
      <w:sdtEndPr/>
      <w:sdtContent>
        <w:p w14:paraId="188E66CB" w14:textId="12102CAF" w:rsidR="00EB4CEE" w:rsidRDefault="008A059F" w:rsidP="00167540">
          <w:pPr>
            <w:pStyle w:val="TOC1"/>
            <w:rPr>
              <w:noProof/>
              <w:lang w:eastAsia="en-AU"/>
            </w:rPr>
          </w:pPr>
          <w:r w:rsidRPr="7612DB8E">
            <w:t>Contents</w:t>
          </w:r>
        </w:p>
        <w:p w14:paraId="58586CF1" w14:textId="4B076A4E" w:rsidR="00167540" w:rsidRDefault="008A059F" w:rsidP="00167540">
          <w:pPr>
            <w:pStyle w:val="TOC1"/>
            <w:rPr>
              <w:rFonts w:eastAsiaTheme="minorEastAsia"/>
              <w:noProof/>
              <w:kern w:val="2"/>
              <w:lang w:eastAsia="en-AU"/>
              <w14:ligatures w14:val="standardContextual"/>
            </w:rPr>
          </w:pPr>
          <w:r>
            <w:rPr>
              <w:rFonts w:ascii="Calibri" w:eastAsiaTheme="majorEastAsia" w:hAnsi="Calibri" w:cstheme="majorBidi"/>
              <w:color w:val="404246"/>
              <w:sz w:val="32"/>
              <w:szCs w:val="32"/>
            </w:rPr>
            <w:fldChar w:fldCharType="begin"/>
          </w:r>
          <w:r>
            <w:instrText>TOC \o "1-3" \h \z \u</w:instrText>
          </w:r>
          <w:r>
            <w:rPr>
              <w:rFonts w:ascii="Calibri" w:eastAsiaTheme="majorEastAsia" w:hAnsi="Calibri" w:cstheme="majorBidi"/>
              <w:color w:val="404246"/>
              <w:sz w:val="32"/>
              <w:szCs w:val="32"/>
            </w:rPr>
            <w:fldChar w:fldCharType="separate"/>
          </w:r>
          <w:hyperlink w:anchor="_Toc143252087" w:history="1">
            <w:r w:rsidR="00167540" w:rsidRPr="00AC0938">
              <w:rPr>
                <w:rStyle w:val="Hyperlink"/>
                <w:noProof/>
              </w:rPr>
              <w:t>Introduction</w:t>
            </w:r>
            <w:r w:rsidR="00167540">
              <w:rPr>
                <w:noProof/>
                <w:webHidden/>
              </w:rPr>
              <w:tab/>
            </w:r>
            <w:r w:rsidR="00167540">
              <w:rPr>
                <w:noProof/>
                <w:webHidden/>
              </w:rPr>
              <w:fldChar w:fldCharType="begin"/>
            </w:r>
            <w:r w:rsidR="00167540">
              <w:rPr>
                <w:noProof/>
                <w:webHidden/>
              </w:rPr>
              <w:instrText xml:space="preserve"> PAGEREF _Toc143252087 \h </w:instrText>
            </w:r>
            <w:r w:rsidR="00167540">
              <w:rPr>
                <w:noProof/>
                <w:webHidden/>
              </w:rPr>
            </w:r>
            <w:r w:rsidR="00167540">
              <w:rPr>
                <w:noProof/>
                <w:webHidden/>
              </w:rPr>
              <w:fldChar w:fldCharType="separate"/>
            </w:r>
            <w:r w:rsidR="005E4D3C">
              <w:rPr>
                <w:noProof/>
                <w:webHidden/>
              </w:rPr>
              <w:t>6</w:t>
            </w:r>
            <w:r w:rsidR="00167540">
              <w:rPr>
                <w:noProof/>
                <w:webHidden/>
              </w:rPr>
              <w:fldChar w:fldCharType="end"/>
            </w:r>
          </w:hyperlink>
        </w:p>
        <w:p w14:paraId="535846C1" w14:textId="0F65ADD5" w:rsidR="00167540" w:rsidRDefault="00AF23E0" w:rsidP="00167540">
          <w:pPr>
            <w:pStyle w:val="TOC1"/>
            <w:rPr>
              <w:rFonts w:eastAsiaTheme="minorEastAsia"/>
              <w:noProof/>
              <w:kern w:val="2"/>
              <w:lang w:eastAsia="en-AU"/>
              <w14:ligatures w14:val="standardContextual"/>
            </w:rPr>
          </w:pPr>
          <w:hyperlink w:anchor="_Toc143252088" w:history="1">
            <w:r w:rsidR="00167540" w:rsidRPr="00AC0938">
              <w:rPr>
                <w:rStyle w:val="Hyperlink"/>
                <w:noProof/>
              </w:rPr>
              <w:t>Overview of the Senate Select Committee on Job Security Inquiry (the Job Security Inquiry)</w:t>
            </w:r>
            <w:r w:rsidR="00167540">
              <w:rPr>
                <w:noProof/>
                <w:webHidden/>
              </w:rPr>
              <w:tab/>
            </w:r>
            <w:r w:rsidR="00167540">
              <w:rPr>
                <w:noProof/>
                <w:webHidden/>
              </w:rPr>
              <w:fldChar w:fldCharType="begin"/>
            </w:r>
            <w:r w:rsidR="00167540">
              <w:rPr>
                <w:noProof/>
                <w:webHidden/>
              </w:rPr>
              <w:instrText xml:space="preserve"> PAGEREF _Toc143252088 \h </w:instrText>
            </w:r>
            <w:r w:rsidR="00167540">
              <w:rPr>
                <w:noProof/>
                <w:webHidden/>
              </w:rPr>
            </w:r>
            <w:r w:rsidR="00167540">
              <w:rPr>
                <w:noProof/>
                <w:webHidden/>
              </w:rPr>
              <w:fldChar w:fldCharType="separate"/>
            </w:r>
            <w:r w:rsidR="005E4D3C">
              <w:rPr>
                <w:noProof/>
                <w:webHidden/>
              </w:rPr>
              <w:t>6</w:t>
            </w:r>
            <w:r w:rsidR="00167540">
              <w:rPr>
                <w:noProof/>
                <w:webHidden/>
              </w:rPr>
              <w:fldChar w:fldCharType="end"/>
            </w:r>
          </w:hyperlink>
        </w:p>
        <w:p w14:paraId="7C9F3599" w14:textId="57393DA4" w:rsidR="00167540" w:rsidRDefault="00AF23E0" w:rsidP="00167540">
          <w:pPr>
            <w:pStyle w:val="TOC1"/>
            <w:rPr>
              <w:rFonts w:eastAsiaTheme="minorEastAsia"/>
              <w:noProof/>
              <w:kern w:val="2"/>
              <w:lang w:eastAsia="en-AU"/>
              <w14:ligatures w14:val="standardContextual"/>
            </w:rPr>
          </w:pPr>
          <w:hyperlink w:anchor="_Toc143252089" w:history="1">
            <w:r w:rsidR="00167540" w:rsidRPr="00AC0938">
              <w:rPr>
                <w:rStyle w:val="Hyperlink"/>
                <w:noProof/>
              </w:rPr>
              <w:t xml:space="preserve">Overview of the statutory review of the </w:t>
            </w:r>
            <w:r w:rsidR="00167540" w:rsidRPr="00AC0938">
              <w:rPr>
                <w:rStyle w:val="Hyperlink"/>
                <w:i/>
                <w:iCs/>
                <w:noProof/>
                <w:lang w:eastAsia="en-AU"/>
              </w:rPr>
              <w:t>Fair Work Amendment (Supporting Australia's Jobs and Economic Recovery) Act 2021</w:t>
            </w:r>
            <w:r w:rsidR="00167540" w:rsidRPr="00AC0938">
              <w:rPr>
                <w:rStyle w:val="Hyperlink"/>
                <w:i/>
                <w:iCs/>
                <w:noProof/>
              </w:rPr>
              <w:t xml:space="preserve"> </w:t>
            </w:r>
            <w:r w:rsidR="00167540" w:rsidRPr="00AC0938">
              <w:rPr>
                <w:rStyle w:val="Hyperlink"/>
                <w:noProof/>
              </w:rPr>
              <w:t>(Cth) (the Review)</w:t>
            </w:r>
            <w:r w:rsidR="00167540">
              <w:rPr>
                <w:noProof/>
                <w:webHidden/>
              </w:rPr>
              <w:tab/>
            </w:r>
            <w:r w:rsidR="00167540">
              <w:rPr>
                <w:noProof/>
                <w:webHidden/>
              </w:rPr>
              <w:fldChar w:fldCharType="begin"/>
            </w:r>
            <w:r w:rsidR="00167540">
              <w:rPr>
                <w:noProof/>
                <w:webHidden/>
              </w:rPr>
              <w:instrText xml:space="preserve"> PAGEREF _Toc143252089 \h </w:instrText>
            </w:r>
            <w:r w:rsidR="00167540">
              <w:rPr>
                <w:noProof/>
                <w:webHidden/>
              </w:rPr>
            </w:r>
            <w:r w:rsidR="00167540">
              <w:rPr>
                <w:noProof/>
                <w:webHidden/>
              </w:rPr>
              <w:fldChar w:fldCharType="separate"/>
            </w:r>
            <w:r w:rsidR="005E4D3C">
              <w:rPr>
                <w:noProof/>
                <w:webHidden/>
              </w:rPr>
              <w:t>7</w:t>
            </w:r>
            <w:r w:rsidR="00167540">
              <w:rPr>
                <w:noProof/>
                <w:webHidden/>
              </w:rPr>
              <w:fldChar w:fldCharType="end"/>
            </w:r>
          </w:hyperlink>
        </w:p>
        <w:p w14:paraId="02D82679" w14:textId="46649DF9" w:rsidR="00167540" w:rsidRDefault="00AF23E0" w:rsidP="00167540">
          <w:pPr>
            <w:pStyle w:val="TOC1"/>
            <w:rPr>
              <w:rFonts w:eastAsiaTheme="minorEastAsia"/>
              <w:noProof/>
              <w:kern w:val="2"/>
              <w:lang w:eastAsia="en-AU"/>
              <w14:ligatures w14:val="standardContextual"/>
            </w:rPr>
          </w:pPr>
          <w:hyperlink w:anchor="_Toc143252090" w:history="1">
            <w:r w:rsidR="00167540" w:rsidRPr="00AC0938">
              <w:rPr>
                <w:rStyle w:val="Hyperlink"/>
                <w:noProof/>
              </w:rPr>
              <w:t>1.  What is the problem you are trying to solve and what data is available?</w:t>
            </w:r>
            <w:r w:rsidR="00167540">
              <w:rPr>
                <w:noProof/>
                <w:webHidden/>
              </w:rPr>
              <w:tab/>
            </w:r>
            <w:r w:rsidR="00167540">
              <w:rPr>
                <w:noProof/>
                <w:webHidden/>
              </w:rPr>
              <w:fldChar w:fldCharType="begin"/>
            </w:r>
            <w:r w:rsidR="00167540">
              <w:rPr>
                <w:noProof/>
                <w:webHidden/>
              </w:rPr>
              <w:instrText xml:space="preserve"> PAGEREF _Toc143252090 \h </w:instrText>
            </w:r>
            <w:r w:rsidR="00167540">
              <w:rPr>
                <w:noProof/>
                <w:webHidden/>
              </w:rPr>
            </w:r>
            <w:r w:rsidR="00167540">
              <w:rPr>
                <w:noProof/>
                <w:webHidden/>
              </w:rPr>
              <w:fldChar w:fldCharType="separate"/>
            </w:r>
            <w:r w:rsidR="005E4D3C">
              <w:rPr>
                <w:noProof/>
                <w:webHidden/>
              </w:rPr>
              <w:t>8</w:t>
            </w:r>
            <w:r w:rsidR="00167540">
              <w:rPr>
                <w:noProof/>
                <w:webHidden/>
              </w:rPr>
              <w:fldChar w:fldCharType="end"/>
            </w:r>
          </w:hyperlink>
        </w:p>
        <w:p w14:paraId="3948950C" w14:textId="21559B2D" w:rsidR="00167540" w:rsidRDefault="00AF23E0" w:rsidP="00167540">
          <w:pPr>
            <w:pStyle w:val="TOC1"/>
            <w:rPr>
              <w:rFonts w:eastAsiaTheme="minorEastAsia"/>
              <w:noProof/>
              <w:kern w:val="2"/>
              <w:lang w:eastAsia="en-AU"/>
              <w14:ligatures w14:val="standardContextual"/>
            </w:rPr>
          </w:pPr>
          <w:hyperlink w:anchor="_Toc143252091" w:history="1">
            <w:r w:rsidR="00167540" w:rsidRPr="00AC0938">
              <w:rPr>
                <w:rStyle w:val="Hyperlink"/>
                <w:noProof/>
              </w:rPr>
              <w:t>2. What are the objectives, why is government intervention needed to achieve them, and how will success be measured?</w:t>
            </w:r>
            <w:r w:rsidR="00167540">
              <w:rPr>
                <w:noProof/>
                <w:webHidden/>
              </w:rPr>
              <w:tab/>
            </w:r>
            <w:r w:rsidR="00167540">
              <w:rPr>
                <w:noProof/>
                <w:webHidden/>
              </w:rPr>
              <w:fldChar w:fldCharType="begin"/>
            </w:r>
            <w:r w:rsidR="00167540">
              <w:rPr>
                <w:noProof/>
                <w:webHidden/>
              </w:rPr>
              <w:instrText xml:space="preserve"> PAGEREF _Toc143252091 \h </w:instrText>
            </w:r>
            <w:r w:rsidR="00167540">
              <w:rPr>
                <w:noProof/>
                <w:webHidden/>
              </w:rPr>
            </w:r>
            <w:r w:rsidR="00167540">
              <w:rPr>
                <w:noProof/>
                <w:webHidden/>
              </w:rPr>
              <w:fldChar w:fldCharType="separate"/>
            </w:r>
            <w:r w:rsidR="005E4D3C">
              <w:rPr>
                <w:noProof/>
                <w:webHidden/>
              </w:rPr>
              <w:t>10</w:t>
            </w:r>
            <w:r w:rsidR="00167540">
              <w:rPr>
                <w:noProof/>
                <w:webHidden/>
              </w:rPr>
              <w:fldChar w:fldCharType="end"/>
            </w:r>
          </w:hyperlink>
        </w:p>
        <w:p w14:paraId="308AC3D5" w14:textId="5B76CFFE" w:rsidR="00167540" w:rsidRDefault="00AF23E0">
          <w:pPr>
            <w:pStyle w:val="TOC2"/>
            <w:rPr>
              <w:rFonts w:eastAsiaTheme="minorEastAsia"/>
              <w:noProof/>
              <w:kern w:val="2"/>
              <w:lang w:eastAsia="en-AU"/>
              <w14:ligatures w14:val="standardContextual"/>
            </w:rPr>
          </w:pPr>
          <w:hyperlink w:anchor="_Toc143252092" w:history="1">
            <w:r w:rsidR="00167540" w:rsidRPr="00AC0938">
              <w:rPr>
                <w:rStyle w:val="Hyperlink"/>
                <w:noProof/>
              </w:rPr>
              <w:t>Effects of long-term casual employment</w:t>
            </w:r>
            <w:r w:rsidR="00167540">
              <w:rPr>
                <w:noProof/>
                <w:webHidden/>
              </w:rPr>
              <w:tab/>
            </w:r>
            <w:r w:rsidR="00167540">
              <w:rPr>
                <w:noProof/>
                <w:webHidden/>
              </w:rPr>
              <w:fldChar w:fldCharType="begin"/>
            </w:r>
            <w:r w:rsidR="00167540">
              <w:rPr>
                <w:noProof/>
                <w:webHidden/>
              </w:rPr>
              <w:instrText xml:space="preserve"> PAGEREF _Toc143252092 \h </w:instrText>
            </w:r>
            <w:r w:rsidR="00167540">
              <w:rPr>
                <w:noProof/>
                <w:webHidden/>
              </w:rPr>
            </w:r>
            <w:r w:rsidR="00167540">
              <w:rPr>
                <w:noProof/>
                <w:webHidden/>
              </w:rPr>
              <w:fldChar w:fldCharType="separate"/>
            </w:r>
            <w:r w:rsidR="005E4D3C">
              <w:rPr>
                <w:noProof/>
                <w:webHidden/>
              </w:rPr>
              <w:t>10</w:t>
            </w:r>
            <w:r w:rsidR="00167540">
              <w:rPr>
                <w:noProof/>
                <w:webHidden/>
              </w:rPr>
              <w:fldChar w:fldCharType="end"/>
            </w:r>
          </w:hyperlink>
        </w:p>
        <w:p w14:paraId="56877E05" w14:textId="042B2A6B" w:rsidR="00167540" w:rsidRDefault="00AF23E0">
          <w:pPr>
            <w:pStyle w:val="TOC2"/>
            <w:rPr>
              <w:rFonts w:eastAsiaTheme="minorEastAsia"/>
              <w:noProof/>
              <w:kern w:val="2"/>
              <w:lang w:eastAsia="en-AU"/>
              <w14:ligatures w14:val="standardContextual"/>
            </w:rPr>
          </w:pPr>
          <w:hyperlink w:anchor="_Toc143252093" w:history="1">
            <w:r w:rsidR="00167540" w:rsidRPr="00AC0938">
              <w:rPr>
                <w:rStyle w:val="Hyperlink"/>
                <w:noProof/>
              </w:rPr>
              <w:t>Current casual employment framework embeds job insecurity</w:t>
            </w:r>
            <w:r w:rsidR="00167540">
              <w:rPr>
                <w:noProof/>
                <w:webHidden/>
              </w:rPr>
              <w:tab/>
            </w:r>
            <w:r w:rsidR="00167540">
              <w:rPr>
                <w:noProof/>
                <w:webHidden/>
              </w:rPr>
              <w:fldChar w:fldCharType="begin"/>
            </w:r>
            <w:r w:rsidR="00167540">
              <w:rPr>
                <w:noProof/>
                <w:webHidden/>
              </w:rPr>
              <w:instrText xml:space="preserve"> PAGEREF _Toc143252093 \h </w:instrText>
            </w:r>
            <w:r w:rsidR="00167540">
              <w:rPr>
                <w:noProof/>
                <w:webHidden/>
              </w:rPr>
            </w:r>
            <w:r w:rsidR="00167540">
              <w:rPr>
                <w:noProof/>
                <w:webHidden/>
              </w:rPr>
              <w:fldChar w:fldCharType="separate"/>
            </w:r>
            <w:r w:rsidR="005E4D3C">
              <w:rPr>
                <w:noProof/>
                <w:webHidden/>
              </w:rPr>
              <w:t>11</w:t>
            </w:r>
            <w:r w:rsidR="00167540">
              <w:rPr>
                <w:noProof/>
                <w:webHidden/>
              </w:rPr>
              <w:fldChar w:fldCharType="end"/>
            </w:r>
          </w:hyperlink>
        </w:p>
        <w:p w14:paraId="26FA7623" w14:textId="308C82B3" w:rsidR="00167540" w:rsidRDefault="00AF23E0">
          <w:pPr>
            <w:pStyle w:val="TOC2"/>
            <w:rPr>
              <w:rFonts w:eastAsiaTheme="minorEastAsia"/>
              <w:noProof/>
              <w:kern w:val="2"/>
              <w:lang w:eastAsia="en-AU"/>
              <w14:ligatures w14:val="standardContextual"/>
            </w:rPr>
          </w:pPr>
          <w:hyperlink w:anchor="_Toc143252094" w:history="1">
            <w:r w:rsidR="00167540" w:rsidRPr="00AC0938">
              <w:rPr>
                <w:rStyle w:val="Hyperlink"/>
                <w:noProof/>
              </w:rPr>
              <w:t>Limited</w:t>
            </w:r>
            <w:r w:rsidR="00167540" w:rsidRPr="00AC0938">
              <w:rPr>
                <w:rStyle w:val="Hyperlink"/>
                <w:i/>
                <w:iCs/>
                <w:noProof/>
              </w:rPr>
              <w:t xml:space="preserve"> </w:t>
            </w:r>
            <w:r w:rsidR="00167540" w:rsidRPr="00AC0938">
              <w:rPr>
                <w:rStyle w:val="Hyperlink"/>
                <w:noProof/>
              </w:rPr>
              <w:t>conversion has occurred under the current framework</w:t>
            </w:r>
            <w:r w:rsidR="00167540">
              <w:rPr>
                <w:noProof/>
                <w:webHidden/>
              </w:rPr>
              <w:tab/>
            </w:r>
            <w:r w:rsidR="00167540">
              <w:rPr>
                <w:noProof/>
                <w:webHidden/>
              </w:rPr>
              <w:fldChar w:fldCharType="begin"/>
            </w:r>
            <w:r w:rsidR="00167540">
              <w:rPr>
                <w:noProof/>
                <w:webHidden/>
              </w:rPr>
              <w:instrText xml:space="preserve"> PAGEREF _Toc143252094 \h </w:instrText>
            </w:r>
            <w:r w:rsidR="00167540">
              <w:rPr>
                <w:noProof/>
                <w:webHidden/>
              </w:rPr>
            </w:r>
            <w:r w:rsidR="00167540">
              <w:rPr>
                <w:noProof/>
                <w:webHidden/>
              </w:rPr>
              <w:fldChar w:fldCharType="separate"/>
            </w:r>
            <w:r w:rsidR="005E4D3C">
              <w:rPr>
                <w:noProof/>
                <w:webHidden/>
              </w:rPr>
              <w:t>12</w:t>
            </w:r>
            <w:r w:rsidR="00167540">
              <w:rPr>
                <w:noProof/>
                <w:webHidden/>
              </w:rPr>
              <w:fldChar w:fldCharType="end"/>
            </w:r>
          </w:hyperlink>
        </w:p>
        <w:p w14:paraId="7192DAE7" w14:textId="2FAE9AE6" w:rsidR="00167540" w:rsidRDefault="00AF23E0">
          <w:pPr>
            <w:pStyle w:val="TOC3"/>
            <w:rPr>
              <w:rFonts w:eastAsiaTheme="minorEastAsia"/>
              <w:noProof/>
              <w:kern w:val="2"/>
              <w:lang w:eastAsia="en-AU"/>
              <w14:ligatures w14:val="standardContextual"/>
            </w:rPr>
          </w:pPr>
          <w:hyperlink w:anchor="_Toc143252095" w:history="1">
            <w:r w:rsidR="00167540" w:rsidRPr="00AC0938">
              <w:rPr>
                <w:rStyle w:val="Hyperlink"/>
                <w:noProof/>
              </w:rPr>
              <w:t>Measurement</w:t>
            </w:r>
            <w:r w:rsidR="00167540">
              <w:rPr>
                <w:noProof/>
                <w:webHidden/>
              </w:rPr>
              <w:tab/>
            </w:r>
            <w:r w:rsidR="00167540">
              <w:rPr>
                <w:noProof/>
                <w:webHidden/>
              </w:rPr>
              <w:fldChar w:fldCharType="begin"/>
            </w:r>
            <w:r w:rsidR="00167540">
              <w:rPr>
                <w:noProof/>
                <w:webHidden/>
              </w:rPr>
              <w:instrText xml:space="preserve"> PAGEREF _Toc143252095 \h </w:instrText>
            </w:r>
            <w:r w:rsidR="00167540">
              <w:rPr>
                <w:noProof/>
                <w:webHidden/>
              </w:rPr>
            </w:r>
            <w:r w:rsidR="00167540">
              <w:rPr>
                <w:noProof/>
                <w:webHidden/>
              </w:rPr>
              <w:fldChar w:fldCharType="separate"/>
            </w:r>
            <w:r w:rsidR="005E4D3C">
              <w:rPr>
                <w:noProof/>
                <w:webHidden/>
              </w:rPr>
              <w:t>13</w:t>
            </w:r>
            <w:r w:rsidR="00167540">
              <w:rPr>
                <w:noProof/>
                <w:webHidden/>
              </w:rPr>
              <w:fldChar w:fldCharType="end"/>
            </w:r>
          </w:hyperlink>
        </w:p>
        <w:p w14:paraId="29E4C6FB" w14:textId="3B32F85F" w:rsidR="00167540" w:rsidRDefault="00AF23E0" w:rsidP="00167540">
          <w:pPr>
            <w:pStyle w:val="TOC1"/>
            <w:rPr>
              <w:rFonts w:eastAsiaTheme="minorEastAsia"/>
              <w:noProof/>
              <w:kern w:val="2"/>
              <w:lang w:eastAsia="en-AU"/>
              <w14:ligatures w14:val="standardContextual"/>
            </w:rPr>
          </w:pPr>
          <w:hyperlink w:anchor="_Toc143252096" w:history="1">
            <w:r w:rsidR="00167540" w:rsidRPr="00AC0938">
              <w:rPr>
                <w:rStyle w:val="Hyperlink"/>
                <w:noProof/>
              </w:rPr>
              <w:t>3. What policy options are you considering?</w:t>
            </w:r>
            <w:r w:rsidR="00167540">
              <w:rPr>
                <w:noProof/>
                <w:webHidden/>
              </w:rPr>
              <w:tab/>
            </w:r>
            <w:r w:rsidR="00167540">
              <w:rPr>
                <w:noProof/>
                <w:webHidden/>
              </w:rPr>
              <w:fldChar w:fldCharType="begin"/>
            </w:r>
            <w:r w:rsidR="00167540">
              <w:rPr>
                <w:noProof/>
                <w:webHidden/>
              </w:rPr>
              <w:instrText xml:space="preserve"> PAGEREF _Toc143252096 \h </w:instrText>
            </w:r>
            <w:r w:rsidR="00167540">
              <w:rPr>
                <w:noProof/>
                <w:webHidden/>
              </w:rPr>
            </w:r>
            <w:r w:rsidR="00167540">
              <w:rPr>
                <w:noProof/>
                <w:webHidden/>
              </w:rPr>
              <w:fldChar w:fldCharType="separate"/>
            </w:r>
            <w:r w:rsidR="005E4D3C">
              <w:rPr>
                <w:noProof/>
                <w:webHidden/>
              </w:rPr>
              <w:t>13</w:t>
            </w:r>
            <w:r w:rsidR="00167540">
              <w:rPr>
                <w:noProof/>
                <w:webHidden/>
              </w:rPr>
              <w:fldChar w:fldCharType="end"/>
            </w:r>
          </w:hyperlink>
        </w:p>
        <w:p w14:paraId="48B256C9" w14:textId="19B46E03" w:rsidR="00167540" w:rsidRDefault="00AF23E0" w:rsidP="00167540">
          <w:pPr>
            <w:pStyle w:val="TOC1"/>
            <w:rPr>
              <w:rFonts w:eastAsiaTheme="minorEastAsia"/>
              <w:noProof/>
              <w:kern w:val="2"/>
              <w:lang w:eastAsia="en-AU"/>
              <w14:ligatures w14:val="standardContextual"/>
            </w:rPr>
          </w:pPr>
          <w:hyperlink w:anchor="_Toc143252097" w:history="1">
            <w:r w:rsidR="00167540" w:rsidRPr="00AC0938">
              <w:rPr>
                <w:rStyle w:val="Hyperlink"/>
                <w:noProof/>
              </w:rPr>
              <w:t>4.  What is the likely net benefit of each option?</w:t>
            </w:r>
            <w:r w:rsidR="00167540">
              <w:rPr>
                <w:noProof/>
                <w:webHidden/>
              </w:rPr>
              <w:tab/>
            </w:r>
            <w:r w:rsidR="00167540">
              <w:rPr>
                <w:noProof/>
                <w:webHidden/>
              </w:rPr>
              <w:fldChar w:fldCharType="begin"/>
            </w:r>
            <w:r w:rsidR="00167540">
              <w:rPr>
                <w:noProof/>
                <w:webHidden/>
              </w:rPr>
              <w:instrText xml:space="preserve"> PAGEREF _Toc143252097 \h </w:instrText>
            </w:r>
            <w:r w:rsidR="00167540">
              <w:rPr>
                <w:noProof/>
                <w:webHidden/>
              </w:rPr>
            </w:r>
            <w:r w:rsidR="00167540">
              <w:rPr>
                <w:noProof/>
                <w:webHidden/>
              </w:rPr>
              <w:fldChar w:fldCharType="separate"/>
            </w:r>
            <w:r w:rsidR="005E4D3C">
              <w:rPr>
                <w:noProof/>
                <w:webHidden/>
              </w:rPr>
              <w:t>14</w:t>
            </w:r>
            <w:r w:rsidR="00167540">
              <w:rPr>
                <w:noProof/>
                <w:webHidden/>
              </w:rPr>
              <w:fldChar w:fldCharType="end"/>
            </w:r>
          </w:hyperlink>
        </w:p>
        <w:p w14:paraId="7CB8416C" w14:textId="5BC09211" w:rsidR="00167540" w:rsidRDefault="00AF23E0">
          <w:pPr>
            <w:pStyle w:val="TOC2"/>
            <w:rPr>
              <w:rFonts w:eastAsiaTheme="minorEastAsia"/>
              <w:noProof/>
              <w:kern w:val="2"/>
              <w:lang w:eastAsia="en-AU"/>
              <w14:ligatures w14:val="standardContextual"/>
            </w:rPr>
          </w:pPr>
          <w:hyperlink w:anchor="_Toc143252098" w:history="1">
            <w:r w:rsidR="00167540" w:rsidRPr="00AC0938">
              <w:rPr>
                <w:rStyle w:val="Hyperlink"/>
                <w:noProof/>
              </w:rPr>
              <w:t>For employers</w:t>
            </w:r>
            <w:r w:rsidR="00167540">
              <w:rPr>
                <w:noProof/>
                <w:webHidden/>
              </w:rPr>
              <w:tab/>
            </w:r>
            <w:r w:rsidR="00167540">
              <w:rPr>
                <w:noProof/>
                <w:webHidden/>
              </w:rPr>
              <w:fldChar w:fldCharType="begin"/>
            </w:r>
            <w:r w:rsidR="00167540">
              <w:rPr>
                <w:noProof/>
                <w:webHidden/>
              </w:rPr>
              <w:instrText xml:space="preserve"> PAGEREF _Toc143252098 \h </w:instrText>
            </w:r>
            <w:r w:rsidR="00167540">
              <w:rPr>
                <w:noProof/>
                <w:webHidden/>
              </w:rPr>
            </w:r>
            <w:r w:rsidR="00167540">
              <w:rPr>
                <w:noProof/>
                <w:webHidden/>
              </w:rPr>
              <w:fldChar w:fldCharType="separate"/>
            </w:r>
            <w:r w:rsidR="005E4D3C">
              <w:rPr>
                <w:noProof/>
                <w:webHidden/>
              </w:rPr>
              <w:t>14</w:t>
            </w:r>
            <w:r w:rsidR="00167540">
              <w:rPr>
                <w:noProof/>
                <w:webHidden/>
              </w:rPr>
              <w:fldChar w:fldCharType="end"/>
            </w:r>
          </w:hyperlink>
        </w:p>
        <w:p w14:paraId="43B2B55C" w14:textId="5DDFCE73" w:rsidR="00167540" w:rsidRDefault="00AF23E0">
          <w:pPr>
            <w:pStyle w:val="TOC2"/>
            <w:rPr>
              <w:rFonts w:eastAsiaTheme="minorEastAsia"/>
              <w:noProof/>
              <w:kern w:val="2"/>
              <w:lang w:eastAsia="en-AU"/>
              <w14:ligatures w14:val="standardContextual"/>
            </w:rPr>
          </w:pPr>
          <w:hyperlink w:anchor="_Toc143252099" w:history="1">
            <w:r w:rsidR="00167540" w:rsidRPr="00AC0938">
              <w:rPr>
                <w:rStyle w:val="Hyperlink"/>
                <w:noProof/>
              </w:rPr>
              <w:t>For employees</w:t>
            </w:r>
            <w:r w:rsidR="00167540">
              <w:rPr>
                <w:noProof/>
                <w:webHidden/>
              </w:rPr>
              <w:tab/>
            </w:r>
            <w:r w:rsidR="00167540">
              <w:rPr>
                <w:noProof/>
                <w:webHidden/>
              </w:rPr>
              <w:fldChar w:fldCharType="begin"/>
            </w:r>
            <w:r w:rsidR="00167540">
              <w:rPr>
                <w:noProof/>
                <w:webHidden/>
              </w:rPr>
              <w:instrText xml:space="preserve"> PAGEREF _Toc143252099 \h </w:instrText>
            </w:r>
            <w:r w:rsidR="00167540">
              <w:rPr>
                <w:noProof/>
                <w:webHidden/>
              </w:rPr>
            </w:r>
            <w:r w:rsidR="00167540">
              <w:rPr>
                <w:noProof/>
                <w:webHidden/>
              </w:rPr>
              <w:fldChar w:fldCharType="separate"/>
            </w:r>
            <w:r w:rsidR="005E4D3C">
              <w:rPr>
                <w:noProof/>
                <w:webHidden/>
              </w:rPr>
              <w:t>16</w:t>
            </w:r>
            <w:r w:rsidR="00167540">
              <w:rPr>
                <w:noProof/>
                <w:webHidden/>
              </w:rPr>
              <w:fldChar w:fldCharType="end"/>
            </w:r>
          </w:hyperlink>
        </w:p>
        <w:p w14:paraId="39E45E44" w14:textId="10A53F8D" w:rsidR="00167540" w:rsidRDefault="00AF23E0" w:rsidP="00167540">
          <w:pPr>
            <w:pStyle w:val="TOC1"/>
            <w:rPr>
              <w:rFonts w:eastAsiaTheme="minorEastAsia"/>
              <w:noProof/>
              <w:kern w:val="2"/>
              <w:lang w:eastAsia="en-AU"/>
              <w14:ligatures w14:val="standardContextual"/>
            </w:rPr>
          </w:pPr>
          <w:hyperlink w:anchor="_Toc143252100" w:history="1">
            <w:r w:rsidR="00167540" w:rsidRPr="00AC0938">
              <w:rPr>
                <w:rStyle w:val="Hyperlink"/>
                <w:noProof/>
              </w:rPr>
              <w:t>5.  Who did you consult and how did you incorporate their feedback?</w:t>
            </w:r>
            <w:r w:rsidR="00167540">
              <w:rPr>
                <w:noProof/>
                <w:webHidden/>
              </w:rPr>
              <w:tab/>
            </w:r>
            <w:r w:rsidR="00167540">
              <w:rPr>
                <w:noProof/>
                <w:webHidden/>
              </w:rPr>
              <w:fldChar w:fldCharType="begin"/>
            </w:r>
            <w:r w:rsidR="00167540">
              <w:rPr>
                <w:noProof/>
                <w:webHidden/>
              </w:rPr>
              <w:instrText xml:space="preserve"> PAGEREF _Toc143252100 \h </w:instrText>
            </w:r>
            <w:r w:rsidR="00167540">
              <w:rPr>
                <w:noProof/>
                <w:webHidden/>
              </w:rPr>
            </w:r>
            <w:r w:rsidR="00167540">
              <w:rPr>
                <w:noProof/>
                <w:webHidden/>
              </w:rPr>
              <w:fldChar w:fldCharType="separate"/>
            </w:r>
            <w:r w:rsidR="005E4D3C">
              <w:rPr>
                <w:noProof/>
                <w:webHidden/>
              </w:rPr>
              <w:t>17</w:t>
            </w:r>
            <w:r w:rsidR="00167540">
              <w:rPr>
                <w:noProof/>
                <w:webHidden/>
              </w:rPr>
              <w:fldChar w:fldCharType="end"/>
            </w:r>
          </w:hyperlink>
        </w:p>
        <w:p w14:paraId="09013A5D" w14:textId="11D9F549" w:rsidR="00167540" w:rsidRDefault="00AF23E0">
          <w:pPr>
            <w:pStyle w:val="TOC3"/>
            <w:rPr>
              <w:rFonts w:eastAsiaTheme="minorEastAsia"/>
              <w:noProof/>
              <w:kern w:val="2"/>
              <w:lang w:eastAsia="en-AU"/>
              <w14:ligatures w14:val="standardContextual"/>
            </w:rPr>
          </w:pPr>
          <w:hyperlink w:anchor="_Toc143252101" w:history="1">
            <w:r w:rsidR="00167540" w:rsidRPr="00AC0938">
              <w:rPr>
                <w:rStyle w:val="Hyperlink"/>
                <w:noProof/>
              </w:rPr>
              <w:t>Consultation through the Job Security Inquiry</w:t>
            </w:r>
            <w:r w:rsidR="00167540">
              <w:rPr>
                <w:noProof/>
                <w:webHidden/>
              </w:rPr>
              <w:tab/>
            </w:r>
            <w:r w:rsidR="00167540">
              <w:rPr>
                <w:noProof/>
                <w:webHidden/>
              </w:rPr>
              <w:fldChar w:fldCharType="begin"/>
            </w:r>
            <w:r w:rsidR="00167540">
              <w:rPr>
                <w:noProof/>
                <w:webHidden/>
              </w:rPr>
              <w:instrText xml:space="preserve"> PAGEREF _Toc143252101 \h </w:instrText>
            </w:r>
            <w:r w:rsidR="00167540">
              <w:rPr>
                <w:noProof/>
                <w:webHidden/>
              </w:rPr>
            </w:r>
            <w:r w:rsidR="00167540">
              <w:rPr>
                <w:noProof/>
                <w:webHidden/>
              </w:rPr>
              <w:fldChar w:fldCharType="separate"/>
            </w:r>
            <w:r w:rsidR="005E4D3C">
              <w:rPr>
                <w:noProof/>
                <w:webHidden/>
              </w:rPr>
              <w:t>17</w:t>
            </w:r>
            <w:r w:rsidR="00167540">
              <w:rPr>
                <w:noProof/>
                <w:webHidden/>
              </w:rPr>
              <w:fldChar w:fldCharType="end"/>
            </w:r>
          </w:hyperlink>
        </w:p>
        <w:p w14:paraId="0F28A53B" w14:textId="2C936C9B" w:rsidR="00167540" w:rsidRDefault="00AF23E0">
          <w:pPr>
            <w:pStyle w:val="TOC3"/>
            <w:rPr>
              <w:rFonts w:eastAsiaTheme="minorEastAsia"/>
              <w:noProof/>
              <w:kern w:val="2"/>
              <w:lang w:eastAsia="en-AU"/>
              <w14:ligatures w14:val="standardContextual"/>
            </w:rPr>
          </w:pPr>
          <w:hyperlink w:anchor="_Toc143252102" w:history="1">
            <w:r w:rsidR="00167540" w:rsidRPr="00AC0938">
              <w:rPr>
                <w:rStyle w:val="Hyperlink"/>
                <w:noProof/>
              </w:rPr>
              <w:t>Consultation through the Review</w:t>
            </w:r>
            <w:r w:rsidR="00167540">
              <w:rPr>
                <w:noProof/>
                <w:webHidden/>
              </w:rPr>
              <w:tab/>
            </w:r>
            <w:r w:rsidR="00167540">
              <w:rPr>
                <w:noProof/>
                <w:webHidden/>
              </w:rPr>
              <w:fldChar w:fldCharType="begin"/>
            </w:r>
            <w:r w:rsidR="00167540">
              <w:rPr>
                <w:noProof/>
                <w:webHidden/>
              </w:rPr>
              <w:instrText xml:space="preserve"> PAGEREF _Toc143252102 \h </w:instrText>
            </w:r>
            <w:r w:rsidR="00167540">
              <w:rPr>
                <w:noProof/>
                <w:webHidden/>
              </w:rPr>
            </w:r>
            <w:r w:rsidR="00167540">
              <w:rPr>
                <w:noProof/>
                <w:webHidden/>
              </w:rPr>
              <w:fldChar w:fldCharType="separate"/>
            </w:r>
            <w:r w:rsidR="005E4D3C">
              <w:rPr>
                <w:noProof/>
                <w:webHidden/>
              </w:rPr>
              <w:t>17</w:t>
            </w:r>
            <w:r w:rsidR="00167540">
              <w:rPr>
                <w:noProof/>
                <w:webHidden/>
              </w:rPr>
              <w:fldChar w:fldCharType="end"/>
            </w:r>
          </w:hyperlink>
        </w:p>
        <w:p w14:paraId="255778B0" w14:textId="39E43308" w:rsidR="00167540" w:rsidRDefault="00AF23E0" w:rsidP="00167540">
          <w:pPr>
            <w:pStyle w:val="TOC1"/>
            <w:rPr>
              <w:rFonts w:eastAsiaTheme="minorEastAsia"/>
              <w:noProof/>
              <w:kern w:val="2"/>
              <w:lang w:eastAsia="en-AU"/>
              <w14:ligatures w14:val="standardContextual"/>
            </w:rPr>
          </w:pPr>
          <w:hyperlink w:anchor="_Toc143252103" w:history="1">
            <w:r w:rsidR="00167540" w:rsidRPr="00AC0938">
              <w:rPr>
                <w:rStyle w:val="Hyperlink"/>
                <w:noProof/>
              </w:rPr>
              <w:t>6. What is the best option from those you have considered and how will it be implemented?</w:t>
            </w:r>
            <w:r w:rsidR="00167540">
              <w:rPr>
                <w:noProof/>
                <w:webHidden/>
              </w:rPr>
              <w:tab/>
            </w:r>
            <w:r w:rsidR="00167540">
              <w:rPr>
                <w:noProof/>
                <w:webHidden/>
              </w:rPr>
              <w:fldChar w:fldCharType="begin"/>
            </w:r>
            <w:r w:rsidR="00167540">
              <w:rPr>
                <w:noProof/>
                <w:webHidden/>
              </w:rPr>
              <w:instrText xml:space="preserve"> PAGEREF _Toc143252103 \h </w:instrText>
            </w:r>
            <w:r w:rsidR="00167540">
              <w:rPr>
                <w:noProof/>
                <w:webHidden/>
              </w:rPr>
            </w:r>
            <w:r w:rsidR="00167540">
              <w:rPr>
                <w:noProof/>
                <w:webHidden/>
              </w:rPr>
              <w:fldChar w:fldCharType="separate"/>
            </w:r>
            <w:r w:rsidR="005E4D3C">
              <w:rPr>
                <w:noProof/>
                <w:webHidden/>
              </w:rPr>
              <w:t>19</w:t>
            </w:r>
            <w:r w:rsidR="00167540">
              <w:rPr>
                <w:noProof/>
                <w:webHidden/>
              </w:rPr>
              <w:fldChar w:fldCharType="end"/>
            </w:r>
          </w:hyperlink>
        </w:p>
        <w:p w14:paraId="27BDD0E1" w14:textId="01040ADF" w:rsidR="00167540" w:rsidRDefault="00AF23E0" w:rsidP="00167540">
          <w:pPr>
            <w:pStyle w:val="TOC1"/>
            <w:rPr>
              <w:rFonts w:eastAsiaTheme="minorEastAsia"/>
              <w:noProof/>
              <w:kern w:val="2"/>
              <w:lang w:eastAsia="en-AU"/>
              <w14:ligatures w14:val="standardContextual"/>
            </w:rPr>
          </w:pPr>
          <w:hyperlink w:anchor="_Toc143252104" w:history="1">
            <w:r w:rsidR="00167540" w:rsidRPr="00AC0938">
              <w:rPr>
                <w:rStyle w:val="Hyperlink"/>
                <w:noProof/>
              </w:rPr>
              <w:t>7.  How will you evaluate your chosen option against the success metrics?</w:t>
            </w:r>
            <w:r w:rsidR="00167540">
              <w:rPr>
                <w:noProof/>
                <w:webHidden/>
              </w:rPr>
              <w:tab/>
            </w:r>
            <w:r w:rsidR="00167540">
              <w:rPr>
                <w:noProof/>
                <w:webHidden/>
              </w:rPr>
              <w:fldChar w:fldCharType="begin"/>
            </w:r>
            <w:r w:rsidR="00167540">
              <w:rPr>
                <w:noProof/>
                <w:webHidden/>
              </w:rPr>
              <w:instrText xml:space="preserve"> PAGEREF _Toc143252104 \h </w:instrText>
            </w:r>
            <w:r w:rsidR="00167540">
              <w:rPr>
                <w:noProof/>
                <w:webHidden/>
              </w:rPr>
            </w:r>
            <w:r w:rsidR="00167540">
              <w:rPr>
                <w:noProof/>
                <w:webHidden/>
              </w:rPr>
              <w:fldChar w:fldCharType="separate"/>
            </w:r>
            <w:r w:rsidR="005E4D3C">
              <w:rPr>
                <w:noProof/>
                <w:webHidden/>
              </w:rPr>
              <w:t>20</w:t>
            </w:r>
            <w:r w:rsidR="00167540">
              <w:rPr>
                <w:noProof/>
                <w:webHidden/>
              </w:rPr>
              <w:fldChar w:fldCharType="end"/>
            </w:r>
          </w:hyperlink>
        </w:p>
        <w:p w14:paraId="38031284" w14:textId="11106203" w:rsidR="00167540" w:rsidRDefault="00AF23E0">
          <w:pPr>
            <w:pStyle w:val="TOC3"/>
            <w:rPr>
              <w:rFonts w:eastAsiaTheme="minorEastAsia"/>
              <w:noProof/>
              <w:kern w:val="2"/>
              <w:lang w:eastAsia="en-AU"/>
              <w14:ligatures w14:val="standardContextual"/>
            </w:rPr>
          </w:pPr>
          <w:hyperlink w:anchor="_Toc143252105" w:history="1">
            <w:r w:rsidR="00167540" w:rsidRPr="00AC0938">
              <w:rPr>
                <w:rStyle w:val="Hyperlink"/>
                <w:noProof/>
              </w:rPr>
              <w:t>New data to support monitoring and evaluation</w:t>
            </w:r>
            <w:r w:rsidR="00167540">
              <w:rPr>
                <w:noProof/>
                <w:webHidden/>
              </w:rPr>
              <w:tab/>
            </w:r>
            <w:r w:rsidR="00167540">
              <w:rPr>
                <w:noProof/>
                <w:webHidden/>
              </w:rPr>
              <w:fldChar w:fldCharType="begin"/>
            </w:r>
            <w:r w:rsidR="00167540">
              <w:rPr>
                <w:noProof/>
                <w:webHidden/>
              </w:rPr>
              <w:instrText xml:space="preserve"> PAGEREF _Toc143252105 \h </w:instrText>
            </w:r>
            <w:r w:rsidR="00167540">
              <w:rPr>
                <w:noProof/>
                <w:webHidden/>
              </w:rPr>
            </w:r>
            <w:r w:rsidR="00167540">
              <w:rPr>
                <w:noProof/>
                <w:webHidden/>
              </w:rPr>
              <w:fldChar w:fldCharType="separate"/>
            </w:r>
            <w:r w:rsidR="005E4D3C">
              <w:rPr>
                <w:noProof/>
                <w:webHidden/>
              </w:rPr>
              <w:t>21</w:t>
            </w:r>
            <w:r w:rsidR="00167540">
              <w:rPr>
                <w:noProof/>
                <w:webHidden/>
              </w:rPr>
              <w:fldChar w:fldCharType="end"/>
            </w:r>
          </w:hyperlink>
        </w:p>
        <w:p w14:paraId="68EA366E" w14:textId="01D730F3" w:rsidR="00167540" w:rsidRDefault="00AF23E0" w:rsidP="00167540">
          <w:pPr>
            <w:pStyle w:val="TOC1"/>
            <w:rPr>
              <w:rFonts w:eastAsiaTheme="minorEastAsia"/>
              <w:noProof/>
              <w:kern w:val="2"/>
              <w:lang w:eastAsia="en-AU"/>
              <w14:ligatures w14:val="standardContextual"/>
            </w:rPr>
          </w:pPr>
          <w:hyperlink w:anchor="_Toc143252106" w:history="1">
            <w:r w:rsidR="00167540" w:rsidRPr="00AC0938">
              <w:rPr>
                <w:rStyle w:val="Hyperlink"/>
                <w:noProof/>
              </w:rPr>
              <w:t>Standing up for casual workers - regulatory costings</w:t>
            </w:r>
            <w:r w:rsidR="00167540">
              <w:rPr>
                <w:noProof/>
                <w:webHidden/>
              </w:rPr>
              <w:tab/>
            </w:r>
            <w:r w:rsidR="00167540">
              <w:rPr>
                <w:noProof/>
                <w:webHidden/>
              </w:rPr>
              <w:fldChar w:fldCharType="begin"/>
            </w:r>
            <w:r w:rsidR="00167540">
              <w:rPr>
                <w:noProof/>
                <w:webHidden/>
              </w:rPr>
              <w:instrText xml:space="preserve"> PAGEREF _Toc143252106 \h </w:instrText>
            </w:r>
            <w:r w:rsidR="00167540">
              <w:rPr>
                <w:noProof/>
                <w:webHidden/>
              </w:rPr>
            </w:r>
            <w:r w:rsidR="00167540">
              <w:rPr>
                <w:noProof/>
                <w:webHidden/>
              </w:rPr>
              <w:fldChar w:fldCharType="separate"/>
            </w:r>
            <w:r w:rsidR="005E4D3C">
              <w:rPr>
                <w:noProof/>
                <w:webHidden/>
              </w:rPr>
              <w:t>23</w:t>
            </w:r>
            <w:r w:rsidR="00167540">
              <w:rPr>
                <w:noProof/>
                <w:webHidden/>
              </w:rPr>
              <w:fldChar w:fldCharType="end"/>
            </w:r>
          </w:hyperlink>
        </w:p>
        <w:p w14:paraId="7C370A0D" w14:textId="65BCC1E8" w:rsidR="00167540" w:rsidRDefault="00AF23E0">
          <w:pPr>
            <w:pStyle w:val="TOC2"/>
            <w:rPr>
              <w:rFonts w:eastAsiaTheme="minorEastAsia"/>
              <w:noProof/>
              <w:kern w:val="2"/>
              <w:lang w:eastAsia="en-AU"/>
              <w14:ligatures w14:val="standardContextual"/>
            </w:rPr>
          </w:pPr>
          <w:hyperlink w:anchor="_Toc143252107" w:history="1">
            <w:r w:rsidR="00167540" w:rsidRPr="00AC0938">
              <w:rPr>
                <w:rStyle w:val="Hyperlink"/>
                <w:noProof/>
              </w:rPr>
              <w:t>Employee notification under casual definition</w:t>
            </w:r>
            <w:r w:rsidR="00167540">
              <w:rPr>
                <w:noProof/>
                <w:webHidden/>
              </w:rPr>
              <w:tab/>
            </w:r>
            <w:r w:rsidR="00167540">
              <w:rPr>
                <w:noProof/>
                <w:webHidden/>
              </w:rPr>
              <w:fldChar w:fldCharType="begin"/>
            </w:r>
            <w:r w:rsidR="00167540">
              <w:rPr>
                <w:noProof/>
                <w:webHidden/>
              </w:rPr>
              <w:instrText xml:space="preserve"> PAGEREF _Toc143252107 \h </w:instrText>
            </w:r>
            <w:r w:rsidR="00167540">
              <w:rPr>
                <w:noProof/>
                <w:webHidden/>
              </w:rPr>
            </w:r>
            <w:r w:rsidR="00167540">
              <w:rPr>
                <w:noProof/>
                <w:webHidden/>
              </w:rPr>
              <w:fldChar w:fldCharType="separate"/>
            </w:r>
            <w:r w:rsidR="005E4D3C">
              <w:rPr>
                <w:noProof/>
                <w:webHidden/>
              </w:rPr>
              <w:t>23</w:t>
            </w:r>
            <w:r w:rsidR="00167540">
              <w:rPr>
                <w:noProof/>
                <w:webHidden/>
              </w:rPr>
              <w:fldChar w:fldCharType="end"/>
            </w:r>
          </w:hyperlink>
        </w:p>
        <w:p w14:paraId="66898ABC" w14:textId="4C424F3A" w:rsidR="00167540" w:rsidRDefault="00AF23E0">
          <w:pPr>
            <w:pStyle w:val="TOC2"/>
            <w:rPr>
              <w:rFonts w:eastAsiaTheme="minorEastAsia"/>
              <w:noProof/>
              <w:kern w:val="2"/>
              <w:lang w:eastAsia="en-AU"/>
              <w14:ligatures w14:val="standardContextual"/>
            </w:rPr>
          </w:pPr>
          <w:hyperlink w:anchor="_Toc143252108" w:history="1">
            <w:r w:rsidR="00167540" w:rsidRPr="00AC0938">
              <w:rPr>
                <w:rStyle w:val="Hyperlink"/>
                <w:noProof/>
              </w:rPr>
              <w:t>Assumptions</w:t>
            </w:r>
            <w:r w:rsidR="00167540">
              <w:rPr>
                <w:noProof/>
                <w:webHidden/>
              </w:rPr>
              <w:tab/>
            </w:r>
            <w:r w:rsidR="00167540">
              <w:rPr>
                <w:noProof/>
                <w:webHidden/>
              </w:rPr>
              <w:fldChar w:fldCharType="begin"/>
            </w:r>
            <w:r w:rsidR="00167540">
              <w:rPr>
                <w:noProof/>
                <w:webHidden/>
              </w:rPr>
              <w:instrText xml:space="preserve"> PAGEREF _Toc143252108 \h </w:instrText>
            </w:r>
            <w:r w:rsidR="00167540">
              <w:rPr>
                <w:noProof/>
                <w:webHidden/>
              </w:rPr>
            </w:r>
            <w:r w:rsidR="00167540">
              <w:rPr>
                <w:noProof/>
                <w:webHidden/>
              </w:rPr>
              <w:fldChar w:fldCharType="separate"/>
            </w:r>
            <w:r w:rsidR="005E4D3C">
              <w:rPr>
                <w:noProof/>
                <w:webHidden/>
              </w:rPr>
              <w:t>24</w:t>
            </w:r>
            <w:r w:rsidR="00167540">
              <w:rPr>
                <w:noProof/>
                <w:webHidden/>
              </w:rPr>
              <w:fldChar w:fldCharType="end"/>
            </w:r>
          </w:hyperlink>
        </w:p>
        <w:p w14:paraId="459C2B6F" w14:textId="6D09A0F9" w:rsidR="00167540" w:rsidRDefault="00AF23E0">
          <w:pPr>
            <w:pStyle w:val="TOC2"/>
            <w:rPr>
              <w:rFonts w:eastAsiaTheme="minorEastAsia"/>
              <w:noProof/>
              <w:kern w:val="2"/>
              <w:lang w:eastAsia="en-AU"/>
              <w14:ligatures w14:val="standardContextual"/>
            </w:rPr>
          </w:pPr>
          <w:hyperlink w:anchor="_Toc143252109" w:history="1">
            <w:r w:rsidR="00167540" w:rsidRPr="00AC0938">
              <w:rPr>
                <w:rStyle w:val="Hyperlink"/>
                <w:noProof/>
              </w:rPr>
              <w:t>Costing of employee notification</w:t>
            </w:r>
            <w:r w:rsidR="00167540">
              <w:rPr>
                <w:noProof/>
                <w:webHidden/>
              </w:rPr>
              <w:tab/>
            </w:r>
            <w:r w:rsidR="00167540">
              <w:rPr>
                <w:noProof/>
                <w:webHidden/>
              </w:rPr>
              <w:fldChar w:fldCharType="begin"/>
            </w:r>
            <w:r w:rsidR="00167540">
              <w:rPr>
                <w:noProof/>
                <w:webHidden/>
              </w:rPr>
              <w:instrText xml:space="preserve"> PAGEREF _Toc143252109 \h </w:instrText>
            </w:r>
            <w:r w:rsidR="00167540">
              <w:rPr>
                <w:noProof/>
                <w:webHidden/>
              </w:rPr>
            </w:r>
            <w:r w:rsidR="00167540">
              <w:rPr>
                <w:noProof/>
                <w:webHidden/>
              </w:rPr>
              <w:fldChar w:fldCharType="separate"/>
            </w:r>
            <w:r w:rsidR="005E4D3C">
              <w:rPr>
                <w:noProof/>
                <w:webHidden/>
              </w:rPr>
              <w:t>29</w:t>
            </w:r>
            <w:r w:rsidR="00167540">
              <w:rPr>
                <w:noProof/>
                <w:webHidden/>
              </w:rPr>
              <w:fldChar w:fldCharType="end"/>
            </w:r>
          </w:hyperlink>
        </w:p>
        <w:p w14:paraId="133B12B3" w14:textId="0AD98248" w:rsidR="00167540" w:rsidRDefault="00AF23E0">
          <w:pPr>
            <w:pStyle w:val="TOC2"/>
            <w:rPr>
              <w:rFonts w:eastAsiaTheme="minorEastAsia"/>
              <w:noProof/>
              <w:kern w:val="2"/>
              <w:lang w:eastAsia="en-AU"/>
              <w14:ligatures w14:val="standardContextual"/>
            </w:rPr>
          </w:pPr>
          <w:hyperlink w:anchor="_Toc143252110" w:history="1">
            <w:r w:rsidR="00167540" w:rsidRPr="00AC0938">
              <w:rPr>
                <w:rStyle w:val="Hyperlink"/>
                <w:noProof/>
              </w:rPr>
              <w:t>Provision of revised Casual Employment Information Statement (CEIS) to all casual employees</w:t>
            </w:r>
            <w:r w:rsidR="00167540">
              <w:rPr>
                <w:noProof/>
                <w:webHidden/>
              </w:rPr>
              <w:tab/>
            </w:r>
            <w:r w:rsidR="00167540">
              <w:rPr>
                <w:noProof/>
                <w:webHidden/>
              </w:rPr>
              <w:fldChar w:fldCharType="begin"/>
            </w:r>
            <w:r w:rsidR="00167540">
              <w:rPr>
                <w:noProof/>
                <w:webHidden/>
              </w:rPr>
              <w:instrText xml:space="preserve"> PAGEREF _Toc143252110 \h </w:instrText>
            </w:r>
            <w:r w:rsidR="00167540">
              <w:rPr>
                <w:noProof/>
                <w:webHidden/>
              </w:rPr>
            </w:r>
            <w:r w:rsidR="00167540">
              <w:rPr>
                <w:noProof/>
                <w:webHidden/>
              </w:rPr>
              <w:fldChar w:fldCharType="separate"/>
            </w:r>
            <w:r w:rsidR="005E4D3C">
              <w:rPr>
                <w:noProof/>
                <w:webHidden/>
              </w:rPr>
              <w:t>35</w:t>
            </w:r>
            <w:r w:rsidR="00167540">
              <w:rPr>
                <w:noProof/>
                <w:webHidden/>
              </w:rPr>
              <w:fldChar w:fldCharType="end"/>
            </w:r>
          </w:hyperlink>
        </w:p>
        <w:p w14:paraId="5C491A8B" w14:textId="0824A635" w:rsidR="00167540" w:rsidRDefault="00AF23E0">
          <w:pPr>
            <w:pStyle w:val="TOC2"/>
            <w:rPr>
              <w:rFonts w:eastAsiaTheme="minorEastAsia"/>
              <w:noProof/>
              <w:kern w:val="2"/>
              <w:lang w:eastAsia="en-AU"/>
              <w14:ligatures w14:val="standardContextual"/>
            </w:rPr>
          </w:pPr>
          <w:hyperlink w:anchor="_Toc143252111" w:history="1">
            <w:r w:rsidR="00167540" w:rsidRPr="00AC0938">
              <w:rPr>
                <w:rStyle w:val="Hyperlink"/>
                <w:noProof/>
              </w:rPr>
              <w:t>Provision of Casual Employment Information Statement (CEIS) after 12 months to all casual employees</w:t>
            </w:r>
            <w:r w:rsidR="00167540">
              <w:rPr>
                <w:noProof/>
                <w:webHidden/>
              </w:rPr>
              <w:tab/>
            </w:r>
            <w:r w:rsidR="00167540">
              <w:rPr>
                <w:noProof/>
                <w:webHidden/>
              </w:rPr>
              <w:fldChar w:fldCharType="begin"/>
            </w:r>
            <w:r w:rsidR="00167540">
              <w:rPr>
                <w:noProof/>
                <w:webHidden/>
              </w:rPr>
              <w:instrText xml:space="preserve"> PAGEREF _Toc143252111 \h </w:instrText>
            </w:r>
            <w:r w:rsidR="00167540">
              <w:rPr>
                <w:noProof/>
                <w:webHidden/>
              </w:rPr>
            </w:r>
            <w:r w:rsidR="00167540">
              <w:rPr>
                <w:noProof/>
                <w:webHidden/>
              </w:rPr>
              <w:fldChar w:fldCharType="separate"/>
            </w:r>
            <w:r w:rsidR="005E4D3C">
              <w:rPr>
                <w:noProof/>
                <w:webHidden/>
              </w:rPr>
              <w:t>35</w:t>
            </w:r>
            <w:r w:rsidR="00167540">
              <w:rPr>
                <w:noProof/>
                <w:webHidden/>
              </w:rPr>
              <w:fldChar w:fldCharType="end"/>
            </w:r>
          </w:hyperlink>
        </w:p>
        <w:p w14:paraId="7B8C2534" w14:textId="4EE4A6A6" w:rsidR="00167540" w:rsidRDefault="00AF23E0">
          <w:pPr>
            <w:pStyle w:val="TOC2"/>
            <w:rPr>
              <w:rFonts w:eastAsiaTheme="minorEastAsia"/>
              <w:noProof/>
              <w:kern w:val="2"/>
              <w:lang w:eastAsia="en-AU"/>
              <w14:ligatures w14:val="standardContextual"/>
            </w:rPr>
          </w:pPr>
          <w:hyperlink w:anchor="_Toc143252112" w:history="1">
            <w:r w:rsidR="00167540" w:rsidRPr="00AC0938">
              <w:rPr>
                <w:rStyle w:val="Hyperlink"/>
                <w:noProof/>
              </w:rPr>
              <w:t>Dispute Resolution</w:t>
            </w:r>
            <w:r w:rsidR="00167540">
              <w:rPr>
                <w:noProof/>
                <w:webHidden/>
              </w:rPr>
              <w:tab/>
            </w:r>
            <w:r w:rsidR="00167540">
              <w:rPr>
                <w:noProof/>
                <w:webHidden/>
              </w:rPr>
              <w:fldChar w:fldCharType="begin"/>
            </w:r>
            <w:r w:rsidR="00167540">
              <w:rPr>
                <w:noProof/>
                <w:webHidden/>
              </w:rPr>
              <w:instrText xml:space="preserve"> PAGEREF _Toc143252112 \h </w:instrText>
            </w:r>
            <w:r w:rsidR="00167540">
              <w:rPr>
                <w:noProof/>
                <w:webHidden/>
              </w:rPr>
            </w:r>
            <w:r w:rsidR="00167540">
              <w:rPr>
                <w:noProof/>
                <w:webHidden/>
              </w:rPr>
              <w:fldChar w:fldCharType="separate"/>
            </w:r>
            <w:r w:rsidR="005E4D3C">
              <w:rPr>
                <w:noProof/>
                <w:webHidden/>
              </w:rPr>
              <w:t>36</w:t>
            </w:r>
            <w:r w:rsidR="00167540">
              <w:rPr>
                <w:noProof/>
                <w:webHidden/>
              </w:rPr>
              <w:fldChar w:fldCharType="end"/>
            </w:r>
          </w:hyperlink>
        </w:p>
        <w:p w14:paraId="4A7C2C82" w14:textId="2C7CE4CF" w:rsidR="00167540" w:rsidRDefault="00AF23E0" w:rsidP="00167540">
          <w:pPr>
            <w:pStyle w:val="TOC1"/>
            <w:rPr>
              <w:rFonts w:eastAsiaTheme="minorEastAsia"/>
              <w:noProof/>
              <w:kern w:val="2"/>
              <w:lang w:eastAsia="en-AU"/>
              <w14:ligatures w14:val="standardContextual"/>
            </w:rPr>
          </w:pPr>
          <w:hyperlink w:anchor="_Toc143252113" w:history="1">
            <w:r w:rsidR="00167540" w:rsidRPr="00AC0938">
              <w:rPr>
                <w:rStyle w:val="Hyperlink"/>
                <w:noProof/>
              </w:rPr>
              <w:t>Submissions to the Job Security Inquiry</w:t>
            </w:r>
            <w:r w:rsidR="00167540">
              <w:rPr>
                <w:noProof/>
                <w:webHidden/>
              </w:rPr>
              <w:tab/>
            </w:r>
            <w:r w:rsidR="00167540">
              <w:rPr>
                <w:noProof/>
                <w:webHidden/>
              </w:rPr>
              <w:fldChar w:fldCharType="begin"/>
            </w:r>
            <w:r w:rsidR="00167540">
              <w:rPr>
                <w:noProof/>
                <w:webHidden/>
              </w:rPr>
              <w:instrText xml:space="preserve"> PAGEREF _Toc143252113 \h </w:instrText>
            </w:r>
            <w:r w:rsidR="00167540">
              <w:rPr>
                <w:noProof/>
                <w:webHidden/>
              </w:rPr>
            </w:r>
            <w:r w:rsidR="00167540">
              <w:rPr>
                <w:noProof/>
                <w:webHidden/>
              </w:rPr>
              <w:fldChar w:fldCharType="separate"/>
            </w:r>
            <w:r w:rsidR="005E4D3C">
              <w:rPr>
                <w:noProof/>
                <w:webHidden/>
              </w:rPr>
              <w:t>38</w:t>
            </w:r>
            <w:r w:rsidR="00167540">
              <w:rPr>
                <w:noProof/>
                <w:webHidden/>
              </w:rPr>
              <w:fldChar w:fldCharType="end"/>
            </w:r>
          </w:hyperlink>
        </w:p>
        <w:p w14:paraId="18C4515E" w14:textId="3B81180C" w:rsidR="00167540" w:rsidRDefault="00AF23E0" w:rsidP="00167540">
          <w:pPr>
            <w:pStyle w:val="TOC1"/>
            <w:rPr>
              <w:rFonts w:eastAsiaTheme="minorEastAsia"/>
              <w:noProof/>
              <w:kern w:val="2"/>
              <w:lang w:eastAsia="en-AU"/>
              <w14:ligatures w14:val="standardContextual"/>
            </w:rPr>
          </w:pPr>
          <w:hyperlink w:anchor="_Toc143252114" w:history="1">
            <w:r w:rsidR="00167540" w:rsidRPr="00AC0938">
              <w:rPr>
                <w:rStyle w:val="Hyperlink"/>
                <w:noProof/>
              </w:rPr>
              <w:t>Recommendations from the Job Security Inquiry related to casuals and casual conversion</w:t>
            </w:r>
            <w:r w:rsidR="00167540">
              <w:rPr>
                <w:noProof/>
                <w:webHidden/>
              </w:rPr>
              <w:tab/>
            </w:r>
            <w:r w:rsidR="00167540">
              <w:rPr>
                <w:noProof/>
                <w:webHidden/>
              </w:rPr>
              <w:fldChar w:fldCharType="begin"/>
            </w:r>
            <w:r w:rsidR="00167540">
              <w:rPr>
                <w:noProof/>
                <w:webHidden/>
              </w:rPr>
              <w:instrText xml:space="preserve"> PAGEREF _Toc143252114 \h </w:instrText>
            </w:r>
            <w:r w:rsidR="00167540">
              <w:rPr>
                <w:noProof/>
                <w:webHidden/>
              </w:rPr>
            </w:r>
            <w:r w:rsidR="00167540">
              <w:rPr>
                <w:noProof/>
                <w:webHidden/>
              </w:rPr>
              <w:fldChar w:fldCharType="separate"/>
            </w:r>
            <w:r w:rsidR="005E4D3C">
              <w:rPr>
                <w:noProof/>
                <w:webHidden/>
              </w:rPr>
              <w:t>41</w:t>
            </w:r>
            <w:r w:rsidR="00167540">
              <w:rPr>
                <w:noProof/>
                <w:webHidden/>
              </w:rPr>
              <w:fldChar w:fldCharType="end"/>
            </w:r>
          </w:hyperlink>
        </w:p>
        <w:p w14:paraId="3E724A55" w14:textId="09D12B34" w:rsidR="00167540" w:rsidRDefault="00AF23E0" w:rsidP="00167540">
          <w:pPr>
            <w:pStyle w:val="TOC1"/>
            <w:rPr>
              <w:rFonts w:eastAsiaTheme="minorEastAsia"/>
              <w:noProof/>
              <w:kern w:val="2"/>
              <w:lang w:eastAsia="en-AU"/>
              <w14:ligatures w14:val="standardContextual"/>
            </w:rPr>
          </w:pPr>
          <w:hyperlink w:anchor="_Toc143252115" w:history="1">
            <w:r w:rsidR="00167540" w:rsidRPr="00AC0938">
              <w:rPr>
                <w:rStyle w:val="Hyperlink"/>
                <w:rFonts w:cstheme="minorHAnsi"/>
                <w:noProof/>
              </w:rPr>
              <w:t>Recommendations of the Review of the Fair Work Amendment (Supporting Australia's Jobs and Economic Recovery) Act 2021 (Cth)</w:t>
            </w:r>
            <w:r w:rsidR="00167540">
              <w:rPr>
                <w:noProof/>
                <w:webHidden/>
              </w:rPr>
              <w:tab/>
            </w:r>
            <w:r w:rsidR="00167540">
              <w:rPr>
                <w:noProof/>
                <w:webHidden/>
              </w:rPr>
              <w:fldChar w:fldCharType="begin"/>
            </w:r>
            <w:r w:rsidR="00167540">
              <w:rPr>
                <w:noProof/>
                <w:webHidden/>
              </w:rPr>
              <w:instrText xml:space="preserve"> PAGEREF _Toc143252115 \h </w:instrText>
            </w:r>
            <w:r w:rsidR="00167540">
              <w:rPr>
                <w:noProof/>
                <w:webHidden/>
              </w:rPr>
            </w:r>
            <w:r w:rsidR="00167540">
              <w:rPr>
                <w:noProof/>
                <w:webHidden/>
              </w:rPr>
              <w:fldChar w:fldCharType="separate"/>
            </w:r>
            <w:r w:rsidR="005E4D3C">
              <w:rPr>
                <w:noProof/>
                <w:webHidden/>
              </w:rPr>
              <w:t>45</w:t>
            </w:r>
            <w:r w:rsidR="00167540">
              <w:rPr>
                <w:noProof/>
                <w:webHidden/>
              </w:rPr>
              <w:fldChar w:fldCharType="end"/>
            </w:r>
          </w:hyperlink>
        </w:p>
        <w:p w14:paraId="419A67C9" w14:textId="35CF9314" w:rsidR="00167540" w:rsidRDefault="00AF23E0" w:rsidP="00167540">
          <w:pPr>
            <w:pStyle w:val="TOC1"/>
            <w:rPr>
              <w:rFonts w:eastAsiaTheme="minorEastAsia"/>
              <w:noProof/>
              <w:kern w:val="2"/>
              <w:lang w:eastAsia="en-AU"/>
              <w14:ligatures w14:val="standardContextual"/>
            </w:rPr>
          </w:pPr>
          <w:hyperlink w:anchor="_Toc143252116" w:history="1">
            <w:r w:rsidR="00167540" w:rsidRPr="00AC0938">
              <w:rPr>
                <w:rStyle w:val="Hyperlink"/>
                <w:rFonts w:cstheme="minorHAnsi"/>
                <w:noProof/>
              </w:rPr>
              <w:t xml:space="preserve">Written submissions to the Review of the </w:t>
            </w:r>
            <w:r w:rsidR="00167540" w:rsidRPr="00AC0938">
              <w:rPr>
                <w:rStyle w:val="Hyperlink"/>
                <w:rFonts w:cstheme="minorHAnsi"/>
                <w:i/>
                <w:iCs/>
                <w:noProof/>
              </w:rPr>
              <w:t xml:space="preserve">Fair Work Amendment (Supporting Australia's Jobs and Economic Recovery) Act 2021 </w:t>
            </w:r>
            <w:r w:rsidR="00167540" w:rsidRPr="00AC0938">
              <w:rPr>
                <w:rStyle w:val="Hyperlink"/>
                <w:rFonts w:cstheme="minorHAnsi"/>
                <w:noProof/>
              </w:rPr>
              <w:t>(Cth)</w:t>
            </w:r>
            <w:r w:rsidR="00167540">
              <w:rPr>
                <w:noProof/>
                <w:webHidden/>
              </w:rPr>
              <w:tab/>
            </w:r>
            <w:r w:rsidR="00167540">
              <w:rPr>
                <w:noProof/>
                <w:webHidden/>
              </w:rPr>
              <w:fldChar w:fldCharType="begin"/>
            </w:r>
            <w:r w:rsidR="00167540">
              <w:rPr>
                <w:noProof/>
                <w:webHidden/>
              </w:rPr>
              <w:instrText xml:space="preserve"> PAGEREF _Toc143252116 \h </w:instrText>
            </w:r>
            <w:r w:rsidR="00167540">
              <w:rPr>
                <w:noProof/>
                <w:webHidden/>
              </w:rPr>
            </w:r>
            <w:r w:rsidR="00167540">
              <w:rPr>
                <w:noProof/>
                <w:webHidden/>
              </w:rPr>
              <w:fldChar w:fldCharType="separate"/>
            </w:r>
            <w:r w:rsidR="005E4D3C">
              <w:rPr>
                <w:noProof/>
                <w:webHidden/>
              </w:rPr>
              <w:t>47</w:t>
            </w:r>
            <w:r w:rsidR="00167540">
              <w:rPr>
                <w:noProof/>
                <w:webHidden/>
              </w:rPr>
              <w:fldChar w:fldCharType="end"/>
            </w:r>
          </w:hyperlink>
        </w:p>
        <w:p w14:paraId="5B8C59BE" w14:textId="72684D12" w:rsidR="00167540" w:rsidRDefault="00AF23E0" w:rsidP="00167540">
          <w:pPr>
            <w:pStyle w:val="TOC1"/>
            <w:rPr>
              <w:rFonts w:eastAsiaTheme="minorEastAsia"/>
              <w:noProof/>
              <w:kern w:val="2"/>
              <w:lang w:eastAsia="en-AU"/>
              <w14:ligatures w14:val="standardContextual"/>
            </w:rPr>
          </w:pPr>
          <w:hyperlink w:anchor="_Toc143252117" w:history="1">
            <w:r w:rsidR="00167540" w:rsidRPr="00AC0938">
              <w:rPr>
                <w:rStyle w:val="Hyperlink"/>
                <w:rFonts w:cstheme="minorHAnsi"/>
                <w:noProof/>
              </w:rPr>
              <w:t xml:space="preserve">Attendees at consultation sessions as part of the </w:t>
            </w:r>
            <w:r w:rsidR="00167540" w:rsidRPr="00AC0938">
              <w:rPr>
                <w:rStyle w:val="Hyperlink"/>
                <w:rFonts w:cstheme="minorHAnsi"/>
                <w:i/>
                <w:iCs/>
                <w:noProof/>
              </w:rPr>
              <w:t>Review of the Fair Work Amendment (Supporting Australia's Jobs and Economic Recovery) Act 2021</w:t>
            </w:r>
            <w:r w:rsidR="00167540" w:rsidRPr="00AC0938">
              <w:rPr>
                <w:rStyle w:val="Hyperlink"/>
                <w:rFonts w:cstheme="minorHAnsi"/>
                <w:noProof/>
              </w:rPr>
              <w:t xml:space="preserve"> (Cth)</w:t>
            </w:r>
            <w:r w:rsidR="00167540">
              <w:rPr>
                <w:noProof/>
                <w:webHidden/>
              </w:rPr>
              <w:tab/>
            </w:r>
            <w:r w:rsidR="00167540">
              <w:rPr>
                <w:noProof/>
                <w:webHidden/>
              </w:rPr>
              <w:fldChar w:fldCharType="begin"/>
            </w:r>
            <w:r w:rsidR="00167540">
              <w:rPr>
                <w:noProof/>
                <w:webHidden/>
              </w:rPr>
              <w:instrText xml:space="preserve"> PAGEREF _Toc143252117 \h </w:instrText>
            </w:r>
            <w:r w:rsidR="00167540">
              <w:rPr>
                <w:noProof/>
                <w:webHidden/>
              </w:rPr>
            </w:r>
            <w:r w:rsidR="00167540">
              <w:rPr>
                <w:noProof/>
                <w:webHidden/>
              </w:rPr>
              <w:fldChar w:fldCharType="separate"/>
            </w:r>
            <w:r w:rsidR="005E4D3C">
              <w:rPr>
                <w:noProof/>
                <w:webHidden/>
              </w:rPr>
              <w:t>48</w:t>
            </w:r>
            <w:r w:rsidR="00167540">
              <w:rPr>
                <w:noProof/>
                <w:webHidden/>
              </w:rPr>
              <w:fldChar w:fldCharType="end"/>
            </w:r>
          </w:hyperlink>
        </w:p>
        <w:p w14:paraId="10D505A3" w14:textId="325BB20E" w:rsidR="008A059F" w:rsidRDefault="008A059F" w:rsidP="00167540">
          <w:pPr>
            <w:pStyle w:val="TOC1"/>
            <w:rPr>
              <w:rStyle w:val="Hyperlink"/>
              <w:noProof/>
              <w:kern w:val="2"/>
              <w:lang w:eastAsia="en-AU"/>
              <w14:ligatures w14:val="standardContextual"/>
            </w:rPr>
          </w:pPr>
          <w:r>
            <w:fldChar w:fldCharType="end"/>
          </w:r>
        </w:p>
      </w:sdtContent>
    </w:sdt>
    <w:bookmarkEnd w:id="1"/>
    <w:p w14:paraId="5745F5BC" w14:textId="5710B53D" w:rsidR="00B72570" w:rsidRDefault="00B72570">
      <w:pPr>
        <w:rPr>
          <w:rFonts w:eastAsiaTheme="minorEastAsia"/>
        </w:rPr>
      </w:pPr>
      <w:r>
        <w:rPr>
          <w:rFonts w:eastAsiaTheme="minorEastAsia"/>
        </w:rPr>
        <w:br w:type="page"/>
      </w:r>
    </w:p>
    <w:p w14:paraId="74D319C5" w14:textId="77777777" w:rsidR="00B72570" w:rsidRPr="00C10812" w:rsidRDefault="00B72570" w:rsidP="00B72570">
      <w:pPr>
        <w:spacing w:before="120" w:after="120" w:line="360" w:lineRule="auto"/>
        <w:rPr>
          <w:rFonts w:ascii="Century Gothic" w:hAnsi="Century Gothic"/>
        </w:rPr>
      </w:pPr>
      <w:r w:rsidRPr="00C10812">
        <w:rPr>
          <w:rFonts w:ascii="Century Gothic" w:hAnsi="Century Gothic"/>
          <w:noProof/>
          <w:lang w:val="en-AU" w:eastAsia="en-AU"/>
        </w:rPr>
        <w:lastRenderedPageBreak/>
        <w:drawing>
          <wp:inline distT="0" distB="0" distL="0" distR="0" wp14:anchorId="194E8E70" wp14:editId="75BB2B13">
            <wp:extent cx="2383155" cy="727075"/>
            <wp:effectExtent l="0" t="0" r="0" b="0"/>
            <wp:docPr id="1" name="Graphic 1"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1">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2"/>
                        </a:ext>
                      </a:extLst>
                    </a:blip>
                    <a:stretch>
                      <a:fillRect/>
                    </a:stretch>
                  </pic:blipFill>
                  <pic:spPr>
                    <a:xfrm>
                      <a:off x="0" y="0"/>
                      <a:ext cx="2383155" cy="727075"/>
                    </a:xfrm>
                    <a:prstGeom prst="rect">
                      <a:avLst/>
                    </a:prstGeom>
                  </pic:spPr>
                </pic:pic>
              </a:graphicData>
            </a:graphic>
          </wp:inline>
        </w:drawing>
      </w:r>
      <w:r w:rsidRPr="00C10812">
        <w:rPr>
          <w:rFonts w:ascii="Century Gothic" w:hAnsi="Century Gothic"/>
          <w:noProof/>
          <w:lang w:val="en-AU" w:eastAsia="en-AU"/>
        </w:rPr>
        <w:drawing>
          <wp:anchor distT="0" distB="0" distL="114300" distR="114300" simplePos="0" relativeHeight="251658241" behindDoc="1" locked="0" layoutInCell="1" allowOverlap="1" wp14:anchorId="28706BEE" wp14:editId="7BE95A9B">
            <wp:simplePos x="0" y="0"/>
            <wp:positionH relativeFrom="column">
              <wp:posOffset>-791972</wp:posOffset>
            </wp:positionH>
            <wp:positionV relativeFrom="page">
              <wp:posOffset>-36576</wp:posOffset>
            </wp:positionV>
            <wp:extent cx="7673234" cy="2450592"/>
            <wp:effectExtent l="0" t="0" r="0" b="0"/>
            <wp:wrapNone/>
            <wp:docPr id="9" name="Picture 9"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3"/>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61908D21" w14:textId="77777777" w:rsidR="00B72570" w:rsidRDefault="00B72570" w:rsidP="00B72570">
      <w:pPr>
        <w:pStyle w:val="Title"/>
        <w:spacing w:before="120" w:after="120" w:line="360" w:lineRule="auto"/>
        <w:ind w:left="1276"/>
        <w:rPr>
          <w:rFonts w:asciiTheme="minorHAnsi" w:hAnsiTheme="minorHAnsi" w:cstheme="minorHAnsi"/>
          <w:noProof/>
          <w:color w:val="404246"/>
          <w:lang w:eastAsia="en-AU"/>
        </w:rPr>
      </w:pPr>
    </w:p>
    <w:p w14:paraId="17280FA9" w14:textId="77777777" w:rsidR="000825B9" w:rsidRDefault="000825B9" w:rsidP="00B72570">
      <w:pPr>
        <w:pStyle w:val="Title"/>
        <w:spacing w:before="120" w:after="120" w:line="360" w:lineRule="auto"/>
        <w:ind w:left="1276"/>
        <w:rPr>
          <w:rFonts w:asciiTheme="minorHAnsi" w:hAnsiTheme="minorHAnsi" w:cstheme="minorBidi"/>
          <w:noProof/>
          <w:color w:val="404246"/>
          <w:lang w:eastAsia="en-AU"/>
        </w:rPr>
      </w:pPr>
    </w:p>
    <w:p w14:paraId="018320DB" w14:textId="0D8C323C" w:rsidR="00B72570" w:rsidRPr="00BA13F0" w:rsidRDefault="00B72570" w:rsidP="00B72570">
      <w:pPr>
        <w:pStyle w:val="Title"/>
        <w:spacing w:before="120" w:after="120" w:line="360" w:lineRule="auto"/>
        <w:ind w:left="1276"/>
        <w:rPr>
          <w:rFonts w:asciiTheme="minorHAnsi" w:hAnsiTheme="minorHAnsi" w:cstheme="minorBidi"/>
          <w:noProof/>
          <w:color w:val="404246"/>
          <w:lang w:eastAsia="en-AU"/>
        </w:rPr>
      </w:pPr>
      <w:r w:rsidRPr="7612DB8E">
        <w:rPr>
          <w:rFonts w:asciiTheme="minorHAnsi" w:hAnsiTheme="minorHAnsi" w:cstheme="minorBidi"/>
          <w:noProof/>
          <w:color w:val="404246"/>
          <w:lang w:eastAsia="en-AU"/>
        </w:rPr>
        <w:t xml:space="preserve">Standing </w:t>
      </w:r>
      <w:r w:rsidR="0053497E">
        <w:rPr>
          <w:rFonts w:asciiTheme="minorHAnsi" w:hAnsiTheme="minorHAnsi" w:cstheme="minorBidi"/>
          <w:noProof/>
          <w:color w:val="404246"/>
          <w:lang w:eastAsia="en-AU"/>
        </w:rPr>
        <w:t>u</w:t>
      </w:r>
      <w:r w:rsidRPr="7612DB8E">
        <w:rPr>
          <w:rFonts w:asciiTheme="minorHAnsi" w:hAnsiTheme="minorHAnsi" w:cstheme="minorBidi"/>
          <w:noProof/>
          <w:color w:val="404246"/>
          <w:lang w:eastAsia="en-AU"/>
        </w:rPr>
        <w:t xml:space="preserve">p for </w:t>
      </w:r>
      <w:r w:rsidR="0053497E">
        <w:rPr>
          <w:rFonts w:asciiTheme="minorHAnsi" w:hAnsiTheme="minorHAnsi" w:cstheme="minorBidi"/>
          <w:noProof/>
          <w:color w:val="404246"/>
          <w:lang w:eastAsia="en-AU"/>
        </w:rPr>
        <w:t>c</w:t>
      </w:r>
      <w:r w:rsidRPr="7612DB8E">
        <w:rPr>
          <w:rFonts w:asciiTheme="minorHAnsi" w:hAnsiTheme="minorHAnsi" w:cstheme="minorBidi"/>
          <w:noProof/>
          <w:color w:val="404246"/>
          <w:lang w:eastAsia="en-AU"/>
        </w:rPr>
        <w:t xml:space="preserve">asual </w:t>
      </w:r>
      <w:r w:rsidR="0053497E">
        <w:rPr>
          <w:rFonts w:asciiTheme="minorHAnsi" w:hAnsiTheme="minorHAnsi" w:cstheme="minorBidi"/>
          <w:noProof/>
          <w:color w:val="404246"/>
          <w:lang w:eastAsia="en-AU"/>
        </w:rPr>
        <w:t>w</w:t>
      </w:r>
      <w:r w:rsidRPr="7612DB8E">
        <w:rPr>
          <w:rFonts w:asciiTheme="minorHAnsi" w:hAnsiTheme="minorHAnsi" w:cstheme="minorBidi"/>
          <w:noProof/>
          <w:color w:val="404246"/>
          <w:lang w:eastAsia="en-AU"/>
        </w:rPr>
        <w:t xml:space="preserve">orkers (OBPR22-02412) </w:t>
      </w:r>
    </w:p>
    <w:p w14:paraId="1E901A52" w14:textId="77777777" w:rsidR="00B72570" w:rsidRDefault="00B72570" w:rsidP="00B72570">
      <w:pPr>
        <w:spacing w:before="120" w:after="120" w:line="360" w:lineRule="auto"/>
        <w:ind w:left="1276"/>
        <w:rPr>
          <w:rFonts w:ascii="Century Gothic" w:eastAsiaTheme="minorEastAsia" w:hAnsi="Century Gothic"/>
          <w:noProof/>
          <w:color w:val="789B4A"/>
          <w:spacing w:val="15"/>
          <w:sz w:val="40"/>
          <w:lang w:eastAsia="en-AU"/>
        </w:rPr>
      </w:pPr>
      <w:r w:rsidRPr="00BA13F0">
        <w:rPr>
          <w:rFonts w:eastAsiaTheme="minorEastAsia" w:cstheme="minorHAnsi"/>
          <w:noProof/>
          <w:color w:val="789B4A"/>
          <w:spacing w:val="15"/>
          <w:sz w:val="40"/>
          <w:lang w:eastAsia="en-AU"/>
        </w:rPr>
        <w:t xml:space="preserve">Assessment that the Senate Select Committee on Job Security Inquiry and the Review of the </w:t>
      </w:r>
      <w:r w:rsidRPr="00B1083A">
        <w:rPr>
          <w:rFonts w:eastAsiaTheme="minorEastAsia" w:cstheme="minorHAnsi"/>
          <w:i/>
          <w:iCs/>
          <w:noProof/>
          <w:color w:val="789B4A"/>
          <w:spacing w:val="15"/>
          <w:sz w:val="40"/>
          <w:lang w:eastAsia="en-AU"/>
        </w:rPr>
        <w:t>Fair Work Amendment (Supporting Australia's Jobs and Economic Recovery) Act 2021</w:t>
      </w:r>
      <w:r w:rsidRPr="00BA13F0">
        <w:rPr>
          <w:rFonts w:eastAsiaTheme="minorEastAsia" w:cstheme="minorHAnsi"/>
          <w:noProof/>
          <w:color w:val="789B4A"/>
          <w:spacing w:val="15"/>
          <w:sz w:val="40"/>
          <w:lang w:eastAsia="en-AU"/>
        </w:rPr>
        <w:t xml:space="preserve"> (Cth) are equivalent to an impact assessment process</w:t>
      </w:r>
      <w:r w:rsidRPr="00C10812">
        <w:rPr>
          <w:rFonts w:ascii="Century Gothic" w:eastAsiaTheme="minorEastAsia" w:hAnsi="Century Gothic"/>
          <w:noProof/>
          <w:color w:val="789B4A"/>
          <w:spacing w:val="15"/>
          <w:sz w:val="40"/>
          <w:lang w:eastAsia="en-AU"/>
        </w:rPr>
        <w:t xml:space="preserve"> </w:t>
      </w:r>
    </w:p>
    <w:p w14:paraId="3705CE96" w14:textId="77777777" w:rsidR="008A059F" w:rsidRDefault="008A059F" w:rsidP="008A059F">
      <w:pPr>
        <w:spacing w:before="120" w:after="120" w:line="360" w:lineRule="auto"/>
        <w:rPr>
          <w:rFonts w:eastAsiaTheme="minorEastAsia"/>
        </w:rPr>
      </w:pPr>
    </w:p>
    <w:p w14:paraId="31F11DFD" w14:textId="77777777" w:rsidR="008A059F" w:rsidRPr="00BA13F0" w:rsidRDefault="008A059F" w:rsidP="008A059F">
      <w:pPr>
        <w:spacing w:before="120" w:after="120" w:line="360" w:lineRule="auto"/>
        <w:rPr>
          <w:rStyle w:val="Hyperlink"/>
          <w:rFonts w:eastAsiaTheme="minorEastAsia"/>
          <w:color w:val="auto"/>
          <w:u w:val="none"/>
        </w:rPr>
      </w:pPr>
      <w:r w:rsidRPr="7612DB8E">
        <w:rPr>
          <w:rStyle w:val="Hyperlink"/>
          <w:rFonts w:eastAsiaTheme="minorEastAsia"/>
        </w:rPr>
        <w:br w:type="page"/>
      </w:r>
    </w:p>
    <w:p w14:paraId="0A1853F2"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2" w:name="_Toc143252087"/>
      <w:r w:rsidRPr="7612DB8E">
        <w:rPr>
          <w:rFonts w:asciiTheme="minorHAnsi" w:eastAsiaTheme="minorEastAsia" w:hAnsiTheme="minorHAnsi" w:cstheme="minorBidi"/>
        </w:rPr>
        <w:lastRenderedPageBreak/>
        <w:t>Introduction</w:t>
      </w:r>
      <w:bookmarkEnd w:id="2"/>
    </w:p>
    <w:p w14:paraId="62592701" w14:textId="6CF88E3E" w:rsidR="008A059F" w:rsidRPr="00C10812" w:rsidRDefault="008A059F" w:rsidP="6A5659CF">
      <w:pPr>
        <w:spacing w:before="120" w:after="120" w:line="360" w:lineRule="auto"/>
        <w:rPr>
          <w:rFonts w:eastAsiaTheme="minorEastAsia"/>
        </w:rPr>
      </w:pPr>
      <w:r w:rsidRPr="6C1A83C3">
        <w:t>The Department of Employment and Workplace Relations’ (</w:t>
      </w:r>
      <w:r w:rsidR="00A1058C">
        <w:t>the department</w:t>
      </w:r>
      <w:r w:rsidRPr="6C1A83C3">
        <w:t xml:space="preserve">) </w:t>
      </w:r>
      <w:r w:rsidRPr="6A5659CF">
        <w:rPr>
          <w:rFonts w:eastAsiaTheme="minorEastAsia"/>
        </w:rPr>
        <w:t>view is two independent processes</w:t>
      </w:r>
      <w:r w:rsidR="5C24792F" w:rsidRPr="6A5659CF">
        <w:rPr>
          <w:rFonts w:eastAsiaTheme="minorEastAsia"/>
        </w:rPr>
        <w:t xml:space="preserve"> –</w:t>
      </w:r>
      <w:r w:rsidRPr="6A5659CF">
        <w:rPr>
          <w:rFonts w:eastAsiaTheme="minorEastAsia"/>
        </w:rPr>
        <w:t xml:space="preserve"> </w:t>
      </w:r>
      <w:r>
        <w:rPr>
          <w:rFonts w:eastAsiaTheme="minorEastAsia"/>
        </w:rPr>
        <w:noBreakHyphen/>
      </w:r>
      <w:r w:rsidRPr="6A5659CF">
        <w:rPr>
          <w:rFonts w:eastAsiaTheme="minorEastAsia"/>
        </w:rPr>
        <w:t xml:space="preserve">the Senate Select Committee on Job Security, and the </w:t>
      </w:r>
      <w:r w:rsidR="00DE6304" w:rsidRPr="6A5659CF">
        <w:rPr>
          <w:rFonts w:eastAsiaTheme="minorEastAsia"/>
        </w:rPr>
        <w:t>r</w:t>
      </w:r>
      <w:r w:rsidRPr="6A5659CF">
        <w:rPr>
          <w:rFonts w:eastAsiaTheme="minorEastAsia"/>
        </w:rPr>
        <w:t xml:space="preserve">eview of the </w:t>
      </w:r>
      <w:r w:rsidRPr="6A5659CF">
        <w:rPr>
          <w:rFonts w:eastAsiaTheme="minorEastAsia"/>
          <w:i/>
          <w:iCs/>
        </w:rPr>
        <w:t xml:space="preserve">Fair Work Amendment (Supporting Australia's Jobs and Economic Recovery) Act 2021 </w:t>
      </w:r>
      <w:r w:rsidRPr="6A5659CF">
        <w:rPr>
          <w:rFonts w:eastAsiaTheme="minorEastAsia"/>
        </w:rPr>
        <w:t>(Cth)</w:t>
      </w:r>
      <w:r w:rsidRPr="6A5659CF">
        <w:rPr>
          <w:rFonts w:eastAsiaTheme="minorEastAsia"/>
          <w:i/>
          <w:iCs/>
        </w:rPr>
        <w:t xml:space="preserve"> -</w:t>
      </w:r>
      <w:r w:rsidRPr="6A5659CF">
        <w:rPr>
          <w:rFonts w:eastAsiaTheme="minorEastAsia"/>
        </w:rPr>
        <w:t xml:space="preserve"> can be certified as equivalent to an impact assessment process.</w:t>
      </w:r>
    </w:p>
    <w:p w14:paraId="113A4521" w14:textId="1CB8D38C"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3" w:name="_Toc143252088"/>
      <w:r w:rsidRPr="7612DB8E">
        <w:rPr>
          <w:rFonts w:asciiTheme="minorHAnsi" w:eastAsiaTheme="minorEastAsia" w:hAnsiTheme="minorHAnsi" w:cstheme="minorBidi"/>
        </w:rPr>
        <w:t>Overview of the Senate Select Committee on Job Security Inquiry (the Job Security Inquiry)</w:t>
      </w:r>
      <w:bookmarkEnd w:id="3"/>
      <w:r w:rsidRPr="7612DB8E">
        <w:rPr>
          <w:rFonts w:asciiTheme="minorHAnsi" w:eastAsiaTheme="minorEastAsia" w:hAnsiTheme="minorHAnsi" w:cstheme="minorBidi"/>
        </w:rPr>
        <w:t xml:space="preserve"> </w:t>
      </w:r>
    </w:p>
    <w:p w14:paraId="037ACED2" w14:textId="6BE786D2" w:rsidR="008A059F" w:rsidRPr="00C10812" w:rsidRDefault="008A059F" w:rsidP="008A059F">
      <w:pPr>
        <w:spacing w:before="120" w:after="120" w:line="360" w:lineRule="auto"/>
        <w:rPr>
          <w:rFonts w:eastAsiaTheme="minorEastAsia"/>
        </w:rPr>
      </w:pPr>
      <w:r w:rsidRPr="7612DB8E">
        <w:rPr>
          <w:rFonts w:eastAsiaTheme="minorEastAsia"/>
        </w:rPr>
        <w:t xml:space="preserve">The Senate Select Committee on Job Security was appointed by resolution of the Senate on 10 December 2020. Submissions closed on 2 December 2021. The </w:t>
      </w:r>
      <w:hyperlink r:id="rId21">
        <w:r w:rsidRPr="7612DB8E">
          <w:rPr>
            <w:rStyle w:val="Hyperlink"/>
            <w:rFonts w:eastAsiaTheme="minorEastAsia"/>
          </w:rPr>
          <w:t>Job Insecurity Report</w:t>
        </w:r>
      </w:hyperlink>
      <w:r w:rsidRPr="7612DB8E">
        <w:rPr>
          <w:rFonts w:eastAsiaTheme="minorEastAsia"/>
        </w:rPr>
        <w:t xml:space="preserve">, presented on 11 February 2022, concluded the committee’s inquiry into job security and its examination and gathering of evidence relating to the terms of reference. The tabling of the final report on </w:t>
      </w:r>
      <w:r>
        <w:rPr>
          <w:rFonts w:eastAsiaTheme="minorEastAsia"/>
        </w:rPr>
        <w:br/>
      </w:r>
      <w:r w:rsidRPr="7612DB8E">
        <w:rPr>
          <w:rFonts w:eastAsiaTheme="minorEastAsia"/>
        </w:rPr>
        <w:t xml:space="preserve">30 March 2022 concluded the work of the committee. Further information can be found on the </w:t>
      </w:r>
      <w:hyperlink r:id="rId22">
        <w:r>
          <w:rPr>
            <w:rStyle w:val="Hyperlink"/>
            <w:rFonts w:eastAsiaTheme="minorEastAsia"/>
          </w:rPr>
          <w:t>c</w:t>
        </w:r>
        <w:r w:rsidRPr="7612DB8E">
          <w:rPr>
            <w:rStyle w:val="Hyperlink"/>
            <w:rFonts w:eastAsiaTheme="minorEastAsia"/>
          </w:rPr>
          <w:t>ommittee’s webpage</w:t>
        </w:r>
      </w:hyperlink>
      <w:r w:rsidRPr="7612DB8E">
        <w:rPr>
          <w:rFonts w:eastAsiaTheme="minorEastAsia"/>
        </w:rPr>
        <w:t>.</w:t>
      </w:r>
    </w:p>
    <w:p w14:paraId="195CFAE0" w14:textId="703AE488" w:rsidR="008A059F" w:rsidRPr="00C10812" w:rsidRDefault="008A059F" w:rsidP="008A059F">
      <w:pPr>
        <w:spacing w:before="120" w:after="120" w:line="360" w:lineRule="auto"/>
        <w:rPr>
          <w:rFonts w:eastAsiaTheme="minorEastAsia"/>
        </w:rPr>
      </w:pPr>
      <w:r w:rsidRPr="7612DB8E">
        <w:rPr>
          <w:rFonts w:eastAsiaTheme="minorEastAsia"/>
        </w:rPr>
        <w:t xml:space="preserve">The Job Security Inquiry received </w:t>
      </w:r>
      <w:hyperlink r:id="rId23">
        <w:r w:rsidRPr="7612DB8E">
          <w:rPr>
            <w:rStyle w:val="Hyperlink"/>
            <w:rFonts w:eastAsiaTheme="minorEastAsia"/>
          </w:rPr>
          <w:t>230 written submissions</w:t>
        </w:r>
      </w:hyperlink>
      <w:r w:rsidRPr="7612DB8E">
        <w:rPr>
          <w:rFonts w:eastAsiaTheme="minorEastAsia"/>
        </w:rPr>
        <w:t xml:space="preserve"> from unions, academics, state governments, local councils, community legal centres, employer groups and individual citizens. </w:t>
      </w:r>
      <w:r w:rsidR="00E25623">
        <w:rPr>
          <w:rFonts w:eastAsiaTheme="minorEastAsia"/>
        </w:rPr>
        <w:br/>
      </w:r>
      <w:r w:rsidRPr="7612DB8E">
        <w:rPr>
          <w:rFonts w:eastAsiaTheme="minorEastAsia"/>
        </w:rPr>
        <w:t xml:space="preserve">The Job Security Inquiry also held 27 public hearings from April 2021 to March 2022. </w:t>
      </w:r>
    </w:p>
    <w:p w14:paraId="1F1119C6"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62 submissions specifically raised issues with casual employment, and many cited the need for a change to the definition of casual employee that was introduced in the </w:t>
      </w:r>
      <w:r w:rsidRPr="7612DB8E">
        <w:rPr>
          <w:rFonts w:eastAsiaTheme="minorEastAsia"/>
          <w:i/>
          <w:iCs/>
        </w:rPr>
        <w:t xml:space="preserve">Fair Work (Supporting Australia’s Jobs and Economic Recovery) Amendment Act </w:t>
      </w:r>
      <w:r w:rsidRPr="00C93CAE">
        <w:rPr>
          <w:rFonts w:eastAsiaTheme="minorEastAsia"/>
          <w:i/>
          <w:iCs/>
        </w:rPr>
        <w:t>2021</w:t>
      </w:r>
      <w:r>
        <w:rPr>
          <w:rFonts w:eastAsiaTheme="minorEastAsia"/>
        </w:rPr>
        <w:t xml:space="preserve"> (Cth)</w:t>
      </w:r>
      <w:r w:rsidRPr="7612DB8E">
        <w:rPr>
          <w:rFonts w:eastAsiaTheme="minorEastAsia"/>
        </w:rPr>
        <w:t xml:space="preserve">. A list of </w:t>
      </w:r>
      <w:r>
        <w:rPr>
          <w:rFonts w:eastAsiaTheme="minorEastAsia"/>
        </w:rPr>
        <w:t>s</w:t>
      </w:r>
      <w:r w:rsidRPr="7612DB8E">
        <w:rPr>
          <w:rFonts w:eastAsiaTheme="minorEastAsia"/>
        </w:rPr>
        <w:t xml:space="preserve">ubmissions is at </w:t>
      </w:r>
      <w:r w:rsidRPr="7612DB8E">
        <w:rPr>
          <w:rFonts w:eastAsiaTheme="minorEastAsia"/>
          <w:u w:val="single"/>
        </w:rPr>
        <w:t>Attachment A</w:t>
      </w:r>
      <w:r w:rsidRPr="7612DB8E">
        <w:rPr>
          <w:rFonts w:eastAsiaTheme="minorEastAsia"/>
        </w:rPr>
        <w:t>.</w:t>
      </w:r>
    </w:p>
    <w:p w14:paraId="6E1695D2"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The Job Security Inquiry made 103 recommendations over 4 interim reports, with </w:t>
      </w:r>
      <w:r w:rsidRPr="7612DB8E">
        <w:rPr>
          <w:rFonts w:eastAsiaTheme="minorEastAsia"/>
          <w:b/>
          <w:bCs/>
        </w:rPr>
        <w:t>11</w:t>
      </w:r>
      <w:r>
        <w:rPr>
          <w:rFonts w:eastAsiaTheme="minorEastAsia"/>
          <w:b/>
          <w:bCs/>
        </w:rPr>
        <w:t> </w:t>
      </w:r>
      <w:r w:rsidRPr="7612DB8E">
        <w:rPr>
          <w:rFonts w:eastAsiaTheme="minorEastAsia"/>
          <w:b/>
          <w:bCs/>
        </w:rPr>
        <w:t>recommendations related to casuals and casual conversion</w:t>
      </w:r>
      <w:r w:rsidRPr="7612DB8E">
        <w:rPr>
          <w:rFonts w:eastAsiaTheme="minorEastAsia"/>
        </w:rPr>
        <w:t xml:space="preserve">. A copy of these recommendations is at </w:t>
      </w:r>
      <w:r w:rsidRPr="7612DB8E">
        <w:rPr>
          <w:rFonts w:eastAsiaTheme="minorEastAsia"/>
          <w:u w:val="single"/>
        </w:rPr>
        <w:t>Attachment B</w:t>
      </w:r>
      <w:r w:rsidRPr="7612DB8E">
        <w:rPr>
          <w:rFonts w:eastAsiaTheme="minorEastAsia"/>
        </w:rPr>
        <w:t xml:space="preserve">. </w:t>
      </w:r>
    </w:p>
    <w:p w14:paraId="737E91C5" w14:textId="7E38ADF0" w:rsidR="008A059F" w:rsidRDefault="008A059F" w:rsidP="008A059F">
      <w:pPr>
        <w:spacing w:before="120" w:after="120" w:line="360" w:lineRule="auto"/>
        <w:rPr>
          <w:rFonts w:eastAsiaTheme="minorEastAsia"/>
        </w:rPr>
      </w:pPr>
      <w:r w:rsidRPr="7612DB8E">
        <w:rPr>
          <w:rFonts w:eastAsiaTheme="minorEastAsia"/>
        </w:rPr>
        <w:t xml:space="preserve">The most relevant recommendation to the Government’s proposed reforms to the definition of casual employee was </w:t>
      </w:r>
      <w:r w:rsidRPr="7612DB8E">
        <w:rPr>
          <w:rFonts w:eastAsiaTheme="minorEastAsia"/>
          <w:b/>
          <w:bCs/>
        </w:rPr>
        <w:t xml:space="preserve">Recommendation 6 </w:t>
      </w:r>
      <w:r w:rsidRPr="7612DB8E">
        <w:rPr>
          <w:rFonts w:eastAsiaTheme="minorEastAsia"/>
        </w:rPr>
        <w:t xml:space="preserve">from the </w:t>
      </w:r>
      <w:hyperlink r:id="rId24" w:history="1">
        <w:r w:rsidR="00037826">
          <w:rPr>
            <w:rStyle w:val="Hyperlink"/>
          </w:rPr>
          <w:t>Fourth interim report: the job insecurity report (11 February 2022)</w:t>
        </w:r>
      </w:hyperlink>
      <w:r w:rsidRPr="7612DB8E">
        <w:rPr>
          <w:rFonts w:eastAsiaTheme="minorEastAsia"/>
        </w:rPr>
        <w:t>:</w:t>
      </w:r>
    </w:p>
    <w:p w14:paraId="59AB35C4" w14:textId="77777777" w:rsidR="008A059F" w:rsidRDefault="008A059F" w:rsidP="008A059F">
      <w:pPr>
        <w:rPr>
          <w:rFonts w:eastAsiaTheme="minorEastAsia"/>
        </w:rPr>
      </w:pPr>
      <w:r>
        <w:rPr>
          <w:rFonts w:eastAsiaTheme="minorEastAsia"/>
        </w:rPr>
        <w:br w:type="page"/>
      </w:r>
    </w:p>
    <w:p w14:paraId="183A7C25" w14:textId="77777777" w:rsidR="008A059F" w:rsidRPr="00C10812" w:rsidRDefault="008A059F" w:rsidP="008A059F">
      <w:pPr>
        <w:spacing w:before="120" w:after="120" w:line="360" w:lineRule="auto"/>
        <w:rPr>
          <w:rFonts w:eastAsiaTheme="minorEastAsia"/>
        </w:rPr>
      </w:pPr>
    </w:p>
    <w:tbl>
      <w:tblPr>
        <w:tblStyle w:val="PlainTable2"/>
        <w:tblpPr w:leftFromText="180" w:rightFromText="180" w:vertAnchor="text" w:tblpY="1"/>
        <w:tblW w:w="5000" w:type="pct"/>
        <w:tblLook w:val="04A0" w:firstRow="1" w:lastRow="0" w:firstColumn="1" w:lastColumn="0" w:noHBand="0" w:noVBand="1"/>
      </w:tblPr>
      <w:tblGrid>
        <w:gridCol w:w="1027"/>
        <w:gridCol w:w="7999"/>
      </w:tblGrid>
      <w:tr w:rsidR="008A059F" w:rsidRPr="00C10812" w14:paraId="7613FB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16B9460D" w14:textId="77777777" w:rsidR="008A059F" w:rsidRPr="00C10812" w:rsidRDefault="008A059F">
            <w:pPr>
              <w:spacing w:before="120" w:after="120" w:line="360" w:lineRule="auto"/>
              <w:rPr>
                <w:rFonts w:eastAsiaTheme="minorEastAsia"/>
                <w:b w:val="0"/>
                <w:bCs w:val="0"/>
              </w:rPr>
            </w:pPr>
            <w:r w:rsidRPr="7612DB8E">
              <w:rPr>
                <w:rFonts w:eastAsiaTheme="minorEastAsia"/>
                <w:b w:val="0"/>
                <w:bCs w:val="0"/>
              </w:rPr>
              <w:t>Rec 6</w:t>
            </w:r>
          </w:p>
        </w:tc>
        <w:tc>
          <w:tcPr>
            <w:tcW w:w="4431" w:type="pct"/>
            <w:hideMark/>
          </w:tcPr>
          <w:p w14:paraId="5CC11373" w14:textId="77777777" w:rsidR="008A059F" w:rsidRPr="00C10812" w:rsidRDefault="008A059F">
            <w:pPr>
              <w:pStyle w:val="NoSpacing"/>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r w:rsidRPr="7612DB8E">
              <w:rPr>
                <w:rFonts w:eastAsiaTheme="minorEastAsia"/>
                <w:sz w:val="20"/>
                <w:szCs w:val="20"/>
                <w:lang w:eastAsia="en-AU"/>
              </w:rPr>
              <w:t>The committee recommends that the Australian Government urgently assesses the performance of the </w:t>
            </w:r>
            <w:r w:rsidRPr="7612DB8E">
              <w:rPr>
                <w:rFonts w:eastAsiaTheme="minorEastAsia"/>
                <w:i/>
                <w:iCs/>
                <w:sz w:val="20"/>
                <w:szCs w:val="20"/>
                <w:lang w:eastAsia="en-AU"/>
              </w:rPr>
              <w:t>Fair Work Amendment (Supporting Australia's Jobs and Economic Recovery) Act 2021</w:t>
            </w:r>
            <w:r>
              <w:rPr>
                <w:rFonts w:eastAsiaTheme="minorEastAsia"/>
                <w:i/>
                <w:iCs/>
                <w:sz w:val="20"/>
                <w:szCs w:val="20"/>
                <w:lang w:eastAsia="en-AU"/>
              </w:rPr>
              <w:t xml:space="preserve"> </w:t>
            </w:r>
            <w:r>
              <w:rPr>
                <w:rFonts w:eastAsiaTheme="minorEastAsia"/>
                <w:sz w:val="20"/>
                <w:szCs w:val="20"/>
                <w:lang w:eastAsia="en-AU"/>
              </w:rPr>
              <w:t>(Cth)</w:t>
            </w:r>
            <w:r w:rsidRPr="7612DB8E">
              <w:rPr>
                <w:rFonts w:eastAsiaTheme="minorEastAsia"/>
                <w:sz w:val="20"/>
                <w:szCs w:val="20"/>
                <w:lang w:eastAsia="en-AU"/>
              </w:rPr>
              <w:t>. As the data collected through this inquiry suggests, the amendment has not had a positive impact on job security, and it should be repealed and replaced with a new statutory definition of casual employment that reflects the true nature of the employment relationship―rather than a definition which relies upon the employer's description of the relationship in an employment contract―and a new casual conversion provision.</w:t>
            </w:r>
          </w:p>
        </w:tc>
      </w:tr>
    </w:tbl>
    <w:p w14:paraId="77A3ED02" w14:textId="77777777" w:rsidR="008A059F" w:rsidRPr="00C10812" w:rsidRDefault="008A059F" w:rsidP="008A059F">
      <w:pPr>
        <w:spacing w:before="120" w:after="120" w:line="360" w:lineRule="auto"/>
        <w:rPr>
          <w:rFonts w:eastAsiaTheme="minorEastAsia"/>
          <w:u w:val="single"/>
        </w:rPr>
      </w:pPr>
    </w:p>
    <w:p w14:paraId="66C856A4"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4" w:name="_Toc143252089"/>
      <w:r w:rsidRPr="7612DB8E">
        <w:rPr>
          <w:rFonts w:asciiTheme="minorHAnsi" w:eastAsiaTheme="minorEastAsia" w:hAnsiTheme="minorHAnsi" w:cstheme="minorBidi"/>
        </w:rPr>
        <w:t xml:space="preserve">Overview of the statutory review of the </w:t>
      </w:r>
      <w:r w:rsidRPr="004D6783">
        <w:rPr>
          <w:rFonts w:asciiTheme="minorHAnsi" w:eastAsiaTheme="minorEastAsia" w:hAnsiTheme="minorHAnsi" w:cstheme="minorBidi"/>
          <w:i/>
          <w:iCs/>
          <w:lang w:eastAsia="en-AU"/>
        </w:rPr>
        <w:t>Fair Work Amendment (Supporting Australia's Jobs and Economic Recovery) Act 2021</w:t>
      </w:r>
      <w:r w:rsidRPr="004D6783">
        <w:rPr>
          <w:rFonts w:asciiTheme="minorHAnsi" w:eastAsiaTheme="minorEastAsia" w:hAnsiTheme="minorHAnsi" w:cstheme="minorBidi"/>
          <w:i/>
          <w:iCs/>
        </w:rPr>
        <w:t xml:space="preserve"> </w:t>
      </w:r>
      <w:r w:rsidRPr="002E35F1">
        <w:rPr>
          <w:rFonts w:asciiTheme="minorHAnsi" w:eastAsiaTheme="minorEastAsia" w:hAnsiTheme="minorHAnsi" w:cstheme="minorBidi"/>
        </w:rPr>
        <w:t>(Cth)</w:t>
      </w:r>
      <w:r>
        <w:rPr>
          <w:rFonts w:asciiTheme="minorHAnsi" w:eastAsiaTheme="minorEastAsia" w:hAnsiTheme="minorHAnsi" w:cstheme="minorBidi"/>
        </w:rPr>
        <w:t xml:space="preserve"> </w:t>
      </w:r>
      <w:r w:rsidRPr="7612DB8E">
        <w:rPr>
          <w:rFonts w:asciiTheme="minorHAnsi" w:eastAsiaTheme="minorEastAsia" w:hAnsiTheme="minorHAnsi" w:cstheme="minorBidi"/>
        </w:rPr>
        <w:t xml:space="preserve">(the </w:t>
      </w:r>
      <w:r>
        <w:rPr>
          <w:rFonts w:asciiTheme="minorHAnsi" w:eastAsiaTheme="minorEastAsia" w:hAnsiTheme="minorHAnsi" w:cstheme="minorBidi"/>
        </w:rPr>
        <w:t>R</w:t>
      </w:r>
      <w:r w:rsidRPr="7612DB8E">
        <w:rPr>
          <w:rFonts w:asciiTheme="minorHAnsi" w:eastAsiaTheme="minorEastAsia" w:hAnsiTheme="minorHAnsi" w:cstheme="minorBidi"/>
        </w:rPr>
        <w:t>eview)</w:t>
      </w:r>
      <w:bookmarkEnd w:id="4"/>
    </w:p>
    <w:p w14:paraId="2EB0C797" w14:textId="77777777" w:rsidR="008A059F" w:rsidRPr="00C10812" w:rsidRDefault="008A059F" w:rsidP="008A059F">
      <w:pPr>
        <w:spacing w:before="120" w:after="120" w:line="360" w:lineRule="auto"/>
        <w:rPr>
          <w:rFonts w:eastAsiaTheme="minorEastAsia"/>
        </w:rPr>
      </w:pPr>
      <w:r w:rsidRPr="7612DB8E">
        <w:rPr>
          <w:rFonts w:eastAsiaTheme="minorEastAsia"/>
          <w:lang w:eastAsia="en-AU"/>
        </w:rPr>
        <w:t>The</w:t>
      </w:r>
      <w:r w:rsidRPr="7612DB8E">
        <w:rPr>
          <w:rFonts w:eastAsiaTheme="minorEastAsia"/>
          <w:i/>
          <w:iCs/>
          <w:lang w:eastAsia="en-AU"/>
        </w:rPr>
        <w:t xml:space="preserve"> Fair Work Amendment (Supporting Australia's Jobs and Economic Recovery) Act </w:t>
      </w:r>
      <w:r w:rsidRPr="002E35F1">
        <w:rPr>
          <w:rFonts w:eastAsiaTheme="minorEastAsia"/>
          <w:i/>
          <w:iCs/>
          <w:lang w:eastAsia="en-AU"/>
        </w:rPr>
        <w:t>2021</w:t>
      </w:r>
      <w:r w:rsidRPr="002E35F1">
        <w:rPr>
          <w:rFonts w:eastAsiaTheme="minorEastAsia"/>
          <w:i/>
          <w:iCs/>
        </w:rPr>
        <w:t xml:space="preserve"> </w:t>
      </w:r>
      <w:r w:rsidRPr="002E35F1">
        <w:rPr>
          <w:rFonts w:eastAsiaTheme="minorEastAsia"/>
        </w:rPr>
        <w:t>(Cth)</w:t>
      </w:r>
      <w:r>
        <w:rPr>
          <w:rFonts w:eastAsiaTheme="minorEastAsia"/>
        </w:rPr>
        <w:t xml:space="preserve"> </w:t>
      </w:r>
      <w:r w:rsidRPr="7612DB8E">
        <w:rPr>
          <w:rFonts w:eastAsiaTheme="minorEastAsia"/>
        </w:rPr>
        <w:t>included a statutory requirement to review the operation of the legislative amendments 12 months after its commencement, which must:</w:t>
      </w:r>
    </w:p>
    <w:p w14:paraId="4EE5C8EA" w14:textId="77777777" w:rsidR="008A059F" w:rsidRPr="00C10812" w:rsidRDefault="008A059F" w:rsidP="001E2B74">
      <w:pPr>
        <w:pStyle w:val="ListParagraph"/>
        <w:numPr>
          <w:ilvl w:val="0"/>
          <w:numId w:val="11"/>
        </w:numPr>
        <w:spacing w:before="120" w:after="120"/>
        <w:rPr>
          <w:rFonts w:eastAsiaTheme="minorEastAsia"/>
        </w:rPr>
      </w:pPr>
      <w:r w:rsidRPr="7612DB8E">
        <w:rPr>
          <w:rFonts w:eastAsiaTheme="minorEastAsia"/>
        </w:rPr>
        <w:t>consider whether the operation of the amendments made are appropriate and effective</w:t>
      </w:r>
    </w:p>
    <w:p w14:paraId="6059A9C6" w14:textId="77777777" w:rsidR="008A059F" w:rsidRPr="00C10812" w:rsidRDefault="008A059F" w:rsidP="001E2B74">
      <w:pPr>
        <w:pStyle w:val="ListParagraph"/>
        <w:numPr>
          <w:ilvl w:val="0"/>
          <w:numId w:val="11"/>
        </w:numPr>
        <w:spacing w:before="120" w:after="120"/>
        <w:rPr>
          <w:rFonts w:eastAsiaTheme="minorEastAsia"/>
        </w:rPr>
      </w:pPr>
      <w:r w:rsidRPr="7612DB8E">
        <w:rPr>
          <w:rFonts w:eastAsiaTheme="minorEastAsia"/>
        </w:rPr>
        <w:t xml:space="preserve">identify any unintended consequences </w:t>
      </w:r>
    </w:p>
    <w:p w14:paraId="6AD2F8EE" w14:textId="77777777" w:rsidR="008A059F" w:rsidRPr="00C10812" w:rsidRDefault="008A059F" w:rsidP="001E2B74">
      <w:pPr>
        <w:pStyle w:val="ListParagraph"/>
        <w:numPr>
          <w:ilvl w:val="0"/>
          <w:numId w:val="11"/>
        </w:numPr>
        <w:spacing w:before="120" w:after="120"/>
        <w:rPr>
          <w:rFonts w:eastAsiaTheme="minorEastAsia"/>
        </w:rPr>
      </w:pPr>
      <w:r w:rsidRPr="7612DB8E">
        <w:rPr>
          <w:rFonts w:eastAsiaTheme="minorEastAsia"/>
        </w:rPr>
        <w:t>consider whether any legislative change is necessary to improve the operation of the amendments</w:t>
      </w:r>
      <w:r>
        <w:rPr>
          <w:rFonts w:eastAsiaTheme="minorEastAsia"/>
        </w:rPr>
        <w:t>.</w:t>
      </w:r>
    </w:p>
    <w:p w14:paraId="3AA4A0CC"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This was undertaken by an independent reviewer (KPMG). The </w:t>
      </w:r>
      <w:r>
        <w:rPr>
          <w:rFonts w:eastAsiaTheme="minorEastAsia"/>
        </w:rPr>
        <w:t>R</w:t>
      </w:r>
      <w:r w:rsidRPr="7612DB8E">
        <w:rPr>
          <w:rFonts w:eastAsiaTheme="minorEastAsia"/>
        </w:rPr>
        <w:t xml:space="preserve">eview had a public consultation process through both consultation sessions and a written submission process. The </w:t>
      </w:r>
      <w:r>
        <w:rPr>
          <w:rFonts w:eastAsiaTheme="minorEastAsia"/>
        </w:rPr>
        <w:t>R</w:t>
      </w:r>
      <w:r w:rsidRPr="7612DB8E">
        <w:rPr>
          <w:rFonts w:eastAsiaTheme="minorEastAsia"/>
        </w:rPr>
        <w:t xml:space="preserve">eview considered four elements: </w:t>
      </w:r>
    </w:p>
    <w:p w14:paraId="58B97FF5" w14:textId="77777777" w:rsidR="008A059F" w:rsidRPr="00C10812" w:rsidRDefault="008A059F" w:rsidP="001E2B74">
      <w:pPr>
        <w:pStyle w:val="ListParagraph"/>
        <w:numPr>
          <w:ilvl w:val="0"/>
          <w:numId w:val="10"/>
        </w:numPr>
        <w:spacing w:before="120" w:after="120"/>
        <w:rPr>
          <w:rFonts w:eastAsiaTheme="minorEastAsia"/>
        </w:rPr>
      </w:pPr>
      <w:r w:rsidRPr="7612DB8E">
        <w:rPr>
          <w:rFonts w:eastAsiaTheme="minorEastAsia"/>
        </w:rPr>
        <w:t>The statutory definition of casual employee</w:t>
      </w:r>
    </w:p>
    <w:p w14:paraId="5F6ECFA4" w14:textId="77777777" w:rsidR="008A059F" w:rsidRPr="00C10812" w:rsidRDefault="008A059F" w:rsidP="001E2B74">
      <w:pPr>
        <w:pStyle w:val="ListParagraph"/>
        <w:numPr>
          <w:ilvl w:val="0"/>
          <w:numId w:val="10"/>
        </w:numPr>
        <w:spacing w:before="120" w:after="120"/>
        <w:rPr>
          <w:rFonts w:eastAsiaTheme="minorEastAsia"/>
        </w:rPr>
      </w:pPr>
      <w:r w:rsidRPr="7612DB8E">
        <w:rPr>
          <w:rFonts w:eastAsiaTheme="minorEastAsia"/>
        </w:rPr>
        <w:t>The process for an employee to move in their job from being casual to permanent (often referred to as ‘casual conversion’)</w:t>
      </w:r>
    </w:p>
    <w:p w14:paraId="3920A729" w14:textId="77777777" w:rsidR="008A059F" w:rsidRPr="00C10812" w:rsidRDefault="008A059F" w:rsidP="001E2B74">
      <w:pPr>
        <w:pStyle w:val="ListParagraph"/>
        <w:numPr>
          <w:ilvl w:val="0"/>
          <w:numId w:val="10"/>
        </w:numPr>
        <w:spacing w:before="120" w:after="120"/>
        <w:rPr>
          <w:rFonts w:eastAsiaTheme="minorEastAsia"/>
        </w:rPr>
      </w:pPr>
      <w:r w:rsidRPr="7612DB8E">
        <w:rPr>
          <w:rFonts w:eastAsiaTheme="minorEastAsia"/>
        </w:rPr>
        <w:t>The statutory offset mechanism, for situations where an employer has been paying a casual loading but should have been paying permanent employee entitlements</w:t>
      </w:r>
    </w:p>
    <w:p w14:paraId="34B9AEE8" w14:textId="77777777" w:rsidR="008A059F" w:rsidRPr="00C10812" w:rsidRDefault="008A059F" w:rsidP="001E2B74">
      <w:pPr>
        <w:pStyle w:val="ListParagraph"/>
        <w:numPr>
          <w:ilvl w:val="0"/>
          <w:numId w:val="10"/>
        </w:numPr>
        <w:spacing w:before="120" w:after="120"/>
        <w:rPr>
          <w:rFonts w:eastAsiaTheme="minorEastAsia"/>
        </w:rPr>
      </w:pPr>
      <w:r w:rsidRPr="7612DB8E">
        <w:rPr>
          <w:rFonts w:eastAsiaTheme="minorEastAsia"/>
        </w:rPr>
        <w:t xml:space="preserve">The Casual Employment Information Statement. </w:t>
      </w:r>
    </w:p>
    <w:p w14:paraId="5277BA0B"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The </w:t>
      </w:r>
      <w:r>
        <w:rPr>
          <w:rFonts w:eastAsiaTheme="minorEastAsia"/>
        </w:rPr>
        <w:t>R</w:t>
      </w:r>
      <w:r w:rsidRPr="7612DB8E">
        <w:rPr>
          <w:rFonts w:eastAsiaTheme="minorEastAsia"/>
        </w:rPr>
        <w:t xml:space="preserve">eview found the elements of the current framework are, conceptually, appropriate but also clearly identified areas for improvement. </w:t>
      </w:r>
    </w:p>
    <w:p w14:paraId="562927F0" w14:textId="77777777" w:rsidR="008A059F" w:rsidRPr="00C10812" w:rsidRDefault="008A059F" w:rsidP="008A059F">
      <w:pPr>
        <w:spacing w:before="120" w:after="120" w:line="360" w:lineRule="auto"/>
        <w:rPr>
          <w:rFonts w:eastAsiaTheme="minorEastAsia"/>
        </w:rPr>
      </w:pPr>
      <w:r w:rsidRPr="7612DB8E">
        <w:rPr>
          <w:rFonts w:eastAsiaTheme="minorEastAsia"/>
        </w:rPr>
        <w:lastRenderedPageBreak/>
        <w:t xml:space="preserve">In addition to considering submissions to the Senate Standing Committee on Education and Employment on the Fair Work Amendment (Supporting Australia’s Jobs and Economic Recovery) Bill 2020, and the Job Security Inquiry; the </w:t>
      </w:r>
      <w:r>
        <w:rPr>
          <w:rFonts w:eastAsiaTheme="minorEastAsia"/>
        </w:rPr>
        <w:t>Review</w:t>
      </w:r>
      <w:r w:rsidRPr="7612DB8E">
        <w:rPr>
          <w:rFonts w:eastAsiaTheme="minorEastAsia"/>
        </w:rPr>
        <w:t xml:space="preserve"> sought views from a range of stakeholders including employers, employees, State governments, Commonwealth entities, peak bodies, employer and employee representatives (including trade unions), interest groups, community legal centres, and academics. </w:t>
      </w:r>
    </w:p>
    <w:p w14:paraId="03EE0A44" w14:textId="1675C382" w:rsidR="008A059F" w:rsidRPr="00C10812" w:rsidRDefault="008A059F" w:rsidP="008A059F">
      <w:pPr>
        <w:spacing w:before="120" w:after="120" w:line="360" w:lineRule="auto"/>
        <w:rPr>
          <w:rFonts w:eastAsiaTheme="minorEastAsia"/>
        </w:rPr>
      </w:pPr>
      <w:r w:rsidRPr="7612DB8E">
        <w:rPr>
          <w:rFonts w:eastAsiaTheme="minorEastAsia"/>
        </w:rPr>
        <w:t xml:space="preserve">The most relevant finding regarding the statutory definition was:  </w:t>
      </w:r>
    </w:p>
    <w:tbl>
      <w:tblPr>
        <w:tblStyle w:val="PlainTable2"/>
        <w:tblpPr w:leftFromText="180" w:rightFromText="180" w:vertAnchor="text" w:tblpY="1"/>
        <w:tblW w:w="5000" w:type="pct"/>
        <w:tblLook w:val="04A0" w:firstRow="1" w:lastRow="0" w:firstColumn="1" w:lastColumn="0" w:noHBand="0" w:noVBand="1"/>
      </w:tblPr>
      <w:tblGrid>
        <w:gridCol w:w="1134"/>
        <w:gridCol w:w="7892"/>
      </w:tblGrid>
      <w:tr w:rsidR="008A059F" w:rsidRPr="00C10812" w14:paraId="5721264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8" w:type="pct"/>
            <w:hideMark/>
          </w:tcPr>
          <w:p w14:paraId="5E0C91A4" w14:textId="77777777" w:rsidR="008A059F" w:rsidRPr="00C10812" w:rsidRDefault="008A059F">
            <w:pPr>
              <w:spacing w:before="120" w:after="120" w:line="360" w:lineRule="auto"/>
              <w:rPr>
                <w:rFonts w:eastAsiaTheme="minorEastAsia"/>
                <w:b w:val="0"/>
                <w:bCs w:val="0"/>
              </w:rPr>
            </w:pPr>
            <w:r w:rsidRPr="7612DB8E">
              <w:rPr>
                <w:rFonts w:eastAsiaTheme="minorEastAsia"/>
                <w:b w:val="0"/>
                <w:bCs w:val="0"/>
              </w:rPr>
              <w:t>Finding 1</w:t>
            </w:r>
          </w:p>
        </w:tc>
        <w:tc>
          <w:tcPr>
            <w:tcW w:w="4372" w:type="pct"/>
            <w:hideMark/>
          </w:tcPr>
          <w:p w14:paraId="233C3099" w14:textId="77777777" w:rsidR="008A059F" w:rsidRPr="00C10812" w:rsidRDefault="008A059F">
            <w:pPr>
              <w:pStyle w:val="NoSpacing"/>
              <w:spacing w:before="120" w:after="120" w:line="360" w:lineRule="auto"/>
              <w:cnfStyle w:val="100000000000" w:firstRow="1" w:lastRow="0" w:firstColumn="0" w:lastColumn="0" w:oddVBand="0" w:evenVBand="0" w:oddHBand="0" w:evenHBand="0" w:firstRowFirstColumn="0" w:firstRowLastColumn="0" w:lastRowFirstColumn="0" w:lastRowLastColumn="0"/>
              <w:rPr>
                <w:rFonts w:eastAsiaTheme="minorEastAsia"/>
                <w:sz w:val="20"/>
                <w:szCs w:val="20"/>
              </w:rPr>
            </w:pPr>
            <w:r w:rsidRPr="7612DB8E">
              <w:rPr>
                <w:rFonts w:eastAsiaTheme="minorEastAsia"/>
                <w:sz w:val="20"/>
                <w:szCs w:val="20"/>
              </w:rPr>
              <w:t xml:space="preserve">Consideration should be given to whether the definition should focus solely on the terms of the initial offer and acceptance, and ‘not on the basis of any subsequent conduct of either party’ (per section 15A(4) of the </w:t>
            </w:r>
            <w:r w:rsidRPr="7612DB8E">
              <w:rPr>
                <w:rFonts w:eastAsiaTheme="minorEastAsia"/>
                <w:i/>
                <w:iCs/>
                <w:sz w:val="20"/>
                <w:szCs w:val="20"/>
              </w:rPr>
              <w:t>Fair Work Act</w:t>
            </w:r>
            <w:r>
              <w:rPr>
                <w:rFonts w:eastAsiaTheme="minorEastAsia"/>
                <w:i/>
                <w:iCs/>
                <w:sz w:val="20"/>
                <w:szCs w:val="20"/>
              </w:rPr>
              <w:t xml:space="preserve"> 2009 </w:t>
            </w:r>
            <w:r>
              <w:rPr>
                <w:rFonts w:eastAsiaTheme="minorEastAsia"/>
                <w:sz w:val="20"/>
                <w:szCs w:val="20"/>
              </w:rPr>
              <w:t>(Cth)</w:t>
            </w:r>
            <w:r w:rsidRPr="7612DB8E">
              <w:rPr>
                <w:rFonts w:eastAsiaTheme="minorEastAsia"/>
                <w:sz w:val="20"/>
                <w:szCs w:val="20"/>
              </w:rPr>
              <w:t xml:space="preserve">). </w:t>
            </w:r>
          </w:p>
        </w:tc>
      </w:tr>
    </w:tbl>
    <w:p w14:paraId="156B13B6" w14:textId="4CCEDF6D" w:rsidR="008A059F" w:rsidRPr="00777D3C" w:rsidRDefault="00037826" w:rsidP="008A059F">
      <w:pPr>
        <w:spacing w:before="120" w:after="120" w:line="360" w:lineRule="auto"/>
        <w:rPr>
          <w:rFonts w:eastAsiaTheme="minorEastAsia"/>
        </w:rPr>
      </w:pPr>
      <w:r>
        <w:rPr>
          <w:rFonts w:eastAsiaTheme="minorEastAsia"/>
        </w:rPr>
        <w:br/>
      </w:r>
      <w:r w:rsidR="008A059F" w:rsidRPr="7612DB8E">
        <w:rPr>
          <w:rFonts w:eastAsiaTheme="minorEastAsia"/>
        </w:rPr>
        <w:t xml:space="preserve">A full list of all eight findings is at </w:t>
      </w:r>
      <w:r w:rsidR="008A059F" w:rsidRPr="7612DB8E">
        <w:rPr>
          <w:rFonts w:eastAsiaTheme="minorEastAsia"/>
          <w:u w:val="single"/>
        </w:rPr>
        <w:t>Attachment C.</w:t>
      </w:r>
      <w:r w:rsidR="008A059F">
        <w:rPr>
          <w:rFonts w:eastAsiaTheme="minorEastAsia"/>
          <w:u w:val="single"/>
        </w:rPr>
        <w:t xml:space="preserve"> </w:t>
      </w:r>
      <w:r w:rsidR="008A059F" w:rsidRPr="00777D3C">
        <w:rPr>
          <w:rFonts w:eastAsiaTheme="minorEastAsia"/>
        </w:rPr>
        <w:t xml:space="preserve">The report </w:t>
      </w:r>
      <w:r w:rsidR="005569E8" w:rsidRPr="00777D3C">
        <w:rPr>
          <w:rFonts w:eastAsiaTheme="minorEastAsia"/>
        </w:rPr>
        <w:t>o</w:t>
      </w:r>
      <w:r w:rsidR="005569E8">
        <w:rPr>
          <w:rFonts w:eastAsiaTheme="minorEastAsia"/>
        </w:rPr>
        <w:t>f</w:t>
      </w:r>
      <w:r w:rsidR="008A059F" w:rsidRPr="00777D3C">
        <w:rPr>
          <w:rFonts w:eastAsiaTheme="minorEastAsia"/>
        </w:rPr>
        <w:t xml:space="preserve"> the </w:t>
      </w:r>
      <w:r w:rsidR="008A059F">
        <w:rPr>
          <w:rFonts w:eastAsiaTheme="minorEastAsia"/>
        </w:rPr>
        <w:t>R</w:t>
      </w:r>
      <w:r w:rsidR="008A059F" w:rsidRPr="00777D3C">
        <w:rPr>
          <w:rFonts w:eastAsiaTheme="minorEastAsia"/>
        </w:rPr>
        <w:t xml:space="preserve">eview was tabled </w:t>
      </w:r>
      <w:r w:rsidR="008A059F">
        <w:rPr>
          <w:rFonts w:eastAsiaTheme="minorEastAsia"/>
        </w:rPr>
        <w:t>in</w:t>
      </w:r>
      <w:r w:rsidR="008A059F" w:rsidRPr="00777D3C">
        <w:rPr>
          <w:rFonts w:eastAsiaTheme="minorEastAsia"/>
        </w:rPr>
        <w:t xml:space="preserve"> Parliament on 1 December 2022</w:t>
      </w:r>
      <w:r w:rsidR="008A059F">
        <w:rPr>
          <w:rFonts w:eastAsiaTheme="minorEastAsia"/>
        </w:rPr>
        <w:t xml:space="preserve">. The Government response to the Review was published on </w:t>
      </w:r>
      <w:r w:rsidR="003C64C4">
        <w:rPr>
          <w:rFonts w:eastAsiaTheme="minorEastAsia"/>
        </w:rPr>
        <w:br/>
      </w:r>
      <w:r w:rsidR="008A059F">
        <w:rPr>
          <w:rFonts w:eastAsiaTheme="minorEastAsia"/>
        </w:rPr>
        <w:t>15 December 2022.</w:t>
      </w:r>
      <w:r w:rsidR="008A059F" w:rsidRPr="00F038E1">
        <w:rPr>
          <w:rFonts w:eastAsiaTheme="minorEastAsia"/>
        </w:rPr>
        <w:t xml:space="preserve"> The Government response to the </w:t>
      </w:r>
      <w:r w:rsidR="008A059F">
        <w:rPr>
          <w:rFonts w:eastAsiaTheme="minorEastAsia"/>
        </w:rPr>
        <w:t>R</w:t>
      </w:r>
      <w:r w:rsidR="008A059F" w:rsidRPr="00F038E1">
        <w:rPr>
          <w:rFonts w:eastAsiaTheme="minorEastAsia"/>
        </w:rPr>
        <w:t>eview noted</w:t>
      </w:r>
      <w:r w:rsidR="008A059F">
        <w:rPr>
          <w:rFonts w:eastAsiaTheme="minorEastAsia"/>
        </w:rPr>
        <w:t xml:space="preserve"> </w:t>
      </w:r>
      <w:r w:rsidR="008A059F" w:rsidRPr="00F038E1">
        <w:rPr>
          <w:rFonts w:eastAsiaTheme="minorEastAsia"/>
        </w:rPr>
        <w:t>the report findings and evidence would be considered in implementing the Government’s election commitment</w:t>
      </w:r>
      <w:r w:rsidR="008A059F">
        <w:rPr>
          <w:rFonts w:eastAsiaTheme="minorEastAsia"/>
        </w:rPr>
        <w:t>.</w:t>
      </w:r>
      <w:r w:rsidR="008A059F">
        <w:rPr>
          <w:rStyle w:val="FootnoteReference"/>
        </w:rPr>
        <w:t xml:space="preserve"> </w:t>
      </w:r>
      <w:r w:rsidR="008A059F">
        <w:t>Both the Review and the Government response are available on</w:t>
      </w:r>
      <w:r w:rsidR="008A059F" w:rsidRPr="7612DB8E">
        <w:rPr>
          <w:rFonts w:eastAsiaTheme="minorEastAsia"/>
        </w:rPr>
        <w:t xml:space="preserve"> </w:t>
      </w:r>
      <w:r w:rsidR="00A1058C">
        <w:rPr>
          <w:rFonts w:eastAsiaTheme="minorEastAsia"/>
        </w:rPr>
        <w:t>the department</w:t>
      </w:r>
      <w:r w:rsidR="008A059F" w:rsidRPr="7612DB8E">
        <w:rPr>
          <w:rFonts w:eastAsiaTheme="minorEastAsia"/>
        </w:rPr>
        <w:t xml:space="preserve">’s website, at </w:t>
      </w:r>
      <w:hyperlink r:id="rId25">
        <w:r w:rsidR="008A059F" w:rsidRPr="7612DB8E">
          <w:rPr>
            <w:rStyle w:val="Hyperlink"/>
            <w:rFonts w:eastAsiaTheme="minorEastAsia"/>
          </w:rPr>
          <w:t>https://www.dewr.gov.au/workplace-relations-australia/consultations/statutory-review-casual-employment-legislation</w:t>
        </w:r>
      </w:hyperlink>
      <w:r w:rsidR="008A059F">
        <w:rPr>
          <w:rStyle w:val="Hyperlink"/>
          <w:rFonts w:eastAsiaTheme="minorEastAsia"/>
        </w:rPr>
        <w:t>.</w:t>
      </w:r>
      <w:r w:rsidR="008A059F">
        <w:t xml:space="preserve"> </w:t>
      </w:r>
    </w:p>
    <w:p w14:paraId="3071D8D1" w14:textId="36E4CDC5" w:rsidR="0096484E" w:rsidRPr="00C10812" w:rsidRDefault="008A059F" w:rsidP="008A059F">
      <w:pPr>
        <w:spacing w:before="120" w:after="120" w:line="360" w:lineRule="auto"/>
        <w:rPr>
          <w:rFonts w:eastAsiaTheme="minorEastAsia"/>
        </w:rPr>
      </w:pPr>
      <w:r>
        <w:rPr>
          <w:rFonts w:eastAsiaTheme="minorEastAsia"/>
        </w:rPr>
        <w:t>H</w:t>
      </w:r>
      <w:r w:rsidRPr="7612DB8E">
        <w:rPr>
          <w:rFonts w:eastAsiaTheme="minorEastAsia"/>
        </w:rPr>
        <w:t>ow each of the seven Impact Analysis elements were addressed by the two inquiry processes is</w:t>
      </w:r>
      <w:r>
        <w:rPr>
          <w:rFonts w:eastAsiaTheme="minorEastAsia"/>
        </w:rPr>
        <w:t xml:space="preserve"> outlined</w:t>
      </w:r>
      <w:r w:rsidRPr="7612DB8E">
        <w:rPr>
          <w:rFonts w:eastAsiaTheme="minorEastAsia"/>
        </w:rPr>
        <w:t xml:space="preserve"> below</w:t>
      </w:r>
      <w:r>
        <w:rPr>
          <w:rFonts w:eastAsiaTheme="minorEastAsia"/>
        </w:rPr>
        <w:t>.</w:t>
      </w:r>
    </w:p>
    <w:p w14:paraId="755E5A5E" w14:textId="77777777" w:rsidR="008A059F" w:rsidRPr="00BA13F0" w:rsidRDefault="008A059F" w:rsidP="008A059F">
      <w:pPr>
        <w:pStyle w:val="Heading1"/>
        <w:rPr>
          <w:rFonts w:asciiTheme="minorHAnsi" w:eastAsiaTheme="minorEastAsia" w:hAnsiTheme="minorHAnsi" w:cstheme="minorBidi"/>
        </w:rPr>
      </w:pPr>
      <w:bookmarkStart w:id="5" w:name="_Toc143252090"/>
      <w:r w:rsidRPr="7612DB8E">
        <w:rPr>
          <w:rFonts w:asciiTheme="minorHAnsi" w:eastAsiaTheme="minorEastAsia" w:hAnsiTheme="minorHAnsi" w:cstheme="minorBidi"/>
        </w:rPr>
        <w:t>1.  What is the problem you are trying to solve and what data is available?</w:t>
      </w:r>
      <w:bookmarkEnd w:id="5"/>
      <w:r w:rsidRPr="7612DB8E">
        <w:rPr>
          <w:rFonts w:asciiTheme="minorHAnsi" w:eastAsiaTheme="minorEastAsia" w:hAnsiTheme="minorHAnsi" w:cstheme="minorBidi"/>
        </w:rPr>
        <w:t xml:space="preserve"> </w:t>
      </w:r>
    </w:p>
    <w:p w14:paraId="3FBDBA6A" w14:textId="77777777" w:rsidR="008A059F" w:rsidRPr="0027447D" w:rsidRDefault="008A059F" w:rsidP="008A059F">
      <w:pPr>
        <w:spacing w:before="120" w:after="120" w:line="360" w:lineRule="auto"/>
        <w:rPr>
          <w:rFonts w:eastAsiaTheme="minorEastAsia"/>
        </w:rPr>
      </w:pPr>
      <w:r w:rsidRPr="0027447D">
        <w:rPr>
          <w:rFonts w:eastAsiaTheme="minorEastAsia"/>
        </w:rPr>
        <w:t xml:space="preserve">The Job Security </w:t>
      </w:r>
      <w:r>
        <w:rPr>
          <w:rFonts w:eastAsiaTheme="minorEastAsia"/>
        </w:rPr>
        <w:t>I</w:t>
      </w:r>
      <w:r w:rsidRPr="0027447D">
        <w:rPr>
          <w:rFonts w:eastAsiaTheme="minorEastAsia"/>
        </w:rPr>
        <w:t>nquiry took extensive evidence on the problem of job insecurity</w:t>
      </w:r>
      <w:r>
        <w:rPr>
          <w:rFonts w:eastAsiaTheme="minorEastAsia"/>
        </w:rPr>
        <w:t>,</w:t>
      </w:r>
      <w:r w:rsidRPr="0027447D">
        <w:rPr>
          <w:rFonts w:eastAsiaTheme="minorEastAsia"/>
        </w:rPr>
        <w:t xml:space="preserve"> supported by data including personal testimonies, surveys and research commissioned by employee and employer representatives, workplace/company level data and academic research and analysis. </w:t>
      </w:r>
      <w:r>
        <w:rPr>
          <w:rFonts w:eastAsiaTheme="minorEastAsia"/>
        </w:rPr>
        <w:t>E</w:t>
      </w:r>
      <w:r w:rsidRPr="00D6047C">
        <w:rPr>
          <w:rFonts w:eastAsiaTheme="minorEastAsia"/>
        </w:rPr>
        <w:t>vidence received regarding the common characteristics of casual workers and individual submitter testimonies support the proposition that casual workers are more insecure.</w:t>
      </w:r>
    </w:p>
    <w:p w14:paraId="6CA54E7F" w14:textId="77777777" w:rsidR="008A059F" w:rsidRPr="0027447D" w:rsidRDefault="008A059F" w:rsidP="008A059F">
      <w:pPr>
        <w:spacing w:before="120" w:after="120" w:line="360" w:lineRule="auto"/>
        <w:rPr>
          <w:rFonts w:eastAsiaTheme="minorEastAsia"/>
        </w:rPr>
      </w:pPr>
      <w:r w:rsidRPr="0027447D">
        <w:rPr>
          <w:rFonts w:eastAsiaTheme="minorEastAsia"/>
        </w:rPr>
        <w:t xml:space="preserve">Additionally, data and analysis on casual employment was expressly commissioned from the </w:t>
      </w:r>
      <w:r>
        <w:rPr>
          <w:rFonts w:eastAsiaTheme="minorEastAsia"/>
        </w:rPr>
        <w:t>Australian Bureau of Statistics (</w:t>
      </w:r>
      <w:r w:rsidRPr="0027447D">
        <w:rPr>
          <w:rFonts w:eastAsiaTheme="minorEastAsia"/>
        </w:rPr>
        <w:t>ABS</w:t>
      </w:r>
      <w:r>
        <w:rPr>
          <w:rFonts w:eastAsiaTheme="minorEastAsia"/>
        </w:rPr>
        <w:t>)</w:t>
      </w:r>
      <w:r w:rsidRPr="0027447D">
        <w:rPr>
          <w:rFonts w:eastAsiaTheme="minorEastAsia"/>
        </w:rPr>
        <w:t xml:space="preserve"> and BETA</w:t>
      </w:r>
      <w:r>
        <w:rPr>
          <w:rFonts w:eastAsiaTheme="minorEastAsia"/>
        </w:rPr>
        <w:t>, t</w:t>
      </w:r>
      <w:r w:rsidRPr="7612DB8E">
        <w:rPr>
          <w:rFonts w:eastAsiaTheme="minorEastAsia"/>
        </w:rPr>
        <w:t>he behavioural economics team of the Australian Government</w:t>
      </w:r>
      <w:r>
        <w:rPr>
          <w:rFonts w:eastAsiaTheme="minorEastAsia"/>
        </w:rPr>
        <w:t>,</w:t>
      </w:r>
      <w:r w:rsidRPr="0027447D">
        <w:rPr>
          <w:rFonts w:eastAsiaTheme="minorEastAsia"/>
        </w:rPr>
        <w:t xml:space="preserve"> to inform the </w:t>
      </w:r>
      <w:r>
        <w:rPr>
          <w:rFonts w:eastAsiaTheme="minorEastAsia"/>
        </w:rPr>
        <w:t>Review</w:t>
      </w:r>
      <w:r w:rsidRPr="0027447D">
        <w:rPr>
          <w:rFonts w:eastAsiaTheme="minorEastAsia"/>
        </w:rPr>
        <w:t>.</w:t>
      </w:r>
    </w:p>
    <w:p w14:paraId="1CC13DBF" w14:textId="77777777" w:rsidR="008A059F" w:rsidRPr="00C10812" w:rsidRDefault="008A059F" w:rsidP="008A059F">
      <w:pPr>
        <w:spacing w:before="120" w:after="120" w:line="360" w:lineRule="auto"/>
        <w:rPr>
          <w:rFonts w:eastAsiaTheme="minorEastAsia"/>
        </w:rPr>
      </w:pPr>
      <w:r w:rsidRPr="7612DB8E">
        <w:rPr>
          <w:rFonts w:eastAsiaTheme="minorEastAsia"/>
        </w:rPr>
        <w:t>These two specific data projects have provided important insights into how the existing legislative settings have operated and informed design of the proposed new legislative settings.</w:t>
      </w:r>
    </w:p>
    <w:p w14:paraId="3C6A9989" w14:textId="77777777" w:rsidR="008A059F" w:rsidRPr="00C10812" w:rsidRDefault="008A059F" w:rsidP="001E2B74">
      <w:pPr>
        <w:pStyle w:val="ListParagraph"/>
        <w:numPr>
          <w:ilvl w:val="0"/>
          <w:numId w:val="5"/>
        </w:numPr>
        <w:spacing w:before="120" w:after="120"/>
        <w:ind w:left="636" w:hanging="426"/>
        <w:rPr>
          <w:rFonts w:eastAsiaTheme="minorEastAsia"/>
        </w:rPr>
      </w:pPr>
      <w:r w:rsidRPr="7612DB8E">
        <w:rPr>
          <w:rFonts w:eastAsiaTheme="minorEastAsia"/>
        </w:rPr>
        <w:lastRenderedPageBreak/>
        <w:t xml:space="preserve">The first data project was undertaken by BETA </w:t>
      </w:r>
      <w:r>
        <w:rPr>
          <w:rFonts w:eastAsiaTheme="minorEastAsia"/>
        </w:rPr>
        <w:t xml:space="preserve">and </w:t>
      </w:r>
      <w:r w:rsidRPr="7612DB8E">
        <w:rPr>
          <w:rFonts w:eastAsiaTheme="minorEastAsia"/>
        </w:rPr>
        <w:t xml:space="preserve">involved: </w:t>
      </w:r>
    </w:p>
    <w:p w14:paraId="6090EBBE" w14:textId="77777777" w:rsidR="008A059F" w:rsidRPr="00C10812" w:rsidRDefault="008A059F" w:rsidP="001E2B74">
      <w:pPr>
        <w:pStyle w:val="ListParagraph"/>
        <w:numPr>
          <w:ilvl w:val="1"/>
          <w:numId w:val="8"/>
        </w:numPr>
        <w:spacing w:before="120" w:after="120"/>
        <w:ind w:left="1352"/>
        <w:rPr>
          <w:rFonts w:eastAsiaTheme="minorEastAsia"/>
        </w:rPr>
      </w:pPr>
      <w:r w:rsidRPr="7612DB8E">
        <w:rPr>
          <w:rFonts w:eastAsiaTheme="minorEastAsia"/>
        </w:rPr>
        <w:t>online surveys with approximately 1,200 current and recent casual employees and 800 employers of casual staff; and</w:t>
      </w:r>
    </w:p>
    <w:p w14:paraId="32B0C319" w14:textId="77777777" w:rsidR="008A059F" w:rsidRPr="00C10812" w:rsidRDefault="008A059F" w:rsidP="001E2B74">
      <w:pPr>
        <w:pStyle w:val="ListParagraph"/>
        <w:numPr>
          <w:ilvl w:val="1"/>
          <w:numId w:val="8"/>
        </w:numPr>
        <w:spacing w:before="120" w:after="120"/>
        <w:ind w:left="1352"/>
        <w:rPr>
          <w:rFonts w:eastAsiaTheme="minorEastAsia"/>
        </w:rPr>
      </w:pPr>
      <w:r w:rsidRPr="7612DB8E">
        <w:rPr>
          <w:rFonts w:eastAsiaTheme="minorEastAsia"/>
        </w:rPr>
        <w:t>qualitative interviews with 12 current and recent casual employees and 8 employers of casual staff.</w:t>
      </w:r>
    </w:p>
    <w:p w14:paraId="42395F36" w14:textId="375E2A0C" w:rsidR="008A059F" w:rsidRPr="00C10812" w:rsidRDefault="008A059F" w:rsidP="001E2B74">
      <w:pPr>
        <w:pStyle w:val="ListParagraph"/>
        <w:numPr>
          <w:ilvl w:val="0"/>
          <w:numId w:val="5"/>
        </w:numPr>
        <w:spacing w:before="120" w:after="120"/>
        <w:ind w:left="636" w:hanging="426"/>
        <w:rPr>
          <w:rFonts w:eastAsiaTheme="minorEastAsia"/>
        </w:rPr>
      </w:pPr>
      <w:r w:rsidRPr="7612DB8E">
        <w:rPr>
          <w:rFonts w:eastAsiaTheme="minorEastAsia"/>
        </w:rPr>
        <w:t xml:space="preserve">The second data project was undertaken </w:t>
      </w:r>
      <w:r>
        <w:rPr>
          <w:rFonts w:eastAsiaTheme="minorEastAsia"/>
        </w:rPr>
        <w:t xml:space="preserve">by </w:t>
      </w:r>
      <w:r w:rsidRPr="7612DB8E">
        <w:rPr>
          <w:rFonts w:eastAsiaTheme="minorEastAsia"/>
        </w:rPr>
        <w:t xml:space="preserve">the ABS to analyse conversion rates from casual to permanent employment over recent years. </w:t>
      </w:r>
    </w:p>
    <w:p w14:paraId="2E067F3F" w14:textId="6CC8830E" w:rsidR="008A059F" w:rsidRPr="00BA13F0" w:rsidRDefault="008A059F" w:rsidP="008A059F">
      <w:pPr>
        <w:spacing w:before="120" w:after="120" w:line="360" w:lineRule="auto"/>
        <w:rPr>
          <w:rFonts w:eastAsiaTheme="minorEastAsia"/>
        </w:rPr>
      </w:pPr>
      <w:r w:rsidRPr="7612DB8E">
        <w:rPr>
          <w:rFonts w:eastAsiaTheme="minorEastAsia"/>
        </w:rPr>
        <w:t>The reports of both these project</w:t>
      </w:r>
      <w:r>
        <w:rPr>
          <w:rFonts w:eastAsiaTheme="minorEastAsia"/>
        </w:rPr>
        <w:t>s</w:t>
      </w:r>
      <w:r w:rsidRPr="7612DB8E">
        <w:rPr>
          <w:rFonts w:eastAsiaTheme="minorEastAsia"/>
        </w:rPr>
        <w:t xml:space="preserve"> are publicly available on </w:t>
      </w:r>
      <w:r w:rsidR="00A1058C">
        <w:rPr>
          <w:rFonts w:eastAsiaTheme="minorEastAsia"/>
        </w:rPr>
        <w:t xml:space="preserve">the department’s </w:t>
      </w:r>
      <w:r w:rsidRPr="7612DB8E">
        <w:rPr>
          <w:rFonts w:eastAsiaTheme="minorEastAsia"/>
        </w:rPr>
        <w:t xml:space="preserve">website, at </w:t>
      </w:r>
      <w:hyperlink r:id="rId26">
        <w:r w:rsidRPr="7612DB8E">
          <w:rPr>
            <w:rStyle w:val="Hyperlink"/>
            <w:rFonts w:eastAsiaTheme="minorEastAsia"/>
          </w:rPr>
          <w:t>https://www.dewr.gov.au/workplace-relations-australia/consultations/statutory-review-casual-employment-legislation</w:t>
        </w:r>
      </w:hyperlink>
      <w:r w:rsidRPr="00682C9F">
        <w:rPr>
          <w:rStyle w:val="Hyperlink"/>
          <w:rFonts w:eastAsiaTheme="minorEastAsia"/>
          <w:u w:val="none"/>
        </w:rPr>
        <w:t>.</w:t>
      </w:r>
      <w:r w:rsidRPr="7612DB8E">
        <w:rPr>
          <w:rFonts w:eastAsiaTheme="minorEastAsia"/>
        </w:rPr>
        <w:t xml:space="preserve"> </w:t>
      </w:r>
    </w:p>
    <w:p w14:paraId="4A4C6B8D" w14:textId="475F3935" w:rsidR="008A059F" w:rsidRPr="00C10812" w:rsidRDefault="008A059F" w:rsidP="008A059F">
      <w:pPr>
        <w:spacing w:before="120" w:after="120" w:line="360" w:lineRule="auto"/>
        <w:rPr>
          <w:rFonts w:eastAsiaTheme="minorEastAsia"/>
        </w:rPr>
      </w:pPr>
      <w:r w:rsidRPr="7612DB8E">
        <w:rPr>
          <w:rFonts w:eastAsiaTheme="minorEastAsia"/>
        </w:rPr>
        <w:t xml:space="preserve">While some employees may choose to be casual because </w:t>
      </w:r>
      <w:r w:rsidR="001113AF">
        <w:rPr>
          <w:rFonts w:eastAsiaTheme="minorEastAsia"/>
        </w:rPr>
        <w:t xml:space="preserve">of the perceived </w:t>
      </w:r>
      <w:r w:rsidR="005D101C">
        <w:rPr>
          <w:rFonts w:eastAsiaTheme="minorEastAsia"/>
        </w:rPr>
        <w:t xml:space="preserve">benefit of </w:t>
      </w:r>
      <w:r w:rsidR="003F18A9">
        <w:rPr>
          <w:rFonts w:eastAsiaTheme="minorEastAsia"/>
        </w:rPr>
        <w:t xml:space="preserve">the </w:t>
      </w:r>
      <w:r w:rsidRPr="7612DB8E">
        <w:rPr>
          <w:rFonts w:eastAsiaTheme="minorEastAsia"/>
        </w:rPr>
        <w:t xml:space="preserve">casual wage loading, or because it helps them to balance their work/life responsibilities, </w:t>
      </w:r>
      <w:r w:rsidR="00016986">
        <w:rPr>
          <w:rFonts w:eastAsiaTheme="minorEastAsia"/>
        </w:rPr>
        <w:t>evidence</w:t>
      </w:r>
      <w:r w:rsidR="00016986" w:rsidRPr="7612DB8E">
        <w:rPr>
          <w:rFonts w:eastAsiaTheme="minorEastAsia"/>
        </w:rPr>
        <w:t xml:space="preserve"> </w:t>
      </w:r>
      <w:r w:rsidRPr="7612DB8E">
        <w:rPr>
          <w:rFonts w:eastAsiaTheme="minorEastAsia"/>
        </w:rPr>
        <w:t xml:space="preserve">heard by the </w:t>
      </w:r>
      <w:r w:rsidRPr="00FF19D8">
        <w:rPr>
          <w:rFonts w:eastAsiaTheme="minorEastAsia"/>
        </w:rPr>
        <w:t xml:space="preserve">Job Security Inquiry </w:t>
      </w:r>
      <w:r w:rsidRPr="7612DB8E">
        <w:rPr>
          <w:rFonts w:eastAsiaTheme="minorEastAsia"/>
        </w:rPr>
        <w:t>shows that casual employees</w:t>
      </w:r>
      <w:r w:rsidR="00221DFB">
        <w:rPr>
          <w:rFonts w:eastAsiaTheme="minorEastAsia"/>
        </w:rPr>
        <w:t xml:space="preserve"> can be</w:t>
      </w:r>
      <w:r w:rsidRPr="7612DB8E">
        <w:rPr>
          <w:rFonts w:eastAsiaTheme="minorEastAsia"/>
        </w:rPr>
        <w:t xml:space="preserve"> exposed to the significant negative impacts of job insecurity, including: </w:t>
      </w:r>
    </w:p>
    <w:p w14:paraId="70C6EDFD" w14:textId="77777777" w:rsidR="008A059F" w:rsidRDefault="008A059F" w:rsidP="001E2B74">
      <w:pPr>
        <w:pStyle w:val="ListParagraph"/>
        <w:numPr>
          <w:ilvl w:val="0"/>
          <w:numId w:val="7"/>
        </w:numPr>
        <w:spacing w:before="120" w:after="120"/>
        <w:ind w:left="570"/>
        <w:rPr>
          <w:rFonts w:eastAsiaTheme="minorEastAsia"/>
        </w:rPr>
      </w:pPr>
      <w:r w:rsidRPr="7612DB8E">
        <w:rPr>
          <w:rFonts w:eastAsiaTheme="minorEastAsia"/>
        </w:rPr>
        <w:t>poorer physical and mental health (including susceptibility to bullying and drug use)</w:t>
      </w:r>
      <w:r w:rsidRPr="7612DB8E">
        <w:rPr>
          <w:rStyle w:val="FootnoteReference"/>
          <w:rFonts w:eastAsiaTheme="minorEastAsia"/>
        </w:rPr>
        <w:footnoteReference w:id="2"/>
      </w:r>
      <w:r w:rsidRPr="7612DB8E">
        <w:rPr>
          <w:rFonts w:eastAsiaTheme="minorEastAsia"/>
        </w:rPr>
        <w:t xml:space="preserve"> </w:t>
      </w:r>
    </w:p>
    <w:p w14:paraId="1AA50716" w14:textId="77777777" w:rsidR="008A059F" w:rsidRDefault="008A059F" w:rsidP="001E2B74">
      <w:pPr>
        <w:pStyle w:val="ListParagraph"/>
        <w:numPr>
          <w:ilvl w:val="0"/>
          <w:numId w:val="7"/>
        </w:numPr>
        <w:spacing w:before="120" w:after="120"/>
        <w:ind w:left="570"/>
        <w:rPr>
          <w:rFonts w:eastAsiaTheme="minorEastAsia"/>
        </w:rPr>
      </w:pPr>
      <w:r w:rsidRPr="7612DB8E">
        <w:rPr>
          <w:rFonts w:eastAsiaTheme="minorEastAsia"/>
        </w:rPr>
        <w:t>less ability to afford medical care, and less likely to take time off work to seek medical treatment, and are more likely to suffer from chronic illnesses</w:t>
      </w:r>
      <w:r w:rsidRPr="7612DB8E">
        <w:rPr>
          <w:rStyle w:val="FootnoteReference"/>
          <w:rFonts w:eastAsiaTheme="minorEastAsia"/>
        </w:rPr>
        <w:footnoteReference w:id="3"/>
      </w:r>
    </w:p>
    <w:p w14:paraId="480D9A5A" w14:textId="6A9EF456" w:rsidR="008A059F" w:rsidRPr="00B80416" w:rsidRDefault="008A059F" w:rsidP="001E2B74">
      <w:pPr>
        <w:pStyle w:val="ListParagraph"/>
        <w:numPr>
          <w:ilvl w:val="0"/>
          <w:numId w:val="7"/>
        </w:numPr>
        <w:spacing w:before="120" w:after="120"/>
        <w:ind w:left="570"/>
        <w:rPr>
          <w:rFonts w:eastAsiaTheme="minorEastAsia"/>
        </w:rPr>
      </w:pPr>
      <w:r w:rsidRPr="7612DB8E">
        <w:rPr>
          <w:rFonts w:eastAsiaTheme="minorEastAsia"/>
        </w:rPr>
        <w:t>difficulty affording adequate housing</w:t>
      </w:r>
      <w:r w:rsidR="00682C9F">
        <w:rPr>
          <w:rFonts w:eastAsiaTheme="minorEastAsia"/>
        </w:rPr>
        <w:t>,</w:t>
      </w:r>
      <w:r w:rsidRPr="7612DB8E">
        <w:rPr>
          <w:rFonts w:eastAsiaTheme="minorEastAsia"/>
        </w:rPr>
        <w:t xml:space="preserve"> </w:t>
      </w:r>
      <w:r w:rsidRPr="00686DC8">
        <w:rPr>
          <w:rFonts w:eastAsiaTheme="minorEastAsia"/>
        </w:rPr>
        <w:t>accessing credit for home loans or secur</w:t>
      </w:r>
      <w:r w:rsidR="00682C9F">
        <w:rPr>
          <w:rFonts w:eastAsiaTheme="minorEastAsia"/>
        </w:rPr>
        <w:t>ing</w:t>
      </w:r>
      <w:r w:rsidRPr="00686DC8">
        <w:rPr>
          <w:rFonts w:eastAsiaTheme="minorEastAsia"/>
        </w:rPr>
        <w:t xml:space="preserve"> a rental, and increased risk of homelessness and long-term (even intergenerational) poverty</w:t>
      </w:r>
      <w:r w:rsidRPr="7612DB8E">
        <w:rPr>
          <w:rStyle w:val="FootnoteReference"/>
          <w:rFonts w:eastAsiaTheme="minorEastAsia"/>
        </w:rPr>
        <w:footnoteReference w:id="4"/>
      </w:r>
    </w:p>
    <w:p w14:paraId="4CE753D9" w14:textId="2B227382" w:rsidR="008A059F" w:rsidRPr="005D659F" w:rsidRDefault="008A059F" w:rsidP="001E2B74">
      <w:pPr>
        <w:pStyle w:val="ListParagraph"/>
        <w:numPr>
          <w:ilvl w:val="0"/>
          <w:numId w:val="7"/>
        </w:numPr>
        <w:spacing w:before="120" w:after="120"/>
        <w:ind w:left="570"/>
        <w:rPr>
          <w:rFonts w:eastAsiaTheme="minorEastAsia"/>
        </w:rPr>
      </w:pPr>
      <w:r>
        <w:rPr>
          <w:rFonts w:eastAsiaTheme="minorEastAsia"/>
        </w:rPr>
        <w:t>t</w:t>
      </w:r>
      <w:r w:rsidRPr="005D659F">
        <w:rPr>
          <w:rFonts w:eastAsiaTheme="minorEastAsia"/>
        </w:rPr>
        <w:t xml:space="preserve">he negative consequences of not being able to access paid sick leave were demonstrated during the early </w:t>
      </w:r>
      <w:r w:rsidR="00922259">
        <w:rPr>
          <w:rFonts w:eastAsiaTheme="minorEastAsia"/>
        </w:rPr>
        <w:t>stages</w:t>
      </w:r>
      <w:r w:rsidR="00922259" w:rsidRPr="005D659F">
        <w:rPr>
          <w:rFonts w:eastAsiaTheme="minorEastAsia"/>
        </w:rPr>
        <w:t xml:space="preserve"> </w:t>
      </w:r>
      <w:r w:rsidRPr="005D659F">
        <w:rPr>
          <w:rFonts w:eastAsiaTheme="minorEastAsia"/>
        </w:rPr>
        <w:t xml:space="preserve">of the COVID-19 pandemic, with many casual employees performing essential services but being unable to afford to take time off work to recover from illness or to care for sick family members. </w:t>
      </w:r>
    </w:p>
    <w:p w14:paraId="61888DE9" w14:textId="6EB53F61" w:rsidR="008A059F" w:rsidRPr="00C10812" w:rsidRDefault="008A059F" w:rsidP="008A059F">
      <w:pPr>
        <w:spacing w:before="120" w:after="120" w:line="360" w:lineRule="auto"/>
        <w:rPr>
          <w:rFonts w:eastAsiaTheme="minorEastAsia"/>
        </w:rPr>
      </w:pPr>
      <w:r w:rsidRPr="7612DB8E">
        <w:rPr>
          <w:rFonts w:eastAsiaTheme="minorEastAsia"/>
        </w:rPr>
        <w:t xml:space="preserve">The </w:t>
      </w:r>
      <w:r>
        <w:rPr>
          <w:rFonts w:eastAsiaTheme="minorEastAsia"/>
        </w:rPr>
        <w:t>Review</w:t>
      </w:r>
      <w:r w:rsidRPr="7612DB8E">
        <w:rPr>
          <w:rFonts w:eastAsiaTheme="minorEastAsia"/>
        </w:rPr>
        <w:t xml:space="preserve"> also identified problems with the current framework. It found, for example, that </w:t>
      </w:r>
      <w:r w:rsidR="006279BE">
        <w:rPr>
          <w:rFonts w:eastAsiaTheme="minorEastAsia"/>
        </w:rPr>
        <w:t>‘</w:t>
      </w:r>
      <w:r w:rsidRPr="7612DB8E">
        <w:rPr>
          <w:rFonts w:eastAsiaTheme="minorEastAsia"/>
        </w:rPr>
        <w:t>a key issue is the effect of s15A(4) to exclude consideration of the parties subsequent conduct from the assessment of casual employment</w:t>
      </w:r>
      <w:r w:rsidR="006279BE">
        <w:rPr>
          <w:rFonts w:eastAsiaTheme="minorEastAsia"/>
        </w:rPr>
        <w:t>’</w:t>
      </w:r>
      <w:r w:rsidR="007D2C92">
        <w:rPr>
          <w:rFonts w:eastAsiaTheme="minorEastAsia"/>
        </w:rPr>
        <w:t>.</w:t>
      </w:r>
      <w:r>
        <w:rPr>
          <w:rStyle w:val="FootnoteReference"/>
          <w:rFonts w:eastAsiaTheme="minorEastAsia"/>
        </w:rPr>
        <w:footnoteReference w:id="5"/>
      </w:r>
    </w:p>
    <w:p w14:paraId="4EB91AEE" w14:textId="77777777" w:rsidR="008A059F" w:rsidRPr="00C10812" w:rsidRDefault="008A059F" w:rsidP="008A059F">
      <w:pPr>
        <w:spacing w:before="120" w:after="120" w:line="360" w:lineRule="auto"/>
        <w:rPr>
          <w:rFonts w:eastAsiaTheme="minorEastAsia"/>
        </w:rPr>
      </w:pPr>
      <w:r w:rsidRPr="7612DB8E">
        <w:rPr>
          <w:rFonts w:eastAsiaTheme="minorEastAsia"/>
        </w:rPr>
        <w:lastRenderedPageBreak/>
        <w:t>It also found that the current review and appeal mechanisms may present barriers to discourage employees to pursue courses of action for secure employment</w:t>
      </w:r>
      <w:r>
        <w:rPr>
          <w:rFonts w:eastAsiaTheme="minorEastAsia"/>
        </w:rPr>
        <w:t xml:space="preserve"> </w:t>
      </w:r>
      <w:r w:rsidRPr="7612DB8E">
        <w:rPr>
          <w:rFonts w:eastAsiaTheme="minorEastAsia"/>
        </w:rPr>
        <w:t>(finding 5). The Review considered that</w:t>
      </w:r>
      <w:r>
        <w:rPr>
          <w:rFonts w:eastAsiaTheme="minorEastAsia"/>
        </w:rPr>
        <w:t xml:space="preserve"> ‘</w:t>
      </w:r>
      <w:r w:rsidRPr="7612DB8E">
        <w:rPr>
          <w:rFonts w:eastAsiaTheme="minorEastAsia"/>
        </w:rPr>
        <w:t xml:space="preserve">as a matter of principle, it is appropriate for an employee to have the ability to seek review of outcomes pursuant to the </w:t>
      </w:r>
      <w:r w:rsidRPr="00F940F6">
        <w:rPr>
          <w:rFonts w:eastAsiaTheme="minorEastAsia"/>
          <w:i/>
          <w:iCs/>
        </w:rPr>
        <w:t>Fair Work Act 2009</w:t>
      </w:r>
      <w:r>
        <w:rPr>
          <w:rFonts w:eastAsiaTheme="minorEastAsia"/>
        </w:rPr>
        <w:t xml:space="preserve"> (Cth)</w:t>
      </w:r>
      <w:r w:rsidRPr="00DE7289">
        <w:rPr>
          <w:rFonts w:eastAsiaTheme="minorEastAsia"/>
        </w:rPr>
        <w:t xml:space="preserve"> </w:t>
      </w:r>
      <w:r w:rsidRPr="7612DB8E">
        <w:rPr>
          <w:rFonts w:eastAsiaTheme="minorEastAsia"/>
        </w:rPr>
        <w:t xml:space="preserve">using </w:t>
      </w:r>
      <w:r>
        <w:rPr>
          <w:rFonts w:eastAsiaTheme="minorEastAsia"/>
        </w:rPr>
        <w:t>‘</w:t>
      </w:r>
      <w:r w:rsidRPr="7612DB8E">
        <w:rPr>
          <w:rFonts w:eastAsiaTheme="minorEastAsia"/>
        </w:rPr>
        <w:t>a low-cost, or no-cost, review process</w:t>
      </w:r>
      <w:r>
        <w:rPr>
          <w:rFonts w:eastAsiaTheme="minorEastAsia"/>
        </w:rPr>
        <w:t>’.</w:t>
      </w:r>
      <w:r>
        <w:rPr>
          <w:rStyle w:val="FootnoteReference"/>
          <w:rFonts w:eastAsiaTheme="minorEastAsia"/>
        </w:rPr>
        <w:footnoteReference w:id="6"/>
      </w:r>
      <w:r w:rsidRPr="7612DB8E">
        <w:rPr>
          <w:rFonts w:eastAsiaTheme="minorEastAsia"/>
        </w:rPr>
        <w:t xml:space="preserve"> </w:t>
      </w:r>
      <w:r>
        <w:rPr>
          <w:rFonts w:eastAsiaTheme="minorEastAsia"/>
        </w:rPr>
        <w:br/>
      </w:r>
    </w:p>
    <w:p w14:paraId="2E4AFCE5" w14:textId="77777777" w:rsidR="008A059F" w:rsidRPr="00BA13F0" w:rsidRDefault="008A059F" w:rsidP="008A059F">
      <w:pPr>
        <w:pStyle w:val="Heading1"/>
        <w:spacing w:before="120" w:after="120" w:line="360" w:lineRule="auto"/>
        <w:rPr>
          <w:rFonts w:asciiTheme="minorHAnsi" w:eastAsiaTheme="minorEastAsia" w:hAnsiTheme="minorHAnsi" w:cstheme="minorBidi"/>
        </w:rPr>
      </w:pPr>
      <w:bookmarkStart w:id="6" w:name="_Toc143252091"/>
      <w:r w:rsidRPr="7612DB8E">
        <w:rPr>
          <w:rFonts w:asciiTheme="minorHAnsi" w:eastAsiaTheme="minorEastAsia" w:hAnsiTheme="minorHAnsi" w:cstheme="minorBidi"/>
        </w:rPr>
        <w:t>2. What are the objectives, why is government intervention needed to achieve them, and how will success be measured?</w:t>
      </w:r>
      <w:bookmarkEnd w:id="6"/>
      <w:r w:rsidRPr="7612DB8E">
        <w:rPr>
          <w:rFonts w:asciiTheme="minorHAnsi" w:eastAsiaTheme="minorEastAsia" w:hAnsiTheme="minorHAnsi" w:cstheme="minorBidi"/>
        </w:rPr>
        <w:t xml:space="preserve"> </w:t>
      </w:r>
    </w:p>
    <w:p w14:paraId="0DD4AE44" w14:textId="2B9FDA01" w:rsidR="008A059F" w:rsidRPr="00C10812" w:rsidRDefault="008A059F" w:rsidP="008A059F">
      <w:pPr>
        <w:spacing w:before="120" w:after="120" w:line="360" w:lineRule="auto"/>
        <w:rPr>
          <w:rFonts w:eastAsiaTheme="minorEastAsia"/>
        </w:rPr>
      </w:pPr>
      <w:r w:rsidRPr="7612DB8E">
        <w:rPr>
          <w:rFonts w:eastAsiaTheme="minorEastAsia"/>
        </w:rPr>
        <w:t xml:space="preserve">The objective is to provide employees who have </w:t>
      </w:r>
      <w:r>
        <w:rPr>
          <w:rFonts w:eastAsiaTheme="minorEastAsia"/>
        </w:rPr>
        <w:t xml:space="preserve">a </w:t>
      </w:r>
      <w:r w:rsidRPr="7612DB8E">
        <w:rPr>
          <w:rFonts w:eastAsiaTheme="minorEastAsia"/>
        </w:rPr>
        <w:t xml:space="preserve">firm advance commitment to continuing </w:t>
      </w:r>
      <w:r w:rsidR="00197C53">
        <w:rPr>
          <w:rFonts w:eastAsiaTheme="minorEastAsia"/>
        </w:rPr>
        <w:t xml:space="preserve">and indefinite </w:t>
      </w:r>
      <w:r w:rsidRPr="7612DB8E">
        <w:rPr>
          <w:rFonts w:eastAsiaTheme="minorEastAsia"/>
        </w:rPr>
        <w:t>work</w:t>
      </w:r>
      <w:r>
        <w:rPr>
          <w:rFonts w:eastAsiaTheme="minorEastAsia"/>
        </w:rPr>
        <w:t xml:space="preserve"> </w:t>
      </w:r>
      <w:r w:rsidRPr="7612DB8E">
        <w:rPr>
          <w:rFonts w:eastAsiaTheme="minorEastAsia"/>
        </w:rPr>
        <w:t>with a clearer path to permanent work</w:t>
      </w:r>
      <w:r>
        <w:rPr>
          <w:rFonts w:eastAsiaTheme="minorEastAsia"/>
        </w:rPr>
        <w:t>, should they wish to pursue this</w:t>
      </w:r>
      <w:r w:rsidRPr="7612DB8E">
        <w:rPr>
          <w:rFonts w:eastAsiaTheme="minorEastAsia"/>
        </w:rPr>
        <w:t xml:space="preserve">. </w:t>
      </w:r>
    </w:p>
    <w:p w14:paraId="332E2EB6" w14:textId="511EF0A4" w:rsidR="008A059F" w:rsidRPr="00C10812" w:rsidRDefault="008A059F" w:rsidP="008A059F">
      <w:pPr>
        <w:spacing w:before="120" w:after="120" w:line="360" w:lineRule="auto"/>
        <w:rPr>
          <w:rFonts w:eastAsiaTheme="minorEastAsia"/>
        </w:rPr>
      </w:pPr>
      <w:r w:rsidRPr="7612DB8E">
        <w:rPr>
          <w:rFonts w:eastAsiaTheme="minorEastAsia"/>
        </w:rPr>
        <w:t xml:space="preserve">The definition of casual employee and the process for changing </w:t>
      </w:r>
      <w:r w:rsidR="006971A5">
        <w:rPr>
          <w:rFonts w:eastAsiaTheme="minorEastAsia"/>
        </w:rPr>
        <w:t xml:space="preserve">to permanent </w:t>
      </w:r>
      <w:r w:rsidRPr="7612DB8E">
        <w:rPr>
          <w:rFonts w:eastAsiaTheme="minorEastAsia"/>
        </w:rPr>
        <w:t xml:space="preserve">(casual conversion) are currently set out in the </w:t>
      </w:r>
      <w:r w:rsidRPr="00DE7289">
        <w:rPr>
          <w:rFonts w:eastAsiaTheme="minorEastAsia"/>
          <w:i/>
          <w:iCs/>
        </w:rPr>
        <w:t>Fair Work Act</w:t>
      </w:r>
      <w:r w:rsidRPr="00DE7289">
        <w:rPr>
          <w:rFonts w:eastAsiaTheme="minorEastAsia"/>
        </w:rPr>
        <w:t xml:space="preserve"> </w:t>
      </w:r>
      <w:r w:rsidRPr="00F940F6">
        <w:rPr>
          <w:rFonts w:eastAsiaTheme="minorEastAsia"/>
          <w:i/>
          <w:iCs/>
        </w:rPr>
        <w:t>2009</w:t>
      </w:r>
      <w:r>
        <w:rPr>
          <w:rFonts w:eastAsiaTheme="minorEastAsia"/>
        </w:rPr>
        <w:t xml:space="preserve"> (Cth)</w:t>
      </w:r>
      <w:r w:rsidRPr="7612DB8E">
        <w:rPr>
          <w:rFonts w:eastAsiaTheme="minorEastAsia"/>
        </w:rPr>
        <w:t>. Government intervention through amending this legislation is needed to address current barriers to conversion</w:t>
      </w:r>
      <w:r w:rsidR="00805AD8">
        <w:rPr>
          <w:rFonts w:eastAsiaTheme="minorEastAsia"/>
        </w:rPr>
        <w:t xml:space="preserve">. </w:t>
      </w:r>
      <w:r w:rsidR="00C120A1">
        <w:rPr>
          <w:rFonts w:eastAsiaTheme="minorEastAsia"/>
        </w:rPr>
        <w:t>This includes</w:t>
      </w:r>
      <w:r w:rsidR="00C30D41">
        <w:rPr>
          <w:rFonts w:eastAsiaTheme="minorEastAsia"/>
        </w:rPr>
        <w:t xml:space="preserve"> where </w:t>
      </w:r>
      <w:r w:rsidR="003B3E9B">
        <w:rPr>
          <w:rFonts w:eastAsiaTheme="minorEastAsia"/>
        </w:rPr>
        <w:t>employees</w:t>
      </w:r>
      <w:r w:rsidR="00C30D41">
        <w:rPr>
          <w:rFonts w:eastAsiaTheme="minorEastAsia"/>
        </w:rPr>
        <w:t xml:space="preserve"> are stuck</w:t>
      </w:r>
      <w:r w:rsidR="003B3E9B">
        <w:rPr>
          <w:rFonts w:eastAsiaTheme="minorEastAsia"/>
        </w:rPr>
        <w:t xml:space="preserve"> as casuals even if they are working regular hours similar to permanent workers, without job security</w:t>
      </w:r>
      <w:r w:rsidR="745B03BC" w:rsidRPr="2F06C68B">
        <w:rPr>
          <w:rFonts w:eastAsiaTheme="minorEastAsia"/>
        </w:rPr>
        <w:t xml:space="preserve">and </w:t>
      </w:r>
      <w:r w:rsidR="00CA7127">
        <w:rPr>
          <w:rFonts w:eastAsiaTheme="minorEastAsia"/>
        </w:rPr>
        <w:t>want to</w:t>
      </w:r>
      <w:r w:rsidR="0060259D">
        <w:rPr>
          <w:rFonts w:eastAsiaTheme="minorEastAsia"/>
        </w:rPr>
        <w:t>,</w:t>
      </w:r>
      <w:r w:rsidR="00CA7127">
        <w:rPr>
          <w:rFonts w:eastAsiaTheme="minorEastAsia"/>
        </w:rPr>
        <w:t xml:space="preserve"> but are</w:t>
      </w:r>
      <w:r w:rsidR="745B03BC" w:rsidRPr="2F06C68B">
        <w:rPr>
          <w:rFonts w:eastAsiaTheme="minorEastAsia"/>
        </w:rPr>
        <w:t xml:space="preserve"> unable to</w:t>
      </w:r>
      <w:r w:rsidR="0060259D">
        <w:rPr>
          <w:rFonts w:eastAsiaTheme="minorEastAsia"/>
        </w:rPr>
        <w:t>,</w:t>
      </w:r>
      <w:r w:rsidR="745B03BC" w:rsidRPr="2F06C68B">
        <w:rPr>
          <w:rFonts w:eastAsiaTheme="minorEastAsia"/>
        </w:rPr>
        <w:t xml:space="preserve"> convert to </w:t>
      </w:r>
      <w:r w:rsidR="745B03BC" w:rsidRPr="6BCDF79E">
        <w:rPr>
          <w:rFonts w:eastAsiaTheme="minorEastAsia"/>
        </w:rPr>
        <w:t xml:space="preserve">a permanent </w:t>
      </w:r>
      <w:r w:rsidR="745B03BC" w:rsidRPr="3D0D605E">
        <w:rPr>
          <w:rFonts w:eastAsiaTheme="minorEastAsia"/>
        </w:rPr>
        <w:t>position</w:t>
      </w:r>
      <w:r w:rsidRPr="7612DB8E">
        <w:rPr>
          <w:rFonts w:eastAsiaTheme="minorEastAsia"/>
        </w:rPr>
        <w:t xml:space="preserve">. </w:t>
      </w:r>
    </w:p>
    <w:p w14:paraId="0DC2C4F3" w14:textId="77777777" w:rsidR="008A059F" w:rsidRPr="00C10812" w:rsidRDefault="008A059F" w:rsidP="008A059F">
      <w:pPr>
        <w:spacing w:before="120" w:after="120" w:line="360" w:lineRule="auto"/>
        <w:rPr>
          <w:rFonts w:eastAsiaTheme="minorEastAsia"/>
        </w:rPr>
      </w:pPr>
      <w:r w:rsidRPr="7612DB8E">
        <w:rPr>
          <w:rFonts w:eastAsiaTheme="minorEastAsia"/>
        </w:rPr>
        <w:t>Government intervention through legislation is also necessary to overcome the narrow interpretation of the concept of ‘firm advance commitment</w:t>
      </w:r>
      <w:r>
        <w:rPr>
          <w:rFonts w:eastAsiaTheme="minorEastAsia"/>
        </w:rPr>
        <w:t>’</w:t>
      </w:r>
      <w:r w:rsidRPr="7612DB8E">
        <w:rPr>
          <w:rFonts w:eastAsiaTheme="minorEastAsia"/>
        </w:rPr>
        <w:t xml:space="preserve"> that was decided by the High Court in </w:t>
      </w:r>
      <w:r w:rsidRPr="00DE7289">
        <w:rPr>
          <w:i/>
          <w:iCs/>
        </w:rPr>
        <w:t>WorkPac v Rossato</w:t>
      </w:r>
      <w:r w:rsidRPr="00DE7289">
        <w:t xml:space="preserve"> [2021] HCA 23.</w:t>
      </w:r>
    </w:p>
    <w:p w14:paraId="040A6709" w14:textId="77777777" w:rsidR="008A059F" w:rsidRPr="00BA13F0" w:rsidRDefault="008A059F" w:rsidP="008A059F">
      <w:pPr>
        <w:pStyle w:val="Heading2"/>
        <w:rPr>
          <w:rFonts w:asciiTheme="minorHAnsi" w:eastAsiaTheme="minorEastAsia" w:hAnsiTheme="minorHAnsi" w:cstheme="minorBidi"/>
        </w:rPr>
      </w:pPr>
      <w:bookmarkStart w:id="7" w:name="_Toc143252092"/>
      <w:r w:rsidRPr="7612DB8E">
        <w:rPr>
          <w:rFonts w:asciiTheme="minorHAnsi" w:eastAsiaTheme="minorEastAsia" w:hAnsiTheme="minorHAnsi" w:cstheme="minorBidi"/>
        </w:rPr>
        <w:t>Effects of long-term casual employment</w:t>
      </w:r>
      <w:bookmarkEnd w:id="7"/>
    </w:p>
    <w:p w14:paraId="1E1F860F" w14:textId="1CCEF087" w:rsidR="008A059F" w:rsidRPr="00C10812" w:rsidRDefault="008A059F" w:rsidP="008A059F">
      <w:pPr>
        <w:spacing w:after="0" w:line="360" w:lineRule="auto"/>
        <w:contextualSpacing/>
        <w:rPr>
          <w:rFonts w:eastAsiaTheme="minorEastAsia"/>
        </w:rPr>
      </w:pPr>
      <w:r w:rsidRPr="7612DB8E">
        <w:rPr>
          <w:rFonts w:eastAsiaTheme="minorEastAsia"/>
        </w:rPr>
        <w:t xml:space="preserve">For some workers, receiving a casual loading </w:t>
      </w:r>
      <w:r w:rsidR="00D56384">
        <w:rPr>
          <w:rFonts w:eastAsiaTheme="minorEastAsia"/>
        </w:rPr>
        <w:t>in lieu of paid leave entitlements</w:t>
      </w:r>
      <w:r w:rsidRPr="7612DB8E">
        <w:rPr>
          <w:rFonts w:eastAsiaTheme="minorEastAsia"/>
        </w:rPr>
        <w:t xml:space="preserve"> and having flexibility around their schedule or shifts </w:t>
      </w:r>
      <w:r w:rsidR="00D56384">
        <w:rPr>
          <w:rFonts w:eastAsiaTheme="minorEastAsia"/>
        </w:rPr>
        <w:t>means</w:t>
      </w:r>
      <w:r w:rsidRPr="7612DB8E">
        <w:rPr>
          <w:rFonts w:eastAsiaTheme="minorEastAsia"/>
        </w:rPr>
        <w:t xml:space="preserve"> casual employment</w:t>
      </w:r>
      <w:r w:rsidR="00D56384">
        <w:rPr>
          <w:rFonts w:eastAsiaTheme="minorEastAsia"/>
        </w:rPr>
        <w:t xml:space="preserve"> can work for them in the immediate term</w:t>
      </w:r>
      <w:r w:rsidRPr="7612DB8E">
        <w:rPr>
          <w:rFonts w:eastAsiaTheme="minorEastAsia"/>
        </w:rPr>
        <w:t>. However, the Job Security Inquiry received evidence from a range of stakeholders on the detrimental aspects of casual work compared to permanent work, including:</w:t>
      </w:r>
    </w:p>
    <w:p w14:paraId="3A66B35C"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 xml:space="preserve">going to work sick </w:t>
      </w:r>
    </w:p>
    <w:p w14:paraId="10FB95F5"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 xml:space="preserve">not taking leave due to fears about endangering future employment </w:t>
      </w:r>
    </w:p>
    <w:p w14:paraId="1EB4A110"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 xml:space="preserve">the inability to 'properly balance' work, personal and caring responsibilities  </w:t>
      </w:r>
    </w:p>
    <w:p w14:paraId="12939A1D"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 xml:space="preserve">last minute changes to working hours </w:t>
      </w:r>
    </w:p>
    <w:p w14:paraId="438BFFF6"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 xml:space="preserve">'sudden loss of what had been regular work', with no notice </w:t>
      </w:r>
    </w:p>
    <w:p w14:paraId="6CE74766"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 xml:space="preserve">the 'lack of a career path' </w:t>
      </w:r>
    </w:p>
    <w:p w14:paraId="7FAAF562" w14:textId="77777777" w:rsidR="008A059F" w:rsidRPr="00B80416" w:rsidRDefault="008A059F" w:rsidP="001E2B74">
      <w:pPr>
        <w:pStyle w:val="ListParagraph"/>
        <w:numPr>
          <w:ilvl w:val="0"/>
          <w:numId w:val="7"/>
        </w:numPr>
        <w:spacing w:before="120" w:after="120"/>
        <w:ind w:left="567"/>
        <w:rPr>
          <w:rFonts w:eastAsiaTheme="minorEastAsia"/>
        </w:rPr>
      </w:pPr>
      <w:r w:rsidRPr="00B80416">
        <w:rPr>
          <w:rFonts w:eastAsiaTheme="minorEastAsia"/>
        </w:rPr>
        <w:t>reduced access to training and lower workplace participation</w:t>
      </w:r>
    </w:p>
    <w:p w14:paraId="5C94AF01" w14:textId="77777777" w:rsidR="008A059F" w:rsidRPr="00973CC2" w:rsidRDefault="008A059F" w:rsidP="001E2B74">
      <w:pPr>
        <w:pStyle w:val="ListParagraph"/>
        <w:numPr>
          <w:ilvl w:val="0"/>
          <w:numId w:val="7"/>
        </w:numPr>
        <w:spacing w:before="120" w:after="120"/>
        <w:ind w:left="567"/>
        <w:rPr>
          <w:rFonts w:eastAsiaTheme="minorEastAsia"/>
        </w:rPr>
      </w:pPr>
      <w:r w:rsidRPr="7612DB8E">
        <w:rPr>
          <w:rFonts w:eastAsiaTheme="minorEastAsia"/>
        </w:rPr>
        <w:lastRenderedPageBreak/>
        <w:t>'poorer health and safety outcomes'</w:t>
      </w:r>
    </w:p>
    <w:p w14:paraId="4F0AA3B0" w14:textId="217E263F" w:rsidR="008A059F" w:rsidRPr="00973CC2" w:rsidRDefault="008A059F" w:rsidP="001E2B74">
      <w:pPr>
        <w:pStyle w:val="ListParagraph"/>
        <w:numPr>
          <w:ilvl w:val="0"/>
          <w:numId w:val="7"/>
        </w:numPr>
        <w:spacing w:before="120" w:after="120"/>
        <w:ind w:left="567"/>
        <w:rPr>
          <w:rFonts w:eastAsiaTheme="minorEastAsia"/>
        </w:rPr>
      </w:pPr>
      <w:r w:rsidRPr="7612DB8E">
        <w:rPr>
          <w:rFonts w:eastAsiaTheme="minorEastAsia"/>
        </w:rPr>
        <w:t>an 'inability' to secure a home loan or other finance</w:t>
      </w:r>
      <w:r w:rsidR="007D2C92">
        <w:rPr>
          <w:rFonts w:eastAsiaTheme="minorEastAsia"/>
        </w:rPr>
        <w:t>.</w:t>
      </w:r>
      <w:r w:rsidRPr="00973CC2">
        <w:rPr>
          <w:rStyle w:val="FootnoteReference"/>
          <w:rFonts w:eastAsiaTheme="minorEastAsia"/>
        </w:rPr>
        <w:footnoteReference w:id="7"/>
      </w:r>
    </w:p>
    <w:p w14:paraId="6636671C" w14:textId="49EE33A6" w:rsidR="008A059F" w:rsidRPr="00C10812" w:rsidRDefault="008A059F" w:rsidP="008A059F">
      <w:pPr>
        <w:spacing w:before="120" w:after="120" w:line="360" w:lineRule="auto"/>
        <w:contextualSpacing/>
        <w:rPr>
          <w:rFonts w:eastAsiaTheme="minorEastAsia"/>
        </w:rPr>
      </w:pPr>
      <w:r w:rsidRPr="7612DB8E">
        <w:rPr>
          <w:rFonts w:eastAsiaTheme="minorEastAsia"/>
        </w:rPr>
        <w:t xml:space="preserve">The Job Insecurity Inquiry further highlighted a 2015 </w:t>
      </w:r>
      <w:r w:rsidRPr="7612DB8E">
        <w:rPr>
          <w:rFonts w:eastAsiaTheme="minorEastAsia"/>
          <w:i/>
          <w:iCs/>
        </w:rPr>
        <w:t xml:space="preserve">Household, Income and Labour Dynamics in Australia </w:t>
      </w:r>
      <w:r w:rsidRPr="7612DB8E">
        <w:rPr>
          <w:rFonts w:eastAsiaTheme="minorEastAsia"/>
        </w:rPr>
        <w:t>(HILDA</w:t>
      </w:r>
      <w:r w:rsidR="00025466">
        <w:rPr>
          <w:rFonts w:eastAsiaTheme="minorEastAsia"/>
        </w:rPr>
        <w:t>)</w:t>
      </w:r>
      <w:r w:rsidRPr="7612DB8E">
        <w:rPr>
          <w:rFonts w:eastAsiaTheme="minorEastAsia"/>
        </w:rPr>
        <w:t xml:space="preserve"> </w:t>
      </w:r>
      <w:r w:rsidR="00963C4B" w:rsidRPr="005D47FB">
        <w:rPr>
          <w:rFonts w:eastAsiaTheme="minorEastAsia"/>
        </w:rPr>
        <w:t xml:space="preserve">Survey </w:t>
      </w:r>
      <w:r w:rsidRPr="7612DB8E">
        <w:rPr>
          <w:rFonts w:eastAsiaTheme="minorEastAsia"/>
        </w:rPr>
        <w:t xml:space="preserve">on casual employees’ feelings about their job security, which found that casual workers were: </w:t>
      </w:r>
    </w:p>
    <w:p w14:paraId="501E84A6" w14:textId="77777777" w:rsidR="008A059F" w:rsidRPr="00C10812" w:rsidRDefault="008A059F" w:rsidP="001E2B74">
      <w:pPr>
        <w:pStyle w:val="ListParagraph"/>
        <w:numPr>
          <w:ilvl w:val="0"/>
          <w:numId w:val="7"/>
        </w:numPr>
        <w:spacing w:before="120" w:after="120"/>
        <w:ind w:left="567"/>
        <w:rPr>
          <w:rFonts w:eastAsiaTheme="minorEastAsia"/>
        </w:rPr>
      </w:pPr>
      <w:r w:rsidRPr="7612DB8E">
        <w:rPr>
          <w:rFonts w:eastAsiaTheme="minorEastAsia"/>
        </w:rPr>
        <w:t>‘less satisfied’ with their level of job security</w:t>
      </w:r>
    </w:p>
    <w:p w14:paraId="3DD3A83A" w14:textId="77777777" w:rsidR="008A059F" w:rsidRPr="00C10812" w:rsidRDefault="008A059F" w:rsidP="001E2B74">
      <w:pPr>
        <w:pStyle w:val="ListParagraph"/>
        <w:numPr>
          <w:ilvl w:val="0"/>
          <w:numId w:val="7"/>
        </w:numPr>
        <w:spacing w:before="120" w:after="120"/>
        <w:ind w:left="567"/>
        <w:rPr>
          <w:rFonts w:eastAsiaTheme="minorEastAsia"/>
        </w:rPr>
      </w:pPr>
      <w:r w:rsidRPr="7612DB8E">
        <w:rPr>
          <w:rFonts w:eastAsiaTheme="minorEastAsia"/>
        </w:rPr>
        <w:t xml:space="preserve">‘less satisfied’ with their ‘hours worked’ </w:t>
      </w:r>
    </w:p>
    <w:p w14:paraId="7BE97D54" w14:textId="77777777" w:rsidR="008A059F" w:rsidRPr="00C10812" w:rsidRDefault="008A059F" w:rsidP="001E2B74">
      <w:pPr>
        <w:pStyle w:val="ListParagraph"/>
        <w:numPr>
          <w:ilvl w:val="0"/>
          <w:numId w:val="7"/>
        </w:numPr>
        <w:spacing w:before="120" w:after="120"/>
        <w:ind w:left="567"/>
        <w:rPr>
          <w:rFonts w:eastAsiaTheme="minorEastAsia"/>
        </w:rPr>
      </w:pPr>
      <w:r w:rsidRPr="7612DB8E">
        <w:rPr>
          <w:rFonts w:eastAsiaTheme="minorEastAsia"/>
        </w:rPr>
        <w:t>‘less satisfied’ with their level of access to training and skill development</w:t>
      </w:r>
    </w:p>
    <w:p w14:paraId="4779EB90" w14:textId="08071861" w:rsidR="008A059F" w:rsidRPr="00BA13F0" w:rsidRDefault="008A059F" w:rsidP="001E2B74">
      <w:pPr>
        <w:pStyle w:val="ListParagraph"/>
        <w:numPr>
          <w:ilvl w:val="0"/>
          <w:numId w:val="7"/>
        </w:numPr>
        <w:spacing w:before="120" w:after="120"/>
        <w:ind w:left="567"/>
        <w:rPr>
          <w:rFonts w:eastAsiaTheme="minorEastAsia"/>
        </w:rPr>
      </w:pPr>
      <w:r w:rsidRPr="7612DB8E">
        <w:rPr>
          <w:rFonts w:eastAsiaTheme="minorEastAsia"/>
        </w:rPr>
        <w:t>almost twice as likely to be looking for another job as permanent employees</w:t>
      </w:r>
      <w:r w:rsidR="007D2C92">
        <w:rPr>
          <w:rFonts w:eastAsiaTheme="minorEastAsia"/>
        </w:rPr>
        <w:t>.</w:t>
      </w:r>
      <w:r w:rsidRPr="002623E7">
        <w:rPr>
          <w:rStyle w:val="FootnoteReference"/>
          <w:rFonts w:eastAsiaTheme="minorEastAsia"/>
        </w:rPr>
        <w:footnoteReference w:id="8"/>
      </w:r>
    </w:p>
    <w:p w14:paraId="2B4ECA75" w14:textId="77777777" w:rsidR="008A059F" w:rsidRPr="00C10812" w:rsidRDefault="008A059F" w:rsidP="008A059F">
      <w:pPr>
        <w:spacing w:before="120" w:after="120" w:line="360" w:lineRule="auto"/>
        <w:contextualSpacing/>
        <w:rPr>
          <w:rFonts w:eastAsiaTheme="minorEastAsia"/>
        </w:rPr>
      </w:pPr>
      <w:r w:rsidRPr="7612DB8E">
        <w:rPr>
          <w:rFonts w:eastAsiaTheme="minorEastAsia"/>
        </w:rPr>
        <w:t>The Job Insecurity Inquiry also cited testimonials from individuals on the negative impact of insecure work on their working lives:</w:t>
      </w:r>
    </w:p>
    <w:p w14:paraId="08B9A780" w14:textId="77777777" w:rsidR="008A059F" w:rsidRPr="00C10812" w:rsidRDefault="008A059F" w:rsidP="008A059F">
      <w:pPr>
        <w:spacing w:before="120" w:after="120" w:line="360" w:lineRule="auto"/>
        <w:ind w:left="720"/>
        <w:contextualSpacing/>
        <w:rPr>
          <w:rFonts w:eastAsiaTheme="minorEastAsia"/>
          <w:i/>
          <w:iCs/>
          <w:u w:val="single"/>
        </w:rPr>
      </w:pPr>
      <w:r w:rsidRPr="7612DB8E">
        <w:rPr>
          <w:rFonts w:eastAsiaTheme="minorEastAsia"/>
          <w:i/>
          <w:iCs/>
          <w:u w:val="single"/>
        </w:rPr>
        <w:t>Kristie—a full-time casual teacher for 6 years</w:t>
      </w:r>
    </w:p>
    <w:p w14:paraId="555B876E" w14:textId="5694E10C" w:rsidR="008A059F" w:rsidRPr="00C10812" w:rsidRDefault="008A059F" w:rsidP="008A059F">
      <w:pPr>
        <w:spacing w:before="120" w:after="120" w:line="360" w:lineRule="auto"/>
        <w:ind w:left="720"/>
        <w:contextualSpacing/>
        <w:rPr>
          <w:rFonts w:eastAsiaTheme="minorEastAsia"/>
        </w:rPr>
      </w:pPr>
      <w:r w:rsidRPr="7612DB8E">
        <w:rPr>
          <w:rFonts w:eastAsiaTheme="minorEastAsia"/>
          <w:i/>
          <w:iCs/>
        </w:rPr>
        <w:t>‘Teachers, with degree qualifications, are working day to day casual or on temporary contracts for literal YEARS on end, not knowing what we are doing from one day to the next. Hopefully we get a contract, and then we spend time fighting others for our jobs each year, or with the everlasting threat of the permanent position we’re covering going to someone else because of the weird, nepotistic way our system works. As casual teachers, we only have two pay grades, and while the casual rate is good, we are restricted to the school terms as to days we are able to work, and then we need to be engaged for every single available day to reach anything like a decent yearly salary</w:t>
      </w:r>
      <w:r w:rsidR="00414B87">
        <w:rPr>
          <w:rFonts w:eastAsiaTheme="minorEastAsia"/>
          <w:i/>
          <w:iCs/>
        </w:rPr>
        <w:t>’.</w:t>
      </w:r>
      <w:r w:rsidRPr="7612DB8E">
        <w:rPr>
          <w:rStyle w:val="FootnoteReference"/>
          <w:rFonts w:eastAsiaTheme="minorEastAsia"/>
          <w:i/>
          <w:iCs/>
        </w:rPr>
        <w:footnoteReference w:id="9"/>
      </w:r>
    </w:p>
    <w:p w14:paraId="33676E10" w14:textId="77777777" w:rsidR="008A059F" w:rsidRPr="00C10812" w:rsidRDefault="008A059F" w:rsidP="008A059F">
      <w:pPr>
        <w:spacing w:before="120" w:after="120" w:line="360" w:lineRule="auto"/>
        <w:ind w:left="709"/>
        <w:contextualSpacing/>
        <w:rPr>
          <w:rFonts w:eastAsiaTheme="minorEastAsia"/>
          <w:i/>
          <w:iCs/>
          <w:u w:val="single"/>
        </w:rPr>
      </w:pPr>
      <w:r w:rsidRPr="7612DB8E">
        <w:rPr>
          <w:rFonts w:eastAsiaTheme="minorEastAsia"/>
          <w:i/>
          <w:iCs/>
          <w:u w:val="single"/>
        </w:rPr>
        <w:t xml:space="preserve">Mr Darcy Moran, a casual who has worked in the hospitality sector for 15 years. </w:t>
      </w:r>
    </w:p>
    <w:p w14:paraId="21F63342" w14:textId="11FF854C" w:rsidR="008A059F" w:rsidRPr="00C10812" w:rsidRDefault="008A059F" w:rsidP="008A059F">
      <w:pPr>
        <w:spacing w:before="120" w:after="120" w:line="360" w:lineRule="auto"/>
        <w:ind w:left="720"/>
        <w:contextualSpacing/>
        <w:rPr>
          <w:rFonts w:eastAsiaTheme="minorEastAsia"/>
        </w:rPr>
      </w:pPr>
      <w:r w:rsidRPr="7612DB8E">
        <w:rPr>
          <w:rFonts w:eastAsiaTheme="minorEastAsia"/>
          <w:i/>
          <w:iCs/>
        </w:rPr>
        <w:t>‘The precarious nature of the work makes it extremely hazardous for employees to challenge inept, corrupt or abusive managers. When you’re a casual employee, you don’t need to go through a dismissal process; you just stop being rostered, which means you don’t have reasonable recourse and you don’t feel that you can invoke regulation or support</w:t>
      </w:r>
      <w:r w:rsidR="00414B87">
        <w:rPr>
          <w:rFonts w:eastAsiaTheme="minorEastAsia"/>
          <w:i/>
          <w:iCs/>
        </w:rPr>
        <w:t>’</w:t>
      </w:r>
      <w:r w:rsidRPr="7612DB8E">
        <w:rPr>
          <w:rFonts w:eastAsiaTheme="minorEastAsia"/>
          <w:i/>
          <w:iCs/>
        </w:rPr>
        <w:t>.</w:t>
      </w:r>
      <w:r w:rsidRPr="7612DB8E">
        <w:rPr>
          <w:rStyle w:val="FootnoteReference"/>
          <w:rFonts w:eastAsiaTheme="minorEastAsia"/>
        </w:rPr>
        <w:footnoteReference w:id="10"/>
      </w:r>
    </w:p>
    <w:p w14:paraId="7D191D7A" w14:textId="77777777" w:rsidR="008A059F" w:rsidRPr="00C10812" w:rsidRDefault="008A059F" w:rsidP="008A059F">
      <w:pPr>
        <w:spacing w:before="120" w:after="120" w:line="360" w:lineRule="auto"/>
        <w:ind w:left="720"/>
        <w:contextualSpacing/>
        <w:rPr>
          <w:rFonts w:eastAsiaTheme="minorEastAsia"/>
        </w:rPr>
      </w:pPr>
    </w:p>
    <w:p w14:paraId="478CBB7E" w14:textId="77777777" w:rsidR="008A059F" w:rsidRPr="00C10812" w:rsidRDefault="008A059F" w:rsidP="008A059F">
      <w:pPr>
        <w:pStyle w:val="Heading2"/>
        <w:spacing w:before="120" w:after="120" w:line="360" w:lineRule="auto"/>
        <w:rPr>
          <w:rFonts w:asciiTheme="minorHAnsi" w:eastAsiaTheme="minorEastAsia" w:hAnsiTheme="minorHAnsi" w:cstheme="minorBidi"/>
        </w:rPr>
      </w:pPr>
      <w:bookmarkStart w:id="8" w:name="_Toc143252093"/>
      <w:r w:rsidRPr="7612DB8E">
        <w:rPr>
          <w:rFonts w:asciiTheme="minorHAnsi" w:eastAsiaTheme="minorEastAsia" w:hAnsiTheme="minorHAnsi" w:cstheme="minorBidi"/>
        </w:rPr>
        <w:lastRenderedPageBreak/>
        <w:t>Current casual employment framework embeds job insecurity</w:t>
      </w:r>
      <w:bookmarkEnd w:id="8"/>
    </w:p>
    <w:p w14:paraId="7D01B972" w14:textId="52404184" w:rsidR="008A059F" w:rsidRPr="00C10812" w:rsidRDefault="008A059F" w:rsidP="008A059F">
      <w:pPr>
        <w:spacing w:before="120" w:after="120" w:line="360" w:lineRule="auto"/>
        <w:rPr>
          <w:rFonts w:eastAsiaTheme="minorEastAsia"/>
        </w:rPr>
      </w:pPr>
      <w:r w:rsidRPr="7612DB8E">
        <w:rPr>
          <w:rFonts w:eastAsiaTheme="minorEastAsia"/>
        </w:rPr>
        <w:t xml:space="preserve">Prior to 2021, the meaning of the term ‘casual employee’ had developed over time through common law decisions, developing a range of </w:t>
      </w:r>
      <w:r w:rsidR="00C459F2">
        <w:rPr>
          <w:rFonts w:eastAsiaTheme="minorEastAsia"/>
        </w:rPr>
        <w:t xml:space="preserve">factors </w:t>
      </w:r>
      <w:r w:rsidRPr="7612DB8E">
        <w:rPr>
          <w:rFonts w:eastAsiaTheme="minorEastAsia"/>
        </w:rPr>
        <w:t xml:space="preserve">to determine the substance and totality of the employee/employer relationship. </w:t>
      </w:r>
    </w:p>
    <w:p w14:paraId="4634411A" w14:textId="77777777" w:rsidR="008A059F" w:rsidRPr="00C10812" w:rsidRDefault="008A059F" w:rsidP="6F358070">
      <w:pPr>
        <w:spacing w:before="120" w:after="120" w:line="360" w:lineRule="auto"/>
        <w:rPr>
          <w:rFonts w:eastAsiaTheme="minorEastAsia"/>
        </w:rPr>
      </w:pPr>
      <w:r w:rsidRPr="6F358070">
        <w:rPr>
          <w:rFonts w:eastAsiaTheme="minorEastAsia"/>
        </w:rPr>
        <w:t xml:space="preserve">The </w:t>
      </w:r>
      <w:r w:rsidRPr="6F358070">
        <w:rPr>
          <w:rFonts w:eastAsiaTheme="minorEastAsia"/>
          <w:i/>
          <w:iCs/>
        </w:rPr>
        <w:t>Fair Work (Supporting Australia’s Jobs and Economic Recovery) Amendment Act</w:t>
      </w:r>
      <w:r w:rsidRPr="6F358070">
        <w:rPr>
          <w:rFonts w:eastAsiaTheme="minorEastAsia"/>
        </w:rPr>
        <w:t xml:space="preserve"> </w:t>
      </w:r>
      <w:r w:rsidRPr="6F358070">
        <w:rPr>
          <w:rFonts w:eastAsiaTheme="minorEastAsia"/>
          <w:i/>
          <w:iCs/>
        </w:rPr>
        <w:t xml:space="preserve">2021 </w:t>
      </w:r>
      <w:r w:rsidRPr="6F358070">
        <w:rPr>
          <w:rFonts w:eastAsiaTheme="minorEastAsia"/>
        </w:rPr>
        <w:t xml:space="preserve">(Cth) introduced a statutory definition of casual employee, providing that the casual employee status is determined at the point of the employee’s engagement by the employer, and that post-contractual behaviour is not a factor in determining an employee’s status. </w:t>
      </w:r>
    </w:p>
    <w:p w14:paraId="5DB2517E" w14:textId="1A1A6A53" w:rsidR="008A059F" w:rsidRPr="00C10812" w:rsidRDefault="008A059F" w:rsidP="000B66C9">
      <w:pPr>
        <w:spacing w:before="120" w:after="120" w:line="360" w:lineRule="auto"/>
        <w:rPr>
          <w:rFonts w:eastAsiaTheme="minorEastAsia"/>
        </w:rPr>
      </w:pPr>
      <w:r w:rsidRPr="6F358070">
        <w:rPr>
          <w:rFonts w:eastAsiaTheme="minorEastAsia"/>
        </w:rPr>
        <w:t xml:space="preserve">Under strict application of this definition, an employee can be engaged as a casual employee initially but then go on to work for that same employer </w:t>
      </w:r>
      <w:r w:rsidR="00EE46B5" w:rsidRPr="6F358070">
        <w:rPr>
          <w:rFonts w:eastAsiaTheme="minorEastAsia"/>
        </w:rPr>
        <w:t>in a manner akin to permanent work</w:t>
      </w:r>
      <w:r w:rsidRPr="6F358070">
        <w:rPr>
          <w:rFonts w:eastAsiaTheme="minorEastAsia"/>
        </w:rPr>
        <w:t xml:space="preserve">, </w:t>
      </w:r>
      <w:r w:rsidR="00F92BC6" w:rsidRPr="6F358070">
        <w:rPr>
          <w:rFonts w:eastAsiaTheme="minorEastAsia"/>
        </w:rPr>
        <w:t>while</w:t>
      </w:r>
      <w:r w:rsidR="006F3F2B" w:rsidRPr="6F358070">
        <w:rPr>
          <w:rFonts w:eastAsiaTheme="minorEastAsia"/>
        </w:rPr>
        <w:t xml:space="preserve"> </w:t>
      </w:r>
      <w:r w:rsidRPr="6F358070">
        <w:rPr>
          <w:rFonts w:eastAsiaTheme="minorEastAsia"/>
        </w:rPr>
        <w:t xml:space="preserve"> remaining </w:t>
      </w:r>
      <w:r w:rsidR="00F92BC6" w:rsidRPr="6F358070">
        <w:rPr>
          <w:rFonts w:eastAsiaTheme="minorEastAsia"/>
        </w:rPr>
        <w:t xml:space="preserve">classified as a </w:t>
      </w:r>
      <w:r w:rsidRPr="6F358070">
        <w:rPr>
          <w:rFonts w:eastAsiaTheme="minorEastAsia"/>
        </w:rPr>
        <w:t>casual employ</w:t>
      </w:r>
      <w:r w:rsidR="00F92BC6" w:rsidRPr="6F358070">
        <w:rPr>
          <w:rFonts w:eastAsiaTheme="minorEastAsia"/>
        </w:rPr>
        <w:t>ee</w:t>
      </w:r>
      <w:r w:rsidR="00802925" w:rsidRPr="6F358070">
        <w:rPr>
          <w:rFonts w:eastAsiaTheme="minorEastAsia"/>
        </w:rPr>
        <w:t>, with limited recourse to change their status</w:t>
      </w:r>
      <w:r w:rsidRPr="6F358070">
        <w:rPr>
          <w:rFonts w:eastAsiaTheme="minorEastAsia"/>
        </w:rPr>
        <w:t>. For example, the Review took evidence that the statutory definition:</w:t>
      </w:r>
    </w:p>
    <w:p w14:paraId="1CED40D1" w14:textId="77777777" w:rsidR="008A059F" w:rsidRPr="00C10812" w:rsidRDefault="008A059F" w:rsidP="001E2B74">
      <w:pPr>
        <w:pStyle w:val="ListParagraph"/>
        <w:numPr>
          <w:ilvl w:val="0"/>
          <w:numId w:val="7"/>
        </w:numPr>
        <w:spacing w:before="120" w:after="120"/>
        <w:ind w:left="567"/>
        <w:rPr>
          <w:rFonts w:eastAsiaTheme="minorEastAsia"/>
        </w:rPr>
      </w:pPr>
      <w:r w:rsidRPr="7612DB8E">
        <w:rPr>
          <w:rFonts w:eastAsiaTheme="minorEastAsia"/>
        </w:rPr>
        <w:t>‘license[s] constructive impermanency and the downward pressure on wages’ (the National Foundation for Australian Women)</w:t>
      </w:r>
      <w:r>
        <w:rPr>
          <w:rStyle w:val="FootnoteReference"/>
          <w:rFonts w:eastAsiaTheme="minorEastAsia"/>
        </w:rPr>
        <w:footnoteReference w:id="11"/>
      </w:r>
    </w:p>
    <w:p w14:paraId="54DC56EF" w14:textId="2B6FD60C" w:rsidR="008A059F" w:rsidRPr="00C10812" w:rsidRDefault="008A059F" w:rsidP="001E2B74">
      <w:pPr>
        <w:pStyle w:val="ListParagraph"/>
        <w:numPr>
          <w:ilvl w:val="0"/>
          <w:numId w:val="7"/>
        </w:numPr>
        <w:spacing w:before="120" w:after="120"/>
        <w:ind w:left="567"/>
        <w:rPr>
          <w:rFonts w:eastAsiaTheme="minorEastAsia"/>
        </w:rPr>
      </w:pPr>
      <w:r w:rsidRPr="7612DB8E">
        <w:rPr>
          <w:rFonts w:eastAsiaTheme="minorEastAsia"/>
        </w:rPr>
        <w:t>‘</w:t>
      </w:r>
      <w:r w:rsidR="00433414">
        <w:rPr>
          <w:rFonts w:eastAsiaTheme="minorEastAsia"/>
        </w:rPr>
        <w:t>Casual employees</w:t>
      </w:r>
      <w:r w:rsidR="00A6772B">
        <w:rPr>
          <w:rFonts w:eastAsiaTheme="minorEastAsia"/>
        </w:rPr>
        <w:t xml:space="preserve"> </w:t>
      </w:r>
      <w:r w:rsidR="000E0B90">
        <w:rPr>
          <w:rFonts w:eastAsiaTheme="minorEastAsia"/>
        </w:rPr>
        <w:t xml:space="preserve">continue to work </w:t>
      </w:r>
      <w:r w:rsidR="00A03E1D">
        <w:rPr>
          <w:rFonts w:eastAsiaTheme="minorEastAsia"/>
        </w:rPr>
        <w:t xml:space="preserve">full-time hours with their rosters set far in advance and without the option </w:t>
      </w:r>
      <w:r w:rsidR="00040B3B">
        <w:rPr>
          <w:rFonts w:eastAsiaTheme="minorEastAsia"/>
        </w:rPr>
        <w:t>of being able to refuse shifts</w:t>
      </w:r>
      <w:r w:rsidR="00615962">
        <w:rPr>
          <w:rFonts w:eastAsiaTheme="minorEastAsia"/>
        </w:rPr>
        <w:t xml:space="preserve">’ </w:t>
      </w:r>
      <w:r w:rsidRPr="7612DB8E">
        <w:rPr>
          <w:rFonts w:eastAsiaTheme="minorEastAsia"/>
        </w:rPr>
        <w:t>(</w:t>
      </w:r>
      <w:r w:rsidR="00615962">
        <w:rPr>
          <w:rFonts w:eastAsiaTheme="minorEastAsia"/>
        </w:rPr>
        <w:t>Electrical Trades</w:t>
      </w:r>
      <w:r w:rsidR="00640219">
        <w:rPr>
          <w:rFonts w:eastAsiaTheme="minorEastAsia"/>
        </w:rPr>
        <w:t xml:space="preserve"> Union</w:t>
      </w:r>
      <w:r w:rsidR="00615962">
        <w:rPr>
          <w:rFonts w:eastAsiaTheme="minorEastAsia"/>
        </w:rPr>
        <w:t xml:space="preserve"> of Australia</w:t>
      </w:r>
      <w:r w:rsidRPr="7612DB8E">
        <w:rPr>
          <w:rFonts w:eastAsiaTheme="minorEastAsia"/>
        </w:rPr>
        <w:t>)</w:t>
      </w:r>
      <w:r>
        <w:rPr>
          <w:rStyle w:val="FootnoteReference"/>
          <w:rFonts w:eastAsiaTheme="minorEastAsia"/>
        </w:rPr>
        <w:footnoteReference w:id="12"/>
      </w:r>
    </w:p>
    <w:p w14:paraId="23FFF3D4" w14:textId="12A963E4" w:rsidR="008A059F" w:rsidRPr="00C10812" w:rsidRDefault="008A059F" w:rsidP="001E2B74">
      <w:pPr>
        <w:pStyle w:val="ListParagraph"/>
        <w:numPr>
          <w:ilvl w:val="0"/>
          <w:numId w:val="7"/>
        </w:numPr>
        <w:spacing w:before="120" w:after="120"/>
        <w:ind w:left="567"/>
        <w:rPr>
          <w:rFonts w:eastAsiaTheme="minorEastAsia"/>
        </w:rPr>
      </w:pPr>
      <w:r w:rsidRPr="7612DB8E">
        <w:rPr>
          <w:rFonts w:eastAsiaTheme="minorEastAsia"/>
        </w:rPr>
        <w:t>[contributed to the] ‘prevalence of insecure work by enabling or encouraging some employers to engage employees as casuals’ in circumstances where this relationship may not reflect the true nature of the employment relationship (Victorian Government)</w:t>
      </w:r>
      <w:r w:rsidR="00414B87">
        <w:rPr>
          <w:rFonts w:eastAsiaTheme="minorEastAsia"/>
        </w:rPr>
        <w:t>.</w:t>
      </w:r>
      <w:r>
        <w:rPr>
          <w:rStyle w:val="FootnoteReference"/>
          <w:rFonts w:eastAsiaTheme="minorEastAsia"/>
        </w:rPr>
        <w:footnoteReference w:id="13"/>
      </w:r>
    </w:p>
    <w:p w14:paraId="2D39E029" w14:textId="77777777" w:rsidR="008A059F" w:rsidRPr="00C10812" w:rsidRDefault="008A059F" w:rsidP="008A059F">
      <w:pPr>
        <w:pStyle w:val="Heading2"/>
        <w:spacing w:before="120" w:after="120" w:line="360" w:lineRule="auto"/>
        <w:rPr>
          <w:rFonts w:asciiTheme="minorHAnsi" w:eastAsiaTheme="minorEastAsia" w:hAnsiTheme="minorHAnsi" w:cstheme="minorBidi"/>
        </w:rPr>
      </w:pPr>
      <w:bookmarkStart w:id="9" w:name="_Toc143252094"/>
      <w:r w:rsidRPr="005F40B5">
        <w:rPr>
          <w:rFonts w:asciiTheme="minorHAnsi" w:eastAsiaTheme="minorEastAsia" w:hAnsiTheme="minorHAnsi" w:cstheme="minorBidi"/>
        </w:rPr>
        <w:t>Limited</w:t>
      </w:r>
      <w:r w:rsidRPr="7612DB8E">
        <w:rPr>
          <w:rFonts w:asciiTheme="minorHAnsi" w:eastAsiaTheme="minorEastAsia" w:hAnsiTheme="minorHAnsi" w:cstheme="minorBidi"/>
          <w:i/>
          <w:iCs/>
        </w:rPr>
        <w:t xml:space="preserve"> </w:t>
      </w:r>
      <w:r w:rsidRPr="7612DB8E">
        <w:rPr>
          <w:rFonts w:asciiTheme="minorHAnsi" w:eastAsiaTheme="minorEastAsia" w:hAnsiTheme="minorHAnsi" w:cstheme="minorBidi"/>
        </w:rPr>
        <w:t>conversion has occurred under the current framework</w:t>
      </w:r>
      <w:bookmarkEnd w:id="9"/>
    </w:p>
    <w:p w14:paraId="20595E10" w14:textId="05B25A46" w:rsidR="008A059F" w:rsidRDefault="008A059F" w:rsidP="000B66C9">
      <w:pPr>
        <w:spacing w:before="120" w:after="120" w:line="360" w:lineRule="auto"/>
        <w:rPr>
          <w:rFonts w:eastAsiaTheme="minorEastAsia"/>
        </w:rPr>
      </w:pPr>
      <w:r w:rsidRPr="7612DB8E">
        <w:rPr>
          <w:rFonts w:eastAsiaTheme="minorEastAsia"/>
        </w:rPr>
        <w:t xml:space="preserve">Under the </w:t>
      </w:r>
      <w:r w:rsidRPr="7612DB8E">
        <w:rPr>
          <w:rFonts w:eastAsiaTheme="minorEastAsia"/>
          <w:i/>
          <w:iCs/>
        </w:rPr>
        <w:t>Fair Work (Supporting Australia’s Jobs and Economic Recovery) Amendment Act 2021</w:t>
      </w:r>
      <w:r>
        <w:rPr>
          <w:rFonts w:eastAsiaTheme="minorEastAsia"/>
          <w:i/>
          <w:iCs/>
        </w:rPr>
        <w:t xml:space="preserve"> </w:t>
      </w:r>
      <w:r w:rsidRPr="0045678A">
        <w:rPr>
          <w:rFonts w:eastAsiaTheme="minorEastAsia"/>
        </w:rPr>
        <w:t>(Cth),</w:t>
      </w:r>
      <w:r w:rsidRPr="7612DB8E">
        <w:rPr>
          <w:rFonts w:eastAsiaTheme="minorEastAsia"/>
          <w:i/>
          <w:iCs/>
        </w:rPr>
        <w:t xml:space="preserve"> </w:t>
      </w:r>
      <w:r w:rsidRPr="7612DB8E">
        <w:rPr>
          <w:rFonts w:eastAsiaTheme="minorEastAsia"/>
        </w:rPr>
        <w:t>some regular casual employees with 12 months’ service are eligible for conversion to part-time or full-time employment, subject to the employer having ‘reasonable grounds’ not to convert the employee</w:t>
      </w:r>
      <w:r w:rsidR="00414B87">
        <w:rPr>
          <w:rFonts w:eastAsiaTheme="minorEastAsia"/>
        </w:rPr>
        <w:t>.</w:t>
      </w:r>
      <w:r w:rsidRPr="7612DB8E">
        <w:rPr>
          <w:rStyle w:val="FootnoteReference"/>
          <w:rFonts w:eastAsiaTheme="minorEastAsia"/>
        </w:rPr>
        <w:footnoteReference w:id="14"/>
      </w:r>
      <w:r w:rsidRPr="7612DB8E">
        <w:rPr>
          <w:rFonts w:eastAsiaTheme="minorEastAsia"/>
        </w:rPr>
        <w:t xml:space="preserve"> Noting the current framework has only been in place </w:t>
      </w:r>
      <w:r>
        <w:rPr>
          <w:rFonts w:eastAsiaTheme="minorEastAsia"/>
        </w:rPr>
        <w:t>since March 2021</w:t>
      </w:r>
      <w:r w:rsidRPr="7612DB8E">
        <w:rPr>
          <w:rFonts w:eastAsiaTheme="minorEastAsia"/>
        </w:rPr>
        <w:t xml:space="preserve">, there is limited detailed evidence of its impact. </w:t>
      </w:r>
    </w:p>
    <w:p w14:paraId="1F7A4523" w14:textId="77777777" w:rsidR="008A059F" w:rsidRPr="00C10812" w:rsidRDefault="008A059F" w:rsidP="000B66C9">
      <w:pPr>
        <w:spacing w:before="120" w:after="120" w:line="360" w:lineRule="auto"/>
        <w:rPr>
          <w:rFonts w:eastAsiaTheme="minorEastAsia"/>
        </w:rPr>
      </w:pPr>
      <w:r w:rsidRPr="7612DB8E">
        <w:rPr>
          <w:rFonts w:eastAsiaTheme="minorEastAsia"/>
        </w:rPr>
        <w:t xml:space="preserve">However, ABS data analysis of Labour Force Survey data, undertaken as part of the </w:t>
      </w:r>
      <w:r>
        <w:rPr>
          <w:rFonts w:eastAsiaTheme="minorEastAsia"/>
        </w:rPr>
        <w:t>R</w:t>
      </w:r>
      <w:r w:rsidRPr="7612DB8E">
        <w:rPr>
          <w:rFonts w:eastAsiaTheme="minorEastAsia"/>
        </w:rPr>
        <w:t xml:space="preserve">eview, showed that there was </w:t>
      </w:r>
      <w:r w:rsidRPr="00193749">
        <w:rPr>
          <w:rFonts w:eastAsiaTheme="minorEastAsia"/>
        </w:rPr>
        <w:t>no discernible evidence that</w:t>
      </w:r>
      <w:r w:rsidRPr="7612DB8E">
        <w:rPr>
          <w:rFonts w:eastAsiaTheme="minorEastAsia"/>
        </w:rPr>
        <w:t xml:space="preserve"> there was a shift in casual conversion rates, casual </w:t>
      </w:r>
      <w:r w:rsidRPr="7612DB8E">
        <w:rPr>
          <w:rFonts w:eastAsiaTheme="minorEastAsia"/>
        </w:rPr>
        <w:lastRenderedPageBreak/>
        <w:t>transition rates and incidence of casual employees in the period leading to, and after, the March 2021 reform:</w:t>
      </w:r>
    </w:p>
    <w:p w14:paraId="30BB0178" w14:textId="77777777" w:rsidR="008A059F" w:rsidRPr="008B0C6D" w:rsidRDefault="008A059F" w:rsidP="008A059F">
      <w:pPr>
        <w:pStyle w:val="CommentText"/>
        <w:spacing w:before="120" w:after="120" w:line="360" w:lineRule="auto"/>
        <w:ind w:left="720"/>
        <w:rPr>
          <w:rFonts w:asciiTheme="minorHAnsi" w:eastAsiaTheme="minorEastAsia" w:hAnsiTheme="minorHAnsi"/>
          <w:i/>
          <w:iCs/>
          <w:sz w:val="22"/>
          <w:szCs w:val="22"/>
        </w:rPr>
      </w:pPr>
      <w:r w:rsidRPr="002623E7">
        <w:rPr>
          <w:rFonts w:asciiTheme="minorHAnsi" w:eastAsiaTheme="minorEastAsia" w:hAnsiTheme="minorHAnsi"/>
          <w:i/>
          <w:iCs/>
          <w:sz w:val="22"/>
          <w:szCs w:val="22"/>
        </w:rPr>
        <w:t>A statistical test (the Chow test) was applied to the time-series of the metrics and the outputs of these tests indicated that there was insufficient evidence that there had been a statistically significant shift in the casual conversion rates, the casual transition rate, and the proportion of casual employees in the workforce in recent years, including the period after March 2021.</w:t>
      </w:r>
      <w:r w:rsidRPr="002623E7">
        <w:rPr>
          <w:rStyle w:val="FootnoteReference"/>
          <w:rFonts w:asciiTheme="minorHAnsi" w:eastAsiaTheme="minorEastAsia" w:hAnsiTheme="minorHAnsi"/>
          <w:i/>
          <w:iCs/>
          <w:sz w:val="22"/>
          <w:szCs w:val="22"/>
        </w:rPr>
        <w:footnoteReference w:id="15"/>
      </w:r>
    </w:p>
    <w:p w14:paraId="521E1118" w14:textId="7E30842A" w:rsidR="003A7744" w:rsidRDefault="008A059F" w:rsidP="008A059F">
      <w:pPr>
        <w:spacing w:before="120" w:after="120" w:line="360" w:lineRule="auto"/>
        <w:rPr>
          <w:rFonts w:eastAsiaTheme="minorEastAsia"/>
        </w:rPr>
      </w:pPr>
      <w:r>
        <w:rPr>
          <w:rFonts w:eastAsiaTheme="minorEastAsia"/>
        </w:rPr>
        <w:t>This is supported by e</w:t>
      </w:r>
      <w:r w:rsidRPr="7612DB8E">
        <w:rPr>
          <w:rFonts w:eastAsiaTheme="minorEastAsia"/>
        </w:rPr>
        <w:t xml:space="preserve">vidence provided to the Job Security Inquiry </w:t>
      </w:r>
      <w:r w:rsidR="00CC61BB">
        <w:rPr>
          <w:rFonts w:eastAsiaTheme="minorEastAsia"/>
        </w:rPr>
        <w:t xml:space="preserve">which </w:t>
      </w:r>
      <w:r w:rsidRPr="7612DB8E">
        <w:rPr>
          <w:rFonts w:eastAsiaTheme="minorEastAsia"/>
        </w:rPr>
        <w:t>showed</w:t>
      </w:r>
      <w:r>
        <w:rPr>
          <w:rFonts w:eastAsiaTheme="minorEastAsia"/>
        </w:rPr>
        <w:t xml:space="preserve"> that conversion has been limited under the current framework. </w:t>
      </w:r>
      <w:r w:rsidRPr="7612DB8E">
        <w:rPr>
          <w:rFonts w:eastAsiaTheme="minorEastAsia"/>
        </w:rPr>
        <w:t xml:space="preserve">The </w:t>
      </w:r>
      <w:r>
        <w:rPr>
          <w:rFonts w:eastAsiaTheme="minorEastAsia"/>
        </w:rPr>
        <w:t>R</w:t>
      </w:r>
      <w:r w:rsidRPr="7612DB8E">
        <w:rPr>
          <w:rFonts w:eastAsiaTheme="minorEastAsia"/>
        </w:rPr>
        <w:t>eview also found o</w:t>
      </w:r>
      <w:r>
        <w:rPr>
          <w:rFonts w:eastAsiaTheme="minorEastAsia"/>
        </w:rPr>
        <w:t>f</w:t>
      </w:r>
      <w:r w:rsidRPr="7612DB8E">
        <w:rPr>
          <w:rFonts w:eastAsiaTheme="minorEastAsia"/>
        </w:rPr>
        <w:t xml:space="preserve"> the data available, the current casual conversion arrangements do not appear to have significantly impacted the number of casual conversions</w:t>
      </w:r>
      <w:r w:rsidR="36544317" w:rsidRPr="3A6C590B">
        <w:rPr>
          <w:rFonts w:eastAsiaTheme="minorEastAsia"/>
        </w:rPr>
        <w:t>.</w:t>
      </w:r>
    </w:p>
    <w:p w14:paraId="70643837" w14:textId="264B3918" w:rsidR="006202CE" w:rsidRDefault="008A059F" w:rsidP="008A059F">
      <w:pPr>
        <w:spacing w:before="120" w:after="120" w:line="360" w:lineRule="auto"/>
        <w:rPr>
          <w:rFonts w:eastAsiaTheme="minorEastAsia"/>
        </w:rPr>
      </w:pPr>
      <w:r w:rsidRPr="7612DB8E">
        <w:rPr>
          <w:rFonts w:eastAsiaTheme="minorEastAsia"/>
        </w:rPr>
        <w:t>A survey of long-term casual employees undertaken by BETA</w:t>
      </w:r>
      <w:r w:rsidRPr="00DE7289">
        <w:rPr>
          <w:rStyle w:val="FootnoteReference"/>
          <w:rFonts w:eastAsiaTheme="minorEastAsia"/>
        </w:rPr>
        <w:footnoteReference w:id="16"/>
      </w:r>
      <w:r w:rsidRPr="00DE7289">
        <w:rPr>
          <w:rStyle w:val="FootnoteReference"/>
        </w:rPr>
        <w:t xml:space="preserve"> </w:t>
      </w:r>
      <w:r w:rsidRPr="7612DB8E">
        <w:rPr>
          <w:rFonts w:eastAsiaTheme="minorEastAsia"/>
        </w:rPr>
        <w:t xml:space="preserve"> as part of the Review found that of those employees who were eligible for conversion since March 2021, </w:t>
      </w:r>
      <w:r w:rsidR="000B6D1B">
        <w:rPr>
          <w:rFonts w:eastAsiaTheme="minorEastAsia"/>
        </w:rPr>
        <w:t>7</w:t>
      </w:r>
      <w:r w:rsidRPr="7612DB8E">
        <w:rPr>
          <w:rFonts w:eastAsiaTheme="minorEastAsia"/>
        </w:rPr>
        <w:t xml:space="preserve"> per cent have converted after being offered a permanent role by their employer, and 18 per cent have converted after they made a request to their employer.</w:t>
      </w:r>
      <w:r>
        <w:rPr>
          <w:rStyle w:val="FootnoteReference"/>
          <w:rFonts w:eastAsiaTheme="minorEastAsia"/>
        </w:rPr>
        <w:footnoteReference w:id="17"/>
      </w:r>
      <w:r w:rsidRPr="7612DB8E">
        <w:rPr>
          <w:rFonts w:eastAsiaTheme="minorEastAsia"/>
        </w:rPr>
        <w:t xml:space="preserve"> </w:t>
      </w:r>
    </w:p>
    <w:p w14:paraId="1840B7DD" w14:textId="365D898E" w:rsidR="008A059F" w:rsidRPr="00C10812" w:rsidRDefault="006202CE" w:rsidP="008A059F">
      <w:pPr>
        <w:spacing w:before="120" w:after="120" w:line="360" w:lineRule="auto"/>
        <w:rPr>
          <w:rFonts w:eastAsiaTheme="minorEastAsia"/>
        </w:rPr>
      </w:pPr>
      <w:r>
        <w:rPr>
          <w:rFonts w:eastAsiaTheme="minorEastAsia"/>
        </w:rPr>
        <w:t>BETA</w:t>
      </w:r>
      <w:r w:rsidR="008F542C">
        <w:rPr>
          <w:rFonts w:eastAsiaTheme="minorEastAsia"/>
        </w:rPr>
        <w:t>’s</w:t>
      </w:r>
      <w:r w:rsidDel="008F542C">
        <w:rPr>
          <w:rFonts w:eastAsiaTheme="minorEastAsia"/>
        </w:rPr>
        <w:t xml:space="preserve"> </w:t>
      </w:r>
      <w:r>
        <w:rPr>
          <w:rFonts w:eastAsiaTheme="minorEastAsia"/>
        </w:rPr>
        <w:t xml:space="preserve">survey </w:t>
      </w:r>
      <w:r w:rsidR="00C7093C">
        <w:rPr>
          <w:rFonts w:eastAsiaTheme="minorEastAsia"/>
        </w:rPr>
        <w:t xml:space="preserve">also looked </w:t>
      </w:r>
      <w:r w:rsidR="004A6481">
        <w:rPr>
          <w:rFonts w:eastAsiaTheme="minorEastAsia"/>
        </w:rPr>
        <w:t>at the overall preference</w:t>
      </w:r>
      <w:r w:rsidR="00C7093C">
        <w:rPr>
          <w:rFonts w:eastAsiaTheme="minorEastAsia"/>
        </w:rPr>
        <w:t xml:space="preserve"> </w:t>
      </w:r>
      <w:r>
        <w:rPr>
          <w:rFonts w:eastAsiaTheme="minorEastAsia"/>
        </w:rPr>
        <w:t>of long</w:t>
      </w:r>
      <w:r w:rsidR="003D7133">
        <w:rPr>
          <w:rFonts w:eastAsiaTheme="minorEastAsia"/>
        </w:rPr>
        <w:t xml:space="preserve">-term casual employees </w:t>
      </w:r>
      <w:r w:rsidR="00683163">
        <w:rPr>
          <w:rFonts w:eastAsiaTheme="minorEastAsia"/>
        </w:rPr>
        <w:t>for casual vs permanent roles</w:t>
      </w:r>
      <w:r w:rsidR="00D22A09">
        <w:rPr>
          <w:rFonts w:eastAsiaTheme="minorEastAsia"/>
        </w:rPr>
        <w:t xml:space="preserve"> which found 26 per cent would prefer to convert to a permanent position</w:t>
      </w:r>
      <w:r w:rsidR="00683163">
        <w:rPr>
          <w:rFonts w:eastAsiaTheme="minorEastAsia"/>
        </w:rPr>
        <w:t xml:space="preserve">. </w:t>
      </w:r>
      <w:r w:rsidR="00C24417">
        <w:rPr>
          <w:rFonts w:eastAsiaTheme="minorEastAsia"/>
        </w:rPr>
        <w:t xml:space="preserve">Further, </w:t>
      </w:r>
      <w:r w:rsidR="007030F5">
        <w:rPr>
          <w:rFonts w:eastAsiaTheme="minorEastAsia"/>
        </w:rPr>
        <w:t xml:space="preserve">of the </w:t>
      </w:r>
      <w:r w:rsidR="00495DBC">
        <w:rPr>
          <w:rFonts w:eastAsiaTheme="minorEastAsia"/>
        </w:rPr>
        <w:t xml:space="preserve">63 per cent of </w:t>
      </w:r>
      <w:r w:rsidR="00DA0073">
        <w:rPr>
          <w:rFonts w:eastAsiaTheme="minorEastAsia"/>
        </w:rPr>
        <w:t>long-term casuals</w:t>
      </w:r>
      <w:r w:rsidR="00683163">
        <w:rPr>
          <w:rFonts w:eastAsiaTheme="minorEastAsia"/>
        </w:rPr>
        <w:t xml:space="preserve"> </w:t>
      </w:r>
      <w:r w:rsidR="008A2657">
        <w:rPr>
          <w:rFonts w:eastAsiaTheme="minorEastAsia"/>
        </w:rPr>
        <w:t xml:space="preserve">who </w:t>
      </w:r>
      <w:r w:rsidR="00DA0073">
        <w:rPr>
          <w:rFonts w:eastAsiaTheme="minorEastAsia"/>
        </w:rPr>
        <w:t xml:space="preserve">would prefer their current role to remain casual, a third (33 per cent) </w:t>
      </w:r>
      <w:r w:rsidR="0007600C">
        <w:rPr>
          <w:rFonts w:eastAsiaTheme="minorEastAsia"/>
        </w:rPr>
        <w:t>of th</w:t>
      </w:r>
      <w:r w:rsidR="008A2657">
        <w:rPr>
          <w:rFonts w:eastAsiaTheme="minorEastAsia"/>
        </w:rPr>
        <w:t>ese people</w:t>
      </w:r>
      <w:r w:rsidR="0007600C">
        <w:rPr>
          <w:rFonts w:eastAsiaTheme="minorEastAsia"/>
        </w:rPr>
        <w:t xml:space="preserve"> </w:t>
      </w:r>
      <w:r w:rsidR="00DA0073">
        <w:rPr>
          <w:rFonts w:eastAsiaTheme="minorEastAsia"/>
        </w:rPr>
        <w:t xml:space="preserve">would be open </w:t>
      </w:r>
      <w:r w:rsidR="001C7E88">
        <w:rPr>
          <w:rFonts w:eastAsiaTheme="minorEastAsia"/>
        </w:rPr>
        <w:t>to shifting to a different permanent role or becoming permanent at some point in the future.</w:t>
      </w:r>
      <w:r w:rsidR="008A059F">
        <w:rPr>
          <w:rStyle w:val="FootnoteReference"/>
          <w:rFonts w:eastAsiaTheme="minorEastAsia"/>
        </w:rPr>
        <w:footnoteReference w:id="18"/>
      </w:r>
    </w:p>
    <w:p w14:paraId="05DA5EE6" w14:textId="7E72158E" w:rsidR="008A059F" w:rsidRPr="00C10812" w:rsidRDefault="008A059F" w:rsidP="008A059F">
      <w:pPr>
        <w:spacing w:before="120" w:after="120" w:line="360" w:lineRule="auto"/>
        <w:rPr>
          <w:rFonts w:eastAsiaTheme="minorEastAsia"/>
        </w:rPr>
      </w:pPr>
      <w:r w:rsidRPr="7612DB8E">
        <w:rPr>
          <w:rFonts w:eastAsiaTheme="minorEastAsia"/>
        </w:rPr>
        <w:t xml:space="preserve">Importantly the </w:t>
      </w:r>
      <w:r>
        <w:rPr>
          <w:rFonts w:eastAsiaTheme="minorEastAsia"/>
        </w:rPr>
        <w:t>R</w:t>
      </w:r>
      <w:r w:rsidRPr="7612DB8E">
        <w:rPr>
          <w:rFonts w:eastAsiaTheme="minorEastAsia"/>
        </w:rPr>
        <w:t xml:space="preserve">eview found further consideration should be given to methods of better facilitating access to dispute resolution for employees to mitigate against barriers which may discourage employees from seeking conversion (finding 5). </w:t>
      </w:r>
    </w:p>
    <w:p w14:paraId="25774737" w14:textId="77777777" w:rsidR="008A059F" w:rsidRPr="00C10812" w:rsidRDefault="008A059F" w:rsidP="008A059F">
      <w:pPr>
        <w:spacing w:before="120" w:after="120" w:line="360" w:lineRule="auto"/>
        <w:rPr>
          <w:rFonts w:eastAsiaTheme="minorEastAsia"/>
        </w:rPr>
      </w:pPr>
      <w:r w:rsidRPr="7612DB8E">
        <w:rPr>
          <w:rFonts w:eastAsiaTheme="minorEastAsia"/>
        </w:rPr>
        <w:t>These statistical and case study findings are a strong indication that further action and policy intervention is required.</w:t>
      </w:r>
    </w:p>
    <w:p w14:paraId="6BF3E284" w14:textId="77777777" w:rsidR="008A059F" w:rsidRPr="00BA13F0" w:rsidRDefault="008A059F" w:rsidP="008A059F">
      <w:pPr>
        <w:pStyle w:val="Heading3"/>
        <w:rPr>
          <w:rFonts w:asciiTheme="minorHAnsi" w:eastAsiaTheme="minorEastAsia" w:hAnsiTheme="minorHAnsi" w:cstheme="minorBidi"/>
        </w:rPr>
      </w:pPr>
      <w:bookmarkStart w:id="10" w:name="_Toc143252095"/>
      <w:r w:rsidRPr="7612DB8E">
        <w:rPr>
          <w:rFonts w:asciiTheme="minorHAnsi" w:eastAsiaTheme="minorEastAsia" w:hAnsiTheme="minorHAnsi" w:cstheme="minorBidi"/>
        </w:rPr>
        <w:t>Measurement</w:t>
      </w:r>
      <w:bookmarkEnd w:id="10"/>
    </w:p>
    <w:p w14:paraId="0645E47B" w14:textId="77777777" w:rsidR="008A059F" w:rsidRPr="00C10812" w:rsidRDefault="008A059F" w:rsidP="008A059F">
      <w:pPr>
        <w:spacing w:before="120" w:after="120" w:line="360" w:lineRule="auto"/>
        <w:contextualSpacing/>
        <w:rPr>
          <w:rFonts w:eastAsiaTheme="minorEastAsia"/>
        </w:rPr>
      </w:pPr>
      <w:r w:rsidRPr="7612DB8E">
        <w:rPr>
          <w:rFonts w:eastAsiaTheme="minorEastAsia"/>
        </w:rPr>
        <w:t>Success will not be measured by a particular conversion rate. Rather, the objective is that eligible employees can move from casual to permanent employment if they choose to do so.  </w:t>
      </w:r>
    </w:p>
    <w:p w14:paraId="425B0658" w14:textId="77777777" w:rsidR="008A059F" w:rsidRPr="00C10812" w:rsidDel="00DF234F" w:rsidRDefault="008A059F" w:rsidP="00132512">
      <w:pPr>
        <w:spacing w:before="120" w:after="120" w:line="360" w:lineRule="auto"/>
        <w:contextualSpacing/>
        <w:rPr>
          <w:rFonts w:eastAsiaTheme="minorEastAsia"/>
        </w:rPr>
      </w:pPr>
    </w:p>
    <w:p w14:paraId="390F38A2"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1" w:name="_Toc143252096"/>
      <w:r w:rsidRPr="7612DB8E">
        <w:rPr>
          <w:rFonts w:asciiTheme="minorHAnsi" w:eastAsiaTheme="minorEastAsia" w:hAnsiTheme="minorHAnsi" w:cstheme="minorBidi"/>
        </w:rPr>
        <w:t>3. What policy options are you considering?</w:t>
      </w:r>
      <w:bookmarkEnd w:id="11"/>
      <w:r w:rsidRPr="7612DB8E">
        <w:rPr>
          <w:rFonts w:asciiTheme="minorHAnsi" w:eastAsiaTheme="minorEastAsia" w:hAnsiTheme="minorHAnsi" w:cstheme="minorBidi"/>
        </w:rPr>
        <w:t xml:space="preserve"> </w:t>
      </w:r>
    </w:p>
    <w:p w14:paraId="17FC7074" w14:textId="423E908B" w:rsidR="008A059F" w:rsidRPr="00C10812" w:rsidRDefault="008A059F" w:rsidP="6F358070">
      <w:pPr>
        <w:spacing w:before="120" w:after="120" w:line="360" w:lineRule="auto"/>
        <w:rPr>
          <w:rFonts w:eastAsiaTheme="minorEastAsia"/>
        </w:rPr>
      </w:pPr>
      <w:r w:rsidRPr="6F358070">
        <w:rPr>
          <w:rFonts w:eastAsiaTheme="minorEastAsia"/>
        </w:rPr>
        <w:t xml:space="preserve">In the </w:t>
      </w:r>
      <w:hyperlink r:id="rId27">
        <w:r w:rsidRPr="6F358070">
          <w:rPr>
            <w:rFonts w:eastAsiaTheme="minorEastAsia"/>
          </w:rPr>
          <w:t>Secure Australian Jobs Plan</w:t>
        </w:r>
      </w:hyperlink>
      <w:r w:rsidRPr="6F358070">
        <w:rPr>
          <w:rFonts w:eastAsiaTheme="minorEastAsia"/>
        </w:rPr>
        <w:t xml:space="preserve">, which formed part </w:t>
      </w:r>
      <w:r w:rsidR="001066C0" w:rsidRPr="6F358070">
        <w:rPr>
          <w:rFonts w:eastAsiaTheme="minorEastAsia"/>
        </w:rPr>
        <w:t>of</w:t>
      </w:r>
      <w:r w:rsidRPr="6F358070">
        <w:rPr>
          <w:rFonts w:eastAsiaTheme="minorEastAsia"/>
        </w:rPr>
        <w:t xml:space="preserve"> the Government’s 2022 election commitments, the Government committed to legislate an objective test of when an employee can be classified as casual, including taking into account post-contractual conduct. This will provide employees with a clearer and stronger pathway to permanent work.  </w:t>
      </w:r>
    </w:p>
    <w:p w14:paraId="2E06A0C1" w14:textId="2F24B4E2" w:rsidR="00BB14E6" w:rsidRDefault="008A059F" w:rsidP="008A059F">
      <w:pPr>
        <w:spacing w:before="120" w:after="120" w:line="360" w:lineRule="auto"/>
        <w:rPr>
          <w:rFonts w:eastAsiaTheme="minorEastAsia"/>
        </w:rPr>
      </w:pPr>
      <w:r w:rsidRPr="7612DB8E">
        <w:rPr>
          <w:rFonts w:eastAsiaTheme="minorEastAsia"/>
        </w:rPr>
        <w:t xml:space="preserve">This option is consistent with recommendation 6 of the Job </w:t>
      </w:r>
      <w:r>
        <w:rPr>
          <w:rFonts w:eastAsiaTheme="minorEastAsia"/>
        </w:rPr>
        <w:t>S</w:t>
      </w:r>
      <w:r w:rsidRPr="7612DB8E">
        <w:rPr>
          <w:rFonts w:eastAsiaTheme="minorEastAsia"/>
        </w:rPr>
        <w:t xml:space="preserve">ecurity </w:t>
      </w:r>
      <w:r>
        <w:rPr>
          <w:rFonts w:eastAsiaTheme="minorEastAsia"/>
        </w:rPr>
        <w:t>I</w:t>
      </w:r>
      <w:r w:rsidRPr="7612DB8E">
        <w:rPr>
          <w:rFonts w:eastAsiaTheme="minorEastAsia"/>
        </w:rPr>
        <w:t>nquiry, as reflecting the true nature of the employment relationship, includ</w:t>
      </w:r>
      <w:r>
        <w:rPr>
          <w:rFonts w:eastAsiaTheme="minorEastAsia"/>
        </w:rPr>
        <w:t>ing</w:t>
      </w:r>
      <w:r w:rsidRPr="7612DB8E">
        <w:rPr>
          <w:rFonts w:eastAsiaTheme="minorEastAsia"/>
        </w:rPr>
        <w:t xml:space="preserve"> consideration of post-contractual conduct.</w:t>
      </w:r>
      <w:r w:rsidR="00BB14E6">
        <w:rPr>
          <w:rFonts w:eastAsiaTheme="minorEastAsia"/>
        </w:rPr>
        <w:t xml:space="preserve"> </w:t>
      </w:r>
      <w:r w:rsidRPr="7612DB8E">
        <w:rPr>
          <w:rFonts w:eastAsiaTheme="minorEastAsia"/>
        </w:rPr>
        <w:t xml:space="preserve">It is also consistent with </w:t>
      </w:r>
      <w:r>
        <w:rPr>
          <w:rFonts w:eastAsiaTheme="minorEastAsia"/>
        </w:rPr>
        <w:t>f</w:t>
      </w:r>
      <w:r w:rsidRPr="7612DB8E">
        <w:rPr>
          <w:rFonts w:eastAsiaTheme="minorEastAsia"/>
        </w:rPr>
        <w:t xml:space="preserve">inding 1 of the </w:t>
      </w:r>
      <w:r>
        <w:rPr>
          <w:rFonts w:eastAsiaTheme="minorEastAsia"/>
        </w:rPr>
        <w:t>R</w:t>
      </w:r>
      <w:r w:rsidRPr="7612DB8E">
        <w:rPr>
          <w:rFonts w:eastAsiaTheme="minorEastAsia"/>
        </w:rPr>
        <w:t xml:space="preserve">eview, which said it should be reconsidered whether the definition should focus solely on the terms of initial offer and acceptance (to the exclusion of any post-contractual conduct). </w:t>
      </w:r>
    </w:p>
    <w:p w14:paraId="2EF77CE0" w14:textId="011F6F8A" w:rsidR="008A059F" w:rsidRDefault="008A059F" w:rsidP="008A059F">
      <w:pPr>
        <w:spacing w:before="120" w:after="120" w:line="360" w:lineRule="auto"/>
        <w:rPr>
          <w:rFonts w:eastAsiaTheme="minorEastAsia"/>
        </w:rPr>
      </w:pPr>
      <w:r w:rsidRPr="7612DB8E">
        <w:rPr>
          <w:rFonts w:eastAsiaTheme="minorEastAsia"/>
        </w:rPr>
        <w:t>The preferred approach would keep the existing conceptual framework (a statutory definition and statutory processes to allow employees to change from casual to permanent</w:t>
      </w:r>
      <w:r>
        <w:rPr>
          <w:rFonts w:eastAsiaTheme="minorEastAsia"/>
        </w:rPr>
        <w:t>)</w:t>
      </w:r>
      <w:r w:rsidRPr="7612DB8E">
        <w:rPr>
          <w:rFonts w:eastAsiaTheme="minorEastAsia"/>
        </w:rPr>
        <w:t xml:space="preserve"> while implementing the findings of the </w:t>
      </w:r>
      <w:r>
        <w:rPr>
          <w:rFonts w:eastAsiaTheme="minorEastAsia"/>
        </w:rPr>
        <w:t>Review</w:t>
      </w:r>
      <w:r w:rsidRPr="7612DB8E">
        <w:rPr>
          <w:rFonts w:eastAsiaTheme="minorEastAsia"/>
        </w:rPr>
        <w:t xml:space="preserve"> in order to improve its effectiveness, as discussed in the response to question 6 below.</w:t>
      </w:r>
    </w:p>
    <w:p w14:paraId="61AF5C65" w14:textId="53399C06" w:rsidR="00AD2BC9" w:rsidRDefault="008A059F" w:rsidP="008A059F">
      <w:pPr>
        <w:spacing w:before="120" w:after="120" w:line="360" w:lineRule="auto"/>
        <w:rPr>
          <w:rFonts w:eastAsiaTheme="minorEastAsia"/>
        </w:rPr>
      </w:pPr>
      <w:r w:rsidRPr="004A0909">
        <w:rPr>
          <w:rFonts w:eastAsiaTheme="minorEastAsia"/>
        </w:rPr>
        <w:t>Th</w:t>
      </w:r>
      <w:r>
        <w:rPr>
          <w:rFonts w:eastAsiaTheme="minorEastAsia"/>
        </w:rPr>
        <w:t xml:space="preserve">is model will </w:t>
      </w:r>
      <w:r w:rsidRPr="004A0909">
        <w:rPr>
          <w:rFonts w:eastAsiaTheme="minorEastAsia"/>
        </w:rPr>
        <w:t>provide eligible employees with two pathways to change their status: through seeking a change of status with reference to the amended definition of casual employee</w:t>
      </w:r>
      <w:r w:rsidR="00A26F1D">
        <w:rPr>
          <w:rFonts w:eastAsiaTheme="minorEastAsia"/>
        </w:rPr>
        <w:t xml:space="preserve"> (the new </w:t>
      </w:r>
      <w:r w:rsidR="00FB6F08">
        <w:rPr>
          <w:rFonts w:eastAsiaTheme="minorEastAsia"/>
        </w:rPr>
        <w:t xml:space="preserve">employee choice </w:t>
      </w:r>
      <w:r w:rsidR="00A26F1D">
        <w:rPr>
          <w:rFonts w:eastAsiaTheme="minorEastAsia"/>
        </w:rPr>
        <w:t>definition pathway)</w:t>
      </w:r>
      <w:r w:rsidRPr="004A0909">
        <w:rPr>
          <w:rFonts w:eastAsiaTheme="minorEastAsia"/>
        </w:rPr>
        <w:t>, or through the existing casual conversion mechanism</w:t>
      </w:r>
      <w:r w:rsidR="00A26F1D">
        <w:rPr>
          <w:rFonts w:eastAsiaTheme="minorEastAsia"/>
        </w:rPr>
        <w:t xml:space="preserve"> which will be</w:t>
      </w:r>
      <w:r w:rsidR="00EB49D6">
        <w:rPr>
          <w:rFonts w:eastAsiaTheme="minorEastAsia"/>
        </w:rPr>
        <w:t xml:space="preserve"> retained</w:t>
      </w:r>
      <w:r w:rsidRPr="004A0909">
        <w:rPr>
          <w:rFonts w:eastAsiaTheme="minorEastAsia"/>
        </w:rPr>
        <w:t xml:space="preserve">. </w:t>
      </w:r>
      <w:r w:rsidR="00BF54B2">
        <w:rPr>
          <w:rFonts w:eastAsiaTheme="minorEastAsia"/>
        </w:rPr>
        <w:t xml:space="preserve">Provided an employee is appropriately classified </w:t>
      </w:r>
      <w:r w:rsidR="006B00BA">
        <w:rPr>
          <w:rFonts w:eastAsiaTheme="minorEastAsia"/>
        </w:rPr>
        <w:t>on engagement, s</w:t>
      </w:r>
      <w:r w:rsidRPr="004A0909">
        <w:rPr>
          <w:rFonts w:eastAsiaTheme="minorEastAsia"/>
        </w:rPr>
        <w:t xml:space="preserve">tatus will only change prospectively, meaning backpay liability </w:t>
      </w:r>
      <w:r w:rsidR="00AF1952">
        <w:rPr>
          <w:rFonts w:eastAsiaTheme="minorEastAsia"/>
        </w:rPr>
        <w:t>will not</w:t>
      </w:r>
      <w:r w:rsidRPr="004A0909">
        <w:rPr>
          <w:rFonts w:eastAsiaTheme="minorEastAsia"/>
        </w:rPr>
        <w:t xml:space="preserve"> accrue. The Fair Work Commission will have strengthened powers to resolve disputes. These changes are consistent with the findings of the two impact analysis equivalent processes.</w:t>
      </w:r>
      <w:r w:rsidR="001640E4">
        <w:rPr>
          <w:rFonts w:eastAsiaTheme="minorEastAsia"/>
        </w:rPr>
        <w:t xml:space="preserve"> </w:t>
      </w:r>
    </w:p>
    <w:p w14:paraId="677E68C0" w14:textId="05712BF0" w:rsidR="008A059F" w:rsidRDefault="008A059F" w:rsidP="008A059F">
      <w:pPr>
        <w:spacing w:before="120" w:after="120" w:line="360" w:lineRule="auto"/>
        <w:rPr>
          <w:rFonts w:eastAsiaTheme="minorEastAsia"/>
        </w:rPr>
      </w:pPr>
      <w:r w:rsidRPr="7612DB8E">
        <w:rPr>
          <w:rFonts w:eastAsiaTheme="minorEastAsia"/>
        </w:rPr>
        <w:t>The alternative is the status quo, which would not deliver on the election commitment or solve the identified problems. As noted in the Australian Government Guide to Policy Impact Analysis, when the proposed policy approach is an election commitment</w:t>
      </w:r>
      <w:r>
        <w:rPr>
          <w:rFonts w:eastAsiaTheme="minorEastAsia"/>
        </w:rPr>
        <w:t>:</w:t>
      </w:r>
      <w:r w:rsidRPr="7612DB8E">
        <w:rPr>
          <w:rFonts w:eastAsiaTheme="minorEastAsia"/>
        </w:rPr>
        <w:t xml:space="preserve"> </w:t>
      </w:r>
      <w:r>
        <w:rPr>
          <w:rFonts w:eastAsiaTheme="minorEastAsia"/>
        </w:rPr>
        <w:t>‘</w:t>
      </w:r>
      <w:r w:rsidRPr="7612DB8E">
        <w:rPr>
          <w:rFonts w:eastAsiaTheme="minorEastAsia"/>
        </w:rPr>
        <w:t>The Government has already committed itself to one policy approach in a public and accountable way and no alternative options need to be considered</w:t>
      </w:r>
      <w:r w:rsidR="00414B87">
        <w:rPr>
          <w:rFonts w:eastAsiaTheme="minorEastAsia"/>
        </w:rPr>
        <w:t>’</w:t>
      </w:r>
      <w:r>
        <w:rPr>
          <w:rFonts w:eastAsiaTheme="minorEastAsia"/>
        </w:rPr>
        <w:t>.</w:t>
      </w:r>
      <w:r w:rsidRPr="7612DB8E">
        <w:rPr>
          <w:rFonts w:eastAsiaTheme="minorEastAsia"/>
        </w:rPr>
        <w:t xml:space="preserve"> </w:t>
      </w:r>
      <w:r>
        <w:rPr>
          <w:rStyle w:val="FootnoteReference"/>
          <w:rFonts w:eastAsiaTheme="minorEastAsia"/>
        </w:rPr>
        <w:footnoteReference w:id="19"/>
      </w:r>
    </w:p>
    <w:p w14:paraId="7785839C" w14:textId="77777777" w:rsidR="008A059F" w:rsidRDefault="008A059F" w:rsidP="008A059F">
      <w:pPr>
        <w:rPr>
          <w:rFonts w:eastAsiaTheme="minorEastAsia"/>
        </w:rPr>
      </w:pPr>
    </w:p>
    <w:p w14:paraId="5816ED29"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2" w:name="_Toc143252097"/>
      <w:r w:rsidRPr="7612DB8E">
        <w:rPr>
          <w:rFonts w:asciiTheme="minorHAnsi" w:eastAsiaTheme="minorEastAsia" w:hAnsiTheme="minorHAnsi" w:cstheme="minorBidi"/>
        </w:rPr>
        <w:t>4.  What is the likely net benefit of each option?</w:t>
      </w:r>
      <w:bookmarkEnd w:id="12"/>
      <w:r w:rsidRPr="7612DB8E">
        <w:rPr>
          <w:rFonts w:asciiTheme="minorHAnsi" w:eastAsiaTheme="minorEastAsia" w:hAnsiTheme="minorHAnsi" w:cstheme="minorBidi"/>
        </w:rPr>
        <w:t xml:space="preserve"> </w:t>
      </w:r>
    </w:p>
    <w:p w14:paraId="0295108B" w14:textId="77777777" w:rsidR="008A059F" w:rsidRDefault="008A059F" w:rsidP="008A059F">
      <w:pPr>
        <w:spacing w:before="120" w:after="120" w:line="360" w:lineRule="auto"/>
        <w:contextualSpacing/>
        <w:rPr>
          <w:rFonts w:eastAsiaTheme="minorEastAsia"/>
        </w:rPr>
      </w:pPr>
      <w:r w:rsidRPr="7612DB8E">
        <w:rPr>
          <w:rFonts w:eastAsiaTheme="minorEastAsia"/>
        </w:rPr>
        <w:t xml:space="preserve">As above, the recommended option is an election commitment, so is the only option considered. </w:t>
      </w:r>
    </w:p>
    <w:p w14:paraId="2BA86563" w14:textId="77777777" w:rsidR="008A059F" w:rsidRPr="00DE7289" w:rsidRDefault="008A059F" w:rsidP="002505DD">
      <w:pPr>
        <w:pStyle w:val="Heading2"/>
        <w:spacing w:before="120" w:after="120" w:line="360" w:lineRule="auto"/>
        <w:rPr>
          <w:rFonts w:asciiTheme="minorHAnsi" w:eastAsiaTheme="minorEastAsia" w:hAnsiTheme="minorHAnsi" w:cstheme="minorBidi"/>
        </w:rPr>
      </w:pPr>
      <w:bookmarkStart w:id="13" w:name="_Toc143252098"/>
      <w:r w:rsidRPr="7612DB8E">
        <w:rPr>
          <w:rFonts w:asciiTheme="minorHAnsi" w:eastAsiaTheme="minorEastAsia" w:hAnsiTheme="minorHAnsi" w:cstheme="minorBidi"/>
        </w:rPr>
        <w:lastRenderedPageBreak/>
        <w:t>For employers</w:t>
      </w:r>
      <w:bookmarkEnd w:id="13"/>
      <w:r w:rsidRPr="7612DB8E">
        <w:rPr>
          <w:rFonts w:asciiTheme="minorHAnsi" w:eastAsiaTheme="minorEastAsia" w:hAnsiTheme="minorHAnsi" w:cstheme="minorBidi"/>
        </w:rPr>
        <w:t xml:space="preserve"> </w:t>
      </w:r>
    </w:p>
    <w:p w14:paraId="764645FB"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Under the </w:t>
      </w:r>
      <w:r w:rsidRPr="00F940F6">
        <w:rPr>
          <w:rFonts w:eastAsiaTheme="minorEastAsia"/>
          <w:i/>
          <w:iCs/>
        </w:rPr>
        <w:t>Fair Work Act 2009</w:t>
      </w:r>
      <w:r>
        <w:rPr>
          <w:rFonts w:eastAsiaTheme="minorEastAsia"/>
        </w:rPr>
        <w:t xml:space="preserve"> (Cth)</w:t>
      </w:r>
      <w:r w:rsidRPr="7612DB8E">
        <w:rPr>
          <w:rFonts w:eastAsiaTheme="minorEastAsia"/>
        </w:rPr>
        <w:t>, employers have an ongoing responsibility to classify employees correctly at all times. The proposed reforms do not alter this requirement, but they do clarify the legal classification of casual employee and continue to provide certainty about when an employee can be casual.</w:t>
      </w:r>
    </w:p>
    <w:p w14:paraId="00F795D0" w14:textId="77777777" w:rsidR="008A059F" w:rsidRPr="00C10812" w:rsidRDefault="008A059F" w:rsidP="008A059F">
      <w:pPr>
        <w:spacing w:before="120" w:after="120" w:line="360" w:lineRule="auto"/>
        <w:rPr>
          <w:rFonts w:eastAsiaTheme="minorEastAsia"/>
        </w:rPr>
      </w:pPr>
      <w:r w:rsidRPr="7612DB8E">
        <w:rPr>
          <w:rFonts w:eastAsiaTheme="minorEastAsia"/>
        </w:rPr>
        <w:t>The Regulatory Impact Statement</w:t>
      </w:r>
      <w:r>
        <w:rPr>
          <w:rStyle w:val="FootnoteReference"/>
          <w:rFonts w:eastAsiaTheme="minorEastAsia"/>
        </w:rPr>
        <w:footnoteReference w:id="20"/>
      </w:r>
      <w:r w:rsidRPr="7612DB8E">
        <w:rPr>
          <w:rFonts w:eastAsiaTheme="minorEastAsia"/>
        </w:rPr>
        <w:t xml:space="preserve"> for the </w:t>
      </w:r>
      <w:r w:rsidRPr="00DE7289">
        <w:rPr>
          <w:rFonts w:eastAsiaTheme="minorEastAsia"/>
          <w:i/>
          <w:iCs/>
        </w:rPr>
        <w:t>Fair Work Amendment (Supporting Australia's Jobs and Economic Recovery) Act</w:t>
      </w:r>
      <w:r w:rsidRPr="00DE7289">
        <w:rPr>
          <w:rFonts w:eastAsiaTheme="minorEastAsia"/>
        </w:rPr>
        <w:t xml:space="preserve"> </w:t>
      </w:r>
      <w:r w:rsidRPr="0045678A">
        <w:rPr>
          <w:rFonts w:eastAsiaTheme="minorEastAsia"/>
          <w:i/>
          <w:iCs/>
        </w:rPr>
        <w:t>2021</w:t>
      </w:r>
      <w:r>
        <w:rPr>
          <w:rFonts w:eastAsiaTheme="minorEastAsia"/>
        </w:rPr>
        <w:t xml:space="preserve"> (Cth)</w:t>
      </w:r>
      <w:r w:rsidRPr="7612DB8E">
        <w:rPr>
          <w:rFonts w:eastAsiaTheme="minorEastAsia"/>
        </w:rPr>
        <w:t xml:space="preserve"> details the costs for businesses to implement the current status quo, which includes assessing the casual employee’s status, and determining eligibility for casual conversion upon reaching 12 months of service. </w:t>
      </w:r>
    </w:p>
    <w:p w14:paraId="353B0822" w14:textId="4D1F4087" w:rsidR="008A059F" w:rsidRPr="00C10812" w:rsidRDefault="41154B2C" w:rsidP="30E63EC6">
      <w:pPr>
        <w:spacing w:before="120" w:after="120" w:line="360" w:lineRule="auto"/>
        <w:rPr>
          <w:rFonts w:eastAsiaTheme="minorEastAsia"/>
        </w:rPr>
      </w:pPr>
      <w:r w:rsidRPr="30E63EC6">
        <w:rPr>
          <w:rFonts w:eastAsiaTheme="minorEastAsia"/>
        </w:rPr>
        <w:t xml:space="preserve">The proposed reforms would not create any new requirement for employers to initiate any process to change an employee’s status to permanent. It would only create requirements for employers to respond to those employees who </w:t>
      </w:r>
      <w:r w:rsidR="00363797">
        <w:rPr>
          <w:rFonts w:eastAsiaTheme="minorEastAsia"/>
        </w:rPr>
        <w:t xml:space="preserve">utilise the new employee choice definition pathway and </w:t>
      </w:r>
      <w:r w:rsidRPr="30E63EC6">
        <w:rPr>
          <w:rFonts w:eastAsiaTheme="minorEastAsia"/>
        </w:rPr>
        <w:t xml:space="preserve"> formally notify their employer that </w:t>
      </w:r>
      <w:r w:rsidR="007C20E2">
        <w:rPr>
          <w:rFonts w:eastAsiaTheme="minorEastAsia"/>
        </w:rPr>
        <w:t>they believe they d</w:t>
      </w:r>
      <w:r w:rsidR="003E4DB2">
        <w:rPr>
          <w:rFonts w:eastAsiaTheme="minorEastAsia"/>
        </w:rPr>
        <w:t>o</w:t>
      </w:r>
      <w:r w:rsidRPr="30E63EC6">
        <w:rPr>
          <w:rFonts w:eastAsiaTheme="minorEastAsia"/>
        </w:rPr>
        <w:t xml:space="preserve"> not meet the definition of casual and wish to be permanent. Employers may already be having conversations with their casual employees about becoming permanent – the research undertaken by BETA indicated that casuals who become permanent often do so in the first 12 months, outside of current obligations.</w:t>
      </w:r>
      <w:r w:rsidR="008A059F" w:rsidRPr="30E63EC6">
        <w:rPr>
          <w:rStyle w:val="FootnoteReference"/>
          <w:rFonts w:eastAsiaTheme="minorEastAsia"/>
        </w:rPr>
        <w:footnoteReference w:id="21"/>
      </w:r>
      <w:r w:rsidRPr="30E63EC6">
        <w:rPr>
          <w:rFonts w:eastAsiaTheme="minorEastAsia"/>
        </w:rPr>
        <w:t xml:space="preserve"> In this regard the kinds of conversations and actions employers will need to engage in are not new – they are a normal part of being an employer. </w:t>
      </w:r>
    </w:p>
    <w:p w14:paraId="2444F011" w14:textId="7162C190" w:rsidR="00354781" w:rsidRDefault="00354781" w:rsidP="00354781">
      <w:pPr>
        <w:spacing w:before="120" w:after="120" w:line="360" w:lineRule="auto"/>
        <w:rPr>
          <w:rFonts w:eastAsiaTheme="minorEastAsia"/>
        </w:rPr>
      </w:pPr>
      <w:r w:rsidRPr="532403E3">
        <w:rPr>
          <w:rFonts w:eastAsiaTheme="minorEastAsia"/>
        </w:rPr>
        <w:t xml:space="preserve">Under the proposed reforms, </w:t>
      </w:r>
      <w:r>
        <w:rPr>
          <w:rFonts w:eastAsiaTheme="minorEastAsia"/>
        </w:rPr>
        <w:t xml:space="preserve">most </w:t>
      </w:r>
      <w:r w:rsidRPr="30E63EC6">
        <w:rPr>
          <w:rFonts w:eastAsiaTheme="minorEastAsia"/>
        </w:rPr>
        <w:t>employee</w:t>
      </w:r>
      <w:r>
        <w:rPr>
          <w:rFonts w:eastAsiaTheme="minorEastAsia"/>
        </w:rPr>
        <w:t>s</w:t>
      </w:r>
      <w:r w:rsidRPr="30E63EC6">
        <w:rPr>
          <w:rFonts w:eastAsiaTheme="minorEastAsia"/>
        </w:rPr>
        <w:t xml:space="preserve"> </w:t>
      </w:r>
      <w:r>
        <w:rPr>
          <w:rFonts w:eastAsiaTheme="minorEastAsia"/>
        </w:rPr>
        <w:t xml:space="preserve">can only access the employee choice definition pathway after 6 months of service. </w:t>
      </w:r>
      <w:r w:rsidRPr="532403E3">
        <w:rPr>
          <w:rFonts w:eastAsiaTheme="minorEastAsia"/>
        </w:rPr>
        <w:t>For employees of small businesses, the requirement is 12 months of service</w:t>
      </w:r>
      <w:r>
        <w:rPr>
          <w:rFonts w:eastAsiaTheme="minorEastAsia"/>
        </w:rPr>
        <w:t xml:space="preserve"> before they can access the definition pathway</w:t>
      </w:r>
      <w:r>
        <w:rPr>
          <w:rStyle w:val="FootnoteReference"/>
          <w:rFonts w:eastAsiaTheme="minorEastAsia"/>
        </w:rPr>
        <w:footnoteReference w:id="22"/>
      </w:r>
      <w:r>
        <w:rPr>
          <w:rFonts w:eastAsiaTheme="minorEastAsia"/>
        </w:rPr>
        <w:t xml:space="preserve">. There is no obligation on employers to monitor a casual employee’s status against the new definition. If an employee does not exercise their right to access the </w:t>
      </w:r>
      <w:r w:rsidR="00603914">
        <w:rPr>
          <w:rFonts w:eastAsiaTheme="minorEastAsia"/>
        </w:rPr>
        <w:t xml:space="preserve">employee choice </w:t>
      </w:r>
      <w:r>
        <w:rPr>
          <w:rFonts w:eastAsiaTheme="minorEastAsia"/>
        </w:rPr>
        <w:t xml:space="preserve">definition pathway, consistent with current arrangements, the only time employers will need to consider the definition is to ensure employees are correctly classified on engagement. </w:t>
      </w:r>
    </w:p>
    <w:p w14:paraId="34B3C357" w14:textId="77777777" w:rsidR="008A059F" w:rsidRPr="00C10812" w:rsidRDefault="008A059F" w:rsidP="008A059F">
      <w:pPr>
        <w:spacing w:before="120" w:after="120" w:line="360" w:lineRule="auto"/>
        <w:rPr>
          <w:rFonts w:eastAsiaTheme="minorEastAsia"/>
        </w:rPr>
      </w:pPr>
      <w:r w:rsidRPr="7612DB8E">
        <w:rPr>
          <w:rFonts w:eastAsiaTheme="minorEastAsia"/>
        </w:rPr>
        <w:t>It is intended that the Fair Work Ombudsman, as part of its functions as the national workplace relations regulator, will undertake an information and education campaign that targets the needs of small business to assist them in implementing the proposed changes.</w:t>
      </w:r>
    </w:p>
    <w:p w14:paraId="6F59AE6A" w14:textId="7A39B18D" w:rsidR="008A059F" w:rsidRPr="00C10812" w:rsidRDefault="008A059F" w:rsidP="008A059F">
      <w:pPr>
        <w:spacing w:before="120" w:after="120" w:line="360" w:lineRule="auto"/>
        <w:rPr>
          <w:rFonts w:eastAsiaTheme="minorEastAsia"/>
        </w:rPr>
      </w:pPr>
      <w:r w:rsidRPr="7612DB8E">
        <w:rPr>
          <w:rFonts w:eastAsiaTheme="minorEastAsia"/>
        </w:rPr>
        <w:lastRenderedPageBreak/>
        <w:t xml:space="preserve">As with the status quo, there will be a legislated dispute resolution process for employers and employees to resolve issues around the determination of an employee’s status. This includes existing mechanisms through the Fair Work Commission, as well as the access to the small claims jurisdiction (introduced </w:t>
      </w:r>
      <w:r w:rsidR="00731F9E">
        <w:rPr>
          <w:rFonts w:eastAsiaTheme="minorEastAsia"/>
        </w:rPr>
        <w:t>by</w:t>
      </w:r>
      <w:r w:rsidRPr="7612DB8E">
        <w:rPr>
          <w:rFonts w:eastAsiaTheme="minorEastAsia"/>
        </w:rPr>
        <w:t xml:space="preserve"> </w:t>
      </w:r>
      <w:r w:rsidRPr="00E22618">
        <w:rPr>
          <w:rFonts w:eastAsiaTheme="minorEastAsia"/>
        </w:rPr>
        <w:t>the</w:t>
      </w:r>
      <w:r w:rsidRPr="00DE7289">
        <w:rPr>
          <w:rFonts w:eastAsiaTheme="minorEastAsia"/>
          <w:i/>
          <w:iCs/>
        </w:rPr>
        <w:t xml:space="preserve"> Fair Work Amendment (Supporting Australia's Jobs and Economic Recovery) Act</w:t>
      </w:r>
      <w:r w:rsidRPr="00DE7289">
        <w:rPr>
          <w:rFonts w:eastAsiaTheme="minorEastAsia"/>
        </w:rPr>
        <w:t xml:space="preserve"> </w:t>
      </w:r>
      <w:r w:rsidRPr="0045678A">
        <w:rPr>
          <w:rFonts w:eastAsiaTheme="minorEastAsia"/>
          <w:i/>
          <w:iCs/>
        </w:rPr>
        <w:t>2021</w:t>
      </w:r>
      <w:r w:rsidRPr="7612DB8E">
        <w:rPr>
          <w:rFonts w:eastAsiaTheme="minorEastAsia"/>
        </w:rPr>
        <w:t xml:space="preserve"> </w:t>
      </w:r>
      <w:r>
        <w:rPr>
          <w:rFonts w:eastAsiaTheme="minorEastAsia"/>
        </w:rPr>
        <w:t>(Cth)</w:t>
      </w:r>
      <w:r w:rsidRPr="7612DB8E">
        <w:rPr>
          <w:rFonts w:eastAsiaTheme="minorEastAsia"/>
        </w:rPr>
        <w:t xml:space="preserve">) to ensure that employers and employees have a low-cost, accessible and efficient process to resolve disputes about casual employment. Consistent with </w:t>
      </w:r>
      <w:r>
        <w:rPr>
          <w:rFonts w:eastAsiaTheme="minorEastAsia"/>
        </w:rPr>
        <w:t>f</w:t>
      </w:r>
      <w:r w:rsidRPr="7612DB8E">
        <w:rPr>
          <w:rFonts w:eastAsiaTheme="minorEastAsia"/>
        </w:rPr>
        <w:t xml:space="preserve">inding 5 of the </w:t>
      </w:r>
      <w:r>
        <w:rPr>
          <w:rFonts w:eastAsiaTheme="minorEastAsia"/>
        </w:rPr>
        <w:t>Review</w:t>
      </w:r>
      <w:r w:rsidRPr="7612DB8E">
        <w:rPr>
          <w:rFonts w:eastAsiaTheme="minorEastAsia"/>
        </w:rPr>
        <w:t xml:space="preserve"> the Fair Work Commission will have the power to arbitrate disputes</w:t>
      </w:r>
      <w:r>
        <w:rPr>
          <w:rFonts w:eastAsiaTheme="minorEastAsia"/>
        </w:rPr>
        <w:t>,</w:t>
      </w:r>
      <w:r w:rsidRPr="7612DB8E">
        <w:rPr>
          <w:rFonts w:eastAsiaTheme="minorEastAsia"/>
        </w:rPr>
        <w:t xml:space="preserve"> facilitating better access to outcomes.  </w:t>
      </w:r>
    </w:p>
    <w:p w14:paraId="5E851DD7" w14:textId="3F0852DE" w:rsidR="008A059F" w:rsidRPr="00C10812" w:rsidRDefault="008A059F" w:rsidP="008A059F">
      <w:pPr>
        <w:spacing w:before="120" w:after="120" w:line="360" w:lineRule="auto"/>
        <w:rPr>
          <w:rFonts w:eastAsiaTheme="minorEastAsia"/>
        </w:rPr>
      </w:pPr>
      <w:r w:rsidRPr="7612DB8E">
        <w:rPr>
          <w:rFonts w:eastAsiaTheme="minorEastAsia"/>
        </w:rPr>
        <w:t xml:space="preserve">This will benefit employers and employees by providing quick outcomes on an employee’s status and prospects for conversion, rather than having to resort to long and expensive court processes. </w:t>
      </w:r>
    </w:p>
    <w:p w14:paraId="33D6B6F8" w14:textId="77777777" w:rsidR="008A059F" w:rsidRPr="00BA13F0" w:rsidRDefault="008A059F" w:rsidP="00B84C31">
      <w:pPr>
        <w:pStyle w:val="Heading2"/>
        <w:spacing w:before="120" w:after="120" w:line="360" w:lineRule="auto"/>
        <w:rPr>
          <w:rFonts w:asciiTheme="minorHAnsi" w:eastAsiaTheme="minorEastAsia" w:hAnsiTheme="minorHAnsi" w:cstheme="minorBidi"/>
        </w:rPr>
      </w:pPr>
      <w:bookmarkStart w:id="14" w:name="_Toc143252099"/>
      <w:r w:rsidRPr="7612DB8E">
        <w:rPr>
          <w:rFonts w:asciiTheme="minorHAnsi" w:eastAsiaTheme="minorEastAsia" w:hAnsiTheme="minorHAnsi" w:cstheme="minorBidi"/>
        </w:rPr>
        <w:t>For employees</w:t>
      </w:r>
      <w:bookmarkEnd w:id="14"/>
      <w:r w:rsidRPr="7612DB8E">
        <w:rPr>
          <w:rFonts w:asciiTheme="minorHAnsi" w:eastAsiaTheme="minorEastAsia" w:hAnsiTheme="minorHAnsi" w:cstheme="minorBidi"/>
        </w:rPr>
        <w:t xml:space="preserve"> </w:t>
      </w:r>
    </w:p>
    <w:p w14:paraId="4F361738" w14:textId="7A513365" w:rsidR="008A059F" w:rsidRPr="00C10812" w:rsidRDefault="008A059F" w:rsidP="00B84C31">
      <w:pPr>
        <w:spacing w:before="120" w:line="360" w:lineRule="auto"/>
        <w:rPr>
          <w:rStyle w:val="eop"/>
          <w:rFonts w:cs="Calibri"/>
          <w:color w:val="000000" w:themeColor="text1"/>
        </w:rPr>
      </w:pPr>
      <w:r w:rsidRPr="7612DB8E">
        <w:rPr>
          <w:rFonts w:eastAsiaTheme="minorEastAsia"/>
        </w:rPr>
        <w:t xml:space="preserve">The </w:t>
      </w:r>
      <w:r>
        <w:rPr>
          <w:rFonts w:eastAsiaTheme="minorEastAsia"/>
        </w:rPr>
        <w:t>Review</w:t>
      </w:r>
      <w:r w:rsidRPr="7612DB8E">
        <w:rPr>
          <w:rFonts w:eastAsiaTheme="minorEastAsia"/>
        </w:rPr>
        <w:t xml:space="preserve"> underscored the importance of change in employment status being dependent on the choice of the employee. For example, </w:t>
      </w:r>
      <w:r w:rsidR="00574157">
        <w:rPr>
          <w:rFonts w:eastAsiaTheme="minorEastAsia"/>
        </w:rPr>
        <w:t>as mentioned above,</w:t>
      </w:r>
      <w:r w:rsidRPr="7612DB8E">
        <w:rPr>
          <w:rFonts w:eastAsiaTheme="minorEastAsia"/>
        </w:rPr>
        <w:t xml:space="preserve"> BETA found that 63 per cent of long-term casual employees would prefer</w:t>
      </w:r>
      <w:r>
        <w:rPr>
          <w:rFonts w:eastAsiaTheme="minorEastAsia"/>
        </w:rPr>
        <w:t xml:space="preserve"> to</w:t>
      </w:r>
      <w:r w:rsidRPr="7612DB8E">
        <w:rPr>
          <w:rFonts w:eastAsiaTheme="minorEastAsia"/>
        </w:rPr>
        <w:t xml:space="preserve"> remain in their current casual role</w:t>
      </w:r>
      <w:r w:rsidR="004B4512">
        <w:rPr>
          <w:rFonts w:eastAsiaTheme="minorEastAsia"/>
        </w:rPr>
        <w:t xml:space="preserve"> at this point in time</w:t>
      </w:r>
      <w:r w:rsidRPr="3579F191">
        <w:rPr>
          <w:rStyle w:val="FootnoteReference"/>
          <w:rFonts w:eastAsiaTheme="minorEastAsia"/>
        </w:rPr>
        <w:footnoteReference w:id="23"/>
      </w:r>
      <w:r w:rsidR="00354781">
        <w:t>.</w:t>
      </w:r>
      <w:r w:rsidRPr="7612DB8E">
        <w:rPr>
          <w:rFonts w:eastAsiaTheme="minorEastAsia"/>
        </w:rPr>
        <w:t xml:space="preserve">  </w:t>
      </w:r>
      <w:r w:rsidR="00354781">
        <w:rPr>
          <w:rFonts w:eastAsiaTheme="minorEastAsia"/>
        </w:rPr>
        <w:t xml:space="preserve">The proposed approach will ensure </w:t>
      </w:r>
      <w:r w:rsidR="00354781" w:rsidRPr="36AF8C82">
        <w:rPr>
          <w:rStyle w:val="normaltextrun"/>
          <w:rFonts w:cs="Calibri"/>
          <w:color w:val="000000" w:themeColor="text1"/>
        </w:rPr>
        <w:t>employees are</w:t>
      </w:r>
      <w:r w:rsidR="00354781" w:rsidRPr="36AF8C82" w:rsidDel="004F43C8">
        <w:rPr>
          <w:rStyle w:val="normaltextrun"/>
          <w:rFonts w:cs="Calibri"/>
          <w:color w:val="000000" w:themeColor="text1"/>
        </w:rPr>
        <w:t xml:space="preserve"> not </w:t>
      </w:r>
      <w:r w:rsidR="00354781" w:rsidRPr="36AF8C82">
        <w:rPr>
          <w:rStyle w:val="normaltextrun"/>
          <w:rFonts w:cs="Calibri"/>
          <w:color w:val="000000" w:themeColor="text1"/>
        </w:rPr>
        <w:t xml:space="preserve">stuck as casuals when they are working arrangements </w:t>
      </w:r>
      <w:r w:rsidR="00354781">
        <w:rPr>
          <w:rStyle w:val="normaltextrun"/>
          <w:rFonts w:cs="Calibri"/>
          <w:color w:val="000000" w:themeColor="text1"/>
        </w:rPr>
        <w:t>similar</w:t>
      </w:r>
      <w:r w:rsidR="00354781" w:rsidRPr="36AF8C82">
        <w:rPr>
          <w:rStyle w:val="normaltextrun"/>
          <w:rFonts w:cs="Calibri"/>
          <w:color w:val="000000" w:themeColor="text1"/>
        </w:rPr>
        <w:t xml:space="preserve"> to </w:t>
      </w:r>
      <w:r w:rsidR="00354781">
        <w:rPr>
          <w:rStyle w:val="normaltextrun"/>
          <w:rFonts w:cs="Calibri"/>
          <w:color w:val="000000" w:themeColor="text1"/>
        </w:rPr>
        <w:t>permanent</w:t>
      </w:r>
      <w:r w:rsidR="00354781" w:rsidRPr="36AF8C82">
        <w:rPr>
          <w:rStyle w:val="normaltextrun"/>
          <w:rFonts w:cs="Calibri"/>
          <w:color w:val="000000" w:themeColor="text1"/>
        </w:rPr>
        <w:t xml:space="preserve"> employees but do not receive the job security benefits of </w:t>
      </w:r>
      <w:r w:rsidR="00354781">
        <w:rPr>
          <w:rStyle w:val="normaltextrun"/>
          <w:rFonts w:cs="Calibri"/>
          <w:color w:val="000000" w:themeColor="text1"/>
        </w:rPr>
        <w:t>permanent employment</w:t>
      </w:r>
      <w:r w:rsidR="00354781" w:rsidRPr="36AF8C82">
        <w:rPr>
          <w:rStyle w:val="normaltextrun"/>
          <w:rFonts w:cs="Calibri"/>
          <w:color w:val="000000" w:themeColor="text1"/>
        </w:rPr>
        <w:t>. </w:t>
      </w:r>
      <w:r w:rsidR="00354781" w:rsidRPr="36AF8C82">
        <w:rPr>
          <w:rStyle w:val="eop"/>
          <w:rFonts w:cs="Calibri"/>
          <w:color w:val="000000" w:themeColor="text1"/>
        </w:rPr>
        <w:t> </w:t>
      </w:r>
      <w:r w:rsidR="00354781" w:rsidRPr="13DFA9A4">
        <w:rPr>
          <w:rStyle w:val="eop"/>
          <w:rFonts w:cs="Calibri"/>
          <w:color w:val="000000" w:themeColor="text1"/>
        </w:rPr>
        <w:t xml:space="preserve">Employees in these </w:t>
      </w:r>
      <w:r w:rsidR="00354781" w:rsidRPr="4AC0EE56">
        <w:rPr>
          <w:rStyle w:val="eop"/>
          <w:rFonts w:cs="Calibri"/>
          <w:color w:val="000000" w:themeColor="text1"/>
        </w:rPr>
        <w:t>situations</w:t>
      </w:r>
      <w:r w:rsidR="00354781" w:rsidRPr="13DFA9A4">
        <w:rPr>
          <w:rStyle w:val="eop"/>
          <w:rFonts w:cs="Calibri"/>
          <w:color w:val="000000" w:themeColor="text1"/>
        </w:rPr>
        <w:t xml:space="preserve"> will have a clear pathway to permanent work if </w:t>
      </w:r>
      <w:r w:rsidR="00354781" w:rsidRPr="52FAF6F6">
        <w:rPr>
          <w:rStyle w:val="eop"/>
          <w:rFonts w:cs="Calibri"/>
          <w:color w:val="000000" w:themeColor="text1"/>
        </w:rPr>
        <w:t>this is</w:t>
      </w:r>
      <w:r w:rsidR="00354781">
        <w:rPr>
          <w:rStyle w:val="eop"/>
          <w:rFonts w:cs="Calibri"/>
          <w:color w:val="000000" w:themeColor="text1"/>
        </w:rPr>
        <w:t xml:space="preserve"> </w:t>
      </w:r>
      <w:r w:rsidR="00DF7E4C">
        <w:rPr>
          <w:rStyle w:val="eop"/>
          <w:rFonts w:cs="Calibri"/>
          <w:color w:val="000000" w:themeColor="text1"/>
        </w:rPr>
        <w:t>their</w:t>
      </w:r>
      <w:r w:rsidR="00354781" w:rsidRPr="52FAF6F6">
        <w:rPr>
          <w:rStyle w:val="eop"/>
          <w:rFonts w:cs="Calibri"/>
          <w:color w:val="000000" w:themeColor="text1"/>
        </w:rPr>
        <w:t xml:space="preserve"> </w:t>
      </w:r>
      <w:r w:rsidR="00354781" w:rsidRPr="4AC0EE56">
        <w:rPr>
          <w:rStyle w:val="eop"/>
          <w:rFonts w:cs="Calibri"/>
          <w:color w:val="000000" w:themeColor="text1"/>
        </w:rPr>
        <w:t>cho</w:t>
      </w:r>
      <w:r w:rsidR="0027296A">
        <w:rPr>
          <w:rStyle w:val="eop"/>
          <w:rFonts w:cs="Calibri"/>
          <w:color w:val="000000" w:themeColor="text1"/>
        </w:rPr>
        <w:t>ice</w:t>
      </w:r>
      <w:r w:rsidR="00354781" w:rsidRPr="4AC0EE56">
        <w:rPr>
          <w:rStyle w:val="eop"/>
          <w:rFonts w:cs="Calibri"/>
          <w:color w:val="000000" w:themeColor="text1"/>
        </w:rPr>
        <w:t>.</w:t>
      </w:r>
    </w:p>
    <w:p w14:paraId="692591FD" w14:textId="5C0716E1" w:rsidR="008A059F" w:rsidRPr="00C10812" w:rsidRDefault="008A059F" w:rsidP="008A059F">
      <w:pPr>
        <w:spacing w:before="120" w:after="120" w:line="360" w:lineRule="auto"/>
        <w:rPr>
          <w:rFonts w:eastAsiaTheme="minorEastAsia"/>
        </w:rPr>
      </w:pPr>
      <w:r w:rsidRPr="7612DB8E">
        <w:rPr>
          <w:rFonts w:eastAsiaTheme="minorEastAsia"/>
        </w:rPr>
        <w:t>Casual employees</w:t>
      </w:r>
      <w:r w:rsidR="00AB3E49">
        <w:rPr>
          <w:rFonts w:eastAsiaTheme="minorEastAsia"/>
        </w:rPr>
        <w:t xml:space="preserve"> can</w:t>
      </w:r>
      <w:r w:rsidRPr="7612DB8E">
        <w:rPr>
          <w:rFonts w:eastAsiaTheme="minorEastAsia"/>
        </w:rPr>
        <w:t xml:space="preserve"> face significant negative impacts as a result of insecure work. </w:t>
      </w:r>
      <w:r w:rsidR="00B934CF">
        <w:rPr>
          <w:rFonts w:eastAsiaTheme="minorEastAsia"/>
        </w:rPr>
        <w:t>While</w:t>
      </w:r>
      <w:r w:rsidR="00075ABC">
        <w:rPr>
          <w:rFonts w:eastAsiaTheme="minorEastAsia"/>
        </w:rPr>
        <w:t xml:space="preserve"> casual employees </w:t>
      </w:r>
      <w:r w:rsidR="002E6B38">
        <w:rPr>
          <w:rFonts w:eastAsiaTheme="minorEastAsia"/>
        </w:rPr>
        <w:t xml:space="preserve">are entitled to receive a casual loading </w:t>
      </w:r>
      <w:r w:rsidR="001163B5">
        <w:rPr>
          <w:rFonts w:eastAsiaTheme="minorEastAsia"/>
        </w:rPr>
        <w:t>– usually 25 per cent – or</w:t>
      </w:r>
      <w:r w:rsidR="00E76B21">
        <w:rPr>
          <w:rFonts w:eastAsiaTheme="minorEastAsia"/>
        </w:rPr>
        <w:t xml:space="preserve"> </w:t>
      </w:r>
      <w:r w:rsidR="00321588">
        <w:rPr>
          <w:rFonts w:eastAsiaTheme="minorEastAsia"/>
        </w:rPr>
        <w:t>receive a specific casuals rate of pay</w:t>
      </w:r>
      <w:r w:rsidR="00E5531C">
        <w:rPr>
          <w:rFonts w:eastAsiaTheme="minorEastAsia"/>
        </w:rPr>
        <w:t xml:space="preserve">, </w:t>
      </w:r>
      <w:r w:rsidR="00E76B21">
        <w:rPr>
          <w:rFonts w:eastAsiaTheme="minorEastAsia"/>
        </w:rPr>
        <w:t xml:space="preserve">they </w:t>
      </w:r>
      <w:r w:rsidR="00E5531C">
        <w:rPr>
          <w:rFonts w:eastAsiaTheme="minorEastAsia"/>
        </w:rPr>
        <w:t>do not receive the entitlements that per</w:t>
      </w:r>
      <w:r w:rsidR="000A0354">
        <w:rPr>
          <w:rFonts w:eastAsiaTheme="minorEastAsia"/>
        </w:rPr>
        <w:t xml:space="preserve">manent employees do, such as </w:t>
      </w:r>
      <w:r w:rsidR="00E76B21">
        <w:rPr>
          <w:rFonts w:eastAsiaTheme="minorEastAsia"/>
        </w:rPr>
        <w:t xml:space="preserve">paid </w:t>
      </w:r>
      <w:r w:rsidR="000A0354">
        <w:rPr>
          <w:rFonts w:eastAsiaTheme="minorEastAsia"/>
        </w:rPr>
        <w:t>personal</w:t>
      </w:r>
      <w:r w:rsidR="00A4476D">
        <w:rPr>
          <w:rFonts w:eastAsiaTheme="minorEastAsia"/>
        </w:rPr>
        <w:t>/</w:t>
      </w:r>
      <w:r w:rsidR="000A0354">
        <w:rPr>
          <w:rFonts w:eastAsiaTheme="minorEastAsia"/>
        </w:rPr>
        <w:t xml:space="preserve"> carer</w:t>
      </w:r>
      <w:r w:rsidR="00A4476D">
        <w:rPr>
          <w:rFonts w:eastAsiaTheme="minorEastAsia"/>
        </w:rPr>
        <w:t>’s leave</w:t>
      </w:r>
      <w:r w:rsidR="00EE6BA0">
        <w:rPr>
          <w:rFonts w:eastAsiaTheme="minorEastAsia"/>
        </w:rPr>
        <w:t xml:space="preserve">. </w:t>
      </w:r>
      <w:r w:rsidR="00CB2B38">
        <w:rPr>
          <w:rFonts w:eastAsiaTheme="minorEastAsia"/>
        </w:rPr>
        <w:t xml:space="preserve">This means they do not have an ongoing </w:t>
      </w:r>
      <w:r w:rsidR="00263E86">
        <w:rPr>
          <w:rFonts w:eastAsiaTheme="minorEastAsia"/>
        </w:rPr>
        <w:t>source of income in the event of illness or injury</w:t>
      </w:r>
      <w:r w:rsidR="00CA409C">
        <w:rPr>
          <w:rFonts w:eastAsiaTheme="minorEastAsia"/>
        </w:rPr>
        <w:t xml:space="preserve">. </w:t>
      </w:r>
      <w:r w:rsidR="00EE6BA0">
        <w:rPr>
          <w:rFonts w:eastAsiaTheme="minorEastAsia"/>
        </w:rPr>
        <w:t>A</w:t>
      </w:r>
      <w:r w:rsidR="00745CF2">
        <w:rPr>
          <w:rFonts w:eastAsiaTheme="minorEastAsia"/>
        </w:rPr>
        <w:t xml:space="preserve">n employee who </w:t>
      </w:r>
      <w:r w:rsidR="001C34A5">
        <w:rPr>
          <w:rFonts w:eastAsiaTheme="minorEastAsia"/>
        </w:rPr>
        <w:t xml:space="preserve">re-classifies </w:t>
      </w:r>
      <w:r w:rsidRPr="7612DB8E">
        <w:rPr>
          <w:rFonts w:eastAsiaTheme="minorEastAsia"/>
        </w:rPr>
        <w:t xml:space="preserve">as </w:t>
      </w:r>
      <w:r w:rsidR="001C34A5">
        <w:rPr>
          <w:rFonts w:eastAsiaTheme="minorEastAsia"/>
        </w:rPr>
        <w:t xml:space="preserve">a </w:t>
      </w:r>
      <w:r w:rsidRPr="7612DB8E">
        <w:rPr>
          <w:rFonts w:eastAsiaTheme="minorEastAsia"/>
        </w:rPr>
        <w:t xml:space="preserve">permanent employee will </w:t>
      </w:r>
      <w:r w:rsidR="009465EC">
        <w:rPr>
          <w:rFonts w:eastAsiaTheme="minorEastAsia"/>
        </w:rPr>
        <w:t>not be</w:t>
      </w:r>
      <w:r w:rsidR="009465EC" w:rsidRPr="7612DB8E">
        <w:rPr>
          <w:rFonts w:eastAsiaTheme="minorEastAsia"/>
        </w:rPr>
        <w:t xml:space="preserve"> </w:t>
      </w:r>
      <w:r w:rsidRPr="7612DB8E">
        <w:rPr>
          <w:rFonts w:eastAsiaTheme="minorEastAsia"/>
        </w:rPr>
        <w:t>entitle</w:t>
      </w:r>
      <w:r w:rsidR="009465EC">
        <w:rPr>
          <w:rFonts w:eastAsiaTheme="minorEastAsia"/>
        </w:rPr>
        <w:t>d</w:t>
      </w:r>
      <w:r w:rsidRPr="7612DB8E">
        <w:rPr>
          <w:rFonts w:eastAsiaTheme="minorEastAsia"/>
        </w:rPr>
        <w:t xml:space="preserve"> to </w:t>
      </w:r>
      <w:r w:rsidR="009465EC">
        <w:rPr>
          <w:rFonts w:eastAsiaTheme="minorEastAsia"/>
        </w:rPr>
        <w:t xml:space="preserve">a </w:t>
      </w:r>
      <w:r w:rsidRPr="7612DB8E">
        <w:rPr>
          <w:rFonts w:eastAsiaTheme="minorEastAsia"/>
        </w:rPr>
        <w:t xml:space="preserve">casual loading, but </w:t>
      </w:r>
      <w:r w:rsidR="00AE0740">
        <w:rPr>
          <w:rFonts w:eastAsiaTheme="minorEastAsia"/>
        </w:rPr>
        <w:t xml:space="preserve">will </w:t>
      </w:r>
      <w:r w:rsidRPr="7612DB8E">
        <w:rPr>
          <w:rFonts w:eastAsiaTheme="minorEastAsia"/>
        </w:rPr>
        <w:t xml:space="preserve">gain access to a number of entitlements </w:t>
      </w:r>
      <w:r w:rsidR="00AE0740">
        <w:rPr>
          <w:rFonts w:eastAsiaTheme="minorEastAsia"/>
        </w:rPr>
        <w:t xml:space="preserve">under </w:t>
      </w:r>
      <w:r w:rsidRPr="7612DB8E">
        <w:rPr>
          <w:rFonts w:eastAsiaTheme="minorEastAsia"/>
        </w:rPr>
        <w:t>the National Employment Standard</w:t>
      </w:r>
      <w:r>
        <w:rPr>
          <w:rFonts w:eastAsiaTheme="minorEastAsia"/>
        </w:rPr>
        <w:t xml:space="preserve">s </w:t>
      </w:r>
      <w:r w:rsidR="00AE0740">
        <w:rPr>
          <w:rFonts w:eastAsiaTheme="minorEastAsia"/>
        </w:rPr>
        <w:t xml:space="preserve">that are only available to </w:t>
      </w:r>
      <w:r w:rsidR="00CD3634">
        <w:rPr>
          <w:rFonts w:eastAsiaTheme="minorEastAsia"/>
        </w:rPr>
        <w:t xml:space="preserve">part-time and full time employees, </w:t>
      </w:r>
      <w:r>
        <w:rPr>
          <w:rFonts w:eastAsiaTheme="minorEastAsia"/>
        </w:rPr>
        <w:t xml:space="preserve">including </w:t>
      </w:r>
      <w:r w:rsidRPr="7612DB8E">
        <w:rPr>
          <w:rFonts w:eastAsiaTheme="minorEastAsia"/>
        </w:rPr>
        <w:t>personal/carer’s leave</w:t>
      </w:r>
      <w:r w:rsidR="00CA409C">
        <w:rPr>
          <w:rFonts w:eastAsiaTheme="minorEastAsia"/>
        </w:rPr>
        <w:t>,</w:t>
      </w:r>
      <w:r w:rsidRPr="7612DB8E">
        <w:rPr>
          <w:rFonts w:eastAsiaTheme="minorEastAsia"/>
        </w:rPr>
        <w:t xml:space="preserve"> annual leave</w:t>
      </w:r>
      <w:r w:rsidR="00CD3634" w:rsidRPr="00CD3634">
        <w:rPr>
          <w:rFonts w:eastAsiaTheme="minorEastAsia"/>
        </w:rPr>
        <w:t xml:space="preserve"> </w:t>
      </w:r>
      <w:r w:rsidR="00CA409C" w:rsidRPr="7612DB8E">
        <w:rPr>
          <w:rFonts w:eastAsiaTheme="minorEastAsia"/>
        </w:rPr>
        <w:t xml:space="preserve">and </w:t>
      </w:r>
      <w:r w:rsidR="00CD3634">
        <w:rPr>
          <w:rFonts w:eastAsiaTheme="minorEastAsia"/>
        </w:rPr>
        <w:t>redundancy</w:t>
      </w:r>
      <w:r w:rsidR="00CF0C78">
        <w:rPr>
          <w:rFonts w:eastAsiaTheme="minorEastAsia"/>
        </w:rPr>
        <w:t xml:space="preserve"> pay</w:t>
      </w:r>
      <w:r w:rsidRPr="7612DB8E">
        <w:rPr>
          <w:rFonts w:eastAsiaTheme="minorEastAsia"/>
        </w:rPr>
        <w:t xml:space="preserve">. </w:t>
      </w:r>
    </w:p>
    <w:p w14:paraId="615E7E29" w14:textId="401D25D5" w:rsidR="008A059F" w:rsidRPr="00C10812" w:rsidRDefault="008A059F" w:rsidP="008A059F">
      <w:pPr>
        <w:spacing w:before="120" w:after="120" w:line="360" w:lineRule="auto"/>
        <w:rPr>
          <w:rFonts w:eastAsiaTheme="minorEastAsia"/>
        </w:rPr>
      </w:pPr>
      <w:r w:rsidRPr="7612DB8E">
        <w:rPr>
          <w:rFonts w:eastAsiaTheme="minorEastAsia"/>
        </w:rPr>
        <w:t>Beyond those immediate workplace entitlements, increasing an individual employee’s job security is linked to improved financial stability as well as physical and mental health. Research conducted by BETA found that where employees wished to convert to a permanent role, the two main drivers were the stability and security of hours and income, and the benefits of having leave entitlements.</w:t>
      </w:r>
      <w:r w:rsidRPr="00694ED6">
        <w:rPr>
          <w:rStyle w:val="FootnoteReference"/>
          <w:rFonts w:eastAsiaTheme="minorEastAsia"/>
        </w:rPr>
        <w:footnoteReference w:id="24"/>
      </w:r>
      <w:r w:rsidRPr="7612DB8E">
        <w:rPr>
          <w:rFonts w:eastAsiaTheme="minorEastAsia"/>
        </w:rPr>
        <w:t xml:space="preserve"> </w:t>
      </w:r>
      <w:r w:rsidRPr="7612DB8E">
        <w:rPr>
          <w:rFonts w:eastAsiaTheme="minorEastAsia"/>
        </w:rPr>
        <w:lastRenderedPageBreak/>
        <w:t>BETA also found that casual employees experiencing very high levels of financial stress are more likely to want to convert to a permanent role</w:t>
      </w:r>
      <w:r>
        <w:rPr>
          <w:rFonts w:eastAsiaTheme="minorEastAsia"/>
        </w:rPr>
        <w:t>.</w:t>
      </w:r>
      <w:r>
        <w:rPr>
          <w:rStyle w:val="FootnoteReference"/>
          <w:rFonts w:eastAsiaTheme="minorEastAsia"/>
        </w:rPr>
        <w:footnoteReference w:id="25"/>
      </w:r>
    </w:p>
    <w:p w14:paraId="011AD047" w14:textId="2952190F" w:rsidR="008A059F" w:rsidRPr="00C10812" w:rsidRDefault="008A059F" w:rsidP="008A059F">
      <w:pPr>
        <w:spacing w:before="120" w:after="120" w:line="360" w:lineRule="auto"/>
        <w:rPr>
          <w:rFonts w:eastAsiaTheme="minorEastAsia"/>
        </w:rPr>
      </w:pPr>
      <w:r w:rsidRPr="7612DB8E">
        <w:rPr>
          <w:rFonts w:eastAsiaTheme="minorEastAsia"/>
        </w:rPr>
        <w:t xml:space="preserve">Further, initiatives to increase awareness and knowledge of the provisions through the development of an updated Casual Employment Information Statement by the Fair Work Ombudsman will assist employees and employers to understand their rights and obligations </w:t>
      </w:r>
      <w:r>
        <w:rPr>
          <w:rFonts w:eastAsiaTheme="minorEastAsia"/>
        </w:rPr>
        <w:t>(</w:t>
      </w:r>
      <w:r w:rsidRPr="7612DB8E">
        <w:rPr>
          <w:rFonts w:eastAsiaTheme="minorEastAsia"/>
        </w:rPr>
        <w:t>as identified in findings 7 and 8 of the Statutory Review</w:t>
      </w:r>
      <w:r>
        <w:rPr>
          <w:rFonts w:eastAsiaTheme="minorEastAsia"/>
        </w:rPr>
        <w:t>)</w:t>
      </w:r>
      <w:r w:rsidR="00BD146A">
        <w:rPr>
          <w:rFonts w:eastAsiaTheme="minorEastAsia"/>
        </w:rPr>
        <w:t xml:space="preserve"> </w:t>
      </w:r>
      <w:r w:rsidR="00024214">
        <w:rPr>
          <w:rFonts w:eastAsiaTheme="minorEastAsia"/>
        </w:rPr>
        <w:t>including</w:t>
      </w:r>
      <w:r w:rsidR="005A1544">
        <w:rPr>
          <w:rFonts w:eastAsiaTheme="minorEastAsia"/>
        </w:rPr>
        <w:t xml:space="preserve"> </w:t>
      </w:r>
      <w:r w:rsidR="00BF662B">
        <w:rPr>
          <w:rFonts w:eastAsiaTheme="minorEastAsia"/>
        </w:rPr>
        <w:t xml:space="preserve">consideration of the trade off </w:t>
      </w:r>
      <w:r w:rsidR="00467E28">
        <w:rPr>
          <w:rFonts w:eastAsiaTheme="minorEastAsia"/>
        </w:rPr>
        <w:t xml:space="preserve">between casual loading and the benefits of </w:t>
      </w:r>
      <w:r w:rsidR="007D0B16">
        <w:rPr>
          <w:rFonts w:eastAsiaTheme="minorEastAsia"/>
        </w:rPr>
        <w:t>permanent employment</w:t>
      </w:r>
      <w:r w:rsidRPr="7612DB8E">
        <w:rPr>
          <w:rFonts w:eastAsiaTheme="minorEastAsia"/>
        </w:rPr>
        <w:t xml:space="preserve">.  </w:t>
      </w:r>
    </w:p>
    <w:p w14:paraId="7CB4DE0D" w14:textId="77777777" w:rsidR="008A059F" w:rsidRPr="00C10812" w:rsidRDefault="008A059F" w:rsidP="008A059F">
      <w:pPr>
        <w:spacing w:before="120" w:after="120" w:line="360" w:lineRule="auto"/>
        <w:contextualSpacing/>
        <w:rPr>
          <w:rFonts w:eastAsiaTheme="minorEastAsia"/>
        </w:rPr>
      </w:pPr>
    </w:p>
    <w:p w14:paraId="41B783A6"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5" w:name="_Toc143252100"/>
      <w:r w:rsidRPr="7612DB8E">
        <w:rPr>
          <w:rFonts w:asciiTheme="minorHAnsi" w:eastAsiaTheme="minorEastAsia" w:hAnsiTheme="minorHAnsi" w:cstheme="minorBidi"/>
        </w:rPr>
        <w:t>5.  Who did you consult and how did you incorporate their feedback?</w:t>
      </w:r>
      <w:bookmarkEnd w:id="15"/>
      <w:r w:rsidRPr="7612DB8E">
        <w:rPr>
          <w:rFonts w:asciiTheme="minorHAnsi" w:eastAsiaTheme="minorEastAsia" w:hAnsiTheme="minorHAnsi" w:cstheme="minorBidi"/>
        </w:rPr>
        <w:t xml:space="preserve"> </w:t>
      </w:r>
    </w:p>
    <w:p w14:paraId="38423E1D" w14:textId="77777777" w:rsidR="008A059F" w:rsidRPr="00C10812" w:rsidRDefault="008A059F" w:rsidP="008A059F">
      <w:pPr>
        <w:pStyle w:val="Heading3"/>
        <w:spacing w:before="120" w:after="120" w:line="360" w:lineRule="auto"/>
        <w:rPr>
          <w:rFonts w:asciiTheme="minorHAnsi" w:eastAsiaTheme="minorEastAsia" w:hAnsiTheme="minorHAnsi" w:cstheme="minorBidi"/>
        </w:rPr>
      </w:pPr>
      <w:bookmarkStart w:id="16" w:name="_Toc143252101"/>
      <w:r w:rsidRPr="7612DB8E">
        <w:rPr>
          <w:rFonts w:asciiTheme="minorHAnsi" w:eastAsiaTheme="minorEastAsia" w:hAnsiTheme="minorHAnsi" w:cstheme="minorBidi"/>
        </w:rPr>
        <w:t>Consultation through the Job Security Inquiry</w:t>
      </w:r>
      <w:bookmarkEnd w:id="16"/>
      <w:r w:rsidRPr="7612DB8E">
        <w:rPr>
          <w:rFonts w:asciiTheme="minorHAnsi" w:eastAsiaTheme="minorEastAsia" w:hAnsiTheme="minorHAnsi" w:cstheme="minorBidi"/>
        </w:rPr>
        <w:t xml:space="preserve"> </w:t>
      </w:r>
    </w:p>
    <w:p w14:paraId="6055AAF6" w14:textId="2E955D72" w:rsidR="008A059F" w:rsidRPr="00C10812" w:rsidRDefault="008A059F" w:rsidP="008A059F">
      <w:pPr>
        <w:spacing w:before="120" w:after="120" w:line="360" w:lineRule="auto"/>
        <w:rPr>
          <w:rFonts w:eastAsiaTheme="minorEastAsia"/>
        </w:rPr>
      </w:pPr>
      <w:r w:rsidRPr="7612DB8E">
        <w:rPr>
          <w:rFonts w:eastAsiaTheme="minorEastAsia"/>
        </w:rPr>
        <w:t>The Senate</w:t>
      </w:r>
      <w:r w:rsidR="007C2F3B">
        <w:rPr>
          <w:rFonts w:eastAsiaTheme="minorEastAsia"/>
        </w:rPr>
        <w:t xml:space="preserve"> Select</w:t>
      </w:r>
      <w:r w:rsidRPr="7612DB8E">
        <w:rPr>
          <w:rFonts w:eastAsiaTheme="minorEastAsia"/>
        </w:rPr>
        <w:t xml:space="preserve"> Committee Inquiry into Job Security </w:t>
      </w:r>
      <w:r w:rsidR="0028220B">
        <w:rPr>
          <w:rFonts w:eastAsiaTheme="minorEastAsia"/>
        </w:rPr>
        <w:t>(the Inquiry)</w:t>
      </w:r>
      <w:r w:rsidRPr="7612DB8E">
        <w:rPr>
          <w:rFonts w:eastAsiaTheme="minorEastAsia"/>
        </w:rPr>
        <w:t xml:space="preserve"> was a public process that took place over the course of 16 months (from December 2020 to March 2022).</w:t>
      </w:r>
    </w:p>
    <w:p w14:paraId="518C83B2" w14:textId="3F784003" w:rsidR="008A059F" w:rsidRPr="00C10812" w:rsidRDefault="008A059F" w:rsidP="6F358070">
      <w:pPr>
        <w:spacing w:before="120" w:after="120" w:line="360" w:lineRule="auto"/>
        <w:rPr>
          <w:rFonts w:eastAsiaTheme="minorEastAsia"/>
        </w:rPr>
      </w:pPr>
      <w:r w:rsidRPr="6F358070">
        <w:rPr>
          <w:rFonts w:eastAsiaTheme="minorEastAsia"/>
        </w:rPr>
        <w:t xml:space="preserve">The </w:t>
      </w:r>
      <w:r w:rsidR="00B84A34">
        <w:rPr>
          <w:rFonts w:eastAsiaTheme="minorEastAsia"/>
        </w:rPr>
        <w:t>I</w:t>
      </w:r>
      <w:r w:rsidRPr="7612DB8E">
        <w:rPr>
          <w:rFonts w:eastAsiaTheme="minorEastAsia"/>
        </w:rPr>
        <w:t>nquiry</w:t>
      </w:r>
      <w:r w:rsidRPr="6F358070">
        <w:rPr>
          <w:rFonts w:eastAsiaTheme="minorEastAsia"/>
        </w:rPr>
        <w:t xml:space="preserve"> received </w:t>
      </w:r>
      <w:hyperlink r:id="rId28">
        <w:r>
          <w:t>230 written submissions</w:t>
        </w:r>
      </w:hyperlink>
      <w:r w:rsidRPr="6F358070">
        <w:rPr>
          <w:rFonts w:eastAsiaTheme="minorEastAsia"/>
        </w:rPr>
        <w:t xml:space="preserve"> from unions, academics, state governments, local councils, community legal centres, employer groups and individual citizens. The </w:t>
      </w:r>
      <w:r w:rsidR="00B84A34">
        <w:rPr>
          <w:rFonts w:eastAsiaTheme="minorEastAsia"/>
        </w:rPr>
        <w:t>I</w:t>
      </w:r>
      <w:r w:rsidRPr="7612DB8E">
        <w:rPr>
          <w:rFonts w:eastAsiaTheme="minorEastAsia"/>
        </w:rPr>
        <w:t>nquiry</w:t>
      </w:r>
      <w:r w:rsidRPr="6F358070">
        <w:rPr>
          <w:rFonts w:eastAsiaTheme="minorEastAsia"/>
        </w:rPr>
        <w:t xml:space="preserve"> also held </w:t>
      </w:r>
      <w:r w:rsidR="004D34D8" w:rsidRPr="6F358070">
        <w:rPr>
          <w:rFonts w:eastAsiaTheme="minorEastAsia"/>
        </w:rPr>
        <w:t>27 </w:t>
      </w:r>
      <w:r w:rsidRPr="6F358070">
        <w:rPr>
          <w:rFonts w:eastAsiaTheme="minorEastAsia"/>
        </w:rPr>
        <w:t xml:space="preserve">public hearings from April 2021 to March 2022 where many stakeholders represented their views and spoke to their written submissions. </w:t>
      </w:r>
    </w:p>
    <w:p w14:paraId="16A525D3" w14:textId="77777777" w:rsidR="008A059F" w:rsidRPr="00C10812" w:rsidRDefault="008A059F" w:rsidP="0028220B">
      <w:pPr>
        <w:spacing w:before="120" w:after="120" w:line="360" w:lineRule="auto"/>
        <w:rPr>
          <w:rFonts w:eastAsiaTheme="minorEastAsia"/>
        </w:rPr>
      </w:pPr>
      <w:r w:rsidRPr="6F358070">
        <w:rPr>
          <w:rFonts w:eastAsiaTheme="minorEastAsia"/>
        </w:rPr>
        <w:t xml:space="preserve">62 submissions specifically raised issues with casual employment, and many cited the need for a change to the definition of casual employee that was introduced in the </w:t>
      </w:r>
      <w:r w:rsidRPr="6F358070">
        <w:rPr>
          <w:rFonts w:eastAsiaTheme="minorEastAsia"/>
          <w:i/>
          <w:iCs/>
        </w:rPr>
        <w:t>Fair Work Amendment (Supporting Australia’s Jobs and Economic Recovery) Act 2021</w:t>
      </w:r>
      <w:r w:rsidRPr="6F358070">
        <w:rPr>
          <w:rFonts w:eastAsiaTheme="minorEastAsia"/>
        </w:rPr>
        <w:t xml:space="preserve"> (Cth) (see </w:t>
      </w:r>
      <w:r w:rsidRPr="6F358070">
        <w:rPr>
          <w:rFonts w:eastAsiaTheme="minorEastAsia"/>
          <w:u w:val="single"/>
        </w:rPr>
        <w:t>Attachment A</w:t>
      </w:r>
      <w:r w:rsidRPr="6F358070">
        <w:rPr>
          <w:rFonts w:eastAsiaTheme="minorEastAsia"/>
        </w:rPr>
        <w:t xml:space="preserve"> for the full list of submissions relevant to casual employment).  </w:t>
      </w:r>
    </w:p>
    <w:p w14:paraId="58A8C12E" w14:textId="77777777" w:rsidR="008A059F" w:rsidRPr="00C10812" w:rsidRDefault="008A059F" w:rsidP="6F358070">
      <w:pPr>
        <w:spacing w:before="120" w:after="120" w:line="360" w:lineRule="auto"/>
        <w:contextualSpacing/>
        <w:rPr>
          <w:rFonts w:eastAsiaTheme="minorEastAsia"/>
        </w:rPr>
      </w:pPr>
      <w:r w:rsidRPr="6F358070">
        <w:rPr>
          <w:rFonts w:eastAsiaTheme="minorEastAsia"/>
        </w:rPr>
        <w:t>The department has carefully reviewed the Job Security Inquiry Report, and many of the Government’s workplace relations policies reflect and align with the findings and recommendations from the Inquiry. These include Recommendation 6 from the Job Insecurity Report (copied above) to amend the definition of casual employment, as well as Recommendation 10 from the First Interim Report which recognises that casual employees and their employers must have a low-cost, accessible and efficient process to resolve disputes about casual employment, including access to arbitration.</w:t>
      </w:r>
    </w:p>
    <w:p w14:paraId="5D07DE05" w14:textId="77777777" w:rsidR="008A059F" w:rsidRPr="00BA13F0" w:rsidRDefault="008A059F" w:rsidP="008A059F">
      <w:pPr>
        <w:pStyle w:val="Heading3"/>
        <w:spacing w:before="120" w:after="120" w:line="360" w:lineRule="auto"/>
        <w:rPr>
          <w:rFonts w:asciiTheme="minorHAnsi" w:eastAsiaTheme="minorEastAsia" w:hAnsiTheme="minorHAnsi" w:cstheme="minorBidi"/>
        </w:rPr>
      </w:pPr>
      <w:bookmarkStart w:id="17" w:name="_Toc143252102"/>
      <w:r w:rsidRPr="7612DB8E">
        <w:rPr>
          <w:rFonts w:asciiTheme="minorHAnsi" w:eastAsiaTheme="minorEastAsia" w:hAnsiTheme="minorHAnsi" w:cstheme="minorBidi"/>
        </w:rPr>
        <w:lastRenderedPageBreak/>
        <w:t xml:space="preserve">Consultation through the </w:t>
      </w:r>
      <w:r>
        <w:rPr>
          <w:rFonts w:asciiTheme="minorHAnsi" w:eastAsiaTheme="minorEastAsia" w:hAnsiTheme="minorHAnsi" w:cstheme="minorBidi"/>
        </w:rPr>
        <w:t>R</w:t>
      </w:r>
      <w:r w:rsidRPr="7612DB8E">
        <w:rPr>
          <w:rFonts w:asciiTheme="minorHAnsi" w:eastAsiaTheme="minorEastAsia" w:hAnsiTheme="minorHAnsi" w:cstheme="minorBidi"/>
        </w:rPr>
        <w:t>eview</w:t>
      </w:r>
      <w:bookmarkEnd w:id="17"/>
    </w:p>
    <w:p w14:paraId="11DD5DA1"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As noted previously, the current legislative settings, which took effect through the </w:t>
      </w:r>
      <w:r w:rsidRPr="0002492E">
        <w:rPr>
          <w:rFonts w:eastAsiaTheme="minorEastAsia"/>
          <w:i/>
          <w:iCs/>
        </w:rPr>
        <w:t>Fair Work Amendment (Supporting Australia’s Jobs and Economic Recovery) Act</w:t>
      </w:r>
      <w:r w:rsidRPr="0002492E">
        <w:rPr>
          <w:rFonts w:eastAsiaTheme="minorEastAsia"/>
        </w:rPr>
        <w:t xml:space="preserve"> </w:t>
      </w:r>
      <w:r w:rsidRPr="0045678A">
        <w:rPr>
          <w:rFonts w:eastAsiaTheme="minorEastAsia"/>
          <w:i/>
          <w:iCs/>
        </w:rPr>
        <w:t>2021</w:t>
      </w:r>
      <w:r>
        <w:rPr>
          <w:rFonts w:eastAsiaTheme="minorEastAsia"/>
        </w:rPr>
        <w:t xml:space="preserve"> (Cth)</w:t>
      </w:r>
      <w:r w:rsidRPr="7612DB8E">
        <w:rPr>
          <w:rFonts w:eastAsiaTheme="minorEastAsia"/>
        </w:rPr>
        <w:t>, included a requirement for a statutory review.</w:t>
      </w:r>
      <w:r w:rsidRPr="00F038E1">
        <w:rPr>
          <w:rFonts w:eastAsiaTheme="minorEastAsia"/>
        </w:rPr>
        <w:t xml:space="preserve"> </w:t>
      </w:r>
      <w:r w:rsidRPr="7612DB8E">
        <w:rPr>
          <w:rFonts w:eastAsiaTheme="minorEastAsia"/>
        </w:rPr>
        <w:t xml:space="preserve">This </w:t>
      </w:r>
      <w:r>
        <w:rPr>
          <w:rFonts w:eastAsiaTheme="minorEastAsia"/>
        </w:rPr>
        <w:t>R</w:t>
      </w:r>
      <w:r w:rsidRPr="7612DB8E">
        <w:rPr>
          <w:rFonts w:eastAsiaTheme="minorEastAsia"/>
        </w:rPr>
        <w:t>eview was tabled in Parliament on 1 December 2022</w:t>
      </w:r>
      <w:r w:rsidRPr="00F038E1">
        <w:rPr>
          <w:rFonts w:eastAsiaTheme="minorEastAsia"/>
        </w:rPr>
        <w:t xml:space="preserve">. The Government response to the </w:t>
      </w:r>
      <w:r>
        <w:rPr>
          <w:rFonts w:eastAsiaTheme="minorEastAsia"/>
        </w:rPr>
        <w:t>R</w:t>
      </w:r>
      <w:r w:rsidRPr="00F038E1">
        <w:rPr>
          <w:rFonts w:eastAsiaTheme="minorEastAsia"/>
        </w:rPr>
        <w:t>eview noted</w:t>
      </w:r>
      <w:r>
        <w:rPr>
          <w:rFonts w:eastAsiaTheme="minorEastAsia"/>
        </w:rPr>
        <w:t xml:space="preserve"> </w:t>
      </w:r>
      <w:r w:rsidRPr="00F038E1">
        <w:rPr>
          <w:rFonts w:eastAsiaTheme="minorEastAsia"/>
        </w:rPr>
        <w:t>the report findings and evidence would be considered in implementing the Government’s election commitment</w:t>
      </w:r>
      <w:r>
        <w:rPr>
          <w:rFonts w:eastAsiaTheme="minorEastAsia"/>
        </w:rPr>
        <w:t>.</w:t>
      </w:r>
      <w:r w:rsidRPr="00E261BB">
        <w:rPr>
          <w:rStyle w:val="FootnoteReference"/>
        </w:rPr>
        <w:footnoteReference w:id="26"/>
      </w:r>
    </w:p>
    <w:p w14:paraId="745DADF8" w14:textId="4B1CF58A" w:rsidR="008A059F" w:rsidRPr="00C10812" w:rsidRDefault="008A059F" w:rsidP="008A059F">
      <w:pPr>
        <w:spacing w:before="120" w:after="120" w:line="360" w:lineRule="auto"/>
        <w:rPr>
          <w:rFonts w:eastAsiaTheme="minorEastAsia"/>
        </w:rPr>
      </w:pPr>
      <w:r w:rsidRPr="7612DB8E">
        <w:rPr>
          <w:rFonts w:eastAsiaTheme="minorEastAsia"/>
        </w:rPr>
        <w:t xml:space="preserve">The consultation comprised five separate virtual consultation sessions with </w:t>
      </w:r>
      <w:r>
        <w:rPr>
          <w:rFonts w:eastAsiaTheme="minorEastAsia"/>
        </w:rPr>
        <w:t>e</w:t>
      </w:r>
      <w:r w:rsidRPr="7612DB8E">
        <w:rPr>
          <w:rFonts w:eastAsiaTheme="minorEastAsia"/>
        </w:rPr>
        <w:t xml:space="preserve">mployment </w:t>
      </w:r>
      <w:r>
        <w:rPr>
          <w:rFonts w:eastAsiaTheme="minorEastAsia"/>
        </w:rPr>
        <w:t>l</w:t>
      </w:r>
      <w:r w:rsidRPr="7612DB8E">
        <w:rPr>
          <w:rFonts w:eastAsiaTheme="minorEastAsia"/>
        </w:rPr>
        <w:t xml:space="preserve">aw </w:t>
      </w:r>
      <w:r>
        <w:rPr>
          <w:rFonts w:eastAsiaTheme="minorEastAsia"/>
        </w:rPr>
        <w:t>a</w:t>
      </w:r>
      <w:r w:rsidRPr="7612DB8E">
        <w:rPr>
          <w:rFonts w:eastAsiaTheme="minorEastAsia"/>
        </w:rPr>
        <w:t xml:space="preserve">cademics, </w:t>
      </w:r>
      <w:r>
        <w:rPr>
          <w:rFonts w:eastAsiaTheme="minorEastAsia"/>
        </w:rPr>
        <w:t>p</w:t>
      </w:r>
      <w:r w:rsidRPr="7612DB8E">
        <w:rPr>
          <w:rFonts w:eastAsiaTheme="minorEastAsia"/>
        </w:rPr>
        <w:t xml:space="preserve">eak </w:t>
      </w:r>
      <w:r>
        <w:rPr>
          <w:rFonts w:eastAsiaTheme="minorEastAsia"/>
        </w:rPr>
        <w:t>i</w:t>
      </w:r>
      <w:r w:rsidRPr="7612DB8E">
        <w:rPr>
          <w:rFonts w:eastAsiaTheme="minorEastAsia"/>
        </w:rPr>
        <w:t xml:space="preserve">ndustry </w:t>
      </w:r>
      <w:r>
        <w:rPr>
          <w:rFonts w:eastAsiaTheme="minorEastAsia"/>
        </w:rPr>
        <w:t>b</w:t>
      </w:r>
      <w:r w:rsidRPr="7612DB8E">
        <w:rPr>
          <w:rFonts w:eastAsiaTheme="minorEastAsia"/>
        </w:rPr>
        <w:t xml:space="preserve">odies, </w:t>
      </w:r>
      <w:r>
        <w:rPr>
          <w:rFonts w:eastAsiaTheme="minorEastAsia"/>
        </w:rPr>
        <w:t>e</w:t>
      </w:r>
      <w:r w:rsidRPr="7612DB8E">
        <w:rPr>
          <w:rFonts w:eastAsiaTheme="minorEastAsia"/>
        </w:rPr>
        <w:t xml:space="preserve">mployee representatives, </w:t>
      </w:r>
      <w:r>
        <w:rPr>
          <w:rFonts w:eastAsiaTheme="minorEastAsia"/>
        </w:rPr>
        <w:t>s</w:t>
      </w:r>
      <w:r w:rsidRPr="7612DB8E">
        <w:rPr>
          <w:rFonts w:eastAsiaTheme="minorEastAsia"/>
        </w:rPr>
        <w:t xml:space="preserve">tate and </w:t>
      </w:r>
      <w:r>
        <w:rPr>
          <w:rFonts w:eastAsiaTheme="minorEastAsia"/>
        </w:rPr>
        <w:t>t</w:t>
      </w:r>
      <w:r w:rsidRPr="7612DB8E">
        <w:rPr>
          <w:rFonts w:eastAsiaTheme="minorEastAsia"/>
        </w:rPr>
        <w:t xml:space="preserve">erritory </w:t>
      </w:r>
      <w:r>
        <w:rPr>
          <w:rFonts w:eastAsiaTheme="minorEastAsia"/>
        </w:rPr>
        <w:t>g</w:t>
      </w:r>
      <w:r w:rsidRPr="7612DB8E">
        <w:rPr>
          <w:rFonts w:eastAsiaTheme="minorEastAsia"/>
        </w:rPr>
        <w:t xml:space="preserve">overnment representatives and </w:t>
      </w:r>
      <w:r w:rsidR="001B7AF4">
        <w:rPr>
          <w:rFonts w:eastAsiaTheme="minorEastAsia"/>
        </w:rPr>
        <w:t>C</w:t>
      </w:r>
      <w:r w:rsidR="001B7AF4" w:rsidRPr="7612DB8E">
        <w:rPr>
          <w:rFonts w:eastAsiaTheme="minorEastAsia"/>
        </w:rPr>
        <w:t xml:space="preserve">ommonwealth </w:t>
      </w:r>
      <w:r>
        <w:rPr>
          <w:rFonts w:eastAsiaTheme="minorEastAsia"/>
        </w:rPr>
        <w:t>e</w:t>
      </w:r>
      <w:r w:rsidRPr="7612DB8E">
        <w:rPr>
          <w:rFonts w:eastAsiaTheme="minorEastAsia"/>
        </w:rPr>
        <w:t xml:space="preserve">ntities. An in-person session was also held in Sydney. Stakeholders were able to make written submissions to the </w:t>
      </w:r>
      <w:r>
        <w:rPr>
          <w:rFonts w:eastAsiaTheme="minorEastAsia"/>
        </w:rPr>
        <w:t>R</w:t>
      </w:r>
      <w:r w:rsidRPr="7612DB8E">
        <w:rPr>
          <w:rFonts w:eastAsiaTheme="minorEastAsia"/>
        </w:rPr>
        <w:t xml:space="preserve">eview - 13 submissions were made by representatives of employers, employees and state governments. A further 8 submissions were made responding to an online questionnaire by employer groups, unions, and non-government organisations. Organisations who participated in these consultations are detailed in </w:t>
      </w:r>
      <w:r w:rsidRPr="00E261BB">
        <w:rPr>
          <w:rFonts w:eastAsiaTheme="minorEastAsia"/>
          <w:u w:val="single"/>
        </w:rPr>
        <w:t>Attachment D</w:t>
      </w:r>
      <w:r w:rsidRPr="7612DB8E">
        <w:rPr>
          <w:rFonts w:eastAsiaTheme="minorEastAsia"/>
        </w:rPr>
        <w:t>.</w:t>
      </w:r>
    </w:p>
    <w:p w14:paraId="2DF0471D" w14:textId="62461CE3" w:rsidR="00EC3398" w:rsidRDefault="008A059F" w:rsidP="6F358070">
      <w:pPr>
        <w:spacing w:before="120" w:after="120" w:line="360" w:lineRule="auto"/>
        <w:rPr>
          <w:rFonts w:eastAsiaTheme="minorEastAsia"/>
        </w:rPr>
      </w:pPr>
      <w:r w:rsidRPr="6F358070">
        <w:rPr>
          <w:rFonts w:eastAsiaTheme="minorEastAsia"/>
        </w:rPr>
        <w:t xml:space="preserve">In addition to the consultation through the Job Security </w:t>
      </w:r>
      <w:r w:rsidR="0028220B">
        <w:rPr>
          <w:rFonts w:eastAsiaTheme="minorEastAsia"/>
        </w:rPr>
        <w:t>I</w:t>
      </w:r>
      <w:r w:rsidRPr="7612DB8E">
        <w:rPr>
          <w:rFonts w:eastAsiaTheme="minorEastAsia"/>
        </w:rPr>
        <w:t>nquiry</w:t>
      </w:r>
      <w:r w:rsidRPr="6F358070">
        <w:rPr>
          <w:rFonts w:eastAsiaTheme="minorEastAsia"/>
        </w:rPr>
        <w:t xml:space="preserve"> and the Review, the Government has </w:t>
      </w:r>
      <w:r w:rsidR="005A1184" w:rsidRPr="6F358070">
        <w:rPr>
          <w:rFonts w:eastAsiaTheme="minorEastAsia"/>
        </w:rPr>
        <w:t xml:space="preserve">continually </w:t>
      </w:r>
      <w:r w:rsidRPr="6F358070">
        <w:rPr>
          <w:rFonts w:eastAsiaTheme="minorEastAsia"/>
        </w:rPr>
        <w:t xml:space="preserve">consulted with a broad range of </w:t>
      </w:r>
      <w:r w:rsidR="009D198C" w:rsidRPr="6F358070">
        <w:rPr>
          <w:rFonts w:eastAsiaTheme="minorEastAsia"/>
        </w:rPr>
        <w:t>stakeholders including</w:t>
      </w:r>
      <w:r w:rsidRPr="6F358070">
        <w:rPr>
          <w:rFonts w:eastAsiaTheme="minorEastAsia"/>
        </w:rPr>
        <w:t xml:space="preserve"> union and employee representatives, employers and employer representatives, state and territory governments</w:t>
      </w:r>
      <w:r w:rsidR="009D198C" w:rsidRPr="6F358070">
        <w:rPr>
          <w:rFonts w:eastAsiaTheme="minorEastAsia"/>
        </w:rPr>
        <w:t>, community representatives</w:t>
      </w:r>
      <w:r w:rsidRPr="6F358070">
        <w:rPr>
          <w:rFonts w:eastAsiaTheme="minorEastAsia"/>
        </w:rPr>
        <w:t xml:space="preserve"> and academics as part of the broader consultation process being undertaken to support the introduction of legislative reforms into the Australian Parliament in Spring 2023. As part of initial consultations, the department published information on the department</w:t>
      </w:r>
      <w:r w:rsidR="000A55ED" w:rsidRPr="6F358070">
        <w:rPr>
          <w:rFonts w:eastAsiaTheme="minorEastAsia"/>
        </w:rPr>
        <w:t>’s</w:t>
      </w:r>
      <w:r w:rsidRPr="6F358070">
        <w:rPr>
          <w:rFonts w:eastAsiaTheme="minorEastAsia"/>
        </w:rPr>
        <w:t xml:space="preserve"> website covering key issues and considerations for discussions with stakeholders.</w:t>
      </w:r>
      <w:r w:rsidRPr="00E261BB">
        <w:rPr>
          <w:rStyle w:val="FootnoteReference"/>
        </w:rPr>
        <w:footnoteReference w:id="27"/>
      </w:r>
      <w:r w:rsidRPr="00E261BB">
        <w:rPr>
          <w:rStyle w:val="FootnoteReference"/>
        </w:rPr>
        <w:t xml:space="preserve"> </w:t>
      </w:r>
      <w:r>
        <w:t xml:space="preserve"> </w:t>
      </w:r>
      <w:r w:rsidRPr="6F358070">
        <w:rPr>
          <w:rFonts w:eastAsiaTheme="minorEastAsia"/>
        </w:rPr>
        <w:t>Written submissions were invited and in-confidence discussions were undertaken to help inform departmental advice to Government.</w:t>
      </w:r>
    </w:p>
    <w:p w14:paraId="0C0B1C03" w14:textId="31049EB4" w:rsidR="00663B34" w:rsidRPr="00663B34" w:rsidRDefault="00EC3398" w:rsidP="00663B34">
      <w:pPr>
        <w:spacing w:before="120" w:after="120" w:line="360" w:lineRule="auto"/>
        <w:rPr>
          <w:rFonts w:eastAsiaTheme="minorEastAsia"/>
        </w:rPr>
      </w:pPr>
      <w:r w:rsidRPr="00663B34">
        <w:rPr>
          <w:rFonts w:eastAsiaTheme="minorEastAsia"/>
        </w:rPr>
        <w:t xml:space="preserve">In Australia’s national </w:t>
      </w:r>
      <w:r w:rsidR="00663B34" w:rsidRPr="00663B34">
        <w:rPr>
          <w:rFonts w:eastAsiaTheme="minorEastAsia"/>
        </w:rPr>
        <w:t xml:space="preserve">workplace relations system, there are also formal consultation requirements. For example, the </w:t>
      </w:r>
      <w:r w:rsidR="00663B34" w:rsidRPr="001659F0">
        <w:rPr>
          <w:rFonts w:eastAsiaTheme="minorEastAsia"/>
          <w:i/>
          <w:iCs/>
        </w:rPr>
        <w:t>National Workplace Relations Consultative Council Act 2002</w:t>
      </w:r>
      <w:r w:rsidR="00772729">
        <w:rPr>
          <w:rFonts w:eastAsiaTheme="minorEastAsia"/>
        </w:rPr>
        <w:t xml:space="preserve"> (Cth)</w:t>
      </w:r>
      <w:r w:rsidR="00663B34" w:rsidRPr="00663B34">
        <w:rPr>
          <w:rFonts w:eastAsiaTheme="minorEastAsia"/>
        </w:rPr>
        <w:t xml:space="preserve"> establishes the National Workplace Relations Consultative Council. The purpose of the </w:t>
      </w:r>
      <w:r w:rsidR="00977ABD" w:rsidRPr="00663B34">
        <w:rPr>
          <w:rFonts w:eastAsiaTheme="minorEastAsia"/>
        </w:rPr>
        <w:t xml:space="preserve">National Workplace Relations Consultative Council </w:t>
      </w:r>
      <w:r w:rsidR="00663B34" w:rsidRPr="00663B34">
        <w:rPr>
          <w:rFonts w:eastAsiaTheme="minorEastAsia"/>
        </w:rPr>
        <w:t>is to provide, in the public interest, a regular and organised means by which Government representatives, and representatives of employers and of employees (and, when the Minister considers it appropriate, representatives of other persons, bodies and organisations) may consult together on workplace relations matters of national concern.</w:t>
      </w:r>
    </w:p>
    <w:p w14:paraId="118C29BD" w14:textId="0BD36D38" w:rsidR="00A93AE5" w:rsidRPr="00E261BB" w:rsidRDefault="00663B34" w:rsidP="00D10FD8">
      <w:pPr>
        <w:spacing w:before="120" w:after="120" w:line="360" w:lineRule="auto"/>
        <w:rPr>
          <w:rFonts w:eastAsiaTheme="minorEastAsia"/>
        </w:rPr>
      </w:pPr>
      <w:r w:rsidRPr="00663B34">
        <w:rPr>
          <w:rFonts w:eastAsiaTheme="minorEastAsia"/>
        </w:rPr>
        <w:lastRenderedPageBreak/>
        <w:t>The Committee on Industrial Legislation (COIL), a subcommittee of the National Workplace Relations Consultative Council, meets when required to provide technical input on draft workplace relations legislation. COIL met on 1</w:t>
      </w:r>
      <w:r w:rsidR="005D22D1">
        <w:rPr>
          <w:rFonts w:eastAsiaTheme="minorEastAsia"/>
        </w:rPr>
        <w:t xml:space="preserve">6 and </w:t>
      </w:r>
      <w:r w:rsidRPr="00663B34">
        <w:rPr>
          <w:rFonts w:eastAsiaTheme="minorEastAsia"/>
        </w:rPr>
        <w:t>17 August 2023 to consider an exposure draft of the legislation to enact the reforms.</w:t>
      </w:r>
      <w:r w:rsidR="00716617">
        <w:rPr>
          <w:rFonts w:eastAsiaTheme="minorEastAsia"/>
        </w:rPr>
        <w:br/>
      </w:r>
    </w:p>
    <w:p w14:paraId="07F00B11" w14:textId="194924A1"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8" w:name="_Toc143252103"/>
      <w:r w:rsidRPr="7612DB8E">
        <w:rPr>
          <w:rFonts w:asciiTheme="minorHAnsi" w:eastAsiaTheme="minorEastAsia" w:hAnsiTheme="minorHAnsi" w:cstheme="minorBidi"/>
        </w:rPr>
        <w:t>6. What is the best option from those you have considered and how will it be implemented?</w:t>
      </w:r>
      <w:bookmarkEnd w:id="18"/>
    </w:p>
    <w:p w14:paraId="1EE54253"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As above, the Senate Select Committee Inquiry thoroughly reviewed the status quo and sought views on alternate options for improving job security for casual employees. </w:t>
      </w:r>
    </w:p>
    <w:p w14:paraId="5C2E3800" w14:textId="77777777" w:rsidR="008A059F" w:rsidRPr="00C10812" w:rsidRDefault="008A059F" w:rsidP="008A059F">
      <w:pPr>
        <w:spacing w:before="120" w:after="120" w:line="360" w:lineRule="auto"/>
        <w:rPr>
          <w:rFonts w:eastAsiaTheme="minorEastAsia"/>
        </w:rPr>
      </w:pPr>
      <w:r w:rsidRPr="7612DB8E">
        <w:rPr>
          <w:rFonts w:eastAsiaTheme="minorEastAsia"/>
        </w:rPr>
        <w:t>The Government’s reform proposal seeks to implement the policy change as per Recommendation 6 of the Fourth Interim Report.</w:t>
      </w:r>
    </w:p>
    <w:p w14:paraId="74274DA2" w14:textId="0ED1D9A0" w:rsidR="008A059F" w:rsidRPr="00C10812" w:rsidRDefault="008A059F" w:rsidP="008A059F">
      <w:pPr>
        <w:spacing w:before="120" w:after="120" w:line="360" w:lineRule="auto"/>
        <w:rPr>
          <w:rFonts w:eastAsiaTheme="minorEastAsia"/>
        </w:rPr>
      </w:pPr>
      <w:r w:rsidRPr="7612DB8E">
        <w:rPr>
          <w:rFonts w:eastAsiaTheme="minorEastAsia"/>
        </w:rPr>
        <w:t xml:space="preserve">The Government’s reform proposal is also consistent with the analysis and findings of the </w:t>
      </w:r>
      <w:r>
        <w:rPr>
          <w:rFonts w:eastAsiaTheme="minorEastAsia"/>
        </w:rPr>
        <w:t>R</w:t>
      </w:r>
      <w:r w:rsidRPr="7612DB8E">
        <w:rPr>
          <w:rFonts w:eastAsiaTheme="minorEastAsia"/>
        </w:rPr>
        <w:t>eview</w:t>
      </w:r>
      <w:r w:rsidR="001A03B6">
        <w:rPr>
          <w:rFonts w:eastAsiaTheme="minorEastAsia"/>
        </w:rPr>
        <w:t xml:space="preserve"> to:</w:t>
      </w:r>
    </w:p>
    <w:p w14:paraId="22DA46CD" w14:textId="77777777" w:rsidR="008A059F" w:rsidRPr="00C10812" w:rsidRDefault="008A059F" w:rsidP="001E2B74">
      <w:pPr>
        <w:pStyle w:val="ListParagraph"/>
        <w:numPr>
          <w:ilvl w:val="0"/>
          <w:numId w:val="9"/>
        </w:numPr>
        <w:tabs>
          <w:tab w:val="left" w:pos="851"/>
        </w:tabs>
        <w:spacing w:before="120" w:after="120"/>
        <w:ind w:left="570"/>
        <w:rPr>
          <w:rFonts w:eastAsiaTheme="minorEastAsia"/>
        </w:rPr>
      </w:pPr>
      <w:r w:rsidRPr="7612DB8E">
        <w:rPr>
          <w:rFonts w:eastAsiaTheme="minorEastAsia"/>
        </w:rPr>
        <w:t>incorporate post-contractual conduct into the definition (</w:t>
      </w:r>
      <w:r>
        <w:rPr>
          <w:rFonts w:eastAsiaTheme="minorEastAsia"/>
        </w:rPr>
        <w:t>fi</w:t>
      </w:r>
      <w:r w:rsidRPr="7612DB8E">
        <w:rPr>
          <w:rFonts w:eastAsiaTheme="minorEastAsia"/>
        </w:rPr>
        <w:t>nding 1)</w:t>
      </w:r>
    </w:p>
    <w:p w14:paraId="2ADADF32" w14:textId="77777777" w:rsidR="008A059F" w:rsidRPr="00C10812" w:rsidRDefault="008A059F" w:rsidP="001E2B74">
      <w:pPr>
        <w:pStyle w:val="ListParagraph"/>
        <w:numPr>
          <w:ilvl w:val="0"/>
          <w:numId w:val="9"/>
        </w:numPr>
        <w:tabs>
          <w:tab w:val="left" w:pos="851"/>
        </w:tabs>
        <w:spacing w:before="120" w:after="120"/>
        <w:ind w:left="570"/>
        <w:rPr>
          <w:rFonts w:eastAsiaTheme="minorEastAsia"/>
        </w:rPr>
      </w:pPr>
      <w:r w:rsidRPr="7612DB8E">
        <w:rPr>
          <w:rFonts w:eastAsiaTheme="minorEastAsia"/>
        </w:rPr>
        <w:t>increase deterrence for sham casual arrangements by legislating specific sham casual provisions and associated penalties for deliberate misclassification (</w:t>
      </w:r>
      <w:r>
        <w:rPr>
          <w:rFonts w:eastAsiaTheme="minorEastAsia"/>
        </w:rPr>
        <w:t>f</w:t>
      </w:r>
      <w:r w:rsidRPr="7612DB8E">
        <w:rPr>
          <w:rFonts w:eastAsiaTheme="minorEastAsia"/>
        </w:rPr>
        <w:t>inding 2)</w:t>
      </w:r>
    </w:p>
    <w:p w14:paraId="29B147E6" w14:textId="77777777" w:rsidR="008A059F" w:rsidRPr="00C10812" w:rsidRDefault="008A059F" w:rsidP="001E2B74">
      <w:pPr>
        <w:pStyle w:val="ListParagraph"/>
        <w:numPr>
          <w:ilvl w:val="0"/>
          <w:numId w:val="9"/>
        </w:numPr>
        <w:tabs>
          <w:tab w:val="left" w:pos="851"/>
        </w:tabs>
        <w:spacing w:before="120" w:after="120"/>
        <w:ind w:left="570"/>
        <w:rPr>
          <w:rFonts w:eastAsiaTheme="minorEastAsia"/>
        </w:rPr>
      </w:pPr>
      <w:r w:rsidRPr="7612DB8E">
        <w:rPr>
          <w:rFonts w:eastAsiaTheme="minorEastAsia"/>
        </w:rPr>
        <w:t>strengthen anti-avoidance measures to ensure employers actively consider conversion (</w:t>
      </w:r>
      <w:r>
        <w:rPr>
          <w:rFonts w:eastAsiaTheme="minorEastAsia"/>
        </w:rPr>
        <w:t>f</w:t>
      </w:r>
      <w:r w:rsidRPr="7612DB8E">
        <w:rPr>
          <w:rFonts w:eastAsiaTheme="minorEastAsia"/>
        </w:rPr>
        <w:t>inding 3)</w:t>
      </w:r>
    </w:p>
    <w:p w14:paraId="14E0438B" w14:textId="529069E2" w:rsidR="008A059F" w:rsidRPr="00C10812" w:rsidRDefault="008A059F" w:rsidP="001E2B74">
      <w:pPr>
        <w:pStyle w:val="ListParagraph"/>
        <w:numPr>
          <w:ilvl w:val="0"/>
          <w:numId w:val="9"/>
        </w:numPr>
        <w:tabs>
          <w:tab w:val="left" w:pos="851"/>
        </w:tabs>
        <w:spacing w:before="120" w:after="120"/>
        <w:ind w:left="570"/>
        <w:rPr>
          <w:rFonts w:eastAsiaTheme="minorEastAsia"/>
        </w:rPr>
      </w:pPr>
      <w:r w:rsidRPr="7612DB8E">
        <w:rPr>
          <w:rFonts w:eastAsiaTheme="minorEastAsia"/>
        </w:rPr>
        <w:t>better facilitate access to dispute resolution for employees through the introduction of arbitration (</w:t>
      </w:r>
      <w:r>
        <w:rPr>
          <w:rFonts w:eastAsiaTheme="minorEastAsia"/>
        </w:rPr>
        <w:t>f</w:t>
      </w:r>
      <w:r w:rsidRPr="7612DB8E">
        <w:rPr>
          <w:rFonts w:eastAsiaTheme="minorEastAsia"/>
        </w:rPr>
        <w:t>inding 5)</w:t>
      </w:r>
      <w:r w:rsidR="00BC4C9B">
        <w:rPr>
          <w:rFonts w:eastAsiaTheme="minorEastAsia"/>
        </w:rPr>
        <w:t>, and</w:t>
      </w:r>
    </w:p>
    <w:p w14:paraId="64267A6B" w14:textId="21081500" w:rsidR="008A059F" w:rsidRPr="00E261BB" w:rsidRDefault="008A059F" w:rsidP="001E2B74">
      <w:pPr>
        <w:pStyle w:val="ListParagraph"/>
        <w:numPr>
          <w:ilvl w:val="0"/>
          <w:numId w:val="9"/>
        </w:numPr>
        <w:tabs>
          <w:tab w:val="left" w:pos="851"/>
        </w:tabs>
        <w:spacing w:before="120" w:after="120"/>
        <w:ind w:left="570"/>
        <w:rPr>
          <w:rFonts w:eastAsiaTheme="minorEastAsia"/>
        </w:rPr>
      </w:pPr>
      <w:r w:rsidRPr="7612DB8E">
        <w:rPr>
          <w:rFonts w:eastAsiaTheme="minorEastAsia"/>
        </w:rPr>
        <w:t xml:space="preserve">increase knowledge and awareness of the framework by enhancing the utility of the Casual Employment Information Statement through providing it at commencement and again at </w:t>
      </w:r>
      <w:r w:rsidR="00ED4975">
        <w:rPr>
          <w:rFonts w:eastAsiaTheme="minorEastAsia"/>
        </w:rPr>
        <w:br/>
      </w:r>
      <w:r w:rsidRPr="7612DB8E">
        <w:rPr>
          <w:rFonts w:eastAsiaTheme="minorEastAsia"/>
        </w:rPr>
        <w:t>12 months employment (</w:t>
      </w:r>
      <w:r>
        <w:rPr>
          <w:rFonts w:eastAsiaTheme="minorEastAsia"/>
        </w:rPr>
        <w:t>f</w:t>
      </w:r>
      <w:r w:rsidRPr="7612DB8E">
        <w:rPr>
          <w:rFonts w:eastAsiaTheme="minorEastAsia"/>
        </w:rPr>
        <w:t xml:space="preserve">inding 7 and </w:t>
      </w:r>
      <w:r>
        <w:rPr>
          <w:rFonts w:eastAsiaTheme="minorEastAsia"/>
        </w:rPr>
        <w:t>f</w:t>
      </w:r>
      <w:r w:rsidRPr="7612DB8E">
        <w:rPr>
          <w:rFonts w:eastAsiaTheme="minorEastAsia"/>
        </w:rPr>
        <w:t>inding 8)</w:t>
      </w:r>
      <w:r>
        <w:rPr>
          <w:rFonts w:eastAsiaTheme="minorEastAsia"/>
        </w:rPr>
        <w:t>.</w:t>
      </w:r>
    </w:p>
    <w:p w14:paraId="33334BCA" w14:textId="77777777" w:rsidR="008A059F" w:rsidRPr="00C10812" w:rsidRDefault="008A059F" w:rsidP="008A059F">
      <w:pPr>
        <w:spacing w:before="120" w:after="120" w:line="360" w:lineRule="auto"/>
        <w:rPr>
          <w:rFonts w:eastAsiaTheme="minorEastAsia"/>
        </w:rPr>
      </w:pPr>
      <w:r w:rsidRPr="7612DB8E">
        <w:rPr>
          <w:rFonts w:eastAsiaTheme="minorEastAsia"/>
        </w:rPr>
        <w:t xml:space="preserve">The reform will be implemented through legislative changes to the </w:t>
      </w:r>
      <w:r w:rsidRPr="00F940F6">
        <w:rPr>
          <w:rFonts w:eastAsiaTheme="minorEastAsia"/>
          <w:i/>
          <w:iCs/>
        </w:rPr>
        <w:t>Fair Work Act 2009</w:t>
      </w:r>
      <w:r>
        <w:rPr>
          <w:rFonts w:eastAsiaTheme="minorEastAsia"/>
        </w:rPr>
        <w:t xml:space="preserve"> (Cth)</w:t>
      </w:r>
      <w:r w:rsidRPr="7612DB8E">
        <w:rPr>
          <w:rFonts w:eastAsiaTheme="minorEastAsia"/>
        </w:rPr>
        <w:t xml:space="preserve">. </w:t>
      </w:r>
    </w:p>
    <w:p w14:paraId="51EF53F5" w14:textId="3E79ADE2" w:rsidR="008A059F" w:rsidRPr="00C10812" w:rsidRDefault="008A059F" w:rsidP="008A059F">
      <w:pPr>
        <w:spacing w:before="120" w:after="120" w:line="360" w:lineRule="auto"/>
        <w:rPr>
          <w:rFonts w:eastAsiaTheme="minorEastAsia"/>
        </w:rPr>
      </w:pPr>
      <w:r w:rsidRPr="7612DB8E">
        <w:rPr>
          <w:rFonts w:eastAsiaTheme="minorEastAsia"/>
        </w:rPr>
        <w:t xml:space="preserve">The </w:t>
      </w:r>
      <w:r>
        <w:rPr>
          <w:rFonts w:eastAsiaTheme="minorEastAsia"/>
        </w:rPr>
        <w:t>R</w:t>
      </w:r>
      <w:r w:rsidRPr="7612DB8E">
        <w:rPr>
          <w:rFonts w:eastAsiaTheme="minorEastAsia"/>
        </w:rPr>
        <w:t>eview identified implementation considerations which the department has</w:t>
      </w:r>
      <w:r>
        <w:rPr>
          <w:rFonts w:eastAsiaTheme="minorEastAsia"/>
        </w:rPr>
        <w:t xml:space="preserve"> considered</w:t>
      </w:r>
      <w:r w:rsidRPr="7612DB8E">
        <w:rPr>
          <w:rFonts w:eastAsiaTheme="minorEastAsia"/>
        </w:rPr>
        <w:t xml:space="preserve">. For example, the </w:t>
      </w:r>
      <w:r>
        <w:rPr>
          <w:rFonts w:eastAsiaTheme="minorEastAsia"/>
        </w:rPr>
        <w:t>R</w:t>
      </w:r>
      <w:r w:rsidRPr="7612DB8E">
        <w:rPr>
          <w:rFonts w:eastAsiaTheme="minorEastAsia"/>
        </w:rPr>
        <w:t>eview indicated that a tension exists between a definition of casual that allows for consideration of subsequent (post-contractual) conduct and providing the requisite level of certainty for both employers and employees.</w:t>
      </w:r>
      <w:r>
        <w:rPr>
          <w:rStyle w:val="FootnoteReference"/>
          <w:rFonts w:eastAsiaTheme="minorEastAsia"/>
        </w:rPr>
        <w:footnoteReference w:id="28"/>
      </w:r>
      <w:r w:rsidRPr="7612DB8E">
        <w:rPr>
          <w:rFonts w:eastAsiaTheme="minorEastAsia"/>
        </w:rPr>
        <w:t xml:space="preserve"> This tension is being addressed in the proposed legislation by providing that </w:t>
      </w:r>
      <w:r w:rsidR="006379BB">
        <w:rPr>
          <w:rFonts w:eastAsiaTheme="minorEastAsia"/>
        </w:rPr>
        <w:t xml:space="preserve">employees engaged as casual employees remain so </w:t>
      </w:r>
      <w:r w:rsidR="001F7553">
        <w:rPr>
          <w:rFonts w:eastAsiaTheme="minorEastAsia"/>
        </w:rPr>
        <w:t xml:space="preserve">until they </w:t>
      </w:r>
      <w:r w:rsidR="00846E2A">
        <w:rPr>
          <w:rFonts w:eastAsiaTheme="minorEastAsia"/>
        </w:rPr>
        <w:t xml:space="preserve">proactively and through their </w:t>
      </w:r>
      <w:r w:rsidR="0022378C">
        <w:rPr>
          <w:rFonts w:eastAsiaTheme="minorEastAsia"/>
        </w:rPr>
        <w:t xml:space="preserve">own </w:t>
      </w:r>
      <w:r w:rsidR="00846E2A">
        <w:rPr>
          <w:rFonts w:eastAsiaTheme="minorEastAsia"/>
        </w:rPr>
        <w:t xml:space="preserve">choice go through a status change or conversion process. </w:t>
      </w:r>
      <w:r w:rsidRPr="7612DB8E">
        <w:rPr>
          <w:rFonts w:eastAsiaTheme="minorEastAsia"/>
        </w:rPr>
        <w:t>This wi</w:t>
      </w:r>
      <w:r>
        <w:rPr>
          <w:rFonts w:eastAsiaTheme="minorEastAsia"/>
        </w:rPr>
        <w:t>ll</w:t>
      </w:r>
      <w:r w:rsidRPr="7612DB8E">
        <w:rPr>
          <w:rFonts w:eastAsiaTheme="minorEastAsia"/>
        </w:rPr>
        <w:t xml:space="preserve"> mean that employers </w:t>
      </w:r>
      <w:r w:rsidRPr="7612DB8E">
        <w:rPr>
          <w:rFonts w:eastAsiaTheme="minorEastAsia"/>
        </w:rPr>
        <w:lastRenderedPageBreak/>
        <w:t>have certainty as</w:t>
      </w:r>
      <w:r w:rsidR="00902C85">
        <w:rPr>
          <w:rFonts w:eastAsiaTheme="minorEastAsia"/>
        </w:rPr>
        <w:t xml:space="preserve"> an employee’s status will be fixed until a change process occurs and</w:t>
      </w:r>
      <w:r w:rsidRPr="7612DB8E">
        <w:rPr>
          <w:rFonts w:eastAsiaTheme="minorEastAsia"/>
        </w:rPr>
        <w:t xml:space="preserve"> they will not be exposed to risk of backpay for permanent entitlements.</w:t>
      </w:r>
    </w:p>
    <w:p w14:paraId="6574B418" w14:textId="5D1084E0" w:rsidR="008A059F" w:rsidRPr="00C10812" w:rsidRDefault="008A059F" w:rsidP="6F358070">
      <w:pPr>
        <w:spacing w:before="120" w:after="120" w:line="360" w:lineRule="auto"/>
        <w:rPr>
          <w:rFonts w:eastAsiaTheme="minorEastAsia"/>
        </w:rPr>
      </w:pPr>
      <w:r w:rsidRPr="6F358070">
        <w:rPr>
          <w:rFonts w:eastAsiaTheme="minorEastAsia"/>
        </w:rPr>
        <w:t xml:space="preserve">There will be changes to the existing Casual Employee Information Statement published by the Fair Work Ombudsman, for employers to give to casual employees to explain the definition of casual employee and procedures for dispute resolution. New provisions are proposed to commence </w:t>
      </w:r>
      <w:r w:rsidR="00BC7190" w:rsidRPr="6F358070">
        <w:rPr>
          <w:rFonts w:eastAsiaTheme="minorEastAsia"/>
        </w:rPr>
        <w:t>o</w:t>
      </w:r>
      <w:r w:rsidR="009C1E25" w:rsidRPr="6F358070">
        <w:rPr>
          <w:rFonts w:eastAsiaTheme="minorEastAsia"/>
        </w:rPr>
        <w:t>n</w:t>
      </w:r>
      <w:r w:rsidR="00BC7190" w:rsidRPr="6F358070">
        <w:rPr>
          <w:rFonts w:eastAsiaTheme="minorEastAsia"/>
        </w:rPr>
        <w:t xml:space="preserve"> 1</w:t>
      </w:r>
      <w:r w:rsidR="00682E29" w:rsidRPr="6F358070">
        <w:rPr>
          <w:rFonts w:eastAsiaTheme="minorEastAsia"/>
        </w:rPr>
        <w:t> </w:t>
      </w:r>
      <w:r w:rsidR="00BC7190" w:rsidRPr="6F358070">
        <w:rPr>
          <w:rFonts w:eastAsiaTheme="minorEastAsia"/>
        </w:rPr>
        <w:t>July 2024</w:t>
      </w:r>
      <w:r w:rsidRPr="6F358070">
        <w:rPr>
          <w:rFonts w:eastAsiaTheme="minorEastAsia"/>
        </w:rPr>
        <w:t xml:space="preserve">, to allow sufficient time for employees and employers to understand their rights and obligations, and to allow the Fair Work Ombudsman to prepare and test for usability </w:t>
      </w:r>
      <w:r w:rsidR="00E3277E">
        <w:rPr>
          <w:rFonts w:eastAsiaTheme="minorEastAsia"/>
        </w:rPr>
        <w:t>of</w:t>
      </w:r>
      <w:r w:rsidRPr="7612DB8E">
        <w:rPr>
          <w:rFonts w:eastAsiaTheme="minorEastAsia"/>
        </w:rPr>
        <w:t xml:space="preserve"> </w:t>
      </w:r>
      <w:r w:rsidRPr="6F358070">
        <w:rPr>
          <w:rFonts w:eastAsiaTheme="minorEastAsia"/>
        </w:rPr>
        <w:t xml:space="preserve">the revised Casual Employment Information Statement. </w:t>
      </w:r>
    </w:p>
    <w:p w14:paraId="029AAEF0" w14:textId="4860E7A9" w:rsidR="008A059F" w:rsidRDefault="008A059F" w:rsidP="008A059F">
      <w:pPr>
        <w:spacing w:before="120" w:after="120" w:line="360" w:lineRule="auto"/>
        <w:contextualSpacing/>
        <w:rPr>
          <w:rFonts w:eastAsiaTheme="minorEastAsia"/>
        </w:rPr>
      </w:pPr>
      <w:r w:rsidRPr="7612DB8E">
        <w:rPr>
          <w:rFonts w:eastAsiaTheme="minorEastAsia"/>
        </w:rPr>
        <w:t xml:space="preserve">The Fair Work Ombudsman will also undertake communications and education activities to increase awareness of the change and provide support to employers and employees, particularly small business. </w:t>
      </w:r>
    </w:p>
    <w:p w14:paraId="52666FB1" w14:textId="77777777" w:rsidR="0032218D" w:rsidRDefault="0032218D" w:rsidP="008A059F">
      <w:pPr>
        <w:spacing w:before="120" w:after="120" w:line="360" w:lineRule="auto"/>
        <w:contextualSpacing/>
        <w:rPr>
          <w:rFonts w:eastAsiaTheme="minorEastAsia"/>
        </w:rPr>
      </w:pPr>
    </w:p>
    <w:p w14:paraId="0335E8AF" w14:textId="77777777" w:rsidR="008A059F" w:rsidRPr="00C10812" w:rsidRDefault="008A059F" w:rsidP="008A059F">
      <w:pPr>
        <w:pStyle w:val="Heading1"/>
        <w:spacing w:before="120" w:after="120" w:line="360" w:lineRule="auto"/>
        <w:rPr>
          <w:rFonts w:asciiTheme="minorHAnsi" w:eastAsiaTheme="minorEastAsia" w:hAnsiTheme="minorHAnsi" w:cstheme="minorBidi"/>
        </w:rPr>
      </w:pPr>
      <w:bookmarkStart w:id="19" w:name="_Toc143252104"/>
      <w:r w:rsidRPr="7612DB8E">
        <w:rPr>
          <w:rFonts w:asciiTheme="minorHAnsi" w:eastAsiaTheme="minorEastAsia" w:hAnsiTheme="minorHAnsi" w:cstheme="minorBidi"/>
        </w:rPr>
        <w:t>7.  How will you evaluate your chosen option against the success metrics?</w:t>
      </w:r>
      <w:bookmarkEnd w:id="19"/>
    </w:p>
    <w:p w14:paraId="462C3D98" w14:textId="77777777" w:rsidR="008A059F" w:rsidRPr="00C10812" w:rsidRDefault="008A059F" w:rsidP="008A059F">
      <w:pPr>
        <w:spacing w:before="120" w:after="120" w:line="360" w:lineRule="auto"/>
        <w:rPr>
          <w:rFonts w:eastAsiaTheme="minorEastAsia"/>
        </w:rPr>
      </w:pPr>
      <w:r w:rsidRPr="7612DB8E">
        <w:rPr>
          <w:rFonts w:eastAsiaTheme="minorEastAsia"/>
        </w:rPr>
        <w:t>As noted in the response to question 2, the objective is not to reach a particular rate of casual conversion. Rather it is to increase fairness and remove barriers to becoming permanent where an employee’s working arrangement is akin to that of a permanent employee and they want to be classified as such.</w:t>
      </w:r>
    </w:p>
    <w:p w14:paraId="2A43CDA7" w14:textId="48A4280B" w:rsidR="008A059F" w:rsidRPr="00C10812" w:rsidRDefault="008A059F" w:rsidP="6F358070">
      <w:pPr>
        <w:spacing w:before="120" w:after="120" w:line="360" w:lineRule="auto"/>
        <w:rPr>
          <w:rFonts w:eastAsiaTheme="minorEastAsia"/>
        </w:rPr>
      </w:pPr>
      <w:r w:rsidRPr="6F358070">
        <w:rPr>
          <w:rFonts w:eastAsiaTheme="minorEastAsia"/>
        </w:rPr>
        <w:t xml:space="preserve">Qualitative and quantitative data considered by the Job Security Inquiry and the Review will continue to be useful metrics for understanding how the new framework is being understood and implemented at the workplace level. For example, section 5.3 of the Review (pp 32-38) covered </w:t>
      </w:r>
      <w:r w:rsidRPr="7612DB8E">
        <w:rPr>
          <w:rFonts w:eastAsiaTheme="minorEastAsia"/>
        </w:rPr>
        <w:t>case</w:t>
      </w:r>
      <w:r w:rsidR="00B65B3A">
        <w:rPr>
          <w:rFonts w:eastAsiaTheme="minorEastAsia"/>
        </w:rPr>
        <w:t xml:space="preserve"> </w:t>
      </w:r>
      <w:r w:rsidRPr="7612DB8E">
        <w:rPr>
          <w:rFonts w:eastAsiaTheme="minorEastAsia"/>
        </w:rPr>
        <w:t>law</w:t>
      </w:r>
      <w:r w:rsidRPr="6F358070">
        <w:rPr>
          <w:rFonts w:eastAsiaTheme="minorEastAsia"/>
        </w:rPr>
        <w:t xml:space="preserve"> since the commencement of the </w:t>
      </w:r>
      <w:r w:rsidRPr="6F358070">
        <w:rPr>
          <w:rFonts w:eastAsiaTheme="minorEastAsia"/>
          <w:i/>
          <w:iCs/>
        </w:rPr>
        <w:t>Fair Work Amendment (Supporting Australia's Jobs and Economic Recovery) Act</w:t>
      </w:r>
      <w:r w:rsidRPr="6F358070">
        <w:rPr>
          <w:rFonts w:eastAsiaTheme="minorEastAsia"/>
        </w:rPr>
        <w:t xml:space="preserve"> </w:t>
      </w:r>
      <w:r w:rsidRPr="6F358070">
        <w:rPr>
          <w:rFonts w:eastAsiaTheme="minorEastAsia"/>
          <w:i/>
          <w:iCs/>
        </w:rPr>
        <w:t>2021</w:t>
      </w:r>
      <w:r w:rsidRPr="6F358070">
        <w:rPr>
          <w:rFonts w:eastAsiaTheme="minorEastAsia"/>
        </w:rPr>
        <w:t xml:space="preserve"> (Cth). While the number of cases to be considered by the courts and the Fair Work Commission is expected to remain relatively low, the precedents from published decisions will create valuable clarity for employers and employees in understanding how the law should be applied. From an evaluation perspective, the outcomes of published decisions will assist in understanding whether the legislative settings are leading to outcomes consistent with the policy intent.  </w:t>
      </w:r>
    </w:p>
    <w:p w14:paraId="06353EE9" w14:textId="295D26EA" w:rsidR="008A059F" w:rsidRPr="00C10812" w:rsidRDefault="008A059F" w:rsidP="008A059F">
      <w:pPr>
        <w:spacing w:before="120" w:after="120" w:line="360" w:lineRule="auto"/>
        <w:rPr>
          <w:rFonts w:eastAsiaTheme="minorEastAsia"/>
        </w:rPr>
      </w:pPr>
      <w:r w:rsidRPr="7612DB8E">
        <w:rPr>
          <w:rFonts w:eastAsiaTheme="minorEastAsia"/>
        </w:rPr>
        <w:t xml:space="preserve">Section 5.3 of the </w:t>
      </w:r>
      <w:r>
        <w:rPr>
          <w:rFonts w:eastAsiaTheme="minorEastAsia"/>
        </w:rPr>
        <w:t>R</w:t>
      </w:r>
      <w:r w:rsidRPr="7612DB8E">
        <w:rPr>
          <w:rFonts w:eastAsiaTheme="minorEastAsia"/>
        </w:rPr>
        <w:t>eview also included administrative data on the outcomes of disputes under the Fair Work Commission existing dispute resolution processes for casual conversion</w:t>
      </w:r>
      <w:r>
        <w:rPr>
          <w:rFonts w:eastAsiaTheme="minorEastAsia"/>
        </w:rPr>
        <w:t>.</w:t>
      </w:r>
      <w:r>
        <w:rPr>
          <w:rStyle w:val="FootnoteReference"/>
          <w:rFonts w:eastAsiaTheme="minorEastAsia"/>
        </w:rPr>
        <w:footnoteReference w:id="29"/>
      </w:r>
      <w:r w:rsidRPr="7612DB8E">
        <w:rPr>
          <w:rFonts w:eastAsiaTheme="minorEastAsia"/>
        </w:rPr>
        <w:t xml:space="preserve"> The Fair Work Commission will continue to collect administrative data on dispute resolution under the proposed </w:t>
      </w:r>
      <w:r w:rsidRPr="7612DB8E">
        <w:rPr>
          <w:rFonts w:eastAsiaTheme="minorEastAsia"/>
        </w:rPr>
        <w:lastRenderedPageBreak/>
        <w:t xml:space="preserve">new framework. This will assist in evaluating </w:t>
      </w:r>
      <w:r w:rsidR="00860B90">
        <w:rPr>
          <w:rFonts w:eastAsiaTheme="minorEastAsia"/>
        </w:rPr>
        <w:t>timeliness and outcomes of</w:t>
      </w:r>
      <w:r w:rsidR="00860B90" w:rsidRPr="7612DB8E">
        <w:rPr>
          <w:rFonts w:eastAsiaTheme="minorEastAsia"/>
        </w:rPr>
        <w:t xml:space="preserve"> </w:t>
      </w:r>
      <w:r w:rsidRPr="7612DB8E">
        <w:rPr>
          <w:rFonts w:eastAsiaTheme="minorEastAsia"/>
        </w:rPr>
        <w:t>disputes about changing from casual to permanent employment</w:t>
      </w:r>
      <w:r w:rsidR="00860B90">
        <w:rPr>
          <w:rFonts w:eastAsiaTheme="minorEastAsia"/>
        </w:rPr>
        <w:t>.</w:t>
      </w:r>
    </w:p>
    <w:p w14:paraId="23C0376B" w14:textId="002399F7" w:rsidR="009374DC" w:rsidRDefault="008A059F" w:rsidP="008A059F">
      <w:pPr>
        <w:spacing w:before="120" w:after="120" w:line="360" w:lineRule="auto"/>
        <w:contextualSpacing/>
        <w:rPr>
          <w:rFonts w:eastAsiaTheme="minorEastAsia"/>
        </w:rPr>
      </w:pPr>
      <w:r w:rsidRPr="7612DB8E">
        <w:rPr>
          <w:rFonts w:eastAsiaTheme="minorEastAsia"/>
        </w:rPr>
        <w:t>In addition to the analysis above</w:t>
      </w:r>
      <w:r>
        <w:rPr>
          <w:rFonts w:eastAsiaTheme="minorEastAsia"/>
        </w:rPr>
        <w:t>,</w:t>
      </w:r>
      <w:r w:rsidRPr="7612DB8E">
        <w:rPr>
          <w:rFonts w:eastAsiaTheme="minorEastAsia"/>
        </w:rPr>
        <w:t xml:space="preserve"> which identifies how data sources that are contained in the Job Security </w:t>
      </w:r>
      <w:r w:rsidR="0028220B">
        <w:rPr>
          <w:rFonts w:eastAsiaTheme="minorEastAsia"/>
        </w:rPr>
        <w:t>I</w:t>
      </w:r>
      <w:r w:rsidRPr="7612DB8E">
        <w:rPr>
          <w:rFonts w:eastAsiaTheme="minorEastAsia"/>
        </w:rPr>
        <w:t xml:space="preserve">nquiry and the </w:t>
      </w:r>
      <w:r>
        <w:rPr>
          <w:rFonts w:eastAsiaTheme="minorEastAsia"/>
        </w:rPr>
        <w:t>Review</w:t>
      </w:r>
      <w:r w:rsidRPr="7612DB8E">
        <w:rPr>
          <w:rFonts w:eastAsiaTheme="minorEastAsia"/>
        </w:rPr>
        <w:t xml:space="preserve"> will be relevant to the evaluation of the chosen option, </w:t>
      </w:r>
      <w:r w:rsidR="00A1058C">
        <w:rPr>
          <w:rFonts w:eastAsiaTheme="minorEastAsia"/>
        </w:rPr>
        <w:t xml:space="preserve">the department </w:t>
      </w:r>
      <w:r w:rsidR="00D45E3B">
        <w:rPr>
          <w:rFonts w:eastAsiaTheme="minorEastAsia"/>
        </w:rPr>
        <w:t>has undertaken</w:t>
      </w:r>
      <w:r w:rsidRPr="7612DB8E">
        <w:rPr>
          <w:rFonts w:eastAsiaTheme="minorEastAsia"/>
        </w:rPr>
        <w:t xml:space="preserve"> additional impact analysis that identifies other data sources and how an evaluation could be undertaken.</w:t>
      </w:r>
    </w:p>
    <w:p w14:paraId="4E6740C1" w14:textId="70D6466F" w:rsidR="009374DC" w:rsidRPr="00F51C18" w:rsidRDefault="0021051F" w:rsidP="009374DC">
      <w:pPr>
        <w:pStyle w:val="Heading3"/>
      </w:pPr>
      <w:bookmarkStart w:id="20" w:name="_Toc143252105"/>
      <w:r>
        <w:t>New data to support monitoring and evaluation</w:t>
      </w:r>
      <w:bookmarkEnd w:id="20"/>
      <w:r>
        <w:t xml:space="preserve"> </w:t>
      </w:r>
    </w:p>
    <w:p w14:paraId="6A2C02BA" w14:textId="3542C516" w:rsidR="009374DC" w:rsidRDefault="009374DC" w:rsidP="009374DC">
      <w:pPr>
        <w:spacing w:before="120" w:after="120" w:line="360" w:lineRule="auto"/>
        <w:rPr>
          <w14:ligatures w14:val="standardContextual"/>
        </w:rPr>
      </w:pPr>
      <w:r w:rsidRPr="00B976F9">
        <w:rPr>
          <w:rFonts w:eastAsiaTheme="minorEastAsia"/>
        </w:rPr>
        <w:t>Currently available A</w:t>
      </w:r>
      <w:r>
        <w:rPr>
          <w:rFonts w:eastAsiaTheme="minorEastAsia"/>
        </w:rPr>
        <w:t xml:space="preserve">ustralian </w:t>
      </w:r>
      <w:r w:rsidRPr="00B976F9">
        <w:rPr>
          <w:rFonts w:eastAsiaTheme="minorEastAsia"/>
        </w:rPr>
        <w:t>B</w:t>
      </w:r>
      <w:r>
        <w:rPr>
          <w:rFonts w:eastAsiaTheme="minorEastAsia"/>
        </w:rPr>
        <w:t xml:space="preserve">ureau of </w:t>
      </w:r>
      <w:r w:rsidRPr="00B976F9">
        <w:rPr>
          <w:rFonts w:eastAsiaTheme="minorEastAsia"/>
        </w:rPr>
        <w:t>S</w:t>
      </w:r>
      <w:r>
        <w:rPr>
          <w:rFonts w:eastAsiaTheme="minorEastAsia"/>
        </w:rPr>
        <w:t>tatistics (ABS)</w:t>
      </w:r>
      <w:r w:rsidRPr="00B976F9">
        <w:rPr>
          <w:rFonts w:eastAsiaTheme="minorEastAsia"/>
        </w:rPr>
        <w:t xml:space="preserve"> data (Characteristics of Employment) </w:t>
      </w:r>
      <w:r>
        <w:rPr>
          <w:rFonts w:eastAsiaTheme="minorEastAsia"/>
        </w:rPr>
        <w:t xml:space="preserve">allows for analysis of a range </w:t>
      </w:r>
      <w:r w:rsidR="00240C3A">
        <w:rPr>
          <w:rFonts w:eastAsiaTheme="minorEastAsia"/>
        </w:rPr>
        <w:t>of</w:t>
      </w:r>
      <w:r>
        <w:rPr>
          <w:rFonts w:eastAsiaTheme="minorEastAsia"/>
        </w:rPr>
        <w:t xml:space="preserve"> characteristics of employees who </w:t>
      </w:r>
      <w:r w:rsidRPr="00B976F9">
        <w:rPr>
          <w:rFonts w:eastAsiaTheme="minorEastAsia"/>
        </w:rPr>
        <w:t>are without paid leave entitlements</w:t>
      </w:r>
      <w:r w:rsidRPr="005F4B77">
        <w:rPr>
          <w:rFonts w:eastAsiaTheme="minorEastAsia"/>
          <w:vertAlign w:val="superscript"/>
        </w:rPr>
        <w:footnoteReference w:id="30"/>
      </w:r>
      <w:r w:rsidRPr="00B976F9">
        <w:rPr>
          <w:rFonts w:eastAsiaTheme="minorEastAsia"/>
        </w:rPr>
        <w:t xml:space="preserve"> and other benefits related to permanent employment. </w:t>
      </w:r>
      <w:r>
        <w:rPr>
          <w:rFonts w:eastAsiaTheme="minorEastAsia"/>
        </w:rPr>
        <w:t>For example, the</w:t>
      </w:r>
      <w:r w:rsidRPr="00531B89">
        <w:rPr>
          <w:rFonts w:eastAsiaTheme="minorEastAsia"/>
        </w:rPr>
        <w:t xml:space="preserve"> </w:t>
      </w:r>
      <w:r w:rsidRPr="00B976F9">
        <w:rPr>
          <w:rFonts w:eastAsiaTheme="minorEastAsia"/>
        </w:rPr>
        <w:t>Characteristics of Employment</w:t>
      </w:r>
      <w:r>
        <w:rPr>
          <w14:ligatures w14:val="standardContextual"/>
        </w:rPr>
        <w:t xml:space="preserve"> survey collects data on </w:t>
      </w:r>
    </w:p>
    <w:p w14:paraId="357198E0" w14:textId="77777777" w:rsidR="009374DC" w:rsidRDefault="009374DC" w:rsidP="001E2B74">
      <w:pPr>
        <w:pStyle w:val="ListParagraph"/>
        <w:numPr>
          <w:ilvl w:val="0"/>
          <w:numId w:val="14"/>
        </w:numPr>
        <w:spacing w:before="120" w:after="120"/>
        <w:rPr>
          <w14:ligatures w14:val="standardContextual"/>
        </w:rPr>
      </w:pPr>
      <w:r>
        <w:rPr>
          <w14:ligatures w14:val="standardContextual"/>
        </w:rPr>
        <w:t xml:space="preserve">whether the employee </w:t>
      </w:r>
      <w:r w:rsidRPr="00613AF5">
        <w:rPr>
          <w14:ligatures w14:val="standardContextual"/>
        </w:rPr>
        <w:t>expect</w:t>
      </w:r>
      <w:r>
        <w:rPr>
          <w14:ligatures w14:val="standardContextual"/>
        </w:rPr>
        <w:t>s</w:t>
      </w:r>
      <w:r w:rsidRPr="00613AF5">
        <w:rPr>
          <w14:ligatures w14:val="standardContextual"/>
        </w:rPr>
        <w:t xml:space="preserve"> to remain in their job for the next 12 months.</w:t>
      </w:r>
    </w:p>
    <w:p w14:paraId="62029427" w14:textId="77777777" w:rsidR="009374DC" w:rsidRDefault="009374DC" w:rsidP="001E2B74">
      <w:pPr>
        <w:pStyle w:val="ListParagraph"/>
        <w:numPr>
          <w:ilvl w:val="0"/>
          <w:numId w:val="14"/>
        </w:numPr>
        <w:spacing w:before="120" w:after="120"/>
      </w:pPr>
      <w:r>
        <w:rPr>
          <w14:ligatures w14:val="standardContextual"/>
        </w:rPr>
        <w:t xml:space="preserve">whether the employee </w:t>
      </w:r>
      <w:r>
        <w:t xml:space="preserve">is guaranteed to work a minimum number of hours each week </w:t>
      </w:r>
    </w:p>
    <w:p w14:paraId="17FA80A6" w14:textId="77777777" w:rsidR="009374DC" w:rsidRPr="009F2D8B" w:rsidRDefault="009374DC" w:rsidP="001E2B74">
      <w:pPr>
        <w:pStyle w:val="ListParagraph"/>
        <w:numPr>
          <w:ilvl w:val="0"/>
          <w:numId w:val="14"/>
        </w:numPr>
        <w:spacing w:before="120" w:after="120"/>
        <w:rPr>
          <w:rFonts w:eastAsiaTheme="minorEastAsia"/>
        </w:rPr>
      </w:pPr>
      <w:r>
        <w:t xml:space="preserve">whether the employee </w:t>
      </w:r>
      <w:r w:rsidRPr="009F2D8B">
        <w:rPr>
          <w:rFonts w:eastAsiaTheme="minorEastAsia"/>
        </w:rPr>
        <w:t xml:space="preserve">earnings/income vary from one pay period to the next </w:t>
      </w:r>
    </w:p>
    <w:p w14:paraId="00262A0A" w14:textId="77777777" w:rsidR="009374DC" w:rsidRPr="00F636C3" w:rsidRDefault="009374DC" w:rsidP="001E2B74">
      <w:pPr>
        <w:pStyle w:val="ListParagraph"/>
        <w:numPr>
          <w:ilvl w:val="0"/>
          <w:numId w:val="14"/>
        </w:numPr>
        <w:spacing w:before="120" w:after="120"/>
        <w:rPr>
          <w:rFonts w:eastAsiaTheme="minorEastAsia"/>
        </w:rPr>
      </w:pPr>
      <w:r>
        <w:t xml:space="preserve">whether the employee </w:t>
      </w:r>
      <w:r w:rsidRPr="00F636C3">
        <w:rPr>
          <w:rFonts w:eastAsiaTheme="minorEastAsia"/>
        </w:rPr>
        <w:t>usually worked the same number of hours each week.</w:t>
      </w:r>
    </w:p>
    <w:p w14:paraId="53276AEB" w14:textId="5D8FBF99" w:rsidR="009374DC" w:rsidRPr="00B976F9" w:rsidRDefault="009374DC" w:rsidP="009374DC">
      <w:pPr>
        <w:spacing w:before="120" w:after="120" w:line="360" w:lineRule="auto"/>
        <w:rPr>
          <w:rFonts w:eastAsiaTheme="minorEastAsia"/>
        </w:rPr>
      </w:pPr>
      <w:r w:rsidRPr="00B976F9">
        <w:rPr>
          <w:rFonts w:eastAsiaTheme="minorEastAsia"/>
        </w:rPr>
        <w:t xml:space="preserve">Monitoring changes in this </w:t>
      </w:r>
      <w:r>
        <w:rPr>
          <w:rFonts w:eastAsiaTheme="minorEastAsia"/>
        </w:rPr>
        <w:t>data</w:t>
      </w:r>
      <w:r w:rsidRPr="00B976F9">
        <w:rPr>
          <w:rFonts w:eastAsiaTheme="minorEastAsia"/>
        </w:rPr>
        <w:t xml:space="preserve">, including changes within particular groups that can be identified in the data (for example, by gender or industry) will support the evaluation process. </w:t>
      </w:r>
    </w:p>
    <w:p w14:paraId="17C0F91E" w14:textId="0D9F45D8" w:rsidR="009374DC" w:rsidRPr="00B976F9" w:rsidRDefault="009374DC" w:rsidP="009374DC">
      <w:pPr>
        <w:spacing w:before="120" w:after="120" w:line="360" w:lineRule="auto"/>
        <w:rPr>
          <w:rFonts w:eastAsiaTheme="minorEastAsia"/>
        </w:rPr>
      </w:pPr>
      <w:r w:rsidRPr="00B976F9">
        <w:rPr>
          <w:rFonts w:eastAsiaTheme="minorEastAsia"/>
        </w:rPr>
        <w:t xml:space="preserve">Additionally, new ABS data on casuals will begin to become available through the Characteristics of Employment survey from December 2025. This follows a decision in the Mid-Year Economic and Fiscal Outlook 2020-21 to provide the ABS $2.8 million over four years from 2020-21 to expand and improve labour market surveys to cover key gaps in industrial relations statistics – including the experiences of casual employees. </w:t>
      </w:r>
      <w:r>
        <w:rPr>
          <w:rFonts w:eastAsiaTheme="minorEastAsia"/>
        </w:rPr>
        <w:t xml:space="preserve">This will be a critical data source which will allow the department to analyse the trends in not only the use of casual employment, but also the experiences of casual employees over time as the new casual employment framework becomes more established. </w:t>
      </w:r>
      <w:r w:rsidRPr="00B976F9">
        <w:rPr>
          <w:rFonts w:eastAsiaTheme="minorEastAsia"/>
        </w:rPr>
        <w:t>The ABS has advised that the following high-level topics will be tested in a new the casual experience module in 2023/24, prior to being incorporated into the Characteristics of Employment survey:</w:t>
      </w:r>
    </w:p>
    <w:p w14:paraId="6121B0BD" w14:textId="77777777" w:rsidR="009374DC" w:rsidRPr="00D3307D" w:rsidRDefault="009374DC" w:rsidP="009374DC">
      <w:pPr>
        <w:pStyle w:val="ListParagraph"/>
        <w:spacing w:before="120" w:after="120"/>
        <w:ind w:left="636" w:hanging="426"/>
        <w:rPr>
          <w:rFonts w:eastAsiaTheme="minorEastAsia"/>
        </w:rPr>
      </w:pPr>
      <w:r>
        <w:t>•</w:t>
      </w:r>
      <w:r>
        <w:tab/>
      </w:r>
      <w:r w:rsidRPr="00D3307D">
        <w:rPr>
          <w:rFonts w:eastAsiaTheme="minorEastAsia"/>
        </w:rPr>
        <w:t xml:space="preserve">Broader population group – all respondents over 15 years of age with Labour Force Status of ‘employed’ </w:t>
      </w:r>
    </w:p>
    <w:p w14:paraId="64862F61" w14:textId="77777777" w:rsidR="009374DC" w:rsidRPr="00D3307D" w:rsidRDefault="009374DC" w:rsidP="009374DC">
      <w:pPr>
        <w:pStyle w:val="ListParagraph"/>
        <w:spacing w:before="120" w:after="120"/>
        <w:ind w:left="636" w:hanging="426"/>
        <w:rPr>
          <w:rFonts w:eastAsiaTheme="minorEastAsia"/>
        </w:rPr>
      </w:pPr>
      <w:r w:rsidRPr="00D3307D">
        <w:rPr>
          <w:rFonts w:eastAsiaTheme="minorEastAsia"/>
        </w:rPr>
        <w:t>•</w:t>
      </w:r>
      <w:r w:rsidRPr="00D3307D">
        <w:rPr>
          <w:rFonts w:eastAsiaTheme="minorEastAsia"/>
        </w:rPr>
        <w:tab/>
        <w:t>Leave - whether have paid sick and holiday leave &amp; whether self-identify as casual</w:t>
      </w:r>
    </w:p>
    <w:p w14:paraId="0AD48B96" w14:textId="77777777" w:rsidR="009374DC" w:rsidRPr="00D3307D" w:rsidRDefault="009374DC" w:rsidP="009374DC">
      <w:pPr>
        <w:pStyle w:val="ListParagraph"/>
        <w:spacing w:before="120" w:after="120"/>
        <w:ind w:left="636" w:hanging="426"/>
        <w:rPr>
          <w:rFonts w:eastAsiaTheme="minorEastAsia"/>
        </w:rPr>
      </w:pPr>
      <w:r w:rsidRPr="00D3307D">
        <w:rPr>
          <w:rFonts w:eastAsiaTheme="minorEastAsia"/>
        </w:rPr>
        <w:t>•</w:t>
      </w:r>
      <w:r w:rsidRPr="00D3307D">
        <w:rPr>
          <w:rFonts w:eastAsiaTheme="minorEastAsia"/>
        </w:rPr>
        <w:tab/>
        <w:t>Length of time working for employer (years)</w:t>
      </w:r>
    </w:p>
    <w:p w14:paraId="16FBA9D3" w14:textId="77777777" w:rsidR="009374DC" w:rsidRPr="00D3307D" w:rsidRDefault="009374DC" w:rsidP="009374DC">
      <w:pPr>
        <w:pStyle w:val="ListParagraph"/>
        <w:spacing w:before="120" w:after="120"/>
        <w:ind w:left="636" w:hanging="426"/>
        <w:rPr>
          <w:rFonts w:eastAsiaTheme="minorEastAsia"/>
        </w:rPr>
      </w:pPr>
      <w:r w:rsidRPr="00D3307D">
        <w:rPr>
          <w:rFonts w:eastAsiaTheme="minorEastAsia"/>
        </w:rPr>
        <w:t>•</w:t>
      </w:r>
      <w:r w:rsidRPr="00D3307D">
        <w:rPr>
          <w:rFonts w:eastAsiaTheme="minorEastAsia"/>
        </w:rPr>
        <w:tab/>
        <w:t>Employment expectation - whether expect to be working for employer in 12 months-time</w:t>
      </w:r>
    </w:p>
    <w:p w14:paraId="4FAEBD32" w14:textId="77777777" w:rsidR="009374DC" w:rsidRPr="00D3307D" w:rsidRDefault="009374DC" w:rsidP="009374DC">
      <w:pPr>
        <w:pStyle w:val="ListParagraph"/>
        <w:spacing w:before="120" w:after="120"/>
        <w:ind w:left="636" w:hanging="426"/>
        <w:rPr>
          <w:rFonts w:eastAsiaTheme="minorEastAsia"/>
        </w:rPr>
      </w:pPr>
      <w:r w:rsidRPr="00D3307D">
        <w:rPr>
          <w:rFonts w:eastAsiaTheme="minorEastAsia"/>
        </w:rPr>
        <w:t>•</w:t>
      </w:r>
      <w:r w:rsidRPr="00D3307D">
        <w:rPr>
          <w:rFonts w:eastAsiaTheme="minorEastAsia"/>
        </w:rPr>
        <w:tab/>
        <w:t>Hours:</w:t>
      </w:r>
    </w:p>
    <w:p w14:paraId="7D9D142E" w14:textId="77777777" w:rsidR="009374DC" w:rsidRPr="00B976F9" w:rsidRDefault="009374DC" w:rsidP="001E2B74">
      <w:pPr>
        <w:pStyle w:val="ListParagraph"/>
        <w:numPr>
          <w:ilvl w:val="0"/>
          <w:numId w:val="12"/>
        </w:numPr>
        <w:spacing w:before="120" w:after="120"/>
        <w:rPr>
          <w:rFonts w:eastAsiaTheme="minorEastAsia"/>
        </w:rPr>
      </w:pPr>
      <w:r w:rsidRPr="00B976F9">
        <w:rPr>
          <w:rFonts w:eastAsiaTheme="minorEastAsia"/>
        </w:rPr>
        <w:lastRenderedPageBreak/>
        <w:t>whether have a regular pattern of hours each week</w:t>
      </w:r>
    </w:p>
    <w:p w14:paraId="0E1C33EE" w14:textId="77777777" w:rsidR="009374DC" w:rsidRPr="00B976F9" w:rsidRDefault="009374DC" w:rsidP="001E2B74">
      <w:pPr>
        <w:pStyle w:val="ListParagraph"/>
        <w:numPr>
          <w:ilvl w:val="0"/>
          <w:numId w:val="12"/>
        </w:numPr>
        <w:spacing w:before="120" w:after="120"/>
        <w:rPr>
          <w:rFonts w:eastAsiaTheme="minorEastAsia"/>
        </w:rPr>
      </w:pPr>
      <w:r w:rsidRPr="00B976F9">
        <w:rPr>
          <w:rFonts w:eastAsiaTheme="minorEastAsia"/>
        </w:rPr>
        <w:t xml:space="preserve">preference for more hours </w:t>
      </w:r>
    </w:p>
    <w:p w14:paraId="6B00F7D1" w14:textId="77777777" w:rsidR="009374DC" w:rsidRPr="00B976F9" w:rsidRDefault="009374DC" w:rsidP="001E2B74">
      <w:pPr>
        <w:pStyle w:val="ListParagraph"/>
        <w:numPr>
          <w:ilvl w:val="0"/>
          <w:numId w:val="12"/>
        </w:numPr>
        <w:spacing w:before="120" w:after="120"/>
        <w:rPr>
          <w:rFonts w:eastAsiaTheme="minorEastAsia"/>
        </w:rPr>
      </w:pPr>
      <w:r w:rsidRPr="00B976F9">
        <w:rPr>
          <w:rFonts w:eastAsiaTheme="minorEastAsia"/>
        </w:rPr>
        <w:t>say over hours/shift pattern</w:t>
      </w:r>
    </w:p>
    <w:p w14:paraId="1F2FFC46" w14:textId="77777777" w:rsidR="009374DC" w:rsidRPr="00B976F9" w:rsidRDefault="009374DC" w:rsidP="001E2B74">
      <w:pPr>
        <w:pStyle w:val="ListParagraph"/>
        <w:numPr>
          <w:ilvl w:val="0"/>
          <w:numId w:val="12"/>
        </w:numPr>
        <w:spacing w:before="120" w:after="120"/>
        <w:rPr>
          <w:rFonts w:eastAsiaTheme="minorEastAsia"/>
        </w:rPr>
      </w:pPr>
      <w:r w:rsidRPr="00B976F9">
        <w:rPr>
          <w:rFonts w:eastAsiaTheme="minorEastAsia"/>
        </w:rPr>
        <w:t xml:space="preserve">ability to reject work without consequence </w:t>
      </w:r>
    </w:p>
    <w:p w14:paraId="0EEDB9E9" w14:textId="77777777" w:rsidR="009374DC" w:rsidRPr="00D3307D" w:rsidRDefault="009374DC" w:rsidP="009374DC">
      <w:pPr>
        <w:pStyle w:val="ListParagraph"/>
        <w:spacing w:before="120" w:after="120"/>
        <w:ind w:left="636" w:hanging="426"/>
        <w:rPr>
          <w:rFonts w:eastAsiaTheme="minorEastAsia"/>
        </w:rPr>
      </w:pPr>
      <w:r>
        <w:t>•</w:t>
      </w:r>
      <w:r>
        <w:tab/>
      </w:r>
      <w:r w:rsidRPr="00D3307D">
        <w:rPr>
          <w:rFonts w:eastAsiaTheme="minorEastAsia"/>
        </w:rPr>
        <w:t>Preference for casual work and aspects like or don’t like about casual work</w:t>
      </w:r>
    </w:p>
    <w:p w14:paraId="5101E720" w14:textId="619486A5" w:rsidR="009374DC" w:rsidRPr="00D3307D" w:rsidRDefault="009374DC" w:rsidP="6F358070">
      <w:pPr>
        <w:pStyle w:val="ListParagraph"/>
        <w:spacing w:before="120" w:after="120"/>
        <w:ind w:left="636" w:hanging="426"/>
        <w:rPr>
          <w:rFonts w:eastAsiaTheme="minorEastAsia"/>
        </w:rPr>
      </w:pPr>
      <w:r w:rsidRPr="6F358070">
        <w:rPr>
          <w:rFonts w:eastAsiaTheme="minorEastAsia"/>
        </w:rPr>
        <w:t>•</w:t>
      </w:r>
      <w:r>
        <w:tab/>
      </w:r>
      <w:r w:rsidRPr="6F358070">
        <w:rPr>
          <w:rFonts w:eastAsiaTheme="minorEastAsia"/>
        </w:rPr>
        <w:t>Conversion</w:t>
      </w:r>
      <w:r w:rsidR="006D431A">
        <w:rPr>
          <w:rFonts w:eastAsiaTheme="minorEastAsia"/>
        </w:rPr>
        <w:t>:</w:t>
      </w:r>
      <w:r w:rsidRPr="6F358070">
        <w:rPr>
          <w:rFonts w:eastAsiaTheme="minorEastAsia"/>
        </w:rPr>
        <w:t xml:space="preserve"> </w:t>
      </w:r>
    </w:p>
    <w:p w14:paraId="510C9B67" w14:textId="77777777" w:rsidR="009374DC" w:rsidRPr="00B976F9" w:rsidRDefault="009374DC" w:rsidP="001E2B74">
      <w:pPr>
        <w:pStyle w:val="ListParagraph"/>
        <w:numPr>
          <w:ilvl w:val="0"/>
          <w:numId w:val="12"/>
        </w:numPr>
        <w:spacing w:before="120" w:after="120"/>
        <w:rPr>
          <w:rFonts w:eastAsiaTheme="minorEastAsia"/>
        </w:rPr>
      </w:pPr>
      <w:bookmarkStart w:id="21" w:name="_Toc138085799"/>
      <w:r w:rsidRPr="00B976F9">
        <w:rPr>
          <w:rFonts w:eastAsiaTheme="minorEastAsia"/>
        </w:rPr>
        <w:t xml:space="preserve">whether conversation has occurred </w:t>
      </w:r>
    </w:p>
    <w:p w14:paraId="6BB2A405" w14:textId="77777777" w:rsidR="009374DC" w:rsidRPr="00B976F9" w:rsidRDefault="009374DC" w:rsidP="001E2B74">
      <w:pPr>
        <w:pStyle w:val="ListParagraph"/>
        <w:numPr>
          <w:ilvl w:val="0"/>
          <w:numId w:val="12"/>
        </w:numPr>
        <w:spacing w:before="120" w:after="120"/>
        <w:rPr>
          <w:rFonts w:eastAsiaTheme="minorEastAsia"/>
        </w:rPr>
      </w:pPr>
      <w:r w:rsidRPr="00B976F9">
        <w:rPr>
          <w:rFonts w:eastAsiaTheme="minorEastAsia"/>
        </w:rPr>
        <w:t>whether would convert to permanent employment in next 12 months if available</w:t>
      </w:r>
    </w:p>
    <w:p w14:paraId="3F4B3958" w14:textId="77777777" w:rsidR="009374DC" w:rsidRPr="00E733BE" w:rsidRDefault="009374DC" w:rsidP="001E2B74">
      <w:pPr>
        <w:pStyle w:val="ListParagraph"/>
        <w:numPr>
          <w:ilvl w:val="0"/>
          <w:numId w:val="12"/>
        </w:numPr>
        <w:spacing w:before="120" w:after="120"/>
        <w:rPr>
          <w:rFonts w:eastAsiaTheme="minorEastAsia"/>
        </w:rPr>
      </w:pPr>
      <w:r w:rsidRPr="00B976F9">
        <w:rPr>
          <w:rFonts w:eastAsiaTheme="minorEastAsia"/>
        </w:rPr>
        <w:t xml:space="preserve">whether previously were casual and converted back and reason. </w:t>
      </w:r>
    </w:p>
    <w:p w14:paraId="408FA967" w14:textId="735E069C" w:rsidR="009374DC" w:rsidRDefault="009374DC" w:rsidP="009374DC">
      <w:pPr>
        <w:spacing w:before="120" w:after="120" w:line="360" w:lineRule="auto"/>
        <w:rPr>
          <w:rFonts w:eastAsiaTheme="minorEastAsia"/>
        </w:rPr>
      </w:pPr>
      <w:r>
        <w:rPr>
          <w:rFonts w:eastAsiaTheme="minorEastAsia"/>
        </w:rPr>
        <w:t xml:space="preserve">The provision of new ABS data will be supported by activities within the department to gain insights on the practical implementation of the new legislative settings. </w:t>
      </w:r>
      <w:r w:rsidR="00C16AAE">
        <w:rPr>
          <w:rFonts w:eastAsiaTheme="minorEastAsia"/>
        </w:rPr>
        <w:t>For example,</w:t>
      </w:r>
      <w:r w:rsidR="008961A9">
        <w:rPr>
          <w:rFonts w:eastAsiaTheme="minorEastAsia"/>
        </w:rPr>
        <w:t xml:space="preserve"> </w:t>
      </w:r>
      <w:r w:rsidDel="00767F68">
        <w:rPr>
          <w:rFonts w:eastAsiaTheme="minorEastAsia"/>
        </w:rPr>
        <w:t>t</w:t>
      </w:r>
      <w:r w:rsidRPr="005F4B77" w:rsidDel="00767F68">
        <w:rPr>
          <w:rFonts w:eastAsiaTheme="minorEastAsia"/>
        </w:rPr>
        <w:t xml:space="preserve">he </w:t>
      </w:r>
      <w:r w:rsidDel="00767F68">
        <w:rPr>
          <w:rFonts w:eastAsiaTheme="minorEastAsia"/>
        </w:rPr>
        <w:t>d</w:t>
      </w:r>
      <w:r w:rsidRPr="005F4B77" w:rsidDel="00767F68">
        <w:rPr>
          <w:rFonts w:eastAsiaTheme="minorEastAsia"/>
        </w:rPr>
        <w:t xml:space="preserve">epartment will </w:t>
      </w:r>
      <w:r w:rsidRPr="005F4B77">
        <w:rPr>
          <w:rFonts w:eastAsiaTheme="minorEastAsia"/>
        </w:rPr>
        <w:t>mon</w:t>
      </w:r>
      <w:r>
        <w:rPr>
          <w:rFonts w:eastAsiaTheme="minorEastAsia"/>
        </w:rPr>
        <w:t xml:space="preserve">itor data and outcomes from relevant </w:t>
      </w:r>
      <w:r w:rsidRPr="005F4B77">
        <w:rPr>
          <w:rFonts w:eastAsiaTheme="minorEastAsia"/>
        </w:rPr>
        <w:t>Fair Work Commission matters</w:t>
      </w:r>
      <w:r>
        <w:rPr>
          <w:rFonts w:eastAsiaTheme="minorEastAsia"/>
        </w:rPr>
        <w:t xml:space="preserve">. </w:t>
      </w:r>
      <w:r w:rsidR="00C529F8">
        <w:rPr>
          <w:rFonts w:eastAsiaTheme="minorEastAsia"/>
        </w:rPr>
        <w:t xml:space="preserve">The department </w:t>
      </w:r>
      <w:r w:rsidR="00645B58">
        <w:rPr>
          <w:rFonts w:eastAsiaTheme="minorEastAsia"/>
        </w:rPr>
        <w:t xml:space="preserve">will ensure that relevant functions are appropriately resourced </w:t>
      </w:r>
      <w:r w:rsidR="0049073E">
        <w:rPr>
          <w:rFonts w:eastAsiaTheme="minorEastAsia"/>
        </w:rPr>
        <w:t xml:space="preserve">to undertake necessary monitoring and evaluation work and </w:t>
      </w:r>
      <w:r>
        <w:rPr>
          <w:rFonts w:eastAsiaTheme="minorEastAsia"/>
        </w:rPr>
        <w:t xml:space="preserve">inform </w:t>
      </w:r>
      <w:r w:rsidRPr="005F4B77">
        <w:rPr>
          <w:rFonts w:eastAsiaTheme="minorEastAsia"/>
        </w:rPr>
        <w:t xml:space="preserve">legal and policy advice to Government to ensure </w:t>
      </w:r>
      <w:r>
        <w:rPr>
          <w:rFonts w:eastAsiaTheme="minorEastAsia"/>
        </w:rPr>
        <w:t>the new provisions</w:t>
      </w:r>
      <w:r w:rsidRPr="005F4B77">
        <w:rPr>
          <w:rFonts w:eastAsiaTheme="minorEastAsia"/>
        </w:rPr>
        <w:t xml:space="preserve"> </w:t>
      </w:r>
      <w:r>
        <w:rPr>
          <w:rFonts w:eastAsiaTheme="minorEastAsia"/>
        </w:rPr>
        <w:t>are</w:t>
      </w:r>
      <w:r w:rsidRPr="005F4B77">
        <w:rPr>
          <w:rFonts w:eastAsiaTheme="minorEastAsia"/>
        </w:rPr>
        <w:t xml:space="preserve"> working as intended.</w:t>
      </w:r>
    </w:p>
    <w:p w14:paraId="6262BA9E" w14:textId="79307EC3" w:rsidR="009374DC" w:rsidRPr="005F4B77" w:rsidRDefault="009374DC" w:rsidP="009374DC">
      <w:pPr>
        <w:spacing w:before="120" w:after="120" w:line="360" w:lineRule="auto"/>
        <w:rPr>
          <w:rFonts w:eastAsiaTheme="minorEastAsia"/>
        </w:rPr>
      </w:pPr>
      <w:r>
        <w:rPr>
          <w:rFonts w:eastAsiaTheme="minorEastAsia"/>
        </w:rPr>
        <w:t xml:space="preserve">The department will also continue to engage in stakeholder consultation with employer groups and unions to gauge the impact of the reforms. In particular, the regular meetings of the National Workplace Relations Consultative Council allow the </w:t>
      </w:r>
      <w:r>
        <w:t xml:space="preserve">Commonwealth Government, unions, and employers to consult on </w:t>
      </w:r>
      <w:r w:rsidRPr="004306AA">
        <w:t>workplace relations and work health and safety matters of national concern.</w:t>
      </w:r>
      <w:r>
        <w:t xml:space="preserve"> Meetings are chaired by the Commonwealth Minister for Employment and Workplace Relations. </w:t>
      </w:r>
    </w:p>
    <w:bookmarkEnd w:id="21"/>
    <w:p w14:paraId="29D5839A" w14:textId="77777777" w:rsidR="00507F13" w:rsidRDefault="00507F13">
      <w:pPr>
        <w:rPr>
          <w:rFonts w:eastAsiaTheme="minorEastAsia"/>
        </w:rPr>
      </w:pPr>
      <w:r>
        <w:rPr>
          <w:rFonts w:eastAsiaTheme="minorEastAsia"/>
        </w:rPr>
        <w:br w:type="page"/>
      </w:r>
    </w:p>
    <w:p w14:paraId="431000B4" w14:textId="77777777" w:rsidR="00E82A3E" w:rsidRDefault="00E82A3E" w:rsidP="006D52B4">
      <w:pPr>
        <w:pStyle w:val="Heading1"/>
        <w:keepNext w:val="0"/>
        <w:keepLines w:val="0"/>
        <w:spacing w:before="120" w:after="120" w:line="360" w:lineRule="auto"/>
        <w:contextualSpacing/>
      </w:pPr>
    </w:p>
    <w:p w14:paraId="19923989" w14:textId="10A27285" w:rsidR="006D52B4" w:rsidRDefault="006D52B4" w:rsidP="006D52B4">
      <w:pPr>
        <w:pStyle w:val="Heading1"/>
        <w:keepNext w:val="0"/>
        <w:keepLines w:val="0"/>
        <w:spacing w:before="120" w:after="120" w:line="360" w:lineRule="auto"/>
        <w:contextualSpacing/>
      </w:pPr>
      <w:bookmarkStart w:id="22" w:name="_Toc143252106"/>
      <w:r>
        <w:t>Standing up for casual workers - regulatory</w:t>
      </w:r>
      <w:r w:rsidRPr="003E0C13">
        <w:t xml:space="preserve"> costings</w:t>
      </w:r>
      <w:bookmarkEnd w:id="22"/>
    </w:p>
    <w:p w14:paraId="6D01B6BA" w14:textId="77777777" w:rsidR="00774780" w:rsidRPr="002504FC" w:rsidRDefault="00774780" w:rsidP="00774780">
      <w:pPr>
        <w:spacing w:before="120" w:after="120" w:line="360" w:lineRule="auto"/>
      </w:pPr>
      <w:r w:rsidRPr="004165DB">
        <w:rPr>
          <w:rFonts w:eastAsiaTheme="minorEastAsia"/>
        </w:rPr>
        <w:t>The annual regulatory burden to business, community organisations or individuals as quantified by the Department of Employment and Workplace Relations (the department) using the Australian Government’s Regulatory Burden Measurement framework is provided below.</w:t>
      </w:r>
      <w:r w:rsidRPr="004165DB">
        <w:rPr>
          <w:rFonts w:eastAsiaTheme="minorEastAsia"/>
          <w:vertAlign w:val="superscript"/>
        </w:rPr>
        <w:footnoteReference w:id="31"/>
      </w:r>
    </w:p>
    <w:p w14:paraId="75CBFA9F" w14:textId="77777777" w:rsidR="00774780" w:rsidRPr="009413E4" w:rsidRDefault="00774780" w:rsidP="00774780">
      <w:pPr>
        <w:spacing w:before="120" w:after="120" w:line="360" w:lineRule="auto"/>
        <w:rPr>
          <w:rFonts w:eastAsiaTheme="minorEastAsia"/>
        </w:rPr>
      </w:pPr>
      <w:r w:rsidRPr="009413E4">
        <w:rPr>
          <w:b/>
        </w:rPr>
        <w:t>Table 1: Summary table of annual costings</w:t>
      </w:r>
    </w:p>
    <w:tbl>
      <w:tblPr>
        <w:tblStyle w:val="TableGrid"/>
        <w:tblW w:w="9015" w:type="dxa"/>
        <w:jc w:val="center"/>
        <w:tblLayout w:type="fixed"/>
        <w:tblLook w:val="0000" w:firstRow="0" w:lastRow="0" w:firstColumn="0" w:lastColumn="0" w:noHBand="0" w:noVBand="0"/>
      </w:tblPr>
      <w:tblGrid>
        <w:gridCol w:w="1803"/>
        <w:gridCol w:w="1803"/>
        <w:gridCol w:w="1803"/>
        <w:gridCol w:w="1803"/>
        <w:gridCol w:w="1803"/>
      </w:tblGrid>
      <w:tr w:rsidR="00774780" w:rsidRPr="00774780" w14:paraId="286D445F" w14:textId="77777777">
        <w:trPr>
          <w:trHeight w:val="300"/>
          <w:jc w:val="center"/>
        </w:trPr>
        <w:tc>
          <w:tcPr>
            <w:tcW w:w="1803" w:type="dxa"/>
            <w:tcMar>
              <w:left w:w="105" w:type="dxa"/>
              <w:right w:w="105" w:type="dxa"/>
            </w:tcMar>
          </w:tcPr>
          <w:p w14:paraId="2D5AAC1C" w14:textId="13D9CE20" w:rsidR="00774780" w:rsidRPr="009413E4" w:rsidRDefault="00774780">
            <w:pPr>
              <w:pStyle w:val="TableText"/>
              <w:rPr>
                <w:rFonts w:asciiTheme="minorHAnsi" w:hAnsiTheme="minorHAnsi" w:cstheme="minorBidi"/>
                <w:b/>
              </w:rPr>
            </w:pPr>
            <w:r w:rsidRPr="009413E4">
              <w:rPr>
                <w:rStyle w:val="normaltextrun"/>
                <w:rFonts w:asciiTheme="minorHAnsi" w:hAnsiTheme="minorHAnsi" w:cstheme="minorBidi"/>
                <w:b/>
              </w:rPr>
              <w:t xml:space="preserve">Change in costs </w:t>
            </w:r>
          </w:p>
        </w:tc>
        <w:tc>
          <w:tcPr>
            <w:tcW w:w="1803" w:type="dxa"/>
            <w:tcMar>
              <w:left w:w="105" w:type="dxa"/>
              <w:right w:w="105" w:type="dxa"/>
            </w:tcMar>
          </w:tcPr>
          <w:p w14:paraId="0A897BE0" w14:textId="77777777" w:rsidR="00774780" w:rsidRPr="009413E4" w:rsidRDefault="00774780">
            <w:pPr>
              <w:pStyle w:val="TableText"/>
              <w:jc w:val="right"/>
              <w:rPr>
                <w:rFonts w:asciiTheme="minorHAnsi" w:hAnsiTheme="minorHAnsi" w:cstheme="minorBidi"/>
                <w:b/>
              </w:rPr>
            </w:pPr>
            <w:r w:rsidRPr="009413E4">
              <w:rPr>
                <w:rStyle w:val="normaltextrun"/>
                <w:rFonts w:asciiTheme="minorHAnsi" w:hAnsiTheme="minorHAnsi" w:cstheme="minorBidi"/>
                <w:b/>
              </w:rPr>
              <w:t>Business</w:t>
            </w:r>
            <w:r w:rsidRPr="009413E4">
              <w:rPr>
                <w:rStyle w:val="eop"/>
                <w:rFonts w:asciiTheme="minorHAnsi" w:hAnsiTheme="minorHAnsi" w:cstheme="minorBidi"/>
                <w:b/>
                <w:lang w:val="en-GB"/>
              </w:rPr>
              <w:t> </w:t>
            </w:r>
          </w:p>
        </w:tc>
        <w:tc>
          <w:tcPr>
            <w:tcW w:w="1803" w:type="dxa"/>
            <w:tcMar>
              <w:left w:w="105" w:type="dxa"/>
              <w:right w:w="105" w:type="dxa"/>
            </w:tcMar>
          </w:tcPr>
          <w:p w14:paraId="576201B6" w14:textId="77777777" w:rsidR="00774780" w:rsidRPr="009413E4" w:rsidRDefault="00774780">
            <w:pPr>
              <w:spacing w:before="120" w:after="120" w:line="259" w:lineRule="auto"/>
              <w:jc w:val="right"/>
              <w:rPr>
                <w:b/>
                <w:sz w:val="20"/>
                <w:szCs w:val="20"/>
              </w:rPr>
            </w:pPr>
            <w:r w:rsidRPr="009413E4">
              <w:rPr>
                <w:rStyle w:val="normaltextrun"/>
                <w:b/>
                <w:sz w:val="20"/>
                <w:szCs w:val="20"/>
                <w:lang w:val="en-US"/>
              </w:rPr>
              <w:t>Community organisations</w:t>
            </w:r>
            <w:r w:rsidRPr="009413E4">
              <w:rPr>
                <w:rStyle w:val="eop"/>
                <w:b/>
                <w:sz w:val="20"/>
                <w:szCs w:val="20"/>
              </w:rPr>
              <w:t> </w:t>
            </w:r>
          </w:p>
        </w:tc>
        <w:tc>
          <w:tcPr>
            <w:tcW w:w="1803" w:type="dxa"/>
            <w:tcMar>
              <w:left w:w="105" w:type="dxa"/>
              <w:right w:w="105" w:type="dxa"/>
            </w:tcMar>
          </w:tcPr>
          <w:p w14:paraId="65E88BF1" w14:textId="77777777" w:rsidR="00774780" w:rsidRPr="009413E4" w:rsidRDefault="00774780">
            <w:pPr>
              <w:spacing w:before="120" w:after="120" w:line="259" w:lineRule="auto"/>
              <w:jc w:val="right"/>
              <w:rPr>
                <w:b/>
                <w:sz w:val="20"/>
                <w:szCs w:val="20"/>
              </w:rPr>
            </w:pPr>
            <w:r w:rsidRPr="009413E4">
              <w:rPr>
                <w:rStyle w:val="normaltextrun"/>
                <w:b/>
                <w:sz w:val="20"/>
                <w:szCs w:val="20"/>
                <w:lang w:val="en-US"/>
              </w:rPr>
              <w:t>Individuals</w:t>
            </w:r>
            <w:r w:rsidRPr="009413E4">
              <w:rPr>
                <w:rStyle w:val="eop"/>
                <w:b/>
                <w:sz w:val="20"/>
                <w:szCs w:val="20"/>
              </w:rPr>
              <w:t> </w:t>
            </w:r>
          </w:p>
        </w:tc>
        <w:tc>
          <w:tcPr>
            <w:tcW w:w="1803" w:type="dxa"/>
            <w:tcMar>
              <w:left w:w="105" w:type="dxa"/>
              <w:right w:w="105" w:type="dxa"/>
            </w:tcMar>
          </w:tcPr>
          <w:p w14:paraId="254D7AD0" w14:textId="77777777" w:rsidR="00774780" w:rsidRPr="009413E4" w:rsidRDefault="00774780">
            <w:pPr>
              <w:spacing w:before="120" w:after="120" w:line="259" w:lineRule="auto"/>
              <w:jc w:val="right"/>
              <w:rPr>
                <w:b/>
                <w:sz w:val="20"/>
                <w:szCs w:val="20"/>
              </w:rPr>
            </w:pPr>
            <w:r w:rsidRPr="009413E4">
              <w:rPr>
                <w:rStyle w:val="normaltextrun"/>
                <w:b/>
                <w:sz w:val="20"/>
                <w:szCs w:val="20"/>
                <w:lang w:val="en-US"/>
              </w:rPr>
              <w:t>Total change in costs</w:t>
            </w:r>
            <w:r w:rsidRPr="009413E4">
              <w:rPr>
                <w:rStyle w:val="eop"/>
                <w:b/>
                <w:sz w:val="20"/>
                <w:szCs w:val="20"/>
              </w:rPr>
              <w:t> </w:t>
            </w:r>
          </w:p>
        </w:tc>
      </w:tr>
      <w:tr w:rsidR="00774780" w:rsidRPr="00774780" w14:paraId="11E19682" w14:textId="77777777">
        <w:trPr>
          <w:trHeight w:val="300"/>
          <w:jc w:val="center"/>
        </w:trPr>
        <w:tc>
          <w:tcPr>
            <w:tcW w:w="1803" w:type="dxa"/>
            <w:tcMar>
              <w:left w:w="105" w:type="dxa"/>
              <w:right w:w="105" w:type="dxa"/>
            </w:tcMar>
          </w:tcPr>
          <w:p w14:paraId="02E4BCF1" w14:textId="77777777" w:rsidR="00774780" w:rsidRPr="009413E4" w:rsidRDefault="00774780">
            <w:pPr>
              <w:spacing w:before="120" w:after="120" w:line="259" w:lineRule="auto"/>
              <w:rPr>
                <w:b/>
                <w:sz w:val="20"/>
                <w:szCs w:val="20"/>
              </w:rPr>
            </w:pPr>
            <w:r w:rsidRPr="009413E4">
              <w:rPr>
                <w:sz w:val="20"/>
                <w:szCs w:val="20"/>
              </w:rPr>
              <w:t>Total</w:t>
            </w:r>
            <w:r w:rsidRPr="009413E4">
              <w:rPr>
                <w:rFonts w:eastAsia="Arial"/>
                <w:sz w:val="20"/>
                <w:szCs w:val="20"/>
              </w:rPr>
              <w:t>, by sector</w:t>
            </w:r>
          </w:p>
        </w:tc>
        <w:tc>
          <w:tcPr>
            <w:tcW w:w="1803" w:type="dxa"/>
            <w:tcMar>
              <w:left w:w="105" w:type="dxa"/>
              <w:right w:w="105" w:type="dxa"/>
            </w:tcMar>
          </w:tcPr>
          <w:p w14:paraId="1C312785" w14:textId="77777777" w:rsidR="00774780" w:rsidRPr="009413E4" w:rsidRDefault="00774780">
            <w:pPr>
              <w:spacing w:before="120" w:after="120" w:line="259" w:lineRule="auto"/>
              <w:jc w:val="right"/>
              <w:rPr>
                <w:sz w:val="20"/>
                <w:szCs w:val="20"/>
              </w:rPr>
            </w:pPr>
            <w:r w:rsidRPr="009413E4">
              <w:rPr>
                <w:sz w:val="20"/>
                <w:szCs w:val="20"/>
                <w:lang w:val="en-US"/>
              </w:rPr>
              <w:t>$1,103,410</w:t>
            </w:r>
          </w:p>
        </w:tc>
        <w:tc>
          <w:tcPr>
            <w:tcW w:w="1803" w:type="dxa"/>
            <w:tcMar>
              <w:left w:w="105" w:type="dxa"/>
              <w:right w:w="105" w:type="dxa"/>
            </w:tcMar>
          </w:tcPr>
          <w:p w14:paraId="24C5D51D" w14:textId="77777777" w:rsidR="00774780" w:rsidRPr="009413E4" w:rsidRDefault="00774780">
            <w:pPr>
              <w:spacing w:before="120" w:after="120" w:line="259" w:lineRule="auto"/>
              <w:jc w:val="right"/>
              <w:rPr>
                <w:sz w:val="20"/>
                <w:szCs w:val="20"/>
              </w:rPr>
            </w:pPr>
            <w:r w:rsidRPr="009413E4">
              <w:rPr>
                <w:rFonts w:eastAsia="Arial"/>
                <w:sz w:val="20"/>
                <w:szCs w:val="20"/>
                <w:lang w:val="en-US"/>
              </w:rPr>
              <w:t>Nil</w:t>
            </w:r>
          </w:p>
        </w:tc>
        <w:tc>
          <w:tcPr>
            <w:tcW w:w="1803" w:type="dxa"/>
            <w:tcMar>
              <w:left w:w="105" w:type="dxa"/>
              <w:right w:w="105" w:type="dxa"/>
            </w:tcMar>
          </w:tcPr>
          <w:p w14:paraId="548D8211" w14:textId="77777777" w:rsidR="00774780" w:rsidRPr="009413E4" w:rsidRDefault="00774780">
            <w:pPr>
              <w:spacing w:before="120" w:after="120" w:line="259" w:lineRule="auto"/>
              <w:jc w:val="right"/>
              <w:rPr>
                <w:sz w:val="20"/>
                <w:szCs w:val="20"/>
              </w:rPr>
            </w:pPr>
            <w:r w:rsidRPr="009413E4">
              <w:rPr>
                <w:sz w:val="20"/>
                <w:szCs w:val="20"/>
                <w:lang w:val="en-US"/>
              </w:rPr>
              <w:t>$289,961</w:t>
            </w:r>
          </w:p>
        </w:tc>
        <w:tc>
          <w:tcPr>
            <w:tcW w:w="1803" w:type="dxa"/>
            <w:tcMar>
              <w:left w:w="105" w:type="dxa"/>
              <w:right w:w="105" w:type="dxa"/>
            </w:tcMar>
          </w:tcPr>
          <w:p w14:paraId="53C3996C" w14:textId="77777777" w:rsidR="00774780" w:rsidRPr="009413E4" w:rsidRDefault="00774780">
            <w:pPr>
              <w:spacing w:before="120" w:after="120" w:line="259" w:lineRule="auto"/>
              <w:jc w:val="right"/>
              <w:rPr>
                <w:sz w:val="20"/>
                <w:szCs w:val="20"/>
              </w:rPr>
            </w:pPr>
            <w:r w:rsidRPr="009413E4">
              <w:rPr>
                <w:sz w:val="20"/>
                <w:szCs w:val="20"/>
                <w:lang w:val="en-US"/>
              </w:rPr>
              <w:t>$1,393,372</w:t>
            </w:r>
          </w:p>
        </w:tc>
      </w:tr>
    </w:tbl>
    <w:p w14:paraId="1657BDA4" w14:textId="535266ED" w:rsidR="00774780" w:rsidRPr="00677AD8" w:rsidRDefault="00774780" w:rsidP="00774780">
      <w:pPr>
        <w:spacing w:after="0" w:line="240" w:lineRule="auto"/>
        <w:rPr>
          <w:rFonts w:ascii="Calibri" w:eastAsia="Calibri" w:hAnsi="Calibri" w:cs="Calibri"/>
          <w:color w:val="000000" w:themeColor="text1"/>
        </w:rPr>
      </w:pPr>
    </w:p>
    <w:p w14:paraId="3F12E9D6" w14:textId="77777777" w:rsidR="00774780" w:rsidRPr="00677AD8" w:rsidRDefault="00774780" w:rsidP="00774780">
      <w:pPr>
        <w:spacing w:before="120" w:after="120" w:line="360" w:lineRule="auto"/>
        <w:rPr>
          <w:rFonts w:eastAsiaTheme="minorEastAsia"/>
        </w:rPr>
      </w:pPr>
      <w:r w:rsidRPr="00677AD8">
        <w:rPr>
          <w:b/>
        </w:rPr>
        <w:t>Table 2: Summary table of annual costings, by business type</w:t>
      </w:r>
    </w:p>
    <w:tbl>
      <w:tblPr>
        <w:tblStyle w:val="TableGrid"/>
        <w:tblW w:w="7212" w:type="dxa"/>
        <w:tblLayout w:type="fixed"/>
        <w:tblLook w:val="0000" w:firstRow="0" w:lastRow="0" w:firstColumn="0" w:lastColumn="0" w:noHBand="0" w:noVBand="0"/>
      </w:tblPr>
      <w:tblGrid>
        <w:gridCol w:w="1803"/>
        <w:gridCol w:w="1803"/>
        <w:gridCol w:w="1803"/>
        <w:gridCol w:w="1803"/>
      </w:tblGrid>
      <w:tr w:rsidR="00774780" w:rsidRPr="00774780" w14:paraId="688DA899" w14:textId="77777777">
        <w:trPr>
          <w:trHeight w:val="300"/>
        </w:trPr>
        <w:tc>
          <w:tcPr>
            <w:tcW w:w="1803" w:type="dxa"/>
            <w:tcMar>
              <w:left w:w="105" w:type="dxa"/>
              <w:right w:w="105" w:type="dxa"/>
            </w:tcMar>
          </w:tcPr>
          <w:p w14:paraId="53A1857E" w14:textId="25C55B8C" w:rsidR="00774780" w:rsidRPr="00677AD8" w:rsidRDefault="00774780">
            <w:pPr>
              <w:pStyle w:val="TableText"/>
              <w:rPr>
                <w:rFonts w:asciiTheme="minorHAnsi" w:hAnsiTheme="minorHAnsi" w:cstheme="minorHAnsi"/>
                <w:b/>
              </w:rPr>
            </w:pPr>
            <w:r w:rsidRPr="00677AD8">
              <w:rPr>
                <w:rStyle w:val="normaltextrun"/>
                <w:rFonts w:asciiTheme="minorHAnsi" w:hAnsiTheme="minorHAnsi" w:cstheme="minorHAnsi"/>
                <w:b/>
              </w:rPr>
              <w:t xml:space="preserve">Change in costs </w:t>
            </w:r>
          </w:p>
        </w:tc>
        <w:tc>
          <w:tcPr>
            <w:tcW w:w="1803" w:type="dxa"/>
            <w:tcMar>
              <w:left w:w="105" w:type="dxa"/>
              <w:right w:w="105" w:type="dxa"/>
            </w:tcMar>
          </w:tcPr>
          <w:p w14:paraId="768B08F0" w14:textId="77777777" w:rsidR="00774780" w:rsidRPr="00677AD8" w:rsidRDefault="00774780">
            <w:pPr>
              <w:pStyle w:val="TableText"/>
              <w:jc w:val="right"/>
              <w:rPr>
                <w:rFonts w:asciiTheme="minorHAnsi" w:hAnsiTheme="minorHAnsi" w:cstheme="minorHAnsi"/>
                <w:b/>
              </w:rPr>
            </w:pPr>
            <w:r w:rsidRPr="00677AD8">
              <w:rPr>
                <w:rStyle w:val="normaltextrun"/>
                <w:rFonts w:asciiTheme="minorHAnsi" w:hAnsiTheme="minorHAnsi" w:cstheme="minorHAnsi"/>
                <w:b/>
              </w:rPr>
              <w:t>Non-small business</w:t>
            </w:r>
            <w:r w:rsidRPr="00677AD8">
              <w:rPr>
                <w:rStyle w:val="eop"/>
                <w:rFonts w:asciiTheme="minorHAnsi" w:hAnsiTheme="minorHAnsi" w:cstheme="minorHAnsi"/>
                <w:b/>
                <w:lang w:val="en-GB"/>
              </w:rPr>
              <w:t> </w:t>
            </w:r>
          </w:p>
        </w:tc>
        <w:tc>
          <w:tcPr>
            <w:tcW w:w="1803" w:type="dxa"/>
            <w:tcMar>
              <w:left w:w="105" w:type="dxa"/>
              <w:right w:w="105" w:type="dxa"/>
            </w:tcMar>
          </w:tcPr>
          <w:p w14:paraId="4EE2DB0B" w14:textId="77777777" w:rsidR="00774780" w:rsidRPr="00677AD8" w:rsidRDefault="00774780">
            <w:pPr>
              <w:spacing w:before="120" w:after="120" w:line="259" w:lineRule="auto"/>
              <w:jc w:val="right"/>
              <w:rPr>
                <w:rFonts w:cstheme="minorHAnsi"/>
                <w:b/>
                <w:sz w:val="20"/>
                <w:szCs w:val="20"/>
              </w:rPr>
            </w:pPr>
            <w:r w:rsidRPr="00677AD8">
              <w:rPr>
                <w:rStyle w:val="eop"/>
                <w:rFonts w:cstheme="minorHAnsi"/>
                <w:b/>
                <w:sz w:val="20"/>
                <w:szCs w:val="20"/>
                <w:lang w:val="en-GB"/>
              </w:rPr>
              <w:t>Small business </w:t>
            </w:r>
          </w:p>
        </w:tc>
        <w:tc>
          <w:tcPr>
            <w:tcW w:w="1803" w:type="dxa"/>
            <w:tcMar>
              <w:left w:w="105" w:type="dxa"/>
              <w:right w:w="105" w:type="dxa"/>
            </w:tcMar>
          </w:tcPr>
          <w:p w14:paraId="6FFA1893" w14:textId="77777777" w:rsidR="00774780" w:rsidRPr="00677AD8" w:rsidRDefault="00774780">
            <w:pPr>
              <w:spacing w:before="120" w:after="120" w:line="259" w:lineRule="auto"/>
              <w:jc w:val="right"/>
              <w:rPr>
                <w:rFonts w:cstheme="minorHAnsi"/>
                <w:b/>
                <w:sz w:val="20"/>
                <w:szCs w:val="20"/>
              </w:rPr>
            </w:pPr>
            <w:r w:rsidRPr="00677AD8">
              <w:rPr>
                <w:rStyle w:val="normaltextrun"/>
                <w:rFonts w:cstheme="minorHAnsi"/>
                <w:b/>
                <w:sz w:val="20"/>
                <w:szCs w:val="20"/>
                <w:lang w:val="en-US"/>
              </w:rPr>
              <w:t>Total cost to business</w:t>
            </w:r>
          </w:p>
        </w:tc>
      </w:tr>
      <w:tr w:rsidR="00774780" w:rsidRPr="00506659" w14:paraId="0503EF3A" w14:textId="77777777">
        <w:trPr>
          <w:trHeight w:val="300"/>
        </w:trPr>
        <w:tc>
          <w:tcPr>
            <w:tcW w:w="1803" w:type="dxa"/>
            <w:tcMar>
              <w:left w:w="105" w:type="dxa"/>
              <w:right w:w="105" w:type="dxa"/>
            </w:tcMar>
          </w:tcPr>
          <w:p w14:paraId="1D89F6B0" w14:textId="77777777" w:rsidR="00774780" w:rsidRPr="00677AD8" w:rsidRDefault="00774780">
            <w:pPr>
              <w:spacing w:before="120" w:after="120" w:line="259" w:lineRule="auto"/>
              <w:rPr>
                <w:rFonts w:cstheme="minorHAnsi"/>
                <w:b/>
                <w:sz w:val="20"/>
                <w:szCs w:val="20"/>
              </w:rPr>
            </w:pPr>
            <w:r w:rsidRPr="00677AD8">
              <w:rPr>
                <w:rFonts w:cstheme="minorHAnsi"/>
                <w:sz w:val="20"/>
                <w:szCs w:val="20"/>
              </w:rPr>
              <w:t>Total</w:t>
            </w:r>
            <w:r w:rsidRPr="00677AD8">
              <w:rPr>
                <w:rFonts w:eastAsia="Arial" w:cstheme="minorHAnsi"/>
                <w:sz w:val="20"/>
                <w:szCs w:val="20"/>
              </w:rPr>
              <w:t>, by sector</w:t>
            </w:r>
          </w:p>
        </w:tc>
        <w:tc>
          <w:tcPr>
            <w:tcW w:w="1803" w:type="dxa"/>
            <w:tcMar>
              <w:left w:w="105" w:type="dxa"/>
              <w:right w:w="105" w:type="dxa"/>
            </w:tcMar>
          </w:tcPr>
          <w:p w14:paraId="50C97024" w14:textId="5C789DA8" w:rsidR="00774780" w:rsidRPr="00677AD8" w:rsidRDefault="00774780">
            <w:pPr>
              <w:spacing w:before="120" w:after="120" w:line="259" w:lineRule="auto"/>
              <w:jc w:val="right"/>
              <w:rPr>
                <w:rFonts w:cstheme="minorHAnsi"/>
                <w:sz w:val="20"/>
                <w:szCs w:val="20"/>
              </w:rPr>
            </w:pPr>
            <w:r w:rsidRPr="00677AD8">
              <w:rPr>
                <w:rFonts w:cstheme="minorHAnsi"/>
                <w:sz w:val="20"/>
                <w:szCs w:val="20"/>
                <w:lang w:val="en-US"/>
              </w:rPr>
              <w:t>$</w:t>
            </w:r>
            <w:r w:rsidR="00243C15" w:rsidRPr="00677AD8">
              <w:rPr>
                <w:rFonts w:cstheme="minorHAnsi"/>
                <w:sz w:val="20"/>
                <w:szCs w:val="20"/>
                <w:lang w:val="en-US"/>
              </w:rPr>
              <w:t>729,571</w:t>
            </w:r>
          </w:p>
        </w:tc>
        <w:tc>
          <w:tcPr>
            <w:tcW w:w="1803" w:type="dxa"/>
            <w:tcMar>
              <w:left w:w="105" w:type="dxa"/>
              <w:right w:w="105" w:type="dxa"/>
            </w:tcMar>
          </w:tcPr>
          <w:p w14:paraId="5ADFE360" w14:textId="5CD75415" w:rsidR="00774780" w:rsidRPr="00677AD8" w:rsidRDefault="00774780">
            <w:pPr>
              <w:spacing w:before="120" w:after="120" w:line="259" w:lineRule="auto"/>
              <w:jc w:val="right"/>
              <w:rPr>
                <w:rFonts w:cstheme="minorHAnsi"/>
                <w:sz w:val="20"/>
                <w:szCs w:val="20"/>
              </w:rPr>
            </w:pPr>
            <w:r w:rsidRPr="00677AD8">
              <w:rPr>
                <w:rFonts w:cstheme="minorHAnsi"/>
                <w:sz w:val="20"/>
                <w:szCs w:val="20"/>
                <w:lang w:val="en-US"/>
              </w:rPr>
              <w:t>$</w:t>
            </w:r>
            <w:r w:rsidR="00677AD8" w:rsidRPr="00677AD8">
              <w:rPr>
                <w:rFonts w:cstheme="minorHAnsi"/>
                <w:sz w:val="20"/>
                <w:szCs w:val="20"/>
                <w:lang w:val="en-US"/>
              </w:rPr>
              <w:t>373,840</w:t>
            </w:r>
          </w:p>
        </w:tc>
        <w:tc>
          <w:tcPr>
            <w:tcW w:w="1803" w:type="dxa"/>
            <w:tcMar>
              <w:left w:w="105" w:type="dxa"/>
              <w:right w:w="105" w:type="dxa"/>
            </w:tcMar>
          </w:tcPr>
          <w:p w14:paraId="5A22D2F5" w14:textId="77777777" w:rsidR="00774780" w:rsidRPr="00506659" w:rsidRDefault="00774780">
            <w:pPr>
              <w:spacing w:before="120" w:after="120" w:line="259" w:lineRule="auto"/>
              <w:jc w:val="right"/>
              <w:rPr>
                <w:rFonts w:cstheme="minorHAnsi"/>
                <w:sz w:val="20"/>
                <w:szCs w:val="20"/>
              </w:rPr>
            </w:pPr>
            <w:r w:rsidRPr="00677AD8">
              <w:rPr>
                <w:rFonts w:cstheme="minorHAnsi"/>
                <w:sz w:val="20"/>
                <w:szCs w:val="20"/>
                <w:lang w:val="en-US"/>
              </w:rPr>
              <w:t>$1,103,410</w:t>
            </w:r>
          </w:p>
        </w:tc>
      </w:tr>
    </w:tbl>
    <w:p w14:paraId="02FD3EF8" w14:textId="77777777" w:rsidR="00774780" w:rsidRDefault="00774780" w:rsidP="00774780">
      <w:pPr>
        <w:spacing w:after="0" w:line="240" w:lineRule="auto"/>
        <w:rPr>
          <w:rFonts w:ascii="Calibri" w:eastAsia="Calibri" w:hAnsi="Calibri" w:cs="Calibri"/>
          <w:color w:val="000000" w:themeColor="text1"/>
        </w:rPr>
      </w:pPr>
    </w:p>
    <w:p w14:paraId="48655ABA" w14:textId="77777777" w:rsidR="00774780" w:rsidRPr="0002493D" w:rsidRDefault="00774780" w:rsidP="00774780">
      <w:pPr>
        <w:pStyle w:val="Heading2"/>
      </w:pPr>
      <w:bookmarkStart w:id="23" w:name="_Toc139028442"/>
      <w:bookmarkStart w:id="24" w:name="_Toc143252107"/>
      <w:r w:rsidRPr="0002493D">
        <w:t>Employee notification under casual definition</w:t>
      </w:r>
      <w:bookmarkEnd w:id="23"/>
      <w:bookmarkEnd w:id="24"/>
    </w:p>
    <w:p w14:paraId="735678F9" w14:textId="2D423867" w:rsidR="00774780" w:rsidRDefault="00774780" w:rsidP="00774780">
      <w:pPr>
        <w:spacing w:before="120" w:after="120" w:line="360" w:lineRule="auto"/>
        <w:rPr>
          <w:rFonts w:eastAsiaTheme="minorEastAsia"/>
        </w:rPr>
      </w:pPr>
      <w:r w:rsidRPr="004165DB">
        <w:rPr>
          <w:rFonts w:eastAsiaTheme="minorEastAsia"/>
        </w:rPr>
        <w:t>The aim of the policy is to provide a stronger pathway to permanent work for casual employees. This will particularly support people engaged as casual employees where it becomes apparent to them that the real nature of their employment is not casual</w:t>
      </w:r>
      <w:r>
        <w:rPr>
          <w:rFonts w:eastAsiaTheme="minorEastAsia"/>
        </w:rPr>
        <w:t>.</w:t>
      </w:r>
      <w:r w:rsidRPr="004165DB">
        <w:rPr>
          <w:rFonts w:eastAsiaTheme="minorEastAsia"/>
        </w:rPr>
        <w:t xml:space="preserve">  </w:t>
      </w:r>
    </w:p>
    <w:p w14:paraId="576BCC69" w14:textId="77777777" w:rsidR="00774780" w:rsidRPr="00B82D02" w:rsidRDefault="00774780" w:rsidP="00774780">
      <w:pPr>
        <w:spacing w:before="120" w:after="120" w:line="360" w:lineRule="auto"/>
        <w:rPr>
          <w:rFonts w:eastAsiaTheme="minorEastAsia"/>
          <w:b/>
          <w:bCs/>
          <w:u w:val="single"/>
        </w:rPr>
      </w:pPr>
      <w:r w:rsidRPr="00B82D02">
        <w:rPr>
          <w:rFonts w:eastAsiaTheme="minorEastAsia"/>
          <w:b/>
          <w:bCs/>
          <w:u w:val="single"/>
        </w:rPr>
        <w:t>Overview of definition</w:t>
      </w:r>
    </w:p>
    <w:p w14:paraId="5D8DBDF8" w14:textId="28759AA6" w:rsidR="00774780" w:rsidRPr="00B82D02" w:rsidRDefault="00774780" w:rsidP="00774780">
      <w:pPr>
        <w:spacing w:before="120" w:after="120" w:line="360" w:lineRule="auto"/>
        <w:rPr>
          <w:rFonts w:eastAsiaTheme="minorEastAsia"/>
        </w:rPr>
      </w:pPr>
      <w:r w:rsidRPr="00B82D02">
        <w:rPr>
          <w:rFonts w:eastAsiaTheme="minorEastAsia"/>
        </w:rPr>
        <w:t xml:space="preserve">The new proposed definition of casual employee includes an objective test (the general rule) which is </w:t>
      </w:r>
      <w:r w:rsidRPr="00B82D02">
        <w:rPr>
          <w:rFonts w:eastAsiaTheme="minorEastAsia"/>
          <w:b/>
          <w:bCs/>
        </w:rPr>
        <w:t xml:space="preserve">based on whether the </w:t>
      </w:r>
      <w:r w:rsidR="00606A67">
        <w:rPr>
          <w:rFonts w:eastAsiaTheme="minorEastAsia"/>
          <w:b/>
          <w:bCs/>
        </w:rPr>
        <w:t xml:space="preserve">employment relationship is characterised by an absence of </w:t>
      </w:r>
      <w:r w:rsidRPr="00B82D02">
        <w:rPr>
          <w:rFonts w:eastAsiaTheme="minorEastAsia"/>
          <w:b/>
          <w:bCs/>
        </w:rPr>
        <w:t>a firm advance commitment to continuing and indefinite work.</w:t>
      </w:r>
      <w:r w:rsidRPr="00B82D02">
        <w:rPr>
          <w:rFonts w:eastAsiaTheme="minorEastAsia"/>
        </w:rPr>
        <w:t xml:space="preserve"> </w:t>
      </w:r>
      <w:r w:rsidR="00D83E50">
        <w:rPr>
          <w:rFonts w:eastAsiaTheme="minorEastAsia"/>
        </w:rPr>
        <w:t>This</w:t>
      </w:r>
      <w:r w:rsidRPr="00B82D02">
        <w:rPr>
          <w:rFonts w:eastAsiaTheme="minorEastAsia"/>
        </w:rPr>
        <w:t xml:space="preserve"> absence </w:t>
      </w:r>
      <w:r w:rsidR="00D83E50">
        <w:rPr>
          <w:rFonts w:eastAsiaTheme="minorEastAsia"/>
        </w:rPr>
        <w:t>is necessary</w:t>
      </w:r>
      <w:r w:rsidR="0036139C">
        <w:rPr>
          <w:rFonts w:eastAsiaTheme="minorEastAsia"/>
        </w:rPr>
        <w:t xml:space="preserve"> to be a</w:t>
      </w:r>
      <w:r w:rsidRPr="00B82D02">
        <w:rPr>
          <w:rFonts w:eastAsiaTheme="minorEastAsia"/>
        </w:rPr>
        <w:t xml:space="preserve"> casual employee. </w:t>
      </w:r>
    </w:p>
    <w:p w14:paraId="21BDCD87" w14:textId="7C536852" w:rsidR="00774780" w:rsidRPr="00B82D02" w:rsidRDefault="00774780" w:rsidP="00774780">
      <w:pPr>
        <w:spacing w:before="120" w:after="120" w:line="360" w:lineRule="auto"/>
        <w:rPr>
          <w:rFonts w:eastAsiaTheme="minorEastAsia"/>
        </w:rPr>
      </w:pPr>
      <w:r w:rsidRPr="00B82D02">
        <w:rPr>
          <w:rFonts w:eastAsiaTheme="minorEastAsia"/>
        </w:rPr>
        <w:t>To assess whether a person is a casual employee within the meaning of the definition against this general rule, there are characteristics and considerations that include but are not limited to:</w:t>
      </w:r>
    </w:p>
    <w:p w14:paraId="0982863E" w14:textId="77777777" w:rsidR="00774780" w:rsidRPr="00B82D02" w:rsidRDefault="00774780" w:rsidP="001E2B74">
      <w:pPr>
        <w:numPr>
          <w:ilvl w:val="0"/>
          <w:numId w:val="16"/>
        </w:numPr>
        <w:spacing w:after="0" w:line="360" w:lineRule="auto"/>
        <w:ind w:left="714" w:hanging="357"/>
        <w:rPr>
          <w:rFonts w:eastAsiaTheme="minorEastAsia"/>
        </w:rPr>
      </w:pPr>
      <w:r w:rsidRPr="00B82D02">
        <w:rPr>
          <w:rFonts w:eastAsiaTheme="minorEastAsia"/>
        </w:rPr>
        <w:t>the ability and actual practice of offering and accepting work</w:t>
      </w:r>
    </w:p>
    <w:p w14:paraId="6F64B5F6" w14:textId="77777777" w:rsidR="00774780" w:rsidRPr="00B82D02" w:rsidRDefault="00774780" w:rsidP="001E2B74">
      <w:pPr>
        <w:numPr>
          <w:ilvl w:val="0"/>
          <w:numId w:val="16"/>
        </w:numPr>
        <w:spacing w:after="0" w:line="360" w:lineRule="auto"/>
        <w:ind w:left="714" w:hanging="357"/>
        <w:rPr>
          <w:rFonts w:eastAsiaTheme="minorEastAsia"/>
        </w:rPr>
      </w:pPr>
      <w:r w:rsidRPr="00B82D02">
        <w:rPr>
          <w:rFonts w:eastAsiaTheme="minorEastAsia"/>
        </w:rPr>
        <w:t>whether continuing work is reasonably likely</w:t>
      </w:r>
    </w:p>
    <w:p w14:paraId="05A59C7A" w14:textId="77777777" w:rsidR="00774780" w:rsidRPr="00B82D02" w:rsidRDefault="00774780" w:rsidP="001E2B74">
      <w:pPr>
        <w:numPr>
          <w:ilvl w:val="0"/>
          <w:numId w:val="16"/>
        </w:numPr>
        <w:spacing w:after="0" w:line="360" w:lineRule="auto"/>
        <w:ind w:left="714" w:hanging="357"/>
        <w:rPr>
          <w:rFonts w:eastAsiaTheme="minorEastAsia"/>
        </w:rPr>
      </w:pPr>
      <w:r w:rsidRPr="00B82D02">
        <w:rPr>
          <w:rFonts w:eastAsiaTheme="minorEastAsia"/>
        </w:rPr>
        <w:t>whether part time or full-time employees are undertaking similar roles</w:t>
      </w:r>
    </w:p>
    <w:p w14:paraId="3D709C68" w14:textId="77777777" w:rsidR="00774780" w:rsidRPr="00B82D02" w:rsidRDefault="00774780" w:rsidP="001E2B74">
      <w:pPr>
        <w:numPr>
          <w:ilvl w:val="0"/>
          <w:numId w:val="16"/>
        </w:numPr>
        <w:spacing w:after="0" w:line="360" w:lineRule="auto"/>
        <w:ind w:left="714" w:hanging="357"/>
        <w:rPr>
          <w:rFonts w:eastAsiaTheme="minorEastAsia"/>
        </w:rPr>
      </w:pPr>
      <w:r w:rsidRPr="00B82D02">
        <w:rPr>
          <w:rFonts w:eastAsiaTheme="minorEastAsia"/>
        </w:rPr>
        <w:t>whether the employee has a regular pattern of work</w:t>
      </w:r>
      <w:r>
        <w:rPr>
          <w:rFonts w:eastAsiaTheme="minorEastAsia"/>
        </w:rPr>
        <w:t>.</w:t>
      </w:r>
    </w:p>
    <w:p w14:paraId="242D2271" w14:textId="77777777" w:rsidR="00774780" w:rsidRPr="00B82D02" w:rsidRDefault="00774780" w:rsidP="00774780">
      <w:pPr>
        <w:spacing w:before="120" w:after="120" w:line="360" w:lineRule="auto"/>
        <w:rPr>
          <w:rFonts w:eastAsiaTheme="minorEastAsia"/>
          <w:b/>
          <w:bCs/>
          <w:u w:val="single"/>
        </w:rPr>
      </w:pPr>
      <w:r w:rsidRPr="00B82D02">
        <w:rPr>
          <w:rFonts w:eastAsiaTheme="minorEastAsia"/>
          <w:b/>
          <w:bCs/>
          <w:u w:val="single"/>
        </w:rPr>
        <w:lastRenderedPageBreak/>
        <w:t>Available data sources</w:t>
      </w:r>
    </w:p>
    <w:p w14:paraId="728F08AA" w14:textId="77777777" w:rsidR="00774780" w:rsidRPr="00B82D02" w:rsidRDefault="00774780" w:rsidP="00774780">
      <w:pPr>
        <w:spacing w:before="120" w:after="120" w:line="360" w:lineRule="auto"/>
        <w:rPr>
          <w:rFonts w:eastAsiaTheme="minorEastAsia"/>
        </w:rPr>
      </w:pPr>
      <w:r w:rsidRPr="00B82D02">
        <w:rPr>
          <w:rFonts w:eastAsiaTheme="minorEastAsia"/>
        </w:rPr>
        <w:t>The best available data set to estimate the number of casual employees who may not meet the objective test and thereby calculate an associated regulatory impact is the ABS Characteristics of Employment</w:t>
      </w:r>
      <w:r>
        <w:rPr>
          <w:rFonts w:eastAsiaTheme="minorEastAsia"/>
        </w:rPr>
        <w:t xml:space="preserve"> Survey</w:t>
      </w:r>
      <w:r w:rsidRPr="00B82D02">
        <w:rPr>
          <w:rFonts w:eastAsiaTheme="minorEastAsia"/>
        </w:rPr>
        <w:t>. This data set contains key characteristics that can be associated to casual employment, including:</w:t>
      </w:r>
    </w:p>
    <w:p w14:paraId="744C43C3" w14:textId="327C75AF" w:rsidR="00774780" w:rsidRPr="00B82D02" w:rsidRDefault="00774780" w:rsidP="6F358070">
      <w:pPr>
        <w:numPr>
          <w:ilvl w:val="0"/>
          <w:numId w:val="15"/>
        </w:numPr>
        <w:spacing w:after="0" w:line="360" w:lineRule="auto"/>
        <w:ind w:left="714" w:hanging="357"/>
        <w:rPr>
          <w:rFonts w:eastAsiaTheme="minorEastAsia"/>
        </w:rPr>
      </w:pPr>
      <w:r w:rsidRPr="6F358070">
        <w:rPr>
          <w:rFonts w:eastAsiaTheme="minorEastAsia"/>
        </w:rPr>
        <w:t>whether the employee expects to remain in their job for the next 12 months</w:t>
      </w:r>
    </w:p>
    <w:p w14:paraId="2CD08029" w14:textId="77777777" w:rsidR="00774780" w:rsidRPr="00B82D02" w:rsidRDefault="00774780" w:rsidP="001E2B74">
      <w:pPr>
        <w:numPr>
          <w:ilvl w:val="0"/>
          <w:numId w:val="15"/>
        </w:numPr>
        <w:spacing w:after="0" w:line="360" w:lineRule="auto"/>
        <w:ind w:left="714" w:hanging="357"/>
        <w:rPr>
          <w:rFonts w:eastAsiaTheme="minorEastAsia"/>
        </w:rPr>
      </w:pPr>
      <w:r w:rsidRPr="00B82D02">
        <w:rPr>
          <w:rFonts w:eastAsiaTheme="minorEastAsia"/>
        </w:rPr>
        <w:t xml:space="preserve">whether the employee is guaranteed to work a minimum number of hours each week </w:t>
      </w:r>
    </w:p>
    <w:p w14:paraId="55D16329" w14:textId="77777777" w:rsidR="00774780" w:rsidRPr="00B82D02" w:rsidRDefault="00774780" w:rsidP="001E2B74">
      <w:pPr>
        <w:numPr>
          <w:ilvl w:val="0"/>
          <w:numId w:val="15"/>
        </w:numPr>
        <w:spacing w:after="0" w:line="360" w:lineRule="auto"/>
        <w:ind w:left="714" w:hanging="357"/>
        <w:rPr>
          <w:rFonts w:eastAsiaTheme="minorEastAsia"/>
        </w:rPr>
      </w:pPr>
      <w:r w:rsidRPr="00B82D02">
        <w:rPr>
          <w:rFonts w:eastAsiaTheme="minorEastAsia"/>
        </w:rPr>
        <w:t xml:space="preserve">whether the employee earnings/income vary from one pay period to the next </w:t>
      </w:r>
    </w:p>
    <w:p w14:paraId="5CD5F38F" w14:textId="77777777" w:rsidR="00774780" w:rsidRPr="00B82D02" w:rsidRDefault="00774780" w:rsidP="6F358070">
      <w:pPr>
        <w:numPr>
          <w:ilvl w:val="0"/>
          <w:numId w:val="15"/>
        </w:numPr>
        <w:spacing w:after="0" w:line="360" w:lineRule="auto"/>
        <w:ind w:left="714" w:hanging="357"/>
        <w:rPr>
          <w:rFonts w:eastAsiaTheme="minorEastAsia"/>
        </w:rPr>
      </w:pPr>
      <w:r w:rsidRPr="6F358070">
        <w:rPr>
          <w:rFonts w:eastAsiaTheme="minorEastAsia"/>
        </w:rPr>
        <w:t>whether the employee usually worked the same number of hours each week.</w:t>
      </w:r>
    </w:p>
    <w:p w14:paraId="16EDA2B9" w14:textId="589C3682" w:rsidR="00774780" w:rsidRPr="00B82D02" w:rsidRDefault="00774780" w:rsidP="00774780">
      <w:pPr>
        <w:spacing w:before="120" w:after="120" w:line="360" w:lineRule="auto"/>
        <w:rPr>
          <w:rFonts w:eastAsiaTheme="minorEastAsia"/>
        </w:rPr>
      </w:pPr>
      <w:r w:rsidRPr="00B82D02">
        <w:rPr>
          <w:rFonts w:eastAsiaTheme="minorEastAsia"/>
        </w:rPr>
        <w:t xml:space="preserve">There is not explicit alignment between the statutory provisions and this data set. This is because the </w:t>
      </w:r>
      <w:r w:rsidR="00EE79E0">
        <w:rPr>
          <w:rFonts w:eastAsiaTheme="minorEastAsia"/>
        </w:rPr>
        <w:t>considerations</w:t>
      </w:r>
      <w:r w:rsidRPr="00B82D02">
        <w:rPr>
          <w:rFonts w:eastAsiaTheme="minorEastAsia"/>
        </w:rPr>
        <w:t xml:space="preserve"> that apply for purposes of the general rule are broader than these data points. The assessment whether someone is a casual employee is a holistic assessment of all relevant factors in the practical reality of the employment relationship, including understandings or expectations that occur after entering into the initial contract of employment. The application of the definition to an employee </w:t>
      </w:r>
      <w:r w:rsidR="00C30B0D">
        <w:rPr>
          <w:rFonts w:eastAsiaTheme="minorEastAsia"/>
        </w:rPr>
        <w:t xml:space="preserve">will be </w:t>
      </w:r>
      <w:r w:rsidRPr="00B82D02">
        <w:rPr>
          <w:rFonts w:eastAsiaTheme="minorEastAsia"/>
        </w:rPr>
        <w:t>assessed on a case-by-case basis.</w:t>
      </w:r>
    </w:p>
    <w:p w14:paraId="35884AA8" w14:textId="06401100" w:rsidR="00774780" w:rsidRPr="00B82D02" w:rsidRDefault="00774780" w:rsidP="00774780">
      <w:pPr>
        <w:spacing w:before="120" w:after="120" w:line="360" w:lineRule="auto"/>
        <w:rPr>
          <w:rFonts w:eastAsiaTheme="minorEastAsia"/>
        </w:rPr>
      </w:pPr>
      <w:r w:rsidRPr="00B82D02">
        <w:rPr>
          <w:rFonts w:eastAsiaTheme="minorEastAsia"/>
        </w:rPr>
        <w:t>Therefore</w:t>
      </w:r>
      <w:r>
        <w:rPr>
          <w:rFonts w:eastAsiaTheme="minorEastAsia"/>
        </w:rPr>
        <w:t>,</w:t>
      </w:r>
      <w:r w:rsidRPr="00B82D02">
        <w:rPr>
          <w:rFonts w:eastAsiaTheme="minorEastAsia"/>
        </w:rPr>
        <w:t xml:space="preserve"> assumptions are needed to provide an estimate of </w:t>
      </w:r>
      <w:r>
        <w:rPr>
          <w:rFonts w:eastAsiaTheme="minorEastAsia"/>
        </w:rPr>
        <w:t xml:space="preserve">the number of </w:t>
      </w:r>
      <w:r w:rsidRPr="00B82D02">
        <w:rPr>
          <w:rFonts w:eastAsiaTheme="minorEastAsia"/>
        </w:rPr>
        <w:t xml:space="preserve">casual employees who may be eligible to access the </w:t>
      </w:r>
      <w:r w:rsidR="001A5E27">
        <w:rPr>
          <w:rFonts w:eastAsiaTheme="minorEastAsia"/>
        </w:rPr>
        <w:t xml:space="preserve">employee choice </w:t>
      </w:r>
      <w:r w:rsidRPr="00B82D02">
        <w:rPr>
          <w:rFonts w:eastAsiaTheme="minorEastAsia"/>
        </w:rPr>
        <w:t>definition pathway to permanency, to provide a robust estimate of the outer limits of regulatory impact.</w:t>
      </w:r>
    </w:p>
    <w:p w14:paraId="48A4D264" w14:textId="77777777" w:rsidR="00774780" w:rsidRPr="001C4C7C" w:rsidRDefault="00774780" w:rsidP="001C4C7C">
      <w:pPr>
        <w:pStyle w:val="Heading2"/>
      </w:pPr>
      <w:bookmarkStart w:id="25" w:name="_Toc143252108"/>
      <w:r w:rsidRPr="001C4C7C">
        <w:t>Assumptions</w:t>
      </w:r>
      <w:bookmarkEnd w:id="25"/>
    </w:p>
    <w:p w14:paraId="76282B7A" w14:textId="77777777" w:rsidR="00774780" w:rsidRPr="00FA0514" w:rsidRDefault="00774780" w:rsidP="00774780">
      <w:pPr>
        <w:spacing w:before="120" w:after="120" w:line="360" w:lineRule="auto"/>
        <w:rPr>
          <w:rFonts w:eastAsiaTheme="minorEastAsia"/>
          <w:u w:val="single"/>
        </w:rPr>
      </w:pPr>
      <w:r w:rsidRPr="00FA0514">
        <w:rPr>
          <w:rFonts w:eastAsiaTheme="minorEastAsia"/>
          <w:u w:val="single"/>
        </w:rPr>
        <w:t>Regular casual employees</w:t>
      </w:r>
    </w:p>
    <w:p w14:paraId="7E18EFC3" w14:textId="7F18E1B9" w:rsidR="00774780" w:rsidRDefault="00774780" w:rsidP="001E2B74">
      <w:pPr>
        <w:numPr>
          <w:ilvl w:val="0"/>
          <w:numId w:val="18"/>
        </w:numPr>
        <w:spacing w:before="120" w:after="120" w:line="360" w:lineRule="auto"/>
        <w:rPr>
          <w:rFonts w:eastAsiaTheme="minorEastAsia"/>
        </w:rPr>
      </w:pPr>
      <w:r w:rsidRPr="00B82D02">
        <w:rPr>
          <w:rFonts w:eastAsiaTheme="minorEastAsia"/>
        </w:rPr>
        <w:t xml:space="preserve">The department has estimated that around 851,100 </w:t>
      </w:r>
      <w:r>
        <w:rPr>
          <w:rFonts w:eastAsiaTheme="minorEastAsia"/>
        </w:rPr>
        <w:t>regular</w:t>
      </w:r>
      <w:r w:rsidRPr="7D643382">
        <w:rPr>
          <w:rFonts w:eastAsiaTheme="minorEastAsia"/>
        </w:rPr>
        <w:t xml:space="preserve"> </w:t>
      </w:r>
      <w:r w:rsidRPr="00B82D02">
        <w:rPr>
          <w:rFonts w:eastAsiaTheme="minorEastAsia"/>
        </w:rPr>
        <w:t>casual employees</w:t>
      </w:r>
      <w:r w:rsidRPr="00B82D02">
        <w:rPr>
          <w:rFonts w:eastAsiaTheme="minorEastAsia"/>
          <w:vertAlign w:val="superscript"/>
        </w:rPr>
        <w:footnoteReference w:id="32"/>
      </w:r>
      <w:r w:rsidRPr="00B82D02">
        <w:rPr>
          <w:rFonts w:eastAsiaTheme="minorEastAsia"/>
          <w:vertAlign w:val="superscript"/>
        </w:rPr>
        <w:t xml:space="preserve"> </w:t>
      </w:r>
      <w:r w:rsidRPr="00B82D02">
        <w:rPr>
          <w:rFonts w:eastAsiaTheme="minorEastAsia"/>
        </w:rPr>
        <w:t>(32.</w:t>
      </w:r>
      <w:r w:rsidRPr="7D643382">
        <w:rPr>
          <w:rFonts w:eastAsiaTheme="minorEastAsia"/>
        </w:rPr>
        <w:t>1</w:t>
      </w:r>
      <w:r w:rsidRPr="00B82D02">
        <w:rPr>
          <w:rFonts w:eastAsiaTheme="minorEastAsia"/>
        </w:rPr>
        <w:t xml:space="preserve"> per cent of all 2.7 million casual employees) are most likely to be eligible to change status under the </w:t>
      </w:r>
      <w:r w:rsidR="007C5938">
        <w:rPr>
          <w:rFonts w:eastAsiaTheme="minorEastAsia"/>
        </w:rPr>
        <w:t xml:space="preserve">employee choice </w:t>
      </w:r>
      <w:r w:rsidRPr="00B82D02">
        <w:rPr>
          <w:rFonts w:eastAsiaTheme="minorEastAsia"/>
        </w:rPr>
        <w:t>definition pathway.</w:t>
      </w:r>
      <w:r w:rsidR="00767B8B">
        <w:rPr>
          <w:rStyle w:val="FootnoteReference"/>
          <w:rFonts w:eastAsiaTheme="minorEastAsia"/>
        </w:rPr>
        <w:footnoteReference w:id="33"/>
      </w:r>
      <w:r w:rsidR="003279A4">
        <w:rPr>
          <w:rFonts w:eastAsiaTheme="minorEastAsia"/>
        </w:rPr>
        <w:t xml:space="preserve"> </w:t>
      </w:r>
    </w:p>
    <w:p w14:paraId="1DB30334" w14:textId="77777777" w:rsidR="00774780" w:rsidRPr="00B82D02" w:rsidRDefault="00774780" w:rsidP="001E2B74">
      <w:pPr>
        <w:numPr>
          <w:ilvl w:val="0"/>
          <w:numId w:val="18"/>
        </w:numPr>
        <w:spacing w:before="120" w:after="120" w:line="360" w:lineRule="auto"/>
        <w:rPr>
          <w:rFonts w:eastAsiaTheme="minorEastAsia"/>
        </w:rPr>
      </w:pPr>
      <w:r w:rsidRPr="00B82D02">
        <w:rPr>
          <w:rFonts w:eastAsiaTheme="minorEastAsia"/>
        </w:rPr>
        <w:t>Based on the information collected in the ABS Characteristics of Employment publication (August 2022) this number is calculated based on casual employees who are guaranteed to work a minimum number of hours each week and meet at least one of two criteria:</w:t>
      </w:r>
    </w:p>
    <w:p w14:paraId="778EA300" w14:textId="77777777" w:rsidR="00774780" w:rsidRPr="00B82D02" w:rsidRDefault="00774780" w:rsidP="001E2B74">
      <w:pPr>
        <w:numPr>
          <w:ilvl w:val="1"/>
          <w:numId w:val="13"/>
        </w:numPr>
        <w:spacing w:after="0" w:line="360" w:lineRule="auto"/>
        <w:ind w:left="1434" w:hanging="357"/>
        <w:rPr>
          <w:rFonts w:eastAsiaTheme="minorEastAsia"/>
        </w:rPr>
      </w:pPr>
      <w:r w:rsidRPr="00B82D02">
        <w:rPr>
          <w:rFonts w:eastAsiaTheme="minorEastAsia"/>
        </w:rPr>
        <w:t xml:space="preserve">earnings/income do not vary from one pay period to the next </w:t>
      </w:r>
    </w:p>
    <w:p w14:paraId="36103149" w14:textId="77777777" w:rsidR="00774780" w:rsidRPr="00B82D02" w:rsidRDefault="00774780" w:rsidP="001E2B74">
      <w:pPr>
        <w:numPr>
          <w:ilvl w:val="1"/>
          <w:numId w:val="13"/>
        </w:numPr>
        <w:spacing w:after="0" w:line="360" w:lineRule="auto"/>
        <w:ind w:left="1434" w:hanging="357"/>
        <w:rPr>
          <w:rFonts w:eastAsiaTheme="minorEastAsia"/>
        </w:rPr>
      </w:pPr>
      <w:r w:rsidRPr="00B82D02">
        <w:rPr>
          <w:rFonts w:eastAsiaTheme="minorEastAsia"/>
        </w:rPr>
        <w:lastRenderedPageBreak/>
        <w:t>usually worked the same number of hours each week</w:t>
      </w:r>
    </w:p>
    <w:p w14:paraId="263F81C8" w14:textId="1EC600F3" w:rsidR="00774780" w:rsidRPr="00B82D02" w:rsidRDefault="00774780" w:rsidP="001E2B74">
      <w:pPr>
        <w:numPr>
          <w:ilvl w:val="0"/>
          <w:numId w:val="13"/>
        </w:numPr>
        <w:spacing w:before="120" w:after="120" w:line="360" w:lineRule="auto"/>
        <w:rPr>
          <w:rFonts w:eastAsiaTheme="minorEastAsia"/>
        </w:rPr>
      </w:pPr>
      <w:r w:rsidRPr="00B82D02">
        <w:rPr>
          <w:rFonts w:eastAsiaTheme="minorEastAsia"/>
        </w:rPr>
        <w:t xml:space="preserve">These employees are most likely to have firm advance commitment to continuing and indefinite work, that is supported by the </w:t>
      </w:r>
      <w:r w:rsidR="006868F5">
        <w:rPr>
          <w:rFonts w:eastAsiaTheme="minorEastAsia"/>
        </w:rPr>
        <w:t>considerations</w:t>
      </w:r>
      <w:r w:rsidRPr="00B82D02">
        <w:rPr>
          <w:rFonts w:eastAsiaTheme="minorEastAsia"/>
        </w:rPr>
        <w:t xml:space="preserve"> of regularity, uniformity, predictability and consistency in the work being undertaken. </w:t>
      </w:r>
    </w:p>
    <w:p w14:paraId="6D629B56" w14:textId="77777777" w:rsidR="00774780" w:rsidRPr="00B82D02" w:rsidRDefault="00774780" w:rsidP="001E2B74">
      <w:pPr>
        <w:numPr>
          <w:ilvl w:val="0"/>
          <w:numId w:val="13"/>
        </w:numPr>
        <w:spacing w:before="120" w:after="120" w:line="360" w:lineRule="auto"/>
        <w:rPr>
          <w:rFonts w:eastAsiaTheme="minorEastAsia"/>
        </w:rPr>
      </w:pPr>
      <w:r w:rsidRPr="00B82D02">
        <w:rPr>
          <w:rFonts w:eastAsiaTheme="minorEastAsia"/>
        </w:rPr>
        <w:t xml:space="preserve">This is supported by analysis of demographic features of these employees which shows for example, compared to other casual employees they are: </w:t>
      </w:r>
    </w:p>
    <w:p w14:paraId="7AEE2F98" w14:textId="017B8C1F" w:rsidR="00774780" w:rsidRPr="00B82D02" w:rsidRDefault="00774780" w:rsidP="001E2B74">
      <w:pPr>
        <w:numPr>
          <w:ilvl w:val="0"/>
          <w:numId w:val="17"/>
        </w:numPr>
        <w:spacing w:after="0" w:line="360" w:lineRule="auto"/>
        <w:ind w:left="1077" w:hanging="357"/>
        <w:rPr>
          <w:rFonts w:eastAsiaTheme="minorEastAsia"/>
        </w:rPr>
      </w:pPr>
      <w:r>
        <w:rPr>
          <w:rFonts w:eastAsiaTheme="minorEastAsia"/>
        </w:rPr>
        <w:t>m</w:t>
      </w:r>
      <w:r w:rsidRPr="00B82D02">
        <w:rPr>
          <w:rFonts w:eastAsiaTheme="minorEastAsia"/>
        </w:rPr>
        <w:t>ore likely to expect to remain in their current job for the next 12 months (85.3 per cent</w:t>
      </w:r>
      <w:r w:rsidR="004E5037">
        <w:rPr>
          <w:rFonts w:eastAsiaTheme="minorEastAsia"/>
        </w:rPr>
        <w:t xml:space="preserve"> compared to </w:t>
      </w:r>
      <w:r w:rsidR="007B1639">
        <w:rPr>
          <w:rFonts w:eastAsiaTheme="minorEastAsia"/>
        </w:rPr>
        <w:t>82.1 per cent of other casual employees</w:t>
      </w:r>
      <w:r w:rsidRPr="00B82D02">
        <w:rPr>
          <w:rFonts w:eastAsiaTheme="minorEastAsia"/>
        </w:rPr>
        <w:t>)</w:t>
      </w:r>
      <w:r w:rsidR="000A4FAD">
        <w:rPr>
          <w:rFonts w:eastAsiaTheme="minorEastAsia"/>
        </w:rPr>
        <w:t>;</w:t>
      </w:r>
    </w:p>
    <w:p w14:paraId="1EA4D614" w14:textId="21CE68F8" w:rsidR="00774780" w:rsidRPr="00B82D02" w:rsidRDefault="00774780" w:rsidP="001E2B74">
      <w:pPr>
        <w:numPr>
          <w:ilvl w:val="0"/>
          <w:numId w:val="17"/>
        </w:numPr>
        <w:spacing w:after="0" w:line="360" w:lineRule="auto"/>
        <w:ind w:left="1077" w:hanging="357"/>
        <w:rPr>
          <w:rFonts w:eastAsiaTheme="minorEastAsia"/>
        </w:rPr>
      </w:pPr>
      <w:r>
        <w:rPr>
          <w:rFonts w:eastAsiaTheme="minorEastAsia"/>
        </w:rPr>
        <w:t>m</w:t>
      </w:r>
      <w:r w:rsidRPr="00B82D02">
        <w:rPr>
          <w:rFonts w:eastAsiaTheme="minorEastAsia"/>
        </w:rPr>
        <w:t>ore likely to work full time hours</w:t>
      </w:r>
      <w:r w:rsidRPr="3C371470">
        <w:rPr>
          <w:rFonts w:eastAsiaTheme="minorEastAsia"/>
        </w:rPr>
        <w:t xml:space="preserve"> (44.6 per cent</w:t>
      </w:r>
      <w:r w:rsidR="007316BF">
        <w:rPr>
          <w:rFonts w:eastAsiaTheme="minorEastAsia"/>
        </w:rPr>
        <w:t xml:space="preserve"> </w:t>
      </w:r>
      <w:r w:rsidR="00F830BC">
        <w:rPr>
          <w:rFonts w:eastAsiaTheme="minorEastAsia"/>
        </w:rPr>
        <w:t xml:space="preserve">compared </w:t>
      </w:r>
      <w:r w:rsidR="00DC33BC">
        <w:rPr>
          <w:rFonts w:eastAsiaTheme="minorEastAsia"/>
        </w:rPr>
        <w:t xml:space="preserve">to </w:t>
      </w:r>
      <w:r w:rsidR="007316BF">
        <w:rPr>
          <w:rFonts w:eastAsiaTheme="minorEastAsia"/>
        </w:rPr>
        <w:t>26.7</w:t>
      </w:r>
      <w:r w:rsidR="00C92138">
        <w:rPr>
          <w:rFonts w:eastAsiaTheme="minorEastAsia"/>
        </w:rPr>
        <w:t xml:space="preserve"> </w:t>
      </w:r>
      <w:r w:rsidR="0092212A">
        <w:rPr>
          <w:rFonts w:eastAsiaTheme="minorEastAsia"/>
        </w:rPr>
        <w:t xml:space="preserve">per cent </w:t>
      </w:r>
      <w:r w:rsidR="00F830BC">
        <w:rPr>
          <w:rFonts w:eastAsiaTheme="minorEastAsia"/>
        </w:rPr>
        <w:t>of other casual employees</w:t>
      </w:r>
      <w:r w:rsidRPr="3C371470">
        <w:rPr>
          <w:rFonts w:eastAsiaTheme="minorEastAsia"/>
        </w:rPr>
        <w:t>)</w:t>
      </w:r>
      <w:r w:rsidR="000A4FAD">
        <w:rPr>
          <w:rFonts w:eastAsiaTheme="minorEastAsia"/>
        </w:rPr>
        <w:t>;</w:t>
      </w:r>
    </w:p>
    <w:p w14:paraId="34B57A7C" w14:textId="49D7E673" w:rsidR="00774780" w:rsidRPr="00B82D02" w:rsidRDefault="00774780" w:rsidP="6F358070">
      <w:pPr>
        <w:numPr>
          <w:ilvl w:val="0"/>
          <w:numId w:val="17"/>
        </w:numPr>
        <w:spacing w:after="0" w:line="360" w:lineRule="auto"/>
        <w:ind w:left="1077" w:hanging="357"/>
        <w:rPr>
          <w:rFonts w:eastAsiaTheme="minorEastAsia"/>
        </w:rPr>
      </w:pPr>
      <w:r w:rsidRPr="6F358070">
        <w:rPr>
          <w:rFonts w:eastAsiaTheme="minorEastAsia"/>
        </w:rPr>
        <w:t>less likely to be studying full time (18.3 per cent</w:t>
      </w:r>
      <w:r w:rsidR="007B1639" w:rsidRPr="6F358070">
        <w:rPr>
          <w:rFonts w:eastAsiaTheme="minorEastAsia"/>
        </w:rPr>
        <w:t xml:space="preserve"> compared to 33.0 per cent</w:t>
      </w:r>
      <w:r w:rsidR="003B0712" w:rsidRPr="6F358070">
        <w:rPr>
          <w:rFonts w:eastAsiaTheme="minorEastAsia"/>
        </w:rPr>
        <w:t xml:space="preserve"> of other casual employees</w:t>
      </w:r>
      <w:r w:rsidRPr="6F358070">
        <w:rPr>
          <w:rFonts w:eastAsiaTheme="minorEastAsia"/>
        </w:rPr>
        <w:t>)</w:t>
      </w:r>
      <w:r w:rsidR="000A4FAD" w:rsidRPr="6F358070">
        <w:rPr>
          <w:rFonts w:eastAsiaTheme="minorEastAsia"/>
        </w:rPr>
        <w:t>;</w:t>
      </w:r>
      <w:r w:rsidR="7EE04D09" w:rsidRPr="6F358070">
        <w:rPr>
          <w:rFonts w:eastAsiaTheme="minorEastAsia"/>
        </w:rPr>
        <w:t xml:space="preserve"> and</w:t>
      </w:r>
    </w:p>
    <w:p w14:paraId="3128A9E2" w14:textId="1EB43430" w:rsidR="00774780" w:rsidRPr="00B82D02" w:rsidRDefault="32B68B74" w:rsidP="001E2B74">
      <w:pPr>
        <w:numPr>
          <w:ilvl w:val="0"/>
          <w:numId w:val="17"/>
        </w:numPr>
        <w:spacing w:after="0" w:line="360" w:lineRule="auto"/>
        <w:ind w:left="1077" w:hanging="357"/>
        <w:rPr>
          <w:rFonts w:eastAsiaTheme="minorEastAsia"/>
        </w:rPr>
      </w:pPr>
      <w:r w:rsidRPr="0F1F7E7E">
        <w:rPr>
          <w:rFonts w:eastAsiaTheme="minorEastAsia"/>
        </w:rPr>
        <w:t xml:space="preserve">less likely to be young </w:t>
      </w:r>
      <w:r w:rsidR="00774780" w:rsidRPr="3C371470">
        <w:rPr>
          <w:rFonts w:eastAsiaTheme="minorEastAsia"/>
        </w:rPr>
        <w:t>(27.3 per cent aged 15-24 years</w:t>
      </w:r>
      <w:r w:rsidR="00DF7D45">
        <w:rPr>
          <w:rFonts w:eastAsiaTheme="minorEastAsia"/>
        </w:rPr>
        <w:t xml:space="preserve"> compared to 44.4 per cent</w:t>
      </w:r>
      <w:r w:rsidR="003B0712" w:rsidRPr="003B0712">
        <w:rPr>
          <w:rFonts w:eastAsiaTheme="minorEastAsia"/>
        </w:rPr>
        <w:t xml:space="preserve"> </w:t>
      </w:r>
      <w:r w:rsidR="003B0712">
        <w:rPr>
          <w:rFonts w:eastAsiaTheme="minorEastAsia"/>
        </w:rPr>
        <w:t>of other casual employees</w:t>
      </w:r>
      <w:r w:rsidR="00774780" w:rsidRPr="3C371470">
        <w:rPr>
          <w:rFonts w:eastAsiaTheme="minorEastAsia"/>
        </w:rPr>
        <w:t xml:space="preserve">). </w:t>
      </w:r>
    </w:p>
    <w:p w14:paraId="000A1DD8" w14:textId="77777777" w:rsidR="00774780" w:rsidRDefault="00774780" w:rsidP="00774780">
      <w:pPr>
        <w:spacing w:before="120" w:after="120" w:line="360" w:lineRule="auto"/>
        <w:rPr>
          <w:rFonts w:eastAsiaTheme="minorEastAsia"/>
        </w:rPr>
      </w:pPr>
      <w:r w:rsidRPr="00B82D02">
        <w:rPr>
          <w:rFonts w:eastAsiaTheme="minorEastAsia"/>
        </w:rPr>
        <w:t>Employees with these demographic features are more likely to be continuing to work in a manner akin to a permanent employee as, for example, their number of hours are less likely to vary and they are less likely to reject shift</w:t>
      </w:r>
      <w:r>
        <w:rPr>
          <w:rFonts w:eastAsiaTheme="minorEastAsia"/>
        </w:rPr>
        <w:t>s</w:t>
      </w:r>
      <w:r w:rsidRPr="00B82D02">
        <w:rPr>
          <w:rFonts w:eastAsiaTheme="minorEastAsia"/>
        </w:rPr>
        <w:t xml:space="preserve"> because of other commitments such as study. </w:t>
      </w:r>
    </w:p>
    <w:p w14:paraId="1F2799AC" w14:textId="77777777" w:rsidR="00774780" w:rsidRPr="00FA0514" w:rsidRDefault="00774780" w:rsidP="00774780">
      <w:pPr>
        <w:spacing w:before="120" w:after="120" w:line="360" w:lineRule="auto"/>
        <w:rPr>
          <w:rFonts w:eastAsiaTheme="minorEastAsia"/>
          <w:u w:val="single"/>
        </w:rPr>
      </w:pPr>
      <w:r w:rsidRPr="00FA0514">
        <w:rPr>
          <w:rFonts w:eastAsiaTheme="minorEastAsia"/>
          <w:u w:val="single"/>
        </w:rPr>
        <w:t>Additional eligible employees</w:t>
      </w:r>
    </w:p>
    <w:p w14:paraId="1D8B9E0F" w14:textId="15A5B414" w:rsidR="000A4FAD" w:rsidRDefault="00774780" w:rsidP="000A4FAD">
      <w:pPr>
        <w:spacing w:before="120" w:after="120" w:line="360" w:lineRule="auto"/>
        <w:rPr>
          <w:rFonts w:eastAsiaTheme="minorEastAsia"/>
        </w:rPr>
      </w:pPr>
      <w:r>
        <w:rPr>
          <w:rFonts w:eastAsiaTheme="minorEastAsia"/>
        </w:rPr>
        <w:t xml:space="preserve">ABS data shows that there are an additional </w:t>
      </w:r>
      <w:r w:rsidRPr="00B82D02">
        <w:rPr>
          <w:rFonts w:eastAsiaTheme="minorEastAsia"/>
        </w:rPr>
        <w:t xml:space="preserve">1,480,500 casual employees </w:t>
      </w:r>
      <w:r>
        <w:rPr>
          <w:rFonts w:eastAsiaTheme="minorEastAsia"/>
        </w:rPr>
        <w:t>who</w:t>
      </w:r>
      <w:r w:rsidRPr="00B82D02">
        <w:rPr>
          <w:rFonts w:eastAsiaTheme="minorEastAsia"/>
        </w:rPr>
        <w:t xml:space="preserve"> </w:t>
      </w:r>
      <w:r w:rsidR="000A4FAD" w:rsidRPr="48C2E276">
        <w:rPr>
          <w:rFonts w:eastAsiaTheme="minorEastAsia"/>
        </w:rPr>
        <w:t xml:space="preserve">are not regular casual employees (as defined above), but who </w:t>
      </w:r>
      <w:r w:rsidRPr="00B82D02">
        <w:rPr>
          <w:rFonts w:eastAsiaTheme="minorEastAsia"/>
        </w:rPr>
        <w:t>expect to remain in their current job for the next 12 months.</w:t>
      </w:r>
      <w:r w:rsidR="000A4FAD" w:rsidRPr="48C2E276">
        <w:rPr>
          <w:rStyle w:val="FootnoteReference"/>
          <w:rFonts w:eastAsiaTheme="minorEastAsia"/>
        </w:rPr>
        <w:footnoteReference w:id="34"/>
      </w:r>
      <w:r w:rsidR="000A4FAD" w:rsidRPr="48C2E276">
        <w:rPr>
          <w:rStyle w:val="FootnoteReference"/>
          <w:rFonts w:eastAsiaTheme="minorEastAsia"/>
        </w:rPr>
        <w:t xml:space="preserve"> </w:t>
      </w:r>
      <w:r w:rsidR="000A4FAD" w:rsidRPr="48C2E276">
        <w:rPr>
          <w:rFonts w:eastAsiaTheme="minorEastAsia"/>
        </w:rPr>
        <w:t xml:space="preserve">There are likely to be employees in this cohort who may also be eligible to change status under the new </w:t>
      </w:r>
      <w:r w:rsidR="007C5938">
        <w:rPr>
          <w:rFonts w:eastAsiaTheme="minorEastAsia"/>
        </w:rPr>
        <w:t xml:space="preserve">employee choice </w:t>
      </w:r>
      <w:r w:rsidR="000A4FAD" w:rsidRPr="48C2E276">
        <w:rPr>
          <w:rFonts w:eastAsiaTheme="minorEastAsia"/>
        </w:rPr>
        <w:t xml:space="preserve">definition pathway, but a clear identification of this cohort is challenging as there is not an explicit alignment between the statutory provisions and available data. </w:t>
      </w:r>
    </w:p>
    <w:p w14:paraId="0B32E462" w14:textId="77777777" w:rsidR="00774780" w:rsidRDefault="00774780" w:rsidP="00774780">
      <w:pPr>
        <w:spacing w:before="120" w:after="120" w:line="360" w:lineRule="auto"/>
        <w:rPr>
          <w:rFonts w:eastAsiaTheme="minorEastAsia"/>
        </w:rPr>
      </w:pPr>
      <w:r>
        <w:rPr>
          <w:rFonts w:eastAsiaTheme="minorEastAsia"/>
        </w:rPr>
        <w:t xml:space="preserve">Analysis of ABS data shows that of the </w:t>
      </w:r>
      <w:r w:rsidRPr="00B82D02">
        <w:rPr>
          <w:rFonts w:eastAsiaTheme="minorEastAsia"/>
        </w:rPr>
        <w:t xml:space="preserve">1,480,500 casual employees </w:t>
      </w:r>
      <w:r>
        <w:rPr>
          <w:rFonts w:eastAsiaTheme="minorEastAsia"/>
        </w:rPr>
        <w:t>who</w:t>
      </w:r>
      <w:r w:rsidRPr="00B82D02">
        <w:rPr>
          <w:rFonts w:eastAsiaTheme="minorEastAsia"/>
        </w:rPr>
        <w:t xml:space="preserve"> expect to remain in their current job for the next 12 months</w:t>
      </w:r>
      <w:r>
        <w:rPr>
          <w:rFonts w:eastAsiaTheme="minorEastAsia"/>
        </w:rPr>
        <w:t>:</w:t>
      </w:r>
    </w:p>
    <w:p w14:paraId="3A702758" w14:textId="651457F0" w:rsidR="00774780" w:rsidRPr="00B35373" w:rsidRDefault="00774780" w:rsidP="001E2B74">
      <w:pPr>
        <w:numPr>
          <w:ilvl w:val="0"/>
          <w:numId w:val="13"/>
        </w:numPr>
        <w:spacing w:before="120" w:after="0" w:line="360" w:lineRule="auto"/>
        <w:rPr>
          <w:rFonts w:eastAsiaTheme="minorEastAsia"/>
          <w:lang w:val="en-AU"/>
        </w:rPr>
      </w:pPr>
      <w:r w:rsidRPr="16927996">
        <w:rPr>
          <w:rFonts w:eastAsiaTheme="minorEastAsia"/>
        </w:rPr>
        <w:t>23.6 per cent usually worked the same hours each week and their pay did not vary from one pay period to the next</w:t>
      </w:r>
      <w:r w:rsidR="000A4FAD">
        <w:rPr>
          <w:rFonts w:eastAsiaTheme="minorEastAsia"/>
        </w:rPr>
        <w:t>;</w:t>
      </w:r>
      <w:r>
        <w:rPr>
          <w:rStyle w:val="FootnoteReference"/>
          <w:rFonts w:eastAsiaTheme="minorEastAsia"/>
        </w:rPr>
        <w:footnoteReference w:id="35"/>
      </w:r>
      <w:r w:rsidRPr="16927996">
        <w:rPr>
          <w:rFonts w:eastAsiaTheme="minorEastAsia"/>
        </w:rPr>
        <w:t xml:space="preserve"> </w:t>
      </w:r>
    </w:p>
    <w:p w14:paraId="7BA22718" w14:textId="49F48BD0" w:rsidR="00774780" w:rsidRPr="00FA0514" w:rsidRDefault="00774780" w:rsidP="001E2B74">
      <w:pPr>
        <w:numPr>
          <w:ilvl w:val="0"/>
          <w:numId w:val="13"/>
        </w:numPr>
        <w:spacing w:before="120" w:after="0" w:line="360" w:lineRule="auto"/>
        <w:rPr>
          <w:rFonts w:eastAsiaTheme="minorEastAsia"/>
          <w:lang w:val="en-AU"/>
        </w:rPr>
      </w:pPr>
      <w:r w:rsidRPr="54A4CF2A">
        <w:rPr>
          <w:rFonts w:eastAsiaTheme="minorEastAsia"/>
        </w:rPr>
        <w:t>27.</w:t>
      </w:r>
      <w:r>
        <w:rPr>
          <w:rFonts w:eastAsiaTheme="minorEastAsia"/>
        </w:rPr>
        <w:t>1</w:t>
      </w:r>
      <w:r w:rsidRPr="54A4CF2A">
        <w:rPr>
          <w:rFonts w:eastAsiaTheme="minorEastAsia"/>
        </w:rPr>
        <w:t xml:space="preserve"> per cent had been with their employer for 3 years or more</w:t>
      </w:r>
      <w:r w:rsidR="000A4FAD">
        <w:rPr>
          <w:rFonts w:eastAsiaTheme="minorEastAsia"/>
        </w:rPr>
        <w:t>;</w:t>
      </w:r>
      <w:r w:rsidRPr="54A4CF2A">
        <w:rPr>
          <w:rFonts w:eastAsiaTheme="minorEastAsia"/>
          <w:vertAlign w:val="superscript"/>
          <w:lang w:val="en-AU"/>
        </w:rPr>
        <w:footnoteReference w:id="36"/>
      </w:r>
      <w:r>
        <w:rPr>
          <w:rFonts w:eastAsiaTheme="minorEastAsia"/>
        </w:rPr>
        <w:t xml:space="preserve"> and</w:t>
      </w:r>
    </w:p>
    <w:p w14:paraId="16C2B28A" w14:textId="77777777" w:rsidR="00774780" w:rsidRPr="00316B9B" w:rsidRDefault="00774780" w:rsidP="001E2B74">
      <w:pPr>
        <w:numPr>
          <w:ilvl w:val="0"/>
          <w:numId w:val="13"/>
        </w:numPr>
        <w:spacing w:before="120" w:after="0" w:line="360" w:lineRule="auto"/>
        <w:rPr>
          <w:rFonts w:eastAsiaTheme="minorEastAsia"/>
          <w:lang w:val="en-AU"/>
        </w:rPr>
      </w:pPr>
      <w:r>
        <w:rPr>
          <w:rFonts w:eastAsiaTheme="minorEastAsia"/>
        </w:rPr>
        <w:lastRenderedPageBreak/>
        <w:t>28.1 per cent are working full time.</w:t>
      </w:r>
    </w:p>
    <w:p w14:paraId="4648247C" w14:textId="77777777" w:rsidR="00774780" w:rsidRDefault="00774780" w:rsidP="00774780">
      <w:pPr>
        <w:spacing w:before="120" w:after="120" w:line="360" w:lineRule="auto"/>
        <w:rPr>
          <w:rFonts w:eastAsiaTheme="minorEastAsia"/>
        </w:rPr>
      </w:pPr>
      <w:r>
        <w:rPr>
          <w:rFonts w:eastAsiaTheme="minorEastAsia"/>
        </w:rPr>
        <w:t>This cohort also report relatively high rates of studying (38.9 per cent) and are typically younger (</w:t>
      </w:r>
      <w:r w:rsidRPr="16927996">
        <w:rPr>
          <w:rFonts w:eastAsiaTheme="minorEastAsia"/>
        </w:rPr>
        <w:t>46.2 per cent</w:t>
      </w:r>
      <w:r>
        <w:rPr>
          <w:rFonts w:eastAsiaTheme="minorEastAsia"/>
        </w:rPr>
        <w:t xml:space="preserve"> aged under 30 years). </w:t>
      </w:r>
    </w:p>
    <w:p w14:paraId="733C57D0" w14:textId="538C3664" w:rsidR="00774780" w:rsidRDefault="00774780" w:rsidP="00C41DD5">
      <w:pPr>
        <w:spacing w:before="120" w:after="120" w:line="360" w:lineRule="auto"/>
        <w:rPr>
          <w:rFonts w:eastAsiaTheme="minorEastAsia"/>
        </w:rPr>
      </w:pPr>
      <w:r w:rsidRPr="54A4CF2A">
        <w:rPr>
          <w:rFonts w:eastAsiaTheme="minorEastAsia"/>
        </w:rPr>
        <w:t>On this basis</w:t>
      </w:r>
      <w:r w:rsidRPr="00B82D02">
        <w:rPr>
          <w:rFonts w:eastAsiaTheme="minorEastAsia"/>
        </w:rPr>
        <w:t xml:space="preserve">, the department has assumed </w:t>
      </w:r>
      <w:r w:rsidRPr="54A4CF2A">
        <w:rPr>
          <w:rFonts w:eastAsiaTheme="minorEastAsia"/>
        </w:rPr>
        <w:t xml:space="preserve">that </w:t>
      </w:r>
      <w:r w:rsidRPr="00C41DD5">
        <w:rPr>
          <w:rFonts w:eastAsiaTheme="minorEastAsia"/>
          <w:b/>
          <w:bCs/>
        </w:rPr>
        <w:t>25 per cent</w:t>
      </w:r>
      <w:r w:rsidRPr="00FF6F3D">
        <w:rPr>
          <w:rFonts w:eastAsiaTheme="minorEastAsia"/>
        </w:rPr>
        <w:t xml:space="preserve"> </w:t>
      </w:r>
      <w:r w:rsidRPr="54A4CF2A">
        <w:rPr>
          <w:rFonts w:eastAsiaTheme="minorEastAsia"/>
        </w:rPr>
        <w:t xml:space="preserve">of </w:t>
      </w:r>
      <w:r>
        <w:rPr>
          <w:rFonts w:eastAsiaTheme="minorEastAsia"/>
        </w:rPr>
        <w:t>the</w:t>
      </w:r>
      <w:r w:rsidRPr="54A4CF2A">
        <w:rPr>
          <w:rFonts w:eastAsiaTheme="minorEastAsia"/>
        </w:rPr>
        <w:t xml:space="preserve"> 1,480,500 casual employees (or 370,125) </w:t>
      </w:r>
      <w:r>
        <w:rPr>
          <w:rFonts w:eastAsiaTheme="minorEastAsia"/>
        </w:rPr>
        <w:t>may also</w:t>
      </w:r>
      <w:r w:rsidRPr="54A4CF2A">
        <w:rPr>
          <w:rFonts w:eastAsiaTheme="minorEastAsia"/>
        </w:rPr>
        <w:t xml:space="preserve"> be eligible </w:t>
      </w:r>
      <w:r>
        <w:rPr>
          <w:rFonts w:eastAsiaTheme="minorEastAsia"/>
        </w:rPr>
        <w:t xml:space="preserve">to change status under the new </w:t>
      </w:r>
      <w:r w:rsidR="007C5938">
        <w:rPr>
          <w:rFonts w:eastAsiaTheme="minorEastAsia"/>
        </w:rPr>
        <w:t xml:space="preserve">employee choice </w:t>
      </w:r>
      <w:r>
        <w:rPr>
          <w:rFonts w:eastAsiaTheme="minorEastAsia"/>
        </w:rPr>
        <w:t>definition pathway</w:t>
      </w:r>
      <w:r w:rsidRPr="54A4CF2A">
        <w:rPr>
          <w:rFonts w:eastAsiaTheme="minorEastAsia"/>
        </w:rPr>
        <w:t>.</w:t>
      </w:r>
    </w:p>
    <w:p w14:paraId="330DC037" w14:textId="77777777" w:rsidR="005A2718" w:rsidRPr="00FA0514" w:rsidRDefault="005A2718" w:rsidP="005A2718">
      <w:pPr>
        <w:spacing w:before="120" w:after="120"/>
        <w:rPr>
          <w:rFonts w:eastAsiaTheme="minorEastAsia"/>
          <w:u w:val="single"/>
        </w:rPr>
      </w:pPr>
      <w:r w:rsidRPr="00FA0514">
        <w:rPr>
          <w:rFonts w:eastAsiaTheme="minorEastAsia"/>
          <w:u w:val="single"/>
        </w:rPr>
        <w:t>Total eligible employees</w:t>
      </w:r>
    </w:p>
    <w:p w14:paraId="3193DB91" w14:textId="6354FA3D" w:rsidR="005A2718" w:rsidRPr="00B35373" w:rsidRDefault="005A2718" w:rsidP="005A2718">
      <w:pPr>
        <w:spacing w:before="120" w:after="120"/>
        <w:rPr>
          <w:rFonts w:eastAsiaTheme="minorEastAsia"/>
        </w:rPr>
      </w:pPr>
      <w:r w:rsidRPr="00B35373">
        <w:rPr>
          <w:rFonts w:eastAsiaTheme="minorEastAsia"/>
        </w:rPr>
        <w:t xml:space="preserve">The </w:t>
      </w:r>
      <w:r w:rsidRPr="2DE73C68">
        <w:rPr>
          <w:rFonts w:eastAsiaTheme="minorEastAsia"/>
        </w:rPr>
        <w:t>total number of eligible employees</w:t>
      </w:r>
      <w:r w:rsidRPr="00B35373">
        <w:rPr>
          <w:rFonts w:eastAsiaTheme="minorEastAsia"/>
        </w:rPr>
        <w:t xml:space="preserve"> </w:t>
      </w:r>
      <w:r w:rsidR="00325A01" w:rsidRPr="006E2A98">
        <w:rPr>
          <w:rFonts w:eastAsiaTheme="minorEastAsia"/>
          <w:u w:val="single"/>
        </w:rPr>
        <w:t>prior to adjustment for minimum periods of service</w:t>
      </w:r>
      <w:r w:rsidR="00325A01">
        <w:rPr>
          <w:rFonts w:eastAsiaTheme="minorEastAsia"/>
        </w:rPr>
        <w:t xml:space="preserve"> </w:t>
      </w:r>
      <w:r w:rsidRPr="00B35373">
        <w:rPr>
          <w:rFonts w:eastAsiaTheme="minorEastAsia"/>
        </w:rPr>
        <w:t xml:space="preserve">is therefore assumed to be 851,100 + </w:t>
      </w:r>
      <w:r w:rsidRPr="54A4CF2A">
        <w:rPr>
          <w:rFonts w:eastAsiaTheme="minorEastAsia"/>
        </w:rPr>
        <w:t>370,125</w:t>
      </w:r>
      <w:r w:rsidRPr="00B35373">
        <w:rPr>
          <w:rFonts w:eastAsiaTheme="minorEastAsia"/>
        </w:rPr>
        <w:t xml:space="preserve"> </w:t>
      </w:r>
      <w:r w:rsidRPr="00B35373">
        <w:rPr>
          <w:rFonts w:eastAsiaTheme="minorEastAsia"/>
          <w:b/>
          <w:bCs/>
        </w:rPr>
        <w:t xml:space="preserve">= </w:t>
      </w:r>
      <w:r w:rsidRPr="00B35373">
        <w:rPr>
          <w:rFonts w:eastAsiaTheme="minorEastAsia"/>
        </w:rPr>
        <w:t>1,</w:t>
      </w:r>
      <w:r w:rsidRPr="54A4CF2A">
        <w:rPr>
          <w:rFonts w:eastAsiaTheme="minorEastAsia"/>
        </w:rPr>
        <w:t>221,225</w:t>
      </w:r>
      <w:r w:rsidRPr="00B35373">
        <w:rPr>
          <w:rFonts w:eastAsiaTheme="minorEastAsia"/>
        </w:rPr>
        <w:t>.</w:t>
      </w:r>
    </w:p>
    <w:p w14:paraId="105B1E7F" w14:textId="5DDD3021" w:rsidR="005A2718" w:rsidRPr="00B35373" w:rsidRDefault="002D179C" w:rsidP="77D6833C">
      <w:pPr>
        <w:spacing w:before="120" w:after="120"/>
        <w:rPr>
          <w:rFonts w:eastAsiaTheme="minorEastAsia"/>
        </w:rPr>
      </w:pPr>
      <w:r w:rsidRPr="77D6833C">
        <w:rPr>
          <w:rFonts w:eastAsiaTheme="minorEastAsia"/>
        </w:rPr>
        <w:t>Minimum periods of service are relevant because e</w:t>
      </w:r>
      <w:r w:rsidR="00662574" w:rsidRPr="77D6833C">
        <w:rPr>
          <w:rFonts w:eastAsiaTheme="minorEastAsia"/>
        </w:rPr>
        <w:t>ven if an employee is</w:t>
      </w:r>
      <w:r w:rsidR="00185167" w:rsidRPr="77D6833C">
        <w:rPr>
          <w:rFonts w:eastAsiaTheme="minorEastAsia"/>
        </w:rPr>
        <w:t xml:space="preserve"> not a casual under </w:t>
      </w:r>
      <w:r w:rsidR="003505A3" w:rsidRPr="77D6833C">
        <w:rPr>
          <w:rFonts w:eastAsiaTheme="minorEastAsia"/>
        </w:rPr>
        <w:t xml:space="preserve">the </w:t>
      </w:r>
      <w:r w:rsidR="00DB2C1A" w:rsidRPr="77D6833C">
        <w:rPr>
          <w:rFonts w:eastAsiaTheme="minorEastAsia"/>
        </w:rPr>
        <w:t>‘</w:t>
      </w:r>
      <w:r w:rsidR="00D47ADB" w:rsidRPr="77D6833C">
        <w:rPr>
          <w:rFonts w:eastAsiaTheme="minorEastAsia"/>
        </w:rPr>
        <w:t>general rule</w:t>
      </w:r>
      <w:r w:rsidR="00AD4F3E" w:rsidRPr="77D6833C">
        <w:rPr>
          <w:rFonts w:eastAsiaTheme="minorEastAsia"/>
        </w:rPr>
        <w:t>’</w:t>
      </w:r>
      <w:r w:rsidR="00214BCA" w:rsidRPr="77D6833C">
        <w:rPr>
          <w:rFonts w:eastAsiaTheme="minorEastAsia"/>
        </w:rPr>
        <w:t xml:space="preserve"> they must still have </w:t>
      </w:r>
      <w:r w:rsidR="001F4FAE" w:rsidRPr="77D6833C">
        <w:rPr>
          <w:rFonts w:eastAsiaTheme="minorEastAsia"/>
        </w:rPr>
        <w:t xml:space="preserve">completed </w:t>
      </w:r>
      <w:r w:rsidR="00F6149B" w:rsidRPr="77D6833C">
        <w:rPr>
          <w:rFonts w:eastAsiaTheme="minorEastAsia"/>
        </w:rPr>
        <w:t>minimum period of service</w:t>
      </w:r>
      <w:r w:rsidR="0022667B" w:rsidRPr="77D6833C">
        <w:rPr>
          <w:rFonts w:eastAsiaTheme="minorEastAsia"/>
        </w:rPr>
        <w:t xml:space="preserve"> before they </w:t>
      </w:r>
      <w:r w:rsidR="00DF7026" w:rsidRPr="77D6833C">
        <w:rPr>
          <w:rFonts w:eastAsiaTheme="minorEastAsia"/>
        </w:rPr>
        <w:t>can not</w:t>
      </w:r>
      <w:r w:rsidR="0033527C" w:rsidRPr="77D6833C">
        <w:rPr>
          <w:rFonts w:eastAsiaTheme="minorEastAsia"/>
        </w:rPr>
        <w:t>ify the</w:t>
      </w:r>
      <w:r w:rsidR="000516CC" w:rsidRPr="77D6833C">
        <w:rPr>
          <w:rFonts w:eastAsiaTheme="minorEastAsia"/>
        </w:rPr>
        <w:t>i</w:t>
      </w:r>
      <w:r w:rsidR="0033527C" w:rsidRPr="77D6833C">
        <w:rPr>
          <w:rFonts w:eastAsiaTheme="minorEastAsia"/>
        </w:rPr>
        <w:t>r</w:t>
      </w:r>
      <w:r w:rsidR="000516CC" w:rsidRPr="77D6833C">
        <w:rPr>
          <w:rFonts w:eastAsiaTheme="minorEastAsia"/>
        </w:rPr>
        <w:t xml:space="preserve"> e</w:t>
      </w:r>
      <w:r w:rsidR="00952511" w:rsidRPr="77D6833C">
        <w:rPr>
          <w:rFonts w:eastAsiaTheme="minorEastAsia"/>
        </w:rPr>
        <w:t>mployer</w:t>
      </w:r>
      <w:r w:rsidR="0022667B" w:rsidRPr="77D6833C">
        <w:rPr>
          <w:rFonts w:eastAsiaTheme="minorEastAsia"/>
        </w:rPr>
        <w:t xml:space="preserve"> </w:t>
      </w:r>
      <w:r w:rsidR="00E12F70" w:rsidRPr="77D6833C">
        <w:rPr>
          <w:rFonts w:eastAsiaTheme="minorEastAsia"/>
        </w:rPr>
        <w:t xml:space="preserve">under the employee choice definition pathway </w:t>
      </w:r>
      <w:r w:rsidR="0022667B" w:rsidRPr="77D6833C">
        <w:rPr>
          <w:rFonts w:eastAsiaTheme="minorEastAsia"/>
        </w:rPr>
        <w:t xml:space="preserve">- </w:t>
      </w:r>
      <w:r w:rsidR="52A311C6" w:rsidRPr="77D6833C">
        <w:rPr>
          <w:rFonts w:eastAsiaTheme="minorEastAsia"/>
        </w:rPr>
        <w:t>6</w:t>
      </w:r>
      <w:r w:rsidR="27BDFF27" w:rsidRPr="77D6833C">
        <w:rPr>
          <w:rFonts w:eastAsiaTheme="minorEastAsia"/>
        </w:rPr>
        <w:t xml:space="preserve"> months </w:t>
      </w:r>
      <w:r w:rsidR="6579BD6A" w:rsidRPr="77D6833C">
        <w:rPr>
          <w:rFonts w:eastAsiaTheme="minorEastAsia"/>
        </w:rPr>
        <w:t xml:space="preserve">in a non-small business </w:t>
      </w:r>
      <w:r w:rsidR="27BDFF27" w:rsidRPr="77D6833C">
        <w:rPr>
          <w:rFonts w:eastAsiaTheme="minorEastAsia"/>
        </w:rPr>
        <w:t>and</w:t>
      </w:r>
      <w:r w:rsidR="6579BD6A" w:rsidRPr="77D6833C">
        <w:rPr>
          <w:rFonts w:eastAsiaTheme="minorEastAsia"/>
        </w:rPr>
        <w:t xml:space="preserve"> </w:t>
      </w:r>
      <w:r w:rsidR="52A311C6" w:rsidRPr="77D6833C">
        <w:rPr>
          <w:rFonts w:eastAsiaTheme="minorEastAsia"/>
        </w:rPr>
        <w:t>12</w:t>
      </w:r>
      <w:r w:rsidR="00FC29CD" w:rsidRPr="77D6833C">
        <w:rPr>
          <w:rFonts w:eastAsiaTheme="minorEastAsia"/>
        </w:rPr>
        <w:t> </w:t>
      </w:r>
      <w:r w:rsidR="6579BD6A" w:rsidRPr="77D6833C">
        <w:rPr>
          <w:rFonts w:eastAsiaTheme="minorEastAsia"/>
        </w:rPr>
        <w:t>months</w:t>
      </w:r>
      <w:r w:rsidR="43BB3646" w:rsidRPr="77D6833C">
        <w:rPr>
          <w:rFonts w:eastAsiaTheme="minorEastAsia"/>
        </w:rPr>
        <w:t xml:space="preserve"> in a small business. </w:t>
      </w:r>
      <w:r w:rsidR="6F299AAF" w:rsidRPr="77D6833C">
        <w:rPr>
          <w:rFonts w:eastAsiaTheme="minorEastAsia"/>
        </w:rPr>
        <w:t xml:space="preserve">Applying an adjustment </w:t>
      </w:r>
      <w:r w:rsidR="43BB3646" w:rsidRPr="77D6833C">
        <w:rPr>
          <w:rFonts w:eastAsiaTheme="minorEastAsia"/>
        </w:rPr>
        <w:t xml:space="preserve">for these minimum </w:t>
      </w:r>
      <w:r w:rsidR="6F299AAF" w:rsidRPr="77D6833C">
        <w:rPr>
          <w:rFonts w:eastAsiaTheme="minorEastAsia"/>
        </w:rPr>
        <w:t xml:space="preserve">periods of </w:t>
      </w:r>
      <w:r w:rsidR="43BB3646" w:rsidRPr="77D6833C">
        <w:rPr>
          <w:rFonts w:eastAsiaTheme="minorEastAsia"/>
        </w:rPr>
        <w:t xml:space="preserve">service, </w:t>
      </w:r>
      <w:r w:rsidR="6F299AAF" w:rsidRPr="77D6833C">
        <w:rPr>
          <w:rFonts w:eastAsiaTheme="minorEastAsia"/>
        </w:rPr>
        <w:t>of the 1,</w:t>
      </w:r>
      <w:r w:rsidR="07048F66" w:rsidRPr="77D6833C">
        <w:rPr>
          <w:rFonts w:eastAsiaTheme="minorEastAsia"/>
        </w:rPr>
        <w:t>2</w:t>
      </w:r>
      <w:r w:rsidR="06BA6592" w:rsidRPr="77D6833C">
        <w:rPr>
          <w:rFonts w:eastAsiaTheme="minorEastAsia"/>
        </w:rPr>
        <w:t>2</w:t>
      </w:r>
      <w:r w:rsidR="07048F66" w:rsidRPr="77D6833C">
        <w:rPr>
          <w:rFonts w:eastAsiaTheme="minorEastAsia"/>
        </w:rPr>
        <w:t>1,225 eligible casual employees</w:t>
      </w:r>
      <w:r w:rsidR="235CA3E6" w:rsidRPr="77D6833C">
        <w:rPr>
          <w:rFonts w:eastAsiaTheme="minorEastAsia"/>
        </w:rPr>
        <w:t>:</w:t>
      </w:r>
    </w:p>
    <w:p w14:paraId="12ADB94B" w14:textId="1FBD253F" w:rsidR="005A2718" w:rsidRDefault="005A2718" w:rsidP="001E2B74">
      <w:pPr>
        <w:pStyle w:val="ListParagraph"/>
        <w:numPr>
          <w:ilvl w:val="0"/>
          <w:numId w:val="13"/>
        </w:numPr>
        <w:spacing w:before="120" w:after="120"/>
        <w:rPr>
          <w:rFonts w:eastAsiaTheme="minorEastAsia"/>
        </w:rPr>
      </w:pPr>
      <w:r w:rsidRPr="2DE73C68">
        <w:rPr>
          <w:rFonts w:eastAsiaTheme="minorEastAsia"/>
        </w:rPr>
        <w:t>924,425 (75.7 per cent) have worked regularly for 6 months or more</w:t>
      </w:r>
      <w:r w:rsidR="0FEEC6BC" w:rsidRPr="2DE73C68">
        <w:rPr>
          <w:rFonts w:eastAsiaTheme="minorEastAsia"/>
        </w:rPr>
        <w:t>, with 634,156 (68.6 per cent of this group) assumed to be working in a non-small business</w:t>
      </w:r>
      <w:r w:rsidR="3879ECDE" w:rsidRPr="2DE73C68">
        <w:rPr>
          <w:rFonts w:eastAsiaTheme="minorEastAsia"/>
        </w:rPr>
        <w:t xml:space="preserve"> and in scope of this policy</w:t>
      </w:r>
      <w:r w:rsidR="006C2FE7" w:rsidRPr="2DE73C68">
        <w:rPr>
          <w:rFonts w:eastAsiaTheme="minorEastAsia"/>
        </w:rPr>
        <w:t>;</w:t>
      </w:r>
      <w:r w:rsidRPr="2DE73C68">
        <w:rPr>
          <w:rFonts w:eastAsiaTheme="minorEastAsia"/>
          <w:vertAlign w:val="superscript"/>
        </w:rPr>
        <w:footnoteReference w:id="37"/>
      </w:r>
    </w:p>
    <w:p w14:paraId="7C6E0BBD" w14:textId="37655790" w:rsidR="005A2718" w:rsidRPr="00657238" w:rsidRDefault="005A2718" w:rsidP="001E2B74">
      <w:pPr>
        <w:pStyle w:val="ListParagraph"/>
        <w:numPr>
          <w:ilvl w:val="0"/>
          <w:numId w:val="13"/>
        </w:numPr>
        <w:spacing w:before="120" w:after="120"/>
        <w:rPr>
          <w:rFonts w:eastAsiaTheme="minorEastAsia"/>
        </w:rPr>
      </w:pPr>
      <w:r w:rsidRPr="2DE73C68">
        <w:rPr>
          <w:rFonts w:eastAsiaTheme="minorEastAsia"/>
        </w:rPr>
        <w:t>694,050 (56.8 per cent) worked regularly for 12 months or more</w:t>
      </w:r>
      <w:r w:rsidR="2BB20D37" w:rsidRPr="2DE73C68">
        <w:rPr>
          <w:rFonts w:eastAsiaTheme="minorEastAsia"/>
        </w:rPr>
        <w:t xml:space="preserve">, with </w:t>
      </w:r>
      <w:r w:rsidR="681B7140" w:rsidRPr="2DE73C68">
        <w:rPr>
          <w:rFonts w:eastAsiaTheme="minorEastAsia"/>
        </w:rPr>
        <w:t>217,932</w:t>
      </w:r>
      <w:r w:rsidR="2BB20D37" w:rsidRPr="2DE73C68">
        <w:rPr>
          <w:rFonts w:eastAsiaTheme="minorEastAsia"/>
        </w:rPr>
        <w:t xml:space="preserve"> (31.4 per cent of this group) assumed to be working in a small business</w:t>
      </w:r>
      <w:r w:rsidR="56A1D54A" w:rsidRPr="2DE73C68">
        <w:rPr>
          <w:rFonts w:eastAsiaTheme="minorEastAsia"/>
        </w:rPr>
        <w:t xml:space="preserve"> and in scope of this policy</w:t>
      </w:r>
      <w:r w:rsidRPr="2DE73C68">
        <w:rPr>
          <w:rFonts w:eastAsiaTheme="minorEastAsia"/>
        </w:rPr>
        <w:t>.</w:t>
      </w:r>
      <w:r w:rsidRPr="2DE73C68">
        <w:rPr>
          <w:rFonts w:eastAsiaTheme="minorEastAsia"/>
          <w:vertAlign w:val="superscript"/>
        </w:rPr>
        <w:footnoteReference w:id="38"/>
      </w:r>
    </w:p>
    <w:p w14:paraId="6EB1103D" w14:textId="3286164B" w:rsidR="7E7BE79D" w:rsidRDefault="45D75C2F" w:rsidP="006E2A98">
      <w:pPr>
        <w:spacing w:before="120" w:after="120"/>
        <w:rPr>
          <w:rFonts w:eastAsiaTheme="minorEastAsia"/>
          <w:b/>
          <w:bCs/>
          <w:u w:val="single"/>
        </w:rPr>
      </w:pPr>
      <w:r w:rsidRPr="37DEC0CE">
        <w:rPr>
          <w:rFonts w:eastAsiaTheme="minorEastAsia"/>
        </w:rPr>
        <w:t xml:space="preserve">That brings the </w:t>
      </w:r>
      <w:r w:rsidRPr="37DEC0CE">
        <w:rPr>
          <w:rFonts w:eastAsiaTheme="minorEastAsia"/>
          <w:b/>
          <w:bCs/>
          <w:u w:val="single"/>
        </w:rPr>
        <w:t>total number of eligible employees</w:t>
      </w:r>
      <w:r w:rsidRPr="37DEC0CE">
        <w:rPr>
          <w:rFonts w:eastAsiaTheme="minorEastAsia"/>
        </w:rPr>
        <w:t xml:space="preserve"> to 634,156 </w:t>
      </w:r>
      <w:r w:rsidR="7FF1D0FD" w:rsidRPr="37DEC0CE">
        <w:rPr>
          <w:rFonts w:eastAsiaTheme="minorEastAsia"/>
        </w:rPr>
        <w:t xml:space="preserve">+ </w:t>
      </w:r>
      <w:r w:rsidR="6FE9BF1B" w:rsidRPr="37DEC0CE">
        <w:rPr>
          <w:rFonts w:eastAsiaTheme="minorEastAsia"/>
        </w:rPr>
        <w:t xml:space="preserve">217,932 </w:t>
      </w:r>
      <w:r w:rsidR="7FF1D0FD" w:rsidRPr="37DEC0CE">
        <w:rPr>
          <w:rFonts w:eastAsiaTheme="minorEastAsia"/>
        </w:rPr>
        <w:t xml:space="preserve">= </w:t>
      </w:r>
      <w:r w:rsidR="48B6F972" w:rsidRPr="37DEC0CE">
        <w:rPr>
          <w:rFonts w:eastAsiaTheme="minorEastAsia"/>
        </w:rPr>
        <w:t>852,087.</w:t>
      </w:r>
    </w:p>
    <w:p w14:paraId="24C5437A" w14:textId="77777777" w:rsidR="005A2718" w:rsidRPr="00B35373" w:rsidRDefault="005A2718" w:rsidP="005A2718">
      <w:pPr>
        <w:spacing w:before="120" w:after="120"/>
        <w:rPr>
          <w:rFonts w:eastAsiaTheme="minorEastAsia"/>
          <w:u w:val="single"/>
        </w:rPr>
      </w:pPr>
      <w:r w:rsidRPr="00B35373">
        <w:rPr>
          <w:rFonts w:eastAsiaTheme="minorEastAsia"/>
          <w:u w:val="single"/>
        </w:rPr>
        <w:t>Other assumptions</w:t>
      </w:r>
    </w:p>
    <w:p w14:paraId="2C02CB44" w14:textId="77777777" w:rsidR="004E0255" w:rsidRPr="00B35373" w:rsidRDefault="004E0255" w:rsidP="001E2B74">
      <w:pPr>
        <w:pStyle w:val="ListParagraph"/>
        <w:numPr>
          <w:ilvl w:val="0"/>
          <w:numId w:val="19"/>
        </w:numPr>
        <w:spacing w:before="120" w:after="120"/>
        <w:rPr>
          <w:rFonts w:eastAsiaTheme="minorEastAsia"/>
        </w:rPr>
      </w:pPr>
      <w:r w:rsidRPr="00B35373">
        <w:rPr>
          <w:rFonts w:eastAsiaTheme="minorEastAsia"/>
        </w:rPr>
        <w:t>Employer labour costs are $79.63 per hour</w:t>
      </w:r>
      <w:r w:rsidRPr="006B10CA">
        <w:rPr>
          <w:vertAlign w:val="superscript"/>
        </w:rPr>
        <w:footnoteReference w:id="39"/>
      </w:r>
      <w:r w:rsidRPr="009B35C5">
        <w:rPr>
          <w:vertAlign w:val="superscript"/>
        </w:rPr>
        <w:t xml:space="preserve"> </w:t>
      </w:r>
      <w:r w:rsidRPr="00B35373">
        <w:rPr>
          <w:rFonts w:eastAsiaTheme="minorEastAsia"/>
        </w:rPr>
        <w:t>and casual employee labour costs are $29.20 per hour.</w:t>
      </w:r>
      <w:r w:rsidRPr="007B4D2B">
        <w:rPr>
          <w:vertAlign w:val="superscript"/>
        </w:rPr>
        <w:footnoteReference w:id="40"/>
      </w:r>
    </w:p>
    <w:p w14:paraId="023CBF6F" w14:textId="421915D4" w:rsidR="004E0255" w:rsidRDefault="004E0255" w:rsidP="001E2B74">
      <w:pPr>
        <w:pStyle w:val="ListParagraph"/>
        <w:numPr>
          <w:ilvl w:val="0"/>
          <w:numId w:val="19"/>
        </w:numPr>
        <w:spacing w:before="120" w:after="120"/>
        <w:rPr>
          <w:rFonts w:eastAsiaTheme="minorEastAsia"/>
        </w:rPr>
      </w:pPr>
      <w:r w:rsidRPr="00B35373">
        <w:rPr>
          <w:rFonts w:eastAsiaTheme="minorEastAsia"/>
        </w:rPr>
        <w:t>The share of casual workers employed by small business (less than 20 employees) is 31.4 per cent.</w:t>
      </w:r>
      <w:r w:rsidRPr="00752181">
        <w:rPr>
          <w:vertAlign w:val="superscript"/>
        </w:rPr>
        <w:footnoteReference w:id="41"/>
      </w:r>
    </w:p>
    <w:p w14:paraId="0804596E" w14:textId="1C7ADE32" w:rsidR="00127E3B" w:rsidRDefault="00127E3B" w:rsidP="6F358070">
      <w:pPr>
        <w:spacing w:before="120" w:after="120" w:line="360" w:lineRule="auto"/>
        <w:rPr>
          <w:rFonts w:eastAsiaTheme="minorEastAsia"/>
        </w:rPr>
      </w:pPr>
      <w:r w:rsidRPr="6F358070">
        <w:rPr>
          <w:rFonts w:eastAsiaTheme="minorEastAsia"/>
        </w:rPr>
        <w:t xml:space="preserve">It is assumed that the </w:t>
      </w:r>
      <w:r w:rsidR="002730DB" w:rsidRPr="6F358070">
        <w:rPr>
          <w:rFonts w:eastAsiaTheme="minorEastAsia"/>
        </w:rPr>
        <w:t xml:space="preserve">incidence </w:t>
      </w:r>
      <w:r w:rsidR="009E501B" w:rsidRPr="6F358070">
        <w:rPr>
          <w:rFonts w:eastAsiaTheme="minorEastAsia"/>
        </w:rPr>
        <w:t>of employee</w:t>
      </w:r>
      <w:r w:rsidR="000647D7" w:rsidRPr="6F358070">
        <w:rPr>
          <w:rFonts w:eastAsiaTheme="minorEastAsia"/>
        </w:rPr>
        <w:t>s</w:t>
      </w:r>
      <w:r w:rsidR="009E501B" w:rsidRPr="6F358070">
        <w:rPr>
          <w:rFonts w:eastAsiaTheme="minorEastAsia"/>
        </w:rPr>
        <w:t xml:space="preserve"> </w:t>
      </w:r>
      <w:r w:rsidR="000647D7" w:rsidRPr="6F358070">
        <w:rPr>
          <w:rFonts w:eastAsiaTheme="minorEastAsia"/>
        </w:rPr>
        <w:t>be</w:t>
      </w:r>
      <w:r w:rsidR="243B799B" w:rsidRPr="6F358070">
        <w:rPr>
          <w:rFonts w:eastAsiaTheme="minorEastAsia"/>
        </w:rPr>
        <w:t>ing</w:t>
      </w:r>
      <w:r w:rsidR="000647D7" w:rsidRPr="6F358070">
        <w:rPr>
          <w:rFonts w:eastAsiaTheme="minorEastAsia"/>
        </w:rPr>
        <w:t xml:space="preserve"> </w:t>
      </w:r>
      <w:r w:rsidR="00444EC3" w:rsidRPr="6F358070">
        <w:rPr>
          <w:rFonts w:eastAsiaTheme="minorEastAsia"/>
        </w:rPr>
        <w:t>classified a</w:t>
      </w:r>
      <w:r w:rsidR="000647D7" w:rsidRPr="6F358070">
        <w:rPr>
          <w:rFonts w:eastAsiaTheme="minorEastAsia"/>
        </w:rPr>
        <w:t>s</w:t>
      </w:r>
      <w:r w:rsidR="00444EC3" w:rsidRPr="6F358070">
        <w:rPr>
          <w:rFonts w:eastAsiaTheme="minorEastAsia"/>
        </w:rPr>
        <w:t xml:space="preserve"> casual but working </w:t>
      </w:r>
      <w:r w:rsidR="00986917" w:rsidRPr="6F358070">
        <w:rPr>
          <w:rFonts w:eastAsiaTheme="minorEastAsia"/>
        </w:rPr>
        <w:t xml:space="preserve">in a manner akin </w:t>
      </w:r>
      <w:r w:rsidR="00F7385D" w:rsidRPr="6F358070">
        <w:rPr>
          <w:rFonts w:eastAsiaTheme="minorEastAsia"/>
        </w:rPr>
        <w:t xml:space="preserve">to a permanent employee </w:t>
      </w:r>
      <w:r w:rsidRPr="6F358070">
        <w:rPr>
          <w:rFonts w:eastAsiaTheme="minorEastAsia"/>
        </w:rPr>
        <w:t xml:space="preserve">will fall over time – and hence the number of casual employees seeking to </w:t>
      </w:r>
      <w:r w:rsidRPr="6F358070">
        <w:rPr>
          <w:rFonts w:eastAsiaTheme="minorEastAsia"/>
        </w:rPr>
        <w:lastRenderedPageBreak/>
        <w:t xml:space="preserve">convert under the definition will also fall over time – as </w:t>
      </w:r>
      <w:r w:rsidR="00180CF0" w:rsidRPr="6F358070">
        <w:rPr>
          <w:rFonts w:eastAsiaTheme="minorEastAsia"/>
        </w:rPr>
        <w:t>understanding and application of the new definition increases</w:t>
      </w:r>
      <w:r w:rsidR="003B7087" w:rsidRPr="6F358070">
        <w:rPr>
          <w:rFonts w:eastAsiaTheme="minorEastAsia"/>
        </w:rPr>
        <w:t>.</w:t>
      </w:r>
      <w:r w:rsidR="00180CF0" w:rsidRPr="6F358070">
        <w:rPr>
          <w:rFonts w:eastAsiaTheme="minorEastAsia"/>
        </w:rPr>
        <w:t xml:space="preserve"> </w:t>
      </w:r>
      <w:r w:rsidRPr="6F358070">
        <w:rPr>
          <w:rFonts w:eastAsiaTheme="minorEastAsia"/>
        </w:rPr>
        <w:t xml:space="preserve">The process followed by an employer in responding to a casual employee notification for conversion through the </w:t>
      </w:r>
      <w:r w:rsidR="007C5938">
        <w:rPr>
          <w:rFonts w:eastAsiaTheme="minorEastAsia"/>
        </w:rPr>
        <w:t xml:space="preserve">employee choice </w:t>
      </w:r>
      <w:r w:rsidRPr="6F358070">
        <w:rPr>
          <w:rFonts w:eastAsiaTheme="minorEastAsia"/>
        </w:rPr>
        <w:t xml:space="preserve">definition pathway is assumed to mirror that for the casual conversion steps in the </w:t>
      </w:r>
      <w:r w:rsidRPr="6F358070">
        <w:rPr>
          <w:rFonts w:eastAsiaTheme="minorEastAsia"/>
          <w:i/>
          <w:iCs/>
        </w:rPr>
        <w:t>Fair Work Amendment (Supporting Australia’s Jobs and Economic Recovery) Act 2021</w:t>
      </w:r>
      <w:r w:rsidR="13C911ED" w:rsidRPr="6F358070">
        <w:rPr>
          <w:rFonts w:eastAsiaTheme="minorEastAsia"/>
          <w:i/>
          <w:iCs/>
        </w:rPr>
        <w:t xml:space="preserve"> </w:t>
      </w:r>
      <w:r w:rsidR="13C911ED" w:rsidRPr="006E2A98">
        <w:rPr>
          <w:rFonts w:eastAsiaTheme="minorEastAsia"/>
        </w:rPr>
        <w:t>(Cth)</w:t>
      </w:r>
      <w:r w:rsidRPr="006E2A98">
        <w:rPr>
          <w:rFonts w:eastAsiaTheme="minorEastAsia"/>
        </w:rPr>
        <w:t xml:space="preserve"> (SAJER)</w:t>
      </w:r>
      <w:r w:rsidRPr="6F358070">
        <w:rPr>
          <w:rFonts w:eastAsiaTheme="minorEastAsia"/>
        </w:rPr>
        <w:t xml:space="preserve"> provisions. </w:t>
      </w:r>
    </w:p>
    <w:p w14:paraId="29E77C0C" w14:textId="77777777" w:rsidR="00127E3B" w:rsidRPr="004165DB" w:rsidRDefault="00127E3B" w:rsidP="00127E3B">
      <w:pPr>
        <w:spacing w:before="120" w:after="120" w:line="360" w:lineRule="auto"/>
        <w:rPr>
          <w:rFonts w:eastAsiaTheme="minorEastAsia"/>
        </w:rPr>
      </w:pPr>
      <w:r w:rsidRPr="004165DB">
        <w:rPr>
          <w:rFonts w:eastAsiaTheme="minorEastAsia"/>
        </w:rPr>
        <w:t>The costs to employers of casual employees will include time to:</w:t>
      </w:r>
    </w:p>
    <w:p w14:paraId="308E9CD8" w14:textId="77777777" w:rsidR="00127E3B" w:rsidRPr="004165DB" w:rsidRDefault="00127E3B" w:rsidP="001E2B74">
      <w:pPr>
        <w:pStyle w:val="ListParagraph"/>
        <w:numPr>
          <w:ilvl w:val="0"/>
          <w:numId w:val="13"/>
        </w:numPr>
        <w:spacing w:before="120" w:after="120"/>
        <w:ind w:left="567"/>
        <w:rPr>
          <w:rFonts w:eastAsiaTheme="minorEastAsia"/>
        </w:rPr>
      </w:pPr>
      <w:r w:rsidRPr="004165DB">
        <w:rPr>
          <w:rFonts w:eastAsiaTheme="minorEastAsia"/>
        </w:rPr>
        <w:t>acknowledge and consider the notification from a casual employee for conversion AND</w:t>
      </w:r>
    </w:p>
    <w:p w14:paraId="6A23E50E" w14:textId="77777777" w:rsidR="00127E3B" w:rsidRPr="004165DB" w:rsidRDefault="00127E3B" w:rsidP="001E2B74">
      <w:pPr>
        <w:pStyle w:val="ListParagraph"/>
        <w:numPr>
          <w:ilvl w:val="0"/>
          <w:numId w:val="13"/>
        </w:numPr>
        <w:spacing w:before="120" w:after="120"/>
        <w:ind w:left="567"/>
        <w:rPr>
          <w:rFonts w:eastAsiaTheme="minorEastAsia"/>
        </w:rPr>
      </w:pPr>
      <w:r w:rsidRPr="004165DB">
        <w:rPr>
          <w:rFonts w:eastAsiaTheme="minorEastAsia"/>
        </w:rPr>
        <w:t>notify the employee of the decision and discuss it with the employer if the employer disagrees with the notification OR</w:t>
      </w:r>
    </w:p>
    <w:p w14:paraId="7E173B13" w14:textId="77777777" w:rsidR="00127E3B" w:rsidRPr="004165DB" w:rsidRDefault="00127E3B" w:rsidP="001E2B74">
      <w:pPr>
        <w:pStyle w:val="ListParagraph"/>
        <w:numPr>
          <w:ilvl w:val="0"/>
          <w:numId w:val="13"/>
        </w:numPr>
        <w:spacing w:before="120" w:after="120"/>
        <w:ind w:left="567"/>
        <w:rPr>
          <w:rFonts w:eastAsiaTheme="minorEastAsia"/>
        </w:rPr>
      </w:pPr>
      <w:r w:rsidRPr="004165DB">
        <w:rPr>
          <w:rFonts w:eastAsiaTheme="minorEastAsia"/>
        </w:rPr>
        <w:t>notify the employee of the decision if the employer agrees, plus time for discussion with the employee, drawing up of a new contract and updating payroll and other systems.</w:t>
      </w:r>
    </w:p>
    <w:p w14:paraId="5C4244CE" w14:textId="77777777" w:rsidR="00127E3B" w:rsidRDefault="00127E3B" w:rsidP="00127E3B">
      <w:r>
        <w:t>There will also be a cost to employees, including time to:</w:t>
      </w:r>
    </w:p>
    <w:p w14:paraId="75568B3E" w14:textId="77777777" w:rsidR="00127E3B" w:rsidRPr="004165DB" w:rsidRDefault="00127E3B" w:rsidP="001E2B74">
      <w:pPr>
        <w:pStyle w:val="ListParagraph"/>
        <w:numPr>
          <w:ilvl w:val="0"/>
          <w:numId w:val="13"/>
        </w:numPr>
        <w:spacing w:before="120" w:after="120"/>
        <w:ind w:left="567"/>
        <w:rPr>
          <w:rFonts w:eastAsiaTheme="minorEastAsia"/>
        </w:rPr>
      </w:pPr>
      <w:r w:rsidRPr="004165DB">
        <w:rPr>
          <w:rFonts w:eastAsiaTheme="minorEastAsia"/>
        </w:rPr>
        <w:t>notify the employer that they do not meet the definition of casual AND</w:t>
      </w:r>
    </w:p>
    <w:p w14:paraId="1428C5C2" w14:textId="77777777" w:rsidR="00127E3B" w:rsidRPr="004165DB" w:rsidRDefault="00127E3B" w:rsidP="001E2B74">
      <w:pPr>
        <w:pStyle w:val="ListParagraph"/>
        <w:numPr>
          <w:ilvl w:val="0"/>
          <w:numId w:val="13"/>
        </w:numPr>
        <w:spacing w:before="120" w:after="120"/>
        <w:ind w:left="567"/>
        <w:rPr>
          <w:rFonts w:eastAsiaTheme="minorEastAsia"/>
        </w:rPr>
      </w:pPr>
      <w:r w:rsidRPr="004165DB">
        <w:rPr>
          <w:rFonts w:eastAsiaTheme="minorEastAsia"/>
        </w:rPr>
        <w:t>discuss with the employer if the employer disagrees OR</w:t>
      </w:r>
    </w:p>
    <w:p w14:paraId="7B375D3E" w14:textId="77777777" w:rsidR="00127E3B" w:rsidRDefault="00127E3B" w:rsidP="001E2B74">
      <w:pPr>
        <w:pStyle w:val="ListParagraph"/>
        <w:numPr>
          <w:ilvl w:val="0"/>
          <w:numId w:val="13"/>
        </w:numPr>
        <w:spacing w:before="120" w:after="120"/>
        <w:ind w:left="567"/>
        <w:rPr>
          <w:rFonts w:eastAsiaTheme="minorEastAsia"/>
        </w:rPr>
      </w:pPr>
      <w:r w:rsidRPr="004165DB">
        <w:rPr>
          <w:rFonts w:eastAsiaTheme="minorEastAsia"/>
        </w:rPr>
        <w:t>discuss with the employer if the employer agrees, plus time to read and sign a new contract.</w:t>
      </w:r>
    </w:p>
    <w:p w14:paraId="4D6E547E" w14:textId="77777777" w:rsidR="00FE04D9" w:rsidRPr="00FE04D9" w:rsidRDefault="00FE04D9" w:rsidP="00FE04D9">
      <w:pPr>
        <w:spacing w:before="120" w:after="120" w:line="360" w:lineRule="auto"/>
        <w:rPr>
          <w:rFonts w:eastAsiaTheme="minorEastAsia"/>
        </w:rPr>
      </w:pPr>
      <w:r w:rsidRPr="00FE04D9">
        <w:rPr>
          <w:rFonts w:eastAsiaTheme="minorEastAsia"/>
        </w:rPr>
        <w:t>The assumption in the SAJER Regulatory Impact Statement (RIS)</w:t>
      </w:r>
      <w:r w:rsidRPr="00C065A6">
        <w:rPr>
          <w:rFonts w:eastAsiaTheme="minorEastAsia"/>
          <w:vertAlign w:val="superscript"/>
        </w:rPr>
        <w:footnoteReference w:id="42"/>
      </w:r>
      <w:r w:rsidRPr="00FE04D9">
        <w:rPr>
          <w:rFonts w:eastAsiaTheme="minorEastAsia"/>
        </w:rPr>
        <w:t xml:space="preserve"> was that the casual conversion process would take 10 minutes for employers. It also assumed that efficiencies would be gained over time by repetition, through the availability of appropriate software from employer organisations and through support available from the Fair Work Ombudsman. </w:t>
      </w:r>
    </w:p>
    <w:p w14:paraId="1CAC550B" w14:textId="1714EC19" w:rsidR="00FE04D9" w:rsidRDefault="00FE04D9" w:rsidP="00FE04D9">
      <w:pPr>
        <w:spacing w:before="120" w:after="120" w:line="360" w:lineRule="auto"/>
        <w:rPr>
          <w:rFonts w:eastAsiaTheme="minorEastAsia"/>
        </w:rPr>
      </w:pPr>
      <w:r w:rsidRPr="00FE04D9">
        <w:rPr>
          <w:rFonts w:eastAsiaTheme="minorEastAsia"/>
        </w:rPr>
        <w:t>In this costing, it is assumed that it would take an employer 15 minutes to address a notification from an employee for conversion under the definition</w:t>
      </w:r>
      <w:r w:rsidR="006F77AB">
        <w:rPr>
          <w:rFonts w:eastAsiaTheme="minorEastAsia"/>
        </w:rPr>
        <w:t xml:space="preserve">. This is </w:t>
      </w:r>
      <w:r w:rsidR="003A0AA3">
        <w:rPr>
          <w:rFonts w:eastAsiaTheme="minorEastAsia"/>
        </w:rPr>
        <w:t>slightly higher</w:t>
      </w:r>
      <w:r w:rsidRPr="00FE04D9">
        <w:rPr>
          <w:rFonts w:eastAsiaTheme="minorEastAsia"/>
        </w:rPr>
        <w:t xml:space="preserve"> </w:t>
      </w:r>
      <w:r w:rsidR="003A0AA3">
        <w:rPr>
          <w:rFonts w:eastAsiaTheme="minorEastAsia"/>
        </w:rPr>
        <w:t xml:space="preserve">than </w:t>
      </w:r>
      <w:r w:rsidR="004F6A92">
        <w:rPr>
          <w:rFonts w:eastAsiaTheme="minorEastAsia"/>
        </w:rPr>
        <w:t>the existing conversion pathway</w:t>
      </w:r>
      <w:r w:rsidR="00300060">
        <w:rPr>
          <w:rFonts w:eastAsiaTheme="minorEastAsia"/>
        </w:rPr>
        <w:t xml:space="preserve"> to reflect that the defi</w:t>
      </w:r>
      <w:r w:rsidR="000B2C7B">
        <w:rPr>
          <w:rFonts w:eastAsiaTheme="minorEastAsia"/>
        </w:rPr>
        <w:t>ni</w:t>
      </w:r>
      <w:r w:rsidR="00300060">
        <w:rPr>
          <w:rFonts w:eastAsiaTheme="minorEastAsia"/>
        </w:rPr>
        <w:t xml:space="preserve">tion </w:t>
      </w:r>
      <w:r w:rsidR="000B2C7B">
        <w:rPr>
          <w:rFonts w:eastAsiaTheme="minorEastAsia"/>
        </w:rPr>
        <w:t xml:space="preserve">based pathway is a holistic assessment </w:t>
      </w:r>
      <w:r w:rsidR="006047C0">
        <w:rPr>
          <w:rFonts w:eastAsiaTheme="minorEastAsia"/>
        </w:rPr>
        <w:t xml:space="preserve">but </w:t>
      </w:r>
      <w:r w:rsidR="00521A16">
        <w:rPr>
          <w:rFonts w:eastAsiaTheme="minorEastAsia"/>
        </w:rPr>
        <w:t xml:space="preserve">also </w:t>
      </w:r>
      <w:r w:rsidR="009E74C4">
        <w:rPr>
          <w:rFonts w:eastAsiaTheme="minorEastAsia"/>
        </w:rPr>
        <w:t xml:space="preserve">recognises </w:t>
      </w:r>
      <w:r w:rsidR="009E74C4" w:rsidRPr="00FE04D9">
        <w:rPr>
          <w:rFonts w:eastAsiaTheme="minorEastAsia"/>
        </w:rPr>
        <w:t>a</w:t>
      </w:r>
      <w:r w:rsidRPr="00FE04D9">
        <w:rPr>
          <w:rFonts w:eastAsiaTheme="minorEastAsia"/>
        </w:rPr>
        <w:t xml:space="preserve"> statutory conversion process </w:t>
      </w:r>
      <w:r w:rsidR="00B71108">
        <w:rPr>
          <w:rFonts w:eastAsiaTheme="minorEastAsia"/>
        </w:rPr>
        <w:t>has been in</w:t>
      </w:r>
      <w:r w:rsidRPr="00FE04D9">
        <w:rPr>
          <w:rFonts w:eastAsiaTheme="minorEastAsia"/>
        </w:rPr>
        <w:t xml:space="preserve"> place since 2021 and would likely provide efficiencies for employers </w:t>
      </w:r>
      <w:r w:rsidR="009D24C2">
        <w:rPr>
          <w:rFonts w:eastAsiaTheme="minorEastAsia"/>
        </w:rPr>
        <w:t xml:space="preserve">when considering </w:t>
      </w:r>
      <w:r w:rsidRPr="00FE04D9">
        <w:rPr>
          <w:rFonts w:eastAsiaTheme="minorEastAsia"/>
        </w:rPr>
        <w:t>notifi</w:t>
      </w:r>
      <w:r w:rsidR="009D24C2">
        <w:rPr>
          <w:rFonts w:eastAsiaTheme="minorEastAsia"/>
        </w:rPr>
        <w:t xml:space="preserve">cations </w:t>
      </w:r>
      <w:r w:rsidRPr="00FE04D9">
        <w:rPr>
          <w:rFonts w:eastAsiaTheme="minorEastAsia"/>
        </w:rPr>
        <w:t xml:space="preserve">under the </w:t>
      </w:r>
      <w:r w:rsidR="00DD0700">
        <w:rPr>
          <w:rFonts w:eastAsiaTheme="minorEastAsia"/>
        </w:rPr>
        <w:t>employee choice</w:t>
      </w:r>
      <w:r w:rsidRPr="00FE04D9">
        <w:rPr>
          <w:rFonts w:eastAsiaTheme="minorEastAsia"/>
        </w:rPr>
        <w:t xml:space="preserve"> definition</w:t>
      </w:r>
      <w:r w:rsidR="009D24C2">
        <w:rPr>
          <w:rFonts w:eastAsiaTheme="minorEastAsia"/>
        </w:rPr>
        <w:t xml:space="preserve"> pathway</w:t>
      </w:r>
      <w:r w:rsidRPr="00FE04D9">
        <w:rPr>
          <w:rFonts w:eastAsiaTheme="minorEastAsia"/>
        </w:rPr>
        <w:t xml:space="preserve">. </w:t>
      </w:r>
    </w:p>
    <w:p w14:paraId="5C12936C" w14:textId="77777777" w:rsidR="00B86883" w:rsidRPr="004165DB" w:rsidRDefault="00B86883" w:rsidP="00B86883">
      <w:pPr>
        <w:spacing w:before="120" w:after="120" w:line="360" w:lineRule="auto"/>
        <w:rPr>
          <w:rFonts w:eastAsiaTheme="minorEastAsia"/>
        </w:rPr>
      </w:pPr>
      <w:r w:rsidRPr="004165DB">
        <w:rPr>
          <w:rFonts w:eastAsiaTheme="minorEastAsia"/>
        </w:rPr>
        <w:t>The steps for an employee to determine whether to notify</w:t>
      </w:r>
      <w:r>
        <w:rPr>
          <w:rFonts w:eastAsiaTheme="minorEastAsia"/>
        </w:rPr>
        <w:t xml:space="preserve"> they no longer meet the statutory definition and therefore</w:t>
      </w:r>
      <w:r w:rsidRPr="004165DB">
        <w:rPr>
          <w:rFonts w:eastAsiaTheme="minorEastAsia"/>
        </w:rPr>
        <w:t xml:space="preserve"> change to permanent employment and to discuss with the employer are similarly aligned with the employee’s steps outlined in the SAJER RIS for casual conversion. </w:t>
      </w:r>
    </w:p>
    <w:p w14:paraId="4FAE8401" w14:textId="5ADAB02A" w:rsidR="00B86883" w:rsidRDefault="00B86883" w:rsidP="00B86883">
      <w:pPr>
        <w:spacing w:before="120" w:after="120" w:line="360" w:lineRule="auto"/>
        <w:rPr>
          <w:rFonts w:eastAsiaTheme="minorEastAsia"/>
        </w:rPr>
      </w:pPr>
      <w:r w:rsidRPr="004165DB">
        <w:rPr>
          <w:rFonts w:eastAsiaTheme="minorEastAsia"/>
        </w:rPr>
        <w:t xml:space="preserve">In this costing, it is assumed that the process will take 20 minutes for an employee: employees will have less experience than employers about casual employment and the definition of casual </w:t>
      </w:r>
      <w:r w:rsidRPr="004165DB">
        <w:rPr>
          <w:rFonts w:eastAsiaTheme="minorEastAsia"/>
        </w:rPr>
        <w:lastRenderedPageBreak/>
        <w:t>employment, and what they mean. But employers will be more familiar with the conversion process, which should ease the process for employees</w:t>
      </w:r>
      <w:r w:rsidR="000F2853">
        <w:rPr>
          <w:rFonts w:eastAsiaTheme="minorEastAsia"/>
        </w:rPr>
        <w:t xml:space="preserve"> during discussions</w:t>
      </w:r>
      <w:r w:rsidR="009F6B39">
        <w:rPr>
          <w:rFonts w:eastAsiaTheme="minorEastAsia"/>
        </w:rPr>
        <w:t xml:space="preserve"> with their employer</w:t>
      </w:r>
      <w:r w:rsidRPr="004165DB">
        <w:rPr>
          <w:rFonts w:eastAsiaTheme="minorEastAsia"/>
        </w:rPr>
        <w:t>.</w:t>
      </w:r>
    </w:p>
    <w:p w14:paraId="67DE64C7" w14:textId="2D16B803" w:rsidR="00C065A6" w:rsidRPr="007E218A" w:rsidRDefault="00C065A6" w:rsidP="00C065A6">
      <w:pPr>
        <w:spacing w:before="120" w:after="120" w:line="360" w:lineRule="auto"/>
        <w:rPr>
          <w:rFonts w:eastAsiaTheme="minorEastAsia"/>
        </w:rPr>
      </w:pPr>
      <w:r w:rsidRPr="007E218A">
        <w:rPr>
          <w:rFonts w:eastAsiaTheme="minorEastAsia"/>
        </w:rPr>
        <w:t xml:space="preserve">As </w:t>
      </w:r>
      <w:r>
        <w:rPr>
          <w:rFonts w:eastAsiaTheme="minorEastAsia"/>
        </w:rPr>
        <w:t>outlined</w:t>
      </w:r>
      <w:r w:rsidRPr="007E218A">
        <w:rPr>
          <w:rFonts w:eastAsiaTheme="minorEastAsia"/>
        </w:rPr>
        <w:t xml:space="preserve"> in </w:t>
      </w:r>
      <w:r>
        <w:rPr>
          <w:rFonts w:eastAsiaTheme="minorEastAsia"/>
        </w:rPr>
        <w:t xml:space="preserve">the </w:t>
      </w:r>
      <w:r w:rsidRPr="007E218A">
        <w:rPr>
          <w:rFonts w:eastAsiaTheme="minorEastAsia"/>
        </w:rPr>
        <w:t>response to question 5, there has been extensive consultation on the policy problem and potential solution to supporting casual employees with a clearer pathway to permanent, secure work. With respect to consultation and testing of the specific data</w:t>
      </w:r>
      <w:r w:rsidR="00A6253F">
        <w:rPr>
          <w:rFonts w:eastAsiaTheme="minorEastAsia"/>
        </w:rPr>
        <w:t>,</w:t>
      </w:r>
      <w:r w:rsidRPr="007E218A">
        <w:rPr>
          <w:rFonts w:eastAsiaTheme="minorEastAsia"/>
        </w:rPr>
        <w:t xml:space="preserve"> methodology and assumptions used in this regulatory costing, the department can advise that:</w:t>
      </w:r>
    </w:p>
    <w:p w14:paraId="59CD1C14" w14:textId="77777777" w:rsidR="00C065A6" w:rsidRPr="00BA7D3B" w:rsidRDefault="00C065A6" w:rsidP="6F358070">
      <w:pPr>
        <w:pStyle w:val="ListParagraph"/>
        <w:numPr>
          <w:ilvl w:val="0"/>
          <w:numId w:val="22"/>
        </w:numPr>
        <w:spacing w:before="120" w:after="120"/>
        <w:rPr>
          <w:rFonts w:eastAsiaTheme="minorEastAsia"/>
        </w:rPr>
      </w:pPr>
      <w:r w:rsidRPr="6F358070">
        <w:rPr>
          <w:rFonts w:eastAsiaTheme="minorEastAsia"/>
        </w:rPr>
        <w:t>The core data underpinning the calculations is the ABS Characteristics of Employment. This publication has the widest range of data for casual employees produced by the ABS. As our national statistical agency, the data produced is independent and publicly used by both employer and union groups.</w:t>
      </w:r>
    </w:p>
    <w:p w14:paraId="2CBB19C9" w14:textId="68A4F835" w:rsidR="00C065A6" w:rsidRDefault="00C065A6" w:rsidP="00E16C8C">
      <w:pPr>
        <w:pStyle w:val="ListParagraph"/>
        <w:numPr>
          <w:ilvl w:val="0"/>
          <w:numId w:val="13"/>
        </w:numPr>
        <w:spacing w:before="120" w:after="120"/>
        <w:ind w:left="714" w:hanging="357"/>
        <w:rPr>
          <w:rFonts w:eastAsiaTheme="minorEastAsia"/>
        </w:rPr>
      </w:pPr>
      <w:r>
        <w:rPr>
          <w:rFonts w:eastAsiaTheme="minorEastAsia"/>
        </w:rPr>
        <w:t>T</w:t>
      </w:r>
      <w:r w:rsidRPr="007E218A">
        <w:rPr>
          <w:rFonts w:eastAsiaTheme="minorEastAsia"/>
        </w:rPr>
        <w:t>he use of ABS Characteristics of Employment is consistent with data used by key stakeholders in analysis of casual work in Australia. For example, the Australian Industry Group’s research report ‘</w:t>
      </w:r>
      <w:r w:rsidRPr="00C065A6">
        <w:rPr>
          <w:rFonts w:eastAsiaTheme="minorEastAsia"/>
          <w:i/>
          <w:iCs/>
        </w:rPr>
        <w:t>Casual work in the contemporary labour market</w:t>
      </w:r>
      <w:r>
        <w:rPr>
          <w:rFonts w:eastAsiaTheme="minorEastAsia"/>
          <w:i/>
          <w:iCs/>
        </w:rPr>
        <w:t>’</w:t>
      </w:r>
      <w:r w:rsidRPr="00C065A6">
        <w:rPr>
          <w:rFonts w:eastAsiaTheme="minorEastAsia"/>
          <w:vertAlign w:val="superscript"/>
          <w:lang w:val="en-GB"/>
        </w:rPr>
        <w:footnoteReference w:id="43"/>
      </w:r>
      <w:r w:rsidRPr="00C065A6">
        <w:rPr>
          <w:rFonts w:eastAsiaTheme="minorEastAsia"/>
          <w:vertAlign w:val="superscript"/>
          <w:lang w:val="en-GB"/>
        </w:rPr>
        <w:t xml:space="preserve"> </w:t>
      </w:r>
      <w:r>
        <w:rPr>
          <w:rFonts w:eastAsiaTheme="minorEastAsia"/>
        </w:rPr>
        <w:t xml:space="preserve">uses this source to </w:t>
      </w:r>
      <w:r w:rsidRPr="005D34A6">
        <w:rPr>
          <w:rFonts w:eastAsiaTheme="minorEastAsia"/>
        </w:rPr>
        <w:t>identif</w:t>
      </w:r>
      <w:r>
        <w:rPr>
          <w:rFonts w:eastAsiaTheme="minorEastAsia"/>
        </w:rPr>
        <w:t>y</w:t>
      </w:r>
      <w:r w:rsidRPr="005D34A6">
        <w:rPr>
          <w:rFonts w:eastAsiaTheme="minorEastAsia"/>
        </w:rPr>
        <w:t xml:space="preserve"> </w:t>
      </w:r>
      <w:r>
        <w:rPr>
          <w:rFonts w:eastAsiaTheme="minorEastAsia"/>
        </w:rPr>
        <w:t>characteristics and demographic</w:t>
      </w:r>
      <w:r w:rsidR="00243816">
        <w:rPr>
          <w:rFonts w:eastAsiaTheme="minorEastAsia"/>
        </w:rPr>
        <w:t>s</w:t>
      </w:r>
      <w:r>
        <w:rPr>
          <w:rFonts w:eastAsiaTheme="minorEastAsia"/>
        </w:rPr>
        <w:t xml:space="preserve"> related to casual work and identified that</w:t>
      </w:r>
      <w:r w:rsidRPr="00C065A6">
        <w:rPr>
          <w:rFonts w:eastAsiaTheme="minorEastAsia"/>
        </w:rPr>
        <w:t xml:space="preserve"> </w:t>
      </w:r>
      <w:r w:rsidRPr="007E218A">
        <w:rPr>
          <w:rFonts w:eastAsiaTheme="minorEastAsia"/>
        </w:rPr>
        <w:t xml:space="preserve">casual employment is most common amongst younger workers </w:t>
      </w:r>
      <w:r>
        <w:rPr>
          <w:rFonts w:eastAsiaTheme="minorEastAsia"/>
        </w:rPr>
        <w:t>and</w:t>
      </w:r>
      <w:r w:rsidRPr="007E218A">
        <w:rPr>
          <w:rFonts w:eastAsiaTheme="minorEastAsia"/>
        </w:rPr>
        <w:t xml:space="preserve"> is widely used </w:t>
      </w:r>
      <w:r>
        <w:rPr>
          <w:rFonts w:eastAsiaTheme="minorEastAsia"/>
        </w:rPr>
        <w:t xml:space="preserve">by those studying. </w:t>
      </w:r>
    </w:p>
    <w:p w14:paraId="06EDE5DF" w14:textId="160F1B7E" w:rsidR="004018DB" w:rsidRDefault="004018DB" w:rsidP="004018DB">
      <w:pPr>
        <w:spacing w:before="120" w:after="120" w:line="360" w:lineRule="auto"/>
        <w:rPr>
          <w:rFonts w:eastAsiaTheme="minorEastAsia"/>
        </w:rPr>
      </w:pPr>
      <w:r w:rsidRPr="004018DB">
        <w:rPr>
          <w:rFonts w:eastAsiaTheme="minorEastAsia"/>
        </w:rPr>
        <w:t>The methodology and assumptions applied to the calculations – identification of cohorts of casual employees within the Characteristics of Employment dataset, conversion rates over the 10 year costing period, and times to undertake steps within the status change process – are consistent with the methodology that was used for the Regulatory Impact Statement</w:t>
      </w:r>
      <w:r w:rsidRPr="003E0C4D">
        <w:rPr>
          <w:rFonts w:eastAsiaTheme="minorEastAsia"/>
          <w:vertAlign w:val="superscript"/>
        </w:rPr>
        <w:footnoteReference w:id="44"/>
      </w:r>
      <w:r>
        <w:rPr>
          <w:rFonts w:eastAsiaTheme="minorEastAsia"/>
        </w:rPr>
        <w:t xml:space="preserve"> </w:t>
      </w:r>
      <w:r w:rsidRPr="004018DB">
        <w:rPr>
          <w:rFonts w:eastAsiaTheme="minorEastAsia"/>
        </w:rPr>
        <w:t>for the legislative reforms which introduced the initial statutory casual conversion process. That Regulatory Impact Statement was assessed as good practice by the Office of Best Practice Regulation (the predecessor to the Office of Impact Analysis)</w:t>
      </w:r>
      <w:r w:rsidR="003E0C4D">
        <w:rPr>
          <w:rFonts w:eastAsiaTheme="minorEastAsia"/>
        </w:rPr>
        <w:t>.</w:t>
      </w:r>
      <w:r w:rsidRPr="003E0C4D">
        <w:rPr>
          <w:vertAlign w:val="superscript"/>
        </w:rPr>
        <w:footnoteReference w:id="45"/>
      </w:r>
    </w:p>
    <w:p w14:paraId="52D9A9A2" w14:textId="0F30E28D" w:rsidR="008C66A9" w:rsidRPr="007E218A" w:rsidRDefault="008C66A9" w:rsidP="00E16C8C">
      <w:pPr>
        <w:numPr>
          <w:ilvl w:val="0"/>
          <w:numId w:val="20"/>
        </w:numPr>
        <w:spacing w:before="120" w:after="120" w:line="360" w:lineRule="auto"/>
        <w:ind w:left="714" w:hanging="357"/>
        <w:rPr>
          <w:rFonts w:eastAsiaTheme="minorEastAsia"/>
        </w:rPr>
      </w:pPr>
      <w:r w:rsidRPr="007E218A">
        <w:rPr>
          <w:rFonts w:eastAsiaTheme="minorEastAsia"/>
        </w:rPr>
        <w:t xml:space="preserve">As is standard practice this Regulatory Impact Statement was included as part of the explanatory memorandum to the Bill that was tabled in </w:t>
      </w:r>
      <w:r w:rsidR="00BF2D33">
        <w:rPr>
          <w:rFonts w:eastAsiaTheme="minorEastAsia"/>
        </w:rPr>
        <w:t xml:space="preserve">the Australian </w:t>
      </w:r>
      <w:r w:rsidR="00EB1C97">
        <w:rPr>
          <w:rFonts w:eastAsiaTheme="minorEastAsia"/>
        </w:rPr>
        <w:t>P</w:t>
      </w:r>
      <w:r w:rsidRPr="007E218A">
        <w:rPr>
          <w:rFonts w:eastAsiaTheme="minorEastAsia"/>
        </w:rPr>
        <w:t xml:space="preserve">arliament, and therefore was fully accessible to all stakeholders. </w:t>
      </w:r>
    </w:p>
    <w:p w14:paraId="034D9AE7" w14:textId="6816DBE2" w:rsidR="008C66A9" w:rsidRDefault="008C66A9" w:rsidP="001E2B74">
      <w:pPr>
        <w:numPr>
          <w:ilvl w:val="0"/>
          <w:numId w:val="20"/>
        </w:numPr>
        <w:spacing w:before="120" w:after="120" w:line="360" w:lineRule="auto"/>
        <w:rPr>
          <w:rFonts w:eastAsiaTheme="minorEastAsia"/>
        </w:rPr>
      </w:pPr>
      <w:r w:rsidRPr="007E218A">
        <w:rPr>
          <w:rFonts w:eastAsiaTheme="minorEastAsia"/>
        </w:rPr>
        <w:t xml:space="preserve">As part of parliamentary consideration of the Bill, the Senate Education and Employment Legislation Committee held a public inquiry into the Bill and received 134 submissions from stakeholders, including employer groups and unions. </w:t>
      </w:r>
      <w:r w:rsidRPr="16927996">
        <w:rPr>
          <w:rFonts w:eastAsiaTheme="minorEastAsia"/>
        </w:rPr>
        <w:t>These</w:t>
      </w:r>
      <w:r w:rsidRPr="007E218A">
        <w:rPr>
          <w:rFonts w:eastAsiaTheme="minorEastAsia"/>
        </w:rPr>
        <w:t xml:space="preserve"> submissions </w:t>
      </w:r>
      <w:r w:rsidRPr="16927996">
        <w:rPr>
          <w:rFonts w:eastAsiaTheme="minorEastAsia"/>
        </w:rPr>
        <w:t xml:space="preserve">did not </w:t>
      </w:r>
      <w:r w:rsidRPr="007E218A">
        <w:rPr>
          <w:rFonts w:eastAsiaTheme="minorEastAsia"/>
        </w:rPr>
        <w:t xml:space="preserve">raise </w:t>
      </w:r>
      <w:r w:rsidRPr="007E218A">
        <w:rPr>
          <w:rFonts w:eastAsiaTheme="minorEastAsia"/>
        </w:rPr>
        <w:lastRenderedPageBreak/>
        <w:t>concerns with the data sources, methodology or assumptions outlined in the Regulatory Impact Statement.</w:t>
      </w:r>
    </w:p>
    <w:p w14:paraId="23BAFDEF" w14:textId="77777777" w:rsidR="00AC10CE" w:rsidRDefault="00AC10CE" w:rsidP="00AC10CE">
      <w:pPr>
        <w:pStyle w:val="Heading2"/>
      </w:pPr>
      <w:bookmarkStart w:id="26" w:name="_Toc143252109"/>
      <w:r w:rsidRPr="00923DEF">
        <w:t>Costing</w:t>
      </w:r>
      <w:r>
        <w:t xml:space="preserve"> of employee notification</w:t>
      </w:r>
      <w:bookmarkEnd w:id="26"/>
    </w:p>
    <w:p w14:paraId="62EBA741" w14:textId="0AC6BF44" w:rsidR="00D43AE9" w:rsidRPr="00923DEF" w:rsidRDefault="00221B05" w:rsidP="00D43AE9">
      <w:pPr>
        <w:spacing w:before="120" w:after="120" w:line="360" w:lineRule="auto"/>
        <w:rPr>
          <w:rFonts w:eastAsiaTheme="minorEastAsia"/>
        </w:rPr>
      </w:pPr>
      <w:r>
        <w:rPr>
          <w:rFonts w:eastAsiaTheme="minorEastAsia"/>
        </w:rPr>
        <w:t xml:space="preserve">There </w:t>
      </w:r>
      <w:r w:rsidR="003F745E">
        <w:rPr>
          <w:rFonts w:eastAsiaTheme="minorEastAsia"/>
        </w:rPr>
        <w:t xml:space="preserve">are </w:t>
      </w:r>
      <w:r w:rsidR="00D43AE9" w:rsidRPr="00923DEF">
        <w:rPr>
          <w:rFonts w:eastAsiaTheme="minorEastAsia"/>
        </w:rPr>
        <w:t>different conditions applying to small businesses</w:t>
      </w:r>
      <w:r w:rsidR="006C01A4">
        <w:rPr>
          <w:rFonts w:eastAsiaTheme="minorEastAsia"/>
        </w:rPr>
        <w:t xml:space="preserve"> – employees must have ha</w:t>
      </w:r>
      <w:r w:rsidR="000736AF">
        <w:rPr>
          <w:rFonts w:eastAsiaTheme="minorEastAsia"/>
        </w:rPr>
        <w:t>d</w:t>
      </w:r>
      <w:r w:rsidR="006C01A4">
        <w:rPr>
          <w:rFonts w:eastAsiaTheme="minorEastAsia"/>
        </w:rPr>
        <w:t xml:space="preserve"> a period of 12 months service before they are eligible to notify</w:t>
      </w:r>
      <w:r w:rsidR="00D43AE9" w:rsidRPr="00923DEF">
        <w:rPr>
          <w:rFonts w:eastAsiaTheme="minorEastAsia"/>
        </w:rPr>
        <w:t>,</w:t>
      </w:r>
      <w:r w:rsidR="00FA47C7">
        <w:rPr>
          <w:rFonts w:eastAsiaTheme="minorEastAsia"/>
        </w:rPr>
        <w:t xml:space="preserve"> whereas employees in other businesses are </w:t>
      </w:r>
      <w:r w:rsidR="008B5E31">
        <w:rPr>
          <w:rFonts w:eastAsiaTheme="minorEastAsia"/>
        </w:rPr>
        <w:t>eligible to notify after 6 months</w:t>
      </w:r>
      <w:r w:rsidR="00927010">
        <w:rPr>
          <w:rFonts w:eastAsiaTheme="minorEastAsia"/>
        </w:rPr>
        <w:t xml:space="preserve"> service</w:t>
      </w:r>
      <w:r w:rsidR="004E14D3">
        <w:rPr>
          <w:rFonts w:eastAsiaTheme="minorEastAsia"/>
        </w:rPr>
        <w:t>.</w:t>
      </w:r>
      <w:r w:rsidR="00D43AE9" w:rsidRPr="00923DEF">
        <w:rPr>
          <w:rFonts w:eastAsiaTheme="minorEastAsia"/>
        </w:rPr>
        <w:t xml:space="preserve"> </w:t>
      </w:r>
      <w:r w:rsidR="00594800">
        <w:rPr>
          <w:rFonts w:eastAsiaTheme="minorEastAsia"/>
        </w:rPr>
        <w:t>T</w:t>
      </w:r>
      <w:r w:rsidR="00594800" w:rsidRPr="00923DEF">
        <w:rPr>
          <w:rFonts w:eastAsiaTheme="minorEastAsia"/>
        </w:rPr>
        <w:t xml:space="preserve">he </w:t>
      </w:r>
      <w:r w:rsidR="00D43AE9" w:rsidRPr="00923DEF">
        <w:rPr>
          <w:rFonts w:eastAsiaTheme="minorEastAsia"/>
        </w:rPr>
        <w:t xml:space="preserve">costings below are </w:t>
      </w:r>
      <w:r w:rsidR="00594800">
        <w:rPr>
          <w:rFonts w:eastAsiaTheme="minorEastAsia"/>
        </w:rPr>
        <w:t xml:space="preserve">therefore </w:t>
      </w:r>
      <w:r w:rsidR="00D43AE9" w:rsidRPr="00923DEF">
        <w:rPr>
          <w:rFonts w:eastAsiaTheme="minorEastAsia"/>
        </w:rPr>
        <w:t>differentiated between small businesses and other businesses.</w:t>
      </w:r>
    </w:p>
    <w:p w14:paraId="4773A054" w14:textId="77777777" w:rsidR="00AE0321" w:rsidRDefault="00AE0321">
      <w:pPr>
        <w:rPr>
          <w:b/>
          <w:bCs/>
          <w:sz w:val="28"/>
          <w:szCs w:val="28"/>
          <w:u w:val="single"/>
        </w:rPr>
      </w:pPr>
      <w:r>
        <w:rPr>
          <w:b/>
          <w:bCs/>
          <w:sz w:val="28"/>
          <w:szCs w:val="28"/>
          <w:u w:val="single"/>
        </w:rPr>
        <w:br w:type="page"/>
      </w:r>
    </w:p>
    <w:p w14:paraId="057C551D" w14:textId="493A140B" w:rsidR="00D43AE9" w:rsidRPr="001C4C7C" w:rsidRDefault="0034369F" w:rsidP="00D43AE9">
      <w:pPr>
        <w:spacing w:before="120" w:after="120" w:line="360" w:lineRule="auto"/>
        <w:rPr>
          <w:b/>
          <w:bCs/>
          <w:sz w:val="28"/>
          <w:szCs w:val="28"/>
          <w:u w:val="single"/>
        </w:rPr>
      </w:pPr>
      <w:r>
        <w:rPr>
          <w:b/>
          <w:bCs/>
          <w:sz w:val="28"/>
          <w:szCs w:val="28"/>
          <w:u w:val="single"/>
        </w:rPr>
        <w:lastRenderedPageBreak/>
        <w:t>Business e</w:t>
      </w:r>
      <w:r w:rsidR="00D43AE9" w:rsidRPr="001C4C7C">
        <w:rPr>
          <w:b/>
          <w:bCs/>
          <w:sz w:val="28"/>
          <w:szCs w:val="28"/>
          <w:u w:val="single"/>
        </w:rPr>
        <w:t>xcluding small business</w:t>
      </w:r>
    </w:p>
    <w:p w14:paraId="0DD9ED9D" w14:textId="77777777" w:rsidR="00D43AE9" w:rsidRPr="007B4D2B" w:rsidRDefault="00D43AE9" w:rsidP="00D43AE9">
      <w:pPr>
        <w:spacing w:before="120" w:after="120"/>
        <w:rPr>
          <w:rFonts w:eastAsiaTheme="minorEastAsia"/>
          <w:b/>
          <w:bCs/>
          <w:u w:val="single"/>
        </w:rPr>
      </w:pPr>
      <w:r w:rsidRPr="007B4D2B">
        <w:rPr>
          <w:rFonts w:eastAsiaTheme="minorEastAsia"/>
          <w:b/>
          <w:bCs/>
          <w:u w:val="single"/>
        </w:rPr>
        <w:t>Year 1 costs</w:t>
      </w:r>
    </w:p>
    <w:p w14:paraId="7C7D5CB9" w14:textId="77777777" w:rsidR="00D43AE9" w:rsidRPr="004165DB" w:rsidRDefault="00D43AE9" w:rsidP="00D43AE9">
      <w:pPr>
        <w:spacing w:before="120" w:after="120" w:line="360" w:lineRule="auto"/>
        <w:rPr>
          <w:rFonts w:eastAsiaTheme="minorEastAsia"/>
        </w:rPr>
      </w:pPr>
      <w:r w:rsidRPr="004165DB">
        <w:rPr>
          <w:rFonts w:eastAsiaTheme="minorEastAsia"/>
        </w:rPr>
        <w:t xml:space="preserve">Table </w:t>
      </w:r>
      <w:r>
        <w:rPr>
          <w:rFonts w:eastAsiaTheme="minorEastAsia"/>
        </w:rPr>
        <w:t>3</w:t>
      </w:r>
      <w:r w:rsidRPr="004165DB">
        <w:rPr>
          <w:rFonts w:eastAsiaTheme="minorEastAsia"/>
        </w:rPr>
        <w:t xml:space="preserve"> gives the </w:t>
      </w:r>
      <w:r w:rsidRPr="004165DB">
        <w:rPr>
          <w:rFonts w:eastAsiaTheme="minorEastAsia"/>
          <w:b/>
          <w:bCs/>
        </w:rPr>
        <w:t>estimated cost for year 1</w:t>
      </w:r>
      <w:r w:rsidRPr="004165DB">
        <w:rPr>
          <w:rFonts w:eastAsiaTheme="minorEastAsia"/>
        </w:rPr>
        <w:t xml:space="preserve"> – for employers and employees</w:t>
      </w:r>
      <w:r>
        <w:rPr>
          <w:rFonts w:eastAsiaTheme="minorEastAsia"/>
        </w:rPr>
        <w:t xml:space="preserve"> </w:t>
      </w:r>
      <w:r w:rsidRPr="004165DB">
        <w:rPr>
          <w:rFonts w:eastAsiaTheme="minorEastAsia"/>
        </w:rPr>
        <w:t xml:space="preserve">– arising from casual employees wanting to convert under the new definition: </w:t>
      </w:r>
      <w:r w:rsidRPr="004165DB">
        <w:rPr>
          <w:rFonts w:eastAsiaTheme="minorEastAsia"/>
          <w:b/>
          <w:bCs/>
        </w:rPr>
        <w:t>$</w:t>
      </w:r>
      <w:r>
        <w:rPr>
          <w:rFonts w:eastAsiaTheme="minorEastAsia"/>
          <w:b/>
          <w:bCs/>
        </w:rPr>
        <w:t>1,879,690</w:t>
      </w:r>
    </w:p>
    <w:p w14:paraId="705B2A5A" w14:textId="161FAA7B" w:rsidR="00D43AE9" w:rsidRDefault="00D43AE9" w:rsidP="00D43AE9">
      <w:pPr>
        <w:spacing w:before="120" w:after="120" w:line="360" w:lineRule="auto"/>
        <w:rPr>
          <w:rFonts w:eastAsiaTheme="minorEastAsia"/>
        </w:rPr>
      </w:pPr>
      <w:r w:rsidRPr="007B4D2B">
        <w:rPr>
          <w:rFonts w:eastAsiaTheme="minorEastAsia"/>
        </w:rPr>
        <w:t xml:space="preserve">In the first year, 10 per cent of </w:t>
      </w:r>
      <w:r w:rsidRPr="7D643382">
        <w:rPr>
          <w:rFonts w:eastAsiaTheme="minorEastAsia"/>
        </w:rPr>
        <w:t>eligible</w:t>
      </w:r>
      <w:r w:rsidRPr="007B4D2B">
        <w:rPr>
          <w:rFonts w:eastAsiaTheme="minorEastAsia"/>
        </w:rPr>
        <w:t xml:space="preserve"> casual employees convert to a permanent role using the new </w:t>
      </w:r>
      <w:r w:rsidR="00DD0700">
        <w:rPr>
          <w:rFonts w:eastAsiaTheme="minorEastAsia"/>
        </w:rPr>
        <w:t xml:space="preserve">employee choice </w:t>
      </w:r>
      <w:r w:rsidRPr="007B4D2B">
        <w:rPr>
          <w:rFonts w:eastAsiaTheme="minorEastAsia"/>
        </w:rPr>
        <w:t>definition pathway</w:t>
      </w:r>
      <w:r>
        <w:rPr>
          <w:rFonts w:eastAsiaTheme="minorEastAsia"/>
        </w:rPr>
        <w:t>.</w:t>
      </w:r>
      <w:r w:rsidRPr="007B4D2B">
        <w:rPr>
          <w:rFonts w:eastAsiaTheme="minorEastAsia"/>
        </w:rPr>
        <w:t xml:space="preserve"> </w:t>
      </w:r>
      <w:r>
        <w:rPr>
          <w:rFonts w:eastAsiaTheme="minorEastAsia"/>
        </w:rPr>
        <w:t>This will apply to the 924,425</w:t>
      </w:r>
      <w:r w:rsidRPr="7D643382">
        <w:rPr>
          <w:rFonts w:eastAsiaTheme="minorEastAsia"/>
        </w:rPr>
        <w:t xml:space="preserve"> eligible</w:t>
      </w:r>
      <w:r>
        <w:rPr>
          <w:rFonts w:eastAsiaTheme="minorEastAsia"/>
        </w:rPr>
        <w:t xml:space="preserve"> casual employees who have been with their employer for at least 6 months but excludes the 290,269 estimated small business </w:t>
      </w:r>
      <w:r w:rsidRPr="7D643382">
        <w:rPr>
          <w:rFonts w:eastAsiaTheme="minorEastAsia"/>
        </w:rPr>
        <w:t>eligible</w:t>
      </w:r>
      <w:r>
        <w:rPr>
          <w:rFonts w:eastAsiaTheme="minorEastAsia"/>
        </w:rPr>
        <w:t xml:space="preserve"> casual employees.</w:t>
      </w:r>
    </w:p>
    <w:p w14:paraId="6CE6DE1F" w14:textId="77777777" w:rsidR="003518E1" w:rsidRPr="00C62DBA" w:rsidRDefault="003518E1" w:rsidP="003518E1">
      <w:pPr>
        <w:rPr>
          <w:b/>
          <w:bCs/>
        </w:rPr>
      </w:pPr>
      <w:r>
        <w:rPr>
          <w:b/>
          <w:bCs/>
        </w:rPr>
        <w:t xml:space="preserve">Table 3: </w:t>
      </w:r>
      <w:r w:rsidRPr="00C62DBA">
        <w:rPr>
          <w:b/>
          <w:bCs/>
        </w:rPr>
        <w:t xml:space="preserve">Estimated cost </w:t>
      </w:r>
      <w:r>
        <w:rPr>
          <w:b/>
          <w:bCs/>
        </w:rPr>
        <w:t xml:space="preserve">– year 1 </w:t>
      </w:r>
      <w:r w:rsidRPr="00C62DBA">
        <w:rPr>
          <w:b/>
          <w:bCs/>
        </w:rPr>
        <w:t xml:space="preserve">– </w:t>
      </w:r>
      <w:r w:rsidRPr="7D643382">
        <w:rPr>
          <w:b/>
          <w:bCs/>
        </w:rPr>
        <w:t>eligible</w:t>
      </w:r>
      <w:r w:rsidRPr="00C62DBA">
        <w:rPr>
          <w:b/>
          <w:bCs/>
        </w:rPr>
        <w:t xml:space="preserve"> casual employees wanting to convert under </w:t>
      </w:r>
      <w:r>
        <w:rPr>
          <w:b/>
          <w:bCs/>
        </w:rPr>
        <w:t xml:space="preserve">the new </w:t>
      </w:r>
      <w:r w:rsidRPr="00C62DBA">
        <w:rPr>
          <w:b/>
          <w:bCs/>
        </w:rPr>
        <w:t>definition</w:t>
      </w:r>
      <w:r>
        <w:rPr>
          <w:b/>
          <w:bCs/>
        </w:rPr>
        <w:t xml:space="preserve"> – excluding small business </w:t>
      </w:r>
    </w:p>
    <w:tbl>
      <w:tblPr>
        <w:tblStyle w:val="TableGrid"/>
        <w:tblW w:w="0" w:type="auto"/>
        <w:jc w:val="center"/>
        <w:tblLook w:val="04A0" w:firstRow="1" w:lastRow="0" w:firstColumn="1" w:lastColumn="0" w:noHBand="0" w:noVBand="1"/>
      </w:tblPr>
      <w:tblGrid>
        <w:gridCol w:w="1347"/>
        <w:gridCol w:w="1611"/>
        <w:gridCol w:w="1999"/>
        <w:gridCol w:w="2492"/>
        <w:gridCol w:w="1567"/>
      </w:tblGrid>
      <w:tr w:rsidR="003518E1" w:rsidRPr="006173B6" w14:paraId="3A1CE941" w14:textId="77777777">
        <w:trPr>
          <w:jc w:val="center"/>
        </w:trPr>
        <w:tc>
          <w:tcPr>
            <w:tcW w:w="1347" w:type="dxa"/>
          </w:tcPr>
          <w:p w14:paraId="6FE44F0F" w14:textId="77777777" w:rsidR="003518E1" w:rsidRPr="006173B6" w:rsidRDefault="003518E1">
            <w:pPr>
              <w:jc w:val="center"/>
              <w:rPr>
                <w:b/>
                <w:bCs/>
              </w:rPr>
            </w:pPr>
          </w:p>
        </w:tc>
        <w:tc>
          <w:tcPr>
            <w:tcW w:w="1611" w:type="dxa"/>
            <w:vAlign w:val="center"/>
          </w:tcPr>
          <w:p w14:paraId="24B9DFC6" w14:textId="77777777" w:rsidR="003518E1" w:rsidRPr="006173B6" w:rsidRDefault="003518E1">
            <w:pPr>
              <w:jc w:val="center"/>
              <w:rPr>
                <w:b/>
                <w:bCs/>
              </w:rPr>
            </w:pPr>
            <w:r w:rsidRPr="006173B6">
              <w:rPr>
                <w:b/>
                <w:bCs/>
              </w:rPr>
              <w:t>Labour cost/hour</w:t>
            </w:r>
            <w:r w:rsidRPr="006173B6">
              <w:rPr>
                <w:rStyle w:val="FootnoteReference"/>
                <w:b/>
                <w:bCs/>
              </w:rPr>
              <w:footnoteReference w:id="46"/>
            </w:r>
          </w:p>
        </w:tc>
        <w:tc>
          <w:tcPr>
            <w:tcW w:w="1999" w:type="dxa"/>
            <w:vAlign w:val="center"/>
          </w:tcPr>
          <w:p w14:paraId="09CA6302" w14:textId="77777777" w:rsidR="003518E1" w:rsidRPr="006173B6" w:rsidRDefault="003518E1">
            <w:pPr>
              <w:jc w:val="center"/>
              <w:rPr>
                <w:b/>
                <w:bCs/>
              </w:rPr>
            </w:pPr>
            <w:r w:rsidRPr="006173B6">
              <w:rPr>
                <w:b/>
                <w:bCs/>
              </w:rPr>
              <w:t>Time to make assessment (minutes)</w:t>
            </w:r>
            <w:r w:rsidRPr="006173B6">
              <w:rPr>
                <w:rStyle w:val="FootnoteReference"/>
                <w:b/>
                <w:bCs/>
              </w:rPr>
              <w:footnoteReference w:id="47"/>
            </w:r>
          </w:p>
        </w:tc>
        <w:tc>
          <w:tcPr>
            <w:tcW w:w="2492" w:type="dxa"/>
            <w:vAlign w:val="center"/>
          </w:tcPr>
          <w:p w14:paraId="3445006B" w14:textId="77777777" w:rsidR="003518E1" w:rsidRPr="006173B6" w:rsidRDefault="003518E1">
            <w:pPr>
              <w:jc w:val="center"/>
              <w:rPr>
                <w:b/>
                <w:bCs/>
              </w:rPr>
            </w:pPr>
            <w:r w:rsidRPr="00E6343B">
              <w:rPr>
                <w:b/>
                <w:bCs/>
              </w:rPr>
              <w:t>10</w:t>
            </w:r>
            <w:r>
              <w:rPr>
                <w:b/>
                <w:bCs/>
              </w:rPr>
              <w:t xml:space="preserve"> per cent</w:t>
            </w:r>
            <w:r w:rsidRPr="00E6343B">
              <w:rPr>
                <w:b/>
                <w:bCs/>
              </w:rPr>
              <w:t xml:space="preserve"> o</w:t>
            </w:r>
            <w:r w:rsidRPr="006173B6">
              <w:rPr>
                <w:b/>
                <w:bCs/>
              </w:rPr>
              <w:t>f</w:t>
            </w:r>
            <w:r>
              <w:rPr>
                <w:b/>
                <w:bCs/>
              </w:rPr>
              <w:t xml:space="preserve"> </w:t>
            </w:r>
            <w:r w:rsidRPr="7D643382">
              <w:rPr>
                <w:b/>
                <w:bCs/>
              </w:rPr>
              <w:t>eligible</w:t>
            </w:r>
            <w:r w:rsidRPr="006173B6">
              <w:rPr>
                <w:b/>
                <w:bCs/>
              </w:rPr>
              <w:t xml:space="preserve"> casual employees employed</w:t>
            </w:r>
            <w:r>
              <w:rPr>
                <w:b/>
                <w:bCs/>
              </w:rPr>
              <w:t xml:space="preserve"> for more than 6 months</w:t>
            </w:r>
            <w:r w:rsidRPr="006173B6">
              <w:rPr>
                <w:b/>
                <w:bCs/>
              </w:rPr>
              <w:t xml:space="preserve"> </w:t>
            </w:r>
          </w:p>
        </w:tc>
        <w:tc>
          <w:tcPr>
            <w:tcW w:w="1567" w:type="dxa"/>
            <w:vAlign w:val="center"/>
          </w:tcPr>
          <w:p w14:paraId="562DE7A8" w14:textId="77777777" w:rsidR="003518E1" w:rsidRPr="006173B6" w:rsidRDefault="003518E1">
            <w:pPr>
              <w:jc w:val="center"/>
              <w:rPr>
                <w:b/>
                <w:bCs/>
              </w:rPr>
            </w:pPr>
            <w:r w:rsidRPr="006173B6">
              <w:rPr>
                <w:b/>
                <w:bCs/>
              </w:rPr>
              <w:t>Total cost</w:t>
            </w:r>
          </w:p>
        </w:tc>
      </w:tr>
      <w:tr w:rsidR="003518E1" w14:paraId="2E2581B2" w14:textId="77777777">
        <w:trPr>
          <w:jc w:val="center"/>
        </w:trPr>
        <w:tc>
          <w:tcPr>
            <w:tcW w:w="1347" w:type="dxa"/>
          </w:tcPr>
          <w:p w14:paraId="022D388F" w14:textId="77777777" w:rsidR="003518E1" w:rsidRDefault="003518E1">
            <w:pPr>
              <w:jc w:val="center"/>
            </w:pPr>
            <w:r>
              <w:t>Employer</w:t>
            </w:r>
          </w:p>
        </w:tc>
        <w:tc>
          <w:tcPr>
            <w:tcW w:w="1611" w:type="dxa"/>
            <w:vAlign w:val="center"/>
          </w:tcPr>
          <w:p w14:paraId="1BDF868A" w14:textId="77777777" w:rsidR="003518E1" w:rsidRDefault="003518E1">
            <w:pPr>
              <w:jc w:val="center"/>
            </w:pPr>
            <w:r>
              <w:t>$79.63</w:t>
            </w:r>
          </w:p>
        </w:tc>
        <w:tc>
          <w:tcPr>
            <w:tcW w:w="1999" w:type="dxa"/>
            <w:vAlign w:val="center"/>
          </w:tcPr>
          <w:p w14:paraId="693925A3" w14:textId="77777777" w:rsidR="003518E1" w:rsidRDefault="003518E1">
            <w:pPr>
              <w:jc w:val="center"/>
            </w:pPr>
            <w:r>
              <w:t>15</w:t>
            </w:r>
          </w:p>
        </w:tc>
        <w:tc>
          <w:tcPr>
            <w:tcW w:w="2492" w:type="dxa"/>
            <w:vAlign w:val="center"/>
          </w:tcPr>
          <w:p w14:paraId="5065D653" w14:textId="77777777" w:rsidR="003518E1" w:rsidRDefault="003518E1">
            <w:pPr>
              <w:spacing w:line="259" w:lineRule="auto"/>
              <w:jc w:val="center"/>
              <w:rPr>
                <w:rFonts w:ascii="Calibri" w:eastAsia="Calibri" w:hAnsi="Calibri" w:cs="Calibri"/>
                <w:lang w:val="en-GB"/>
              </w:rPr>
            </w:pPr>
            <w:r>
              <w:t>63,416</w:t>
            </w:r>
          </w:p>
        </w:tc>
        <w:tc>
          <w:tcPr>
            <w:tcW w:w="1567" w:type="dxa"/>
            <w:vAlign w:val="center"/>
          </w:tcPr>
          <w:p w14:paraId="6DDC0E82" w14:textId="77777777" w:rsidR="003518E1" w:rsidRDefault="003518E1">
            <w:pPr>
              <w:jc w:val="center"/>
            </w:pPr>
            <w:r>
              <w:t>$1,262,445</w:t>
            </w:r>
          </w:p>
        </w:tc>
      </w:tr>
      <w:tr w:rsidR="003518E1" w:rsidRPr="00182461" w14:paraId="2974A85A" w14:textId="77777777">
        <w:trPr>
          <w:trHeight w:val="300"/>
          <w:jc w:val="center"/>
        </w:trPr>
        <w:tc>
          <w:tcPr>
            <w:tcW w:w="1347" w:type="dxa"/>
          </w:tcPr>
          <w:p w14:paraId="6FED55DD" w14:textId="77777777" w:rsidR="003518E1" w:rsidRPr="00182461" w:rsidRDefault="003518E1">
            <w:pPr>
              <w:jc w:val="center"/>
            </w:pPr>
            <w:r>
              <w:t>Employee</w:t>
            </w:r>
          </w:p>
        </w:tc>
        <w:tc>
          <w:tcPr>
            <w:tcW w:w="1611" w:type="dxa"/>
            <w:vAlign w:val="center"/>
          </w:tcPr>
          <w:p w14:paraId="7F03F512" w14:textId="77777777" w:rsidR="003518E1" w:rsidRPr="00182461" w:rsidRDefault="003518E1">
            <w:pPr>
              <w:jc w:val="center"/>
            </w:pPr>
            <w:r w:rsidRPr="00182461">
              <w:t>$</w:t>
            </w:r>
            <w:r>
              <w:t>29.20</w:t>
            </w:r>
          </w:p>
        </w:tc>
        <w:tc>
          <w:tcPr>
            <w:tcW w:w="1999" w:type="dxa"/>
            <w:vAlign w:val="center"/>
          </w:tcPr>
          <w:p w14:paraId="55DDA20F" w14:textId="77777777" w:rsidR="003518E1" w:rsidRPr="00182461" w:rsidRDefault="003518E1">
            <w:pPr>
              <w:jc w:val="center"/>
            </w:pPr>
            <w:r>
              <w:t>20</w:t>
            </w:r>
          </w:p>
        </w:tc>
        <w:tc>
          <w:tcPr>
            <w:tcW w:w="2492" w:type="dxa"/>
            <w:vAlign w:val="center"/>
          </w:tcPr>
          <w:p w14:paraId="329EF04B" w14:textId="77777777" w:rsidR="003518E1" w:rsidRPr="00182461" w:rsidRDefault="003518E1">
            <w:pPr>
              <w:spacing w:line="259" w:lineRule="auto"/>
              <w:jc w:val="center"/>
              <w:rPr>
                <w:rFonts w:ascii="Calibri" w:eastAsia="Calibri" w:hAnsi="Calibri" w:cs="Calibri"/>
                <w:lang w:val="en-GB"/>
              </w:rPr>
            </w:pPr>
            <w:r>
              <w:t>63,416</w:t>
            </w:r>
          </w:p>
        </w:tc>
        <w:tc>
          <w:tcPr>
            <w:tcW w:w="1567" w:type="dxa"/>
            <w:vAlign w:val="center"/>
          </w:tcPr>
          <w:p w14:paraId="167534BB" w14:textId="77777777" w:rsidR="003518E1" w:rsidRPr="00182461" w:rsidRDefault="003518E1">
            <w:pPr>
              <w:jc w:val="center"/>
            </w:pPr>
            <w:r w:rsidRPr="00182461">
              <w:t>$</w:t>
            </w:r>
            <w:r>
              <w:t>617,245</w:t>
            </w:r>
          </w:p>
        </w:tc>
      </w:tr>
      <w:tr w:rsidR="003518E1" w:rsidRPr="00C62DBA" w14:paraId="20CA9E41" w14:textId="77777777">
        <w:trPr>
          <w:jc w:val="center"/>
        </w:trPr>
        <w:tc>
          <w:tcPr>
            <w:tcW w:w="1347" w:type="dxa"/>
          </w:tcPr>
          <w:p w14:paraId="7B6B43EE" w14:textId="77777777" w:rsidR="003518E1" w:rsidRPr="00C62DBA" w:rsidRDefault="003518E1">
            <w:pPr>
              <w:jc w:val="center"/>
              <w:rPr>
                <w:b/>
                <w:bCs/>
              </w:rPr>
            </w:pPr>
            <w:r w:rsidRPr="00C62DBA">
              <w:rPr>
                <w:b/>
                <w:bCs/>
              </w:rPr>
              <w:t>Total</w:t>
            </w:r>
          </w:p>
        </w:tc>
        <w:tc>
          <w:tcPr>
            <w:tcW w:w="1611" w:type="dxa"/>
            <w:vAlign w:val="center"/>
          </w:tcPr>
          <w:p w14:paraId="5D1A0D5A" w14:textId="77777777" w:rsidR="003518E1" w:rsidRPr="00C62DBA" w:rsidRDefault="003518E1">
            <w:pPr>
              <w:jc w:val="center"/>
              <w:rPr>
                <w:b/>
                <w:bCs/>
              </w:rPr>
            </w:pPr>
            <w:r>
              <w:rPr>
                <w:b/>
                <w:bCs/>
              </w:rPr>
              <w:t>-</w:t>
            </w:r>
          </w:p>
        </w:tc>
        <w:tc>
          <w:tcPr>
            <w:tcW w:w="1999" w:type="dxa"/>
            <w:vAlign w:val="center"/>
          </w:tcPr>
          <w:p w14:paraId="4B7F1454" w14:textId="77777777" w:rsidR="003518E1" w:rsidRPr="00C62DBA" w:rsidRDefault="003518E1">
            <w:pPr>
              <w:jc w:val="center"/>
              <w:rPr>
                <w:b/>
                <w:bCs/>
              </w:rPr>
            </w:pPr>
            <w:r>
              <w:rPr>
                <w:b/>
                <w:bCs/>
              </w:rPr>
              <w:t>-</w:t>
            </w:r>
          </w:p>
        </w:tc>
        <w:tc>
          <w:tcPr>
            <w:tcW w:w="2492" w:type="dxa"/>
            <w:vAlign w:val="center"/>
          </w:tcPr>
          <w:p w14:paraId="653BC42A" w14:textId="77777777" w:rsidR="003518E1" w:rsidRPr="00C62DBA" w:rsidRDefault="003518E1">
            <w:pPr>
              <w:jc w:val="center"/>
              <w:rPr>
                <w:b/>
                <w:bCs/>
              </w:rPr>
            </w:pPr>
            <w:r>
              <w:rPr>
                <w:b/>
                <w:bCs/>
              </w:rPr>
              <w:t>-</w:t>
            </w:r>
          </w:p>
        </w:tc>
        <w:tc>
          <w:tcPr>
            <w:tcW w:w="1567" w:type="dxa"/>
            <w:vAlign w:val="center"/>
          </w:tcPr>
          <w:p w14:paraId="40E15D71" w14:textId="77777777" w:rsidR="003518E1" w:rsidRPr="00C62DBA" w:rsidRDefault="003518E1">
            <w:pPr>
              <w:jc w:val="center"/>
              <w:rPr>
                <w:b/>
                <w:bCs/>
              </w:rPr>
            </w:pPr>
            <w:r w:rsidRPr="00C62DBA">
              <w:rPr>
                <w:b/>
                <w:bCs/>
              </w:rPr>
              <w:t>$</w:t>
            </w:r>
            <w:r w:rsidRPr="7650F29E">
              <w:rPr>
                <w:b/>
                <w:bCs/>
              </w:rPr>
              <w:t>1,879,690</w:t>
            </w:r>
          </w:p>
        </w:tc>
      </w:tr>
    </w:tbl>
    <w:p w14:paraId="1825F42A" w14:textId="77777777" w:rsidR="003518E1" w:rsidRDefault="003518E1" w:rsidP="003518E1">
      <w:pPr>
        <w:rPr>
          <w:b/>
          <w:bCs/>
        </w:rPr>
      </w:pPr>
    </w:p>
    <w:p w14:paraId="48818922" w14:textId="77777777" w:rsidR="00106AED" w:rsidRPr="007B4D2B" w:rsidRDefault="00106AED" w:rsidP="00106AED">
      <w:pPr>
        <w:rPr>
          <w:b/>
          <w:bCs/>
          <w:u w:val="single"/>
        </w:rPr>
      </w:pPr>
      <w:r w:rsidRPr="007B4D2B">
        <w:rPr>
          <w:b/>
          <w:bCs/>
          <w:u w:val="single"/>
        </w:rPr>
        <w:t>Year</w:t>
      </w:r>
      <w:r>
        <w:rPr>
          <w:b/>
          <w:bCs/>
          <w:u w:val="single"/>
        </w:rPr>
        <w:t>s</w:t>
      </w:r>
      <w:r w:rsidRPr="007B4D2B">
        <w:rPr>
          <w:b/>
          <w:bCs/>
          <w:u w:val="single"/>
        </w:rPr>
        <w:t xml:space="preserve"> 2 to </w:t>
      </w:r>
      <w:r>
        <w:rPr>
          <w:b/>
          <w:bCs/>
          <w:u w:val="single"/>
        </w:rPr>
        <w:t>10</w:t>
      </w:r>
      <w:r w:rsidRPr="007B4D2B">
        <w:rPr>
          <w:b/>
          <w:bCs/>
          <w:u w:val="single"/>
        </w:rPr>
        <w:t xml:space="preserve"> costs</w:t>
      </w:r>
    </w:p>
    <w:p w14:paraId="2C76C92D" w14:textId="77777777" w:rsidR="00106AED" w:rsidRDefault="00106AED" w:rsidP="00106AED">
      <w:pPr>
        <w:spacing w:before="120" w:after="120" w:line="360" w:lineRule="auto"/>
        <w:rPr>
          <w:rFonts w:eastAsiaTheme="minorEastAsia"/>
          <w:b/>
          <w:bCs/>
        </w:rPr>
      </w:pPr>
      <w:r w:rsidRPr="004165DB">
        <w:rPr>
          <w:rFonts w:eastAsiaTheme="minorEastAsia"/>
        </w:rPr>
        <w:t xml:space="preserve">Table </w:t>
      </w:r>
      <w:r>
        <w:rPr>
          <w:rFonts w:eastAsiaTheme="minorEastAsia"/>
        </w:rPr>
        <w:t>4</w:t>
      </w:r>
      <w:r w:rsidRPr="004165DB">
        <w:rPr>
          <w:rFonts w:eastAsiaTheme="minorEastAsia"/>
        </w:rPr>
        <w:t xml:space="preserve"> gives the </w:t>
      </w:r>
      <w:r w:rsidRPr="004165DB">
        <w:rPr>
          <w:rFonts w:eastAsiaTheme="minorEastAsia"/>
          <w:b/>
          <w:bCs/>
        </w:rPr>
        <w:t>estimated annual cost for years 2</w:t>
      </w:r>
      <w:r>
        <w:rPr>
          <w:rFonts w:eastAsiaTheme="minorEastAsia"/>
          <w:b/>
          <w:bCs/>
        </w:rPr>
        <w:t xml:space="preserve"> to </w:t>
      </w:r>
      <w:r w:rsidRPr="004165DB">
        <w:rPr>
          <w:rFonts w:eastAsiaTheme="minorEastAsia"/>
          <w:b/>
          <w:bCs/>
        </w:rPr>
        <w:t>5</w:t>
      </w:r>
      <w:r w:rsidRPr="004165DB">
        <w:rPr>
          <w:rFonts w:eastAsiaTheme="minorEastAsia"/>
        </w:rPr>
        <w:t xml:space="preserve"> – for employers and employees – arising from casual employees wanting to convert under the new definition</w:t>
      </w:r>
      <w:r>
        <w:rPr>
          <w:rFonts w:eastAsiaTheme="minorEastAsia"/>
        </w:rPr>
        <w:t>:</w:t>
      </w:r>
      <w:r w:rsidRPr="004165DB">
        <w:rPr>
          <w:rFonts w:eastAsiaTheme="minorEastAsia"/>
        </w:rPr>
        <w:t xml:space="preserve"> </w:t>
      </w:r>
      <w:r w:rsidRPr="004165DB">
        <w:rPr>
          <w:rFonts w:eastAsiaTheme="minorEastAsia"/>
          <w:b/>
          <w:bCs/>
        </w:rPr>
        <w:t>$</w:t>
      </w:r>
      <w:r w:rsidRPr="08BEDFC3">
        <w:rPr>
          <w:rFonts w:eastAsiaTheme="minorEastAsia"/>
          <w:b/>
          <w:bCs/>
        </w:rPr>
        <w:t>830,984</w:t>
      </w:r>
      <w:r>
        <w:rPr>
          <w:rFonts w:eastAsiaTheme="minorEastAsia"/>
          <w:b/>
          <w:bCs/>
        </w:rPr>
        <w:t xml:space="preserve"> </w:t>
      </w:r>
      <w:r w:rsidRPr="004165DB">
        <w:rPr>
          <w:rFonts w:eastAsiaTheme="minorEastAsia"/>
          <w:b/>
          <w:bCs/>
        </w:rPr>
        <w:t>per year</w:t>
      </w:r>
      <w:r w:rsidRPr="00085F6C">
        <w:rPr>
          <w:rFonts w:eastAsiaTheme="minorEastAsia"/>
        </w:rPr>
        <w:t>.</w:t>
      </w:r>
    </w:p>
    <w:p w14:paraId="6410856F" w14:textId="77777777" w:rsidR="00106AED" w:rsidRPr="007B4D2B" w:rsidRDefault="00106AED" w:rsidP="00106AED">
      <w:pPr>
        <w:spacing w:before="120" w:after="120" w:line="360" w:lineRule="auto"/>
        <w:rPr>
          <w:rFonts w:eastAsiaTheme="minorEastAsia"/>
          <w:b/>
          <w:bCs/>
        </w:rPr>
      </w:pPr>
      <w:r w:rsidRPr="00EC0776">
        <w:rPr>
          <w:rFonts w:eastAsiaTheme="minorEastAsia"/>
        </w:rPr>
        <w:t xml:space="preserve">Table </w:t>
      </w:r>
      <w:r>
        <w:rPr>
          <w:rFonts w:eastAsiaTheme="minorEastAsia"/>
        </w:rPr>
        <w:t>5</w:t>
      </w:r>
      <w:r w:rsidRPr="00EC0776">
        <w:rPr>
          <w:rFonts w:eastAsiaTheme="minorEastAsia"/>
        </w:rPr>
        <w:t xml:space="preserve"> gives the </w:t>
      </w:r>
      <w:r w:rsidRPr="00EC0776">
        <w:rPr>
          <w:rFonts w:eastAsiaTheme="minorEastAsia"/>
          <w:b/>
          <w:bCs/>
        </w:rPr>
        <w:t>estimated annual cost for years 6</w:t>
      </w:r>
      <w:r>
        <w:rPr>
          <w:rFonts w:eastAsiaTheme="minorEastAsia"/>
          <w:b/>
          <w:bCs/>
        </w:rPr>
        <w:t xml:space="preserve"> to </w:t>
      </w:r>
      <w:r w:rsidRPr="00EC0776">
        <w:rPr>
          <w:rFonts w:eastAsiaTheme="minorEastAsia"/>
          <w:b/>
          <w:bCs/>
        </w:rPr>
        <w:t>10</w:t>
      </w:r>
      <w:r w:rsidRPr="00EC0776">
        <w:rPr>
          <w:rFonts w:eastAsiaTheme="minorEastAsia"/>
        </w:rPr>
        <w:t xml:space="preserve"> – for employers and employees – arising from casual employees wanting to convert under the new definition: </w:t>
      </w:r>
      <w:r w:rsidRPr="00EC0776">
        <w:rPr>
          <w:rFonts w:eastAsiaTheme="minorEastAsia"/>
          <w:b/>
          <w:bCs/>
        </w:rPr>
        <w:t>$</w:t>
      </w:r>
      <w:r w:rsidRPr="08BEDFC3">
        <w:rPr>
          <w:rFonts w:eastAsiaTheme="minorEastAsia"/>
          <w:b/>
          <w:bCs/>
        </w:rPr>
        <w:t>415,</w:t>
      </w:r>
      <w:r w:rsidRPr="45452781">
        <w:rPr>
          <w:rFonts w:eastAsiaTheme="minorEastAsia"/>
          <w:b/>
          <w:bCs/>
        </w:rPr>
        <w:t xml:space="preserve">492 </w:t>
      </w:r>
      <w:r w:rsidRPr="00EC0776">
        <w:rPr>
          <w:rFonts w:eastAsiaTheme="minorEastAsia"/>
          <w:b/>
          <w:bCs/>
        </w:rPr>
        <w:t>per year</w:t>
      </w:r>
      <w:r w:rsidRPr="00085F6C">
        <w:rPr>
          <w:rFonts w:eastAsiaTheme="minorEastAsia"/>
        </w:rPr>
        <w:t>.</w:t>
      </w:r>
    </w:p>
    <w:p w14:paraId="68DBD51A" w14:textId="501821BD" w:rsidR="00D10188" w:rsidRDefault="00106AED" w:rsidP="00106AED">
      <w:pPr>
        <w:spacing w:before="120" w:after="120" w:line="360" w:lineRule="auto"/>
        <w:rPr>
          <w:rFonts w:eastAsiaTheme="minorEastAsia"/>
        </w:rPr>
      </w:pPr>
      <w:r w:rsidRPr="004165DB">
        <w:rPr>
          <w:rFonts w:eastAsiaTheme="minorEastAsia"/>
        </w:rPr>
        <w:t xml:space="preserve">For conversion under the new definition, the department estimates that the proportion of </w:t>
      </w:r>
      <w:r w:rsidRPr="7D643382">
        <w:rPr>
          <w:rFonts w:eastAsiaTheme="minorEastAsia"/>
        </w:rPr>
        <w:t>eligible</w:t>
      </w:r>
      <w:r w:rsidRPr="004165DB">
        <w:rPr>
          <w:rFonts w:eastAsiaTheme="minorEastAsia"/>
        </w:rPr>
        <w:t xml:space="preserve"> casuals seeking conversion remains at 10 per cent over years 2-5, before dropping to 5 per cent for years 6-10, aligning with the assumption</w:t>
      </w:r>
      <w:r w:rsidR="00354D80">
        <w:rPr>
          <w:rFonts w:eastAsiaTheme="minorEastAsia"/>
        </w:rPr>
        <w:t xml:space="preserve"> that</w:t>
      </w:r>
      <w:r w:rsidR="00FB5D93">
        <w:rPr>
          <w:rFonts w:eastAsiaTheme="minorEastAsia"/>
        </w:rPr>
        <w:t xml:space="preserve"> the</w:t>
      </w:r>
      <w:r w:rsidR="00CC6904">
        <w:rPr>
          <w:rFonts w:eastAsiaTheme="minorEastAsia"/>
        </w:rPr>
        <w:t xml:space="preserve"> </w:t>
      </w:r>
      <w:r w:rsidR="004327A6">
        <w:rPr>
          <w:rFonts w:eastAsiaTheme="minorEastAsia"/>
        </w:rPr>
        <w:t xml:space="preserve">incidence of employees </w:t>
      </w:r>
      <w:r w:rsidR="004327A6" w:rsidRPr="38617D9C">
        <w:rPr>
          <w:rFonts w:eastAsiaTheme="minorEastAsia"/>
        </w:rPr>
        <w:t>being</w:t>
      </w:r>
      <w:r w:rsidR="004327A6">
        <w:rPr>
          <w:rFonts w:eastAsiaTheme="minorEastAsia"/>
        </w:rPr>
        <w:t xml:space="preserve"> classified as casual but working in a manner akin to a permanent employee</w:t>
      </w:r>
      <w:r w:rsidR="004327A6" w:rsidDel="004327A6">
        <w:rPr>
          <w:rFonts w:eastAsiaTheme="minorEastAsia"/>
        </w:rPr>
        <w:t xml:space="preserve"> </w:t>
      </w:r>
      <w:r w:rsidRPr="004165DB">
        <w:rPr>
          <w:rFonts w:eastAsiaTheme="minorEastAsia"/>
        </w:rPr>
        <w:t xml:space="preserve">will reduce as </w:t>
      </w:r>
      <w:r w:rsidR="00D97F69">
        <w:rPr>
          <w:rFonts w:eastAsiaTheme="minorEastAsia"/>
        </w:rPr>
        <w:t xml:space="preserve">understanding and application of the new definition increases. </w:t>
      </w:r>
      <w:r w:rsidRPr="004165DB">
        <w:rPr>
          <w:rFonts w:eastAsiaTheme="minorEastAsia"/>
        </w:rPr>
        <w:t xml:space="preserve"> </w:t>
      </w:r>
    </w:p>
    <w:p w14:paraId="2A81ADD9" w14:textId="77777777" w:rsidR="00D10188" w:rsidRDefault="00D10188">
      <w:pPr>
        <w:rPr>
          <w:rFonts w:eastAsiaTheme="minorEastAsia"/>
        </w:rPr>
      </w:pPr>
      <w:r>
        <w:rPr>
          <w:rFonts w:eastAsiaTheme="minorEastAsia"/>
        </w:rPr>
        <w:br w:type="page"/>
      </w:r>
    </w:p>
    <w:p w14:paraId="5B7C88F3" w14:textId="77777777" w:rsidR="00F5591D" w:rsidRPr="00E6343B" w:rsidRDefault="00F5591D" w:rsidP="00F5591D">
      <w:pPr>
        <w:rPr>
          <w:b/>
          <w:bCs/>
        </w:rPr>
      </w:pPr>
      <w:r w:rsidRPr="00E6343B">
        <w:rPr>
          <w:b/>
          <w:bCs/>
        </w:rPr>
        <w:lastRenderedPageBreak/>
        <w:t xml:space="preserve">Table </w:t>
      </w:r>
      <w:r w:rsidRPr="3C371470">
        <w:rPr>
          <w:b/>
          <w:bCs/>
        </w:rPr>
        <w:t>4</w:t>
      </w:r>
      <w:r w:rsidRPr="00E6343B">
        <w:rPr>
          <w:b/>
          <w:bCs/>
        </w:rPr>
        <w:t>: Estimated annual cost – years 2</w:t>
      </w:r>
      <w:r>
        <w:rPr>
          <w:b/>
          <w:bCs/>
        </w:rPr>
        <w:t xml:space="preserve"> to 5</w:t>
      </w:r>
      <w:r w:rsidRPr="00E6343B">
        <w:rPr>
          <w:b/>
          <w:bCs/>
        </w:rPr>
        <w:t xml:space="preserve">, </w:t>
      </w:r>
      <w:r w:rsidRPr="3C371470">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excluding small business </w:t>
      </w:r>
    </w:p>
    <w:tbl>
      <w:tblPr>
        <w:tblStyle w:val="TableGrid"/>
        <w:tblW w:w="0" w:type="auto"/>
        <w:jc w:val="center"/>
        <w:tblLook w:val="04A0" w:firstRow="1" w:lastRow="0" w:firstColumn="1" w:lastColumn="0" w:noHBand="0" w:noVBand="1"/>
      </w:tblPr>
      <w:tblGrid>
        <w:gridCol w:w="1347"/>
        <w:gridCol w:w="1611"/>
        <w:gridCol w:w="2239"/>
        <w:gridCol w:w="2252"/>
        <w:gridCol w:w="1567"/>
      </w:tblGrid>
      <w:tr w:rsidR="00F5591D" w:rsidRPr="006173B6" w14:paraId="51DE455F" w14:textId="77777777">
        <w:trPr>
          <w:jc w:val="center"/>
        </w:trPr>
        <w:tc>
          <w:tcPr>
            <w:tcW w:w="1347" w:type="dxa"/>
          </w:tcPr>
          <w:p w14:paraId="539EC478" w14:textId="77777777" w:rsidR="00F5591D" w:rsidRPr="006173B6" w:rsidRDefault="00F5591D">
            <w:pPr>
              <w:jc w:val="center"/>
              <w:rPr>
                <w:b/>
                <w:bCs/>
              </w:rPr>
            </w:pPr>
          </w:p>
        </w:tc>
        <w:tc>
          <w:tcPr>
            <w:tcW w:w="1611" w:type="dxa"/>
            <w:vAlign w:val="center"/>
          </w:tcPr>
          <w:p w14:paraId="0CE4028B" w14:textId="77777777" w:rsidR="00F5591D" w:rsidRPr="006173B6" w:rsidRDefault="00F5591D">
            <w:pPr>
              <w:jc w:val="center"/>
              <w:rPr>
                <w:b/>
                <w:bCs/>
              </w:rPr>
            </w:pPr>
            <w:r w:rsidRPr="006173B6">
              <w:rPr>
                <w:b/>
                <w:bCs/>
              </w:rPr>
              <w:t>Labour cost/hour</w:t>
            </w:r>
            <w:r w:rsidRPr="006173B6">
              <w:rPr>
                <w:rStyle w:val="FootnoteReference"/>
                <w:b/>
                <w:bCs/>
              </w:rPr>
              <w:footnoteReference w:id="48"/>
            </w:r>
          </w:p>
        </w:tc>
        <w:tc>
          <w:tcPr>
            <w:tcW w:w="2239" w:type="dxa"/>
            <w:vAlign w:val="center"/>
          </w:tcPr>
          <w:p w14:paraId="224244E5" w14:textId="77777777" w:rsidR="00F5591D" w:rsidRPr="006173B6" w:rsidRDefault="00F5591D">
            <w:pPr>
              <w:jc w:val="center"/>
              <w:rPr>
                <w:b/>
                <w:bCs/>
              </w:rPr>
            </w:pPr>
            <w:r w:rsidRPr="006173B6">
              <w:rPr>
                <w:b/>
                <w:bCs/>
              </w:rPr>
              <w:t>Time to make assessment (minutes)</w:t>
            </w:r>
            <w:r w:rsidRPr="006173B6">
              <w:rPr>
                <w:rStyle w:val="FootnoteReference"/>
                <w:b/>
                <w:bCs/>
              </w:rPr>
              <w:footnoteReference w:id="49"/>
            </w:r>
          </w:p>
        </w:tc>
        <w:tc>
          <w:tcPr>
            <w:tcW w:w="2252" w:type="dxa"/>
            <w:vAlign w:val="center"/>
          </w:tcPr>
          <w:p w14:paraId="6359DA15" w14:textId="77777777" w:rsidR="00F5591D" w:rsidRPr="006173B6" w:rsidRDefault="00F5591D">
            <w:pPr>
              <w:jc w:val="center"/>
              <w:rPr>
                <w:b/>
                <w:bCs/>
              </w:rPr>
            </w:pPr>
            <w:r w:rsidRPr="03192A06">
              <w:rPr>
                <w:rFonts w:ascii="Calibri" w:eastAsia="Times New Roman" w:hAnsi="Calibri" w:cs="Calibri"/>
                <w:b/>
                <w:color w:val="000000" w:themeColor="text1"/>
                <w:lang w:eastAsia="en-AU"/>
              </w:rPr>
              <w:t>10</w:t>
            </w:r>
            <w:r>
              <w:rPr>
                <w:rFonts w:ascii="Calibri" w:eastAsia="Times New Roman" w:hAnsi="Calibri" w:cs="Calibri"/>
                <w:b/>
                <w:color w:val="000000" w:themeColor="text1"/>
                <w:lang w:eastAsia="en-AU"/>
              </w:rPr>
              <w:t xml:space="preserve"> per cent</w:t>
            </w:r>
            <w:r w:rsidRPr="03192A06">
              <w:rPr>
                <w:rFonts w:ascii="Calibri" w:eastAsia="Times New Roman" w:hAnsi="Calibri" w:cs="Calibri"/>
                <w:b/>
                <w:color w:val="000000" w:themeColor="text1"/>
                <w:lang w:eastAsia="en-AU"/>
              </w:rPr>
              <w:t xml:space="preserve"> of </w:t>
            </w:r>
            <w:r w:rsidRPr="7D643382">
              <w:rPr>
                <w:rFonts w:ascii="Calibri" w:eastAsia="Times New Roman" w:hAnsi="Calibri" w:cs="Calibri"/>
                <w:b/>
                <w:bCs/>
                <w:color w:val="000000" w:themeColor="text1"/>
                <w:lang w:eastAsia="en-AU"/>
              </w:rPr>
              <w:t>eligible</w:t>
            </w:r>
            <w:r w:rsidRPr="03192A06">
              <w:rPr>
                <w:rFonts w:ascii="Calibri" w:eastAsia="Times New Roman" w:hAnsi="Calibri" w:cs="Calibri"/>
                <w:b/>
                <w:color w:val="000000" w:themeColor="text1"/>
                <w:lang w:eastAsia="en-AU"/>
              </w:rPr>
              <w:t xml:space="preserve"> casual employees employed </w:t>
            </w:r>
            <w:r>
              <w:rPr>
                <w:rFonts w:ascii="Calibri" w:eastAsia="Times New Roman" w:hAnsi="Calibri" w:cs="Calibri"/>
                <w:b/>
                <w:color w:val="000000" w:themeColor="text1"/>
                <w:lang w:eastAsia="en-AU"/>
              </w:rPr>
              <w:t>between 6 and</w:t>
            </w:r>
            <w:r w:rsidRPr="03192A06">
              <w:rPr>
                <w:rFonts w:ascii="Calibri" w:eastAsia="Times New Roman" w:hAnsi="Calibri" w:cs="Calibri"/>
                <w:b/>
                <w:color w:val="000000" w:themeColor="text1"/>
                <w:lang w:eastAsia="en-AU"/>
              </w:rPr>
              <w:t xml:space="preserve"> 12 months</w:t>
            </w:r>
          </w:p>
        </w:tc>
        <w:tc>
          <w:tcPr>
            <w:tcW w:w="1567" w:type="dxa"/>
            <w:vAlign w:val="center"/>
          </w:tcPr>
          <w:p w14:paraId="0910501E" w14:textId="77777777" w:rsidR="00F5591D" w:rsidRPr="006173B6" w:rsidRDefault="00F5591D">
            <w:pPr>
              <w:jc w:val="center"/>
              <w:rPr>
                <w:b/>
                <w:bCs/>
              </w:rPr>
            </w:pPr>
            <w:r w:rsidRPr="006173B6">
              <w:rPr>
                <w:b/>
                <w:bCs/>
              </w:rPr>
              <w:t>Total cost</w:t>
            </w:r>
          </w:p>
        </w:tc>
      </w:tr>
      <w:tr w:rsidR="00F5591D" w14:paraId="779389CC" w14:textId="77777777">
        <w:trPr>
          <w:jc w:val="center"/>
        </w:trPr>
        <w:tc>
          <w:tcPr>
            <w:tcW w:w="1347" w:type="dxa"/>
          </w:tcPr>
          <w:p w14:paraId="5718295F" w14:textId="77777777" w:rsidR="00F5591D" w:rsidRDefault="00F5591D">
            <w:pPr>
              <w:jc w:val="center"/>
            </w:pPr>
            <w:r>
              <w:t>Employer</w:t>
            </w:r>
          </w:p>
        </w:tc>
        <w:tc>
          <w:tcPr>
            <w:tcW w:w="1611" w:type="dxa"/>
            <w:vAlign w:val="center"/>
          </w:tcPr>
          <w:p w14:paraId="54F815E0" w14:textId="77777777" w:rsidR="00F5591D" w:rsidRDefault="00F5591D">
            <w:pPr>
              <w:jc w:val="center"/>
            </w:pPr>
            <w:r>
              <w:t>$79.63</w:t>
            </w:r>
          </w:p>
        </w:tc>
        <w:tc>
          <w:tcPr>
            <w:tcW w:w="2239" w:type="dxa"/>
            <w:vAlign w:val="center"/>
          </w:tcPr>
          <w:p w14:paraId="4C6C0F96" w14:textId="77777777" w:rsidR="00F5591D" w:rsidRDefault="00F5591D">
            <w:pPr>
              <w:jc w:val="center"/>
            </w:pPr>
            <w:r>
              <w:t>15</w:t>
            </w:r>
          </w:p>
        </w:tc>
        <w:tc>
          <w:tcPr>
            <w:tcW w:w="2252" w:type="dxa"/>
            <w:vAlign w:val="center"/>
          </w:tcPr>
          <w:p w14:paraId="689EC5D5" w14:textId="77777777" w:rsidR="00F5591D" w:rsidRDefault="00F5591D">
            <w:pPr>
              <w:jc w:val="center"/>
            </w:pPr>
            <w:r>
              <w:rPr>
                <w:rFonts w:ascii="Calibri" w:eastAsia="Times New Roman" w:hAnsi="Calibri" w:cs="Calibri"/>
                <w:color w:val="000000" w:themeColor="text1"/>
                <w:lang w:eastAsia="en-AU"/>
              </w:rPr>
              <w:t>28,035</w:t>
            </w:r>
          </w:p>
        </w:tc>
        <w:tc>
          <w:tcPr>
            <w:tcW w:w="1567" w:type="dxa"/>
            <w:vAlign w:val="center"/>
          </w:tcPr>
          <w:p w14:paraId="2E185C24" w14:textId="77777777" w:rsidR="00F5591D" w:rsidRDefault="00F5591D">
            <w:pPr>
              <w:jc w:val="center"/>
            </w:pPr>
            <w:r w:rsidRPr="03192A06">
              <w:rPr>
                <w:rFonts w:ascii="Calibri" w:eastAsia="Times New Roman" w:hAnsi="Calibri" w:cs="Calibri"/>
                <w:color w:val="000000" w:themeColor="text1"/>
                <w:lang w:eastAsia="en-AU"/>
              </w:rPr>
              <w:t>$</w:t>
            </w:r>
            <w:r>
              <w:rPr>
                <w:rFonts w:ascii="Calibri" w:eastAsia="Times New Roman" w:hAnsi="Calibri" w:cs="Calibri"/>
                <w:color w:val="000000" w:themeColor="text1"/>
                <w:lang w:eastAsia="en-AU"/>
              </w:rPr>
              <w:t>558,109</w:t>
            </w:r>
          </w:p>
        </w:tc>
      </w:tr>
      <w:tr w:rsidR="00F5591D" w:rsidRPr="00182461" w14:paraId="53F39F04" w14:textId="77777777">
        <w:trPr>
          <w:jc w:val="center"/>
        </w:trPr>
        <w:tc>
          <w:tcPr>
            <w:tcW w:w="1347" w:type="dxa"/>
          </w:tcPr>
          <w:p w14:paraId="721A4434" w14:textId="77777777" w:rsidR="00F5591D" w:rsidRPr="00182461" w:rsidRDefault="00F5591D">
            <w:pPr>
              <w:jc w:val="center"/>
            </w:pPr>
            <w:r>
              <w:t>Employee</w:t>
            </w:r>
          </w:p>
        </w:tc>
        <w:tc>
          <w:tcPr>
            <w:tcW w:w="1611" w:type="dxa"/>
            <w:vAlign w:val="center"/>
          </w:tcPr>
          <w:p w14:paraId="74B76AB6" w14:textId="77777777" w:rsidR="00F5591D" w:rsidRPr="00182461" w:rsidRDefault="00F5591D">
            <w:pPr>
              <w:jc w:val="center"/>
            </w:pPr>
            <w:r w:rsidRPr="00182461">
              <w:t>$</w:t>
            </w:r>
            <w:r>
              <w:t>29.20</w:t>
            </w:r>
          </w:p>
        </w:tc>
        <w:tc>
          <w:tcPr>
            <w:tcW w:w="2239" w:type="dxa"/>
            <w:vAlign w:val="center"/>
          </w:tcPr>
          <w:p w14:paraId="3B85B0A5" w14:textId="77777777" w:rsidR="00F5591D" w:rsidRPr="00182461" w:rsidRDefault="00F5591D">
            <w:pPr>
              <w:jc w:val="center"/>
            </w:pPr>
            <w:r>
              <w:t>20</w:t>
            </w:r>
          </w:p>
        </w:tc>
        <w:tc>
          <w:tcPr>
            <w:tcW w:w="2252" w:type="dxa"/>
            <w:vAlign w:val="center"/>
          </w:tcPr>
          <w:p w14:paraId="12D66C68" w14:textId="77777777" w:rsidR="00F5591D" w:rsidRPr="00182461" w:rsidRDefault="00F5591D">
            <w:pPr>
              <w:jc w:val="center"/>
            </w:pPr>
            <w:r>
              <w:rPr>
                <w:rFonts w:ascii="Calibri" w:eastAsia="Times New Roman" w:hAnsi="Calibri" w:cs="Calibri"/>
                <w:color w:val="000000" w:themeColor="text1"/>
                <w:lang w:eastAsia="en-AU"/>
              </w:rPr>
              <w:t>28,035</w:t>
            </w:r>
          </w:p>
        </w:tc>
        <w:tc>
          <w:tcPr>
            <w:tcW w:w="1567" w:type="dxa"/>
            <w:vAlign w:val="center"/>
          </w:tcPr>
          <w:p w14:paraId="470989AD" w14:textId="77777777" w:rsidR="00F5591D" w:rsidRPr="00182461" w:rsidRDefault="00F5591D">
            <w:pPr>
              <w:jc w:val="center"/>
            </w:pPr>
            <w:r w:rsidRPr="03192A06">
              <w:rPr>
                <w:rFonts w:ascii="Calibri" w:eastAsia="Times New Roman" w:hAnsi="Calibri" w:cs="Calibri"/>
                <w:color w:val="000000" w:themeColor="text1"/>
                <w:lang w:eastAsia="en-AU"/>
              </w:rPr>
              <w:t>$</w:t>
            </w:r>
            <w:r>
              <w:rPr>
                <w:rFonts w:ascii="Calibri" w:eastAsia="Times New Roman" w:hAnsi="Calibri" w:cs="Calibri"/>
                <w:color w:val="000000" w:themeColor="text1"/>
                <w:lang w:eastAsia="en-AU"/>
              </w:rPr>
              <w:t>272,875</w:t>
            </w:r>
          </w:p>
        </w:tc>
      </w:tr>
      <w:tr w:rsidR="00F5591D" w:rsidRPr="00C62DBA" w14:paraId="1D773428" w14:textId="77777777">
        <w:trPr>
          <w:jc w:val="center"/>
        </w:trPr>
        <w:tc>
          <w:tcPr>
            <w:tcW w:w="1347" w:type="dxa"/>
          </w:tcPr>
          <w:p w14:paraId="44284F3E" w14:textId="77777777" w:rsidR="00F5591D" w:rsidRPr="00C62DBA" w:rsidRDefault="00F5591D">
            <w:pPr>
              <w:jc w:val="center"/>
              <w:rPr>
                <w:b/>
                <w:bCs/>
              </w:rPr>
            </w:pPr>
            <w:r w:rsidRPr="00C62DBA">
              <w:rPr>
                <w:b/>
                <w:bCs/>
              </w:rPr>
              <w:t>Total</w:t>
            </w:r>
          </w:p>
        </w:tc>
        <w:tc>
          <w:tcPr>
            <w:tcW w:w="1611" w:type="dxa"/>
            <w:vAlign w:val="center"/>
          </w:tcPr>
          <w:p w14:paraId="5974E1DA" w14:textId="77777777" w:rsidR="00F5591D" w:rsidRPr="00C62DBA" w:rsidRDefault="00F5591D">
            <w:pPr>
              <w:jc w:val="center"/>
              <w:rPr>
                <w:b/>
                <w:bCs/>
              </w:rPr>
            </w:pPr>
            <w:r>
              <w:rPr>
                <w:b/>
                <w:bCs/>
              </w:rPr>
              <w:t>-</w:t>
            </w:r>
          </w:p>
        </w:tc>
        <w:tc>
          <w:tcPr>
            <w:tcW w:w="2239" w:type="dxa"/>
            <w:vAlign w:val="center"/>
          </w:tcPr>
          <w:p w14:paraId="74094A59" w14:textId="77777777" w:rsidR="00F5591D" w:rsidRPr="00C62DBA" w:rsidRDefault="00F5591D">
            <w:pPr>
              <w:jc w:val="center"/>
              <w:rPr>
                <w:b/>
                <w:bCs/>
              </w:rPr>
            </w:pPr>
            <w:r>
              <w:rPr>
                <w:b/>
                <w:bCs/>
              </w:rPr>
              <w:t>-</w:t>
            </w:r>
          </w:p>
        </w:tc>
        <w:tc>
          <w:tcPr>
            <w:tcW w:w="2252" w:type="dxa"/>
            <w:vAlign w:val="center"/>
          </w:tcPr>
          <w:p w14:paraId="23763697" w14:textId="77777777" w:rsidR="00F5591D" w:rsidRPr="00C62DBA" w:rsidRDefault="00F5591D">
            <w:pPr>
              <w:jc w:val="center"/>
              <w:rPr>
                <w:b/>
                <w:bCs/>
              </w:rPr>
            </w:pPr>
            <w:r>
              <w:rPr>
                <w:b/>
                <w:bCs/>
              </w:rPr>
              <w:t>-</w:t>
            </w:r>
          </w:p>
        </w:tc>
        <w:tc>
          <w:tcPr>
            <w:tcW w:w="1567" w:type="dxa"/>
            <w:vAlign w:val="center"/>
          </w:tcPr>
          <w:p w14:paraId="0918F4E2" w14:textId="77777777" w:rsidR="00F5591D" w:rsidRPr="00C62DBA" w:rsidRDefault="00F5591D">
            <w:pPr>
              <w:jc w:val="center"/>
              <w:rPr>
                <w:b/>
                <w:bCs/>
              </w:rPr>
            </w:pPr>
            <w:r w:rsidRPr="03192A06">
              <w:rPr>
                <w:rFonts w:ascii="Calibri" w:eastAsia="Times New Roman" w:hAnsi="Calibri" w:cs="Calibri"/>
                <w:b/>
                <w:color w:val="000000" w:themeColor="text1"/>
                <w:lang w:eastAsia="en-AU"/>
              </w:rPr>
              <w:t>$</w:t>
            </w:r>
            <w:r>
              <w:rPr>
                <w:rFonts w:ascii="Calibri" w:eastAsia="Times New Roman" w:hAnsi="Calibri" w:cs="Calibri"/>
                <w:b/>
                <w:color w:val="000000" w:themeColor="text1"/>
                <w:lang w:eastAsia="en-AU"/>
              </w:rPr>
              <w:t>830,984</w:t>
            </w:r>
          </w:p>
        </w:tc>
      </w:tr>
    </w:tbl>
    <w:p w14:paraId="717B8021" w14:textId="77777777" w:rsidR="006C2FB1" w:rsidRDefault="006C2FB1" w:rsidP="00D43AE9">
      <w:pPr>
        <w:spacing w:before="120" w:after="120" w:line="360" w:lineRule="auto"/>
        <w:rPr>
          <w:rFonts w:eastAsiaTheme="minorEastAsia"/>
        </w:rPr>
      </w:pPr>
    </w:p>
    <w:p w14:paraId="5BCA1976" w14:textId="77777777" w:rsidR="006C2FB1" w:rsidRPr="00E6343B" w:rsidRDefault="006C2FB1" w:rsidP="006C2FB1">
      <w:pPr>
        <w:rPr>
          <w:b/>
          <w:bCs/>
        </w:rPr>
      </w:pPr>
      <w:r w:rsidRPr="00E6343B">
        <w:rPr>
          <w:b/>
          <w:bCs/>
        </w:rPr>
        <w:t xml:space="preserve">Table </w:t>
      </w:r>
      <w:r w:rsidRPr="3C371470">
        <w:rPr>
          <w:b/>
          <w:bCs/>
        </w:rPr>
        <w:t>5</w:t>
      </w:r>
      <w:r w:rsidRPr="00E6343B">
        <w:rPr>
          <w:b/>
          <w:bCs/>
        </w:rPr>
        <w:t xml:space="preserve">: Estimated annual cost – years </w:t>
      </w:r>
      <w:r>
        <w:rPr>
          <w:b/>
          <w:bCs/>
        </w:rPr>
        <w:t>6 to 10</w:t>
      </w:r>
      <w:r w:rsidRPr="00E6343B">
        <w:rPr>
          <w:b/>
          <w:bCs/>
        </w:rPr>
        <w:t xml:space="preserve">, </w:t>
      </w:r>
      <w:r w:rsidRPr="3C371470">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excluding small business </w:t>
      </w:r>
    </w:p>
    <w:tbl>
      <w:tblPr>
        <w:tblStyle w:val="TableGrid"/>
        <w:tblW w:w="9076" w:type="dxa"/>
        <w:jc w:val="center"/>
        <w:tblLook w:val="04A0" w:firstRow="1" w:lastRow="0" w:firstColumn="1" w:lastColumn="0" w:noHBand="0" w:noVBand="1"/>
      </w:tblPr>
      <w:tblGrid>
        <w:gridCol w:w="1245"/>
        <w:gridCol w:w="1794"/>
        <w:gridCol w:w="2193"/>
        <w:gridCol w:w="2057"/>
        <w:gridCol w:w="1787"/>
      </w:tblGrid>
      <w:tr w:rsidR="006C2FB1" w:rsidRPr="006173B6" w14:paraId="5D0A8289" w14:textId="77777777" w:rsidTr="006E2A98">
        <w:trPr>
          <w:trHeight w:val="300"/>
          <w:jc w:val="center"/>
        </w:trPr>
        <w:tc>
          <w:tcPr>
            <w:tcW w:w="1245" w:type="dxa"/>
            <w:vAlign w:val="center"/>
          </w:tcPr>
          <w:p w14:paraId="733FAEC9" w14:textId="77777777" w:rsidR="006C2FB1" w:rsidRPr="006173B6" w:rsidRDefault="006C2FB1">
            <w:pPr>
              <w:jc w:val="center"/>
              <w:rPr>
                <w:b/>
                <w:bCs/>
              </w:rPr>
            </w:pPr>
            <w:r w:rsidRPr="00032854">
              <w:rPr>
                <w:b/>
                <w:bCs/>
              </w:rPr>
              <w:t> </w:t>
            </w:r>
          </w:p>
        </w:tc>
        <w:tc>
          <w:tcPr>
            <w:tcW w:w="1794" w:type="dxa"/>
            <w:vAlign w:val="center"/>
          </w:tcPr>
          <w:p w14:paraId="6D215CF0" w14:textId="77777777" w:rsidR="006C2FB1" w:rsidRPr="006173B6" w:rsidRDefault="006C2FB1">
            <w:pPr>
              <w:jc w:val="center"/>
              <w:rPr>
                <w:b/>
                <w:bCs/>
              </w:rPr>
            </w:pPr>
            <w:r w:rsidRPr="00032854">
              <w:rPr>
                <w:b/>
                <w:bCs/>
              </w:rPr>
              <w:footnoteReference w:customMarkFollows="1" w:id="50"/>
              <w:t>Labour cost/hour</w:t>
            </w:r>
            <w:r>
              <w:rPr>
                <w:rStyle w:val="FootnoteReference"/>
                <w:b/>
                <w:bCs/>
              </w:rPr>
              <w:footnoteReference w:id="51"/>
            </w:r>
          </w:p>
        </w:tc>
        <w:tc>
          <w:tcPr>
            <w:tcW w:w="2193" w:type="dxa"/>
            <w:vAlign w:val="center"/>
          </w:tcPr>
          <w:p w14:paraId="33F75036" w14:textId="77777777" w:rsidR="006C2FB1" w:rsidRPr="006173B6" w:rsidRDefault="006C2FB1">
            <w:pPr>
              <w:jc w:val="center"/>
              <w:rPr>
                <w:b/>
                <w:bCs/>
              </w:rPr>
            </w:pPr>
            <w:r w:rsidRPr="00032854">
              <w:rPr>
                <w:b/>
                <w:bCs/>
              </w:rPr>
              <w:footnoteReference w:customMarkFollows="1" w:id="52"/>
              <w:t>Time to make assessment (minutes)</w:t>
            </w:r>
            <w:r>
              <w:rPr>
                <w:rStyle w:val="FootnoteReference"/>
                <w:b/>
                <w:bCs/>
              </w:rPr>
              <w:footnoteReference w:id="53"/>
            </w:r>
          </w:p>
        </w:tc>
        <w:tc>
          <w:tcPr>
            <w:tcW w:w="2057" w:type="dxa"/>
            <w:vAlign w:val="center"/>
          </w:tcPr>
          <w:p w14:paraId="31CCE62F" w14:textId="77777777" w:rsidR="006C2FB1" w:rsidRPr="006173B6" w:rsidRDefault="006C2FB1">
            <w:pPr>
              <w:jc w:val="center"/>
              <w:rPr>
                <w:b/>
                <w:bCs/>
              </w:rPr>
            </w:pPr>
            <w:r w:rsidRPr="00032854">
              <w:rPr>
                <w:b/>
                <w:bCs/>
              </w:rPr>
              <w:t>5</w:t>
            </w:r>
            <w:r>
              <w:rPr>
                <w:b/>
                <w:bCs/>
              </w:rPr>
              <w:t xml:space="preserve"> per cent</w:t>
            </w:r>
            <w:r w:rsidRPr="00032854">
              <w:rPr>
                <w:b/>
                <w:bCs/>
              </w:rPr>
              <w:t xml:space="preserve"> of </w:t>
            </w:r>
            <w:r w:rsidRPr="7D643382">
              <w:rPr>
                <w:b/>
                <w:bCs/>
              </w:rPr>
              <w:t>eligible</w:t>
            </w:r>
            <w:r w:rsidRPr="00032854">
              <w:rPr>
                <w:b/>
                <w:bCs/>
              </w:rPr>
              <w:t xml:space="preserve"> casual employees employed </w:t>
            </w:r>
            <w:r>
              <w:rPr>
                <w:b/>
                <w:bCs/>
              </w:rPr>
              <w:t>between 6 and</w:t>
            </w:r>
            <w:r w:rsidRPr="00032854">
              <w:rPr>
                <w:b/>
                <w:bCs/>
              </w:rPr>
              <w:t xml:space="preserve"> 12 months</w:t>
            </w:r>
          </w:p>
        </w:tc>
        <w:tc>
          <w:tcPr>
            <w:tcW w:w="1787" w:type="dxa"/>
            <w:vAlign w:val="center"/>
          </w:tcPr>
          <w:p w14:paraId="1CA76641" w14:textId="77777777" w:rsidR="006C2FB1" w:rsidRPr="006173B6" w:rsidRDefault="006C2FB1">
            <w:pPr>
              <w:jc w:val="center"/>
              <w:rPr>
                <w:b/>
                <w:bCs/>
              </w:rPr>
            </w:pPr>
            <w:r w:rsidRPr="00032854">
              <w:rPr>
                <w:b/>
                <w:bCs/>
              </w:rPr>
              <w:t>Total cost</w:t>
            </w:r>
          </w:p>
        </w:tc>
      </w:tr>
      <w:tr w:rsidR="006C2FB1" w14:paraId="4515F8CD" w14:textId="77777777" w:rsidTr="006E2A98">
        <w:trPr>
          <w:trHeight w:val="300"/>
          <w:jc w:val="center"/>
        </w:trPr>
        <w:tc>
          <w:tcPr>
            <w:tcW w:w="1245" w:type="dxa"/>
            <w:vAlign w:val="center"/>
          </w:tcPr>
          <w:p w14:paraId="773EA113" w14:textId="77777777" w:rsidR="006C2FB1" w:rsidRPr="00032854" w:rsidRDefault="006C2FB1">
            <w:pPr>
              <w:jc w:val="center"/>
            </w:pPr>
            <w:r w:rsidRPr="00032854">
              <w:t>Employer</w:t>
            </w:r>
          </w:p>
        </w:tc>
        <w:tc>
          <w:tcPr>
            <w:tcW w:w="1794" w:type="dxa"/>
            <w:vAlign w:val="center"/>
          </w:tcPr>
          <w:p w14:paraId="38B657E7" w14:textId="77777777" w:rsidR="006C2FB1" w:rsidRPr="00032854" w:rsidRDefault="006C2FB1">
            <w:pPr>
              <w:jc w:val="center"/>
            </w:pPr>
            <w:r w:rsidRPr="00032854">
              <w:t>$79.63</w:t>
            </w:r>
          </w:p>
        </w:tc>
        <w:tc>
          <w:tcPr>
            <w:tcW w:w="2193" w:type="dxa"/>
            <w:vAlign w:val="center"/>
          </w:tcPr>
          <w:p w14:paraId="46571874" w14:textId="77777777" w:rsidR="006C2FB1" w:rsidRPr="00032854" w:rsidRDefault="006C2FB1">
            <w:pPr>
              <w:jc w:val="center"/>
            </w:pPr>
            <w:r w:rsidRPr="00032854">
              <w:t>15</w:t>
            </w:r>
          </w:p>
        </w:tc>
        <w:tc>
          <w:tcPr>
            <w:tcW w:w="2057" w:type="dxa"/>
            <w:vAlign w:val="center"/>
          </w:tcPr>
          <w:p w14:paraId="1651E453" w14:textId="77777777" w:rsidR="006C2FB1" w:rsidRPr="00032854" w:rsidRDefault="006C2FB1">
            <w:pPr>
              <w:jc w:val="center"/>
            </w:pPr>
            <w:r>
              <w:t>14,018</w:t>
            </w:r>
          </w:p>
        </w:tc>
        <w:tc>
          <w:tcPr>
            <w:tcW w:w="1787" w:type="dxa"/>
            <w:vAlign w:val="center"/>
          </w:tcPr>
          <w:p w14:paraId="5EB0F0E2" w14:textId="77777777" w:rsidR="006C2FB1" w:rsidRPr="00032854" w:rsidRDefault="006C2FB1">
            <w:pPr>
              <w:jc w:val="center"/>
            </w:pPr>
            <w:r w:rsidRPr="00032854">
              <w:t>$</w:t>
            </w:r>
            <w:r>
              <w:t>279,054</w:t>
            </w:r>
          </w:p>
        </w:tc>
      </w:tr>
      <w:tr w:rsidR="006C2FB1" w:rsidRPr="00182461" w14:paraId="65BB6BD4" w14:textId="77777777" w:rsidTr="006E2A98">
        <w:trPr>
          <w:trHeight w:val="300"/>
          <w:jc w:val="center"/>
        </w:trPr>
        <w:tc>
          <w:tcPr>
            <w:tcW w:w="1245" w:type="dxa"/>
            <w:vAlign w:val="center"/>
          </w:tcPr>
          <w:p w14:paraId="76F69D1F" w14:textId="77777777" w:rsidR="006C2FB1" w:rsidRPr="00032854" w:rsidRDefault="006C2FB1">
            <w:pPr>
              <w:jc w:val="center"/>
            </w:pPr>
            <w:r w:rsidRPr="00032854">
              <w:t>Employee</w:t>
            </w:r>
          </w:p>
        </w:tc>
        <w:tc>
          <w:tcPr>
            <w:tcW w:w="1794" w:type="dxa"/>
            <w:vAlign w:val="center"/>
          </w:tcPr>
          <w:p w14:paraId="6DF6A77E" w14:textId="77777777" w:rsidR="006C2FB1" w:rsidRPr="00032854" w:rsidRDefault="006C2FB1">
            <w:pPr>
              <w:jc w:val="center"/>
            </w:pPr>
            <w:r w:rsidRPr="00032854">
              <w:t>$29.20</w:t>
            </w:r>
          </w:p>
        </w:tc>
        <w:tc>
          <w:tcPr>
            <w:tcW w:w="2193" w:type="dxa"/>
            <w:vAlign w:val="center"/>
          </w:tcPr>
          <w:p w14:paraId="2A848915" w14:textId="77777777" w:rsidR="006C2FB1" w:rsidRPr="00032854" w:rsidRDefault="006C2FB1">
            <w:pPr>
              <w:jc w:val="center"/>
            </w:pPr>
            <w:r w:rsidRPr="00032854">
              <w:t>20</w:t>
            </w:r>
          </w:p>
        </w:tc>
        <w:tc>
          <w:tcPr>
            <w:tcW w:w="2057" w:type="dxa"/>
            <w:vAlign w:val="center"/>
          </w:tcPr>
          <w:p w14:paraId="398BAB4B" w14:textId="77777777" w:rsidR="006C2FB1" w:rsidRPr="00032854" w:rsidRDefault="006C2FB1">
            <w:pPr>
              <w:jc w:val="center"/>
            </w:pPr>
            <w:r>
              <w:t>14,018</w:t>
            </w:r>
          </w:p>
        </w:tc>
        <w:tc>
          <w:tcPr>
            <w:tcW w:w="1787" w:type="dxa"/>
            <w:vAlign w:val="center"/>
          </w:tcPr>
          <w:p w14:paraId="3E372CB8" w14:textId="77777777" w:rsidR="006C2FB1" w:rsidRPr="00032854" w:rsidRDefault="006C2FB1">
            <w:pPr>
              <w:jc w:val="center"/>
            </w:pPr>
            <w:r>
              <w:t>$136,438</w:t>
            </w:r>
          </w:p>
        </w:tc>
      </w:tr>
      <w:tr w:rsidR="006C2FB1" w:rsidRPr="00C62DBA" w14:paraId="6880F7D2" w14:textId="77777777" w:rsidTr="006E2A98">
        <w:trPr>
          <w:trHeight w:val="300"/>
          <w:jc w:val="center"/>
        </w:trPr>
        <w:tc>
          <w:tcPr>
            <w:tcW w:w="1245" w:type="dxa"/>
            <w:vAlign w:val="center"/>
          </w:tcPr>
          <w:p w14:paraId="62248DD0" w14:textId="77777777" w:rsidR="006C2FB1" w:rsidRPr="00C62DBA" w:rsidRDefault="006C2FB1">
            <w:pPr>
              <w:jc w:val="center"/>
              <w:rPr>
                <w:b/>
                <w:bCs/>
              </w:rPr>
            </w:pPr>
            <w:r w:rsidRPr="00032854">
              <w:rPr>
                <w:b/>
                <w:bCs/>
              </w:rPr>
              <w:t>Total</w:t>
            </w:r>
          </w:p>
        </w:tc>
        <w:tc>
          <w:tcPr>
            <w:tcW w:w="1794" w:type="dxa"/>
            <w:vAlign w:val="center"/>
          </w:tcPr>
          <w:p w14:paraId="2F6150AF" w14:textId="77777777" w:rsidR="006C2FB1" w:rsidRPr="00C62DBA" w:rsidRDefault="006C2FB1">
            <w:pPr>
              <w:jc w:val="center"/>
              <w:rPr>
                <w:b/>
                <w:bCs/>
              </w:rPr>
            </w:pPr>
            <w:r w:rsidRPr="00032854">
              <w:rPr>
                <w:b/>
                <w:bCs/>
              </w:rPr>
              <w:t>-</w:t>
            </w:r>
          </w:p>
        </w:tc>
        <w:tc>
          <w:tcPr>
            <w:tcW w:w="2193" w:type="dxa"/>
            <w:vAlign w:val="center"/>
          </w:tcPr>
          <w:p w14:paraId="43612789" w14:textId="77777777" w:rsidR="006C2FB1" w:rsidRPr="00C62DBA" w:rsidRDefault="006C2FB1">
            <w:pPr>
              <w:jc w:val="center"/>
              <w:rPr>
                <w:b/>
                <w:bCs/>
              </w:rPr>
            </w:pPr>
            <w:r w:rsidRPr="00032854">
              <w:rPr>
                <w:b/>
                <w:bCs/>
              </w:rPr>
              <w:t>-</w:t>
            </w:r>
          </w:p>
        </w:tc>
        <w:tc>
          <w:tcPr>
            <w:tcW w:w="2057" w:type="dxa"/>
            <w:vAlign w:val="center"/>
          </w:tcPr>
          <w:p w14:paraId="01368412" w14:textId="77777777" w:rsidR="006C2FB1" w:rsidRPr="00C62DBA" w:rsidRDefault="006C2FB1">
            <w:pPr>
              <w:jc w:val="center"/>
              <w:rPr>
                <w:b/>
                <w:bCs/>
              </w:rPr>
            </w:pPr>
            <w:r w:rsidRPr="00032854">
              <w:rPr>
                <w:b/>
                <w:bCs/>
              </w:rPr>
              <w:t>-</w:t>
            </w:r>
          </w:p>
        </w:tc>
        <w:tc>
          <w:tcPr>
            <w:tcW w:w="1787" w:type="dxa"/>
            <w:vAlign w:val="center"/>
          </w:tcPr>
          <w:p w14:paraId="23755D17" w14:textId="77777777" w:rsidR="006C2FB1" w:rsidRPr="00C62DBA" w:rsidRDefault="006C2FB1">
            <w:pPr>
              <w:jc w:val="center"/>
              <w:rPr>
                <w:b/>
                <w:bCs/>
              </w:rPr>
            </w:pPr>
            <w:r w:rsidRPr="00032854">
              <w:rPr>
                <w:b/>
                <w:bCs/>
              </w:rPr>
              <w:t>$</w:t>
            </w:r>
            <w:r>
              <w:rPr>
                <w:b/>
                <w:bCs/>
              </w:rPr>
              <w:t>415,492</w:t>
            </w:r>
          </w:p>
        </w:tc>
      </w:tr>
    </w:tbl>
    <w:p w14:paraId="36B02F09" w14:textId="77777777" w:rsidR="006C2FB1" w:rsidRDefault="006C2FB1" w:rsidP="006C2FB1">
      <w:pPr>
        <w:rPr>
          <w:b/>
          <w:bCs/>
          <w:u w:val="single"/>
        </w:rPr>
      </w:pPr>
    </w:p>
    <w:p w14:paraId="03289415" w14:textId="77777777" w:rsidR="00967EFF" w:rsidRPr="007B4D2B" w:rsidRDefault="00967EFF" w:rsidP="00967EFF">
      <w:pPr>
        <w:rPr>
          <w:b/>
          <w:bCs/>
          <w:u w:val="single"/>
        </w:rPr>
      </w:pPr>
      <w:r w:rsidRPr="007B4D2B">
        <w:rPr>
          <w:b/>
          <w:bCs/>
          <w:u w:val="single"/>
        </w:rPr>
        <w:t>10 years</w:t>
      </w:r>
      <w:r>
        <w:rPr>
          <w:b/>
          <w:bCs/>
          <w:u w:val="single"/>
        </w:rPr>
        <w:t xml:space="preserve"> costs: average annual – excluding small business</w:t>
      </w:r>
    </w:p>
    <w:p w14:paraId="46C58F8B" w14:textId="77777777" w:rsidR="00967EFF" w:rsidRPr="00C56045" w:rsidRDefault="00967EFF" w:rsidP="00967EFF">
      <w:r>
        <w:t>The average annual cost is shown in Table 6.</w:t>
      </w:r>
    </w:p>
    <w:p w14:paraId="24209DE5" w14:textId="77777777" w:rsidR="00967EFF" w:rsidRPr="00E6343B" w:rsidRDefault="00967EFF" w:rsidP="00967EFF">
      <w:pPr>
        <w:rPr>
          <w:b/>
          <w:bCs/>
        </w:rPr>
      </w:pPr>
      <w:r w:rsidRPr="00E6343B">
        <w:rPr>
          <w:b/>
          <w:bCs/>
        </w:rPr>
        <w:t xml:space="preserve">Table </w:t>
      </w:r>
      <w:r w:rsidRPr="3C371470">
        <w:rPr>
          <w:b/>
          <w:bCs/>
        </w:rPr>
        <w:t>6</w:t>
      </w:r>
      <w:r>
        <w:rPr>
          <w:b/>
          <w:bCs/>
        </w:rPr>
        <w:t>:</w:t>
      </w:r>
      <w:r w:rsidRPr="00E6343B">
        <w:rPr>
          <w:b/>
          <w:bCs/>
        </w:rPr>
        <w:t xml:space="preserve"> Estimated annual cost, </w:t>
      </w:r>
      <w:r w:rsidRPr="3C371470">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excluding small business </w:t>
      </w:r>
    </w:p>
    <w:tbl>
      <w:tblPr>
        <w:tblStyle w:val="TableGrid"/>
        <w:tblW w:w="0" w:type="auto"/>
        <w:jc w:val="center"/>
        <w:tblLook w:val="04A0" w:firstRow="1" w:lastRow="0" w:firstColumn="1" w:lastColumn="0" w:noHBand="0" w:noVBand="1"/>
      </w:tblPr>
      <w:tblGrid>
        <w:gridCol w:w="3263"/>
        <w:gridCol w:w="1779"/>
        <w:gridCol w:w="2195"/>
        <w:gridCol w:w="1779"/>
      </w:tblGrid>
      <w:tr w:rsidR="00967EFF" w:rsidRPr="006173B6" w14:paraId="3502BA35" w14:textId="77777777">
        <w:trPr>
          <w:jc w:val="center"/>
        </w:trPr>
        <w:tc>
          <w:tcPr>
            <w:tcW w:w="3263" w:type="dxa"/>
          </w:tcPr>
          <w:p w14:paraId="12560EDE" w14:textId="77777777" w:rsidR="00967EFF" w:rsidRPr="006173B6" w:rsidRDefault="00967EFF">
            <w:pPr>
              <w:jc w:val="center"/>
              <w:rPr>
                <w:b/>
                <w:bCs/>
              </w:rPr>
            </w:pPr>
          </w:p>
        </w:tc>
        <w:tc>
          <w:tcPr>
            <w:tcW w:w="1779" w:type="dxa"/>
            <w:vAlign w:val="center"/>
          </w:tcPr>
          <w:p w14:paraId="0A8528BA" w14:textId="77777777" w:rsidR="00967EFF" w:rsidRPr="006173B6" w:rsidRDefault="00967EFF">
            <w:pPr>
              <w:jc w:val="center"/>
              <w:rPr>
                <w:b/>
                <w:bCs/>
              </w:rPr>
            </w:pPr>
            <w:r>
              <w:rPr>
                <w:b/>
                <w:bCs/>
              </w:rPr>
              <w:t>Employer cost</w:t>
            </w:r>
          </w:p>
        </w:tc>
        <w:tc>
          <w:tcPr>
            <w:tcW w:w="2195" w:type="dxa"/>
            <w:vAlign w:val="center"/>
          </w:tcPr>
          <w:p w14:paraId="31782563" w14:textId="77777777" w:rsidR="00967EFF" w:rsidRPr="006173B6" w:rsidRDefault="00967EFF">
            <w:pPr>
              <w:jc w:val="center"/>
              <w:rPr>
                <w:b/>
                <w:bCs/>
              </w:rPr>
            </w:pPr>
            <w:r>
              <w:rPr>
                <w:b/>
                <w:bCs/>
              </w:rPr>
              <w:t>Employee cost</w:t>
            </w:r>
          </w:p>
        </w:tc>
        <w:tc>
          <w:tcPr>
            <w:tcW w:w="1779" w:type="dxa"/>
            <w:vAlign w:val="center"/>
          </w:tcPr>
          <w:p w14:paraId="693F1B2F" w14:textId="77777777" w:rsidR="00967EFF" w:rsidRPr="006173B6" w:rsidRDefault="00967EFF">
            <w:pPr>
              <w:jc w:val="center"/>
              <w:rPr>
                <w:b/>
                <w:bCs/>
              </w:rPr>
            </w:pPr>
            <w:r w:rsidRPr="006173B6">
              <w:rPr>
                <w:b/>
                <w:bCs/>
              </w:rPr>
              <w:t>Total cost</w:t>
            </w:r>
          </w:p>
        </w:tc>
      </w:tr>
      <w:tr w:rsidR="00967EFF" w:rsidRPr="00C62DBA" w14:paraId="619650C7" w14:textId="77777777">
        <w:trPr>
          <w:jc w:val="center"/>
        </w:trPr>
        <w:tc>
          <w:tcPr>
            <w:tcW w:w="3263" w:type="dxa"/>
          </w:tcPr>
          <w:p w14:paraId="44AE5ED1" w14:textId="77777777" w:rsidR="00967EFF" w:rsidRPr="00C62DBA" w:rsidRDefault="00967EFF">
            <w:pPr>
              <w:jc w:val="center"/>
              <w:rPr>
                <w:b/>
                <w:bCs/>
              </w:rPr>
            </w:pPr>
            <w:r>
              <w:rPr>
                <w:b/>
                <w:bCs/>
              </w:rPr>
              <w:t>Regulatory cost</w:t>
            </w:r>
          </w:p>
        </w:tc>
        <w:tc>
          <w:tcPr>
            <w:tcW w:w="1779" w:type="dxa"/>
            <w:vAlign w:val="center"/>
          </w:tcPr>
          <w:p w14:paraId="7078506A" w14:textId="77777777" w:rsidR="00967EFF" w:rsidRPr="00C62DBA" w:rsidRDefault="00967EFF">
            <w:pPr>
              <w:jc w:val="center"/>
              <w:rPr>
                <w:b/>
                <w:bCs/>
              </w:rPr>
            </w:pPr>
            <w:r>
              <w:rPr>
                <w:b/>
                <w:bCs/>
              </w:rPr>
              <w:t>$489,015</w:t>
            </w:r>
          </w:p>
        </w:tc>
        <w:tc>
          <w:tcPr>
            <w:tcW w:w="2195" w:type="dxa"/>
            <w:vAlign w:val="center"/>
          </w:tcPr>
          <w:p w14:paraId="52B1E034" w14:textId="77777777" w:rsidR="00967EFF" w:rsidRPr="00C62DBA" w:rsidRDefault="00967EFF">
            <w:pPr>
              <w:jc w:val="center"/>
              <w:rPr>
                <w:b/>
                <w:bCs/>
              </w:rPr>
            </w:pPr>
            <w:r>
              <w:rPr>
                <w:b/>
                <w:bCs/>
              </w:rPr>
              <w:t>$239,093</w:t>
            </w:r>
          </w:p>
        </w:tc>
        <w:tc>
          <w:tcPr>
            <w:tcW w:w="1779" w:type="dxa"/>
            <w:vAlign w:val="center"/>
          </w:tcPr>
          <w:p w14:paraId="0CF301BC" w14:textId="77777777" w:rsidR="00967EFF" w:rsidRPr="00C62DBA" w:rsidRDefault="00967EFF">
            <w:pPr>
              <w:jc w:val="center"/>
              <w:rPr>
                <w:b/>
                <w:bCs/>
              </w:rPr>
            </w:pPr>
            <w:r>
              <w:rPr>
                <w:b/>
                <w:bCs/>
              </w:rPr>
              <w:t>$728,109</w:t>
            </w:r>
          </w:p>
        </w:tc>
      </w:tr>
    </w:tbl>
    <w:p w14:paraId="2521222B" w14:textId="77777777" w:rsidR="00967EFF" w:rsidRDefault="00967EFF" w:rsidP="006C2FB1">
      <w:pPr>
        <w:rPr>
          <w:b/>
          <w:bCs/>
          <w:u w:val="single"/>
        </w:rPr>
      </w:pPr>
    </w:p>
    <w:p w14:paraId="0E7F6A5C" w14:textId="77777777" w:rsidR="004146C1" w:rsidRPr="003E3D8E" w:rsidRDefault="004146C1" w:rsidP="004146C1">
      <w:pPr>
        <w:spacing w:before="120" w:after="120" w:line="360" w:lineRule="auto"/>
        <w:rPr>
          <w:b/>
          <w:bCs/>
          <w:sz w:val="28"/>
          <w:szCs w:val="28"/>
          <w:u w:val="single"/>
        </w:rPr>
      </w:pPr>
      <w:r w:rsidRPr="003E3D8E">
        <w:rPr>
          <w:b/>
          <w:bCs/>
          <w:sz w:val="28"/>
          <w:szCs w:val="28"/>
          <w:u w:val="single"/>
        </w:rPr>
        <w:t>Small business</w:t>
      </w:r>
    </w:p>
    <w:p w14:paraId="492010F5" w14:textId="77777777" w:rsidR="004146C1" w:rsidRDefault="004146C1" w:rsidP="004146C1">
      <w:pPr>
        <w:spacing w:before="120" w:after="120"/>
        <w:rPr>
          <w:rFonts w:eastAsiaTheme="minorEastAsia"/>
          <w:b/>
          <w:bCs/>
          <w:u w:val="single"/>
        </w:rPr>
      </w:pPr>
      <w:r>
        <w:rPr>
          <w:rFonts w:eastAsiaTheme="minorEastAsia"/>
          <w:b/>
          <w:bCs/>
          <w:u w:val="single"/>
        </w:rPr>
        <w:t>Year 1 costs</w:t>
      </w:r>
    </w:p>
    <w:p w14:paraId="6E37500E" w14:textId="77777777" w:rsidR="004146C1" w:rsidRPr="00307023" w:rsidRDefault="004146C1" w:rsidP="004146C1">
      <w:pPr>
        <w:spacing w:before="120" w:after="120"/>
        <w:rPr>
          <w:rFonts w:eastAsiaTheme="minorEastAsia"/>
        </w:rPr>
      </w:pPr>
      <w:r>
        <w:rPr>
          <w:rFonts w:eastAsiaTheme="minorEastAsia"/>
        </w:rPr>
        <w:t>Since the provisions for small business do not come into effect until after an employee has completed at least 12 months service, there will be no regulatory cost in year 1.</w:t>
      </w:r>
    </w:p>
    <w:p w14:paraId="665FB05F" w14:textId="77777777" w:rsidR="002C30FD" w:rsidRDefault="002C30FD" w:rsidP="004146C1">
      <w:pPr>
        <w:spacing w:before="120" w:after="120"/>
        <w:rPr>
          <w:rFonts w:eastAsiaTheme="minorEastAsia"/>
          <w:b/>
          <w:bCs/>
          <w:u w:val="single"/>
        </w:rPr>
      </w:pPr>
    </w:p>
    <w:p w14:paraId="5B072D1C" w14:textId="1A09005D" w:rsidR="004146C1" w:rsidRPr="007B4D2B" w:rsidRDefault="004146C1" w:rsidP="004146C1">
      <w:pPr>
        <w:spacing w:before="120" w:after="120"/>
        <w:rPr>
          <w:rFonts w:eastAsiaTheme="minorEastAsia"/>
          <w:b/>
          <w:bCs/>
          <w:u w:val="single"/>
        </w:rPr>
      </w:pPr>
      <w:r w:rsidRPr="007B4D2B">
        <w:rPr>
          <w:rFonts w:eastAsiaTheme="minorEastAsia"/>
          <w:b/>
          <w:bCs/>
          <w:u w:val="single"/>
        </w:rPr>
        <w:lastRenderedPageBreak/>
        <w:t xml:space="preserve">Year </w:t>
      </w:r>
      <w:r>
        <w:rPr>
          <w:rFonts w:eastAsiaTheme="minorEastAsia"/>
          <w:b/>
          <w:bCs/>
          <w:u w:val="single"/>
        </w:rPr>
        <w:t>2</w:t>
      </w:r>
      <w:r w:rsidRPr="007B4D2B">
        <w:rPr>
          <w:rFonts w:eastAsiaTheme="minorEastAsia"/>
          <w:b/>
          <w:bCs/>
          <w:u w:val="single"/>
        </w:rPr>
        <w:t xml:space="preserve"> costs</w:t>
      </w:r>
    </w:p>
    <w:p w14:paraId="3D5A671C" w14:textId="77777777" w:rsidR="004146C1" w:rsidRPr="004165DB" w:rsidRDefault="004146C1" w:rsidP="004146C1">
      <w:pPr>
        <w:spacing w:before="120" w:after="120" w:line="360" w:lineRule="auto"/>
        <w:rPr>
          <w:rFonts w:eastAsiaTheme="minorEastAsia"/>
        </w:rPr>
      </w:pPr>
      <w:r w:rsidRPr="004165DB">
        <w:rPr>
          <w:rFonts w:eastAsiaTheme="minorEastAsia"/>
        </w:rPr>
        <w:t xml:space="preserve">Table </w:t>
      </w:r>
      <w:r w:rsidRPr="3C371470">
        <w:rPr>
          <w:rFonts w:eastAsiaTheme="minorEastAsia"/>
        </w:rPr>
        <w:t>7</w:t>
      </w:r>
      <w:r w:rsidRPr="004165DB">
        <w:rPr>
          <w:rFonts w:eastAsiaTheme="minorEastAsia"/>
        </w:rPr>
        <w:t xml:space="preserve"> gives the </w:t>
      </w:r>
      <w:r w:rsidRPr="004165DB">
        <w:rPr>
          <w:rFonts w:eastAsiaTheme="minorEastAsia"/>
          <w:b/>
          <w:bCs/>
        </w:rPr>
        <w:t xml:space="preserve">estimated cost for year </w:t>
      </w:r>
      <w:r>
        <w:rPr>
          <w:rFonts w:eastAsiaTheme="minorEastAsia"/>
          <w:b/>
          <w:bCs/>
        </w:rPr>
        <w:t>2</w:t>
      </w:r>
      <w:r w:rsidRPr="004165DB">
        <w:rPr>
          <w:rFonts w:eastAsiaTheme="minorEastAsia"/>
        </w:rPr>
        <w:t xml:space="preserve"> </w:t>
      </w:r>
      <w:r>
        <w:rPr>
          <w:rFonts w:eastAsiaTheme="minorEastAsia"/>
        </w:rPr>
        <w:t xml:space="preserve">for small business </w:t>
      </w:r>
      <w:r w:rsidRPr="004165DB">
        <w:rPr>
          <w:rFonts w:eastAsiaTheme="minorEastAsia"/>
        </w:rPr>
        <w:t>– for employers and employees</w:t>
      </w:r>
      <w:r>
        <w:rPr>
          <w:rFonts w:eastAsiaTheme="minorEastAsia"/>
        </w:rPr>
        <w:t xml:space="preserve"> </w:t>
      </w:r>
      <w:r w:rsidRPr="004165DB">
        <w:rPr>
          <w:rFonts w:eastAsiaTheme="minorEastAsia"/>
        </w:rPr>
        <w:t xml:space="preserve">– arising from casual employees wanting to convert under the new definition: </w:t>
      </w:r>
      <w:r w:rsidRPr="004165DB">
        <w:rPr>
          <w:rFonts w:eastAsiaTheme="minorEastAsia"/>
          <w:b/>
          <w:bCs/>
        </w:rPr>
        <w:t>$</w:t>
      </w:r>
      <w:r w:rsidRPr="3C371470">
        <w:rPr>
          <w:rFonts w:eastAsiaTheme="minorEastAsia"/>
          <w:b/>
          <w:bCs/>
        </w:rPr>
        <w:t>645,968</w:t>
      </w:r>
    </w:p>
    <w:p w14:paraId="50327224" w14:textId="7C044599" w:rsidR="004146C1" w:rsidRDefault="004146C1" w:rsidP="004146C1">
      <w:pPr>
        <w:spacing w:before="120" w:after="120" w:line="360" w:lineRule="auto"/>
        <w:rPr>
          <w:rFonts w:eastAsiaTheme="minorEastAsia"/>
        </w:rPr>
      </w:pPr>
      <w:r w:rsidRPr="007B4D2B">
        <w:rPr>
          <w:rFonts w:eastAsiaTheme="minorEastAsia"/>
        </w:rPr>
        <w:t xml:space="preserve">In the first year, 10 per cent of </w:t>
      </w:r>
      <w:r w:rsidRPr="7D643382">
        <w:rPr>
          <w:rFonts w:eastAsiaTheme="minorEastAsia"/>
        </w:rPr>
        <w:t>eligible</w:t>
      </w:r>
      <w:r w:rsidRPr="007B4D2B">
        <w:rPr>
          <w:rFonts w:eastAsiaTheme="minorEastAsia"/>
        </w:rPr>
        <w:t xml:space="preserve"> casual employees </w:t>
      </w:r>
      <w:r>
        <w:rPr>
          <w:rFonts w:eastAsiaTheme="minorEastAsia"/>
        </w:rPr>
        <w:t xml:space="preserve">in small businesses </w:t>
      </w:r>
      <w:r w:rsidRPr="007B4D2B">
        <w:rPr>
          <w:rFonts w:eastAsiaTheme="minorEastAsia"/>
        </w:rPr>
        <w:t xml:space="preserve">convert to a permanent role using the new </w:t>
      </w:r>
      <w:r w:rsidR="00C46940">
        <w:rPr>
          <w:rFonts w:eastAsiaTheme="minorEastAsia"/>
        </w:rPr>
        <w:t xml:space="preserve">employee choice </w:t>
      </w:r>
      <w:r w:rsidRPr="007B4D2B">
        <w:rPr>
          <w:rFonts w:eastAsiaTheme="minorEastAsia"/>
        </w:rPr>
        <w:t>definition pathway</w:t>
      </w:r>
      <w:r>
        <w:rPr>
          <w:rFonts w:eastAsiaTheme="minorEastAsia"/>
        </w:rPr>
        <w:t>.</w:t>
      </w:r>
      <w:r w:rsidRPr="007B4D2B">
        <w:rPr>
          <w:rFonts w:eastAsiaTheme="minorEastAsia"/>
        </w:rPr>
        <w:t xml:space="preserve"> </w:t>
      </w:r>
      <w:r>
        <w:rPr>
          <w:rFonts w:eastAsiaTheme="minorEastAsia"/>
        </w:rPr>
        <w:t xml:space="preserve">This will apply to the </w:t>
      </w:r>
      <w:r w:rsidRPr="7D643382">
        <w:rPr>
          <w:rFonts w:eastAsiaTheme="minorEastAsia"/>
        </w:rPr>
        <w:t>2</w:t>
      </w:r>
      <w:r>
        <w:rPr>
          <w:rFonts w:eastAsiaTheme="minorEastAsia"/>
        </w:rPr>
        <w:t xml:space="preserve">17,932 </w:t>
      </w:r>
      <w:r w:rsidRPr="7D643382">
        <w:rPr>
          <w:rFonts w:eastAsiaTheme="minorEastAsia"/>
        </w:rPr>
        <w:t>eligible</w:t>
      </w:r>
      <w:r>
        <w:rPr>
          <w:rFonts w:eastAsiaTheme="minorEastAsia"/>
        </w:rPr>
        <w:t xml:space="preserve"> casual employees who have been with their small business employer for at least 12 months.</w:t>
      </w:r>
    </w:p>
    <w:p w14:paraId="3A51A82B" w14:textId="77777777" w:rsidR="004146C1" w:rsidRDefault="004146C1" w:rsidP="004146C1">
      <w:pPr>
        <w:rPr>
          <w:b/>
          <w:bCs/>
        </w:rPr>
      </w:pPr>
      <w:r>
        <w:rPr>
          <w:b/>
          <w:bCs/>
        </w:rPr>
        <w:t xml:space="preserve">Table 7: </w:t>
      </w:r>
      <w:r w:rsidRPr="00C62DBA">
        <w:rPr>
          <w:b/>
          <w:bCs/>
        </w:rPr>
        <w:t xml:space="preserve">Estimated cost </w:t>
      </w:r>
      <w:r>
        <w:rPr>
          <w:b/>
          <w:bCs/>
        </w:rPr>
        <w:t xml:space="preserve">– year 2 </w:t>
      </w:r>
      <w:r w:rsidRPr="00C62DBA">
        <w:rPr>
          <w:b/>
          <w:bCs/>
        </w:rPr>
        <w:t xml:space="preserve">– </w:t>
      </w:r>
      <w:r w:rsidRPr="7D643382">
        <w:rPr>
          <w:b/>
          <w:bCs/>
        </w:rPr>
        <w:t>eligible</w:t>
      </w:r>
      <w:r w:rsidRPr="00C62DBA">
        <w:rPr>
          <w:b/>
          <w:bCs/>
        </w:rPr>
        <w:t xml:space="preserve"> casual employees wanting to convert under </w:t>
      </w:r>
      <w:r>
        <w:rPr>
          <w:b/>
          <w:bCs/>
        </w:rPr>
        <w:t xml:space="preserve">the new </w:t>
      </w:r>
      <w:r w:rsidRPr="00C62DBA">
        <w:rPr>
          <w:b/>
          <w:bCs/>
        </w:rPr>
        <w:t>definition</w:t>
      </w:r>
      <w:r>
        <w:rPr>
          <w:b/>
          <w:bCs/>
        </w:rPr>
        <w:t xml:space="preserve"> – small business </w:t>
      </w:r>
    </w:p>
    <w:tbl>
      <w:tblPr>
        <w:tblStyle w:val="TableGrid"/>
        <w:tblW w:w="0" w:type="auto"/>
        <w:jc w:val="center"/>
        <w:tblLook w:val="04A0" w:firstRow="1" w:lastRow="0" w:firstColumn="1" w:lastColumn="0" w:noHBand="0" w:noVBand="1"/>
      </w:tblPr>
      <w:tblGrid>
        <w:gridCol w:w="1347"/>
        <w:gridCol w:w="1611"/>
        <w:gridCol w:w="1999"/>
        <w:gridCol w:w="2492"/>
        <w:gridCol w:w="1567"/>
      </w:tblGrid>
      <w:tr w:rsidR="001C060C" w:rsidRPr="006173B6" w14:paraId="448D706A" w14:textId="77777777">
        <w:trPr>
          <w:jc w:val="center"/>
        </w:trPr>
        <w:tc>
          <w:tcPr>
            <w:tcW w:w="1347" w:type="dxa"/>
          </w:tcPr>
          <w:p w14:paraId="04D515E9" w14:textId="77777777" w:rsidR="001C060C" w:rsidRPr="006173B6" w:rsidRDefault="001C060C">
            <w:pPr>
              <w:jc w:val="center"/>
              <w:rPr>
                <w:b/>
                <w:bCs/>
              </w:rPr>
            </w:pPr>
          </w:p>
        </w:tc>
        <w:tc>
          <w:tcPr>
            <w:tcW w:w="1611" w:type="dxa"/>
            <w:vAlign w:val="center"/>
          </w:tcPr>
          <w:p w14:paraId="7DB63D2B" w14:textId="77777777" w:rsidR="001C060C" w:rsidRPr="006173B6" w:rsidRDefault="001C060C">
            <w:pPr>
              <w:jc w:val="center"/>
              <w:rPr>
                <w:b/>
                <w:bCs/>
              </w:rPr>
            </w:pPr>
            <w:r w:rsidRPr="006173B6">
              <w:rPr>
                <w:b/>
                <w:bCs/>
              </w:rPr>
              <w:t>Labour cost/hour</w:t>
            </w:r>
            <w:r w:rsidRPr="006173B6">
              <w:rPr>
                <w:rStyle w:val="FootnoteReference"/>
                <w:b/>
                <w:bCs/>
              </w:rPr>
              <w:footnoteReference w:id="54"/>
            </w:r>
          </w:p>
        </w:tc>
        <w:tc>
          <w:tcPr>
            <w:tcW w:w="1999" w:type="dxa"/>
            <w:vAlign w:val="center"/>
          </w:tcPr>
          <w:p w14:paraId="53559D4C" w14:textId="77777777" w:rsidR="001C060C" w:rsidRPr="006173B6" w:rsidRDefault="001C060C">
            <w:pPr>
              <w:jc w:val="center"/>
              <w:rPr>
                <w:b/>
                <w:bCs/>
              </w:rPr>
            </w:pPr>
            <w:r w:rsidRPr="006173B6">
              <w:rPr>
                <w:b/>
                <w:bCs/>
              </w:rPr>
              <w:t>Time to make assessment (minutes)</w:t>
            </w:r>
            <w:r w:rsidRPr="006173B6">
              <w:rPr>
                <w:rStyle w:val="FootnoteReference"/>
                <w:b/>
                <w:bCs/>
              </w:rPr>
              <w:footnoteReference w:id="55"/>
            </w:r>
          </w:p>
        </w:tc>
        <w:tc>
          <w:tcPr>
            <w:tcW w:w="2492" w:type="dxa"/>
            <w:vAlign w:val="center"/>
          </w:tcPr>
          <w:p w14:paraId="16803E0F" w14:textId="77777777" w:rsidR="001C060C" w:rsidRPr="006173B6" w:rsidRDefault="001C060C">
            <w:pPr>
              <w:jc w:val="center"/>
              <w:rPr>
                <w:b/>
                <w:bCs/>
              </w:rPr>
            </w:pPr>
            <w:r w:rsidRPr="00E6343B">
              <w:rPr>
                <w:b/>
                <w:bCs/>
              </w:rPr>
              <w:t>10</w:t>
            </w:r>
            <w:r>
              <w:rPr>
                <w:b/>
                <w:bCs/>
              </w:rPr>
              <w:t xml:space="preserve"> per cent</w:t>
            </w:r>
            <w:r w:rsidRPr="00E6343B">
              <w:rPr>
                <w:b/>
                <w:bCs/>
              </w:rPr>
              <w:t xml:space="preserve"> o</w:t>
            </w:r>
            <w:r w:rsidRPr="006173B6">
              <w:rPr>
                <w:b/>
                <w:bCs/>
              </w:rPr>
              <w:t>f</w:t>
            </w:r>
            <w:r>
              <w:rPr>
                <w:b/>
                <w:bCs/>
              </w:rPr>
              <w:t xml:space="preserve"> small business </w:t>
            </w:r>
            <w:r w:rsidRPr="7D643382">
              <w:rPr>
                <w:b/>
                <w:bCs/>
              </w:rPr>
              <w:t>eligible</w:t>
            </w:r>
            <w:r w:rsidRPr="006173B6">
              <w:rPr>
                <w:b/>
                <w:bCs/>
              </w:rPr>
              <w:t xml:space="preserve"> casual employees employed</w:t>
            </w:r>
            <w:r>
              <w:rPr>
                <w:b/>
                <w:bCs/>
              </w:rPr>
              <w:t xml:space="preserve"> for 12 months</w:t>
            </w:r>
            <w:r w:rsidRPr="006173B6">
              <w:rPr>
                <w:b/>
                <w:bCs/>
              </w:rPr>
              <w:t xml:space="preserve"> </w:t>
            </w:r>
            <w:r>
              <w:rPr>
                <w:b/>
                <w:bCs/>
              </w:rPr>
              <w:t>or more</w:t>
            </w:r>
          </w:p>
        </w:tc>
        <w:tc>
          <w:tcPr>
            <w:tcW w:w="1567" w:type="dxa"/>
            <w:vAlign w:val="center"/>
          </w:tcPr>
          <w:p w14:paraId="50D989EF" w14:textId="77777777" w:rsidR="001C060C" w:rsidRPr="006173B6" w:rsidRDefault="001C060C">
            <w:pPr>
              <w:jc w:val="center"/>
              <w:rPr>
                <w:b/>
                <w:bCs/>
              </w:rPr>
            </w:pPr>
            <w:r w:rsidRPr="006173B6">
              <w:rPr>
                <w:b/>
                <w:bCs/>
              </w:rPr>
              <w:t>Total cost</w:t>
            </w:r>
          </w:p>
        </w:tc>
      </w:tr>
      <w:tr w:rsidR="001C060C" w14:paraId="2AD38F1A" w14:textId="77777777">
        <w:trPr>
          <w:jc w:val="center"/>
        </w:trPr>
        <w:tc>
          <w:tcPr>
            <w:tcW w:w="1347" w:type="dxa"/>
          </w:tcPr>
          <w:p w14:paraId="011E5D24" w14:textId="77777777" w:rsidR="001C060C" w:rsidRDefault="001C060C">
            <w:pPr>
              <w:jc w:val="center"/>
            </w:pPr>
            <w:r>
              <w:t>Employer</w:t>
            </w:r>
          </w:p>
        </w:tc>
        <w:tc>
          <w:tcPr>
            <w:tcW w:w="1611" w:type="dxa"/>
            <w:vAlign w:val="center"/>
          </w:tcPr>
          <w:p w14:paraId="04E7DE43" w14:textId="77777777" w:rsidR="001C060C" w:rsidRDefault="001C060C">
            <w:pPr>
              <w:jc w:val="center"/>
            </w:pPr>
            <w:r>
              <w:t>$79.63</w:t>
            </w:r>
          </w:p>
        </w:tc>
        <w:tc>
          <w:tcPr>
            <w:tcW w:w="1999" w:type="dxa"/>
            <w:vAlign w:val="center"/>
          </w:tcPr>
          <w:p w14:paraId="4E465BF3" w14:textId="77777777" w:rsidR="001C060C" w:rsidRDefault="001C060C">
            <w:pPr>
              <w:jc w:val="center"/>
            </w:pPr>
            <w:r>
              <w:t>15</w:t>
            </w:r>
          </w:p>
        </w:tc>
        <w:tc>
          <w:tcPr>
            <w:tcW w:w="2492" w:type="dxa"/>
            <w:vAlign w:val="center"/>
          </w:tcPr>
          <w:p w14:paraId="7C4253AC" w14:textId="77777777" w:rsidR="001C060C" w:rsidRDefault="001C060C">
            <w:pPr>
              <w:jc w:val="center"/>
            </w:pPr>
            <w:r>
              <w:t>21,793</w:t>
            </w:r>
          </w:p>
        </w:tc>
        <w:tc>
          <w:tcPr>
            <w:tcW w:w="1567" w:type="dxa"/>
            <w:vAlign w:val="center"/>
          </w:tcPr>
          <w:p w14:paraId="1790D8A2" w14:textId="77777777" w:rsidR="001C060C" w:rsidRDefault="001C060C">
            <w:pPr>
              <w:jc w:val="center"/>
            </w:pPr>
            <w:r>
              <w:t>$433,848</w:t>
            </w:r>
          </w:p>
        </w:tc>
      </w:tr>
      <w:tr w:rsidR="001C060C" w:rsidRPr="00182461" w14:paraId="1C248DB5" w14:textId="77777777">
        <w:trPr>
          <w:jc w:val="center"/>
        </w:trPr>
        <w:tc>
          <w:tcPr>
            <w:tcW w:w="1347" w:type="dxa"/>
          </w:tcPr>
          <w:p w14:paraId="1125A088" w14:textId="77777777" w:rsidR="001C060C" w:rsidRPr="00182461" w:rsidRDefault="001C060C">
            <w:pPr>
              <w:jc w:val="center"/>
            </w:pPr>
            <w:r>
              <w:t>Employee</w:t>
            </w:r>
          </w:p>
        </w:tc>
        <w:tc>
          <w:tcPr>
            <w:tcW w:w="1611" w:type="dxa"/>
            <w:vAlign w:val="center"/>
          </w:tcPr>
          <w:p w14:paraId="6B8C2AD7" w14:textId="77777777" w:rsidR="001C060C" w:rsidRPr="00182461" w:rsidRDefault="001C060C">
            <w:pPr>
              <w:jc w:val="center"/>
            </w:pPr>
            <w:r w:rsidRPr="00182461">
              <w:t>$</w:t>
            </w:r>
            <w:r>
              <w:t>29.20</w:t>
            </w:r>
          </w:p>
        </w:tc>
        <w:tc>
          <w:tcPr>
            <w:tcW w:w="1999" w:type="dxa"/>
            <w:vAlign w:val="center"/>
          </w:tcPr>
          <w:p w14:paraId="7B54651A" w14:textId="77777777" w:rsidR="001C060C" w:rsidRPr="00182461" w:rsidRDefault="001C060C">
            <w:pPr>
              <w:jc w:val="center"/>
            </w:pPr>
            <w:r>
              <w:t>20</w:t>
            </w:r>
          </w:p>
        </w:tc>
        <w:tc>
          <w:tcPr>
            <w:tcW w:w="2492" w:type="dxa"/>
            <w:vAlign w:val="center"/>
          </w:tcPr>
          <w:p w14:paraId="6FB77EF8" w14:textId="77777777" w:rsidR="001C060C" w:rsidRPr="00182461" w:rsidRDefault="001C060C">
            <w:pPr>
              <w:jc w:val="center"/>
            </w:pPr>
            <w:r>
              <w:t>21,793</w:t>
            </w:r>
          </w:p>
        </w:tc>
        <w:tc>
          <w:tcPr>
            <w:tcW w:w="1567" w:type="dxa"/>
            <w:vAlign w:val="center"/>
          </w:tcPr>
          <w:p w14:paraId="6D8ED8EA" w14:textId="77777777" w:rsidR="001C060C" w:rsidRPr="00182461" w:rsidRDefault="001C060C">
            <w:pPr>
              <w:jc w:val="center"/>
            </w:pPr>
            <w:r w:rsidRPr="00182461">
              <w:t>$</w:t>
            </w:r>
            <w:r>
              <w:t>212,120</w:t>
            </w:r>
          </w:p>
        </w:tc>
      </w:tr>
      <w:tr w:rsidR="001C060C" w:rsidRPr="00C62DBA" w14:paraId="0D319AB2" w14:textId="77777777">
        <w:trPr>
          <w:jc w:val="center"/>
        </w:trPr>
        <w:tc>
          <w:tcPr>
            <w:tcW w:w="1347" w:type="dxa"/>
          </w:tcPr>
          <w:p w14:paraId="415D269B" w14:textId="77777777" w:rsidR="001C060C" w:rsidRPr="00C62DBA" w:rsidRDefault="001C060C">
            <w:pPr>
              <w:jc w:val="center"/>
              <w:rPr>
                <w:b/>
                <w:bCs/>
              </w:rPr>
            </w:pPr>
            <w:r w:rsidRPr="00C62DBA">
              <w:rPr>
                <w:b/>
                <w:bCs/>
              </w:rPr>
              <w:t>Total</w:t>
            </w:r>
          </w:p>
        </w:tc>
        <w:tc>
          <w:tcPr>
            <w:tcW w:w="1611" w:type="dxa"/>
            <w:vAlign w:val="center"/>
          </w:tcPr>
          <w:p w14:paraId="2D9ED796" w14:textId="77777777" w:rsidR="001C060C" w:rsidRPr="00C62DBA" w:rsidRDefault="001C060C">
            <w:pPr>
              <w:jc w:val="center"/>
              <w:rPr>
                <w:b/>
                <w:bCs/>
              </w:rPr>
            </w:pPr>
            <w:r>
              <w:rPr>
                <w:b/>
                <w:bCs/>
              </w:rPr>
              <w:t>-</w:t>
            </w:r>
          </w:p>
        </w:tc>
        <w:tc>
          <w:tcPr>
            <w:tcW w:w="1999" w:type="dxa"/>
            <w:vAlign w:val="center"/>
          </w:tcPr>
          <w:p w14:paraId="41C14FB6" w14:textId="77777777" w:rsidR="001C060C" w:rsidRPr="00C62DBA" w:rsidRDefault="001C060C">
            <w:pPr>
              <w:jc w:val="center"/>
              <w:rPr>
                <w:b/>
                <w:bCs/>
              </w:rPr>
            </w:pPr>
            <w:r>
              <w:rPr>
                <w:b/>
                <w:bCs/>
              </w:rPr>
              <w:t>-</w:t>
            </w:r>
          </w:p>
        </w:tc>
        <w:tc>
          <w:tcPr>
            <w:tcW w:w="2492" w:type="dxa"/>
            <w:vAlign w:val="center"/>
          </w:tcPr>
          <w:p w14:paraId="301BD821" w14:textId="77777777" w:rsidR="001C060C" w:rsidRPr="00C62DBA" w:rsidRDefault="001C060C">
            <w:pPr>
              <w:jc w:val="center"/>
              <w:rPr>
                <w:b/>
                <w:bCs/>
              </w:rPr>
            </w:pPr>
            <w:r>
              <w:rPr>
                <w:b/>
                <w:bCs/>
              </w:rPr>
              <w:t>-</w:t>
            </w:r>
          </w:p>
        </w:tc>
        <w:tc>
          <w:tcPr>
            <w:tcW w:w="1567" w:type="dxa"/>
            <w:vAlign w:val="center"/>
          </w:tcPr>
          <w:p w14:paraId="373F29C1" w14:textId="77777777" w:rsidR="001C060C" w:rsidRPr="00C62DBA" w:rsidRDefault="001C060C">
            <w:pPr>
              <w:jc w:val="center"/>
              <w:rPr>
                <w:b/>
                <w:bCs/>
              </w:rPr>
            </w:pPr>
            <w:r w:rsidRPr="00C62DBA">
              <w:rPr>
                <w:b/>
                <w:bCs/>
              </w:rPr>
              <w:t>$</w:t>
            </w:r>
            <w:r>
              <w:rPr>
                <w:b/>
                <w:bCs/>
              </w:rPr>
              <w:t>645,968</w:t>
            </w:r>
          </w:p>
        </w:tc>
      </w:tr>
    </w:tbl>
    <w:p w14:paraId="4D0646C0" w14:textId="77777777" w:rsidR="001C060C" w:rsidRPr="00C62DBA" w:rsidRDefault="001C060C" w:rsidP="004146C1">
      <w:pPr>
        <w:rPr>
          <w:b/>
          <w:bCs/>
        </w:rPr>
      </w:pPr>
    </w:p>
    <w:p w14:paraId="29625898" w14:textId="77777777" w:rsidR="00C906C0" w:rsidRPr="007B4D2B" w:rsidRDefault="00C906C0" w:rsidP="00C906C0">
      <w:pPr>
        <w:rPr>
          <w:b/>
          <w:bCs/>
          <w:u w:val="single"/>
        </w:rPr>
      </w:pPr>
      <w:r w:rsidRPr="007B4D2B">
        <w:rPr>
          <w:b/>
          <w:bCs/>
          <w:u w:val="single"/>
        </w:rPr>
        <w:t>Year</w:t>
      </w:r>
      <w:r>
        <w:rPr>
          <w:b/>
          <w:bCs/>
          <w:u w:val="single"/>
        </w:rPr>
        <w:t>s</w:t>
      </w:r>
      <w:r w:rsidRPr="007B4D2B">
        <w:rPr>
          <w:b/>
          <w:bCs/>
          <w:u w:val="single"/>
        </w:rPr>
        <w:t xml:space="preserve"> </w:t>
      </w:r>
      <w:r>
        <w:rPr>
          <w:b/>
          <w:bCs/>
          <w:u w:val="single"/>
        </w:rPr>
        <w:t>3</w:t>
      </w:r>
      <w:r w:rsidRPr="007B4D2B">
        <w:rPr>
          <w:b/>
          <w:bCs/>
          <w:u w:val="single"/>
        </w:rPr>
        <w:t xml:space="preserve"> to </w:t>
      </w:r>
      <w:r>
        <w:rPr>
          <w:b/>
          <w:bCs/>
          <w:u w:val="single"/>
        </w:rPr>
        <w:t>10</w:t>
      </w:r>
      <w:r w:rsidRPr="007B4D2B">
        <w:rPr>
          <w:b/>
          <w:bCs/>
          <w:u w:val="single"/>
        </w:rPr>
        <w:t xml:space="preserve"> costs</w:t>
      </w:r>
    </w:p>
    <w:p w14:paraId="3CED7E16" w14:textId="77777777" w:rsidR="00C906C0" w:rsidRDefault="00C906C0" w:rsidP="00C906C0">
      <w:pPr>
        <w:spacing w:before="120" w:after="120" w:line="360" w:lineRule="auto"/>
        <w:rPr>
          <w:rFonts w:eastAsiaTheme="minorEastAsia"/>
          <w:b/>
          <w:bCs/>
        </w:rPr>
      </w:pPr>
      <w:r w:rsidRPr="004165DB">
        <w:rPr>
          <w:rFonts w:eastAsiaTheme="minorEastAsia"/>
        </w:rPr>
        <w:t xml:space="preserve">Table </w:t>
      </w:r>
      <w:r w:rsidRPr="3C371470">
        <w:rPr>
          <w:rFonts w:eastAsiaTheme="minorEastAsia"/>
        </w:rPr>
        <w:t>8</w:t>
      </w:r>
      <w:r w:rsidRPr="004165DB">
        <w:rPr>
          <w:rFonts w:eastAsiaTheme="minorEastAsia"/>
        </w:rPr>
        <w:t xml:space="preserve"> gives the </w:t>
      </w:r>
      <w:r w:rsidRPr="004165DB">
        <w:rPr>
          <w:rFonts w:eastAsiaTheme="minorEastAsia"/>
          <w:b/>
          <w:bCs/>
        </w:rPr>
        <w:t xml:space="preserve">estimated annual cost for years </w:t>
      </w:r>
      <w:r>
        <w:rPr>
          <w:rFonts w:eastAsiaTheme="minorEastAsia"/>
          <w:b/>
          <w:bCs/>
        </w:rPr>
        <w:t xml:space="preserve">3 to </w:t>
      </w:r>
      <w:r w:rsidRPr="004165DB">
        <w:rPr>
          <w:rFonts w:eastAsiaTheme="minorEastAsia"/>
          <w:b/>
          <w:bCs/>
        </w:rPr>
        <w:t>5</w:t>
      </w:r>
      <w:r w:rsidRPr="004165DB">
        <w:rPr>
          <w:rFonts w:eastAsiaTheme="minorEastAsia"/>
        </w:rPr>
        <w:t xml:space="preserve"> – for employers and employees – arising from casual employees wanting to convert under the new definition</w:t>
      </w:r>
      <w:r>
        <w:rPr>
          <w:rFonts w:eastAsiaTheme="minorEastAsia"/>
        </w:rPr>
        <w:t>:</w:t>
      </w:r>
      <w:r w:rsidRPr="004165DB">
        <w:rPr>
          <w:rFonts w:eastAsiaTheme="minorEastAsia"/>
        </w:rPr>
        <w:t xml:space="preserve"> </w:t>
      </w:r>
      <w:r w:rsidRPr="004165DB">
        <w:rPr>
          <w:rFonts w:eastAsiaTheme="minorEastAsia"/>
          <w:b/>
          <w:bCs/>
        </w:rPr>
        <w:t>$</w:t>
      </w:r>
      <w:r w:rsidRPr="3C371470">
        <w:rPr>
          <w:rFonts w:eastAsiaTheme="minorEastAsia"/>
          <w:b/>
          <w:bCs/>
        </w:rPr>
        <w:t>164,203</w:t>
      </w:r>
      <w:r w:rsidRPr="004165DB">
        <w:rPr>
          <w:rFonts w:eastAsiaTheme="minorEastAsia"/>
          <w:b/>
          <w:bCs/>
        </w:rPr>
        <w:t xml:space="preserve"> per year</w:t>
      </w:r>
      <w:r w:rsidRPr="00085F6C">
        <w:rPr>
          <w:rFonts w:eastAsiaTheme="minorEastAsia"/>
        </w:rPr>
        <w:t>.</w:t>
      </w:r>
    </w:p>
    <w:p w14:paraId="7E0AD4AD" w14:textId="77777777" w:rsidR="00C906C0" w:rsidRPr="007B4D2B" w:rsidRDefault="00C906C0" w:rsidP="00C906C0">
      <w:pPr>
        <w:spacing w:before="120" w:after="120" w:line="360" w:lineRule="auto"/>
        <w:rPr>
          <w:rFonts w:eastAsiaTheme="minorEastAsia"/>
          <w:b/>
          <w:bCs/>
        </w:rPr>
      </w:pPr>
      <w:r w:rsidRPr="00EC0776">
        <w:rPr>
          <w:rFonts w:eastAsiaTheme="minorEastAsia"/>
        </w:rPr>
        <w:t xml:space="preserve">Table </w:t>
      </w:r>
      <w:r w:rsidRPr="3C371470">
        <w:rPr>
          <w:rFonts w:eastAsiaTheme="minorEastAsia"/>
        </w:rPr>
        <w:t>9</w:t>
      </w:r>
      <w:r w:rsidRPr="00EC0776">
        <w:rPr>
          <w:rFonts w:eastAsiaTheme="minorEastAsia"/>
        </w:rPr>
        <w:t xml:space="preserve"> gives the </w:t>
      </w:r>
      <w:r w:rsidRPr="00EC0776">
        <w:rPr>
          <w:rFonts w:eastAsiaTheme="minorEastAsia"/>
          <w:b/>
          <w:bCs/>
        </w:rPr>
        <w:t>estimated annual cost for years 6</w:t>
      </w:r>
      <w:r>
        <w:rPr>
          <w:rFonts w:eastAsiaTheme="minorEastAsia"/>
          <w:b/>
          <w:bCs/>
        </w:rPr>
        <w:t xml:space="preserve"> to </w:t>
      </w:r>
      <w:r w:rsidRPr="00EC0776">
        <w:rPr>
          <w:rFonts w:eastAsiaTheme="minorEastAsia"/>
          <w:b/>
          <w:bCs/>
        </w:rPr>
        <w:t>10</w:t>
      </w:r>
      <w:r w:rsidRPr="00EC0776">
        <w:rPr>
          <w:rFonts w:eastAsiaTheme="minorEastAsia"/>
        </w:rPr>
        <w:t xml:space="preserve"> – for employers and employees – arising from casual employees wanting to convert under the new definition: </w:t>
      </w:r>
      <w:r w:rsidRPr="00EC0776">
        <w:rPr>
          <w:rFonts w:eastAsiaTheme="minorEastAsia"/>
          <w:b/>
          <w:bCs/>
        </w:rPr>
        <w:t>$</w:t>
      </w:r>
      <w:r w:rsidRPr="3C371470">
        <w:rPr>
          <w:rFonts w:eastAsiaTheme="minorEastAsia"/>
          <w:b/>
          <w:bCs/>
        </w:rPr>
        <w:t>82,101</w:t>
      </w:r>
      <w:r w:rsidRPr="00EC0776">
        <w:rPr>
          <w:rFonts w:eastAsiaTheme="minorEastAsia"/>
          <w:b/>
          <w:bCs/>
        </w:rPr>
        <w:t xml:space="preserve"> per year</w:t>
      </w:r>
      <w:r w:rsidRPr="00085F6C">
        <w:rPr>
          <w:rFonts w:eastAsiaTheme="minorEastAsia"/>
        </w:rPr>
        <w:t>.</w:t>
      </w:r>
    </w:p>
    <w:p w14:paraId="008DE404" w14:textId="0E8EBDE7" w:rsidR="00CF6630" w:rsidRDefault="00C906C0" w:rsidP="00C906C0">
      <w:pPr>
        <w:spacing w:before="120" w:after="120" w:line="360" w:lineRule="auto"/>
        <w:rPr>
          <w:rFonts w:eastAsiaTheme="minorEastAsia"/>
        </w:rPr>
      </w:pPr>
      <w:r w:rsidRPr="004165DB">
        <w:rPr>
          <w:rFonts w:eastAsiaTheme="minorEastAsia"/>
        </w:rPr>
        <w:t xml:space="preserve">For conversion under the new definition, the department estimates that the proportion of </w:t>
      </w:r>
      <w:r w:rsidRPr="3C371470">
        <w:rPr>
          <w:rFonts w:eastAsiaTheme="minorEastAsia"/>
        </w:rPr>
        <w:t>eligible</w:t>
      </w:r>
      <w:r w:rsidRPr="004165DB">
        <w:rPr>
          <w:rFonts w:eastAsiaTheme="minorEastAsia"/>
        </w:rPr>
        <w:t xml:space="preserve"> casuals seeking conversion remains at 10 per cent over years </w:t>
      </w:r>
      <w:r>
        <w:rPr>
          <w:rFonts w:eastAsiaTheme="minorEastAsia"/>
        </w:rPr>
        <w:t>3</w:t>
      </w:r>
      <w:r w:rsidRPr="004165DB">
        <w:rPr>
          <w:rFonts w:eastAsiaTheme="minorEastAsia"/>
        </w:rPr>
        <w:t>-5, before dropping to 5 per cent for years 6-10, aligning with the assumption</w:t>
      </w:r>
      <w:r w:rsidR="009E7F71">
        <w:rPr>
          <w:rFonts w:eastAsiaTheme="minorEastAsia"/>
        </w:rPr>
        <w:t xml:space="preserve"> </w:t>
      </w:r>
      <w:r w:rsidR="00FB5D93">
        <w:rPr>
          <w:rFonts w:eastAsiaTheme="minorEastAsia"/>
        </w:rPr>
        <w:t xml:space="preserve">that the incidence of employees </w:t>
      </w:r>
      <w:r w:rsidR="00FB5D93" w:rsidRPr="38617D9C">
        <w:rPr>
          <w:rFonts w:eastAsiaTheme="minorEastAsia"/>
        </w:rPr>
        <w:t>being</w:t>
      </w:r>
      <w:r w:rsidR="00FB5D93">
        <w:rPr>
          <w:rFonts w:eastAsiaTheme="minorEastAsia"/>
        </w:rPr>
        <w:t xml:space="preserve"> classified as casual but working in a manner akin to a permanent employee</w:t>
      </w:r>
      <w:r w:rsidR="00FB5D93" w:rsidDel="004327A6">
        <w:rPr>
          <w:rFonts w:eastAsiaTheme="minorEastAsia"/>
        </w:rPr>
        <w:t xml:space="preserve"> </w:t>
      </w:r>
      <w:r w:rsidR="00FB5D93" w:rsidRPr="004165DB">
        <w:rPr>
          <w:rFonts w:eastAsiaTheme="minorEastAsia"/>
        </w:rPr>
        <w:t xml:space="preserve">will reduce as </w:t>
      </w:r>
      <w:r w:rsidR="00FB5D93">
        <w:rPr>
          <w:rFonts w:eastAsiaTheme="minorEastAsia"/>
        </w:rPr>
        <w:t xml:space="preserve">understanding and application of the new definition increases. </w:t>
      </w:r>
      <w:r w:rsidR="00FB5D93" w:rsidRPr="004165DB">
        <w:rPr>
          <w:rFonts w:eastAsiaTheme="minorEastAsia"/>
        </w:rPr>
        <w:t xml:space="preserve"> </w:t>
      </w:r>
    </w:p>
    <w:p w14:paraId="68B4D19C" w14:textId="77777777" w:rsidR="00CF6630" w:rsidRDefault="00CF6630">
      <w:pPr>
        <w:rPr>
          <w:rFonts w:eastAsiaTheme="minorEastAsia"/>
        </w:rPr>
      </w:pPr>
      <w:r>
        <w:rPr>
          <w:rFonts w:eastAsiaTheme="minorEastAsia"/>
        </w:rPr>
        <w:br w:type="page"/>
      </w:r>
    </w:p>
    <w:p w14:paraId="5735DC4D" w14:textId="77777777" w:rsidR="0061094C" w:rsidRPr="00E6343B" w:rsidRDefault="0061094C" w:rsidP="0061094C">
      <w:pPr>
        <w:rPr>
          <w:b/>
          <w:bCs/>
        </w:rPr>
      </w:pPr>
      <w:r w:rsidRPr="00E6343B">
        <w:rPr>
          <w:b/>
          <w:bCs/>
        </w:rPr>
        <w:lastRenderedPageBreak/>
        <w:t xml:space="preserve">Table </w:t>
      </w:r>
      <w:r w:rsidRPr="3C371470">
        <w:rPr>
          <w:b/>
          <w:bCs/>
        </w:rPr>
        <w:t>8</w:t>
      </w:r>
      <w:r w:rsidRPr="00E6343B">
        <w:rPr>
          <w:b/>
          <w:bCs/>
        </w:rPr>
        <w:t xml:space="preserve">: Estimated annual cost – years </w:t>
      </w:r>
      <w:r>
        <w:rPr>
          <w:b/>
          <w:bCs/>
        </w:rPr>
        <w:t>3 to 5</w:t>
      </w:r>
      <w:r w:rsidRPr="00E6343B">
        <w:rPr>
          <w:b/>
          <w:bCs/>
        </w:rPr>
        <w:t xml:space="preserve">, </w:t>
      </w:r>
      <w:r w:rsidRPr="3C371470">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small business </w:t>
      </w:r>
    </w:p>
    <w:tbl>
      <w:tblPr>
        <w:tblStyle w:val="TableGrid"/>
        <w:tblW w:w="0" w:type="auto"/>
        <w:jc w:val="center"/>
        <w:tblLook w:val="04A0" w:firstRow="1" w:lastRow="0" w:firstColumn="1" w:lastColumn="0" w:noHBand="0" w:noVBand="1"/>
      </w:tblPr>
      <w:tblGrid>
        <w:gridCol w:w="1347"/>
        <w:gridCol w:w="1611"/>
        <w:gridCol w:w="2239"/>
        <w:gridCol w:w="2252"/>
        <w:gridCol w:w="1567"/>
      </w:tblGrid>
      <w:tr w:rsidR="0061094C" w:rsidRPr="006173B6" w14:paraId="397F4A06" w14:textId="77777777">
        <w:trPr>
          <w:jc w:val="center"/>
        </w:trPr>
        <w:tc>
          <w:tcPr>
            <w:tcW w:w="1347" w:type="dxa"/>
          </w:tcPr>
          <w:p w14:paraId="48516BAF" w14:textId="77777777" w:rsidR="0061094C" w:rsidRPr="006173B6" w:rsidRDefault="0061094C">
            <w:pPr>
              <w:jc w:val="center"/>
              <w:rPr>
                <w:b/>
                <w:bCs/>
              </w:rPr>
            </w:pPr>
          </w:p>
        </w:tc>
        <w:tc>
          <w:tcPr>
            <w:tcW w:w="1611" w:type="dxa"/>
            <w:vAlign w:val="center"/>
          </w:tcPr>
          <w:p w14:paraId="769D001F" w14:textId="77777777" w:rsidR="0061094C" w:rsidRPr="006173B6" w:rsidRDefault="0061094C">
            <w:pPr>
              <w:jc w:val="center"/>
              <w:rPr>
                <w:b/>
                <w:bCs/>
              </w:rPr>
            </w:pPr>
            <w:r w:rsidRPr="006173B6">
              <w:rPr>
                <w:b/>
                <w:bCs/>
              </w:rPr>
              <w:t>Labour cost/hour</w:t>
            </w:r>
            <w:r w:rsidRPr="006173B6">
              <w:rPr>
                <w:rStyle w:val="FootnoteReference"/>
                <w:b/>
                <w:bCs/>
              </w:rPr>
              <w:footnoteReference w:id="56"/>
            </w:r>
          </w:p>
        </w:tc>
        <w:tc>
          <w:tcPr>
            <w:tcW w:w="2239" w:type="dxa"/>
            <w:vAlign w:val="center"/>
          </w:tcPr>
          <w:p w14:paraId="001AA684" w14:textId="77777777" w:rsidR="0061094C" w:rsidRPr="006173B6" w:rsidRDefault="0061094C">
            <w:pPr>
              <w:jc w:val="center"/>
              <w:rPr>
                <w:b/>
                <w:bCs/>
              </w:rPr>
            </w:pPr>
            <w:r w:rsidRPr="006173B6">
              <w:rPr>
                <w:b/>
                <w:bCs/>
              </w:rPr>
              <w:t>Time to make assessment (minutes)</w:t>
            </w:r>
            <w:r w:rsidRPr="006173B6">
              <w:rPr>
                <w:rStyle w:val="FootnoteReference"/>
                <w:b/>
                <w:bCs/>
              </w:rPr>
              <w:footnoteReference w:id="57"/>
            </w:r>
          </w:p>
        </w:tc>
        <w:tc>
          <w:tcPr>
            <w:tcW w:w="2252" w:type="dxa"/>
            <w:vAlign w:val="center"/>
          </w:tcPr>
          <w:p w14:paraId="1972D62B" w14:textId="77777777" w:rsidR="0061094C" w:rsidRPr="006173B6" w:rsidRDefault="0061094C">
            <w:pPr>
              <w:jc w:val="center"/>
              <w:rPr>
                <w:b/>
                <w:bCs/>
              </w:rPr>
            </w:pPr>
            <w:r w:rsidRPr="03192A06">
              <w:rPr>
                <w:rFonts w:ascii="Calibri" w:eastAsia="Times New Roman" w:hAnsi="Calibri" w:cs="Calibri"/>
                <w:b/>
                <w:color w:val="000000" w:themeColor="text1"/>
                <w:lang w:eastAsia="en-AU"/>
              </w:rPr>
              <w:t>10</w:t>
            </w:r>
            <w:r>
              <w:rPr>
                <w:rFonts w:ascii="Calibri" w:eastAsia="Times New Roman" w:hAnsi="Calibri" w:cs="Calibri"/>
                <w:b/>
                <w:color w:val="000000" w:themeColor="text1"/>
                <w:lang w:eastAsia="en-AU"/>
              </w:rPr>
              <w:t xml:space="preserve"> per cent</w:t>
            </w:r>
            <w:r w:rsidRPr="03192A06">
              <w:rPr>
                <w:rFonts w:ascii="Calibri" w:eastAsia="Times New Roman" w:hAnsi="Calibri" w:cs="Calibri"/>
                <w:b/>
                <w:color w:val="000000" w:themeColor="text1"/>
                <w:lang w:eastAsia="en-AU"/>
              </w:rPr>
              <w:t xml:space="preserve"> of </w:t>
            </w:r>
            <w:r>
              <w:rPr>
                <w:rFonts w:ascii="Calibri" w:eastAsia="Times New Roman" w:hAnsi="Calibri" w:cs="Calibri"/>
                <w:b/>
                <w:color w:val="000000" w:themeColor="text1"/>
                <w:lang w:eastAsia="en-AU"/>
              </w:rPr>
              <w:t xml:space="preserve">small business </w:t>
            </w:r>
            <w:r w:rsidRPr="7D643382">
              <w:rPr>
                <w:rFonts w:ascii="Calibri" w:eastAsia="Times New Roman" w:hAnsi="Calibri" w:cs="Calibri"/>
                <w:b/>
                <w:bCs/>
                <w:color w:val="000000" w:themeColor="text1"/>
                <w:lang w:eastAsia="en-AU"/>
              </w:rPr>
              <w:t>eligible</w:t>
            </w:r>
            <w:r w:rsidRPr="03192A06">
              <w:rPr>
                <w:rFonts w:ascii="Calibri" w:eastAsia="Times New Roman" w:hAnsi="Calibri" w:cs="Calibri"/>
                <w:b/>
                <w:color w:val="000000" w:themeColor="text1"/>
                <w:lang w:eastAsia="en-AU"/>
              </w:rPr>
              <w:t xml:space="preserve"> casual employees employed </w:t>
            </w:r>
            <w:r>
              <w:rPr>
                <w:rFonts w:ascii="Calibri" w:eastAsia="Times New Roman" w:hAnsi="Calibri" w:cs="Calibri"/>
                <w:b/>
                <w:color w:val="000000" w:themeColor="text1"/>
                <w:lang w:eastAsia="en-AU"/>
              </w:rPr>
              <w:t xml:space="preserve">for 12 </w:t>
            </w:r>
            <w:r w:rsidRPr="03192A06">
              <w:rPr>
                <w:rFonts w:ascii="Calibri" w:eastAsia="Times New Roman" w:hAnsi="Calibri" w:cs="Calibri"/>
                <w:b/>
                <w:color w:val="000000" w:themeColor="text1"/>
                <w:lang w:eastAsia="en-AU"/>
              </w:rPr>
              <w:t>months</w:t>
            </w:r>
          </w:p>
        </w:tc>
        <w:tc>
          <w:tcPr>
            <w:tcW w:w="1567" w:type="dxa"/>
            <w:vAlign w:val="center"/>
          </w:tcPr>
          <w:p w14:paraId="658EFCA6" w14:textId="77777777" w:rsidR="0061094C" w:rsidRPr="006173B6" w:rsidRDefault="0061094C">
            <w:pPr>
              <w:jc w:val="center"/>
              <w:rPr>
                <w:b/>
                <w:bCs/>
              </w:rPr>
            </w:pPr>
            <w:r w:rsidRPr="006173B6">
              <w:rPr>
                <w:b/>
                <w:bCs/>
              </w:rPr>
              <w:t>Total cost</w:t>
            </w:r>
          </w:p>
        </w:tc>
      </w:tr>
      <w:tr w:rsidR="0061094C" w14:paraId="53035A94" w14:textId="77777777">
        <w:trPr>
          <w:jc w:val="center"/>
        </w:trPr>
        <w:tc>
          <w:tcPr>
            <w:tcW w:w="1347" w:type="dxa"/>
          </w:tcPr>
          <w:p w14:paraId="63478C70" w14:textId="77777777" w:rsidR="0061094C" w:rsidRDefault="0061094C">
            <w:pPr>
              <w:jc w:val="center"/>
            </w:pPr>
            <w:r>
              <w:t>Employer</w:t>
            </w:r>
          </w:p>
        </w:tc>
        <w:tc>
          <w:tcPr>
            <w:tcW w:w="1611" w:type="dxa"/>
            <w:vAlign w:val="center"/>
          </w:tcPr>
          <w:p w14:paraId="4AE390BC" w14:textId="77777777" w:rsidR="0061094C" w:rsidRDefault="0061094C">
            <w:pPr>
              <w:jc w:val="center"/>
            </w:pPr>
            <w:r>
              <w:t>$79.63</w:t>
            </w:r>
          </w:p>
        </w:tc>
        <w:tc>
          <w:tcPr>
            <w:tcW w:w="2239" w:type="dxa"/>
            <w:vAlign w:val="center"/>
          </w:tcPr>
          <w:p w14:paraId="1734534B" w14:textId="77777777" w:rsidR="0061094C" w:rsidRDefault="0061094C">
            <w:pPr>
              <w:jc w:val="center"/>
            </w:pPr>
            <w:r>
              <w:t>15</w:t>
            </w:r>
          </w:p>
        </w:tc>
        <w:tc>
          <w:tcPr>
            <w:tcW w:w="2252" w:type="dxa"/>
            <w:vAlign w:val="center"/>
          </w:tcPr>
          <w:p w14:paraId="4D6C134D" w14:textId="77777777" w:rsidR="0061094C" w:rsidRDefault="0061094C">
            <w:pPr>
              <w:jc w:val="center"/>
            </w:pPr>
            <w:r>
              <w:rPr>
                <w:rFonts w:ascii="Calibri" w:eastAsia="Times New Roman" w:hAnsi="Calibri" w:cs="Calibri"/>
                <w:color w:val="000000" w:themeColor="text1"/>
                <w:lang w:eastAsia="en-AU"/>
              </w:rPr>
              <w:t>5,540</w:t>
            </w:r>
          </w:p>
        </w:tc>
        <w:tc>
          <w:tcPr>
            <w:tcW w:w="1567" w:type="dxa"/>
            <w:vAlign w:val="center"/>
          </w:tcPr>
          <w:p w14:paraId="462D4D82" w14:textId="77777777" w:rsidR="0061094C" w:rsidRDefault="0061094C">
            <w:pPr>
              <w:jc w:val="center"/>
            </w:pPr>
            <w:r w:rsidRPr="03192A06">
              <w:rPr>
                <w:rFonts w:ascii="Calibri" w:eastAsia="Times New Roman" w:hAnsi="Calibri" w:cs="Calibri"/>
                <w:color w:val="000000" w:themeColor="text1"/>
                <w:lang w:eastAsia="en-AU"/>
              </w:rPr>
              <w:t>$</w:t>
            </w:r>
            <w:r>
              <w:rPr>
                <w:rFonts w:ascii="Calibri" w:eastAsia="Times New Roman" w:hAnsi="Calibri" w:cs="Calibri"/>
                <w:color w:val="000000" w:themeColor="text1"/>
                <w:lang w:eastAsia="en-AU"/>
              </w:rPr>
              <w:t>110,282</w:t>
            </w:r>
          </w:p>
        </w:tc>
      </w:tr>
      <w:tr w:rsidR="0061094C" w:rsidRPr="00182461" w14:paraId="4A383BBE" w14:textId="77777777">
        <w:trPr>
          <w:jc w:val="center"/>
        </w:trPr>
        <w:tc>
          <w:tcPr>
            <w:tcW w:w="1347" w:type="dxa"/>
          </w:tcPr>
          <w:p w14:paraId="42B6BE40" w14:textId="77777777" w:rsidR="0061094C" w:rsidRPr="00182461" w:rsidRDefault="0061094C">
            <w:pPr>
              <w:jc w:val="center"/>
            </w:pPr>
            <w:r>
              <w:t>Employee</w:t>
            </w:r>
          </w:p>
        </w:tc>
        <w:tc>
          <w:tcPr>
            <w:tcW w:w="1611" w:type="dxa"/>
            <w:vAlign w:val="center"/>
          </w:tcPr>
          <w:p w14:paraId="77AD78F6" w14:textId="77777777" w:rsidR="0061094C" w:rsidRPr="00182461" w:rsidRDefault="0061094C">
            <w:pPr>
              <w:jc w:val="center"/>
            </w:pPr>
            <w:r w:rsidRPr="00182461">
              <w:t>$</w:t>
            </w:r>
            <w:r>
              <w:t>29.20</w:t>
            </w:r>
          </w:p>
        </w:tc>
        <w:tc>
          <w:tcPr>
            <w:tcW w:w="2239" w:type="dxa"/>
            <w:vAlign w:val="center"/>
          </w:tcPr>
          <w:p w14:paraId="55065BCB" w14:textId="77777777" w:rsidR="0061094C" w:rsidRPr="00182461" w:rsidRDefault="0061094C">
            <w:pPr>
              <w:jc w:val="center"/>
            </w:pPr>
            <w:r>
              <w:t>20</w:t>
            </w:r>
          </w:p>
        </w:tc>
        <w:tc>
          <w:tcPr>
            <w:tcW w:w="2252" w:type="dxa"/>
            <w:vAlign w:val="center"/>
          </w:tcPr>
          <w:p w14:paraId="6FFC6045" w14:textId="77777777" w:rsidR="0061094C" w:rsidRPr="00182461" w:rsidRDefault="0061094C">
            <w:pPr>
              <w:jc w:val="center"/>
            </w:pPr>
            <w:r>
              <w:rPr>
                <w:rFonts w:ascii="Calibri" w:eastAsia="Times New Roman" w:hAnsi="Calibri" w:cs="Calibri"/>
                <w:color w:val="000000" w:themeColor="text1"/>
                <w:lang w:eastAsia="en-AU"/>
              </w:rPr>
              <w:t>5,540</w:t>
            </w:r>
          </w:p>
        </w:tc>
        <w:tc>
          <w:tcPr>
            <w:tcW w:w="1567" w:type="dxa"/>
            <w:vAlign w:val="center"/>
          </w:tcPr>
          <w:p w14:paraId="40063BFD" w14:textId="77777777" w:rsidR="0061094C" w:rsidRPr="00182461" w:rsidRDefault="0061094C">
            <w:pPr>
              <w:jc w:val="center"/>
            </w:pPr>
            <w:r w:rsidRPr="03192A06">
              <w:rPr>
                <w:rFonts w:ascii="Calibri" w:eastAsia="Times New Roman" w:hAnsi="Calibri" w:cs="Calibri"/>
                <w:color w:val="000000" w:themeColor="text1"/>
                <w:lang w:eastAsia="en-AU"/>
              </w:rPr>
              <w:t>$</w:t>
            </w:r>
            <w:r>
              <w:rPr>
                <w:rFonts w:ascii="Calibri" w:eastAsia="Times New Roman" w:hAnsi="Calibri" w:cs="Calibri"/>
                <w:color w:val="000000" w:themeColor="text1"/>
                <w:lang w:eastAsia="en-AU"/>
              </w:rPr>
              <w:t>53,920</w:t>
            </w:r>
          </w:p>
        </w:tc>
      </w:tr>
      <w:tr w:rsidR="0061094C" w:rsidRPr="00C62DBA" w14:paraId="24060F88" w14:textId="77777777">
        <w:trPr>
          <w:jc w:val="center"/>
        </w:trPr>
        <w:tc>
          <w:tcPr>
            <w:tcW w:w="1347" w:type="dxa"/>
          </w:tcPr>
          <w:p w14:paraId="6A58B1E7" w14:textId="77777777" w:rsidR="0061094C" w:rsidRPr="00C62DBA" w:rsidRDefault="0061094C">
            <w:pPr>
              <w:jc w:val="center"/>
              <w:rPr>
                <w:b/>
                <w:bCs/>
              </w:rPr>
            </w:pPr>
            <w:r w:rsidRPr="00C62DBA">
              <w:rPr>
                <w:b/>
                <w:bCs/>
              </w:rPr>
              <w:t>Total</w:t>
            </w:r>
          </w:p>
        </w:tc>
        <w:tc>
          <w:tcPr>
            <w:tcW w:w="1611" w:type="dxa"/>
            <w:vAlign w:val="center"/>
          </w:tcPr>
          <w:p w14:paraId="67ADC880" w14:textId="77777777" w:rsidR="0061094C" w:rsidRPr="00C62DBA" w:rsidRDefault="0061094C">
            <w:pPr>
              <w:jc w:val="center"/>
              <w:rPr>
                <w:b/>
                <w:bCs/>
              </w:rPr>
            </w:pPr>
            <w:r>
              <w:rPr>
                <w:b/>
                <w:bCs/>
              </w:rPr>
              <w:t>-</w:t>
            </w:r>
          </w:p>
        </w:tc>
        <w:tc>
          <w:tcPr>
            <w:tcW w:w="2239" w:type="dxa"/>
            <w:vAlign w:val="center"/>
          </w:tcPr>
          <w:p w14:paraId="10F1D1AF" w14:textId="77777777" w:rsidR="0061094C" w:rsidRPr="00C62DBA" w:rsidRDefault="0061094C">
            <w:pPr>
              <w:jc w:val="center"/>
              <w:rPr>
                <w:b/>
                <w:bCs/>
              </w:rPr>
            </w:pPr>
            <w:r>
              <w:rPr>
                <w:b/>
                <w:bCs/>
              </w:rPr>
              <w:t>-</w:t>
            </w:r>
          </w:p>
        </w:tc>
        <w:tc>
          <w:tcPr>
            <w:tcW w:w="2252" w:type="dxa"/>
            <w:vAlign w:val="center"/>
          </w:tcPr>
          <w:p w14:paraId="2805F1BB" w14:textId="77777777" w:rsidR="0061094C" w:rsidRPr="00C62DBA" w:rsidRDefault="0061094C">
            <w:pPr>
              <w:jc w:val="center"/>
              <w:rPr>
                <w:b/>
                <w:bCs/>
              </w:rPr>
            </w:pPr>
            <w:r>
              <w:rPr>
                <w:b/>
                <w:bCs/>
              </w:rPr>
              <w:t>-</w:t>
            </w:r>
          </w:p>
        </w:tc>
        <w:tc>
          <w:tcPr>
            <w:tcW w:w="1567" w:type="dxa"/>
            <w:vAlign w:val="center"/>
          </w:tcPr>
          <w:p w14:paraId="07174D88" w14:textId="77777777" w:rsidR="0061094C" w:rsidRPr="00C62DBA" w:rsidRDefault="0061094C">
            <w:pPr>
              <w:jc w:val="center"/>
              <w:rPr>
                <w:b/>
                <w:bCs/>
              </w:rPr>
            </w:pPr>
            <w:r w:rsidRPr="03192A06">
              <w:rPr>
                <w:rFonts w:ascii="Calibri" w:eastAsia="Times New Roman" w:hAnsi="Calibri" w:cs="Calibri"/>
                <w:b/>
                <w:color w:val="000000" w:themeColor="text1"/>
                <w:lang w:eastAsia="en-AU"/>
              </w:rPr>
              <w:t>$</w:t>
            </w:r>
            <w:r>
              <w:rPr>
                <w:rFonts w:ascii="Calibri" w:eastAsia="Times New Roman" w:hAnsi="Calibri" w:cs="Calibri"/>
                <w:b/>
                <w:color w:val="000000" w:themeColor="text1"/>
                <w:lang w:eastAsia="en-AU"/>
              </w:rPr>
              <w:t>164,203</w:t>
            </w:r>
          </w:p>
        </w:tc>
      </w:tr>
    </w:tbl>
    <w:p w14:paraId="178EA5EE" w14:textId="77777777" w:rsidR="0061094C" w:rsidRDefault="0061094C" w:rsidP="0061094C"/>
    <w:p w14:paraId="66F86FE3" w14:textId="77777777" w:rsidR="00154A88" w:rsidRPr="00E6343B" w:rsidRDefault="00154A88" w:rsidP="00154A88">
      <w:pPr>
        <w:rPr>
          <w:b/>
          <w:bCs/>
        </w:rPr>
      </w:pPr>
      <w:r w:rsidRPr="00E6343B">
        <w:rPr>
          <w:b/>
          <w:bCs/>
        </w:rPr>
        <w:t xml:space="preserve">Table </w:t>
      </w:r>
      <w:r w:rsidRPr="3C371470">
        <w:rPr>
          <w:b/>
          <w:bCs/>
        </w:rPr>
        <w:t>9</w:t>
      </w:r>
      <w:r w:rsidRPr="00E6343B">
        <w:rPr>
          <w:b/>
          <w:bCs/>
        </w:rPr>
        <w:t xml:space="preserve">: Estimated annual cost – years </w:t>
      </w:r>
      <w:r>
        <w:rPr>
          <w:b/>
          <w:bCs/>
        </w:rPr>
        <w:t>6 to 10</w:t>
      </w:r>
      <w:r w:rsidRPr="00E6343B">
        <w:rPr>
          <w:b/>
          <w:bCs/>
        </w:rPr>
        <w:t xml:space="preserve">, </w:t>
      </w:r>
      <w:r w:rsidRPr="3C371470">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small business </w:t>
      </w:r>
    </w:p>
    <w:tbl>
      <w:tblPr>
        <w:tblStyle w:val="TableGrid"/>
        <w:tblW w:w="9076" w:type="dxa"/>
        <w:jc w:val="center"/>
        <w:tblLook w:val="04A0" w:firstRow="1" w:lastRow="0" w:firstColumn="1" w:lastColumn="0" w:noHBand="0" w:noVBand="1"/>
      </w:tblPr>
      <w:tblGrid>
        <w:gridCol w:w="1230"/>
        <w:gridCol w:w="1811"/>
        <w:gridCol w:w="2195"/>
        <w:gridCol w:w="2059"/>
        <w:gridCol w:w="1781"/>
      </w:tblGrid>
      <w:tr w:rsidR="00154A88" w:rsidRPr="006173B6" w14:paraId="340DA413" w14:textId="77777777" w:rsidTr="006E2A98">
        <w:trPr>
          <w:trHeight w:val="300"/>
          <w:jc w:val="center"/>
        </w:trPr>
        <w:tc>
          <w:tcPr>
            <w:tcW w:w="1230" w:type="dxa"/>
            <w:vAlign w:val="center"/>
          </w:tcPr>
          <w:p w14:paraId="63E94F0C" w14:textId="77777777" w:rsidR="00154A88" w:rsidRPr="006173B6" w:rsidRDefault="00154A88">
            <w:pPr>
              <w:jc w:val="center"/>
              <w:rPr>
                <w:b/>
                <w:bCs/>
              </w:rPr>
            </w:pPr>
            <w:r w:rsidRPr="00032854">
              <w:rPr>
                <w:b/>
                <w:bCs/>
              </w:rPr>
              <w:t> </w:t>
            </w:r>
          </w:p>
        </w:tc>
        <w:tc>
          <w:tcPr>
            <w:tcW w:w="1811" w:type="dxa"/>
            <w:vAlign w:val="center"/>
          </w:tcPr>
          <w:p w14:paraId="088A7BAB" w14:textId="77777777" w:rsidR="00154A88" w:rsidRPr="006173B6" w:rsidRDefault="00154A88">
            <w:pPr>
              <w:jc w:val="center"/>
              <w:rPr>
                <w:b/>
                <w:bCs/>
              </w:rPr>
            </w:pPr>
            <w:r w:rsidRPr="00032854">
              <w:rPr>
                <w:b/>
                <w:bCs/>
              </w:rPr>
              <w:footnoteReference w:customMarkFollows="1" w:id="58"/>
              <w:t>Labour cost/hour</w:t>
            </w:r>
            <w:r>
              <w:rPr>
                <w:rStyle w:val="FootnoteReference"/>
                <w:b/>
                <w:bCs/>
              </w:rPr>
              <w:footnoteReference w:id="59"/>
            </w:r>
          </w:p>
        </w:tc>
        <w:tc>
          <w:tcPr>
            <w:tcW w:w="2195" w:type="dxa"/>
            <w:vAlign w:val="center"/>
          </w:tcPr>
          <w:p w14:paraId="43B70FB6" w14:textId="77777777" w:rsidR="00154A88" w:rsidRPr="006173B6" w:rsidRDefault="00154A88">
            <w:pPr>
              <w:jc w:val="center"/>
              <w:rPr>
                <w:b/>
                <w:bCs/>
              </w:rPr>
            </w:pPr>
            <w:r w:rsidRPr="00032854">
              <w:rPr>
                <w:b/>
                <w:bCs/>
              </w:rPr>
              <w:footnoteReference w:customMarkFollows="1" w:id="60"/>
              <w:t>Time to make assessment (minutes)</w:t>
            </w:r>
            <w:r>
              <w:rPr>
                <w:rStyle w:val="FootnoteReference"/>
                <w:b/>
                <w:bCs/>
              </w:rPr>
              <w:footnoteReference w:id="61"/>
            </w:r>
          </w:p>
        </w:tc>
        <w:tc>
          <w:tcPr>
            <w:tcW w:w="2059" w:type="dxa"/>
            <w:vAlign w:val="center"/>
          </w:tcPr>
          <w:p w14:paraId="60E2829F" w14:textId="77777777" w:rsidR="00154A88" w:rsidRPr="006173B6" w:rsidRDefault="00154A88">
            <w:pPr>
              <w:jc w:val="center"/>
              <w:rPr>
                <w:b/>
                <w:bCs/>
              </w:rPr>
            </w:pPr>
            <w:r w:rsidRPr="00032854">
              <w:rPr>
                <w:b/>
                <w:bCs/>
              </w:rPr>
              <w:t>5</w:t>
            </w:r>
            <w:r>
              <w:rPr>
                <w:b/>
                <w:bCs/>
              </w:rPr>
              <w:t xml:space="preserve"> per cent</w:t>
            </w:r>
            <w:r w:rsidRPr="00032854">
              <w:rPr>
                <w:b/>
                <w:bCs/>
              </w:rPr>
              <w:t xml:space="preserve"> of </w:t>
            </w:r>
            <w:r>
              <w:rPr>
                <w:b/>
                <w:bCs/>
              </w:rPr>
              <w:t xml:space="preserve">small business </w:t>
            </w:r>
            <w:r w:rsidRPr="7D643382">
              <w:rPr>
                <w:b/>
                <w:bCs/>
              </w:rPr>
              <w:t>eligible</w:t>
            </w:r>
            <w:r w:rsidRPr="00032854">
              <w:rPr>
                <w:b/>
                <w:bCs/>
              </w:rPr>
              <w:t xml:space="preserve"> casual employees employed </w:t>
            </w:r>
            <w:r>
              <w:rPr>
                <w:b/>
                <w:bCs/>
              </w:rPr>
              <w:t xml:space="preserve">for 12 </w:t>
            </w:r>
            <w:r w:rsidRPr="00032854">
              <w:rPr>
                <w:b/>
                <w:bCs/>
              </w:rPr>
              <w:t>months</w:t>
            </w:r>
          </w:p>
        </w:tc>
        <w:tc>
          <w:tcPr>
            <w:tcW w:w="1781" w:type="dxa"/>
            <w:vAlign w:val="center"/>
          </w:tcPr>
          <w:p w14:paraId="6CB9EEDE" w14:textId="77777777" w:rsidR="00154A88" w:rsidRPr="006173B6" w:rsidRDefault="00154A88">
            <w:pPr>
              <w:jc w:val="center"/>
              <w:rPr>
                <w:b/>
                <w:bCs/>
              </w:rPr>
            </w:pPr>
            <w:r w:rsidRPr="00032854">
              <w:rPr>
                <w:b/>
                <w:bCs/>
              </w:rPr>
              <w:t>Total cost</w:t>
            </w:r>
          </w:p>
        </w:tc>
      </w:tr>
      <w:tr w:rsidR="00154A88" w14:paraId="53FF7B7D" w14:textId="77777777" w:rsidTr="006E2A98">
        <w:trPr>
          <w:trHeight w:val="300"/>
          <w:jc w:val="center"/>
        </w:trPr>
        <w:tc>
          <w:tcPr>
            <w:tcW w:w="1230" w:type="dxa"/>
            <w:vAlign w:val="center"/>
          </w:tcPr>
          <w:p w14:paraId="0A5C3643" w14:textId="77777777" w:rsidR="00154A88" w:rsidRPr="00032854" w:rsidRDefault="00154A88">
            <w:pPr>
              <w:jc w:val="center"/>
            </w:pPr>
            <w:r w:rsidRPr="00032854">
              <w:t>Employer</w:t>
            </w:r>
          </w:p>
        </w:tc>
        <w:tc>
          <w:tcPr>
            <w:tcW w:w="1811" w:type="dxa"/>
            <w:vAlign w:val="center"/>
          </w:tcPr>
          <w:p w14:paraId="0E9A5526" w14:textId="77777777" w:rsidR="00154A88" w:rsidRPr="00032854" w:rsidRDefault="00154A88">
            <w:pPr>
              <w:jc w:val="center"/>
            </w:pPr>
            <w:r w:rsidRPr="00032854">
              <w:t>$79.63</w:t>
            </w:r>
          </w:p>
        </w:tc>
        <w:tc>
          <w:tcPr>
            <w:tcW w:w="2195" w:type="dxa"/>
            <w:vAlign w:val="center"/>
          </w:tcPr>
          <w:p w14:paraId="51C15E1B" w14:textId="77777777" w:rsidR="00154A88" w:rsidRPr="00032854" w:rsidRDefault="00154A88">
            <w:pPr>
              <w:jc w:val="center"/>
            </w:pPr>
            <w:r w:rsidRPr="00032854">
              <w:t>15</w:t>
            </w:r>
          </w:p>
        </w:tc>
        <w:tc>
          <w:tcPr>
            <w:tcW w:w="2059" w:type="dxa"/>
            <w:vAlign w:val="center"/>
          </w:tcPr>
          <w:p w14:paraId="024420B5" w14:textId="77777777" w:rsidR="00154A88" w:rsidRPr="00032854" w:rsidRDefault="00154A88">
            <w:pPr>
              <w:jc w:val="center"/>
            </w:pPr>
            <w:r>
              <w:t>2,770</w:t>
            </w:r>
          </w:p>
        </w:tc>
        <w:tc>
          <w:tcPr>
            <w:tcW w:w="1781" w:type="dxa"/>
            <w:vAlign w:val="center"/>
          </w:tcPr>
          <w:p w14:paraId="0AA76CA4" w14:textId="77777777" w:rsidR="00154A88" w:rsidRPr="00032854" w:rsidRDefault="00154A88">
            <w:pPr>
              <w:jc w:val="center"/>
            </w:pPr>
            <w:r w:rsidRPr="00032854">
              <w:t>$</w:t>
            </w:r>
            <w:r>
              <w:t>55,141</w:t>
            </w:r>
          </w:p>
        </w:tc>
      </w:tr>
      <w:tr w:rsidR="00154A88" w:rsidRPr="00182461" w14:paraId="0CFE5BF3" w14:textId="77777777" w:rsidTr="006E2A98">
        <w:trPr>
          <w:trHeight w:val="300"/>
          <w:jc w:val="center"/>
        </w:trPr>
        <w:tc>
          <w:tcPr>
            <w:tcW w:w="1230" w:type="dxa"/>
            <w:vAlign w:val="center"/>
          </w:tcPr>
          <w:p w14:paraId="0B3145D1" w14:textId="77777777" w:rsidR="00154A88" w:rsidRPr="00032854" w:rsidRDefault="00154A88">
            <w:pPr>
              <w:jc w:val="center"/>
            </w:pPr>
            <w:r w:rsidRPr="00032854">
              <w:t>Employee</w:t>
            </w:r>
          </w:p>
        </w:tc>
        <w:tc>
          <w:tcPr>
            <w:tcW w:w="1811" w:type="dxa"/>
            <w:vAlign w:val="center"/>
          </w:tcPr>
          <w:p w14:paraId="7C501E31" w14:textId="77777777" w:rsidR="00154A88" w:rsidRPr="00032854" w:rsidRDefault="00154A88">
            <w:pPr>
              <w:jc w:val="center"/>
            </w:pPr>
            <w:r w:rsidRPr="00032854">
              <w:t>$29.20</w:t>
            </w:r>
          </w:p>
        </w:tc>
        <w:tc>
          <w:tcPr>
            <w:tcW w:w="2195" w:type="dxa"/>
            <w:vAlign w:val="center"/>
          </w:tcPr>
          <w:p w14:paraId="28A331A4" w14:textId="77777777" w:rsidR="00154A88" w:rsidRPr="00032854" w:rsidRDefault="00154A88">
            <w:pPr>
              <w:jc w:val="center"/>
            </w:pPr>
            <w:r w:rsidRPr="00032854">
              <w:t>20</w:t>
            </w:r>
          </w:p>
        </w:tc>
        <w:tc>
          <w:tcPr>
            <w:tcW w:w="2059" w:type="dxa"/>
            <w:vAlign w:val="center"/>
          </w:tcPr>
          <w:p w14:paraId="17B43387" w14:textId="77777777" w:rsidR="00154A88" w:rsidRPr="00032854" w:rsidRDefault="00154A88">
            <w:pPr>
              <w:jc w:val="center"/>
            </w:pPr>
            <w:r>
              <w:t>2,770</w:t>
            </w:r>
          </w:p>
        </w:tc>
        <w:tc>
          <w:tcPr>
            <w:tcW w:w="1781" w:type="dxa"/>
            <w:vAlign w:val="center"/>
          </w:tcPr>
          <w:p w14:paraId="77297870" w14:textId="77777777" w:rsidR="00154A88" w:rsidRPr="00032854" w:rsidRDefault="00154A88">
            <w:pPr>
              <w:jc w:val="center"/>
            </w:pPr>
            <w:r>
              <w:t>$26,960</w:t>
            </w:r>
          </w:p>
        </w:tc>
      </w:tr>
      <w:tr w:rsidR="00154A88" w:rsidRPr="00C62DBA" w14:paraId="32EA36F7" w14:textId="77777777" w:rsidTr="006E2A98">
        <w:trPr>
          <w:trHeight w:val="300"/>
          <w:jc w:val="center"/>
        </w:trPr>
        <w:tc>
          <w:tcPr>
            <w:tcW w:w="1230" w:type="dxa"/>
            <w:vAlign w:val="center"/>
          </w:tcPr>
          <w:p w14:paraId="151A251D" w14:textId="77777777" w:rsidR="00154A88" w:rsidRPr="00C62DBA" w:rsidRDefault="00154A88">
            <w:pPr>
              <w:jc w:val="center"/>
              <w:rPr>
                <w:b/>
                <w:bCs/>
              </w:rPr>
            </w:pPr>
            <w:r w:rsidRPr="00032854">
              <w:rPr>
                <w:b/>
                <w:bCs/>
              </w:rPr>
              <w:t>Total</w:t>
            </w:r>
          </w:p>
        </w:tc>
        <w:tc>
          <w:tcPr>
            <w:tcW w:w="1811" w:type="dxa"/>
            <w:vAlign w:val="center"/>
          </w:tcPr>
          <w:p w14:paraId="270E86FA" w14:textId="77777777" w:rsidR="00154A88" w:rsidRPr="00C62DBA" w:rsidRDefault="00154A88">
            <w:pPr>
              <w:jc w:val="center"/>
              <w:rPr>
                <w:b/>
                <w:bCs/>
              </w:rPr>
            </w:pPr>
            <w:r w:rsidRPr="00032854">
              <w:rPr>
                <w:b/>
                <w:bCs/>
              </w:rPr>
              <w:t>-</w:t>
            </w:r>
          </w:p>
        </w:tc>
        <w:tc>
          <w:tcPr>
            <w:tcW w:w="2195" w:type="dxa"/>
            <w:vAlign w:val="center"/>
          </w:tcPr>
          <w:p w14:paraId="735CFC8F" w14:textId="77777777" w:rsidR="00154A88" w:rsidRPr="00C62DBA" w:rsidRDefault="00154A88">
            <w:pPr>
              <w:jc w:val="center"/>
              <w:rPr>
                <w:b/>
                <w:bCs/>
              </w:rPr>
            </w:pPr>
            <w:r w:rsidRPr="00032854">
              <w:rPr>
                <w:b/>
                <w:bCs/>
              </w:rPr>
              <w:t>-</w:t>
            </w:r>
          </w:p>
        </w:tc>
        <w:tc>
          <w:tcPr>
            <w:tcW w:w="2059" w:type="dxa"/>
            <w:vAlign w:val="center"/>
          </w:tcPr>
          <w:p w14:paraId="5151EEB0" w14:textId="77777777" w:rsidR="00154A88" w:rsidRPr="00C62DBA" w:rsidRDefault="00154A88">
            <w:pPr>
              <w:jc w:val="center"/>
              <w:rPr>
                <w:b/>
                <w:bCs/>
              </w:rPr>
            </w:pPr>
            <w:r w:rsidRPr="00032854">
              <w:rPr>
                <w:b/>
                <w:bCs/>
              </w:rPr>
              <w:t>-</w:t>
            </w:r>
          </w:p>
        </w:tc>
        <w:tc>
          <w:tcPr>
            <w:tcW w:w="1781" w:type="dxa"/>
            <w:vAlign w:val="center"/>
          </w:tcPr>
          <w:p w14:paraId="4F3EAFC7" w14:textId="77777777" w:rsidR="00154A88" w:rsidRPr="00C62DBA" w:rsidRDefault="00154A88">
            <w:pPr>
              <w:jc w:val="center"/>
              <w:rPr>
                <w:b/>
                <w:bCs/>
              </w:rPr>
            </w:pPr>
            <w:r w:rsidRPr="00032854">
              <w:rPr>
                <w:b/>
                <w:bCs/>
              </w:rPr>
              <w:t>$</w:t>
            </w:r>
            <w:r>
              <w:rPr>
                <w:b/>
                <w:bCs/>
              </w:rPr>
              <w:t>82,101</w:t>
            </w:r>
          </w:p>
        </w:tc>
      </w:tr>
    </w:tbl>
    <w:p w14:paraId="5E4B7B1E" w14:textId="77777777" w:rsidR="00154A88" w:rsidRDefault="00154A88" w:rsidP="00154A88">
      <w:pPr>
        <w:rPr>
          <w:b/>
          <w:bCs/>
          <w:u w:val="single"/>
        </w:rPr>
      </w:pPr>
    </w:p>
    <w:p w14:paraId="40314948" w14:textId="77777777" w:rsidR="00C439DB" w:rsidRPr="007B4D2B" w:rsidRDefault="00C439DB" w:rsidP="00C439DB">
      <w:pPr>
        <w:rPr>
          <w:b/>
          <w:bCs/>
          <w:u w:val="single"/>
        </w:rPr>
      </w:pPr>
      <w:r w:rsidRPr="007B4D2B">
        <w:rPr>
          <w:b/>
          <w:bCs/>
          <w:u w:val="single"/>
        </w:rPr>
        <w:t>10 years</w:t>
      </w:r>
      <w:r>
        <w:rPr>
          <w:b/>
          <w:bCs/>
          <w:u w:val="single"/>
        </w:rPr>
        <w:t xml:space="preserve"> costs: average annual – small business</w:t>
      </w:r>
    </w:p>
    <w:p w14:paraId="3DD521CD" w14:textId="77777777" w:rsidR="00C439DB" w:rsidRPr="00C56045" w:rsidRDefault="00C439DB" w:rsidP="00C439DB">
      <w:r>
        <w:t>The average annual cost over 10 years is shown in Table 10.</w:t>
      </w:r>
    </w:p>
    <w:p w14:paraId="347E9CBA" w14:textId="77777777" w:rsidR="00C439DB" w:rsidRPr="00E6343B" w:rsidRDefault="00C439DB" w:rsidP="00C439DB">
      <w:pPr>
        <w:rPr>
          <w:b/>
          <w:bCs/>
        </w:rPr>
      </w:pPr>
      <w:r w:rsidRPr="00E6343B">
        <w:rPr>
          <w:b/>
          <w:bCs/>
        </w:rPr>
        <w:t xml:space="preserve">Table </w:t>
      </w:r>
      <w:r w:rsidRPr="3C371470">
        <w:rPr>
          <w:b/>
          <w:bCs/>
        </w:rPr>
        <w:t>10</w:t>
      </w:r>
      <w:r>
        <w:rPr>
          <w:b/>
          <w:bCs/>
        </w:rPr>
        <w:t>:</w:t>
      </w:r>
      <w:r w:rsidRPr="00E6343B">
        <w:rPr>
          <w:b/>
          <w:bCs/>
        </w:rPr>
        <w:t xml:space="preserve"> Estimated annual cost, </w:t>
      </w:r>
      <w:r w:rsidRPr="3C371470">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small business </w:t>
      </w:r>
    </w:p>
    <w:tbl>
      <w:tblPr>
        <w:tblStyle w:val="TableGrid"/>
        <w:tblW w:w="0" w:type="auto"/>
        <w:jc w:val="center"/>
        <w:tblLayout w:type="fixed"/>
        <w:tblLook w:val="04A0" w:firstRow="1" w:lastRow="0" w:firstColumn="1" w:lastColumn="0" w:noHBand="0" w:noVBand="1"/>
      </w:tblPr>
      <w:tblGrid>
        <w:gridCol w:w="1980"/>
        <w:gridCol w:w="2268"/>
        <w:gridCol w:w="2410"/>
        <w:gridCol w:w="2358"/>
      </w:tblGrid>
      <w:tr w:rsidR="00C439DB" w:rsidRPr="006173B6" w14:paraId="3FA62A52" w14:textId="77777777">
        <w:trPr>
          <w:jc w:val="center"/>
        </w:trPr>
        <w:tc>
          <w:tcPr>
            <w:tcW w:w="1980" w:type="dxa"/>
          </w:tcPr>
          <w:p w14:paraId="784F4A95" w14:textId="77777777" w:rsidR="00C439DB" w:rsidRPr="006173B6" w:rsidRDefault="00C439DB">
            <w:pPr>
              <w:jc w:val="center"/>
              <w:rPr>
                <w:b/>
                <w:bCs/>
              </w:rPr>
            </w:pPr>
            <w:bookmarkStart w:id="27" w:name="_Hlk143014700"/>
          </w:p>
        </w:tc>
        <w:tc>
          <w:tcPr>
            <w:tcW w:w="2268" w:type="dxa"/>
            <w:vAlign w:val="center"/>
          </w:tcPr>
          <w:p w14:paraId="14ED2D1E" w14:textId="77777777" w:rsidR="00C439DB" w:rsidRPr="006173B6" w:rsidRDefault="00C439DB">
            <w:pPr>
              <w:jc w:val="center"/>
              <w:rPr>
                <w:b/>
                <w:bCs/>
              </w:rPr>
            </w:pPr>
            <w:r>
              <w:rPr>
                <w:b/>
                <w:bCs/>
              </w:rPr>
              <w:t>Employer cost</w:t>
            </w:r>
          </w:p>
        </w:tc>
        <w:tc>
          <w:tcPr>
            <w:tcW w:w="2410" w:type="dxa"/>
            <w:vAlign w:val="center"/>
          </w:tcPr>
          <w:p w14:paraId="69E89C75" w14:textId="77777777" w:rsidR="00C439DB" w:rsidRPr="006173B6" w:rsidRDefault="00C439DB">
            <w:pPr>
              <w:jc w:val="center"/>
              <w:rPr>
                <w:b/>
                <w:bCs/>
              </w:rPr>
            </w:pPr>
            <w:r>
              <w:rPr>
                <w:b/>
                <w:bCs/>
              </w:rPr>
              <w:t>Employee cost</w:t>
            </w:r>
          </w:p>
        </w:tc>
        <w:tc>
          <w:tcPr>
            <w:tcW w:w="2358" w:type="dxa"/>
            <w:vAlign w:val="center"/>
          </w:tcPr>
          <w:p w14:paraId="1BC71610" w14:textId="77777777" w:rsidR="00C439DB" w:rsidRPr="006173B6" w:rsidRDefault="00C439DB">
            <w:pPr>
              <w:jc w:val="center"/>
              <w:rPr>
                <w:b/>
                <w:bCs/>
              </w:rPr>
            </w:pPr>
            <w:r w:rsidRPr="006173B6">
              <w:rPr>
                <w:b/>
                <w:bCs/>
              </w:rPr>
              <w:t>Total cost</w:t>
            </w:r>
          </w:p>
        </w:tc>
      </w:tr>
      <w:tr w:rsidR="00C439DB" w:rsidRPr="00C62DBA" w14:paraId="36FC3EC0" w14:textId="77777777">
        <w:trPr>
          <w:trHeight w:val="64"/>
          <w:jc w:val="center"/>
        </w:trPr>
        <w:tc>
          <w:tcPr>
            <w:tcW w:w="1980" w:type="dxa"/>
          </w:tcPr>
          <w:p w14:paraId="64B262B4" w14:textId="77777777" w:rsidR="00C439DB" w:rsidRPr="00C62DBA" w:rsidRDefault="00C439DB">
            <w:pPr>
              <w:jc w:val="center"/>
              <w:rPr>
                <w:b/>
                <w:bCs/>
              </w:rPr>
            </w:pPr>
            <w:r>
              <w:rPr>
                <w:b/>
                <w:bCs/>
              </w:rPr>
              <w:t>Regulatory cost</w:t>
            </w:r>
          </w:p>
        </w:tc>
        <w:tc>
          <w:tcPr>
            <w:tcW w:w="2268" w:type="dxa"/>
            <w:vAlign w:val="center"/>
          </w:tcPr>
          <w:p w14:paraId="2A818835" w14:textId="77777777" w:rsidR="00C439DB" w:rsidRPr="00C62DBA" w:rsidRDefault="00C439DB">
            <w:pPr>
              <w:jc w:val="center"/>
              <w:rPr>
                <w:b/>
                <w:bCs/>
              </w:rPr>
            </w:pPr>
            <w:r>
              <w:rPr>
                <w:b/>
                <w:bCs/>
              </w:rPr>
              <w:t>$104,040</w:t>
            </w:r>
          </w:p>
        </w:tc>
        <w:tc>
          <w:tcPr>
            <w:tcW w:w="2410" w:type="dxa"/>
            <w:vAlign w:val="center"/>
          </w:tcPr>
          <w:p w14:paraId="4653138C" w14:textId="77777777" w:rsidR="00C439DB" w:rsidRPr="00C62DBA" w:rsidRDefault="00C439DB">
            <w:pPr>
              <w:jc w:val="center"/>
              <w:rPr>
                <w:b/>
                <w:bCs/>
              </w:rPr>
            </w:pPr>
            <w:r>
              <w:rPr>
                <w:b/>
                <w:bCs/>
              </w:rPr>
              <w:t>$50,868</w:t>
            </w:r>
          </w:p>
        </w:tc>
        <w:tc>
          <w:tcPr>
            <w:tcW w:w="2358" w:type="dxa"/>
            <w:vAlign w:val="center"/>
          </w:tcPr>
          <w:p w14:paraId="7C21C7D5" w14:textId="77777777" w:rsidR="00C439DB" w:rsidRPr="00C62DBA" w:rsidRDefault="00C439DB">
            <w:pPr>
              <w:jc w:val="center"/>
              <w:rPr>
                <w:b/>
                <w:bCs/>
              </w:rPr>
            </w:pPr>
            <w:r>
              <w:rPr>
                <w:b/>
                <w:bCs/>
              </w:rPr>
              <w:t>$154,908</w:t>
            </w:r>
          </w:p>
        </w:tc>
      </w:tr>
      <w:bookmarkEnd w:id="27"/>
    </w:tbl>
    <w:p w14:paraId="5E857047" w14:textId="5CC7DA61" w:rsidR="0029092F" w:rsidRDefault="0029092F" w:rsidP="00BE2A0E">
      <w:pPr>
        <w:spacing w:before="120" w:after="120" w:line="360" w:lineRule="auto"/>
        <w:rPr>
          <w:rFonts w:eastAsiaTheme="minorEastAsia"/>
          <w:b/>
          <w:bCs/>
          <w:u w:val="single"/>
        </w:rPr>
      </w:pPr>
    </w:p>
    <w:p w14:paraId="7A11A0B0" w14:textId="77777777" w:rsidR="0029092F" w:rsidRDefault="0029092F">
      <w:pPr>
        <w:rPr>
          <w:rFonts w:eastAsiaTheme="minorEastAsia"/>
          <w:b/>
          <w:bCs/>
          <w:u w:val="single"/>
        </w:rPr>
      </w:pPr>
      <w:r>
        <w:rPr>
          <w:rFonts w:eastAsiaTheme="minorEastAsia"/>
          <w:b/>
          <w:bCs/>
          <w:u w:val="single"/>
        </w:rPr>
        <w:br w:type="page"/>
      </w:r>
    </w:p>
    <w:p w14:paraId="1DFA89AA" w14:textId="72305D39" w:rsidR="00BE2A0E" w:rsidRPr="003E3D8E" w:rsidRDefault="00BE2A0E" w:rsidP="00C439DB">
      <w:pPr>
        <w:spacing w:before="120" w:after="120" w:line="360" w:lineRule="auto"/>
        <w:rPr>
          <w:b/>
          <w:bCs/>
          <w:sz w:val="28"/>
          <w:szCs w:val="28"/>
          <w:u w:val="single"/>
        </w:rPr>
      </w:pPr>
      <w:r w:rsidRPr="003E3D8E">
        <w:rPr>
          <w:b/>
          <w:bCs/>
          <w:sz w:val="28"/>
          <w:szCs w:val="28"/>
          <w:u w:val="single"/>
        </w:rPr>
        <w:lastRenderedPageBreak/>
        <w:t>All businesses</w:t>
      </w:r>
    </w:p>
    <w:p w14:paraId="5004FE27" w14:textId="77777777" w:rsidR="0067610B" w:rsidRPr="00307023" w:rsidRDefault="0067610B" w:rsidP="0067610B">
      <w:pPr>
        <w:rPr>
          <w:b/>
          <w:bCs/>
          <w:u w:val="single"/>
        </w:rPr>
      </w:pPr>
      <w:r w:rsidRPr="00307023">
        <w:rPr>
          <w:b/>
          <w:bCs/>
          <w:u w:val="single"/>
        </w:rPr>
        <w:t>10 years costs – all businesses</w:t>
      </w:r>
    </w:p>
    <w:p w14:paraId="6A970544" w14:textId="77777777" w:rsidR="0067610B" w:rsidRPr="00C56045" w:rsidRDefault="0067610B" w:rsidP="0067610B">
      <w:r>
        <w:t>The average annual cost for all businesses over 10 years is shown in Table 11.</w:t>
      </w:r>
    </w:p>
    <w:p w14:paraId="3EB1FF82" w14:textId="77777777" w:rsidR="0067610B" w:rsidRPr="00E6343B" w:rsidRDefault="0067610B" w:rsidP="0067610B">
      <w:pPr>
        <w:rPr>
          <w:b/>
          <w:bCs/>
        </w:rPr>
      </w:pPr>
      <w:r w:rsidRPr="00E6343B">
        <w:rPr>
          <w:b/>
          <w:bCs/>
        </w:rPr>
        <w:t xml:space="preserve">Table </w:t>
      </w:r>
      <w:r w:rsidRPr="7D643382">
        <w:rPr>
          <w:b/>
          <w:bCs/>
        </w:rPr>
        <w:t>1</w:t>
      </w:r>
      <w:r>
        <w:rPr>
          <w:b/>
          <w:bCs/>
        </w:rPr>
        <w:t>1:</w:t>
      </w:r>
      <w:r w:rsidRPr="00E6343B">
        <w:rPr>
          <w:b/>
          <w:bCs/>
        </w:rPr>
        <w:t xml:space="preserve"> Estimated annual cost, </w:t>
      </w:r>
      <w:r w:rsidRPr="7D643382">
        <w:rPr>
          <w:b/>
          <w:bCs/>
        </w:rPr>
        <w:t>eligible</w:t>
      </w:r>
      <w:r w:rsidRPr="00E6343B">
        <w:rPr>
          <w:b/>
          <w:bCs/>
        </w:rPr>
        <w:t xml:space="preserve"> casual employees seeking to convert under the </w:t>
      </w:r>
      <w:r>
        <w:rPr>
          <w:b/>
          <w:bCs/>
        </w:rPr>
        <w:t xml:space="preserve">new </w:t>
      </w:r>
      <w:r w:rsidRPr="00E6343B">
        <w:rPr>
          <w:b/>
          <w:bCs/>
        </w:rPr>
        <w:t>definition</w:t>
      </w:r>
      <w:r>
        <w:rPr>
          <w:b/>
          <w:bCs/>
        </w:rPr>
        <w:t xml:space="preserve"> – all businesses </w:t>
      </w:r>
    </w:p>
    <w:tbl>
      <w:tblPr>
        <w:tblStyle w:val="TableGrid"/>
        <w:tblW w:w="0" w:type="auto"/>
        <w:jc w:val="center"/>
        <w:tblLayout w:type="fixed"/>
        <w:tblLook w:val="04A0" w:firstRow="1" w:lastRow="0" w:firstColumn="1" w:lastColumn="0" w:noHBand="0" w:noVBand="1"/>
      </w:tblPr>
      <w:tblGrid>
        <w:gridCol w:w="1980"/>
        <w:gridCol w:w="2268"/>
        <w:gridCol w:w="2410"/>
        <w:gridCol w:w="2358"/>
      </w:tblGrid>
      <w:tr w:rsidR="0067610B" w:rsidRPr="006173B6" w14:paraId="4875BBC8" w14:textId="77777777">
        <w:trPr>
          <w:jc w:val="center"/>
        </w:trPr>
        <w:tc>
          <w:tcPr>
            <w:tcW w:w="1980" w:type="dxa"/>
          </w:tcPr>
          <w:p w14:paraId="4DA3F717" w14:textId="77777777" w:rsidR="0067610B" w:rsidRPr="006173B6" w:rsidRDefault="0067610B">
            <w:pPr>
              <w:jc w:val="center"/>
              <w:rPr>
                <w:b/>
                <w:bCs/>
              </w:rPr>
            </w:pPr>
          </w:p>
        </w:tc>
        <w:tc>
          <w:tcPr>
            <w:tcW w:w="2268" w:type="dxa"/>
            <w:vAlign w:val="center"/>
          </w:tcPr>
          <w:p w14:paraId="264B1788" w14:textId="77777777" w:rsidR="0067610B" w:rsidRPr="006173B6" w:rsidRDefault="0067610B">
            <w:pPr>
              <w:jc w:val="center"/>
              <w:rPr>
                <w:b/>
                <w:bCs/>
              </w:rPr>
            </w:pPr>
            <w:r>
              <w:rPr>
                <w:b/>
                <w:bCs/>
              </w:rPr>
              <w:t>Employer cost</w:t>
            </w:r>
          </w:p>
        </w:tc>
        <w:tc>
          <w:tcPr>
            <w:tcW w:w="2410" w:type="dxa"/>
            <w:vAlign w:val="center"/>
          </w:tcPr>
          <w:p w14:paraId="29D27EA5" w14:textId="77777777" w:rsidR="0067610B" w:rsidRPr="006173B6" w:rsidRDefault="0067610B">
            <w:pPr>
              <w:jc w:val="center"/>
              <w:rPr>
                <w:b/>
                <w:bCs/>
              </w:rPr>
            </w:pPr>
            <w:r>
              <w:rPr>
                <w:b/>
                <w:bCs/>
              </w:rPr>
              <w:t>Employee cost</w:t>
            </w:r>
          </w:p>
        </w:tc>
        <w:tc>
          <w:tcPr>
            <w:tcW w:w="2358" w:type="dxa"/>
            <w:vAlign w:val="center"/>
          </w:tcPr>
          <w:p w14:paraId="0B51494D" w14:textId="77777777" w:rsidR="0067610B" w:rsidRPr="006173B6" w:rsidRDefault="0067610B">
            <w:pPr>
              <w:jc w:val="center"/>
              <w:rPr>
                <w:b/>
                <w:bCs/>
              </w:rPr>
            </w:pPr>
            <w:r w:rsidRPr="006173B6">
              <w:rPr>
                <w:b/>
                <w:bCs/>
              </w:rPr>
              <w:t>Total cost</w:t>
            </w:r>
          </w:p>
        </w:tc>
      </w:tr>
      <w:tr w:rsidR="0067610B" w:rsidRPr="00C62DBA" w14:paraId="1ECA2ACC" w14:textId="77777777">
        <w:trPr>
          <w:jc w:val="center"/>
        </w:trPr>
        <w:tc>
          <w:tcPr>
            <w:tcW w:w="1980" w:type="dxa"/>
          </w:tcPr>
          <w:p w14:paraId="67B1B2F5" w14:textId="77777777" w:rsidR="0067610B" w:rsidRPr="00C62DBA" w:rsidRDefault="0067610B">
            <w:pPr>
              <w:jc w:val="center"/>
              <w:rPr>
                <w:b/>
                <w:bCs/>
              </w:rPr>
            </w:pPr>
            <w:r>
              <w:rPr>
                <w:b/>
                <w:bCs/>
              </w:rPr>
              <w:t>Regulatory cost</w:t>
            </w:r>
          </w:p>
        </w:tc>
        <w:tc>
          <w:tcPr>
            <w:tcW w:w="2268" w:type="dxa"/>
            <w:vAlign w:val="center"/>
          </w:tcPr>
          <w:p w14:paraId="272B4FE6" w14:textId="77777777" w:rsidR="0067610B" w:rsidRPr="00C62DBA" w:rsidRDefault="0067610B">
            <w:pPr>
              <w:jc w:val="center"/>
              <w:rPr>
                <w:b/>
                <w:bCs/>
              </w:rPr>
            </w:pPr>
            <w:r>
              <w:rPr>
                <w:b/>
                <w:bCs/>
              </w:rPr>
              <w:t>$593,055</w:t>
            </w:r>
          </w:p>
        </w:tc>
        <w:tc>
          <w:tcPr>
            <w:tcW w:w="2410" w:type="dxa"/>
            <w:vAlign w:val="center"/>
          </w:tcPr>
          <w:p w14:paraId="43A4FDCD" w14:textId="77777777" w:rsidR="0067610B" w:rsidRPr="00C62DBA" w:rsidRDefault="0067610B">
            <w:pPr>
              <w:jc w:val="center"/>
              <w:rPr>
                <w:b/>
                <w:bCs/>
              </w:rPr>
            </w:pPr>
            <w:r>
              <w:rPr>
                <w:b/>
                <w:bCs/>
              </w:rPr>
              <w:t>$289,961</w:t>
            </w:r>
          </w:p>
        </w:tc>
        <w:tc>
          <w:tcPr>
            <w:tcW w:w="2358" w:type="dxa"/>
            <w:vAlign w:val="center"/>
          </w:tcPr>
          <w:p w14:paraId="2BA973BF" w14:textId="77777777" w:rsidR="0067610B" w:rsidRPr="00C62DBA" w:rsidRDefault="0067610B">
            <w:pPr>
              <w:jc w:val="center"/>
              <w:rPr>
                <w:b/>
                <w:bCs/>
              </w:rPr>
            </w:pPr>
            <w:r>
              <w:rPr>
                <w:b/>
                <w:bCs/>
              </w:rPr>
              <w:t>$883,017</w:t>
            </w:r>
          </w:p>
        </w:tc>
      </w:tr>
    </w:tbl>
    <w:p w14:paraId="4CD8A7BB" w14:textId="77777777" w:rsidR="0067610B" w:rsidRDefault="0067610B" w:rsidP="0067610B">
      <w:pPr>
        <w:rPr>
          <w:b/>
          <w:bCs/>
        </w:rPr>
      </w:pPr>
    </w:p>
    <w:p w14:paraId="2EA77FAF" w14:textId="77777777" w:rsidR="0067610B" w:rsidRDefault="0067610B" w:rsidP="0067610B">
      <w:pPr>
        <w:rPr>
          <w:b/>
          <w:bCs/>
        </w:rPr>
      </w:pPr>
      <w:r w:rsidRPr="00E6343B">
        <w:rPr>
          <w:b/>
          <w:bCs/>
        </w:rPr>
        <w:t>Over 10 years, the total cost would be $</w:t>
      </w:r>
      <w:r>
        <w:rPr>
          <w:b/>
          <w:bCs/>
        </w:rPr>
        <w:t>8,</w:t>
      </w:r>
      <w:r w:rsidRPr="3C371470">
        <w:rPr>
          <w:b/>
          <w:bCs/>
        </w:rPr>
        <w:t>830,167</w:t>
      </w:r>
      <w:r w:rsidRPr="00307023">
        <w:rPr>
          <w:rStyle w:val="FootnoteReference"/>
        </w:rPr>
        <w:footnoteReference w:id="62"/>
      </w:r>
    </w:p>
    <w:p w14:paraId="6ADA32BD" w14:textId="77777777" w:rsidR="0067610B" w:rsidRPr="00307023" w:rsidRDefault="0067610B" w:rsidP="001E2B74">
      <w:pPr>
        <w:pStyle w:val="ListParagraph"/>
        <w:numPr>
          <w:ilvl w:val="0"/>
          <w:numId w:val="13"/>
        </w:numPr>
        <w:spacing w:before="120" w:after="120"/>
        <w:ind w:left="567"/>
        <w:rPr>
          <w:rFonts w:eastAsiaTheme="minorEastAsia"/>
          <w:b/>
          <w:bCs/>
        </w:rPr>
      </w:pPr>
      <w:r w:rsidRPr="00307023">
        <w:rPr>
          <w:rFonts w:eastAsiaTheme="minorEastAsia"/>
          <w:b/>
          <w:bCs/>
        </w:rPr>
        <w:t>Non-small business</w:t>
      </w:r>
    </w:p>
    <w:p w14:paraId="4FD97884" w14:textId="77777777" w:rsidR="0067610B" w:rsidRPr="008E5CF7" w:rsidRDefault="0067610B" w:rsidP="001E2B74">
      <w:pPr>
        <w:pStyle w:val="ListParagraph"/>
        <w:numPr>
          <w:ilvl w:val="1"/>
          <w:numId w:val="13"/>
        </w:numPr>
        <w:spacing w:before="120" w:after="120"/>
        <w:rPr>
          <w:rFonts w:eastAsiaTheme="minorEastAsia"/>
        </w:rPr>
      </w:pPr>
      <w:r w:rsidRPr="3C371470">
        <w:rPr>
          <w:rFonts w:eastAsiaTheme="minorEastAsia"/>
        </w:rPr>
        <w:t>T</w:t>
      </w:r>
      <w:r w:rsidRPr="008E5CF7">
        <w:rPr>
          <w:rFonts w:eastAsiaTheme="minorEastAsia"/>
        </w:rPr>
        <w:t>otal employer cost = year 1 employer cost + 4 x year 2 employer cost + 5 x year 6 employer cost = $</w:t>
      </w:r>
      <w:r>
        <w:rPr>
          <w:rFonts w:eastAsiaTheme="minorEastAsia"/>
        </w:rPr>
        <w:t>1,</w:t>
      </w:r>
      <w:r w:rsidRPr="3C371470">
        <w:rPr>
          <w:rFonts w:eastAsiaTheme="minorEastAsia"/>
        </w:rPr>
        <w:t>262,445</w:t>
      </w:r>
      <w:r w:rsidRPr="008E5CF7">
        <w:rPr>
          <w:rFonts w:eastAsiaTheme="minorEastAsia"/>
        </w:rPr>
        <w:t xml:space="preserve"> + 4 x $</w:t>
      </w:r>
      <w:r w:rsidRPr="3C371470">
        <w:rPr>
          <w:rFonts w:eastAsiaTheme="minorEastAsia"/>
        </w:rPr>
        <w:t>558,109</w:t>
      </w:r>
      <w:r w:rsidRPr="008E5CF7">
        <w:rPr>
          <w:rFonts w:eastAsiaTheme="minorEastAsia"/>
        </w:rPr>
        <w:t xml:space="preserve"> + 5 x $</w:t>
      </w:r>
      <w:r w:rsidRPr="3C371470">
        <w:rPr>
          <w:rFonts w:eastAsiaTheme="minorEastAsia"/>
        </w:rPr>
        <w:t>279,054</w:t>
      </w:r>
      <w:r w:rsidRPr="008E5CF7">
        <w:rPr>
          <w:rFonts w:eastAsiaTheme="minorEastAsia"/>
        </w:rPr>
        <w:t xml:space="preserve"> = $</w:t>
      </w:r>
      <w:r>
        <w:rPr>
          <w:rFonts w:eastAsiaTheme="minorEastAsia"/>
        </w:rPr>
        <w:t>4,</w:t>
      </w:r>
      <w:r w:rsidRPr="3C371470">
        <w:rPr>
          <w:rFonts w:eastAsiaTheme="minorEastAsia"/>
        </w:rPr>
        <w:t>890,153</w:t>
      </w:r>
    </w:p>
    <w:p w14:paraId="64F14388" w14:textId="77777777" w:rsidR="0067610B" w:rsidRDefault="0067610B" w:rsidP="001E2B74">
      <w:pPr>
        <w:pStyle w:val="ListParagraph"/>
        <w:numPr>
          <w:ilvl w:val="1"/>
          <w:numId w:val="13"/>
        </w:numPr>
        <w:spacing w:before="120" w:after="120"/>
        <w:rPr>
          <w:rFonts w:eastAsiaTheme="minorEastAsia"/>
        </w:rPr>
      </w:pPr>
      <w:r>
        <w:rPr>
          <w:rFonts w:eastAsiaTheme="minorEastAsia"/>
        </w:rPr>
        <w:t>T</w:t>
      </w:r>
      <w:r w:rsidRPr="008E5CF7">
        <w:rPr>
          <w:rFonts w:eastAsiaTheme="minorEastAsia"/>
        </w:rPr>
        <w:t>otal employee cost = year 1 employee cost + 4 x year 2 employee cost + 5 x year 6 employee cost = $</w:t>
      </w:r>
      <w:r>
        <w:rPr>
          <w:rFonts w:eastAsiaTheme="minorEastAsia"/>
        </w:rPr>
        <w:t xml:space="preserve">617,245 </w:t>
      </w:r>
      <w:r w:rsidRPr="008E5CF7">
        <w:rPr>
          <w:rFonts w:eastAsiaTheme="minorEastAsia"/>
        </w:rPr>
        <w:t xml:space="preserve">+ 4 x </w:t>
      </w:r>
      <w:r>
        <w:rPr>
          <w:rFonts w:eastAsiaTheme="minorEastAsia"/>
        </w:rPr>
        <w:t>$272,875</w:t>
      </w:r>
      <w:r w:rsidRPr="008E5CF7">
        <w:rPr>
          <w:rFonts w:eastAsiaTheme="minorEastAsia"/>
        </w:rPr>
        <w:t xml:space="preserve"> + 5 x </w:t>
      </w:r>
      <w:r>
        <w:rPr>
          <w:rFonts w:eastAsiaTheme="minorEastAsia"/>
        </w:rPr>
        <w:t>$136,438</w:t>
      </w:r>
      <w:r w:rsidRPr="008E5CF7">
        <w:rPr>
          <w:rFonts w:eastAsiaTheme="minorEastAsia"/>
        </w:rPr>
        <w:t xml:space="preserve"> = $</w:t>
      </w:r>
      <w:r>
        <w:rPr>
          <w:rFonts w:eastAsiaTheme="minorEastAsia"/>
        </w:rPr>
        <w:t>2,390,932</w:t>
      </w:r>
    </w:p>
    <w:p w14:paraId="3C412F2A" w14:textId="77777777" w:rsidR="00A629D8" w:rsidRDefault="00A629D8" w:rsidP="001E2B74">
      <w:pPr>
        <w:pStyle w:val="ListParagraph"/>
        <w:numPr>
          <w:ilvl w:val="1"/>
          <w:numId w:val="13"/>
        </w:numPr>
        <w:spacing w:before="120" w:after="120"/>
        <w:rPr>
          <w:rFonts w:eastAsiaTheme="minorEastAsia"/>
        </w:rPr>
      </w:pPr>
      <w:r w:rsidRPr="3C371470">
        <w:rPr>
          <w:rFonts w:eastAsiaTheme="minorEastAsia"/>
        </w:rPr>
        <w:t>T</w:t>
      </w:r>
      <w:r w:rsidRPr="008E5CF7">
        <w:rPr>
          <w:rFonts w:eastAsiaTheme="minorEastAsia"/>
        </w:rPr>
        <w:t>otal cost = total employer cost + total employee cost = $</w:t>
      </w:r>
      <w:r w:rsidRPr="3C371470">
        <w:rPr>
          <w:rFonts w:eastAsiaTheme="minorEastAsia"/>
        </w:rPr>
        <w:t>4,890,153 + $2,390,932 = $7,281,085</w:t>
      </w:r>
    </w:p>
    <w:p w14:paraId="2BBB32C7" w14:textId="77777777" w:rsidR="00A629D8" w:rsidRPr="00307023" w:rsidRDefault="00A629D8" w:rsidP="001E2B74">
      <w:pPr>
        <w:pStyle w:val="ListParagraph"/>
        <w:numPr>
          <w:ilvl w:val="0"/>
          <w:numId w:val="13"/>
        </w:numPr>
        <w:spacing w:before="120" w:after="120"/>
        <w:rPr>
          <w:rFonts w:eastAsiaTheme="minorEastAsia"/>
          <w:b/>
          <w:bCs/>
        </w:rPr>
      </w:pPr>
      <w:r w:rsidRPr="00307023">
        <w:rPr>
          <w:rFonts w:eastAsiaTheme="minorEastAsia"/>
          <w:b/>
          <w:bCs/>
        </w:rPr>
        <w:t>Small business</w:t>
      </w:r>
    </w:p>
    <w:p w14:paraId="4797D1F0" w14:textId="77777777" w:rsidR="00A629D8" w:rsidRPr="00302312" w:rsidRDefault="00A629D8" w:rsidP="001E2B74">
      <w:pPr>
        <w:pStyle w:val="ListParagraph"/>
        <w:numPr>
          <w:ilvl w:val="1"/>
          <w:numId w:val="13"/>
        </w:numPr>
        <w:rPr>
          <w:rFonts w:eastAsiaTheme="minorEastAsia"/>
        </w:rPr>
      </w:pPr>
      <w:r w:rsidRPr="3C371470">
        <w:rPr>
          <w:rFonts w:eastAsiaTheme="minorEastAsia"/>
        </w:rPr>
        <w:t>T</w:t>
      </w:r>
      <w:r w:rsidRPr="00302312">
        <w:rPr>
          <w:rFonts w:eastAsiaTheme="minorEastAsia"/>
        </w:rPr>
        <w:t xml:space="preserve">otal employer cost = year 1 employer cost + year 2 employer cost + </w:t>
      </w:r>
      <w:r>
        <w:rPr>
          <w:rFonts w:eastAsiaTheme="minorEastAsia"/>
        </w:rPr>
        <w:t xml:space="preserve">3 x year 3 employer cost + </w:t>
      </w:r>
      <w:r w:rsidRPr="00302312">
        <w:rPr>
          <w:rFonts w:eastAsiaTheme="minorEastAsia"/>
        </w:rPr>
        <w:t>5 x year 6 employer cost = $</w:t>
      </w:r>
      <w:r>
        <w:rPr>
          <w:rFonts w:eastAsiaTheme="minorEastAsia"/>
        </w:rPr>
        <w:t>0 + $</w:t>
      </w:r>
      <w:r w:rsidRPr="3C371470">
        <w:rPr>
          <w:rFonts w:eastAsiaTheme="minorEastAsia"/>
        </w:rPr>
        <w:t>433,848</w:t>
      </w:r>
      <w:r w:rsidRPr="00302312">
        <w:rPr>
          <w:rFonts w:eastAsiaTheme="minorEastAsia"/>
        </w:rPr>
        <w:t xml:space="preserve"> + </w:t>
      </w:r>
      <w:r>
        <w:rPr>
          <w:rFonts w:eastAsiaTheme="minorEastAsia"/>
        </w:rPr>
        <w:t>3</w:t>
      </w:r>
      <w:r w:rsidRPr="00302312">
        <w:rPr>
          <w:rFonts w:eastAsiaTheme="minorEastAsia"/>
        </w:rPr>
        <w:t xml:space="preserve"> x $</w:t>
      </w:r>
      <w:r w:rsidRPr="3C371470">
        <w:rPr>
          <w:rFonts w:eastAsiaTheme="minorEastAsia"/>
        </w:rPr>
        <w:t>110,282</w:t>
      </w:r>
      <w:r w:rsidRPr="00302312">
        <w:rPr>
          <w:rFonts w:eastAsiaTheme="minorEastAsia"/>
        </w:rPr>
        <w:t xml:space="preserve"> + 5 x $</w:t>
      </w:r>
      <w:r w:rsidRPr="3C371470">
        <w:rPr>
          <w:rFonts w:eastAsiaTheme="minorEastAsia"/>
        </w:rPr>
        <w:t>55,141</w:t>
      </w:r>
      <w:r w:rsidRPr="00302312">
        <w:rPr>
          <w:rFonts w:eastAsiaTheme="minorEastAsia"/>
        </w:rPr>
        <w:t xml:space="preserve"> = $</w:t>
      </w:r>
      <w:r w:rsidRPr="3C371470">
        <w:rPr>
          <w:rFonts w:eastAsiaTheme="minorEastAsia"/>
        </w:rPr>
        <w:t>1,040,401</w:t>
      </w:r>
    </w:p>
    <w:p w14:paraId="265DAF44" w14:textId="77777777" w:rsidR="00A629D8" w:rsidRPr="00302312" w:rsidRDefault="00A629D8" w:rsidP="001E2B74">
      <w:pPr>
        <w:pStyle w:val="ListParagraph"/>
        <w:numPr>
          <w:ilvl w:val="1"/>
          <w:numId w:val="13"/>
        </w:numPr>
        <w:rPr>
          <w:rFonts w:eastAsiaTheme="minorEastAsia"/>
        </w:rPr>
      </w:pPr>
      <w:r>
        <w:rPr>
          <w:rFonts w:eastAsiaTheme="minorEastAsia"/>
        </w:rPr>
        <w:t>T</w:t>
      </w:r>
      <w:r w:rsidRPr="00302312">
        <w:rPr>
          <w:rFonts w:eastAsiaTheme="minorEastAsia"/>
        </w:rPr>
        <w:t xml:space="preserve">otal employee cost = year 1 employee cost + year 2 employee cost + </w:t>
      </w:r>
      <w:r>
        <w:rPr>
          <w:rFonts w:eastAsiaTheme="minorEastAsia"/>
        </w:rPr>
        <w:t>3 x year 3 employee cost + 5</w:t>
      </w:r>
      <w:r w:rsidRPr="00302312">
        <w:rPr>
          <w:rFonts w:eastAsiaTheme="minorEastAsia"/>
        </w:rPr>
        <w:t xml:space="preserve"> x year 6 employee cost = $</w:t>
      </w:r>
      <w:r>
        <w:rPr>
          <w:rFonts w:eastAsiaTheme="minorEastAsia"/>
        </w:rPr>
        <w:t>0 + $212,120</w:t>
      </w:r>
      <w:r w:rsidRPr="00302312">
        <w:rPr>
          <w:rFonts w:eastAsiaTheme="minorEastAsia"/>
        </w:rPr>
        <w:t xml:space="preserve"> + </w:t>
      </w:r>
      <w:r>
        <w:rPr>
          <w:rFonts w:eastAsiaTheme="minorEastAsia"/>
        </w:rPr>
        <w:t>3</w:t>
      </w:r>
      <w:r w:rsidRPr="00302312">
        <w:rPr>
          <w:rFonts w:eastAsiaTheme="minorEastAsia"/>
        </w:rPr>
        <w:t xml:space="preserve"> x $</w:t>
      </w:r>
      <w:r>
        <w:rPr>
          <w:rFonts w:eastAsiaTheme="minorEastAsia"/>
        </w:rPr>
        <w:t>53,920</w:t>
      </w:r>
      <w:r w:rsidRPr="00302312">
        <w:rPr>
          <w:rFonts w:eastAsiaTheme="minorEastAsia"/>
        </w:rPr>
        <w:t xml:space="preserve"> + 5 x $</w:t>
      </w:r>
      <w:r>
        <w:rPr>
          <w:rFonts w:eastAsiaTheme="minorEastAsia"/>
        </w:rPr>
        <w:t>26,960</w:t>
      </w:r>
      <w:r w:rsidRPr="00302312">
        <w:rPr>
          <w:rFonts w:eastAsiaTheme="minorEastAsia"/>
        </w:rPr>
        <w:t xml:space="preserve"> = $</w:t>
      </w:r>
      <w:r>
        <w:rPr>
          <w:rFonts w:eastAsiaTheme="minorEastAsia"/>
        </w:rPr>
        <w:t>508,681</w:t>
      </w:r>
    </w:p>
    <w:p w14:paraId="73199DB0" w14:textId="77777777" w:rsidR="00A629D8" w:rsidRPr="00307023" w:rsidRDefault="00A629D8" w:rsidP="001E2B74">
      <w:pPr>
        <w:pStyle w:val="ListParagraph"/>
        <w:numPr>
          <w:ilvl w:val="1"/>
          <w:numId w:val="13"/>
        </w:numPr>
        <w:spacing w:before="120" w:after="120"/>
        <w:rPr>
          <w:rFonts w:eastAsiaTheme="minorEastAsia"/>
        </w:rPr>
      </w:pPr>
      <w:r w:rsidRPr="3C371470">
        <w:rPr>
          <w:rFonts w:eastAsiaTheme="minorEastAsia"/>
          <w:lang w:val="en-GB"/>
        </w:rPr>
        <w:t>T</w:t>
      </w:r>
      <w:r w:rsidRPr="00302312">
        <w:rPr>
          <w:rFonts w:eastAsiaTheme="minorEastAsia"/>
          <w:lang w:val="en-GB"/>
        </w:rPr>
        <w:t>otal cost = total employer cost + total employee cost = $</w:t>
      </w:r>
      <w:r w:rsidRPr="3C371470">
        <w:rPr>
          <w:rFonts w:eastAsiaTheme="minorEastAsia"/>
          <w:lang w:val="en-GB"/>
        </w:rPr>
        <w:t>1,040,401</w:t>
      </w:r>
      <w:r>
        <w:rPr>
          <w:rFonts w:eastAsiaTheme="minorEastAsia"/>
          <w:lang w:val="en-GB"/>
        </w:rPr>
        <w:t xml:space="preserve"> + $</w:t>
      </w:r>
      <w:r w:rsidRPr="3C371470">
        <w:rPr>
          <w:rFonts w:eastAsiaTheme="minorEastAsia"/>
          <w:lang w:val="en-GB"/>
        </w:rPr>
        <w:t>508,681</w:t>
      </w:r>
      <w:r>
        <w:rPr>
          <w:rFonts w:eastAsiaTheme="minorEastAsia"/>
          <w:lang w:val="en-GB"/>
        </w:rPr>
        <w:t xml:space="preserve"> = $1,</w:t>
      </w:r>
      <w:r w:rsidRPr="3C371470">
        <w:rPr>
          <w:rFonts w:eastAsiaTheme="minorEastAsia"/>
          <w:lang w:val="en-GB"/>
        </w:rPr>
        <w:t>549,082</w:t>
      </w:r>
    </w:p>
    <w:p w14:paraId="38C36EE9" w14:textId="77777777" w:rsidR="00A629D8" w:rsidRPr="00307023" w:rsidRDefault="00A629D8" w:rsidP="001E2B74">
      <w:pPr>
        <w:pStyle w:val="ListParagraph"/>
        <w:numPr>
          <w:ilvl w:val="0"/>
          <w:numId w:val="13"/>
        </w:numPr>
        <w:spacing w:before="120" w:after="120"/>
        <w:rPr>
          <w:rFonts w:eastAsiaTheme="minorEastAsia"/>
          <w:b/>
          <w:bCs/>
        </w:rPr>
      </w:pPr>
      <w:r w:rsidRPr="00307023">
        <w:rPr>
          <w:rFonts w:eastAsiaTheme="minorEastAsia"/>
          <w:b/>
          <w:bCs/>
          <w:lang w:val="en-GB"/>
        </w:rPr>
        <w:t>All businesses</w:t>
      </w:r>
    </w:p>
    <w:p w14:paraId="3C82B1CB" w14:textId="77777777" w:rsidR="00A629D8" w:rsidRPr="00593D83" w:rsidRDefault="00A629D8" w:rsidP="001E2B74">
      <w:pPr>
        <w:pStyle w:val="ListParagraph"/>
        <w:numPr>
          <w:ilvl w:val="1"/>
          <w:numId w:val="13"/>
        </w:numPr>
        <w:spacing w:before="120" w:after="120"/>
        <w:rPr>
          <w:rFonts w:eastAsiaTheme="minorEastAsia"/>
        </w:rPr>
      </w:pPr>
      <w:r w:rsidRPr="3C371470">
        <w:rPr>
          <w:rFonts w:eastAsiaTheme="minorEastAsia"/>
          <w:lang w:val="en-GB"/>
        </w:rPr>
        <w:t>T</w:t>
      </w:r>
      <w:r>
        <w:rPr>
          <w:rFonts w:eastAsiaTheme="minorEastAsia"/>
          <w:lang w:val="en-GB"/>
        </w:rPr>
        <w:t>otal non-small business cost + total small business cost =$</w:t>
      </w:r>
      <w:r w:rsidRPr="3C371470">
        <w:rPr>
          <w:rFonts w:eastAsiaTheme="minorEastAsia"/>
          <w:lang w:val="en-GB"/>
        </w:rPr>
        <w:t>7,281,085</w:t>
      </w:r>
      <w:r>
        <w:rPr>
          <w:rFonts w:eastAsiaTheme="minorEastAsia"/>
          <w:lang w:val="en-GB"/>
        </w:rPr>
        <w:t xml:space="preserve"> + $1,</w:t>
      </w:r>
      <w:r w:rsidRPr="3C371470">
        <w:rPr>
          <w:rFonts w:eastAsiaTheme="minorEastAsia"/>
          <w:lang w:val="en-GB"/>
        </w:rPr>
        <w:t>549,082</w:t>
      </w:r>
      <w:r>
        <w:rPr>
          <w:rFonts w:eastAsiaTheme="minorEastAsia"/>
          <w:lang w:val="en-GB"/>
        </w:rPr>
        <w:t xml:space="preserve"> = $8,</w:t>
      </w:r>
      <w:r w:rsidRPr="3C371470">
        <w:rPr>
          <w:rFonts w:eastAsiaTheme="minorEastAsia"/>
          <w:lang w:val="en-GB"/>
        </w:rPr>
        <w:t>830,167</w:t>
      </w:r>
    </w:p>
    <w:p w14:paraId="2F183B30" w14:textId="174FDE55" w:rsidR="0068578C" w:rsidRPr="0068578C" w:rsidRDefault="0068578C" w:rsidP="004A5438">
      <w:pPr>
        <w:spacing w:before="120" w:after="120" w:line="360" w:lineRule="auto"/>
        <w:rPr>
          <w:rFonts w:eastAsiaTheme="minorEastAsia"/>
        </w:rPr>
      </w:pPr>
      <w:r w:rsidRPr="0068578C">
        <w:rPr>
          <w:sz w:val="28"/>
          <w:szCs w:val="28"/>
        </w:rPr>
        <w:t>Potential regulatory cost saving</w:t>
      </w:r>
      <w:r>
        <w:br/>
      </w:r>
      <w:r w:rsidRPr="0068578C">
        <w:rPr>
          <w:rFonts w:eastAsiaTheme="minorEastAsia"/>
        </w:rPr>
        <w:t xml:space="preserve">Assuming that a proportion of eligible casual employees convert to permanent employment under the new definition means there will be fewer casual employees eligible for conversion after </w:t>
      </w:r>
      <w:r w:rsidR="00070DBE" w:rsidRPr="0068578C">
        <w:rPr>
          <w:rFonts w:eastAsiaTheme="minorEastAsia"/>
        </w:rPr>
        <w:t>12</w:t>
      </w:r>
      <w:r w:rsidR="00070DBE">
        <w:rPr>
          <w:rFonts w:eastAsiaTheme="minorEastAsia"/>
        </w:rPr>
        <w:t> </w:t>
      </w:r>
      <w:r w:rsidRPr="0068578C">
        <w:rPr>
          <w:rFonts w:eastAsiaTheme="minorEastAsia"/>
        </w:rPr>
        <w:t>months as per the existing conversion process. The cost of processing those casual employees who have been converted before 12 months will be removed for businesses.</w:t>
      </w:r>
    </w:p>
    <w:p w14:paraId="4FA365BF" w14:textId="461435A1" w:rsidR="0068578C" w:rsidRDefault="0068578C" w:rsidP="6F358070">
      <w:pPr>
        <w:spacing w:before="120" w:after="120" w:line="360" w:lineRule="auto"/>
        <w:rPr>
          <w:rFonts w:eastAsiaTheme="minorEastAsia"/>
        </w:rPr>
      </w:pPr>
      <w:r w:rsidRPr="6F358070">
        <w:rPr>
          <w:rFonts w:eastAsiaTheme="minorEastAsia"/>
        </w:rPr>
        <w:lastRenderedPageBreak/>
        <w:t xml:space="preserve">The department has not calculated the potential regulatory cost savings attributable to this, noting this would require recalculation of costs under SAJER to adjust to changes in population. Both the </w:t>
      </w:r>
      <w:r w:rsidRPr="006E2A98">
        <w:rPr>
          <w:rFonts w:eastAsiaTheme="minorEastAsia"/>
          <w:i/>
        </w:rPr>
        <w:t xml:space="preserve">Standing </w:t>
      </w:r>
      <w:r w:rsidR="004A5438" w:rsidRPr="006E2A98">
        <w:rPr>
          <w:rFonts w:eastAsiaTheme="minorEastAsia"/>
          <w:i/>
        </w:rPr>
        <w:t>u</w:t>
      </w:r>
      <w:r w:rsidRPr="006E2A98">
        <w:rPr>
          <w:rFonts w:eastAsiaTheme="minorEastAsia"/>
          <w:i/>
        </w:rPr>
        <w:t xml:space="preserve">p </w:t>
      </w:r>
      <w:r w:rsidR="004A5438" w:rsidRPr="006E2A98">
        <w:rPr>
          <w:rFonts w:eastAsiaTheme="minorEastAsia"/>
          <w:i/>
        </w:rPr>
        <w:t>f</w:t>
      </w:r>
      <w:r w:rsidRPr="006E2A98">
        <w:rPr>
          <w:rFonts w:eastAsiaTheme="minorEastAsia"/>
          <w:i/>
        </w:rPr>
        <w:t xml:space="preserve">or </w:t>
      </w:r>
      <w:r w:rsidR="004A5438" w:rsidRPr="006E2A98">
        <w:rPr>
          <w:rFonts w:eastAsiaTheme="minorEastAsia"/>
          <w:i/>
        </w:rPr>
        <w:t>c</w:t>
      </w:r>
      <w:r w:rsidRPr="006E2A98">
        <w:rPr>
          <w:rFonts w:eastAsiaTheme="minorEastAsia"/>
          <w:i/>
        </w:rPr>
        <w:t xml:space="preserve">asual </w:t>
      </w:r>
      <w:r w:rsidR="004A5438" w:rsidRPr="006E2A98">
        <w:rPr>
          <w:rFonts w:eastAsiaTheme="minorEastAsia"/>
          <w:i/>
        </w:rPr>
        <w:t>w</w:t>
      </w:r>
      <w:r w:rsidRPr="006E2A98">
        <w:rPr>
          <w:rFonts w:eastAsiaTheme="minorEastAsia"/>
          <w:i/>
        </w:rPr>
        <w:t>orkers</w:t>
      </w:r>
      <w:r w:rsidRPr="6F358070">
        <w:rPr>
          <w:rFonts w:eastAsiaTheme="minorEastAsia"/>
        </w:rPr>
        <w:t xml:space="preserve"> costing and the SAJER costing do not include adjustments for population growth over time. </w:t>
      </w:r>
    </w:p>
    <w:p w14:paraId="43FD7ECD" w14:textId="77777777" w:rsidR="0074072E" w:rsidRDefault="0074072E" w:rsidP="0074072E">
      <w:pPr>
        <w:pStyle w:val="Heading2"/>
      </w:pPr>
      <w:bookmarkStart w:id="28" w:name="_Toc143252110"/>
      <w:r>
        <w:t>Provision of revised Casual Employment Information Statement (CEIS) to all casual employees</w:t>
      </w:r>
      <w:bookmarkEnd w:id="28"/>
    </w:p>
    <w:p w14:paraId="6EF64EB8" w14:textId="77777777" w:rsidR="0074072E" w:rsidRDefault="0074072E" w:rsidP="0074072E">
      <w:pPr>
        <w:rPr>
          <w:lang w:val="en-AU"/>
        </w:rPr>
      </w:pPr>
      <w:r>
        <w:rPr>
          <w:lang w:val="en-AU"/>
        </w:rPr>
        <w:t>The transitional provisions will require employers to send the revised Casual Employment Information Statement (CEIS) to all casual employees within 3 months of the laws commencing.</w:t>
      </w:r>
    </w:p>
    <w:p w14:paraId="7A36D749" w14:textId="77777777" w:rsidR="0074072E" w:rsidRDefault="0074072E" w:rsidP="0074072E">
      <w:r>
        <w:t>The following assumptions are made:</w:t>
      </w:r>
    </w:p>
    <w:p w14:paraId="24EE01D5" w14:textId="77777777" w:rsidR="0074072E" w:rsidRPr="004165DB" w:rsidRDefault="0074072E" w:rsidP="001E2B74">
      <w:pPr>
        <w:pStyle w:val="ListParagraph"/>
        <w:numPr>
          <w:ilvl w:val="0"/>
          <w:numId w:val="13"/>
        </w:numPr>
        <w:spacing w:before="120" w:after="120"/>
        <w:ind w:left="567"/>
        <w:rPr>
          <w:rFonts w:eastAsiaTheme="minorEastAsia"/>
        </w:rPr>
      </w:pPr>
      <w:r w:rsidRPr="004165DB">
        <w:rPr>
          <w:rFonts w:eastAsiaTheme="minorEastAsia"/>
        </w:rPr>
        <w:t xml:space="preserve">the CEIS is sent to </w:t>
      </w:r>
      <w:r>
        <w:rPr>
          <w:rFonts w:eastAsiaTheme="minorEastAsia"/>
        </w:rPr>
        <w:t>all</w:t>
      </w:r>
      <w:r w:rsidRPr="004165DB">
        <w:rPr>
          <w:rFonts w:eastAsiaTheme="minorEastAsia"/>
        </w:rPr>
        <w:t xml:space="preserve"> casual employees </w:t>
      </w:r>
    </w:p>
    <w:p w14:paraId="59C91B06" w14:textId="77777777" w:rsidR="0074072E" w:rsidRPr="004165DB" w:rsidRDefault="0074072E" w:rsidP="001E2B74">
      <w:pPr>
        <w:pStyle w:val="ListParagraph"/>
        <w:numPr>
          <w:ilvl w:val="0"/>
          <w:numId w:val="13"/>
        </w:numPr>
        <w:spacing w:before="120" w:after="120"/>
        <w:ind w:left="567"/>
        <w:rPr>
          <w:rFonts w:eastAsiaTheme="minorEastAsia"/>
        </w:rPr>
      </w:pPr>
      <w:r w:rsidRPr="004165DB">
        <w:rPr>
          <w:rFonts w:eastAsiaTheme="minorEastAsia"/>
        </w:rPr>
        <w:t>it takes the employer 1 minute to give the CEIS to an employee (which can be given to the employee in person, by mail, by email, by emailing a link to the FWO website page, by emailing a link to a copy of the CEIS available on the employer’s intranet, by fax, or by another method)</w:t>
      </w:r>
      <w:r w:rsidRPr="004165DB">
        <w:rPr>
          <w:rFonts w:eastAsiaTheme="minorEastAsia"/>
          <w:vertAlign w:val="superscript"/>
        </w:rPr>
        <w:footnoteReference w:id="63"/>
      </w:r>
    </w:p>
    <w:p w14:paraId="131E9C6F" w14:textId="77777777" w:rsidR="0074072E" w:rsidRPr="004165DB" w:rsidRDefault="0074072E" w:rsidP="001E2B74">
      <w:pPr>
        <w:pStyle w:val="ListParagraph"/>
        <w:numPr>
          <w:ilvl w:val="0"/>
          <w:numId w:val="13"/>
        </w:numPr>
        <w:spacing w:before="120" w:after="120"/>
        <w:ind w:left="567"/>
        <w:rPr>
          <w:rFonts w:eastAsiaTheme="minorEastAsia"/>
        </w:rPr>
      </w:pPr>
      <w:r>
        <w:rPr>
          <w:rFonts w:eastAsiaTheme="minorEastAsia"/>
        </w:rPr>
        <w:t>as at May 2023 there are 2.6 million casual employees</w:t>
      </w:r>
      <w:r w:rsidRPr="004165DB">
        <w:rPr>
          <w:rFonts w:eastAsiaTheme="minorEastAsia"/>
          <w:vertAlign w:val="superscript"/>
        </w:rPr>
        <w:footnoteReference w:id="64"/>
      </w:r>
    </w:p>
    <w:p w14:paraId="18640D57" w14:textId="77777777" w:rsidR="0074072E" w:rsidRPr="004165DB" w:rsidRDefault="0074072E" w:rsidP="001E2B74">
      <w:pPr>
        <w:pStyle w:val="ListParagraph"/>
        <w:numPr>
          <w:ilvl w:val="0"/>
          <w:numId w:val="13"/>
        </w:numPr>
        <w:spacing w:before="120" w:after="120"/>
        <w:ind w:left="567"/>
        <w:rPr>
          <w:rFonts w:eastAsiaTheme="minorEastAsia"/>
        </w:rPr>
      </w:pPr>
      <w:r w:rsidRPr="004165DB">
        <w:rPr>
          <w:rFonts w:eastAsiaTheme="minorEastAsia"/>
        </w:rPr>
        <w:t>there is no cost to employees.</w:t>
      </w:r>
    </w:p>
    <w:p w14:paraId="5160933A" w14:textId="77777777" w:rsidR="0074072E" w:rsidRPr="004165DB" w:rsidRDefault="0074072E" w:rsidP="0074072E">
      <w:r>
        <w:t xml:space="preserve">Table 12 shows the estimated one-off cost: </w:t>
      </w:r>
      <w:r w:rsidRPr="00AB35A8">
        <w:rPr>
          <w:b/>
          <w:bCs/>
        </w:rPr>
        <w:t>$</w:t>
      </w:r>
      <w:r>
        <w:rPr>
          <w:b/>
          <w:bCs/>
        </w:rPr>
        <w:t>3,506,640</w:t>
      </w:r>
      <w:r>
        <w:t>.</w:t>
      </w:r>
    </w:p>
    <w:p w14:paraId="00FD02FF" w14:textId="77777777" w:rsidR="0074072E" w:rsidRPr="00C62DBA" w:rsidRDefault="0074072E" w:rsidP="0074072E">
      <w:pPr>
        <w:rPr>
          <w:b/>
          <w:bCs/>
        </w:rPr>
      </w:pPr>
      <w:r>
        <w:rPr>
          <w:b/>
          <w:bCs/>
        </w:rPr>
        <w:t xml:space="preserve">Table 12: </w:t>
      </w:r>
      <w:r w:rsidRPr="00C62DBA">
        <w:rPr>
          <w:b/>
          <w:bCs/>
        </w:rPr>
        <w:t xml:space="preserve">Estimated annual cost – </w:t>
      </w:r>
      <w:r>
        <w:rPr>
          <w:b/>
          <w:bCs/>
        </w:rPr>
        <w:t xml:space="preserve">provision of revised CEIS to casual employees </w:t>
      </w:r>
    </w:p>
    <w:tbl>
      <w:tblPr>
        <w:tblStyle w:val="TableGrid"/>
        <w:tblW w:w="0" w:type="auto"/>
        <w:jc w:val="center"/>
        <w:tblLook w:val="04A0" w:firstRow="1" w:lastRow="0" w:firstColumn="1" w:lastColumn="0" w:noHBand="0" w:noVBand="1"/>
      </w:tblPr>
      <w:tblGrid>
        <w:gridCol w:w="1210"/>
        <w:gridCol w:w="1611"/>
        <w:gridCol w:w="2239"/>
        <w:gridCol w:w="2252"/>
        <w:gridCol w:w="1567"/>
      </w:tblGrid>
      <w:tr w:rsidR="0074072E" w:rsidRPr="006173B6" w14:paraId="7EFDA968" w14:textId="77777777">
        <w:trPr>
          <w:jc w:val="center"/>
        </w:trPr>
        <w:tc>
          <w:tcPr>
            <w:tcW w:w="1210" w:type="dxa"/>
          </w:tcPr>
          <w:p w14:paraId="0568ABD5" w14:textId="77777777" w:rsidR="0074072E" w:rsidRPr="006173B6" w:rsidRDefault="0074072E">
            <w:pPr>
              <w:jc w:val="center"/>
              <w:rPr>
                <w:b/>
                <w:bCs/>
              </w:rPr>
            </w:pPr>
          </w:p>
        </w:tc>
        <w:tc>
          <w:tcPr>
            <w:tcW w:w="1611" w:type="dxa"/>
            <w:vAlign w:val="center"/>
          </w:tcPr>
          <w:p w14:paraId="1B94D0E4" w14:textId="77777777" w:rsidR="0074072E" w:rsidRPr="006173B6" w:rsidRDefault="0074072E">
            <w:pPr>
              <w:jc w:val="center"/>
              <w:rPr>
                <w:b/>
                <w:bCs/>
              </w:rPr>
            </w:pPr>
            <w:r w:rsidRPr="006173B6">
              <w:rPr>
                <w:b/>
                <w:bCs/>
              </w:rPr>
              <w:t>Labour cost/hour</w:t>
            </w:r>
          </w:p>
        </w:tc>
        <w:tc>
          <w:tcPr>
            <w:tcW w:w="2239" w:type="dxa"/>
            <w:vAlign w:val="center"/>
          </w:tcPr>
          <w:p w14:paraId="371E76E1" w14:textId="77777777" w:rsidR="0074072E" w:rsidRPr="006173B6" w:rsidRDefault="0074072E">
            <w:pPr>
              <w:jc w:val="center"/>
              <w:rPr>
                <w:b/>
                <w:bCs/>
              </w:rPr>
            </w:pPr>
            <w:r w:rsidRPr="006173B6">
              <w:rPr>
                <w:b/>
                <w:bCs/>
              </w:rPr>
              <w:t>Time per business to send CEIS to casual employee (minutes)</w:t>
            </w:r>
          </w:p>
        </w:tc>
        <w:tc>
          <w:tcPr>
            <w:tcW w:w="2252" w:type="dxa"/>
            <w:vAlign w:val="center"/>
          </w:tcPr>
          <w:p w14:paraId="26C36B32" w14:textId="77777777" w:rsidR="0074072E" w:rsidRPr="006173B6" w:rsidRDefault="0074072E">
            <w:pPr>
              <w:jc w:val="center"/>
              <w:rPr>
                <w:b/>
                <w:bCs/>
              </w:rPr>
            </w:pPr>
            <w:r w:rsidRPr="006173B6">
              <w:rPr>
                <w:b/>
                <w:bCs/>
              </w:rPr>
              <w:t xml:space="preserve">Casual employees </w:t>
            </w:r>
          </w:p>
        </w:tc>
        <w:tc>
          <w:tcPr>
            <w:tcW w:w="1567" w:type="dxa"/>
            <w:vAlign w:val="center"/>
          </w:tcPr>
          <w:p w14:paraId="31F42A0B" w14:textId="77777777" w:rsidR="0074072E" w:rsidRPr="006173B6" w:rsidRDefault="0074072E">
            <w:pPr>
              <w:jc w:val="center"/>
              <w:rPr>
                <w:b/>
                <w:bCs/>
              </w:rPr>
            </w:pPr>
            <w:r w:rsidRPr="006173B6">
              <w:rPr>
                <w:b/>
                <w:bCs/>
              </w:rPr>
              <w:t>Total cost</w:t>
            </w:r>
          </w:p>
        </w:tc>
      </w:tr>
      <w:tr w:rsidR="0074072E" w:rsidRPr="00C62DBA" w14:paraId="3FDA23CB" w14:textId="77777777">
        <w:trPr>
          <w:jc w:val="center"/>
        </w:trPr>
        <w:tc>
          <w:tcPr>
            <w:tcW w:w="1210" w:type="dxa"/>
          </w:tcPr>
          <w:p w14:paraId="6458EA93" w14:textId="77777777" w:rsidR="0074072E" w:rsidRPr="00C62DBA" w:rsidRDefault="0074072E">
            <w:pPr>
              <w:jc w:val="center"/>
            </w:pPr>
            <w:r w:rsidRPr="00C62DBA">
              <w:t>Employer</w:t>
            </w:r>
          </w:p>
        </w:tc>
        <w:tc>
          <w:tcPr>
            <w:tcW w:w="1611" w:type="dxa"/>
            <w:vAlign w:val="center"/>
          </w:tcPr>
          <w:p w14:paraId="422BE38B" w14:textId="77777777" w:rsidR="0074072E" w:rsidRPr="00C62DBA" w:rsidRDefault="0074072E">
            <w:pPr>
              <w:jc w:val="center"/>
            </w:pPr>
            <w:r w:rsidRPr="00C62DBA">
              <w:t>$79.63</w:t>
            </w:r>
          </w:p>
        </w:tc>
        <w:tc>
          <w:tcPr>
            <w:tcW w:w="2239" w:type="dxa"/>
            <w:vAlign w:val="center"/>
          </w:tcPr>
          <w:p w14:paraId="28C512AE" w14:textId="77777777" w:rsidR="0074072E" w:rsidRPr="00C62DBA" w:rsidRDefault="0074072E">
            <w:pPr>
              <w:jc w:val="center"/>
            </w:pPr>
            <w:r>
              <w:t>1</w:t>
            </w:r>
          </w:p>
        </w:tc>
        <w:tc>
          <w:tcPr>
            <w:tcW w:w="2252" w:type="dxa"/>
            <w:vAlign w:val="center"/>
          </w:tcPr>
          <w:p w14:paraId="2B6A661E" w14:textId="77777777" w:rsidR="0074072E" w:rsidRPr="00C62DBA" w:rsidRDefault="0074072E">
            <w:pPr>
              <w:jc w:val="center"/>
            </w:pPr>
            <w:r>
              <w:t>2,642,200</w:t>
            </w:r>
          </w:p>
        </w:tc>
        <w:tc>
          <w:tcPr>
            <w:tcW w:w="1567" w:type="dxa"/>
            <w:vAlign w:val="center"/>
          </w:tcPr>
          <w:p w14:paraId="2BDC5CA0" w14:textId="77777777" w:rsidR="0074072E" w:rsidRPr="00C62DBA" w:rsidRDefault="0074072E">
            <w:pPr>
              <w:jc w:val="center"/>
            </w:pPr>
            <w:r>
              <w:t>$3,506,640</w:t>
            </w:r>
          </w:p>
        </w:tc>
      </w:tr>
      <w:tr w:rsidR="0074072E" w:rsidRPr="00C62DBA" w14:paraId="04F4BD72" w14:textId="77777777">
        <w:trPr>
          <w:jc w:val="center"/>
        </w:trPr>
        <w:tc>
          <w:tcPr>
            <w:tcW w:w="1210" w:type="dxa"/>
          </w:tcPr>
          <w:p w14:paraId="2E9BE908" w14:textId="77777777" w:rsidR="0074072E" w:rsidRPr="00C62DBA" w:rsidRDefault="0074072E">
            <w:pPr>
              <w:jc w:val="center"/>
            </w:pPr>
            <w:r w:rsidRPr="00C62DBA">
              <w:t>Employee</w:t>
            </w:r>
          </w:p>
        </w:tc>
        <w:tc>
          <w:tcPr>
            <w:tcW w:w="1611" w:type="dxa"/>
            <w:vAlign w:val="center"/>
          </w:tcPr>
          <w:p w14:paraId="2E4799EB" w14:textId="77777777" w:rsidR="0074072E" w:rsidRPr="00C62DBA" w:rsidRDefault="0074072E">
            <w:pPr>
              <w:jc w:val="center"/>
            </w:pPr>
            <w:r>
              <w:t>-</w:t>
            </w:r>
          </w:p>
        </w:tc>
        <w:tc>
          <w:tcPr>
            <w:tcW w:w="2239" w:type="dxa"/>
            <w:vAlign w:val="center"/>
          </w:tcPr>
          <w:p w14:paraId="0BE8A730" w14:textId="77777777" w:rsidR="0074072E" w:rsidRPr="00C62DBA" w:rsidRDefault="0074072E">
            <w:pPr>
              <w:jc w:val="center"/>
            </w:pPr>
            <w:r>
              <w:t>-</w:t>
            </w:r>
          </w:p>
        </w:tc>
        <w:tc>
          <w:tcPr>
            <w:tcW w:w="2252" w:type="dxa"/>
            <w:vAlign w:val="center"/>
          </w:tcPr>
          <w:p w14:paraId="7762959B" w14:textId="77777777" w:rsidR="0074072E" w:rsidRPr="00C62DBA" w:rsidRDefault="0074072E">
            <w:pPr>
              <w:jc w:val="center"/>
            </w:pPr>
            <w:r>
              <w:t>-</w:t>
            </w:r>
          </w:p>
        </w:tc>
        <w:tc>
          <w:tcPr>
            <w:tcW w:w="1567" w:type="dxa"/>
            <w:vAlign w:val="center"/>
          </w:tcPr>
          <w:p w14:paraId="1C124BDA" w14:textId="77777777" w:rsidR="0074072E" w:rsidRPr="00C62DBA" w:rsidRDefault="0074072E">
            <w:pPr>
              <w:jc w:val="center"/>
            </w:pPr>
            <w:r>
              <w:t>-</w:t>
            </w:r>
          </w:p>
        </w:tc>
      </w:tr>
      <w:tr w:rsidR="0074072E" w:rsidRPr="00C62DBA" w14:paraId="3C8C6F88" w14:textId="77777777">
        <w:trPr>
          <w:jc w:val="center"/>
        </w:trPr>
        <w:tc>
          <w:tcPr>
            <w:tcW w:w="1210" w:type="dxa"/>
          </w:tcPr>
          <w:p w14:paraId="3C146A53" w14:textId="77777777" w:rsidR="0074072E" w:rsidRPr="00C62DBA" w:rsidRDefault="0074072E">
            <w:pPr>
              <w:jc w:val="center"/>
              <w:rPr>
                <w:b/>
                <w:bCs/>
              </w:rPr>
            </w:pPr>
            <w:r w:rsidRPr="00C62DBA">
              <w:rPr>
                <w:b/>
                <w:bCs/>
              </w:rPr>
              <w:t>Total</w:t>
            </w:r>
          </w:p>
        </w:tc>
        <w:tc>
          <w:tcPr>
            <w:tcW w:w="1611" w:type="dxa"/>
            <w:vAlign w:val="center"/>
          </w:tcPr>
          <w:p w14:paraId="763FB68F" w14:textId="77777777" w:rsidR="0074072E" w:rsidRPr="00C62DBA" w:rsidRDefault="0074072E">
            <w:pPr>
              <w:jc w:val="center"/>
              <w:rPr>
                <w:b/>
                <w:bCs/>
              </w:rPr>
            </w:pPr>
          </w:p>
        </w:tc>
        <w:tc>
          <w:tcPr>
            <w:tcW w:w="2239" w:type="dxa"/>
            <w:vAlign w:val="center"/>
          </w:tcPr>
          <w:p w14:paraId="054B85F0" w14:textId="77777777" w:rsidR="0074072E" w:rsidRPr="00C62DBA" w:rsidRDefault="0074072E">
            <w:pPr>
              <w:jc w:val="center"/>
              <w:rPr>
                <w:b/>
                <w:bCs/>
              </w:rPr>
            </w:pPr>
          </w:p>
        </w:tc>
        <w:tc>
          <w:tcPr>
            <w:tcW w:w="2252" w:type="dxa"/>
            <w:vAlign w:val="center"/>
          </w:tcPr>
          <w:p w14:paraId="3D5DF093" w14:textId="77777777" w:rsidR="0074072E" w:rsidRPr="00C62DBA" w:rsidRDefault="0074072E">
            <w:pPr>
              <w:jc w:val="center"/>
              <w:rPr>
                <w:b/>
                <w:bCs/>
              </w:rPr>
            </w:pPr>
          </w:p>
        </w:tc>
        <w:tc>
          <w:tcPr>
            <w:tcW w:w="1567" w:type="dxa"/>
            <w:vAlign w:val="center"/>
          </w:tcPr>
          <w:p w14:paraId="57E30D92" w14:textId="77777777" w:rsidR="0074072E" w:rsidRPr="00C62DBA" w:rsidRDefault="0074072E">
            <w:pPr>
              <w:jc w:val="center"/>
              <w:rPr>
                <w:b/>
                <w:bCs/>
              </w:rPr>
            </w:pPr>
            <w:r>
              <w:rPr>
                <w:b/>
                <w:bCs/>
              </w:rPr>
              <w:t>$3,506,640</w:t>
            </w:r>
          </w:p>
        </w:tc>
      </w:tr>
    </w:tbl>
    <w:p w14:paraId="1E59019D" w14:textId="13777152" w:rsidR="003E3D8E" w:rsidRDefault="003E3D8E" w:rsidP="003E3D8E">
      <w:pPr>
        <w:pStyle w:val="Heading2"/>
      </w:pPr>
      <w:bookmarkStart w:id="29" w:name="_Toc143252111"/>
      <w:r w:rsidRPr="00C62DBA">
        <w:t>Provision of Casual Employment Information Statement</w:t>
      </w:r>
      <w:r>
        <w:t xml:space="preserve"> (CEIS) </w:t>
      </w:r>
      <w:r w:rsidR="007B7EBE">
        <w:t xml:space="preserve">after </w:t>
      </w:r>
      <w:r>
        <w:t>12 months</w:t>
      </w:r>
      <w:r w:rsidR="00F16E7B">
        <w:t xml:space="preserve"> to all casual employees</w:t>
      </w:r>
      <w:bookmarkEnd w:id="29"/>
    </w:p>
    <w:p w14:paraId="579F98DC" w14:textId="7E5A1377" w:rsidR="003E3D8E" w:rsidRDefault="003E3D8E" w:rsidP="003E3D8E">
      <w:pPr>
        <w:spacing w:line="360" w:lineRule="auto"/>
      </w:pPr>
      <w:r>
        <w:t xml:space="preserve">All employers are </w:t>
      </w:r>
      <w:r w:rsidR="00BB75F9">
        <w:t>already</w:t>
      </w:r>
      <w:r>
        <w:t xml:space="preserve"> required to provide the CEIS to casual employees when they are hired. The proposed reforms will require that the CEIS is provided to casual employees again at 12 months of employment to increase knowledge and awareness of their rights and entitlements. </w:t>
      </w:r>
    </w:p>
    <w:p w14:paraId="20B80BF0" w14:textId="2BEEC8E5" w:rsidR="003E3D8E" w:rsidRPr="004165DB" w:rsidRDefault="002535FC" w:rsidP="003E3D8E">
      <w:pPr>
        <w:spacing w:before="120" w:after="120" w:line="360" w:lineRule="auto"/>
        <w:rPr>
          <w:rFonts w:eastAsiaTheme="minorEastAsia"/>
        </w:rPr>
      </w:pPr>
      <w:r>
        <w:rPr>
          <w:rFonts w:eastAsiaTheme="minorEastAsia"/>
        </w:rPr>
        <w:t>Employers who are not small businesses</w:t>
      </w:r>
      <w:r w:rsidR="00E753C1">
        <w:rPr>
          <w:rFonts w:eastAsiaTheme="minorEastAsia"/>
        </w:rPr>
        <w:t xml:space="preserve"> under the </w:t>
      </w:r>
      <w:r w:rsidR="00E753C1" w:rsidRPr="00B87B19">
        <w:rPr>
          <w:rFonts w:eastAsiaTheme="minorEastAsia"/>
          <w:i/>
          <w:iCs/>
        </w:rPr>
        <w:t>Fair Work Act</w:t>
      </w:r>
      <w:r w:rsidR="00657534" w:rsidRPr="00B87B19">
        <w:rPr>
          <w:rFonts w:eastAsiaTheme="minorEastAsia"/>
          <w:i/>
          <w:iCs/>
        </w:rPr>
        <w:t xml:space="preserve"> 2009</w:t>
      </w:r>
      <w:r w:rsidRPr="004165DB">
        <w:rPr>
          <w:rFonts w:eastAsiaTheme="minorEastAsia"/>
        </w:rPr>
        <w:t xml:space="preserve"> </w:t>
      </w:r>
      <w:r w:rsidR="003E3D8E" w:rsidRPr="004165DB">
        <w:rPr>
          <w:rFonts w:eastAsiaTheme="minorEastAsia"/>
        </w:rPr>
        <w:t xml:space="preserve">are required to offer casual conversion to their casual employees (or inform them of the reason they aren’t making an offer of casual conversion) within 21 days of the employee having been employed for 12 months. Although </w:t>
      </w:r>
      <w:r w:rsidR="003E3D8E" w:rsidRPr="004165DB">
        <w:rPr>
          <w:rFonts w:eastAsiaTheme="minorEastAsia"/>
        </w:rPr>
        <w:lastRenderedPageBreak/>
        <w:t>not currently required to provide the CEIS to casual employees, these businesses are required to send other documents to casual employees at this 12-month point. The assumption is that the CEIS can be attached to this other information at negligible cost to employers.</w:t>
      </w:r>
    </w:p>
    <w:p w14:paraId="4FAEABC3" w14:textId="77777777" w:rsidR="003E3D8E" w:rsidRPr="004165DB" w:rsidRDefault="003E3D8E" w:rsidP="003E3D8E">
      <w:pPr>
        <w:spacing w:before="120" w:after="120" w:line="360" w:lineRule="auto"/>
        <w:rPr>
          <w:rFonts w:eastAsiaTheme="minorEastAsia"/>
        </w:rPr>
      </w:pPr>
      <w:r w:rsidRPr="004165DB">
        <w:rPr>
          <w:rFonts w:eastAsiaTheme="minorEastAsia"/>
        </w:rPr>
        <w:t xml:space="preserve">Small business employers are currently not required to provide </w:t>
      </w:r>
      <w:r>
        <w:rPr>
          <w:rFonts w:eastAsiaTheme="minorEastAsia"/>
        </w:rPr>
        <w:t>any information</w:t>
      </w:r>
      <w:r w:rsidRPr="004165DB">
        <w:rPr>
          <w:rFonts w:eastAsiaTheme="minorEastAsia"/>
        </w:rPr>
        <w:t xml:space="preserve"> to casual employees at 12 months (since they are not required to offer casual conversion).</w:t>
      </w:r>
    </w:p>
    <w:p w14:paraId="7B002CCE" w14:textId="77777777" w:rsidR="003E3D8E" w:rsidRDefault="003E3D8E" w:rsidP="003E3D8E">
      <w:r>
        <w:t>The following assumptions are made:</w:t>
      </w:r>
    </w:p>
    <w:p w14:paraId="50C3DA4A" w14:textId="77777777" w:rsidR="003E3D8E" w:rsidRPr="004165DB" w:rsidRDefault="003E3D8E" w:rsidP="001E2B74">
      <w:pPr>
        <w:pStyle w:val="ListParagraph"/>
        <w:numPr>
          <w:ilvl w:val="0"/>
          <w:numId w:val="13"/>
        </w:numPr>
        <w:spacing w:before="120" w:after="120"/>
        <w:ind w:left="567"/>
        <w:rPr>
          <w:rFonts w:eastAsiaTheme="minorEastAsia"/>
        </w:rPr>
      </w:pPr>
      <w:r w:rsidRPr="004165DB">
        <w:rPr>
          <w:rFonts w:eastAsiaTheme="minorEastAsia"/>
        </w:rPr>
        <w:t>the CEIS is sent to small business casual employees who have been employed for 12 months</w:t>
      </w:r>
    </w:p>
    <w:p w14:paraId="049A21AD" w14:textId="77777777" w:rsidR="003E3D8E" w:rsidRPr="004165DB" w:rsidRDefault="003E3D8E" w:rsidP="001E2B74">
      <w:pPr>
        <w:pStyle w:val="ListParagraph"/>
        <w:numPr>
          <w:ilvl w:val="0"/>
          <w:numId w:val="13"/>
        </w:numPr>
        <w:spacing w:before="120" w:after="120"/>
        <w:ind w:left="567"/>
        <w:rPr>
          <w:rFonts w:eastAsiaTheme="minorEastAsia"/>
        </w:rPr>
      </w:pPr>
      <w:r w:rsidRPr="004165DB">
        <w:rPr>
          <w:rFonts w:eastAsiaTheme="minorEastAsia"/>
        </w:rPr>
        <w:t>it takes the employer 1 minute to give the CEIS to an employee (which can be given to the employee in person, by mail, by email, by emailing a link to the FWO website page, by emailing a link to a copy of the CEIS available on the employer’s intranet, by fax, or by another method)</w:t>
      </w:r>
      <w:r w:rsidRPr="004165DB">
        <w:rPr>
          <w:rFonts w:eastAsiaTheme="minorEastAsia"/>
          <w:vertAlign w:val="superscript"/>
        </w:rPr>
        <w:footnoteReference w:id="65"/>
      </w:r>
    </w:p>
    <w:p w14:paraId="280AA6B1" w14:textId="77777777" w:rsidR="003E3D8E" w:rsidRPr="004165DB" w:rsidRDefault="003E3D8E" w:rsidP="001E2B74">
      <w:pPr>
        <w:pStyle w:val="ListParagraph"/>
        <w:numPr>
          <w:ilvl w:val="0"/>
          <w:numId w:val="13"/>
        </w:numPr>
        <w:spacing w:before="120" w:after="120"/>
        <w:ind w:left="567"/>
        <w:rPr>
          <w:rFonts w:eastAsiaTheme="minorEastAsia"/>
        </w:rPr>
      </w:pPr>
      <w:r>
        <w:rPr>
          <w:rFonts w:eastAsiaTheme="minorEastAsia"/>
        </w:rPr>
        <w:t>383,200</w:t>
      </w:r>
      <w:r w:rsidRPr="004165DB">
        <w:rPr>
          <w:rFonts w:eastAsiaTheme="minorEastAsia"/>
        </w:rPr>
        <w:t xml:space="preserve"> casual employees were employed for 12 months</w:t>
      </w:r>
      <w:r w:rsidRPr="004165DB">
        <w:rPr>
          <w:rFonts w:eastAsiaTheme="minorEastAsia"/>
          <w:vertAlign w:val="superscript"/>
        </w:rPr>
        <w:footnoteReference w:id="66"/>
      </w:r>
    </w:p>
    <w:p w14:paraId="3BA99AA9" w14:textId="77777777" w:rsidR="003E3D8E" w:rsidRPr="004165DB" w:rsidRDefault="003E3D8E" w:rsidP="001E2B74">
      <w:pPr>
        <w:pStyle w:val="ListParagraph"/>
        <w:numPr>
          <w:ilvl w:val="0"/>
          <w:numId w:val="13"/>
        </w:numPr>
        <w:spacing w:before="120" w:after="120"/>
        <w:ind w:left="567"/>
        <w:rPr>
          <w:rFonts w:eastAsiaTheme="minorEastAsia"/>
        </w:rPr>
      </w:pPr>
      <w:r w:rsidRPr="004165DB">
        <w:rPr>
          <w:rFonts w:eastAsiaTheme="minorEastAsia"/>
        </w:rPr>
        <w:t>the share of casual workers employed by small business (less than 20 employees) is 31.4 per cent</w:t>
      </w:r>
      <w:r w:rsidRPr="004165DB">
        <w:rPr>
          <w:rFonts w:eastAsiaTheme="minorEastAsia"/>
          <w:vertAlign w:val="superscript"/>
        </w:rPr>
        <w:footnoteReference w:id="67"/>
      </w:r>
    </w:p>
    <w:p w14:paraId="749F0E5F" w14:textId="77777777" w:rsidR="003E3D8E" w:rsidRPr="004165DB" w:rsidRDefault="003E3D8E" w:rsidP="001E2B74">
      <w:pPr>
        <w:pStyle w:val="ListParagraph"/>
        <w:numPr>
          <w:ilvl w:val="0"/>
          <w:numId w:val="13"/>
        </w:numPr>
        <w:spacing w:before="120" w:after="120"/>
        <w:ind w:left="567"/>
        <w:rPr>
          <w:rFonts w:eastAsiaTheme="minorEastAsia"/>
        </w:rPr>
      </w:pPr>
      <w:r w:rsidRPr="004165DB">
        <w:rPr>
          <w:rFonts w:eastAsiaTheme="minorEastAsia"/>
        </w:rPr>
        <w:t>there is no cost to employees.</w:t>
      </w:r>
    </w:p>
    <w:p w14:paraId="14F74F92" w14:textId="77777777" w:rsidR="003E3D8E" w:rsidRPr="004165DB" w:rsidRDefault="003E3D8E" w:rsidP="003E3D8E">
      <w:r>
        <w:t xml:space="preserve">Table 13 shows the estimated annual cost: </w:t>
      </w:r>
      <w:r w:rsidRPr="00AB35A8">
        <w:rPr>
          <w:b/>
          <w:bCs/>
        </w:rPr>
        <w:t>$</w:t>
      </w:r>
      <w:r>
        <w:rPr>
          <w:b/>
          <w:bCs/>
        </w:rPr>
        <w:t>159,691</w:t>
      </w:r>
      <w:r>
        <w:t>.</w:t>
      </w:r>
    </w:p>
    <w:p w14:paraId="6EB44DA8" w14:textId="77777777" w:rsidR="003E3D8E" w:rsidRPr="00C62DBA" w:rsidRDefault="003E3D8E" w:rsidP="003E3D8E">
      <w:pPr>
        <w:rPr>
          <w:b/>
          <w:bCs/>
        </w:rPr>
      </w:pPr>
      <w:r>
        <w:rPr>
          <w:b/>
          <w:bCs/>
        </w:rPr>
        <w:t xml:space="preserve">Table 13: </w:t>
      </w:r>
      <w:r w:rsidRPr="00C62DBA">
        <w:rPr>
          <w:b/>
          <w:bCs/>
        </w:rPr>
        <w:t xml:space="preserve">Estimated annual cost – </w:t>
      </w:r>
      <w:r>
        <w:rPr>
          <w:b/>
          <w:bCs/>
        </w:rPr>
        <w:t>provision of CEIS to casual employees by small businesses</w:t>
      </w:r>
    </w:p>
    <w:tbl>
      <w:tblPr>
        <w:tblStyle w:val="TableGrid"/>
        <w:tblW w:w="0" w:type="auto"/>
        <w:jc w:val="center"/>
        <w:tblLook w:val="04A0" w:firstRow="1" w:lastRow="0" w:firstColumn="1" w:lastColumn="0" w:noHBand="0" w:noVBand="1"/>
      </w:tblPr>
      <w:tblGrid>
        <w:gridCol w:w="1210"/>
        <w:gridCol w:w="1611"/>
        <w:gridCol w:w="2239"/>
        <w:gridCol w:w="2252"/>
        <w:gridCol w:w="1567"/>
      </w:tblGrid>
      <w:tr w:rsidR="003E3D8E" w:rsidRPr="006173B6" w14:paraId="39C2D0CD" w14:textId="77777777">
        <w:trPr>
          <w:jc w:val="center"/>
        </w:trPr>
        <w:tc>
          <w:tcPr>
            <w:tcW w:w="1210" w:type="dxa"/>
          </w:tcPr>
          <w:p w14:paraId="16141A06" w14:textId="77777777" w:rsidR="003E3D8E" w:rsidRPr="006173B6" w:rsidRDefault="003E3D8E">
            <w:pPr>
              <w:jc w:val="center"/>
              <w:rPr>
                <w:b/>
                <w:bCs/>
              </w:rPr>
            </w:pPr>
          </w:p>
        </w:tc>
        <w:tc>
          <w:tcPr>
            <w:tcW w:w="1611" w:type="dxa"/>
            <w:vAlign w:val="center"/>
          </w:tcPr>
          <w:p w14:paraId="1C37128D" w14:textId="77777777" w:rsidR="003E3D8E" w:rsidRPr="006173B6" w:rsidRDefault="003E3D8E">
            <w:pPr>
              <w:jc w:val="center"/>
              <w:rPr>
                <w:b/>
                <w:bCs/>
              </w:rPr>
            </w:pPr>
            <w:r w:rsidRPr="006173B6">
              <w:rPr>
                <w:b/>
                <w:bCs/>
              </w:rPr>
              <w:t>Labour cost/hour</w:t>
            </w:r>
          </w:p>
        </w:tc>
        <w:tc>
          <w:tcPr>
            <w:tcW w:w="2239" w:type="dxa"/>
            <w:vAlign w:val="center"/>
          </w:tcPr>
          <w:p w14:paraId="07CF71CF" w14:textId="77777777" w:rsidR="003E3D8E" w:rsidRPr="006173B6" w:rsidRDefault="003E3D8E">
            <w:pPr>
              <w:jc w:val="center"/>
              <w:rPr>
                <w:b/>
                <w:bCs/>
              </w:rPr>
            </w:pPr>
            <w:r w:rsidRPr="006173B6">
              <w:rPr>
                <w:b/>
                <w:bCs/>
              </w:rPr>
              <w:t>Time per business to send CEIS to eligible casual employee (minutes)</w:t>
            </w:r>
          </w:p>
        </w:tc>
        <w:tc>
          <w:tcPr>
            <w:tcW w:w="2252" w:type="dxa"/>
            <w:vAlign w:val="center"/>
          </w:tcPr>
          <w:p w14:paraId="3C4DC9B9" w14:textId="77777777" w:rsidR="003E3D8E" w:rsidRPr="006173B6" w:rsidRDefault="003E3D8E">
            <w:pPr>
              <w:jc w:val="center"/>
              <w:rPr>
                <w:b/>
                <w:bCs/>
              </w:rPr>
            </w:pPr>
            <w:r w:rsidRPr="006173B6">
              <w:rPr>
                <w:b/>
                <w:bCs/>
              </w:rPr>
              <w:t>Casual employees employed for 12 months by small business</w:t>
            </w:r>
          </w:p>
        </w:tc>
        <w:tc>
          <w:tcPr>
            <w:tcW w:w="1567" w:type="dxa"/>
            <w:vAlign w:val="center"/>
          </w:tcPr>
          <w:p w14:paraId="0F40888A" w14:textId="77777777" w:rsidR="003E3D8E" w:rsidRPr="006173B6" w:rsidRDefault="003E3D8E">
            <w:pPr>
              <w:jc w:val="center"/>
              <w:rPr>
                <w:b/>
                <w:bCs/>
              </w:rPr>
            </w:pPr>
            <w:r w:rsidRPr="006173B6">
              <w:rPr>
                <w:b/>
                <w:bCs/>
              </w:rPr>
              <w:t>Total cost</w:t>
            </w:r>
          </w:p>
        </w:tc>
      </w:tr>
      <w:tr w:rsidR="003E3D8E" w:rsidRPr="00C62DBA" w14:paraId="07EC83BF" w14:textId="77777777">
        <w:trPr>
          <w:jc w:val="center"/>
        </w:trPr>
        <w:tc>
          <w:tcPr>
            <w:tcW w:w="1210" w:type="dxa"/>
          </w:tcPr>
          <w:p w14:paraId="01D12AEF" w14:textId="77777777" w:rsidR="003E3D8E" w:rsidRPr="00C62DBA" w:rsidRDefault="003E3D8E">
            <w:pPr>
              <w:jc w:val="center"/>
            </w:pPr>
            <w:r w:rsidRPr="00C62DBA">
              <w:t>Employer</w:t>
            </w:r>
          </w:p>
        </w:tc>
        <w:tc>
          <w:tcPr>
            <w:tcW w:w="1611" w:type="dxa"/>
            <w:vAlign w:val="center"/>
          </w:tcPr>
          <w:p w14:paraId="5068B9DC" w14:textId="77777777" w:rsidR="003E3D8E" w:rsidRPr="00C62DBA" w:rsidRDefault="003E3D8E">
            <w:pPr>
              <w:jc w:val="center"/>
            </w:pPr>
            <w:r w:rsidRPr="00C62DBA">
              <w:t>$79.63</w:t>
            </w:r>
          </w:p>
        </w:tc>
        <w:tc>
          <w:tcPr>
            <w:tcW w:w="2239" w:type="dxa"/>
            <w:vAlign w:val="center"/>
          </w:tcPr>
          <w:p w14:paraId="5CAF1F1D" w14:textId="77777777" w:rsidR="003E3D8E" w:rsidRPr="00C62DBA" w:rsidRDefault="003E3D8E">
            <w:pPr>
              <w:jc w:val="center"/>
            </w:pPr>
            <w:r>
              <w:t>1</w:t>
            </w:r>
          </w:p>
        </w:tc>
        <w:tc>
          <w:tcPr>
            <w:tcW w:w="2252" w:type="dxa"/>
            <w:vAlign w:val="center"/>
          </w:tcPr>
          <w:p w14:paraId="4549857C" w14:textId="77777777" w:rsidR="003E3D8E" w:rsidRPr="00C62DBA" w:rsidRDefault="003E3D8E">
            <w:pPr>
              <w:jc w:val="center"/>
            </w:pPr>
            <w:r>
              <w:t>120,325</w:t>
            </w:r>
          </w:p>
        </w:tc>
        <w:tc>
          <w:tcPr>
            <w:tcW w:w="1567" w:type="dxa"/>
            <w:vAlign w:val="center"/>
          </w:tcPr>
          <w:p w14:paraId="3092B9BE" w14:textId="77777777" w:rsidR="003E3D8E" w:rsidRPr="00C62DBA" w:rsidRDefault="003E3D8E">
            <w:pPr>
              <w:jc w:val="center"/>
            </w:pPr>
            <w:r>
              <w:t>$159,691</w:t>
            </w:r>
          </w:p>
        </w:tc>
      </w:tr>
      <w:tr w:rsidR="003E3D8E" w:rsidRPr="00C62DBA" w14:paraId="60AB9468" w14:textId="77777777">
        <w:trPr>
          <w:jc w:val="center"/>
        </w:trPr>
        <w:tc>
          <w:tcPr>
            <w:tcW w:w="1210" w:type="dxa"/>
          </w:tcPr>
          <w:p w14:paraId="1786E213" w14:textId="77777777" w:rsidR="003E3D8E" w:rsidRPr="00C62DBA" w:rsidRDefault="003E3D8E">
            <w:pPr>
              <w:jc w:val="center"/>
            </w:pPr>
            <w:r w:rsidRPr="00C62DBA">
              <w:t>Employee</w:t>
            </w:r>
          </w:p>
        </w:tc>
        <w:tc>
          <w:tcPr>
            <w:tcW w:w="1611" w:type="dxa"/>
            <w:vAlign w:val="center"/>
          </w:tcPr>
          <w:p w14:paraId="2C9BA269" w14:textId="77777777" w:rsidR="003E3D8E" w:rsidRPr="00C62DBA" w:rsidRDefault="003E3D8E">
            <w:pPr>
              <w:jc w:val="center"/>
            </w:pPr>
            <w:r>
              <w:t>-</w:t>
            </w:r>
          </w:p>
        </w:tc>
        <w:tc>
          <w:tcPr>
            <w:tcW w:w="2239" w:type="dxa"/>
            <w:vAlign w:val="center"/>
          </w:tcPr>
          <w:p w14:paraId="69B24FC3" w14:textId="77777777" w:rsidR="003E3D8E" w:rsidRPr="00C62DBA" w:rsidRDefault="003E3D8E">
            <w:pPr>
              <w:jc w:val="center"/>
            </w:pPr>
            <w:r>
              <w:t>-</w:t>
            </w:r>
          </w:p>
        </w:tc>
        <w:tc>
          <w:tcPr>
            <w:tcW w:w="2252" w:type="dxa"/>
            <w:vAlign w:val="center"/>
          </w:tcPr>
          <w:p w14:paraId="78AADFD3" w14:textId="77777777" w:rsidR="003E3D8E" w:rsidRPr="00C62DBA" w:rsidRDefault="003E3D8E">
            <w:pPr>
              <w:jc w:val="center"/>
            </w:pPr>
            <w:r>
              <w:t>-</w:t>
            </w:r>
          </w:p>
        </w:tc>
        <w:tc>
          <w:tcPr>
            <w:tcW w:w="1567" w:type="dxa"/>
            <w:vAlign w:val="center"/>
          </w:tcPr>
          <w:p w14:paraId="4E59A8BF" w14:textId="77777777" w:rsidR="003E3D8E" w:rsidRPr="00C62DBA" w:rsidRDefault="003E3D8E">
            <w:pPr>
              <w:jc w:val="center"/>
            </w:pPr>
            <w:r>
              <w:t>-</w:t>
            </w:r>
          </w:p>
        </w:tc>
      </w:tr>
      <w:tr w:rsidR="003E3D8E" w:rsidRPr="00C62DBA" w14:paraId="6573EE73" w14:textId="77777777">
        <w:trPr>
          <w:jc w:val="center"/>
        </w:trPr>
        <w:tc>
          <w:tcPr>
            <w:tcW w:w="1210" w:type="dxa"/>
          </w:tcPr>
          <w:p w14:paraId="31693EA3" w14:textId="77777777" w:rsidR="003E3D8E" w:rsidRPr="00C62DBA" w:rsidRDefault="003E3D8E">
            <w:pPr>
              <w:jc w:val="center"/>
              <w:rPr>
                <w:b/>
                <w:bCs/>
              </w:rPr>
            </w:pPr>
            <w:r w:rsidRPr="00C62DBA">
              <w:rPr>
                <w:b/>
                <w:bCs/>
              </w:rPr>
              <w:t>Total</w:t>
            </w:r>
          </w:p>
        </w:tc>
        <w:tc>
          <w:tcPr>
            <w:tcW w:w="1611" w:type="dxa"/>
            <w:vAlign w:val="center"/>
          </w:tcPr>
          <w:p w14:paraId="2D94B96D" w14:textId="77777777" w:rsidR="003E3D8E" w:rsidRPr="00C62DBA" w:rsidRDefault="003E3D8E">
            <w:pPr>
              <w:jc w:val="center"/>
              <w:rPr>
                <w:b/>
                <w:bCs/>
              </w:rPr>
            </w:pPr>
          </w:p>
        </w:tc>
        <w:tc>
          <w:tcPr>
            <w:tcW w:w="2239" w:type="dxa"/>
            <w:vAlign w:val="center"/>
          </w:tcPr>
          <w:p w14:paraId="3D9A45A4" w14:textId="77777777" w:rsidR="003E3D8E" w:rsidRPr="00C62DBA" w:rsidRDefault="003E3D8E">
            <w:pPr>
              <w:jc w:val="center"/>
              <w:rPr>
                <w:b/>
                <w:bCs/>
              </w:rPr>
            </w:pPr>
          </w:p>
        </w:tc>
        <w:tc>
          <w:tcPr>
            <w:tcW w:w="2252" w:type="dxa"/>
            <w:vAlign w:val="center"/>
          </w:tcPr>
          <w:p w14:paraId="626E8383" w14:textId="77777777" w:rsidR="003E3D8E" w:rsidRPr="00C62DBA" w:rsidRDefault="003E3D8E">
            <w:pPr>
              <w:jc w:val="center"/>
              <w:rPr>
                <w:b/>
                <w:bCs/>
              </w:rPr>
            </w:pPr>
          </w:p>
        </w:tc>
        <w:tc>
          <w:tcPr>
            <w:tcW w:w="1567" w:type="dxa"/>
            <w:vAlign w:val="center"/>
          </w:tcPr>
          <w:p w14:paraId="44B817C0" w14:textId="77777777" w:rsidR="003E3D8E" w:rsidRPr="00C62DBA" w:rsidRDefault="003E3D8E">
            <w:pPr>
              <w:jc w:val="center"/>
              <w:rPr>
                <w:b/>
                <w:bCs/>
              </w:rPr>
            </w:pPr>
            <w:r>
              <w:rPr>
                <w:b/>
                <w:bCs/>
              </w:rPr>
              <w:t>$159,691</w:t>
            </w:r>
          </w:p>
        </w:tc>
      </w:tr>
    </w:tbl>
    <w:p w14:paraId="4163630C" w14:textId="77777777" w:rsidR="006D52B4" w:rsidRDefault="006D52B4">
      <w:pPr>
        <w:pStyle w:val="Heading1"/>
        <w:spacing w:before="120" w:after="120" w:line="360" w:lineRule="auto"/>
        <w:rPr>
          <w:rFonts w:eastAsiaTheme="minorEastAsia"/>
        </w:rPr>
      </w:pPr>
    </w:p>
    <w:p w14:paraId="7FAA697D" w14:textId="77777777" w:rsidR="006D52B4" w:rsidRDefault="006D52B4" w:rsidP="006D52B4">
      <w:pPr>
        <w:pStyle w:val="Heading2"/>
        <w:keepNext w:val="0"/>
        <w:keepLines w:val="0"/>
        <w:spacing w:before="120" w:after="120" w:line="360" w:lineRule="auto"/>
        <w:contextualSpacing/>
      </w:pPr>
      <w:bookmarkStart w:id="30" w:name="_Toc143252112"/>
      <w:r>
        <w:t>Dispute Resolution</w:t>
      </w:r>
      <w:bookmarkEnd w:id="30"/>
      <w:r>
        <w:t xml:space="preserve"> </w:t>
      </w:r>
    </w:p>
    <w:p w14:paraId="14D73B09" w14:textId="57AD23AA" w:rsidR="006D52B4" w:rsidRPr="00A030A7" w:rsidRDefault="006D52B4" w:rsidP="00F66D7B">
      <w:pPr>
        <w:pStyle w:val="Body"/>
        <w:spacing w:line="360" w:lineRule="auto"/>
        <w:rPr>
          <w:b/>
        </w:rPr>
      </w:pPr>
      <w:bookmarkStart w:id="31" w:name="_Toc143189860"/>
      <w:bookmarkStart w:id="32" w:name="_Toc143207702"/>
      <w:r w:rsidRPr="00A030A7">
        <w:t>The Office of Impact Analysis’s Guidance Note on the Regulatory Burden Measurement Framework</w:t>
      </w:r>
      <w:r w:rsidRPr="00A030A7">
        <w:rPr>
          <w:vertAlign w:val="superscript"/>
        </w:rPr>
        <w:footnoteReference w:id="68"/>
      </w:r>
      <w:r>
        <w:t xml:space="preserve"> </w:t>
      </w:r>
      <w:r w:rsidRPr="00A030A7">
        <w:t>advises that certain costs are excluded from the Regulatory Burden Measurement Framework and are not required to be considered when quantifying an estimate of burden. Relevantly, this includes ‘Non-compliance and enforcement costs’, including costs incurred in court and tribunal processes.</w:t>
      </w:r>
      <w:bookmarkEnd w:id="31"/>
      <w:bookmarkEnd w:id="32"/>
      <w:r w:rsidRPr="00A030A7">
        <w:t xml:space="preserve"> </w:t>
      </w:r>
    </w:p>
    <w:p w14:paraId="0E12408B" w14:textId="3BCF2BE4" w:rsidR="006D52B4" w:rsidRPr="00A030A7" w:rsidRDefault="006D52B4" w:rsidP="00F66D7B">
      <w:pPr>
        <w:pStyle w:val="Body"/>
        <w:spacing w:line="360" w:lineRule="auto"/>
        <w:rPr>
          <w:b/>
        </w:rPr>
      </w:pPr>
      <w:bookmarkStart w:id="33" w:name="_Toc143189861"/>
      <w:bookmarkStart w:id="34" w:name="_Toc143207703"/>
      <w:r w:rsidRPr="00A030A7">
        <w:lastRenderedPageBreak/>
        <w:t xml:space="preserve">In accordance with this advice, costs associated with the dispute resolution through the workplace tribunal, the Fair Work </w:t>
      </w:r>
      <w:r w:rsidRPr="003E6C55">
        <w:t>Commission</w:t>
      </w:r>
      <w:r w:rsidRPr="00A030A7">
        <w:t>, are not included in the costings. Specific outcomes may depend on the approach that independent parties – such as employers, unions and the Fair Work Commission – take in response to the previsions. This is consistent with the approach taken to the impact analysis for the SAJER reforms.</w:t>
      </w:r>
      <w:bookmarkEnd w:id="33"/>
      <w:bookmarkEnd w:id="34"/>
      <w:r w:rsidRPr="00A030A7">
        <w:t xml:space="preserve"> </w:t>
      </w:r>
    </w:p>
    <w:p w14:paraId="6D42DF92" w14:textId="77777777" w:rsidR="006D52B4" w:rsidRPr="00A030A7" w:rsidRDefault="006D52B4" w:rsidP="00F66D7B">
      <w:pPr>
        <w:pStyle w:val="Body"/>
        <w:spacing w:line="360" w:lineRule="auto"/>
        <w:rPr>
          <w:b/>
        </w:rPr>
      </w:pPr>
      <w:bookmarkStart w:id="35" w:name="_Toc143189862"/>
      <w:bookmarkStart w:id="36" w:name="_Toc143207704"/>
      <w:r w:rsidRPr="00A030A7">
        <w:t>Employers and employees will only utilise the Fair Work Commission’s dispute resolution processes in circumstances where a party is of the view that an action taken by another party is not consistent with their legislative obligations – for example if an employee has exercised their right to change to permanent because they believe they do not meet the statutory definition of a casual employee but the employer is of the view that the employee still meets the definition of a casual employee. The time and financial cost would vary from dispute to dispute but noting that the Fair Work Commission is a tribunal it would be lower cost and quicker than court processes.</w:t>
      </w:r>
      <w:bookmarkEnd w:id="35"/>
      <w:bookmarkEnd w:id="36"/>
      <w:r w:rsidRPr="00A030A7">
        <w:t xml:space="preserve"> </w:t>
      </w:r>
    </w:p>
    <w:p w14:paraId="3987E464" w14:textId="77777777" w:rsidR="006D52B4" w:rsidRPr="00A030A7" w:rsidRDefault="006D52B4" w:rsidP="00F66D7B">
      <w:pPr>
        <w:pStyle w:val="Body"/>
        <w:spacing w:line="360" w:lineRule="auto"/>
        <w:rPr>
          <w:b/>
        </w:rPr>
      </w:pPr>
      <w:bookmarkStart w:id="37" w:name="_Toc143189863"/>
      <w:bookmarkStart w:id="38" w:name="_Toc143207705"/>
      <w:r w:rsidRPr="00A030A7">
        <w:t>While the volume of disputes may increase in comparison to current levels – noting there will be a new pathway for casual employees to become permanent – it is expected to remain low overall. Under the existing Fair Work Commission casual conversion dispute resolution processes, in the period from 27 March 2021 (when the provisions commenced) until 31 March 2023 there have been a total of 86 disputes lodged with the Fair Work Commission.</w:t>
      </w:r>
      <w:bookmarkEnd w:id="37"/>
      <w:bookmarkEnd w:id="38"/>
      <w:r w:rsidRPr="00A030A7">
        <w:t xml:space="preserve"> </w:t>
      </w:r>
    </w:p>
    <w:p w14:paraId="2D51B003" w14:textId="24895FF5" w:rsidR="009673A3" w:rsidRDefault="006D52B4" w:rsidP="00F66D7B">
      <w:pPr>
        <w:pStyle w:val="Body"/>
        <w:spacing w:line="360" w:lineRule="auto"/>
        <w:rPr>
          <w:b/>
        </w:rPr>
      </w:pPr>
      <w:bookmarkStart w:id="39" w:name="_Toc143189864"/>
      <w:bookmarkStart w:id="40" w:name="_Toc143207706"/>
      <w:r w:rsidRPr="00A030A7">
        <w:t xml:space="preserve">Given the inherent uncertainty in how independent parties will respond to this policy and the </w:t>
      </w:r>
      <w:r w:rsidR="00045EA1">
        <w:t>employee choice</w:t>
      </w:r>
      <w:r w:rsidRPr="00A030A7">
        <w:t xml:space="preserve"> definition pathway is a new jurisdiction, the department has determined that estimations of the dispute costs would not be sufficiently robust to contain a meaningful estimate of the costs.</w:t>
      </w:r>
      <w:bookmarkEnd w:id="39"/>
      <w:bookmarkEnd w:id="40"/>
    </w:p>
    <w:p w14:paraId="5D91031C" w14:textId="77777777" w:rsidR="009673A3" w:rsidRDefault="009673A3">
      <w:pPr>
        <w:rPr>
          <w:rFonts w:eastAsiaTheme="minorEastAsia"/>
          <w:lang w:val="en-AU"/>
        </w:rPr>
      </w:pPr>
      <w:r>
        <w:rPr>
          <w:rFonts w:eastAsiaTheme="minorEastAsia"/>
          <w:b/>
        </w:rPr>
        <w:br w:type="page"/>
      </w:r>
    </w:p>
    <w:p w14:paraId="13634A24" w14:textId="77777777" w:rsidR="006D52B4" w:rsidRPr="00A030A7" w:rsidRDefault="006D52B4" w:rsidP="006D52B4">
      <w:pPr>
        <w:pStyle w:val="Heading2"/>
        <w:keepNext w:val="0"/>
        <w:keepLines w:val="0"/>
        <w:spacing w:before="120" w:after="120" w:line="360" w:lineRule="auto"/>
        <w:rPr>
          <w:rFonts w:asciiTheme="minorHAnsi" w:eastAsiaTheme="minorEastAsia" w:hAnsiTheme="minorHAnsi" w:cstheme="minorBidi"/>
          <w:b w:val="0"/>
          <w:color w:val="auto"/>
          <w:sz w:val="22"/>
          <w:szCs w:val="22"/>
        </w:rPr>
      </w:pPr>
    </w:p>
    <w:p w14:paraId="7BE370B9" w14:textId="77777777" w:rsidR="002A123F" w:rsidRPr="00C10812" w:rsidRDefault="002A123F" w:rsidP="002A123F">
      <w:pPr>
        <w:spacing w:after="240" w:line="360" w:lineRule="auto"/>
        <w:jc w:val="right"/>
        <w:rPr>
          <w:rFonts w:eastAsiaTheme="minorEastAsia"/>
          <w:b/>
          <w:bCs/>
          <w:u w:val="single"/>
        </w:rPr>
      </w:pPr>
      <w:r w:rsidRPr="7612DB8E">
        <w:rPr>
          <w:rFonts w:eastAsiaTheme="minorEastAsia"/>
          <w:b/>
          <w:bCs/>
          <w:u w:val="single"/>
        </w:rPr>
        <w:t>ATTACHMENT A</w:t>
      </w:r>
    </w:p>
    <w:p w14:paraId="5F686F67" w14:textId="77777777" w:rsidR="002A123F" w:rsidRPr="000C5D53" w:rsidRDefault="002A123F" w:rsidP="002A123F">
      <w:pPr>
        <w:pStyle w:val="Heading1"/>
        <w:spacing w:before="120" w:after="120" w:line="360" w:lineRule="auto"/>
        <w:rPr>
          <w:rFonts w:asciiTheme="minorHAnsi" w:eastAsiaTheme="minorEastAsia" w:hAnsiTheme="minorHAnsi" w:cstheme="minorBidi"/>
        </w:rPr>
      </w:pPr>
      <w:bookmarkStart w:id="41" w:name="_Toc143252113"/>
      <w:r w:rsidRPr="000C5D53">
        <w:rPr>
          <w:rFonts w:asciiTheme="minorHAnsi" w:eastAsiaTheme="minorEastAsia" w:hAnsiTheme="minorHAnsi" w:cstheme="minorBidi"/>
        </w:rPr>
        <w:t>Submissions to the Job Security Inquiry</w:t>
      </w:r>
      <w:bookmarkEnd w:id="41"/>
    </w:p>
    <w:p w14:paraId="4486A88C" w14:textId="77777777" w:rsidR="002A123F" w:rsidRPr="00C10812" w:rsidRDefault="002A123F" w:rsidP="002A123F">
      <w:pPr>
        <w:spacing w:before="120" w:after="120" w:line="360" w:lineRule="auto"/>
        <w:rPr>
          <w:rFonts w:eastAsiaTheme="minorEastAsia"/>
        </w:rPr>
      </w:pPr>
      <w:r w:rsidRPr="7612DB8E">
        <w:rPr>
          <w:rFonts w:eastAsiaTheme="minorEastAsia"/>
        </w:rPr>
        <w:t xml:space="preserve">Submissions can be accessed at </w:t>
      </w:r>
      <w:hyperlink r:id="rId29">
        <w:r w:rsidRPr="7612DB8E">
          <w:rPr>
            <w:rStyle w:val="Hyperlink"/>
            <w:rFonts w:eastAsiaTheme="minorEastAsia"/>
          </w:rPr>
          <w:t>Submissions – Parliament of Australia (aph.gov.au)</w:t>
        </w:r>
      </w:hyperlink>
      <w:r w:rsidRPr="7612DB8E">
        <w:rPr>
          <w:rFonts w:eastAsiaTheme="minorEastAsia"/>
        </w:rPr>
        <w:t xml:space="preserve"> </w:t>
      </w:r>
    </w:p>
    <w:p w14:paraId="7CFCCC70" w14:textId="77777777" w:rsidR="002A123F" w:rsidRPr="00C10812" w:rsidRDefault="002A123F" w:rsidP="002A123F">
      <w:pPr>
        <w:spacing w:before="120" w:after="120" w:line="360" w:lineRule="auto"/>
        <w:rPr>
          <w:rFonts w:eastAsiaTheme="minorEastAsia"/>
        </w:rPr>
      </w:pPr>
      <w:r w:rsidRPr="7612DB8E">
        <w:rPr>
          <w:rFonts w:eastAsiaTheme="minorEastAsia"/>
        </w:rPr>
        <w:t xml:space="preserve">Note: Some submissions reflect the endorsement of other peak organisations within the submission. </w:t>
      </w:r>
    </w:p>
    <w:p w14:paraId="093BCCC4" w14:textId="77777777" w:rsidR="002A123F" w:rsidRPr="00C10812" w:rsidRDefault="002A123F" w:rsidP="002A123F">
      <w:pPr>
        <w:spacing w:before="120" w:after="120" w:line="360" w:lineRule="auto"/>
        <w:rPr>
          <w:rFonts w:eastAsiaTheme="minorEastAsia"/>
        </w:rPr>
      </w:pPr>
      <w:r w:rsidRPr="7612DB8E">
        <w:rPr>
          <w:rFonts w:eastAsiaTheme="minorEastAsia"/>
        </w:rPr>
        <w:t>1 La Trobe Casuals Network</w:t>
      </w:r>
    </w:p>
    <w:p w14:paraId="562B3A37" w14:textId="77777777" w:rsidR="002A123F" w:rsidRPr="00C10812" w:rsidRDefault="002A123F" w:rsidP="002A123F">
      <w:pPr>
        <w:spacing w:before="120" w:after="120" w:line="360" w:lineRule="auto"/>
        <w:rPr>
          <w:rFonts w:eastAsiaTheme="minorEastAsia"/>
        </w:rPr>
      </w:pPr>
      <w:r w:rsidRPr="7612DB8E">
        <w:rPr>
          <w:rFonts w:eastAsiaTheme="minorEastAsia"/>
        </w:rPr>
        <w:t>2 Professor Michael Quinlan &amp; Dr Elsa Underhill</w:t>
      </w:r>
    </w:p>
    <w:p w14:paraId="536546F7" w14:textId="77777777" w:rsidR="002A123F" w:rsidRPr="00C10812" w:rsidRDefault="002A123F" w:rsidP="002A123F">
      <w:pPr>
        <w:spacing w:before="120" w:after="120" w:line="360" w:lineRule="auto"/>
        <w:rPr>
          <w:rFonts w:eastAsiaTheme="minorEastAsia"/>
        </w:rPr>
      </w:pPr>
      <w:r w:rsidRPr="7612DB8E">
        <w:rPr>
          <w:rFonts w:eastAsiaTheme="minorEastAsia"/>
        </w:rPr>
        <w:t>6 Australian Institute of Employment Rights</w:t>
      </w:r>
    </w:p>
    <w:p w14:paraId="6F605CA7" w14:textId="77777777" w:rsidR="002A123F" w:rsidRPr="00C10812" w:rsidRDefault="002A123F" w:rsidP="002A123F">
      <w:pPr>
        <w:spacing w:before="120" w:after="120" w:line="360" w:lineRule="auto"/>
        <w:rPr>
          <w:rFonts w:eastAsiaTheme="minorEastAsia"/>
        </w:rPr>
      </w:pPr>
      <w:r w:rsidRPr="7612DB8E">
        <w:rPr>
          <w:rFonts w:eastAsiaTheme="minorEastAsia"/>
        </w:rPr>
        <w:t>7 Law Society of New South Wales</w:t>
      </w:r>
    </w:p>
    <w:p w14:paraId="5ECF5439" w14:textId="77777777" w:rsidR="002A123F" w:rsidRPr="00C10812" w:rsidRDefault="002A123F" w:rsidP="002A123F">
      <w:pPr>
        <w:spacing w:before="120" w:after="120" w:line="360" w:lineRule="auto"/>
        <w:rPr>
          <w:rFonts w:eastAsiaTheme="minorEastAsia"/>
        </w:rPr>
      </w:pPr>
      <w:r w:rsidRPr="7612DB8E">
        <w:rPr>
          <w:rFonts w:eastAsiaTheme="minorEastAsia"/>
        </w:rPr>
        <w:t>11 National Foundation for Australian Women</w:t>
      </w:r>
    </w:p>
    <w:p w14:paraId="52DEFBBA" w14:textId="77777777" w:rsidR="002A123F" w:rsidRPr="00C10812" w:rsidRDefault="002A123F" w:rsidP="002A123F">
      <w:pPr>
        <w:spacing w:before="120" w:after="120" w:line="360" w:lineRule="auto"/>
        <w:rPr>
          <w:rFonts w:eastAsiaTheme="minorEastAsia"/>
        </w:rPr>
      </w:pPr>
      <w:r w:rsidRPr="7612DB8E">
        <w:rPr>
          <w:rFonts w:eastAsiaTheme="minorEastAsia"/>
        </w:rPr>
        <w:t>13 Victorian Council of Social Service (VCOSS)</w:t>
      </w:r>
    </w:p>
    <w:p w14:paraId="4F6BF36C" w14:textId="77777777" w:rsidR="002A123F" w:rsidRPr="00C10812" w:rsidRDefault="002A123F" w:rsidP="002A123F">
      <w:pPr>
        <w:spacing w:before="120" w:after="120" w:line="360" w:lineRule="auto"/>
        <w:rPr>
          <w:rFonts w:eastAsiaTheme="minorEastAsia"/>
        </w:rPr>
      </w:pPr>
      <w:r w:rsidRPr="7612DB8E">
        <w:rPr>
          <w:rFonts w:eastAsiaTheme="minorEastAsia"/>
        </w:rPr>
        <w:t>15 Queensland Nurses and Midwives' Union (QNMU)</w:t>
      </w:r>
    </w:p>
    <w:p w14:paraId="7B6662CD" w14:textId="77777777" w:rsidR="002A123F" w:rsidRPr="00C10812" w:rsidRDefault="002A123F" w:rsidP="002A123F">
      <w:pPr>
        <w:spacing w:before="120" w:after="120" w:line="360" w:lineRule="auto"/>
        <w:rPr>
          <w:rFonts w:eastAsiaTheme="minorEastAsia"/>
        </w:rPr>
      </w:pPr>
      <w:r w:rsidRPr="7612DB8E">
        <w:rPr>
          <w:rFonts w:eastAsiaTheme="minorEastAsia"/>
        </w:rPr>
        <w:t>16 Victorian Government</w:t>
      </w:r>
    </w:p>
    <w:p w14:paraId="21E95A3F" w14:textId="77777777" w:rsidR="002A123F" w:rsidRPr="00C10812" w:rsidRDefault="002A123F" w:rsidP="002A123F">
      <w:pPr>
        <w:spacing w:before="120" w:after="120" w:line="360" w:lineRule="auto"/>
        <w:rPr>
          <w:rFonts w:eastAsiaTheme="minorEastAsia"/>
        </w:rPr>
      </w:pPr>
      <w:r w:rsidRPr="7612DB8E">
        <w:rPr>
          <w:rFonts w:eastAsiaTheme="minorEastAsia"/>
        </w:rPr>
        <w:t>26 Migrant Workers Centre</w:t>
      </w:r>
    </w:p>
    <w:p w14:paraId="1037DB76" w14:textId="77777777" w:rsidR="002A123F" w:rsidRPr="00C10812" w:rsidRDefault="002A123F" w:rsidP="002A123F">
      <w:pPr>
        <w:spacing w:before="120" w:after="120" w:line="360" w:lineRule="auto"/>
        <w:rPr>
          <w:rFonts w:eastAsiaTheme="minorEastAsia"/>
        </w:rPr>
      </w:pPr>
      <w:r w:rsidRPr="7612DB8E">
        <w:rPr>
          <w:rFonts w:eastAsiaTheme="minorEastAsia"/>
        </w:rPr>
        <w:t>27 Australian Nursing and Midwifery Federation</w:t>
      </w:r>
    </w:p>
    <w:p w14:paraId="49EAF6AA" w14:textId="77777777" w:rsidR="002A123F" w:rsidRPr="00C10812" w:rsidRDefault="002A123F" w:rsidP="002A123F">
      <w:pPr>
        <w:spacing w:before="120" w:after="120" w:line="360" w:lineRule="auto"/>
        <w:rPr>
          <w:rFonts w:eastAsiaTheme="minorEastAsia"/>
        </w:rPr>
      </w:pPr>
      <w:r w:rsidRPr="7612DB8E">
        <w:rPr>
          <w:rFonts w:eastAsiaTheme="minorEastAsia"/>
        </w:rPr>
        <w:t>29 National Retail Association</w:t>
      </w:r>
    </w:p>
    <w:p w14:paraId="5605A575" w14:textId="77777777" w:rsidR="002A123F" w:rsidRPr="00C10812" w:rsidRDefault="002A123F" w:rsidP="002A123F">
      <w:pPr>
        <w:spacing w:before="120" w:after="120" w:line="360" w:lineRule="auto"/>
        <w:rPr>
          <w:rFonts w:eastAsiaTheme="minorEastAsia"/>
        </w:rPr>
      </w:pPr>
      <w:r w:rsidRPr="7612DB8E">
        <w:rPr>
          <w:rFonts w:eastAsiaTheme="minorEastAsia"/>
        </w:rPr>
        <w:t>30 Per Capita</w:t>
      </w:r>
    </w:p>
    <w:p w14:paraId="31A96135" w14:textId="77777777" w:rsidR="002A123F" w:rsidRPr="00C10812" w:rsidRDefault="002A123F" w:rsidP="002A123F">
      <w:pPr>
        <w:spacing w:before="120" w:after="120" w:line="360" w:lineRule="auto"/>
        <w:rPr>
          <w:rFonts w:eastAsiaTheme="minorEastAsia"/>
        </w:rPr>
      </w:pPr>
      <w:r w:rsidRPr="7612DB8E">
        <w:rPr>
          <w:rFonts w:eastAsiaTheme="minorEastAsia"/>
        </w:rPr>
        <w:t>32 National Youth Commission Australia</w:t>
      </w:r>
    </w:p>
    <w:p w14:paraId="4A02F0B7" w14:textId="77777777" w:rsidR="002A123F" w:rsidRPr="00C10812" w:rsidRDefault="002A123F" w:rsidP="002A123F">
      <w:pPr>
        <w:spacing w:before="120" w:after="120" w:line="360" w:lineRule="auto"/>
        <w:rPr>
          <w:rFonts w:eastAsiaTheme="minorEastAsia"/>
        </w:rPr>
      </w:pPr>
      <w:r w:rsidRPr="7612DB8E">
        <w:rPr>
          <w:rFonts w:eastAsiaTheme="minorEastAsia"/>
        </w:rPr>
        <w:t xml:space="preserve">37 Mr George Stribling, Lauren Kavanagh, Shirisha Nampalli, Quyen Nguyen, </w:t>
      </w:r>
    </w:p>
    <w:p w14:paraId="6DD97ABD" w14:textId="77777777" w:rsidR="002A123F" w:rsidRPr="00C10812" w:rsidRDefault="002A123F" w:rsidP="002A123F">
      <w:pPr>
        <w:spacing w:before="120" w:after="120" w:line="360" w:lineRule="auto"/>
        <w:rPr>
          <w:rFonts w:eastAsiaTheme="minorEastAsia"/>
        </w:rPr>
      </w:pPr>
      <w:r w:rsidRPr="7612DB8E">
        <w:rPr>
          <w:rFonts w:eastAsiaTheme="minorEastAsia"/>
        </w:rPr>
        <w:t>Joshua Paveley and Maddy Yates</w:t>
      </w:r>
    </w:p>
    <w:p w14:paraId="4B4691D5" w14:textId="77777777" w:rsidR="002A123F" w:rsidRPr="00C10812" w:rsidRDefault="002A123F" w:rsidP="002A123F">
      <w:pPr>
        <w:spacing w:before="120" w:after="120" w:line="360" w:lineRule="auto"/>
        <w:rPr>
          <w:rFonts w:eastAsiaTheme="minorEastAsia"/>
        </w:rPr>
      </w:pPr>
      <w:r w:rsidRPr="7612DB8E">
        <w:rPr>
          <w:rFonts w:eastAsiaTheme="minorEastAsia"/>
        </w:rPr>
        <w:t>41 Australia Institute, Centre for Future Work</w:t>
      </w:r>
    </w:p>
    <w:p w14:paraId="6D5564E1" w14:textId="77777777" w:rsidR="002A123F" w:rsidRPr="00C10812" w:rsidRDefault="002A123F" w:rsidP="002A123F">
      <w:pPr>
        <w:spacing w:before="120" w:after="120" w:line="360" w:lineRule="auto"/>
        <w:rPr>
          <w:rFonts w:eastAsiaTheme="minorEastAsia"/>
        </w:rPr>
      </w:pPr>
      <w:r w:rsidRPr="7612DB8E">
        <w:rPr>
          <w:rFonts w:eastAsiaTheme="minorEastAsia"/>
        </w:rPr>
        <w:t>45 The Salvation Army</w:t>
      </w:r>
    </w:p>
    <w:p w14:paraId="000BF70A" w14:textId="77777777" w:rsidR="002A123F" w:rsidRPr="00C10812" w:rsidRDefault="002A123F" w:rsidP="002A123F">
      <w:pPr>
        <w:spacing w:before="120" w:after="120" w:line="360" w:lineRule="auto"/>
        <w:rPr>
          <w:rFonts w:eastAsiaTheme="minorEastAsia"/>
        </w:rPr>
      </w:pPr>
      <w:r w:rsidRPr="7612DB8E">
        <w:rPr>
          <w:rFonts w:eastAsiaTheme="minorEastAsia"/>
        </w:rPr>
        <w:t>46 Australasian Centre for Corporate Responsibility</w:t>
      </w:r>
    </w:p>
    <w:p w14:paraId="6610F24D" w14:textId="77777777" w:rsidR="002A123F" w:rsidRPr="00C10812" w:rsidRDefault="002A123F" w:rsidP="002A123F">
      <w:pPr>
        <w:spacing w:before="120" w:after="120" w:line="360" w:lineRule="auto"/>
        <w:rPr>
          <w:rFonts w:eastAsiaTheme="minorEastAsia"/>
        </w:rPr>
      </w:pPr>
      <w:r w:rsidRPr="7612DB8E">
        <w:rPr>
          <w:rFonts w:eastAsiaTheme="minorEastAsia"/>
        </w:rPr>
        <w:t>47 National Tertiary Education Union (NTEU)</w:t>
      </w:r>
    </w:p>
    <w:p w14:paraId="332C729B" w14:textId="77777777" w:rsidR="002A123F" w:rsidRPr="00C10812" w:rsidRDefault="002A123F" w:rsidP="002A123F">
      <w:pPr>
        <w:spacing w:before="120" w:after="120" w:line="360" w:lineRule="auto"/>
        <w:rPr>
          <w:rFonts w:eastAsiaTheme="minorEastAsia"/>
        </w:rPr>
      </w:pPr>
      <w:r w:rsidRPr="7612DB8E">
        <w:rPr>
          <w:rFonts w:eastAsiaTheme="minorEastAsia"/>
        </w:rPr>
        <w:t>49 ACT Government</w:t>
      </w:r>
    </w:p>
    <w:p w14:paraId="4B35645F" w14:textId="77777777" w:rsidR="002A123F" w:rsidRPr="00C10812" w:rsidRDefault="002A123F" w:rsidP="002A123F">
      <w:pPr>
        <w:spacing w:before="120" w:after="120" w:line="360" w:lineRule="auto"/>
        <w:rPr>
          <w:rFonts w:eastAsiaTheme="minorEastAsia"/>
        </w:rPr>
      </w:pPr>
      <w:r w:rsidRPr="7612DB8E">
        <w:rPr>
          <w:rFonts w:eastAsiaTheme="minorEastAsia"/>
        </w:rPr>
        <w:t>50 Youth Action NSW</w:t>
      </w:r>
    </w:p>
    <w:p w14:paraId="5A5875F7" w14:textId="77777777" w:rsidR="002A123F" w:rsidRPr="00C10812" w:rsidRDefault="002A123F" w:rsidP="002A123F">
      <w:pPr>
        <w:spacing w:before="120" w:after="120" w:line="360" w:lineRule="auto"/>
        <w:rPr>
          <w:rFonts w:eastAsiaTheme="minorEastAsia"/>
        </w:rPr>
      </w:pPr>
      <w:r w:rsidRPr="7612DB8E">
        <w:rPr>
          <w:rFonts w:eastAsiaTheme="minorEastAsia"/>
        </w:rPr>
        <w:t>55 Dr Veronica Sheen</w:t>
      </w:r>
    </w:p>
    <w:p w14:paraId="0EB25C53" w14:textId="77777777" w:rsidR="002A123F" w:rsidRPr="00C10812" w:rsidRDefault="002A123F" w:rsidP="002A123F">
      <w:pPr>
        <w:spacing w:before="120" w:after="120" w:line="360" w:lineRule="auto"/>
        <w:rPr>
          <w:rFonts w:eastAsiaTheme="minorEastAsia"/>
        </w:rPr>
      </w:pPr>
      <w:r w:rsidRPr="7612DB8E">
        <w:rPr>
          <w:rFonts w:eastAsiaTheme="minorEastAsia"/>
        </w:rPr>
        <w:lastRenderedPageBreak/>
        <w:t>56 Springvale Monash Legal Service</w:t>
      </w:r>
    </w:p>
    <w:p w14:paraId="6B8C9C97" w14:textId="77777777" w:rsidR="002A123F" w:rsidRPr="00C10812" w:rsidRDefault="002A123F" w:rsidP="002A123F">
      <w:pPr>
        <w:spacing w:before="120" w:after="120" w:line="360" w:lineRule="auto"/>
        <w:rPr>
          <w:rFonts w:eastAsiaTheme="minorEastAsia"/>
        </w:rPr>
      </w:pPr>
      <w:r w:rsidRPr="7612DB8E">
        <w:rPr>
          <w:rFonts w:eastAsiaTheme="minorEastAsia"/>
        </w:rPr>
        <w:t>59 The University of Sydney Casuals Network</w:t>
      </w:r>
    </w:p>
    <w:p w14:paraId="0C602ECA" w14:textId="77777777" w:rsidR="002A123F" w:rsidRPr="00C10812" w:rsidRDefault="002A123F" w:rsidP="002A123F">
      <w:pPr>
        <w:spacing w:before="120" w:after="120" w:line="360" w:lineRule="auto"/>
        <w:rPr>
          <w:rFonts w:eastAsiaTheme="minorEastAsia"/>
        </w:rPr>
      </w:pPr>
      <w:r w:rsidRPr="7612DB8E">
        <w:rPr>
          <w:rFonts w:eastAsiaTheme="minorEastAsia"/>
        </w:rPr>
        <w:t>60 Minerals Council of Australia</w:t>
      </w:r>
    </w:p>
    <w:p w14:paraId="60EFBE71" w14:textId="77777777" w:rsidR="002A123F" w:rsidRPr="00C10812" w:rsidRDefault="002A123F" w:rsidP="002A123F">
      <w:pPr>
        <w:spacing w:before="120" w:after="120" w:line="360" w:lineRule="auto"/>
        <w:rPr>
          <w:rFonts w:eastAsiaTheme="minorEastAsia"/>
        </w:rPr>
      </w:pPr>
      <w:r w:rsidRPr="7612DB8E">
        <w:rPr>
          <w:rFonts w:eastAsiaTheme="minorEastAsia"/>
        </w:rPr>
        <w:t>61 Science &amp; Technology Australia</w:t>
      </w:r>
    </w:p>
    <w:p w14:paraId="6869E4B1" w14:textId="77777777" w:rsidR="002A123F" w:rsidRPr="00C10812" w:rsidRDefault="002A123F" w:rsidP="002A123F">
      <w:pPr>
        <w:spacing w:before="120" w:after="120" w:line="360" w:lineRule="auto"/>
        <w:rPr>
          <w:rFonts w:eastAsiaTheme="minorEastAsia"/>
        </w:rPr>
      </w:pPr>
      <w:r w:rsidRPr="7612DB8E">
        <w:rPr>
          <w:rFonts w:eastAsiaTheme="minorEastAsia"/>
        </w:rPr>
        <w:t>63 The National and State Youth Peaks</w:t>
      </w:r>
    </w:p>
    <w:p w14:paraId="41774CDE" w14:textId="77777777" w:rsidR="002A123F" w:rsidRPr="00C10812" w:rsidRDefault="002A123F" w:rsidP="002A123F">
      <w:pPr>
        <w:spacing w:before="120" w:after="120" w:line="360" w:lineRule="auto"/>
        <w:rPr>
          <w:rFonts w:eastAsiaTheme="minorEastAsia"/>
        </w:rPr>
      </w:pPr>
      <w:r w:rsidRPr="7612DB8E">
        <w:rPr>
          <w:rFonts w:eastAsiaTheme="minorEastAsia"/>
        </w:rPr>
        <w:t>64 Council of Australian Postgraduate Association (CAPA)</w:t>
      </w:r>
    </w:p>
    <w:p w14:paraId="18CCB013" w14:textId="77777777" w:rsidR="002A123F" w:rsidRPr="00C10812" w:rsidRDefault="002A123F" w:rsidP="002A123F">
      <w:pPr>
        <w:spacing w:before="120" w:after="120" w:line="360" w:lineRule="auto"/>
        <w:rPr>
          <w:rFonts w:eastAsiaTheme="minorEastAsia"/>
        </w:rPr>
      </w:pPr>
      <w:r w:rsidRPr="7612DB8E">
        <w:rPr>
          <w:rFonts w:eastAsiaTheme="minorEastAsia"/>
        </w:rPr>
        <w:t>71 Australian Chamber of Commerce and Industry (ACCI)</w:t>
      </w:r>
    </w:p>
    <w:p w14:paraId="7F8B910E" w14:textId="77777777" w:rsidR="002A123F" w:rsidRPr="00C10812" w:rsidRDefault="002A123F" w:rsidP="002A123F">
      <w:pPr>
        <w:spacing w:before="120" w:after="120" w:line="360" w:lineRule="auto"/>
        <w:rPr>
          <w:rFonts w:eastAsiaTheme="minorEastAsia"/>
        </w:rPr>
      </w:pPr>
      <w:r w:rsidRPr="7612DB8E">
        <w:rPr>
          <w:rFonts w:eastAsiaTheme="minorEastAsia"/>
        </w:rPr>
        <w:t>78 Unions NSW</w:t>
      </w:r>
    </w:p>
    <w:p w14:paraId="2848C338" w14:textId="77777777" w:rsidR="002A123F" w:rsidRPr="00C10812" w:rsidRDefault="002A123F" w:rsidP="002A123F">
      <w:pPr>
        <w:spacing w:before="120" w:after="120" w:line="360" w:lineRule="auto"/>
        <w:rPr>
          <w:rFonts w:eastAsiaTheme="minorEastAsia"/>
        </w:rPr>
      </w:pPr>
      <w:r w:rsidRPr="7612DB8E">
        <w:rPr>
          <w:rFonts w:eastAsiaTheme="minorEastAsia"/>
        </w:rPr>
        <w:t>88 Emeritus Professor David Peetz FASSA</w:t>
      </w:r>
    </w:p>
    <w:p w14:paraId="0A75FC03" w14:textId="77777777" w:rsidR="002A123F" w:rsidRPr="00C10812" w:rsidRDefault="002A123F" w:rsidP="002A123F">
      <w:pPr>
        <w:spacing w:before="120" w:after="120" w:line="360" w:lineRule="auto"/>
        <w:rPr>
          <w:rFonts w:eastAsiaTheme="minorEastAsia"/>
        </w:rPr>
      </w:pPr>
      <w:r w:rsidRPr="7612DB8E">
        <w:rPr>
          <w:rFonts w:eastAsiaTheme="minorEastAsia"/>
        </w:rPr>
        <w:t>90 Retail and Fast Food Workers Union</w:t>
      </w:r>
    </w:p>
    <w:p w14:paraId="6B51A932" w14:textId="77777777" w:rsidR="002A123F" w:rsidRPr="00C10812" w:rsidRDefault="002A123F" w:rsidP="002A123F">
      <w:pPr>
        <w:spacing w:before="120" w:after="120" w:line="360" w:lineRule="auto"/>
        <w:rPr>
          <w:rFonts w:eastAsiaTheme="minorEastAsia"/>
        </w:rPr>
      </w:pPr>
      <w:r w:rsidRPr="7612DB8E">
        <w:rPr>
          <w:rFonts w:eastAsiaTheme="minorEastAsia"/>
        </w:rPr>
        <w:t>91 Jesuit Social Services</w:t>
      </w:r>
    </w:p>
    <w:p w14:paraId="36D4E684" w14:textId="77777777" w:rsidR="002A123F" w:rsidRPr="00C10812" w:rsidRDefault="002A123F" w:rsidP="002A123F">
      <w:pPr>
        <w:spacing w:before="120" w:after="120" w:line="360" w:lineRule="auto"/>
        <w:rPr>
          <w:rFonts w:eastAsiaTheme="minorEastAsia"/>
        </w:rPr>
      </w:pPr>
      <w:r w:rsidRPr="7612DB8E">
        <w:rPr>
          <w:rFonts w:eastAsiaTheme="minorEastAsia"/>
        </w:rPr>
        <w:t>92 Kingsford Legal Centre and Redfern Legal Centre</w:t>
      </w:r>
    </w:p>
    <w:p w14:paraId="209C1977" w14:textId="77777777" w:rsidR="002A123F" w:rsidRPr="00C10812" w:rsidRDefault="002A123F" w:rsidP="002A123F">
      <w:pPr>
        <w:spacing w:before="120" w:after="120" w:line="360" w:lineRule="auto"/>
        <w:rPr>
          <w:rFonts w:eastAsiaTheme="minorEastAsia"/>
        </w:rPr>
      </w:pPr>
      <w:r w:rsidRPr="7612DB8E">
        <w:rPr>
          <w:rFonts w:eastAsiaTheme="minorEastAsia"/>
        </w:rPr>
        <w:t>94 Anglicare Australia</w:t>
      </w:r>
    </w:p>
    <w:p w14:paraId="1F89B6F6" w14:textId="77777777" w:rsidR="002A123F" w:rsidRPr="00C10812" w:rsidRDefault="002A123F" w:rsidP="002A123F">
      <w:pPr>
        <w:spacing w:before="120" w:after="120" w:line="360" w:lineRule="auto"/>
        <w:rPr>
          <w:rFonts w:eastAsiaTheme="minorEastAsia"/>
        </w:rPr>
      </w:pPr>
      <w:r w:rsidRPr="7612DB8E">
        <w:rPr>
          <w:rFonts w:eastAsiaTheme="minorEastAsia"/>
        </w:rPr>
        <w:t>95 Job Watch Inc.</w:t>
      </w:r>
    </w:p>
    <w:p w14:paraId="013CAED9" w14:textId="77777777" w:rsidR="002A123F" w:rsidRPr="00C10812" w:rsidRDefault="002A123F" w:rsidP="002A123F">
      <w:pPr>
        <w:spacing w:before="120" w:after="120" w:line="360" w:lineRule="auto"/>
        <w:rPr>
          <w:rFonts w:eastAsiaTheme="minorEastAsia"/>
        </w:rPr>
      </w:pPr>
      <w:r w:rsidRPr="7612DB8E">
        <w:rPr>
          <w:rFonts w:eastAsiaTheme="minorEastAsia"/>
        </w:rPr>
        <w:t>96 Unions ACT</w:t>
      </w:r>
    </w:p>
    <w:p w14:paraId="100C6625" w14:textId="77777777" w:rsidR="002A123F" w:rsidRPr="00C10812" w:rsidRDefault="002A123F" w:rsidP="002A123F">
      <w:pPr>
        <w:spacing w:before="120" w:after="120" w:line="360" w:lineRule="auto"/>
        <w:rPr>
          <w:rFonts w:eastAsiaTheme="minorEastAsia"/>
        </w:rPr>
      </w:pPr>
      <w:r w:rsidRPr="7612DB8E">
        <w:rPr>
          <w:rFonts w:eastAsiaTheme="minorEastAsia"/>
        </w:rPr>
        <w:t>98 Australian Council of Trade Unions (ACTU)</w:t>
      </w:r>
    </w:p>
    <w:p w14:paraId="46B74C78" w14:textId="77777777" w:rsidR="002A123F" w:rsidRPr="00C10812" w:rsidRDefault="002A123F" w:rsidP="002A123F">
      <w:pPr>
        <w:spacing w:before="120" w:after="120" w:line="360" w:lineRule="auto"/>
        <w:rPr>
          <w:rFonts w:eastAsiaTheme="minorEastAsia"/>
        </w:rPr>
      </w:pPr>
      <w:r w:rsidRPr="7612DB8E">
        <w:rPr>
          <w:rFonts w:eastAsiaTheme="minorEastAsia"/>
        </w:rPr>
        <w:t>99 Young Workers Centre, Unions ACT</w:t>
      </w:r>
    </w:p>
    <w:p w14:paraId="00FD7153" w14:textId="77777777" w:rsidR="002A123F" w:rsidRPr="00C10812" w:rsidRDefault="002A123F" w:rsidP="002A123F">
      <w:pPr>
        <w:spacing w:before="120" w:after="120" w:line="360" w:lineRule="auto"/>
        <w:rPr>
          <w:rFonts w:eastAsiaTheme="minorEastAsia"/>
        </w:rPr>
      </w:pPr>
      <w:r w:rsidRPr="7612DB8E">
        <w:rPr>
          <w:rFonts w:eastAsiaTheme="minorEastAsia"/>
        </w:rPr>
        <w:t>100 Western Australian Government</w:t>
      </w:r>
    </w:p>
    <w:p w14:paraId="15F13128" w14:textId="77777777" w:rsidR="002A123F" w:rsidRPr="00C10812" w:rsidRDefault="002A123F" w:rsidP="002A123F">
      <w:pPr>
        <w:spacing w:before="120" w:after="120" w:line="360" w:lineRule="auto"/>
        <w:rPr>
          <w:rFonts w:eastAsiaTheme="minorEastAsia"/>
        </w:rPr>
      </w:pPr>
      <w:r w:rsidRPr="7612DB8E">
        <w:rPr>
          <w:rFonts w:eastAsiaTheme="minorEastAsia"/>
        </w:rPr>
        <w:t>101 Queensland Teachers' Union</w:t>
      </w:r>
    </w:p>
    <w:p w14:paraId="60F78141" w14:textId="77777777" w:rsidR="002A123F" w:rsidRPr="00C10812" w:rsidRDefault="002A123F" w:rsidP="002A123F">
      <w:pPr>
        <w:spacing w:before="120" w:after="120" w:line="360" w:lineRule="auto"/>
        <w:rPr>
          <w:rFonts w:eastAsiaTheme="minorEastAsia"/>
        </w:rPr>
      </w:pPr>
      <w:r w:rsidRPr="7612DB8E">
        <w:rPr>
          <w:rFonts w:eastAsiaTheme="minorEastAsia"/>
        </w:rPr>
        <w:t>102 Community and Public Sector Union (CPSU)</w:t>
      </w:r>
    </w:p>
    <w:p w14:paraId="12268906" w14:textId="77777777" w:rsidR="002A123F" w:rsidRPr="00C10812" w:rsidRDefault="002A123F" w:rsidP="002A123F">
      <w:pPr>
        <w:spacing w:before="120" w:after="120" w:line="360" w:lineRule="auto"/>
        <w:rPr>
          <w:rFonts w:eastAsiaTheme="minorEastAsia"/>
        </w:rPr>
      </w:pPr>
      <w:r w:rsidRPr="7612DB8E">
        <w:rPr>
          <w:rFonts w:eastAsiaTheme="minorEastAsia"/>
        </w:rPr>
        <w:t>104 Queensland Government</w:t>
      </w:r>
    </w:p>
    <w:p w14:paraId="6B636446" w14:textId="77777777" w:rsidR="002A123F" w:rsidRPr="00C10812" w:rsidRDefault="002A123F" w:rsidP="002A123F">
      <w:pPr>
        <w:spacing w:before="120" w:after="120" w:line="360" w:lineRule="auto"/>
        <w:rPr>
          <w:rFonts w:eastAsiaTheme="minorEastAsia"/>
        </w:rPr>
      </w:pPr>
      <w:r w:rsidRPr="7612DB8E">
        <w:rPr>
          <w:rFonts w:eastAsiaTheme="minorEastAsia"/>
        </w:rPr>
        <w:t>113 Construction, Forestry, Maritime, Mining &amp; Energy Union (CFMEU)</w:t>
      </w:r>
    </w:p>
    <w:p w14:paraId="5F0ABB01" w14:textId="77777777" w:rsidR="002A123F" w:rsidRPr="00C10812" w:rsidRDefault="002A123F" w:rsidP="002A123F">
      <w:pPr>
        <w:spacing w:before="120" w:after="120" w:line="360" w:lineRule="auto"/>
        <w:rPr>
          <w:rFonts w:eastAsiaTheme="minorEastAsia"/>
        </w:rPr>
      </w:pPr>
      <w:r w:rsidRPr="7612DB8E">
        <w:rPr>
          <w:rFonts w:eastAsiaTheme="minorEastAsia"/>
        </w:rPr>
        <w:t>116 Rail, Tram and Bus Union</w:t>
      </w:r>
    </w:p>
    <w:p w14:paraId="39B4ECA8" w14:textId="77777777" w:rsidR="002A123F" w:rsidRPr="00C10812" w:rsidRDefault="002A123F" w:rsidP="002A123F">
      <w:pPr>
        <w:spacing w:before="120" w:after="120" w:line="360" w:lineRule="auto"/>
        <w:rPr>
          <w:rFonts w:eastAsiaTheme="minorEastAsia"/>
        </w:rPr>
      </w:pPr>
      <w:r w:rsidRPr="7612DB8E">
        <w:rPr>
          <w:rFonts w:eastAsiaTheme="minorEastAsia"/>
        </w:rPr>
        <w:t>117 Queensland Council of Unions</w:t>
      </w:r>
    </w:p>
    <w:p w14:paraId="6CE7B3F5" w14:textId="77777777" w:rsidR="002A123F" w:rsidRDefault="002A123F" w:rsidP="002A123F">
      <w:pPr>
        <w:spacing w:before="120" w:after="120" w:line="360" w:lineRule="auto"/>
        <w:rPr>
          <w:rFonts w:eastAsiaTheme="minorEastAsia"/>
        </w:rPr>
      </w:pPr>
      <w:r w:rsidRPr="7612DB8E">
        <w:rPr>
          <w:rFonts w:eastAsiaTheme="minorEastAsia"/>
        </w:rPr>
        <w:t>118 Western Australian Council of Social Service Inc.</w:t>
      </w:r>
    </w:p>
    <w:p w14:paraId="0FEFB06C" w14:textId="77777777" w:rsidR="002A123F" w:rsidRPr="00C10812" w:rsidRDefault="002A123F" w:rsidP="002A123F">
      <w:pPr>
        <w:spacing w:before="120" w:after="120" w:line="360" w:lineRule="auto"/>
        <w:rPr>
          <w:rFonts w:eastAsiaTheme="minorEastAsia"/>
        </w:rPr>
      </w:pPr>
      <w:r w:rsidRPr="7612DB8E">
        <w:rPr>
          <w:rFonts w:eastAsiaTheme="minorEastAsia"/>
        </w:rPr>
        <w:t>119 UnionsWA</w:t>
      </w:r>
    </w:p>
    <w:p w14:paraId="794FE0CB" w14:textId="77777777" w:rsidR="002A123F" w:rsidRPr="00C10812" w:rsidRDefault="002A123F" w:rsidP="002A123F">
      <w:pPr>
        <w:spacing w:before="120" w:after="120" w:line="360" w:lineRule="auto"/>
        <w:rPr>
          <w:rFonts w:eastAsiaTheme="minorEastAsia"/>
        </w:rPr>
      </w:pPr>
      <w:r w:rsidRPr="7612DB8E">
        <w:rPr>
          <w:rFonts w:eastAsiaTheme="minorEastAsia"/>
        </w:rPr>
        <w:t>122 Australian Manufacturing Workers' Union</w:t>
      </w:r>
    </w:p>
    <w:p w14:paraId="086FC97B" w14:textId="77777777" w:rsidR="002A123F" w:rsidRPr="00C10812" w:rsidRDefault="002A123F" w:rsidP="002A123F">
      <w:pPr>
        <w:spacing w:before="120" w:after="120" w:line="360" w:lineRule="auto"/>
        <w:rPr>
          <w:rFonts w:eastAsiaTheme="minorEastAsia"/>
        </w:rPr>
      </w:pPr>
      <w:r w:rsidRPr="7612DB8E">
        <w:rPr>
          <w:rFonts w:eastAsiaTheme="minorEastAsia"/>
        </w:rPr>
        <w:t>125 The WorkPac Group</w:t>
      </w:r>
    </w:p>
    <w:p w14:paraId="43911F5E" w14:textId="77777777" w:rsidR="002A123F" w:rsidRPr="00C10812" w:rsidRDefault="002A123F" w:rsidP="002A123F">
      <w:pPr>
        <w:spacing w:before="120" w:after="120" w:line="360" w:lineRule="auto"/>
        <w:rPr>
          <w:rFonts w:eastAsiaTheme="minorEastAsia"/>
        </w:rPr>
      </w:pPr>
      <w:r w:rsidRPr="7612DB8E">
        <w:rPr>
          <w:rFonts w:eastAsiaTheme="minorEastAsia"/>
        </w:rPr>
        <w:lastRenderedPageBreak/>
        <w:t>179 National Union of Students</w:t>
      </w:r>
    </w:p>
    <w:p w14:paraId="316D2F04" w14:textId="77777777" w:rsidR="002A123F" w:rsidRPr="00C10812" w:rsidRDefault="002A123F" w:rsidP="002A123F">
      <w:pPr>
        <w:spacing w:before="120" w:after="120" w:line="360" w:lineRule="auto"/>
        <w:rPr>
          <w:rFonts w:eastAsiaTheme="minorEastAsia"/>
        </w:rPr>
      </w:pPr>
      <w:r w:rsidRPr="7612DB8E">
        <w:rPr>
          <w:rFonts w:eastAsiaTheme="minorEastAsia"/>
        </w:rPr>
        <w:t>184 Isaac Regional Council</w:t>
      </w:r>
    </w:p>
    <w:p w14:paraId="44B18C70" w14:textId="77777777" w:rsidR="002A123F" w:rsidRPr="00C10812" w:rsidRDefault="002A123F" w:rsidP="002A123F">
      <w:pPr>
        <w:spacing w:before="120" w:after="120" w:line="360" w:lineRule="auto"/>
        <w:rPr>
          <w:rFonts w:eastAsiaTheme="minorEastAsia"/>
        </w:rPr>
      </w:pPr>
      <w:r w:rsidRPr="7612DB8E">
        <w:rPr>
          <w:rFonts w:eastAsiaTheme="minorEastAsia"/>
        </w:rPr>
        <w:t>186 Hunter Workers</w:t>
      </w:r>
    </w:p>
    <w:p w14:paraId="6A657250" w14:textId="77777777" w:rsidR="002A123F" w:rsidRPr="00C10812" w:rsidRDefault="002A123F" w:rsidP="002A123F">
      <w:pPr>
        <w:spacing w:before="120" w:after="120" w:line="360" w:lineRule="auto"/>
        <w:rPr>
          <w:rFonts w:eastAsiaTheme="minorEastAsia"/>
        </w:rPr>
      </w:pPr>
      <w:r w:rsidRPr="7612DB8E">
        <w:rPr>
          <w:rFonts w:eastAsiaTheme="minorEastAsia"/>
        </w:rPr>
        <w:t>199 Australian Workers' Union</w:t>
      </w:r>
    </w:p>
    <w:p w14:paraId="50DF47CB" w14:textId="77777777" w:rsidR="002A123F" w:rsidRPr="00C10812" w:rsidRDefault="002A123F" w:rsidP="002A123F">
      <w:pPr>
        <w:spacing w:before="120" w:after="120" w:line="360" w:lineRule="auto"/>
        <w:rPr>
          <w:rFonts w:eastAsiaTheme="minorEastAsia"/>
        </w:rPr>
      </w:pPr>
      <w:r w:rsidRPr="7612DB8E">
        <w:rPr>
          <w:rFonts w:eastAsiaTheme="minorEastAsia"/>
        </w:rPr>
        <w:t>201 Australian Education Union Federal Office</w:t>
      </w:r>
    </w:p>
    <w:p w14:paraId="20D223B2" w14:textId="77777777" w:rsidR="002A123F" w:rsidRPr="00C10812" w:rsidRDefault="002A123F" w:rsidP="002A123F">
      <w:pPr>
        <w:spacing w:before="120" w:after="120" w:line="360" w:lineRule="auto"/>
        <w:rPr>
          <w:rFonts w:eastAsiaTheme="minorEastAsia"/>
        </w:rPr>
      </w:pPr>
      <w:r w:rsidRPr="7612DB8E">
        <w:rPr>
          <w:rFonts w:eastAsiaTheme="minorEastAsia"/>
        </w:rPr>
        <w:t>204 Finance Sector Union of Australia</w:t>
      </w:r>
    </w:p>
    <w:p w14:paraId="38B01B30" w14:textId="77777777" w:rsidR="002A123F" w:rsidRPr="00C10812" w:rsidRDefault="002A123F" w:rsidP="002A123F">
      <w:pPr>
        <w:spacing w:before="120" w:after="120" w:line="360" w:lineRule="auto"/>
        <w:rPr>
          <w:rFonts w:eastAsiaTheme="minorEastAsia"/>
        </w:rPr>
      </w:pPr>
      <w:r w:rsidRPr="7612DB8E">
        <w:rPr>
          <w:rFonts w:eastAsiaTheme="minorEastAsia"/>
        </w:rPr>
        <w:t>206 Unions Tasmania</w:t>
      </w:r>
    </w:p>
    <w:p w14:paraId="570FCAC4" w14:textId="77777777" w:rsidR="002A123F" w:rsidRPr="00C10812" w:rsidRDefault="002A123F" w:rsidP="002A123F">
      <w:pPr>
        <w:spacing w:before="120" w:after="120" w:line="360" w:lineRule="auto"/>
        <w:rPr>
          <w:rFonts w:eastAsiaTheme="minorEastAsia"/>
        </w:rPr>
      </w:pPr>
      <w:r w:rsidRPr="7612DB8E">
        <w:rPr>
          <w:rFonts w:eastAsiaTheme="minorEastAsia"/>
        </w:rPr>
        <w:t>209 Working Women's Centre SA</w:t>
      </w:r>
    </w:p>
    <w:p w14:paraId="13E2A23D" w14:textId="77777777" w:rsidR="002A123F" w:rsidRPr="00C10812" w:rsidRDefault="002A123F" w:rsidP="002A123F">
      <w:pPr>
        <w:spacing w:before="120" w:after="120" w:line="360" w:lineRule="auto"/>
        <w:rPr>
          <w:rFonts w:eastAsiaTheme="minorEastAsia"/>
        </w:rPr>
      </w:pPr>
      <w:r w:rsidRPr="7612DB8E">
        <w:rPr>
          <w:rFonts w:eastAsiaTheme="minorEastAsia"/>
        </w:rPr>
        <w:t>211 United Services Union</w:t>
      </w:r>
    </w:p>
    <w:p w14:paraId="7876BA40" w14:textId="77777777" w:rsidR="002A123F" w:rsidRPr="00C10812" w:rsidRDefault="002A123F" w:rsidP="002A123F">
      <w:pPr>
        <w:spacing w:before="120" w:after="120" w:line="360" w:lineRule="auto"/>
        <w:rPr>
          <w:rFonts w:eastAsiaTheme="minorEastAsia"/>
        </w:rPr>
      </w:pPr>
      <w:r w:rsidRPr="7612DB8E">
        <w:rPr>
          <w:rFonts w:eastAsiaTheme="minorEastAsia"/>
        </w:rPr>
        <w:t>219 Australian Community Industry Alliance</w:t>
      </w:r>
    </w:p>
    <w:p w14:paraId="7DD41D03" w14:textId="77777777" w:rsidR="002A123F" w:rsidRPr="00C10812" w:rsidRDefault="002A123F" w:rsidP="002A123F">
      <w:pPr>
        <w:spacing w:before="120" w:after="120" w:line="360" w:lineRule="auto"/>
        <w:rPr>
          <w:rFonts w:eastAsiaTheme="minorEastAsia"/>
        </w:rPr>
      </w:pPr>
      <w:r w:rsidRPr="7612DB8E">
        <w:rPr>
          <w:rFonts w:eastAsiaTheme="minorEastAsia"/>
        </w:rPr>
        <w:t>220 Hunter Jobs Alliance</w:t>
      </w:r>
    </w:p>
    <w:p w14:paraId="4D69EE5B" w14:textId="77777777" w:rsidR="002A123F" w:rsidRPr="00C10812" w:rsidRDefault="002A123F" w:rsidP="002A123F">
      <w:pPr>
        <w:spacing w:before="120" w:after="120" w:line="360" w:lineRule="auto"/>
        <w:rPr>
          <w:rFonts w:eastAsiaTheme="minorEastAsia"/>
          <w:b/>
          <w:bCs/>
          <w:u w:val="single"/>
        </w:rPr>
      </w:pPr>
      <w:r w:rsidRPr="7612DB8E">
        <w:rPr>
          <w:rFonts w:eastAsiaTheme="minorEastAsia"/>
          <w:b/>
          <w:bCs/>
          <w:u w:val="single"/>
        </w:rPr>
        <w:br w:type="page"/>
      </w:r>
    </w:p>
    <w:p w14:paraId="73E9F30B" w14:textId="77777777" w:rsidR="002A123F" w:rsidRPr="00C10812" w:rsidRDefault="002A123F" w:rsidP="002A123F">
      <w:pPr>
        <w:spacing w:before="120" w:after="240" w:line="360" w:lineRule="auto"/>
        <w:jc w:val="right"/>
        <w:rPr>
          <w:rFonts w:eastAsiaTheme="minorEastAsia"/>
          <w:b/>
          <w:bCs/>
          <w:u w:val="single"/>
        </w:rPr>
      </w:pPr>
      <w:r w:rsidRPr="7612DB8E">
        <w:rPr>
          <w:rFonts w:eastAsiaTheme="minorEastAsia"/>
          <w:b/>
          <w:bCs/>
          <w:u w:val="single"/>
        </w:rPr>
        <w:lastRenderedPageBreak/>
        <w:t>ATTACHMENT B</w:t>
      </w:r>
    </w:p>
    <w:p w14:paraId="711DF2F7" w14:textId="77777777" w:rsidR="002A123F" w:rsidRPr="00C10812" w:rsidRDefault="002A123F" w:rsidP="002A123F">
      <w:pPr>
        <w:pStyle w:val="Heading1"/>
        <w:spacing w:before="120" w:after="120" w:line="360" w:lineRule="auto"/>
        <w:rPr>
          <w:rFonts w:asciiTheme="minorHAnsi" w:eastAsiaTheme="minorEastAsia" w:hAnsiTheme="minorHAnsi" w:cstheme="minorBidi"/>
        </w:rPr>
      </w:pPr>
      <w:bookmarkStart w:id="42" w:name="_Toc98498313"/>
      <w:bookmarkStart w:id="43" w:name="_Toc143252114"/>
      <w:r w:rsidRPr="7612DB8E">
        <w:rPr>
          <w:rFonts w:asciiTheme="minorHAnsi" w:eastAsiaTheme="minorEastAsia" w:hAnsiTheme="minorHAnsi" w:cstheme="minorBidi"/>
        </w:rPr>
        <w:t>Recommendations from the Job Security Inquiry related to casuals and casual conversion</w:t>
      </w:r>
      <w:bookmarkEnd w:id="42"/>
      <w:bookmarkEnd w:id="43"/>
    </w:p>
    <w:tbl>
      <w:tblPr>
        <w:tblStyle w:val="PlainTable2"/>
        <w:tblpPr w:leftFromText="180" w:rightFromText="180" w:vertAnchor="text" w:tblpY="1"/>
        <w:tblW w:w="5000" w:type="pct"/>
        <w:tblLook w:val="04A0" w:firstRow="1" w:lastRow="0" w:firstColumn="1" w:lastColumn="0" w:noHBand="0" w:noVBand="1"/>
      </w:tblPr>
      <w:tblGrid>
        <w:gridCol w:w="1027"/>
        <w:gridCol w:w="7999"/>
      </w:tblGrid>
      <w:tr w:rsidR="002A123F" w:rsidRPr="00C10812" w14:paraId="61AD4A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4FEE53E" w14:textId="77777777" w:rsidR="002A123F" w:rsidRPr="00C10812" w:rsidRDefault="002A123F">
            <w:pPr>
              <w:spacing w:before="120" w:after="120" w:line="360" w:lineRule="auto"/>
              <w:rPr>
                <w:rFonts w:eastAsiaTheme="minorEastAsia"/>
              </w:rPr>
            </w:pPr>
            <w:r w:rsidRPr="7612DB8E">
              <w:rPr>
                <w:rFonts w:eastAsiaTheme="minorEastAsia"/>
                <w:b w:val="0"/>
                <w:bCs w:val="0"/>
                <w:sz w:val="24"/>
                <w:szCs w:val="24"/>
              </w:rPr>
              <w:t>First interim report: on-demand platform work in Australia (24 June 2021)</w:t>
            </w:r>
          </w:p>
        </w:tc>
      </w:tr>
      <w:tr w:rsidR="002A123F" w:rsidRPr="00C10812" w14:paraId="05FA71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5012B514"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10</w:t>
            </w:r>
          </w:p>
        </w:tc>
        <w:tc>
          <w:tcPr>
            <w:tcW w:w="4431" w:type="pct"/>
            <w:hideMark/>
          </w:tcPr>
          <w:p w14:paraId="78B9ABA2" w14:textId="77777777" w:rsidR="002A123F" w:rsidRPr="00C10812" w:rsidRDefault="002A123F">
            <w:pPr>
              <w:pStyle w:val="NoSpacing"/>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222222"/>
                <w:sz w:val="20"/>
                <w:szCs w:val="20"/>
                <w:shd w:val="clear" w:color="auto" w:fill="FFFFFF"/>
              </w:rPr>
            </w:pPr>
            <w:r w:rsidRPr="7612DB8E">
              <w:rPr>
                <w:rFonts w:eastAsiaTheme="minorEastAsia"/>
                <w:color w:val="222222"/>
                <w:sz w:val="20"/>
                <w:szCs w:val="20"/>
                <w:shd w:val="clear" w:color="auto" w:fill="FFFFFF"/>
              </w:rPr>
              <w:t>The committee recommends that the Australian Government empowers the Fair Work Commission (FWC) to provide pathways to permanency via arbitrations for casual conversion. Any disputes with regards to work status, contractual arrangements, or casual conversion should be able to be arbitrated via a low cost, accessible process, whether via the FWC or another body, to ensure workers are able to practically enforce their rights, and both workers and employers can have matters adjudicated</w:t>
            </w:r>
            <w:r w:rsidRPr="7612DB8E">
              <w:rPr>
                <w:rFonts w:eastAsiaTheme="minorEastAsia"/>
                <w:color w:val="222222"/>
                <w:sz w:val="20"/>
                <w:szCs w:val="20"/>
                <w:shd w:val="clear" w:color="auto" w:fill="FFFFFF"/>
              </w:rPr>
              <w:noBreakHyphen/>
              <w:t xml:space="preserve"> quickly.</w:t>
            </w:r>
          </w:p>
        </w:tc>
      </w:tr>
      <w:tr w:rsidR="002A123F" w:rsidRPr="00C10812" w14:paraId="7E34A592" w14:textId="77777777">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73D6457C" w14:textId="77777777" w:rsidR="002A123F" w:rsidRPr="00C10812" w:rsidRDefault="002A123F">
            <w:pPr>
              <w:spacing w:before="120" w:after="120" w:line="360" w:lineRule="auto"/>
              <w:rPr>
                <w:rFonts w:eastAsiaTheme="minorEastAsia"/>
                <w:b w:val="0"/>
                <w:bCs w:val="0"/>
                <w:sz w:val="24"/>
                <w:szCs w:val="24"/>
              </w:rPr>
            </w:pPr>
            <w:r w:rsidRPr="7612DB8E">
              <w:rPr>
                <w:rFonts w:eastAsiaTheme="minorEastAsia"/>
                <w:b w:val="0"/>
                <w:bCs w:val="0"/>
                <w:sz w:val="24"/>
                <w:szCs w:val="24"/>
              </w:rPr>
              <w:t>Second interim report: insecurity in publicly-funded jobs (19 October 2021)</w:t>
            </w:r>
          </w:p>
        </w:tc>
      </w:tr>
      <w:tr w:rsidR="002A123F" w:rsidRPr="00C10812" w14:paraId="796B40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44C0D83C"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23</w:t>
            </w:r>
          </w:p>
        </w:tc>
        <w:tc>
          <w:tcPr>
            <w:tcW w:w="4431" w:type="pct"/>
            <w:hideMark/>
          </w:tcPr>
          <w:p w14:paraId="35345BED" w14:textId="77777777" w:rsidR="002A123F" w:rsidRPr="00C10812" w:rsidRDefault="002A123F">
            <w:pPr>
              <w:pStyle w:val="Default"/>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7612DB8E">
              <w:rPr>
                <w:rFonts w:asciiTheme="minorHAnsi" w:eastAsiaTheme="minorEastAsia" w:hAnsiTheme="minorHAnsi" w:cstheme="minorBidi"/>
                <w:sz w:val="20"/>
                <w:szCs w:val="20"/>
              </w:rPr>
              <w:t xml:space="preserve">The committee recommends that the Australian Government Department of Education, Skills and Employment works closely with universities, workers, experts, the National Tertiary Education Union, and relevant sector bodies, to design a system of casual and fixed-term conversion that would be appropriate for the higher education sector. </w:t>
            </w:r>
          </w:p>
          <w:p w14:paraId="34B75CAE" w14:textId="77777777" w:rsidR="002A123F" w:rsidRPr="00C10812" w:rsidRDefault="002A123F">
            <w:pPr>
              <w:pStyle w:val="NoSpacing"/>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222222"/>
                <w:sz w:val="20"/>
                <w:szCs w:val="20"/>
              </w:rPr>
            </w:pPr>
            <w:r w:rsidRPr="7612DB8E">
              <w:rPr>
                <w:rFonts w:eastAsiaTheme="minorEastAsia"/>
                <w:sz w:val="20"/>
                <w:szCs w:val="20"/>
              </w:rPr>
              <w:t>This system should include sector-appropriate definitions of casual and fixed-term work, and limit the use of casual and fixed-term employment to genuinely non-ongoing work.</w:t>
            </w:r>
          </w:p>
        </w:tc>
      </w:tr>
      <w:tr w:rsidR="002A123F" w:rsidRPr="00C10812" w14:paraId="0F5378BB" w14:textId="77777777">
        <w:tc>
          <w:tcPr>
            <w:cnfStyle w:val="001000000000" w:firstRow="0" w:lastRow="0" w:firstColumn="1" w:lastColumn="0" w:oddVBand="0" w:evenVBand="0" w:oddHBand="0" w:evenHBand="0" w:firstRowFirstColumn="0" w:firstRowLastColumn="0" w:lastRowFirstColumn="0" w:lastRowLastColumn="0"/>
            <w:tcW w:w="569" w:type="pct"/>
            <w:hideMark/>
          </w:tcPr>
          <w:p w14:paraId="22A6830A"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24</w:t>
            </w:r>
          </w:p>
        </w:tc>
        <w:tc>
          <w:tcPr>
            <w:tcW w:w="4431" w:type="pct"/>
            <w:hideMark/>
          </w:tcPr>
          <w:p w14:paraId="68FDE049" w14:textId="77777777" w:rsidR="002A123F" w:rsidRPr="00C10812" w:rsidRDefault="002A123F">
            <w:pPr>
              <w:pStyle w:val="Default"/>
              <w:spacing w:before="120" w:after="120" w:line="360" w:lineRule="auto"/>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7612DB8E">
              <w:rPr>
                <w:rFonts w:asciiTheme="minorHAnsi" w:eastAsiaTheme="minorEastAsia" w:hAnsiTheme="minorHAnsi" w:cstheme="minorBidi"/>
                <w:sz w:val="20"/>
                <w:szCs w:val="20"/>
              </w:rPr>
              <w:t xml:space="preserve">The committee recommends that the Australian Government requires all universities to provide a more detailed report of their staffing composition to the Department of Education, Skills and Employment, including: </w:t>
            </w:r>
          </w:p>
          <w:p w14:paraId="6E923F90" w14:textId="77777777" w:rsidR="002A123F" w:rsidRPr="00C10812"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7612DB8E">
              <w:rPr>
                <w:rFonts w:asciiTheme="minorHAnsi" w:eastAsiaTheme="minorEastAsia" w:hAnsiTheme="minorHAnsi" w:cstheme="minorBidi"/>
                <w:sz w:val="20"/>
                <w:szCs w:val="20"/>
              </w:rPr>
              <w:t xml:space="preserve">annualised data on permanent, fixed-term and casual staff in terms of both headcounts and full-time equivalents; </w:t>
            </w:r>
          </w:p>
          <w:p w14:paraId="7B9D587E" w14:textId="77777777" w:rsidR="002A123F" w:rsidRPr="00C10812"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7612DB8E">
              <w:rPr>
                <w:rFonts w:asciiTheme="minorHAnsi" w:eastAsiaTheme="minorEastAsia" w:hAnsiTheme="minorHAnsi" w:cstheme="minorBidi"/>
                <w:sz w:val="20"/>
                <w:szCs w:val="20"/>
              </w:rPr>
              <w:t xml:space="preserve">annualised data on the use of labour hire and other external contractors; and </w:t>
            </w:r>
          </w:p>
          <w:p w14:paraId="5E58CA3D" w14:textId="77777777" w:rsidR="002A123F" w:rsidRPr="00C10812"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7612DB8E">
              <w:rPr>
                <w:rFonts w:asciiTheme="minorHAnsi" w:eastAsiaTheme="minorEastAsia" w:hAnsiTheme="minorHAnsi" w:cstheme="minorBidi"/>
                <w:sz w:val="20"/>
                <w:szCs w:val="20"/>
              </w:rPr>
              <w:t xml:space="preserve">annualised detailed data around gender, cultural diversity, age, earnings, length of service and retention rates for casual staff, and compared with permanent staff. </w:t>
            </w:r>
          </w:p>
        </w:tc>
      </w:tr>
      <w:tr w:rsidR="002A123F" w:rsidRPr="00C10812" w14:paraId="3A5B4E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104B46FF"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25</w:t>
            </w:r>
          </w:p>
        </w:tc>
        <w:tc>
          <w:tcPr>
            <w:tcW w:w="4431" w:type="pct"/>
          </w:tcPr>
          <w:p w14:paraId="32EF6CCB" w14:textId="77777777" w:rsidR="002A123F" w:rsidRPr="00C10812" w:rsidRDefault="002A123F">
            <w:pPr>
              <w:pStyle w:val="Default"/>
              <w:spacing w:before="120" w:after="120" w:line="360" w:lineRule="auto"/>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sz w:val="20"/>
                <w:szCs w:val="20"/>
              </w:rPr>
            </w:pPr>
            <w:r w:rsidRPr="7612DB8E">
              <w:rPr>
                <w:rFonts w:asciiTheme="minorHAnsi" w:eastAsiaTheme="minorEastAsia" w:hAnsiTheme="minorHAnsi" w:cstheme="minorBidi"/>
                <w:sz w:val="20"/>
                <w:szCs w:val="20"/>
              </w:rPr>
              <w:t xml:space="preserve">The committee recommends that the Australian Government requires, as a condition of receiving public funding, universities to set publicly-available targets for increasing permanent employment, and reducing casualisation, and report their progress against these targets on an annual basis. The </w:t>
            </w:r>
            <w:r w:rsidRPr="7612DB8E">
              <w:rPr>
                <w:rFonts w:asciiTheme="minorHAnsi" w:eastAsiaTheme="minorEastAsia" w:hAnsiTheme="minorHAnsi" w:cstheme="minorBidi"/>
                <w:color w:val="auto"/>
                <w:sz w:val="20"/>
                <w:szCs w:val="20"/>
              </w:rPr>
              <w:t xml:space="preserve">targets should be established in consultation with industry experts, workers and the National Tertiary Education Union (NTEU). </w:t>
            </w:r>
          </w:p>
          <w:p w14:paraId="262D7E84" w14:textId="77777777" w:rsidR="002A123F" w:rsidRPr="00C10812" w:rsidRDefault="002A123F">
            <w:pPr>
              <w:pStyle w:val="NoSpacing"/>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222222"/>
                <w:sz w:val="20"/>
                <w:szCs w:val="20"/>
              </w:rPr>
            </w:pPr>
            <w:r w:rsidRPr="7612DB8E">
              <w:rPr>
                <w:rFonts w:eastAsiaTheme="minorEastAsia"/>
                <w:sz w:val="20"/>
                <w:szCs w:val="20"/>
              </w:rPr>
              <w:lastRenderedPageBreak/>
              <w:t>The Department of Education, Skills and Employment should review the impact of this measure after three years, and—if it has not been effective in reducing the level of casualisation—the Australian Government should then work with universities and the NTEU to impose meaningful but achievable funding-linked targets.</w:t>
            </w:r>
          </w:p>
        </w:tc>
      </w:tr>
      <w:tr w:rsidR="002A123F" w:rsidRPr="00C10812" w14:paraId="189BF608" w14:textId="77777777">
        <w:tc>
          <w:tcPr>
            <w:cnfStyle w:val="001000000000" w:firstRow="0" w:lastRow="0" w:firstColumn="1" w:lastColumn="0" w:oddVBand="0" w:evenVBand="0" w:oddHBand="0" w:evenHBand="0" w:firstRowFirstColumn="0" w:firstRowLastColumn="0" w:lastRowFirstColumn="0" w:lastRowLastColumn="0"/>
            <w:tcW w:w="569" w:type="pct"/>
            <w:hideMark/>
          </w:tcPr>
          <w:p w14:paraId="5BDE1421"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lastRenderedPageBreak/>
              <w:t>Rec 27</w:t>
            </w:r>
          </w:p>
        </w:tc>
        <w:tc>
          <w:tcPr>
            <w:tcW w:w="4431" w:type="pct"/>
            <w:hideMark/>
          </w:tcPr>
          <w:p w14:paraId="71B71B37" w14:textId="77777777" w:rsidR="002A123F" w:rsidRPr="00C10812" w:rsidRDefault="002A123F">
            <w:pPr>
              <w:pStyle w:val="NoSpacing"/>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222222"/>
                <w:sz w:val="20"/>
                <w:szCs w:val="20"/>
              </w:rPr>
            </w:pPr>
            <w:r w:rsidRPr="7612DB8E">
              <w:rPr>
                <w:rFonts w:eastAsiaTheme="minorEastAsia"/>
                <w:sz w:val="20"/>
                <w:szCs w:val="20"/>
              </w:rPr>
              <w:t>The committee recommends that the Australian Government offers permanent employment opportunities to all long-term casual employees currently performing roles which relate to ongoing stable work.</w:t>
            </w:r>
          </w:p>
        </w:tc>
      </w:tr>
      <w:tr w:rsidR="002A123F" w:rsidRPr="00C10812" w14:paraId="2EB33A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323A5DDC"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28</w:t>
            </w:r>
          </w:p>
        </w:tc>
        <w:tc>
          <w:tcPr>
            <w:tcW w:w="4431" w:type="pct"/>
            <w:hideMark/>
          </w:tcPr>
          <w:p w14:paraId="042F894E" w14:textId="77777777" w:rsidR="002A123F" w:rsidRPr="00C10812" w:rsidRDefault="002A123F">
            <w:pPr>
              <w:pStyle w:val="NoSpacing"/>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222222"/>
                <w:sz w:val="20"/>
                <w:szCs w:val="20"/>
              </w:rPr>
            </w:pPr>
            <w:r w:rsidRPr="7612DB8E">
              <w:rPr>
                <w:rFonts w:eastAsiaTheme="minorEastAsia"/>
                <w:sz w:val="20"/>
                <w:szCs w:val="20"/>
              </w:rPr>
              <w:t>The committee recommends that the Australian Government eliminates the utilisation of long-term casual employment across the Australian Public Service for roles which are not irregular or intermittent in nature, unless genuinely preferred by the employee.</w:t>
            </w:r>
          </w:p>
        </w:tc>
      </w:tr>
      <w:tr w:rsidR="002A123F" w:rsidRPr="00C10812" w14:paraId="4E479A2A" w14:textId="77777777">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2CDDA675" w14:textId="77777777" w:rsidR="002A123F" w:rsidRPr="00C10812" w:rsidRDefault="002A123F">
            <w:pPr>
              <w:pStyle w:val="NoSpacing"/>
              <w:tabs>
                <w:tab w:val="left" w:pos="1410"/>
              </w:tabs>
              <w:spacing w:before="120" w:after="120" w:line="360" w:lineRule="auto"/>
              <w:rPr>
                <w:rFonts w:eastAsiaTheme="minorEastAsia"/>
                <w:sz w:val="20"/>
                <w:szCs w:val="20"/>
                <w:lang w:eastAsia="en-AU"/>
              </w:rPr>
            </w:pPr>
            <w:r w:rsidRPr="7612DB8E">
              <w:rPr>
                <w:rFonts w:eastAsiaTheme="minorEastAsia"/>
                <w:b w:val="0"/>
                <w:bCs w:val="0"/>
                <w:sz w:val="24"/>
                <w:szCs w:val="24"/>
              </w:rPr>
              <w:t>Fourth interim report: the job insecurity report (11 February 2022)</w:t>
            </w:r>
          </w:p>
        </w:tc>
      </w:tr>
      <w:tr w:rsidR="002A123F" w:rsidRPr="00C10812" w14:paraId="07A3B14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2BF217EC"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6</w:t>
            </w:r>
          </w:p>
        </w:tc>
        <w:tc>
          <w:tcPr>
            <w:tcW w:w="4431" w:type="pct"/>
            <w:hideMark/>
          </w:tcPr>
          <w:p w14:paraId="018C8A56" w14:textId="77777777" w:rsidR="002A123F" w:rsidRPr="00C10812" w:rsidRDefault="002A123F">
            <w:pPr>
              <w:pStyle w:val="NoSpacing"/>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7612DB8E">
              <w:rPr>
                <w:rFonts w:eastAsiaTheme="minorEastAsia"/>
                <w:sz w:val="20"/>
                <w:szCs w:val="20"/>
                <w:lang w:eastAsia="en-AU"/>
              </w:rPr>
              <w:t>The committee recommends that the Australian Government urgently assesses the performance of the </w:t>
            </w:r>
            <w:r w:rsidRPr="7612DB8E">
              <w:rPr>
                <w:rFonts w:eastAsiaTheme="minorEastAsia"/>
                <w:i/>
                <w:iCs/>
                <w:sz w:val="20"/>
                <w:szCs w:val="20"/>
                <w:lang w:eastAsia="en-AU"/>
              </w:rPr>
              <w:t>Fair Work Amendment (Supporting Australia's Jobs and Economic Recovery) Act 2021</w:t>
            </w:r>
            <w:r>
              <w:rPr>
                <w:rFonts w:eastAsiaTheme="minorEastAsia"/>
                <w:i/>
                <w:iCs/>
                <w:sz w:val="20"/>
                <w:szCs w:val="20"/>
                <w:lang w:eastAsia="en-AU"/>
              </w:rPr>
              <w:t xml:space="preserve"> </w:t>
            </w:r>
            <w:r>
              <w:rPr>
                <w:rFonts w:eastAsiaTheme="minorEastAsia"/>
                <w:sz w:val="20"/>
                <w:szCs w:val="20"/>
                <w:lang w:eastAsia="en-AU"/>
              </w:rPr>
              <w:t>(Cth)</w:t>
            </w:r>
            <w:r w:rsidRPr="7612DB8E">
              <w:rPr>
                <w:rFonts w:eastAsiaTheme="minorEastAsia"/>
                <w:sz w:val="20"/>
                <w:szCs w:val="20"/>
                <w:lang w:eastAsia="en-AU"/>
              </w:rPr>
              <w:t>. As the data collected through this inquiry suggests, the amendment has not had a positive impact on job security, and it should be repealed and replaced with a new statutory definition of casual employment that reflects the true nature of the employment relationship―rather than a definition which relies upon the employer's description of the relationship in an employment contract―and a new casual conversion provision.</w:t>
            </w:r>
          </w:p>
        </w:tc>
      </w:tr>
      <w:tr w:rsidR="002A123F" w:rsidRPr="00C10812" w14:paraId="69DC1D50" w14:textId="77777777">
        <w:tc>
          <w:tcPr>
            <w:cnfStyle w:val="001000000000" w:firstRow="0" w:lastRow="0" w:firstColumn="1" w:lastColumn="0" w:oddVBand="0" w:evenVBand="0" w:oddHBand="0" w:evenHBand="0" w:firstRowFirstColumn="0" w:firstRowLastColumn="0" w:lastRowFirstColumn="0" w:lastRowLastColumn="0"/>
            <w:tcW w:w="569" w:type="pct"/>
            <w:hideMark/>
          </w:tcPr>
          <w:p w14:paraId="2DD5A952"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8</w:t>
            </w:r>
          </w:p>
        </w:tc>
        <w:tc>
          <w:tcPr>
            <w:tcW w:w="4431" w:type="pct"/>
            <w:hideMark/>
          </w:tcPr>
          <w:p w14:paraId="78CD85AA" w14:textId="77777777" w:rsidR="002A123F" w:rsidRPr="002F1CE9" w:rsidRDefault="002A123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en-AU"/>
              </w:rPr>
            </w:pPr>
            <w:r w:rsidRPr="002F1CE9">
              <w:rPr>
                <w:rFonts w:eastAsiaTheme="minorEastAsia"/>
                <w:sz w:val="20"/>
                <w:szCs w:val="20"/>
                <w:lang w:eastAsia="en-AU"/>
              </w:rPr>
              <w:t>The committee recommends that the Australian Government provides encouragement and incentives for businesses to hire permanent staff instead of casuals through investigating the use of:</w:t>
            </w:r>
          </w:p>
          <w:p w14:paraId="7F8DCF44"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education campaigns around the benefits of ongoing employment for businesses and employers;</w:t>
            </w:r>
          </w:p>
          <w:p w14:paraId="7E5559B6"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training and employment subsidies with secure, ongoing employment requirements attached to the funding;</w:t>
            </w:r>
          </w:p>
          <w:p w14:paraId="2B5F9E9E"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increasing reporting requirements for publicly-listed companies in relation to work status, pay and conditions; and</w:t>
            </w:r>
          </w:p>
          <w:p w14:paraId="0E54E4D9" w14:textId="77777777" w:rsidR="002A123F" w:rsidRPr="00C10812"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eastAsiaTheme="minorEastAsia"/>
                <w:lang w:eastAsia="en-AU"/>
              </w:rPr>
            </w:pPr>
            <w:r w:rsidRPr="002F1CE9">
              <w:rPr>
                <w:rFonts w:asciiTheme="minorHAnsi" w:eastAsiaTheme="minorEastAsia" w:hAnsiTheme="minorHAnsi" w:cstheme="minorBidi"/>
                <w:sz w:val="20"/>
                <w:szCs w:val="20"/>
              </w:rPr>
              <w:t>introducing a procurement framework to prioritise firms that favour a permanent, directly engaged workforce.</w:t>
            </w:r>
          </w:p>
        </w:tc>
      </w:tr>
      <w:tr w:rsidR="002A123F" w:rsidRPr="00C10812" w14:paraId="16DF4F2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3C5D8704"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9</w:t>
            </w:r>
          </w:p>
        </w:tc>
        <w:tc>
          <w:tcPr>
            <w:tcW w:w="4431" w:type="pct"/>
            <w:hideMark/>
          </w:tcPr>
          <w:p w14:paraId="6B116F14" w14:textId="77777777" w:rsidR="002A123F" w:rsidRPr="002F1CE9" w:rsidRDefault="002A123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en-AU"/>
              </w:rPr>
            </w:pPr>
            <w:r w:rsidRPr="002F1CE9">
              <w:rPr>
                <w:rFonts w:eastAsiaTheme="minorEastAsia"/>
                <w:sz w:val="20"/>
                <w:szCs w:val="20"/>
                <w:lang w:eastAsia="en-AU"/>
              </w:rPr>
              <w:t xml:space="preserve">The committee recommends that the Australian Government provides increased resources for the Fair Work Ombudsman, unions and employer associations to provide tripartite support and education to small businesses about their regulatory obligations―and their employees about </w:t>
            </w:r>
            <w:r w:rsidRPr="002F1CE9">
              <w:rPr>
                <w:rFonts w:eastAsiaTheme="minorEastAsia"/>
                <w:sz w:val="20"/>
                <w:szCs w:val="20"/>
                <w:lang w:eastAsia="en-AU"/>
              </w:rPr>
              <w:lastRenderedPageBreak/>
              <w:t>their industrial rights―in order to increase the proportion of permanent employment in the small business sector.</w:t>
            </w:r>
          </w:p>
        </w:tc>
      </w:tr>
      <w:tr w:rsidR="002A123F" w:rsidRPr="00C10812" w14:paraId="0D864D18" w14:textId="77777777">
        <w:tc>
          <w:tcPr>
            <w:cnfStyle w:val="001000000000" w:firstRow="0" w:lastRow="0" w:firstColumn="1" w:lastColumn="0" w:oddVBand="0" w:evenVBand="0" w:oddHBand="0" w:evenHBand="0" w:firstRowFirstColumn="0" w:firstRowLastColumn="0" w:lastRowFirstColumn="0" w:lastRowLastColumn="0"/>
            <w:tcW w:w="569" w:type="pct"/>
            <w:hideMark/>
          </w:tcPr>
          <w:p w14:paraId="0FED1D09"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lastRenderedPageBreak/>
              <w:t>Rec 15</w:t>
            </w:r>
          </w:p>
        </w:tc>
        <w:tc>
          <w:tcPr>
            <w:tcW w:w="4431" w:type="pct"/>
            <w:hideMark/>
          </w:tcPr>
          <w:p w14:paraId="167F91C7" w14:textId="77777777" w:rsidR="002A123F" w:rsidRPr="002F1CE9" w:rsidRDefault="002A123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en-AU"/>
              </w:rPr>
            </w:pPr>
            <w:r w:rsidRPr="002F1CE9">
              <w:rPr>
                <w:rFonts w:eastAsiaTheme="minorEastAsia"/>
                <w:sz w:val="20"/>
                <w:szCs w:val="20"/>
                <w:lang w:eastAsia="en-AU"/>
              </w:rPr>
              <w:t>The committee recommends that the Senate give consideration to the referral of an inquiry to the Community Affairs References Committee, examining:</w:t>
            </w:r>
          </w:p>
          <w:p w14:paraId="370838EA" w14:textId="77777777" w:rsidR="002A123F" w:rsidRPr="002F1CE9" w:rsidRDefault="002A123F">
            <w:pPr>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lang w:eastAsia="en-AU"/>
              </w:rPr>
            </w:pPr>
            <w:r w:rsidRPr="002F1CE9">
              <w:rPr>
                <w:rFonts w:eastAsiaTheme="minorEastAsia"/>
                <w:sz w:val="20"/>
                <w:szCs w:val="20"/>
                <w:lang w:eastAsia="en-AU"/>
              </w:rPr>
              <w:t>The extent and impact of on</w:t>
            </w:r>
            <w:r>
              <w:rPr>
                <w:rFonts w:eastAsiaTheme="minorEastAsia"/>
                <w:sz w:val="20"/>
                <w:szCs w:val="20"/>
                <w:lang w:eastAsia="en-AU"/>
              </w:rPr>
              <w:t xml:space="preserve"> </w:t>
            </w:r>
            <w:r w:rsidRPr="002F1CE9">
              <w:rPr>
                <w:rFonts w:eastAsiaTheme="minorEastAsia"/>
                <w:sz w:val="20"/>
                <w:szCs w:val="20"/>
                <w:lang w:eastAsia="en-AU"/>
              </w:rPr>
              <w:t>demand platform employment, increasing casualisation, use of labour hire/agency work, and contract labour in aged care, disability care, social services and health care more broadly, with specific regard to:</w:t>
            </w:r>
          </w:p>
          <w:p w14:paraId="517C36A2"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impacts of on-demand platform employment models on care workers' experiences of work and sense of job satisfaction;</w:t>
            </w:r>
          </w:p>
          <w:p w14:paraId="2548C596"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pay and conditions for workers engaged through platforms, labour hire and agency roles, and casual staff, compared with permanent staff;</w:t>
            </w:r>
          </w:p>
          <w:p w14:paraId="73D0D212"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training and career progression for on-demand platform workers and labour hire/agency workers;</w:t>
            </w:r>
          </w:p>
          <w:p w14:paraId="2D1800CA"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impacts of work status and worker experiences on retention and motivation to stay in the sector;</w:t>
            </w:r>
          </w:p>
          <w:p w14:paraId="0CE30FCA"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the interactions of gender and migration/visa status with work status in the care sectors;</w:t>
            </w:r>
          </w:p>
          <w:p w14:paraId="7DE17A04"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any evidence regarding the impacts of different employment models on pay rates and conditions across the sectors more broadly; and</w:t>
            </w:r>
          </w:p>
          <w:p w14:paraId="4E12F027" w14:textId="77777777" w:rsidR="002A123F" w:rsidRPr="002F1CE9" w:rsidRDefault="002A123F" w:rsidP="001E2B74">
            <w:pPr>
              <w:pStyle w:val="Default"/>
              <w:numPr>
                <w:ilvl w:val="0"/>
                <w:numId w:val="6"/>
              </w:numPr>
              <w:spacing w:before="120" w:after="120" w:line="360" w:lineRule="auto"/>
              <w:ind w:left="459"/>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rPr>
            </w:pPr>
            <w:r w:rsidRPr="002F1CE9">
              <w:rPr>
                <w:rFonts w:asciiTheme="minorHAnsi" w:eastAsiaTheme="minorEastAsia" w:hAnsiTheme="minorHAnsi" w:cstheme="minorBidi"/>
                <w:sz w:val="20"/>
                <w:szCs w:val="20"/>
              </w:rPr>
              <w:t>any related matters.</w:t>
            </w:r>
          </w:p>
          <w:p w14:paraId="4793D605" w14:textId="77777777" w:rsidR="002A123F" w:rsidRPr="002F1CE9" w:rsidRDefault="002A123F">
            <w:pPr>
              <w:pStyle w:val="NoSpacing"/>
              <w:spacing w:before="120" w:after="120" w:line="360" w:lineRule="auto"/>
              <w:cnfStyle w:val="000000000000" w:firstRow="0" w:lastRow="0" w:firstColumn="0" w:lastColumn="0" w:oddVBand="0" w:evenVBand="0" w:oddHBand="0" w:evenHBand="0" w:firstRowFirstColumn="0" w:firstRowLastColumn="0" w:lastRowFirstColumn="0" w:lastRowLastColumn="0"/>
              <w:rPr>
                <w:rFonts w:eastAsiaTheme="minorEastAsia"/>
                <w:sz w:val="20"/>
                <w:szCs w:val="20"/>
              </w:rPr>
            </w:pPr>
            <w:r w:rsidRPr="002F1CE9">
              <w:rPr>
                <w:rFonts w:eastAsiaTheme="minorEastAsia"/>
                <w:sz w:val="20"/>
                <w:szCs w:val="20"/>
                <w:lang w:eastAsia="en-AU"/>
              </w:rPr>
              <w:t>If such an inquiry were referred, that the committee or any subcommittee have power to consider and make use of the evidence and records of the former Select Committee on Job Security appointed during the 46th Parliament.</w:t>
            </w:r>
          </w:p>
        </w:tc>
      </w:tr>
      <w:tr w:rsidR="002A123F" w:rsidRPr="00C10812" w14:paraId="02E655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9" w:type="pct"/>
            <w:hideMark/>
          </w:tcPr>
          <w:p w14:paraId="74484BEF" w14:textId="77777777" w:rsidR="002A123F" w:rsidRPr="00C10812" w:rsidRDefault="002A123F">
            <w:pPr>
              <w:spacing w:before="120" w:after="120" w:line="360" w:lineRule="auto"/>
              <w:rPr>
                <w:rFonts w:eastAsiaTheme="minorEastAsia"/>
                <w:b w:val="0"/>
                <w:bCs w:val="0"/>
              </w:rPr>
            </w:pPr>
            <w:r w:rsidRPr="7612DB8E">
              <w:rPr>
                <w:rFonts w:eastAsiaTheme="minorEastAsia"/>
                <w:b w:val="0"/>
                <w:bCs w:val="0"/>
              </w:rPr>
              <w:t>Rec 20</w:t>
            </w:r>
          </w:p>
        </w:tc>
        <w:tc>
          <w:tcPr>
            <w:tcW w:w="4431" w:type="pct"/>
            <w:hideMark/>
          </w:tcPr>
          <w:p w14:paraId="14961533" w14:textId="77777777" w:rsidR="002A123F" w:rsidRPr="002F1CE9" w:rsidRDefault="002A123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en-AU"/>
              </w:rPr>
            </w:pPr>
            <w:r w:rsidRPr="002F1CE9">
              <w:rPr>
                <w:rFonts w:eastAsiaTheme="minorEastAsia"/>
                <w:sz w:val="20"/>
                <w:szCs w:val="20"/>
                <w:lang w:eastAsia="en-AU"/>
              </w:rPr>
              <w:t>The committee recommends that the Senate give consideration to the referral of an inquiry to the Education and Employment References Committee, examining:</w:t>
            </w:r>
          </w:p>
          <w:p w14:paraId="5CB8054A" w14:textId="77777777" w:rsidR="002A123F" w:rsidRPr="002F1CE9" w:rsidRDefault="002A123F">
            <w:pPr>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lang w:eastAsia="en-AU"/>
              </w:rPr>
            </w:pPr>
            <w:r w:rsidRPr="002F1CE9">
              <w:rPr>
                <w:rFonts w:eastAsiaTheme="minorEastAsia"/>
                <w:sz w:val="20"/>
                <w:szCs w:val="20"/>
                <w:lang w:eastAsia="en-AU"/>
              </w:rPr>
              <w:t>The extent, growth and impact of insecure work in Australia, with specific regard to:</w:t>
            </w:r>
          </w:p>
          <w:p w14:paraId="1AAFD7D4"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definitions and measures of insecure and precarious work, and the need to develop national measures, and a national data set, to understand changes over time;</w:t>
            </w:r>
          </w:p>
          <w:p w14:paraId="66F7A1BA"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the growth in insecure work since the 1970s and the impacts of government policies on this growth;</w:t>
            </w:r>
          </w:p>
          <w:p w14:paraId="450441E0"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the impacts of the pandemic on the growth of insecure and precarious jobs, including those in the on-demand platform sector;</w:t>
            </w:r>
          </w:p>
          <w:p w14:paraId="4F5FF807"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job insecurity among vulnerable workers, including migrants and temporary residents;</w:t>
            </w:r>
          </w:p>
          <w:p w14:paraId="2FBB1397"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lastRenderedPageBreak/>
              <w:t>the experiences of workers in insecure jobs, their pay and conditions, and the impacts on their health, wellbeing, social connection and prosperity;</w:t>
            </w:r>
          </w:p>
          <w:p w14:paraId="36EB42AD"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perspectives of employers on the use of casual, fixed-term contract, labour hire and platform workforce arrangements;</w:t>
            </w:r>
          </w:p>
          <w:p w14:paraId="7A69B0E0"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impacts on the level of casual and insecure work of the reforms made in 2021 to the </w:t>
            </w:r>
            <w:r>
              <w:rPr>
                <w:rFonts w:asciiTheme="minorHAnsi" w:eastAsiaTheme="minorEastAsia" w:hAnsiTheme="minorHAnsi" w:cstheme="minorBidi"/>
                <w:sz w:val="20"/>
                <w:szCs w:val="20"/>
              </w:rPr>
              <w:br/>
            </w:r>
            <w:r w:rsidRPr="00AA3081">
              <w:rPr>
                <w:rFonts w:asciiTheme="minorHAnsi" w:eastAsiaTheme="minorEastAsia" w:hAnsiTheme="minorHAnsi" w:cstheme="minorBidi"/>
                <w:i/>
                <w:iCs/>
                <w:sz w:val="20"/>
                <w:szCs w:val="20"/>
              </w:rPr>
              <w:t>Fair Work Act</w:t>
            </w:r>
            <w:r w:rsidRPr="00AA3081">
              <w:rPr>
                <w:rFonts w:asciiTheme="minorHAnsi" w:eastAsiaTheme="minorEastAsia" w:hAnsiTheme="minorHAnsi" w:cstheme="minorBidi"/>
                <w:sz w:val="20"/>
                <w:szCs w:val="20"/>
              </w:rPr>
              <w:t xml:space="preserve"> </w:t>
            </w:r>
            <w:r w:rsidRPr="0049331E">
              <w:rPr>
                <w:rFonts w:asciiTheme="minorHAnsi" w:eastAsiaTheme="minorEastAsia" w:hAnsiTheme="minorHAnsi" w:cstheme="minorBidi"/>
                <w:i/>
                <w:iCs/>
                <w:sz w:val="20"/>
                <w:szCs w:val="20"/>
              </w:rPr>
              <w:t>2009</w:t>
            </w:r>
            <w:r>
              <w:rPr>
                <w:rFonts w:asciiTheme="minorHAnsi" w:eastAsiaTheme="minorEastAsia" w:hAnsiTheme="minorHAnsi" w:cstheme="minorBidi"/>
                <w:sz w:val="20"/>
                <w:szCs w:val="20"/>
              </w:rPr>
              <w:t xml:space="preserve"> (Cth)</w:t>
            </w:r>
            <w:r w:rsidRPr="00AA3081">
              <w:rPr>
                <w:rFonts w:asciiTheme="minorHAnsi" w:eastAsiaTheme="minorEastAsia" w:hAnsiTheme="minorHAnsi" w:cstheme="minorBidi"/>
                <w:sz w:val="20"/>
                <w:szCs w:val="20"/>
              </w:rPr>
              <w:t> through the </w:t>
            </w:r>
            <w:r w:rsidRPr="00AA3081">
              <w:rPr>
                <w:rFonts w:asciiTheme="minorHAnsi" w:eastAsiaTheme="minorEastAsia" w:hAnsiTheme="minorHAnsi" w:cstheme="minorBidi"/>
                <w:i/>
                <w:iCs/>
                <w:sz w:val="20"/>
                <w:szCs w:val="20"/>
              </w:rPr>
              <w:t>Fair Work Amendment (Supporting Australia’s Jobs and Economic Recovery) Act</w:t>
            </w:r>
            <w:r w:rsidRPr="00AA3081">
              <w:rPr>
                <w:rFonts w:asciiTheme="minorHAnsi" w:eastAsiaTheme="minorEastAsia" w:hAnsiTheme="minorHAnsi" w:cstheme="minorBidi"/>
                <w:sz w:val="20"/>
                <w:szCs w:val="20"/>
              </w:rPr>
              <w:t xml:space="preserve"> </w:t>
            </w:r>
            <w:r w:rsidRPr="001E660E">
              <w:rPr>
                <w:rFonts w:asciiTheme="minorHAnsi" w:eastAsiaTheme="minorEastAsia" w:hAnsiTheme="minorHAnsi" w:cstheme="minorBidi"/>
                <w:i/>
                <w:iCs/>
                <w:sz w:val="20"/>
                <w:szCs w:val="20"/>
              </w:rPr>
              <w:t>2021</w:t>
            </w:r>
            <w:r>
              <w:rPr>
                <w:rFonts w:asciiTheme="minorHAnsi" w:eastAsiaTheme="minorEastAsia" w:hAnsiTheme="minorHAnsi" w:cstheme="minorBidi"/>
                <w:sz w:val="20"/>
                <w:szCs w:val="20"/>
              </w:rPr>
              <w:t xml:space="preserve"> (Cth)</w:t>
            </w:r>
            <w:r w:rsidRPr="00AA3081">
              <w:rPr>
                <w:rFonts w:asciiTheme="minorHAnsi" w:eastAsiaTheme="minorEastAsia" w:hAnsiTheme="minorHAnsi" w:cstheme="minorBidi"/>
                <w:sz w:val="20"/>
                <w:szCs w:val="20"/>
              </w:rPr>
              <w:t>, particularly those concerning casual conversion;</w:t>
            </w:r>
          </w:p>
          <w:p w14:paraId="43B36CE6"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the adequacy of existing legislative and regulatory regimes to address the challenges of insecure and precarious work; and</w:t>
            </w:r>
          </w:p>
          <w:p w14:paraId="55658035" w14:textId="77777777" w:rsidR="002A123F" w:rsidRPr="00AA3081" w:rsidRDefault="002A123F" w:rsidP="001E2B74">
            <w:pPr>
              <w:pStyle w:val="Default"/>
              <w:numPr>
                <w:ilvl w:val="0"/>
                <w:numId w:val="6"/>
              </w:numPr>
              <w:spacing w:before="120" w:after="120" w:line="360" w:lineRule="auto"/>
              <w:ind w:left="459"/>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sz w:val="20"/>
                <w:szCs w:val="20"/>
              </w:rPr>
            </w:pPr>
            <w:r w:rsidRPr="00AA3081">
              <w:rPr>
                <w:rFonts w:asciiTheme="minorHAnsi" w:eastAsiaTheme="minorEastAsia" w:hAnsiTheme="minorHAnsi" w:cstheme="minorBidi"/>
                <w:sz w:val="20"/>
                <w:szCs w:val="20"/>
              </w:rPr>
              <w:t>any related matters.</w:t>
            </w:r>
          </w:p>
          <w:p w14:paraId="31F44420" w14:textId="77777777" w:rsidR="002A123F" w:rsidRPr="002F1CE9" w:rsidRDefault="002A123F">
            <w:pPr>
              <w:pStyle w:val="NoSpacing"/>
              <w:spacing w:before="120" w:after="120" w:line="360" w:lineRule="auto"/>
              <w:cnfStyle w:val="000000100000" w:firstRow="0" w:lastRow="0" w:firstColumn="0" w:lastColumn="0" w:oddVBand="0" w:evenVBand="0" w:oddHBand="1" w:evenHBand="0" w:firstRowFirstColumn="0" w:firstRowLastColumn="0" w:lastRowFirstColumn="0" w:lastRowLastColumn="0"/>
              <w:rPr>
                <w:rFonts w:eastAsiaTheme="minorEastAsia"/>
                <w:sz w:val="20"/>
                <w:szCs w:val="20"/>
              </w:rPr>
            </w:pPr>
            <w:r w:rsidRPr="002F1CE9">
              <w:rPr>
                <w:rFonts w:eastAsiaTheme="minorEastAsia"/>
                <w:sz w:val="20"/>
                <w:szCs w:val="20"/>
                <w:lang w:eastAsia="en-AU"/>
              </w:rPr>
              <w:t>If such an inquiry were referred, that the committee or any subcommittee have power to consider and make use of the evidence and records of the former Select Committee on Job Security appointed during the 46th Parliament.</w:t>
            </w:r>
          </w:p>
        </w:tc>
      </w:tr>
    </w:tbl>
    <w:p w14:paraId="5967C2E2" w14:textId="77777777" w:rsidR="002A123F" w:rsidRPr="00C10812" w:rsidRDefault="002A123F" w:rsidP="002A123F">
      <w:pPr>
        <w:spacing w:before="120" w:after="120" w:line="360" w:lineRule="auto"/>
        <w:jc w:val="right"/>
        <w:rPr>
          <w:rFonts w:eastAsiaTheme="minorEastAsia"/>
          <w:b/>
          <w:bCs/>
          <w:u w:val="single"/>
        </w:rPr>
      </w:pPr>
      <w:r w:rsidRPr="00C10812">
        <w:rPr>
          <w:rFonts w:ascii="Century Gothic" w:hAnsi="Century Gothic"/>
        </w:rPr>
        <w:lastRenderedPageBreak/>
        <w:br w:type="textWrapping" w:clear="all"/>
      </w:r>
    </w:p>
    <w:p w14:paraId="7CAC5036" w14:textId="77777777" w:rsidR="002A123F" w:rsidRPr="00C10812" w:rsidRDefault="002A123F" w:rsidP="002A123F">
      <w:pPr>
        <w:spacing w:before="120" w:after="120" w:line="360" w:lineRule="auto"/>
        <w:rPr>
          <w:rFonts w:eastAsiaTheme="minorEastAsia"/>
          <w:b/>
          <w:bCs/>
          <w:u w:val="single"/>
        </w:rPr>
        <w:sectPr w:rsidR="002A123F" w:rsidRPr="00C10812" w:rsidSect="00F64F7A">
          <w:type w:val="continuous"/>
          <w:pgSz w:w="11906" w:h="16838"/>
          <w:pgMar w:top="993" w:right="1440" w:bottom="1440" w:left="1440" w:header="708" w:footer="708" w:gutter="0"/>
          <w:cols w:space="708"/>
          <w:docGrid w:linePitch="360"/>
        </w:sectPr>
      </w:pPr>
    </w:p>
    <w:p w14:paraId="798E1EFA" w14:textId="77777777" w:rsidR="002A123F" w:rsidRPr="00366612" w:rsidRDefault="002A123F" w:rsidP="002A123F">
      <w:pPr>
        <w:spacing w:after="240"/>
        <w:jc w:val="right"/>
        <w:rPr>
          <w:b/>
          <w:bCs/>
          <w:u w:val="single"/>
        </w:rPr>
      </w:pPr>
      <w:r w:rsidRPr="000A29CD">
        <w:rPr>
          <w:b/>
          <w:bCs/>
          <w:u w:val="single"/>
        </w:rPr>
        <w:lastRenderedPageBreak/>
        <w:t xml:space="preserve">ATTACHMENT </w:t>
      </w:r>
      <w:r>
        <w:rPr>
          <w:b/>
          <w:bCs/>
          <w:u w:val="single"/>
        </w:rPr>
        <w:t>C</w:t>
      </w:r>
    </w:p>
    <w:p w14:paraId="5C47444B" w14:textId="77777777" w:rsidR="002A123F" w:rsidRPr="000C5D53" w:rsidRDefault="002A123F" w:rsidP="002A123F">
      <w:pPr>
        <w:pStyle w:val="Heading1"/>
        <w:spacing w:before="120" w:after="120" w:line="360" w:lineRule="auto"/>
        <w:rPr>
          <w:rFonts w:asciiTheme="minorHAnsi" w:hAnsiTheme="minorHAnsi" w:cstheme="minorHAnsi"/>
        </w:rPr>
      </w:pPr>
      <w:bookmarkStart w:id="44" w:name="_Toc143252115"/>
      <w:r w:rsidRPr="000C5D53">
        <w:rPr>
          <w:rFonts w:asciiTheme="minorHAnsi" w:hAnsiTheme="minorHAnsi" w:cstheme="minorHAnsi"/>
        </w:rPr>
        <w:t>Recommendations of the Review of the Fair Work Amendment (Supporting Australia's Jobs and Economic Recovery) Act 2021 (Cth)</w:t>
      </w:r>
      <w:bookmarkEnd w:id="44"/>
    </w:p>
    <w:p w14:paraId="3513EB9B" w14:textId="77777777" w:rsidR="002A123F" w:rsidRPr="00C571F2" w:rsidRDefault="002A123F" w:rsidP="002A123F">
      <w:pPr>
        <w:spacing w:before="120" w:after="120" w:line="360" w:lineRule="auto"/>
        <w:rPr>
          <w:rFonts w:cstheme="minorHAnsi"/>
        </w:rPr>
      </w:pPr>
      <w:r w:rsidRPr="00C571F2">
        <w:rPr>
          <w:rFonts w:cstheme="minorHAnsi"/>
          <w:b/>
          <w:bCs/>
        </w:rPr>
        <w:t xml:space="preserve">Finding 1: </w:t>
      </w:r>
      <w:r w:rsidRPr="00C571F2">
        <w:rPr>
          <w:rFonts w:cstheme="minorHAnsi"/>
        </w:rPr>
        <w:t xml:space="preserve">consideration should be given to whether the definition should focus solely on the terms of initial offer and acceptance, and ‘not on the basis of any subsequent conduct of either party’ (as per section 15A(4) of the </w:t>
      </w:r>
      <w:r w:rsidRPr="00F940F6">
        <w:rPr>
          <w:rFonts w:cstheme="minorHAnsi"/>
          <w:i/>
          <w:iCs/>
        </w:rPr>
        <w:t>Fair Work Act 2009</w:t>
      </w:r>
      <w:r>
        <w:rPr>
          <w:rFonts w:cstheme="minorHAnsi"/>
        </w:rPr>
        <w:t xml:space="preserve"> (Cth)</w:t>
      </w:r>
      <w:r w:rsidRPr="00C571F2">
        <w:rPr>
          <w:rFonts w:cstheme="minorHAnsi"/>
        </w:rPr>
        <w:t>)</w:t>
      </w:r>
      <w:r>
        <w:rPr>
          <w:rFonts w:cstheme="minorHAnsi"/>
        </w:rPr>
        <w:t>.</w:t>
      </w:r>
    </w:p>
    <w:p w14:paraId="58426489" w14:textId="77777777" w:rsidR="002A123F" w:rsidRPr="00C571F2" w:rsidRDefault="002A123F" w:rsidP="002A123F">
      <w:pPr>
        <w:spacing w:before="120" w:after="120" w:line="360" w:lineRule="auto"/>
        <w:rPr>
          <w:rFonts w:cstheme="minorHAnsi"/>
        </w:rPr>
      </w:pPr>
      <w:r w:rsidRPr="00C571F2">
        <w:rPr>
          <w:rFonts w:cstheme="minorHAnsi"/>
          <w:b/>
          <w:bCs/>
        </w:rPr>
        <w:t>Finding 2</w:t>
      </w:r>
      <w:r w:rsidRPr="00C571F2">
        <w:rPr>
          <w:rFonts w:cstheme="minorHAnsi"/>
        </w:rPr>
        <w:t>:  Consideration should be given to including a suitable anti</w:t>
      </w:r>
      <w:r>
        <w:rPr>
          <w:rFonts w:cstheme="minorHAnsi"/>
        </w:rPr>
        <w:t xml:space="preserve"> </w:t>
      </w:r>
      <w:r w:rsidRPr="00C571F2">
        <w:rPr>
          <w:rFonts w:cstheme="minorHAnsi"/>
        </w:rPr>
        <w:t xml:space="preserve">avoidance provision in section 15A of the </w:t>
      </w:r>
      <w:r w:rsidRPr="00F940F6">
        <w:rPr>
          <w:rFonts w:cstheme="minorHAnsi"/>
          <w:i/>
          <w:iCs/>
        </w:rPr>
        <w:t>Fair Work Act 2009</w:t>
      </w:r>
      <w:r>
        <w:rPr>
          <w:rFonts w:cstheme="minorHAnsi"/>
        </w:rPr>
        <w:t xml:space="preserve"> (Cth)</w:t>
      </w:r>
      <w:r w:rsidRPr="00C571F2">
        <w:rPr>
          <w:rFonts w:cstheme="minorHAnsi"/>
        </w:rPr>
        <w:t xml:space="preserve">, to exclude sham casual employment arrangements from meeting the statutory definition. Further regard should also be had to whether the </w:t>
      </w:r>
      <w:r>
        <w:rPr>
          <w:rFonts w:cstheme="minorHAnsi"/>
        </w:rPr>
        <w:br/>
      </w:r>
      <w:r w:rsidRPr="00F940F6">
        <w:rPr>
          <w:rFonts w:cstheme="minorHAnsi"/>
          <w:i/>
          <w:iCs/>
        </w:rPr>
        <w:t>Fair Work Act 2009</w:t>
      </w:r>
      <w:r>
        <w:rPr>
          <w:rFonts w:cstheme="minorHAnsi"/>
        </w:rPr>
        <w:t xml:space="preserve"> (Cth)</w:t>
      </w:r>
      <w:r w:rsidRPr="00C571F2">
        <w:rPr>
          <w:rFonts w:cstheme="minorHAnsi"/>
        </w:rPr>
        <w:t xml:space="preserve"> provides a sufficient deterrence for parties to enter into such arrangements, or whether additional deterrence is necessary.</w:t>
      </w:r>
    </w:p>
    <w:p w14:paraId="0617C3B3" w14:textId="77777777" w:rsidR="002A123F" w:rsidRPr="00C571F2" w:rsidRDefault="002A123F" w:rsidP="002A123F">
      <w:pPr>
        <w:spacing w:before="120" w:after="120" w:line="360" w:lineRule="auto"/>
        <w:rPr>
          <w:rFonts w:cstheme="minorHAnsi"/>
        </w:rPr>
      </w:pPr>
      <w:r w:rsidRPr="00C571F2">
        <w:rPr>
          <w:rFonts w:cstheme="minorHAnsi"/>
          <w:b/>
          <w:bCs/>
        </w:rPr>
        <w:t>Finding 3</w:t>
      </w:r>
      <w:r w:rsidRPr="00C571F2">
        <w:rPr>
          <w:rFonts w:cstheme="minorHAnsi"/>
        </w:rPr>
        <w:t xml:space="preserve">: Notwithstanding the operation of section 66L of the </w:t>
      </w:r>
      <w:r w:rsidRPr="00F940F6">
        <w:rPr>
          <w:rFonts w:cstheme="minorHAnsi"/>
          <w:i/>
          <w:iCs/>
        </w:rPr>
        <w:t>Fair Work Act 2009</w:t>
      </w:r>
      <w:r>
        <w:rPr>
          <w:rFonts w:cstheme="minorHAnsi"/>
        </w:rPr>
        <w:t xml:space="preserve"> (Cth)</w:t>
      </w:r>
      <w:r w:rsidRPr="00C571F2">
        <w:rPr>
          <w:rFonts w:cstheme="minorHAnsi"/>
        </w:rPr>
        <w:t>, strengthening of the compliance and enforcement mechanisms could guard against circumstances where an employer uses termination of employment and re-engagement as a method to avoid the requirement to offer casual employees’ conversion.</w:t>
      </w:r>
    </w:p>
    <w:p w14:paraId="58BB5B07" w14:textId="77777777" w:rsidR="002A123F" w:rsidRPr="00C571F2" w:rsidRDefault="002A123F" w:rsidP="002A123F">
      <w:pPr>
        <w:spacing w:before="120" w:after="120" w:line="360" w:lineRule="auto"/>
        <w:rPr>
          <w:rFonts w:cstheme="minorHAnsi"/>
        </w:rPr>
      </w:pPr>
      <w:r w:rsidRPr="00C571F2">
        <w:rPr>
          <w:rFonts w:cstheme="minorHAnsi"/>
          <w:b/>
          <w:bCs/>
        </w:rPr>
        <w:t>Finding 4:</w:t>
      </w:r>
      <w:r w:rsidRPr="00C571F2">
        <w:rPr>
          <w:rFonts w:cstheme="minorHAnsi"/>
        </w:rPr>
        <w:t xml:space="preserve"> On the data available, the casual conversion arrangements introduced by the FW (SAJER) Act (that consists of both employer offer and employee request avenues) do not appear to have significantly impacted the number of casual conversions. </w:t>
      </w:r>
    </w:p>
    <w:p w14:paraId="26A013CE" w14:textId="77777777" w:rsidR="002A123F" w:rsidRPr="00C571F2" w:rsidRDefault="002A123F" w:rsidP="002A123F">
      <w:pPr>
        <w:spacing w:before="120" w:after="120" w:line="360" w:lineRule="auto"/>
        <w:rPr>
          <w:rFonts w:cstheme="minorHAnsi"/>
        </w:rPr>
      </w:pPr>
      <w:r w:rsidRPr="00C571F2">
        <w:rPr>
          <w:rFonts w:cstheme="minorHAnsi"/>
        </w:rPr>
        <w:t xml:space="preserve">While the implementation of the amendments may require further time to realise the legislative intent, the casual conversion mechanism could be refined with a focus on: </w:t>
      </w:r>
    </w:p>
    <w:p w14:paraId="66248DC4" w14:textId="77777777" w:rsidR="002A123F" w:rsidRPr="00E97DA5" w:rsidRDefault="002A123F" w:rsidP="001E2B74">
      <w:pPr>
        <w:pStyle w:val="ListParagraph"/>
        <w:numPr>
          <w:ilvl w:val="0"/>
          <w:numId w:val="7"/>
        </w:numPr>
        <w:spacing w:before="120" w:after="120"/>
        <w:ind w:left="567"/>
        <w:rPr>
          <w:rFonts w:eastAsiaTheme="minorEastAsia"/>
        </w:rPr>
      </w:pPr>
      <w:r w:rsidRPr="00E97DA5">
        <w:rPr>
          <w:rFonts w:eastAsiaTheme="minorEastAsia"/>
        </w:rPr>
        <w:t xml:space="preserve">measuring the utility of the employer offer avenue of conversion, particularly having regard to conversion rates and the associated regulatory impost or administrative burden on employers to comply with the requirements; and </w:t>
      </w:r>
    </w:p>
    <w:p w14:paraId="235F806E" w14:textId="77777777" w:rsidR="002A123F" w:rsidRPr="00E97DA5" w:rsidRDefault="002A123F" w:rsidP="001E2B74">
      <w:pPr>
        <w:pStyle w:val="ListParagraph"/>
        <w:numPr>
          <w:ilvl w:val="0"/>
          <w:numId w:val="7"/>
        </w:numPr>
        <w:spacing w:before="120" w:after="120"/>
        <w:ind w:left="567"/>
        <w:rPr>
          <w:rFonts w:eastAsiaTheme="minorEastAsia"/>
        </w:rPr>
      </w:pPr>
      <w:r w:rsidRPr="00E97DA5">
        <w:rPr>
          <w:rFonts w:eastAsiaTheme="minorEastAsia"/>
        </w:rPr>
        <w:t>how casual employees of small businesses can receive access to conversion opportunities that are no less favourable than opportunities that are provided to casual employees of medium or large businesses.</w:t>
      </w:r>
    </w:p>
    <w:p w14:paraId="21CEC8D7" w14:textId="77777777" w:rsidR="002A123F" w:rsidRPr="00C571F2" w:rsidRDefault="002A123F" w:rsidP="002A123F">
      <w:pPr>
        <w:spacing w:before="120" w:after="120" w:line="360" w:lineRule="auto"/>
        <w:rPr>
          <w:rFonts w:cstheme="minorHAnsi"/>
        </w:rPr>
      </w:pPr>
      <w:r w:rsidRPr="00C571F2">
        <w:rPr>
          <w:rFonts w:cstheme="minorHAnsi"/>
          <w:b/>
          <w:bCs/>
        </w:rPr>
        <w:t>Finding 5:</w:t>
      </w:r>
      <w:r w:rsidRPr="00C571F2">
        <w:rPr>
          <w:rFonts w:cstheme="minorHAnsi"/>
        </w:rPr>
        <w:t xml:space="preserve"> The current review and appeal mechanisms may present barriers that discourage employees to pursue such courses of action. Further consideration should be given to methods of better facilitating access to dispute resolution for employees.</w:t>
      </w:r>
    </w:p>
    <w:p w14:paraId="14FBA185" w14:textId="77777777" w:rsidR="002A123F" w:rsidRPr="00C571F2" w:rsidRDefault="002A123F" w:rsidP="002A123F">
      <w:pPr>
        <w:spacing w:before="120" w:after="120" w:line="360" w:lineRule="auto"/>
        <w:rPr>
          <w:rFonts w:cstheme="minorHAnsi"/>
        </w:rPr>
      </w:pPr>
      <w:r w:rsidRPr="00C571F2">
        <w:rPr>
          <w:rFonts w:cstheme="minorHAnsi"/>
          <w:b/>
          <w:bCs/>
        </w:rPr>
        <w:t>Finding 6:</w:t>
      </w:r>
      <w:r w:rsidRPr="00C571F2">
        <w:rPr>
          <w:rFonts w:cstheme="minorHAnsi"/>
        </w:rPr>
        <w:t xml:space="preserve"> Consideration should be given to whether an anti-avoidance provision is inserted into section 545A of the </w:t>
      </w:r>
      <w:r w:rsidRPr="00F940F6">
        <w:rPr>
          <w:rFonts w:cstheme="minorHAnsi"/>
          <w:i/>
          <w:iCs/>
        </w:rPr>
        <w:t>Fair Work Act 2009</w:t>
      </w:r>
      <w:r>
        <w:rPr>
          <w:rFonts w:cstheme="minorHAnsi"/>
        </w:rPr>
        <w:t xml:space="preserve"> (Cth)</w:t>
      </w:r>
      <w:r w:rsidRPr="00C571F2">
        <w:rPr>
          <w:rFonts w:cstheme="minorHAnsi"/>
        </w:rPr>
        <w:t xml:space="preserve">, which would have the effect of precluding employers </w:t>
      </w:r>
      <w:r w:rsidRPr="00C571F2">
        <w:rPr>
          <w:rFonts w:cstheme="minorHAnsi"/>
        </w:rPr>
        <w:lastRenderedPageBreak/>
        <w:t>who have knowingly or recklessly misclassified employees from relying on the statutory offset mechanism.</w:t>
      </w:r>
    </w:p>
    <w:p w14:paraId="147034C0" w14:textId="3F63C964" w:rsidR="002A123F" w:rsidRPr="00C571F2" w:rsidRDefault="002A123F" w:rsidP="002A123F">
      <w:pPr>
        <w:spacing w:before="120" w:after="120" w:line="360" w:lineRule="auto"/>
        <w:rPr>
          <w:rFonts w:cstheme="minorHAnsi"/>
        </w:rPr>
      </w:pPr>
      <w:r w:rsidRPr="00C571F2">
        <w:rPr>
          <w:rFonts w:cstheme="minorHAnsi"/>
          <w:b/>
          <w:bCs/>
        </w:rPr>
        <w:t>Finding 7:</w:t>
      </w:r>
      <w:r w:rsidRPr="00C571F2">
        <w:rPr>
          <w:rFonts w:cstheme="minorHAnsi"/>
        </w:rPr>
        <w:t xml:space="preserve"> Consideration should be given to placing an obligation on employers to provide the </w:t>
      </w:r>
      <w:r w:rsidR="00454864">
        <w:rPr>
          <w:rFonts w:cstheme="minorHAnsi"/>
        </w:rPr>
        <w:t>Casual Employment Information Statement (</w:t>
      </w:r>
      <w:r w:rsidRPr="00C571F2">
        <w:rPr>
          <w:rFonts w:cstheme="minorHAnsi"/>
        </w:rPr>
        <w:t>CEIS</w:t>
      </w:r>
      <w:r w:rsidR="00454864">
        <w:rPr>
          <w:rFonts w:cstheme="minorHAnsi"/>
        </w:rPr>
        <w:t>)</w:t>
      </w:r>
      <w:r w:rsidRPr="00C571F2">
        <w:rPr>
          <w:rFonts w:cstheme="minorHAnsi"/>
        </w:rPr>
        <w:t xml:space="preserve"> to casual employees at multiple points in the employment lifecycle (in addition to commencement of employment). Appropriate stages in the employment lifecycle could include the point in time that a casual employee becomes eligible to convert to permanent employment.</w:t>
      </w:r>
    </w:p>
    <w:p w14:paraId="2FA45D87" w14:textId="77777777" w:rsidR="002A123F" w:rsidRPr="00C10812" w:rsidRDefault="002A123F" w:rsidP="002A123F">
      <w:pPr>
        <w:spacing w:before="120" w:after="120" w:line="360" w:lineRule="auto"/>
        <w:rPr>
          <w:rFonts w:ascii="Century Gothic" w:hAnsi="Century Gothic"/>
        </w:rPr>
        <w:sectPr w:rsidR="002A123F" w:rsidRPr="00C10812">
          <w:headerReference w:type="default" r:id="rId30"/>
          <w:pgSz w:w="11906" w:h="16838"/>
          <w:pgMar w:top="1440" w:right="1440" w:bottom="1440" w:left="1440" w:header="708" w:footer="708" w:gutter="0"/>
          <w:cols w:space="708"/>
          <w:docGrid w:linePitch="360"/>
        </w:sectPr>
      </w:pPr>
      <w:r w:rsidRPr="00C571F2">
        <w:rPr>
          <w:rFonts w:cstheme="minorHAnsi"/>
          <w:b/>
          <w:bCs/>
        </w:rPr>
        <w:t>Finding 8:</w:t>
      </w:r>
      <w:r w:rsidRPr="00C571F2">
        <w:rPr>
          <w:rFonts w:cstheme="minorHAnsi"/>
        </w:rPr>
        <w:t xml:space="preserve"> Further initiatives to increase awareness and knowledge of the content of the CEIS could assist to achieve the legislative intent of, and compliance with the amendments.</w:t>
      </w:r>
    </w:p>
    <w:p w14:paraId="729BE0B4" w14:textId="77777777" w:rsidR="002A123F" w:rsidRDefault="002A123F" w:rsidP="002A123F">
      <w:pPr>
        <w:spacing w:before="120" w:after="120" w:line="360" w:lineRule="auto"/>
        <w:rPr>
          <w:rFonts w:ascii="Century Gothic" w:hAnsi="Century Gothic"/>
        </w:rPr>
      </w:pPr>
    </w:p>
    <w:p w14:paraId="14C9CE15" w14:textId="77777777" w:rsidR="00E82A3E" w:rsidRDefault="00E82A3E" w:rsidP="002A123F">
      <w:pPr>
        <w:spacing w:before="120" w:after="120" w:line="360" w:lineRule="auto"/>
        <w:rPr>
          <w:rFonts w:ascii="Century Gothic" w:hAnsi="Century Gothic"/>
        </w:rPr>
      </w:pPr>
    </w:p>
    <w:p w14:paraId="5BD4B484" w14:textId="77777777" w:rsidR="00E82A3E" w:rsidRDefault="00E82A3E" w:rsidP="002A123F">
      <w:pPr>
        <w:spacing w:before="120" w:after="120" w:line="360" w:lineRule="auto"/>
        <w:rPr>
          <w:rFonts w:ascii="Century Gothic" w:hAnsi="Century Gothic"/>
        </w:rPr>
      </w:pPr>
    </w:p>
    <w:p w14:paraId="472DA9C1" w14:textId="77777777" w:rsidR="00E82A3E" w:rsidRDefault="00E82A3E" w:rsidP="002A123F">
      <w:pPr>
        <w:spacing w:before="120" w:after="120" w:line="360" w:lineRule="auto"/>
        <w:rPr>
          <w:rFonts w:ascii="Century Gothic" w:hAnsi="Century Gothic"/>
        </w:rPr>
      </w:pPr>
    </w:p>
    <w:p w14:paraId="03C41FFB" w14:textId="77777777" w:rsidR="00E82A3E" w:rsidRDefault="00E82A3E" w:rsidP="002A123F">
      <w:pPr>
        <w:spacing w:before="120" w:after="120" w:line="360" w:lineRule="auto"/>
        <w:rPr>
          <w:rFonts w:ascii="Century Gothic" w:hAnsi="Century Gothic"/>
        </w:rPr>
      </w:pPr>
    </w:p>
    <w:p w14:paraId="663DC063" w14:textId="77777777" w:rsidR="00E82A3E" w:rsidRDefault="00E82A3E" w:rsidP="002A123F">
      <w:pPr>
        <w:spacing w:before="120" w:after="120" w:line="360" w:lineRule="auto"/>
        <w:rPr>
          <w:rFonts w:ascii="Century Gothic" w:hAnsi="Century Gothic"/>
        </w:rPr>
      </w:pPr>
    </w:p>
    <w:p w14:paraId="0C0B8566" w14:textId="77777777" w:rsidR="00E82A3E" w:rsidRDefault="00E82A3E" w:rsidP="002A123F">
      <w:pPr>
        <w:spacing w:before="120" w:after="120" w:line="360" w:lineRule="auto"/>
        <w:rPr>
          <w:rFonts w:ascii="Century Gothic" w:hAnsi="Century Gothic"/>
        </w:rPr>
      </w:pPr>
    </w:p>
    <w:p w14:paraId="3A26DA53" w14:textId="77777777" w:rsidR="00E82A3E" w:rsidRDefault="00E82A3E" w:rsidP="002A123F">
      <w:pPr>
        <w:spacing w:before="120" w:after="120" w:line="360" w:lineRule="auto"/>
        <w:rPr>
          <w:rFonts w:ascii="Century Gothic" w:hAnsi="Century Gothic"/>
        </w:rPr>
      </w:pPr>
    </w:p>
    <w:p w14:paraId="1E712676" w14:textId="77777777" w:rsidR="00E82A3E" w:rsidRDefault="00E82A3E" w:rsidP="002A123F">
      <w:pPr>
        <w:spacing w:before="120" w:after="120" w:line="360" w:lineRule="auto"/>
        <w:rPr>
          <w:rFonts w:ascii="Century Gothic" w:hAnsi="Century Gothic"/>
        </w:rPr>
      </w:pPr>
    </w:p>
    <w:p w14:paraId="5C26ACC1" w14:textId="77777777" w:rsidR="00E82A3E" w:rsidRDefault="00E82A3E" w:rsidP="002A123F">
      <w:pPr>
        <w:spacing w:before="120" w:after="120" w:line="360" w:lineRule="auto"/>
        <w:rPr>
          <w:rFonts w:ascii="Century Gothic" w:hAnsi="Century Gothic"/>
        </w:rPr>
      </w:pPr>
    </w:p>
    <w:p w14:paraId="3DD61531" w14:textId="77777777" w:rsidR="00E82A3E" w:rsidRDefault="00E82A3E" w:rsidP="002A123F">
      <w:pPr>
        <w:spacing w:before="120" w:after="120" w:line="360" w:lineRule="auto"/>
        <w:rPr>
          <w:rFonts w:ascii="Century Gothic" w:hAnsi="Century Gothic"/>
        </w:rPr>
      </w:pPr>
    </w:p>
    <w:p w14:paraId="3B11197F" w14:textId="77777777" w:rsidR="00E82A3E" w:rsidRDefault="00E82A3E" w:rsidP="002A123F">
      <w:pPr>
        <w:spacing w:before="120" w:after="120" w:line="360" w:lineRule="auto"/>
        <w:rPr>
          <w:rFonts w:ascii="Century Gothic" w:hAnsi="Century Gothic"/>
        </w:rPr>
      </w:pPr>
    </w:p>
    <w:p w14:paraId="69E2DFFC" w14:textId="77777777" w:rsidR="00E82A3E" w:rsidRDefault="00E82A3E" w:rsidP="002A123F">
      <w:pPr>
        <w:spacing w:before="120" w:after="120" w:line="360" w:lineRule="auto"/>
        <w:rPr>
          <w:rFonts w:ascii="Century Gothic" w:hAnsi="Century Gothic"/>
        </w:rPr>
      </w:pPr>
    </w:p>
    <w:p w14:paraId="5B36E93D" w14:textId="77777777" w:rsidR="00E82A3E" w:rsidRDefault="00E82A3E" w:rsidP="002A123F">
      <w:pPr>
        <w:spacing w:before="120" w:after="120" w:line="360" w:lineRule="auto"/>
        <w:rPr>
          <w:rFonts w:ascii="Century Gothic" w:hAnsi="Century Gothic"/>
        </w:rPr>
      </w:pPr>
    </w:p>
    <w:p w14:paraId="1D61FA94" w14:textId="77777777" w:rsidR="00E82A3E" w:rsidRDefault="00E82A3E" w:rsidP="002A123F">
      <w:pPr>
        <w:spacing w:before="120" w:after="120" w:line="360" w:lineRule="auto"/>
        <w:rPr>
          <w:rFonts w:ascii="Century Gothic" w:hAnsi="Century Gothic"/>
        </w:rPr>
      </w:pPr>
    </w:p>
    <w:p w14:paraId="545060E4" w14:textId="77777777" w:rsidR="00E82A3E" w:rsidRDefault="00E82A3E" w:rsidP="002A123F">
      <w:pPr>
        <w:spacing w:before="120" w:after="120" w:line="360" w:lineRule="auto"/>
        <w:rPr>
          <w:rFonts w:ascii="Century Gothic" w:hAnsi="Century Gothic"/>
        </w:rPr>
      </w:pPr>
    </w:p>
    <w:p w14:paraId="3137827E" w14:textId="77777777" w:rsidR="00E82A3E" w:rsidRDefault="00E82A3E" w:rsidP="002A123F">
      <w:pPr>
        <w:spacing w:before="120" w:after="120" w:line="360" w:lineRule="auto"/>
        <w:rPr>
          <w:rFonts w:ascii="Century Gothic" w:hAnsi="Century Gothic"/>
        </w:rPr>
      </w:pPr>
    </w:p>
    <w:p w14:paraId="43ADE23C" w14:textId="77777777" w:rsidR="00E82A3E" w:rsidRDefault="00E82A3E" w:rsidP="002A123F">
      <w:pPr>
        <w:spacing w:before="120" w:after="120" w:line="360" w:lineRule="auto"/>
        <w:rPr>
          <w:rFonts w:ascii="Century Gothic" w:hAnsi="Century Gothic"/>
        </w:rPr>
      </w:pPr>
    </w:p>
    <w:p w14:paraId="1DB074D2" w14:textId="77777777" w:rsidR="00E82A3E" w:rsidRDefault="00E82A3E" w:rsidP="002A123F">
      <w:pPr>
        <w:spacing w:before="120" w:after="120" w:line="360" w:lineRule="auto"/>
        <w:rPr>
          <w:rFonts w:ascii="Century Gothic" w:hAnsi="Century Gothic"/>
        </w:rPr>
      </w:pPr>
    </w:p>
    <w:p w14:paraId="4FA4CB39" w14:textId="77777777" w:rsidR="00E82A3E" w:rsidRDefault="00E82A3E" w:rsidP="002A123F">
      <w:pPr>
        <w:spacing w:before="120" w:after="120" w:line="360" w:lineRule="auto"/>
        <w:rPr>
          <w:rFonts w:ascii="Century Gothic" w:hAnsi="Century Gothic"/>
        </w:rPr>
        <w:sectPr w:rsidR="00E82A3E">
          <w:headerReference w:type="default" r:id="rId31"/>
          <w:footerReference w:type="default" r:id="rId32"/>
          <w:type w:val="continuous"/>
          <w:pgSz w:w="11906" w:h="16838"/>
          <w:pgMar w:top="1440" w:right="1440" w:bottom="1440" w:left="1440" w:header="0" w:footer="454" w:gutter="0"/>
          <w:cols w:space="708"/>
          <w:docGrid w:linePitch="360"/>
        </w:sectPr>
      </w:pPr>
    </w:p>
    <w:p w14:paraId="001538FB" w14:textId="7ACDC3BE" w:rsidR="002A123F" w:rsidRPr="007F689E" w:rsidRDefault="002A123F" w:rsidP="002A123F">
      <w:pPr>
        <w:spacing w:before="120" w:after="240" w:line="360" w:lineRule="auto"/>
        <w:jc w:val="right"/>
        <w:rPr>
          <w:rFonts w:cstheme="minorHAnsi"/>
          <w:b/>
          <w:bCs/>
          <w:u w:val="single"/>
        </w:rPr>
      </w:pPr>
      <w:r w:rsidRPr="007F689E">
        <w:rPr>
          <w:rFonts w:cstheme="minorHAnsi"/>
          <w:b/>
          <w:bCs/>
          <w:u w:val="single"/>
        </w:rPr>
        <w:lastRenderedPageBreak/>
        <w:t>Attachment D</w:t>
      </w:r>
    </w:p>
    <w:p w14:paraId="49379E8B" w14:textId="77777777" w:rsidR="002A123F" w:rsidRPr="00E97DA5" w:rsidRDefault="002A123F" w:rsidP="002A123F">
      <w:pPr>
        <w:pStyle w:val="Heading1"/>
        <w:spacing w:before="120" w:after="120" w:line="360" w:lineRule="auto"/>
        <w:rPr>
          <w:rFonts w:asciiTheme="minorHAnsi" w:hAnsiTheme="minorHAnsi" w:cstheme="minorHAnsi"/>
        </w:rPr>
      </w:pPr>
      <w:bookmarkStart w:id="45" w:name="_Toc143252116"/>
      <w:r w:rsidRPr="000C5D53">
        <w:rPr>
          <w:rFonts w:asciiTheme="minorHAnsi" w:hAnsiTheme="minorHAnsi" w:cstheme="minorHAnsi"/>
        </w:rPr>
        <w:t xml:space="preserve">Written submissions to the Review of the </w:t>
      </w:r>
      <w:r w:rsidRPr="007D7946">
        <w:rPr>
          <w:rFonts w:asciiTheme="minorHAnsi" w:hAnsiTheme="minorHAnsi" w:cstheme="minorHAnsi"/>
          <w:i/>
          <w:iCs/>
        </w:rPr>
        <w:t xml:space="preserve">Fair Work Amendment (Supporting Australia's Jobs and Economic Recovery) Act 2021 </w:t>
      </w:r>
      <w:r w:rsidRPr="000C5D53">
        <w:rPr>
          <w:rFonts w:asciiTheme="minorHAnsi" w:hAnsiTheme="minorHAnsi" w:cstheme="minorHAnsi"/>
        </w:rPr>
        <w:t>(Cth)</w:t>
      </w:r>
      <w:bookmarkEnd w:id="45"/>
    </w:p>
    <w:p w14:paraId="75CA1E86" w14:textId="77777777" w:rsidR="002A123F" w:rsidRDefault="002A123F" w:rsidP="002A123F">
      <w:pPr>
        <w:spacing w:before="120" w:after="120" w:line="360" w:lineRule="auto"/>
        <w:rPr>
          <w:rFonts w:cstheme="minorHAnsi"/>
        </w:rPr>
      </w:pPr>
      <w:r w:rsidRPr="7612DB8E">
        <w:rPr>
          <w:rFonts w:eastAsiaTheme="minorEastAsia"/>
        </w:rPr>
        <w:t xml:space="preserve">Submissions can be accessed at </w:t>
      </w:r>
      <w:hyperlink r:id="rId33" w:history="1">
        <w:r>
          <w:rPr>
            <w:rStyle w:val="Hyperlink"/>
          </w:rPr>
          <w:t>Statutory Review of casual employment legislation - Department of Employment and Workplace Relations, Australian Government (dewr.gov.au)</w:t>
        </w:r>
      </w:hyperlink>
    </w:p>
    <w:p w14:paraId="6601F4F6" w14:textId="77777777" w:rsidR="002A123F" w:rsidRPr="00C571F2" w:rsidRDefault="002A123F" w:rsidP="002A123F">
      <w:pPr>
        <w:spacing w:before="120" w:after="120" w:line="360" w:lineRule="auto"/>
        <w:rPr>
          <w:rFonts w:cstheme="minorHAnsi"/>
        </w:rPr>
      </w:pPr>
      <w:r w:rsidRPr="00C571F2">
        <w:rPr>
          <w:rFonts w:cstheme="minorHAnsi"/>
        </w:rPr>
        <w:t xml:space="preserve">Australian Council of Trade Unions </w:t>
      </w:r>
    </w:p>
    <w:p w14:paraId="741F6BFD" w14:textId="77777777" w:rsidR="002A123F" w:rsidRPr="00C571F2" w:rsidRDefault="002A123F" w:rsidP="002A123F">
      <w:pPr>
        <w:spacing w:before="120" w:after="120" w:line="360" w:lineRule="auto"/>
        <w:rPr>
          <w:rFonts w:cstheme="minorHAnsi"/>
        </w:rPr>
      </w:pPr>
      <w:r w:rsidRPr="00C571F2">
        <w:rPr>
          <w:rFonts w:cstheme="minorHAnsi"/>
        </w:rPr>
        <w:t xml:space="preserve">Australian Industry Group </w:t>
      </w:r>
    </w:p>
    <w:p w14:paraId="747EB4F4" w14:textId="0A0F1430" w:rsidR="002A123F" w:rsidRPr="00C571F2" w:rsidRDefault="002A123F" w:rsidP="002A123F">
      <w:pPr>
        <w:spacing w:before="120" w:after="120" w:line="360" w:lineRule="auto"/>
        <w:rPr>
          <w:rFonts w:cstheme="minorHAnsi"/>
        </w:rPr>
      </w:pPr>
      <w:r w:rsidRPr="00C571F2">
        <w:rPr>
          <w:rFonts w:cstheme="minorHAnsi"/>
        </w:rPr>
        <w:t>Australian Retail</w:t>
      </w:r>
      <w:r w:rsidR="00495635">
        <w:rPr>
          <w:rFonts w:cstheme="minorHAnsi"/>
        </w:rPr>
        <w:t>ers</w:t>
      </w:r>
      <w:r w:rsidRPr="00C571F2">
        <w:rPr>
          <w:rFonts w:cstheme="minorHAnsi"/>
        </w:rPr>
        <w:t xml:space="preserve"> Association </w:t>
      </w:r>
    </w:p>
    <w:p w14:paraId="3BF0F225" w14:textId="77777777" w:rsidR="002A123F" w:rsidRPr="00C571F2" w:rsidRDefault="002A123F" w:rsidP="002A123F">
      <w:pPr>
        <w:spacing w:before="120" w:after="120" w:line="360" w:lineRule="auto"/>
        <w:rPr>
          <w:rFonts w:cstheme="minorHAnsi"/>
        </w:rPr>
      </w:pPr>
      <w:r w:rsidRPr="00C571F2">
        <w:rPr>
          <w:rFonts w:cstheme="minorHAnsi"/>
        </w:rPr>
        <w:t xml:space="preserve">Business Council of Australia </w:t>
      </w:r>
    </w:p>
    <w:p w14:paraId="258658E0" w14:textId="77777777" w:rsidR="002A123F" w:rsidRPr="00C571F2" w:rsidRDefault="002A123F" w:rsidP="002A123F">
      <w:pPr>
        <w:spacing w:before="120" w:after="120" w:line="360" w:lineRule="auto"/>
        <w:rPr>
          <w:rFonts w:cstheme="minorHAnsi"/>
        </w:rPr>
      </w:pPr>
      <w:r w:rsidRPr="00C571F2">
        <w:rPr>
          <w:rFonts w:cstheme="minorHAnsi"/>
        </w:rPr>
        <w:t xml:space="preserve">CFMEU Construction </w:t>
      </w:r>
    </w:p>
    <w:p w14:paraId="2E0C3E47" w14:textId="77777777" w:rsidR="002A123F" w:rsidRPr="00C571F2" w:rsidRDefault="002A123F" w:rsidP="002A123F">
      <w:pPr>
        <w:spacing w:before="120" w:after="120" w:line="360" w:lineRule="auto"/>
        <w:rPr>
          <w:rFonts w:cstheme="minorHAnsi"/>
        </w:rPr>
      </w:pPr>
      <w:r w:rsidRPr="00C571F2">
        <w:rPr>
          <w:rFonts w:cstheme="minorHAnsi"/>
        </w:rPr>
        <w:t xml:space="preserve">Electrical Trades Union </w:t>
      </w:r>
    </w:p>
    <w:p w14:paraId="26BDE669" w14:textId="77777777" w:rsidR="002A123F" w:rsidRPr="00C571F2" w:rsidRDefault="002A123F" w:rsidP="002A123F">
      <w:pPr>
        <w:spacing w:before="120" w:after="120" w:line="360" w:lineRule="auto"/>
        <w:rPr>
          <w:rFonts w:cstheme="minorHAnsi"/>
        </w:rPr>
      </w:pPr>
      <w:r w:rsidRPr="00C571F2">
        <w:rPr>
          <w:rFonts w:cstheme="minorHAnsi"/>
        </w:rPr>
        <w:t xml:space="preserve">Housing Industry Association </w:t>
      </w:r>
    </w:p>
    <w:p w14:paraId="5E3D21F5" w14:textId="77777777" w:rsidR="002A123F" w:rsidRPr="00C571F2" w:rsidRDefault="002A123F" w:rsidP="002A123F">
      <w:pPr>
        <w:spacing w:before="120" w:after="120" w:line="360" w:lineRule="auto"/>
        <w:rPr>
          <w:rFonts w:cstheme="minorHAnsi"/>
        </w:rPr>
      </w:pPr>
      <w:r w:rsidRPr="00C571F2">
        <w:rPr>
          <w:rFonts w:cstheme="minorHAnsi"/>
        </w:rPr>
        <w:t xml:space="preserve">Master Grocers Australia and Timber Merchants Australia </w:t>
      </w:r>
    </w:p>
    <w:p w14:paraId="6A4CAFB5" w14:textId="77777777" w:rsidR="002A123F" w:rsidRPr="00C571F2" w:rsidRDefault="002A123F" w:rsidP="002A123F">
      <w:pPr>
        <w:spacing w:before="120" w:after="120" w:line="360" w:lineRule="auto"/>
        <w:rPr>
          <w:rFonts w:cstheme="minorHAnsi"/>
        </w:rPr>
      </w:pPr>
      <w:r w:rsidRPr="00C571F2">
        <w:rPr>
          <w:rFonts w:cstheme="minorHAnsi"/>
        </w:rPr>
        <w:t xml:space="preserve">Motor Trades Association of Queensland </w:t>
      </w:r>
    </w:p>
    <w:p w14:paraId="1AFDAEB0" w14:textId="77777777" w:rsidR="002A123F" w:rsidRPr="00C571F2" w:rsidRDefault="002A123F" w:rsidP="002A123F">
      <w:pPr>
        <w:spacing w:before="120" w:after="120" w:line="360" w:lineRule="auto"/>
        <w:rPr>
          <w:rFonts w:cstheme="minorHAnsi"/>
        </w:rPr>
      </w:pPr>
      <w:r w:rsidRPr="00C571F2">
        <w:rPr>
          <w:rFonts w:cstheme="minorHAnsi"/>
        </w:rPr>
        <w:t xml:space="preserve">National Foundation for Australian Women </w:t>
      </w:r>
    </w:p>
    <w:p w14:paraId="11235A0D" w14:textId="77777777" w:rsidR="002A123F" w:rsidRPr="00C571F2" w:rsidRDefault="002A123F" w:rsidP="002A123F">
      <w:pPr>
        <w:spacing w:before="120" w:after="120" w:line="360" w:lineRule="auto"/>
        <w:rPr>
          <w:rFonts w:cstheme="minorHAnsi"/>
        </w:rPr>
      </w:pPr>
      <w:r w:rsidRPr="00C571F2">
        <w:rPr>
          <w:rFonts w:cstheme="minorHAnsi"/>
        </w:rPr>
        <w:t xml:space="preserve">National Road Transport Association </w:t>
      </w:r>
    </w:p>
    <w:p w14:paraId="14425C79" w14:textId="77777777" w:rsidR="002A123F" w:rsidRPr="00C571F2" w:rsidRDefault="002A123F" w:rsidP="002A123F">
      <w:pPr>
        <w:spacing w:before="120" w:after="120" w:line="360" w:lineRule="auto"/>
        <w:rPr>
          <w:rFonts w:cstheme="minorHAnsi"/>
        </w:rPr>
      </w:pPr>
      <w:r w:rsidRPr="00C571F2">
        <w:rPr>
          <w:rFonts w:cstheme="minorHAnsi"/>
        </w:rPr>
        <w:t xml:space="preserve">National Tertiary Education Union </w:t>
      </w:r>
    </w:p>
    <w:p w14:paraId="50E246D4" w14:textId="77777777" w:rsidR="002A123F" w:rsidRPr="00C571F2" w:rsidRDefault="002A123F" w:rsidP="002A123F">
      <w:pPr>
        <w:spacing w:before="120" w:after="120" w:line="360" w:lineRule="auto"/>
        <w:rPr>
          <w:rFonts w:cstheme="minorHAnsi"/>
        </w:rPr>
      </w:pPr>
      <w:r w:rsidRPr="00C571F2">
        <w:rPr>
          <w:rFonts w:cstheme="minorHAnsi"/>
        </w:rPr>
        <w:t xml:space="preserve">Recruitment, Consulting and Staffing Association </w:t>
      </w:r>
    </w:p>
    <w:p w14:paraId="13C407B0" w14:textId="77777777" w:rsidR="002A123F" w:rsidRPr="00C571F2" w:rsidRDefault="002A123F" w:rsidP="002A123F">
      <w:pPr>
        <w:spacing w:before="120" w:after="120" w:line="360" w:lineRule="auto"/>
        <w:rPr>
          <w:rFonts w:cstheme="minorHAnsi"/>
        </w:rPr>
      </w:pPr>
      <w:r w:rsidRPr="00C571F2">
        <w:rPr>
          <w:rFonts w:cstheme="minorHAnsi"/>
        </w:rPr>
        <w:t xml:space="preserve">South Australian Wine Industry Association Incorporated </w:t>
      </w:r>
    </w:p>
    <w:p w14:paraId="6267A827" w14:textId="77777777" w:rsidR="002A123F" w:rsidRPr="00C571F2" w:rsidRDefault="002A123F" w:rsidP="002A123F">
      <w:pPr>
        <w:spacing w:before="120" w:after="120" w:line="360" w:lineRule="auto"/>
        <w:rPr>
          <w:rFonts w:cstheme="minorHAnsi"/>
        </w:rPr>
      </w:pPr>
      <w:r w:rsidRPr="00C571F2">
        <w:rPr>
          <w:rFonts w:cstheme="minorHAnsi"/>
        </w:rPr>
        <w:t xml:space="preserve">Unnamed Community Legal Centre </w:t>
      </w:r>
    </w:p>
    <w:p w14:paraId="3DAAC95E" w14:textId="77777777" w:rsidR="002A123F" w:rsidRPr="00C571F2" w:rsidRDefault="002A123F" w:rsidP="002A123F">
      <w:pPr>
        <w:spacing w:before="120" w:after="120" w:line="360" w:lineRule="auto"/>
        <w:rPr>
          <w:rFonts w:cstheme="minorHAnsi"/>
        </w:rPr>
      </w:pPr>
      <w:r w:rsidRPr="00C571F2">
        <w:rPr>
          <w:rFonts w:cstheme="minorHAnsi"/>
        </w:rPr>
        <w:t xml:space="preserve">Unnamed Not-for-profit Research Organisation </w:t>
      </w:r>
    </w:p>
    <w:p w14:paraId="5BFBF5E3" w14:textId="77777777" w:rsidR="002A123F" w:rsidRPr="00C571F2" w:rsidRDefault="002A123F" w:rsidP="002A123F">
      <w:pPr>
        <w:spacing w:before="120" w:after="120" w:line="360" w:lineRule="auto"/>
        <w:rPr>
          <w:rFonts w:cstheme="minorHAnsi"/>
        </w:rPr>
      </w:pPr>
      <w:r w:rsidRPr="00C571F2">
        <w:rPr>
          <w:rFonts w:cstheme="minorHAnsi"/>
        </w:rPr>
        <w:t xml:space="preserve">Victorian Automotive Chamber of Commerce </w:t>
      </w:r>
    </w:p>
    <w:p w14:paraId="6C14DE07" w14:textId="77777777" w:rsidR="002A123F" w:rsidRPr="00C571F2" w:rsidRDefault="002A123F" w:rsidP="002A123F">
      <w:pPr>
        <w:spacing w:before="120" w:after="120" w:line="360" w:lineRule="auto"/>
        <w:rPr>
          <w:rFonts w:cstheme="minorHAnsi"/>
        </w:rPr>
      </w:pPr>
      <w:r w:rsidRPr="00C571F2">
        <w:rPr>
          <w:rFonts w:cstheme="minorHAnsi"/>
        </w:rPr>
        <w:t xml:space="preserve">Victorian Government </w:t>
      </w:r>
    </w:p>
    <w:p w14:paraId="7796A734" w14:textId="77777777" w:rsidR="002A123F" w:rsidRPr="00C571F2" w:rsidRDefault="002A123F" w:rsidP="002A123F">
      <w:pPr>
        <w:spacing w:before="120" w:after="120" w:line="360" w:lineRule="auto"/>
        <w:rPr>
          <w:rFonts w:cstheme="minorHAnsi"/>
        </w:rPr>
      </w:pPr>
      <w:r w:rsidRPr="00C571F2">
        <w:rPr>
          <w:rFonts w:cstheme="minorHAnsi"/>
        </w:rPr>
        <w:t xml:space="preserve">Western Australian Government </w:t>
      </w:r>
    </w:p>
    <w:p w14:paraId="69996F0C" w14:textId="77777777" w:rsidR="002A123F" w:rsidRPr="00C10812" w:rsidRDefault="002A123F" w:rsidP="002A123F">
      <w:pPr>
        <w:spacing w:before="120" w:after="120" w:line="360" w:lineRule="auto"/>
        <w:rPr>
          <w:rFonts w:ascii="Century Gothic" w:hAnsi="Century Gothic"/>
        </w:rPr>
      </w:pPr>
      <w:r w:rsidRPr="00C10812">
        <w:rPr>
          <w:rFonts w:ascii="Century Gothic" w:hAnsi="Century Gothic"/>
        </w:rPr>
        <w:br w:type="page"/>
      </w:r>
    </w:p>
    <w:p w14:paraId="28AC7979" w14:textId="0DDCA8D8" w:rsidR="00613AF5" w:rsidRPr="00613AF5" w:rsidRDefault="00613AF5" w:rsidP="00613AF5">
      <w:pPr>
        <w:spacing w:before="120" w:after="240" w:line="360" w:lineRule="auto"/>
        <w:jc w:val="right"/>
        <w:rPr>
          <w:rFonts w:cstheme="minorHAnsi"/>
          <w:b/>
          <w:bCs/>
          <w:u w:val="single"/>
        </w:rPr>
      </w:pPr>
      <w:r w:rsidRPr="007F689E">
        <w:rPr>
          <w:rFonts w:cstheme="minorHAnsi"/>
          <w:b/>
          <w:bCs/>
          <w:u w:val="single"/>
        </w:rPr>
        <w:lastRenderedPageBreak/>
        <w:t xml:space="preserve">Attachment </w:t>
      </w:r>
      <w:r>
        <w:rPr>
          <w:rFonts w:cstheme="minorHAnsi"/>
          <w:b/>
          <w:bCs/>
          <w:u w:val="single"/>
        </w:rPr>
        <w:t>E</w:t>
      </w:r>
    </w:p>
    <w:p w14:paraId="3E46149F" w14:textId="0CAB74CC" w:rsidR="002A123F" w:rsidRPr="00E97DA5" w:rsidRDefault="002A123F" w:rsidP="002A123F">
      <w:pPr>
        <w:pStyle w:val="Heading1"/>
        <w:spacing w:before="120" w:after="120" w:line="360" w:lineRule="auto"/>
        <w:rPr>
          <w:rFonts w:asciiTheme="minorHAnsi" w:hAnsiTheme="minorHAnsi" w:cstheme="minorHAnsi"/>
        </w:rPr>
      </w:pPr>
      <w:bookmarkStart w:id="46" w:name="_Toc143252117"/>
      <w:r w:rsidRPr="000C5D53">
        <w:rPr>
          <w:rFonts w:asciiTheme="minorHAnsi" w:hAnsiTheme="minorHAnsi" w:cstheme="minorHAnsi"/>
        </w:rPr>
        <w:t xml:space="preserve">Attendees at consultation sessions as part of the </w:t>
      </w:r>
      <w:r w:rsidRPr="007D7946">
        <w:rPr>
          <w:rFonts w:asciiTheme="minorHAnsi" w:hAnsiTheme="minorHAnsi" w:cstheme="minorHAnsi"/>
          <w:i/>
          <w:iCs/>
        </w:rPr>
        <w:t>Review of the Fair Work Amendment (Supporting Australia's Jobs and Economic Recovery) Act 2021</w:t>
      </w:r>
      <w:r w:rsidRPr="000C5D53">
        <w:rPr>
          <w:rFonts w:asciiTheme="minorHAnsi" w:hAnsiTheme="minorHAnsi" w:cstheme="minorHAnsi"/>
        </w:rPr>
        <w:t xml:space="preserve"> (Cth)</w:t>
      </w:r>
      <w:bookmarkEnd w:id="46"/>
    </w:p>
    <w:p w14:paraId="2191FBDE" w14:textId="77777777" w:rsidR="002A123F" w:rsidRPr="00C571F2" w:rsidRDefault="002A123F" w:rsidP="002A123F">
      <w:pPr>
        <w:spacing w:before="120" w:after="120" w:line="360" w:lineRule="auto"/>
        <w:rPr>
          <w:rFonts w:cstheme="minorHAnsi"/>
          <w:u w:val="single"/>
        </w:rPr>
      </w:pPr>
      <w:r w:rsidRPr="00C571F2">
        <w:rPr>
          <w:rFonts w:cstheme="minorHAnsi"/>
          <w:u w:val="single"/>
        </w:rPr>
        <w:t>Stakeholder Employment law academics, 5 July 2022</w:t>
      </w:r>
    </w:p>
    <w:p w14:paraId="787840E5" w14:textId="77777777" w:rsidR="002A123F" w:rsidRPr="00C571F2" w:rsidRDefault="002A123F" w:rsidP="002A123F">
      <w:pPr>
        <w:spacing w:before="120" w:after="120" w:line="360" w:lineRule="auto"/>
        <w:rPr>
          <w:rFonts w:cstheme="minorHAnsi"/>
        </w:rPr>
      </w:pPr>
      <w:r w:rsidRPr="00C571F2">
        <w:rPr>
          <w:rFonts w:cstheme="minorHAnsi"/>
        </w:rPr>
        <w:t xml:space="preserve">Professor Andrew Stewart </w:t>
      </w:r>
    </w:p>
    <w:p w14:paraId="385E9BCF" w14:textId="77777777" w:rsidR="002A123F" w:rsidRPr="00C571F2" w:rsidRDefault="002A123F" w:rsidP="002A123F">
      <w:pPr>
        <w:spacing w:before="120" w:after="120" w:line="360" w:lineRule="auto"/>
        <w:rPr>
          <w:rFonts w:cstheme="minorHAnsi"/>
          <w:u w:val="single"/>
        </w:rPr>
      </w:pPr>
      <w:r w:rsidRPr="00C571F2">
        <w:rPr>
          <w:rFonts w:cstheme="minorHAnsi"/>
          <w:u w:val="single"/>
        </w:rPr>
        <w:t>Employer representatives, 6 July 2022</w:t>
      </w:r>
    </w:p>
    <w:p w14:paraId="208C2F8A" w14:textId="77777777" w:rsidR="002A123F" w:rsidRPr="00C571F2" w:rsidRDefault="002A123F" w:rsidP="002A123F">
      <w:pPr>
        <w:spacing w:before="120" w:after="120" w:line="360" w:lineRule="auto"/>
        <w:rPr>
          <w:rFonts w:cstheme="minorHAnsi"/>
        </w:rPr>
      </w:pPr>
      <w:r w:rsidRPr="00C571F2">
        <w:rPr>
          <w:rFonts w:cstheme="minorHAnsi"/>
        </w:rPr>
        <w:t xml:space="preserve">Business Council of Australia </w:t>
      </w:r>
    </w:p>
    <w:p w14:paraId="3D0884B8" w14:textId="77777777" w:rsidR="002A123F" w:rsidRPr="00C571F2" w:rsidRDefault="002A123F" w:rsidP="002A123F">
      <w:pPr>
        <w:spacing w:before="120" w:after="120" w:line="360" w:lineRule="auto"/>
        <w:rPr>
          <w:rFonts w:cstheme="minorHAnsi"/>
        </w:rPr>
      </w:pPr>
      <w:r w:rsidRPr="00C571F2">
        <w:rPr>
          <w:rFonts w:cstheme="minorHAnsi"/>
        </w:rPr>
        <w:t xml:space="preserve">Housing Industry Association </w:t>
      </w:r>
    </w:p>
    <w:p w14:paraId="0AD85A8B" w14:textId="77777777" w:rsidR="002A123F" w:rsidRPr="00C571F2" w:rsidRDefault="002A123F" w:rsidP="002A123F">
      <w:pPr>
        <w:spacing w:before="120" w:after="120" w:line="360" w:lineRule="auto"/>
        <w:rPr>
          <w:rFonts w:cstheme="minorHAnsi"/>
        </w:rPr>
      </w:pPr>
      <w:r w:rsidRPr="00C571F2">
        <w:rPr>
          <w:rFonts w:cstheme="minorHAnsi"/>
        </w:rPr>
        <w:t xml:space="preserve">Australian Chamber of Commerce and Industry </w:t>
      </w:r>
    </w:p>
    <w:p w14:paraId="291635DA" w14:textId="77777777" w:rsidR="002A123F" w:rsidRPr="00C571F2" w:rsidRDefault="002A123F" w:rsidP="002A123F">
      <w:pPr>
        <w:spacing w:before="120" w:after="120" w:line="360" w:lineRule="auto"/>
        <w:rPr>
          <w:rFonts w:cstheme="minorHAnsi"/>
        </w:rPr>
      </w:pPr>
      <w:r w:rsidRPr="00C571F2">
        <w:rPr>
          <w:rFonts w:cstheme="minorHAnsi"/>
        </w:rPr>
        <w:t xml:space="preserve">Australian Higher Education Industrial Association </w:t>
      </w:r>
    </w:p>
    <w:p w14:paraId="541CBE3E" w14:textId="77777777" w:rsidR="002A123F" w:rsidRPr="00C571F2" w:rsidRDefault="002A123F" w:rsidP="002A123F">
      <w:pPr>
        <w:spacing w:before="120" w:after="120" w:line="360" w:lineRule="auto"/>
        <w:rPr>
          <w:rFonts w:cstheme="minorHAnsi"/>
        </w:rPr>
      </w:pPr>
      <w:r w:rsidRPr="00C571F2">
        <w:rPr>
          <w:rFonts w:cstheme="minorHAnsi"/>
        </w:rPr>
        <w:t xml:space="preserve">Recruitment, Consulting and Staffing Association </w:t>
      </w:r>
    </w:p>
    <w:p w14:paraId="6DBB2664" w14:textId="77777777" w:rsidR="002A123F" w:rsidRPr="00C571F2" w:rsidRDefault="002A123F" w:rsidP="002A123F">
      <w:pPr>
        <w:spacing w:before="120" w:after="120" w:line="360" w:lineRule="auto"/>
        <w:rPr>
          <w:rFonts w:cstheme="minorHAnsi"/>
        </w:rPr>
      </w:pPr>
      <w:r w:rsidRPr="00C571F2">
        <w:rPr>
          <w:rFonts w:cstheme="minorHAnsi"/>
        </w:rPr>
        <w:t>Australian Industry Group</w:t>
      </w:r>
    </w:p>
    <w:p w14:paraId="3FBCAA50" w14:textId="77777777" w:rsidR="002A123F" w:rsidRPr="00C571F2" w:rsidRDefault="002A123F" w:rsidP="002A123F">
      <w:pPr>
        <w:spacing w:before="120" w:after="120" w:line="360" w:lineRule="auto"/>
        <w:rPr>
          <w:rFonts w:cstheme="minorHAnsi"/>
        </w:rPr>
      </w:pPr>
      <w:r w:rsidRPr="00C571F2">
        <w:rPr>
          <w:rFonts w:cstheme="minorHAnsi"/>
        </w:rPr>
        <w:t xml:space="preserve">Master Grocers Australia </w:t>
      </w:r>
    </w:p>
    <w:p w14:paraId="43DE8CC3" w14:textId="77777777" w:rsidR="002A123F" w:rsidRPr="00C571F2" w:rsidRDefault="002A123F" w:rsidP="002A123F">
      <w:pPr>
        <w:spacing w:before="120" w:after="120" w:line="360" w:lineRule="auto"/>
        <w:rPr>
          <w:rFonts w:cstheme="minorHAnsi"/>
        </w:rPr>
      </w:pPr>
      <w:r w:rsidRPr="00C571F2">
        <w:rPr>
          <w:rFonts w:cstheme="minorHAnsi"/>
        </w:rPr>
        <w:t xml:space="preserve">Motor Trades Association Queensland </w:t>
      </w:r>
    </w:p>
    <w:p w14:paraId="4BCAFC8A" w14:textId="77777777" w:rsidR="002A123F" w:rsidRPr="00C571F2" w:rsidRDefault="002A123F" w:rsidP="002A123F">
      <w:pPr>
        <w:spacing w:before="120" w:after="120" w:line="360" w:lineRule="auto"/>
        <w:rPr>
          <w:rFonts w:cstheme="minorHAnsi"/>
        </w:rPr>
      </w:pPr>
      <w:r w:rsidRPr="00C571F2">
        <w:rPr>
          <w:rFonts w:cstheme="minorHAnsi"/>
        </w:rPr>
        <w:t>National Retail Association</w:t>
      </w:r>
    </w:p>
    <w:p w14:paraId="454722F5" w14:textId="77777777" w:rsidR="002A123F" w:rsidRPr="00C571F2" w:rsidRDefault="002A123F" w:rsidP="002A123F">
      <w:pPr>
        <w:spacing w:before="120" w:after="120" w:line="360" w:lineRule="auto"/>
        <w:rPr>
          <w:rFonts w:cstheme="minorHAnsi"/>
        </w:rPr>
      </w:pPr>
      <w:r w:rsidRPr="00C571F2">
        <w:rPr>
          <w:rFonts w:cstheme="minorHAnsi"/>
        </w:rPr>
        <w:t xml:space="preserve">National Farmers’ Federation </w:t>
      </w:r>
    </w:p>
    <w:p w14:paraId="5514EF43" w14:textId="77777777" w:rsidR="002A123F" w:rsidRPr="00C571F2" w:rsidRDefault="002A123F" w:rsidP="002A123F">
      <w:pPr>
        <w:spacing w:before="120" w:after="120" w:line="360" w:lineRule="auto"/>
        <w:rPr>
          <w:rFonts w:cstheme="minorHAnsi"/>
        </w:rPr>
      </w:pPr>
      <w:r w:rsidRPr="00C571F2">
        <w:rPr>
          <w:rFonts w:cstheme="minorHAnsi"/>
        </w:rPr>
        <w:t xml:space="preserve">Minerals Council of Australia </w:t>
      </w:r>
    </w:p>
    <w:p w14:paraId="1F2BCA83" w14:textId="77777777" w:rsidR="002A123F" w:rsidRPr="00C571F2" w:rsidRDefault="002A123F" w:rsidP="002A123F">
      <w:pPr>
        <w:spacing w:before="120" w:after="120" w:line="360" w:lineRule="auto"/>
        <w:rPr>
          <w:rFonts w:cstheme="minorHAnsi"/>
          <w:u w:val="single"/>
        </w:rPr>
      </w:pPr>
      <w:r w:rsidRPr="00C571F2">
        <w:rPr>
          <w:rFonts w:cstheme="minorHAnsi"/>
          <w:u w:val="single"/>
        </w:rPr>
        <w:t xml:space="preserve">Employee representatives, 8 July 2022 </w:t>
      </w:r>
    </w:p>
    <w:p w14:paraId="6E04D004" w14:textId="77777777" w:rsidR="002A123F" w:rsidRPr="00C571F2" w:rsidRDefault="002A123F" w:rsidP="002A123F">
      <w:pPr>
        <w:spacing w:before="120" w:after="120" w:line="360" w:lineRule="auto"/>
        <w:rPr>
          <w:rFonts w:cstheme="minorHAnsi"/>
        </w:rPr>
      </w:pPr>
      <w:r w:rsidRPr="00C571F2">
        <w:rPr>
          <w:rFonts w:cstheme="minorHAnsi"/>
        </w:rPr>
        <w:t>Legal Aid NSW</w:t>
      </w:r>
    </w:p>
    <w:p w14:paraId="49AD0DC8" w14:textId="77777777" w:rsidR="002A123F" w:rsidRPr="00C571F2" w:rsidRDefault="002A123F" w:rsidP="002A123F">
      <w:pPr>
        <w:spacing w:before="120" w:after="120" w:line="360" w:lineRule="auto"/>
        <w:rPr>
          <w:rFonts w:cstheme="minorHAnsi"/>
        </w:rPr>
      </w:pPr>
      <w:r w:rsidRPr="00C571F2">
        <w:rPr>
          <w:rFonts w:cstheme="minorHAnsi"/>
        </w:rPr>
        <w:t xml:space="preserve">Retail and Fast Food Workers Union </w:t>
      </w:r>
    </w:p>
    <w:p w14:paraId="0EF693E4" w14:textId="77777777" w:rsidR="002A123F" w:rsidRPr="00C571F2" w:rsidRDefault="002A123F" w:rsidP="002A123F">
      <w:pPr>
        <w:spacing w:before="120" w:after="120" w:line="360" w:lineRule="auto"/>
        <w:rPr>
          <w:rFonts w:cstheme="minorHAnsi"/>
          <w:u w:val="single"/>
        </w:rPr>
      </w:pPr>
      <w:r w:rsidRPr="00C571F2">
        <w:rPr>
          <w:rFonts w:cstheme="minorHAnsi"/>
          <w:u w:val="single"/>
        </w:rPr>
        <w:t xml:space="preserve">State and Territory representatives, 11 July 2022 </w:t>
      </w:r>
    </w:p>
    <w:p w14:paraId="24944A53" w14:textId="77777777" w:rsidR="002A123F" w:rsidRPr="00C571F2" w:rsidRDefault="002A123F" w:rsidP="002A123F">
      <w:pPr>
        <w:spacing w:before="120" w:after="120" w:line="360" w:lineRule="auto"/>
        <w:rPr>
          <w:rFonts w:cstheme="minorHAnsi"/>
        </w:rPr>
      </w:pPr>
      <w:r w:rsidRPr="00C571F2">
        <w:rPr>
          <w:rFonts w:cstheme="minorHAnsi"/>
        </w:rPr>
        <w:t xml:space="preserve">Department of Premier and Cabinet (Victoria) </w:t>
      </w:r>
    </w:p>
    <w:p w14:paraId="67F42A57" w14:textId="77777777" w:rsidR="002A123F" w:rsidRPr="00C571F2" w:rsidRDefault="002A123F" w:rsidP="002A123F">
      <w:pPr>
        <w:spacing w:before="120" w:after="120" w:line="360" w:lineRule="auto"/>
        <w:rPr>
          <w:rFonts w:cstheme="minorHAnsi"/>
        </w:rPr>
      </w:pPr>
      <w:r w:rsidRPr="00C571F2">
        <w:rPr>
          <w:rFonts w:cstheme="minorHAnsi"/>
        </w:rPr>
        <w:t xml:space="preserve">Office of Industrial Relations (Queensland) </w:t>
      </w:r>
    </w:p>
    <w:p w14:paraId="1D0943CB" w14:textId="77777777" w:rsidR="002A123F" w:rsidRPr="00C571F2" w:rsidRDefault="002A123F" w:rsidP="002A123F">
      <w:pPr>
        <w:spacing w:before="120" w:after="120" w:line="360" w:lineRule="auto"/>
        <w:rPr>
          <w:rFonts w:cstheme="minorHAnsi"/>
        </w:rPr>
      </w:pPr>
      <w:r w:rsidRPr="00C571F2">
        <w:rPr>
          <w:rFonts w:cstheme="minorHAnsi"/>
        </w:rPr>
        <w:t xml:space="preserve">Department of Justice (Tasmania) </w:t>
      </w:r>
    </w:p>
    <w:p w14:paraId="077A83B6" w14:textId="77777777" w:rsidR="002A123F" w:rsidRPr="00C571F2" w:rsidRDefault="002A123F" w:rsidP="002A123F">
      <w:pPr>
        <w:spacing w:before="120" w:after="120" w:line="360" w:lineRule="auto"/>
        <w:rPr>
          <w:rFonts w:cstheme="minorHAnsi"/>
        </w:rPr>
      </w:pPr>
      <w:r w:rsidRPr="00C571F2">
        <w:rPr>
          <w:rFonts w:cstheme="minorHAnsi"/>
        </w:rPr>
        <w:t xml:space="preserve">Department of Mines, Industry, Regulation and Safety (Western Australia) </w:t>
      </w:r>
    </w:p>
    <w:p w14:paraId="021BA31B" w14:textId="6C07E102" w:rsidR="002A123F" w:rsidRPr="00C571F2" w:rsidRDefault="000B0C59" w:rsidP="002A123F">
      <w:pPr>
        <w:spacing w:before="120" w:after="120" w:line="360" w:lineRule="auto"/>
        <w:rPr>
          <w:rFonts w:cstheme="minorHAnsi"/>
          <w:i/>
          <w:iCs/>
        </w:rPr>
      </w:pPr>
      <w:r>
        <w:rPr>
          <w:rFonts w:cstheme="minorHAnsi"/>
          <w:i/>
          <w:iCs/>
        </w:rPr>
        <w:lastRenderedPageBreak/>
        <w:br/>
      </w:r>
      <w:r w:rsidR="002A123F" w:rsidRPr="00C571F2">
        <w:rPr>
          <w:rFonts w:cstheme="minorHAnsi"/>
          <w:i/>
          <w:iCs/>
        </w:rPr>
        <w:t xml:space="preserve">Commonwealth entities 14 July 2022 </w:t>
      </w:r>
    </w:p>
    <w:p w14:paraId="794CE8F2" w14:textId="77777777" w:rsidR="002A123F" w:rsidRPr="00C571F2" w:rsidRDefault="002A123F" w:rsidP="002A123F">
      <w:pPr>
        <w:spacing w:before="120" w:after="120" w:line="360" w:lineRule="auto"/>
        <w:rPr>
          <w:rFonts w:cstheme="minorHAnsi"/>
        </w:rPr>
      </w:pPr>
      <w:r w:rsidRPr="00C571F2">
        <w:rPr>
          <w:rFonts w:cstheme="minorHAnsi"/>
        </w:rPr>
        <w:t xml:space="preserve">Australian Public Service Commission </w:t>
      </w:r>
    </w:p>
    <w:p w14:paraId="16917737" w14:textId="77777777" w:rsidR="002A123F" w:rsidRPr="00C571F2" w:rsidRDefault="002A123F" w:rsidP="002A123F">
      <w:pPr>
        <w:spacing w:before="120" w:after="120" w:line="360" w:lineRule="auto"/>
        <w:rPr>
          <w:rFonts w:cstheme="minorHAnsi"/>
        </w:rPr>
      </w:pPr>
      <w:r w:rsidRPr="00C571F2">
        <w:rPr>
          <w:rFonts w:cstheme="minorHAnsi"/>
        </w:rPr>
        <w:t xml:space="preserve">Australian Small Business and Family Enterprise Ombudsman </w:t>
      </w:r>
    </w:p>
    <w:p w14:paraId="659747BA" w14:textId="77777777" w:rsidR="002A123F" w:rsidRPr="00C571F2" w:rsidRDefault="002A123F" w:rsidP="002A123F">
      <w:pPr>
        <w:spacing w:before="120" w:after="120" w:line="360" w:lineRule="auto"/>
        <w:rPr>
          <w:rFonts w:cstheme="minorHAnsi"/>
        </w:rPr>
      </w:pPr>
      <w:r w:rsidRPr="00C571F2">
        <w:rPr>
          <w:rFonts w:cstheme="minorHAnsi"/>
        </w:rPr>
        <w:t>Fair Work Commission</w:t>
      </w:r>
    </w:p>
    <w:p w14:paraId="77A7A719" w14:textId="77777777" w:rsidR="002A123F" w:rsidRPr="00C571F2" w:rsidRDefault="002A123F" w:rsidP="002A123F">
      <w:pPr>
        <w:spacing w:before="120" w:after="120" w:line="360" w:lineRule="auto"/>
        <w:rPr>
          <w:rFonts w:cstheme="minorHAnsi"/>
        </w:rPr>
      </w:pPr>
      <w:r w:rsidRPr="00C571F2">
        <w:rPr>
          <w:rFonts w:cstheme="minorHAnsi"/>
        </w:rPr>
        <w:t xml:space="preserve">Fair Work Ombudsman </w:t>
      </w:r>
    </w:p>
    <w:p w14:paraId="75C265EF" w14:textId="77777777" w:rsidR="002A123F" w:rsidRPr="00C571F2" w:rsidRDefault="002A123F" w:rsidP="002A123F">
      <w:pPr>
        <w:spacing w:before="120" w:after="120" w:line="360" w:lineRule="auto"/>
        <w:rPr>
          <w:rFonts w:cstheme="minorHAnsi"/>
        </w:rPr>
      </w:pPr>
      <w:r w:rsidRPr="00C571F2">
        <w:rPr>
          <w:rFonts w:cstheme="minorHAnsi"/>
        </w:rPr>
        <w:t xml:space="preserve">Federal Circuit and Family Court of Australia Federal Court of Australia </w:t>
      </w:r>
    </w:p>
    <w:p w14:paraId="3DCD8BC5" w14:textId="77777777" w:rsidR="002A123F" w:rsidRPr="00C571F2" w:rsidRDefault="002A123F" w:rsidP="002A123F">
      <w:pPr>
        <w:spacing w:before="120" w:after="120" w:line="360" w:lineRule="auto"/>
        <w:rPr>
          <w:rFonts w:cstheme="minorHAnsi"/>
          <w:u w:val="single"/>
        </w:rPr>
      </w:pPr>
      <w:r w:rsidRPr="00C571F2">
        <w:rPr>
          <w:rFonts w:cstheme="minorHAnsi"/>
          <w:u w:val="single"/>
        </w:rPr>
        <w:t xml:space="preserve">Sydney in person session, 15 July 2022 </w:t>
      </w:r>
    </w:p>
    <w:p w14:paraId="1177C77B" w14:textId="77777777" w:rsidR="002A123F" w:rsidRPr="00C571F2" w:rsidRDefault="002A123F" w:rsidP="002A123F">
      <w:pPr>
        <w:spacing w:before="120" w:after="120" w:line="360" w:lineRule="auto"/>
        <w:rPr>
          <w:rFonts w:cstheme="minorHAnsi"/>
        </w:rPr>
      </w:pPr>
      <w:r w:rsidRPr="00C571F2">
        <w:rPr>
          <w:rFonts w:cstheme="minorHAnsi"/>
        </w:rPr>
        <w:t xml:space="preserve">Motor Traders’ Association of NSW </w:t>
      </w:r>
    </w:p>
    <w:p w14:paraId="3B2C7507" w14:textId="77777777" w:rsidR="002A123F" w:rsidRPr="00C571F2" w:rsidRDefault="002A123F" w:rsidP="002A123F">
      <w:pPr>
        <w:spacing w:before="120" w:after="120" w:line="360" w:lineRule="auto"/>
        <w:rPr>
          <w:rFonts w:cstheme="minorHAnsi"/>
        </w:rPr>
      </w:pPr>
      <w:r w:rsidRPr="00C571F2">
        <w:rPr>
          <w:rFonts w:cstheme="minorHAnsi"/>
        </w:rPr>
        <w:t xml:space="preserve">Council of Small Business Organisations Australia </w:t>
      </w:r>
    </w:p>
    <w:p w14:paraId="339261FD" w14:textId="77777777" w:rsidR="002A123F" w:rsidRPr="00C571F2" w:rsidRDefault="002A123F" w:rsidP="002A123F">
      <w:pPr>
        <w:spacing w:before="120" w:after="120" w:line="360" w:lineRule="auto"/>
        <w:rPr>
          <w:rFonts w:cstheme="minorHAnsi"/>
        </w:rPr>
      </w:pPr>
      <w:r w:rsidRPr="00C571F2">
        <w:rPr>
          <w:rFonts w:cstheme="minorHAnsi"/>
        </w:rPr>
        <w:t>Australian Retailers Association</w:t>
      </w:r>
    </w:p>
    <w:p w14:paraId="11C5F597" w14:textId="77777777" w:rsidR="002A123F" w:rsidRPr="00C571F2" w:rsidRDefault="002A123F" w:rsidP="002A123F">
      <w:pPr>
        <w:spacing w:before="120" w:after="120" w:line="360" w:lineRule="auto"/>
        <w:rPr>
          <w:rFonts w:cstheme="minorHAnsi"/>
        </w:rPr>
      </w:pPr>
      <w:r w:rsidRPr="00C571F2">
        <w:rPr>
          <w:rFonts w:cstheme="minorHAnsi"/>
        </w:rPr>
        <w:t xml:space="preserve">Association of Professional Staffing Companies </w:t>
      </w:r>
    </w:p>
    <w:p w14:paraId="726B4AB0" w14:textId="77777777" w:rsidR="002A123F" w:rsidRPr="00C571F2" w:rsidRDefault="002A123F" w:rsidP="002A123F">
      <w:pPr>
        <w:spacing w:before="120" w:after="120" w:line="360" w:lineRule="auto"/>
        <w:rPr>
          <w:rFonts w:cstheme="minorHAnsi"/>
        </w:rPr>
      </w:pPr>
      <w:r w:rsidRPr="00C571F2">
        <w:rPr>
          <w:rFonts w:cstheme="minorHAnsi"/>
        </w:rPr>
        <w:t>Australia Electrical Trades Union</w:t>
      </w:r>
    </w:p>
    <w:p w14:paraId="191D41EB" w14:textId="77777777" w:rsidR="002A123F" w:rsidRPr="00C571F2" w:rsidRDefault="002A123F" w:rsidP="002A123F">
      <w:pPr>
        <w:spacing w:before="120" w:after="120" w:line="360" w:lineRule="auto"/>
        <w:rPr>
          <w:rFonts w:cstheme="minorHAnsi"/>
        </w:rPr>
      </w:pPr>
      <w:r w:rsidRPr="00C571F2">
        <w:rPr>
          <w:rFonts w:cstheme="minorHAnsi"/>
        </w:rPr>
        <w:t xml:space="preserve">Business Council of Australia </w:t>
      </w:r>
    </w:p>
    <w:p w14:paraId="12769124" w14:textId="77777777" w:rsidR="002A123F" w:rsidRPr="00C571F2" w:rsidRDefault="002A123F" w:rsidP="002A123F">
      <w:pPr>
        <w:spacing w:before="120" w:after="120" w:line="360" w:lineRule="auto"/>
        <w:rPr>
          <w:rFonts w:cstheme="minorHAnsi"/>
        </w:rPr>
      </w:pPr>
      <w:r w:rsidRPr="00C571F2">
        <w:rPr>
          <w:rFonts w:cstheme="minorHAnsi"/>
        </w:rPr>
        <w:t>Australian Industry Group</w:t>
      </w:r>
    </w:p>
    <w:p w14:paraId="69AAD177" w14:textId="77777777" w:rsidR="002A123F" w:rsidRPr="00C10812" w:rsidRDefault="002A123F" w:rsidP="002A123F">
      <w:pPr>
        <w:spacing w:before="120" w:after="120" w:line="360" w:lineRule="auto"/>
        <w:rPr>
          <w:rFonts w:ascii="Century Gothic" w:hAnsi="Century Gothic"/>
        </w:rPr>
      </w:pPr>
    </w:p>
    <w:p w14:paraId="5932B5B2" w14:textId="77777777" w:rsidR="002A123F" w:rsidRDefault="002A123F" w:rsidP="002A123F"/>
    <w:p w14:paraId="76F04DBE" w14:textId="77777777" w:rsidR="002A123F" w:rsidRDefault="002A123F" w:rsidP="008A059F">
      <w:pPr>
        <w:spacing w:before="120" w:after="120" w:line="360" w:lineRule="auto"/>
        <w:contextualSpacing/>
        <w:rPr>
          <w:rFonts w:eastAsiaTheme="minorEastAsia"/>
        </w:rPr>
      </w:pPr>
    </w:p>
    <w:p w14:paraId="6B43A238" w14:textId="26BE32BE" w:rsidR="006E50D7" w:rsidRPr="00613AF5" w:rsidRDefault="006E50D7" w:rsidP="00966E56">
      <w:pPr>
        <w:spacing w:before="120" w:after="120" w:line="360" w:lineRule="auto"/>
        <w:contextualSpacing/>
        <w:rPr>
          <w:rFonts w:eastAsiaTheme="minorEastAsia"/>
        </w:rPr>
        <w:sectPr w:rsidR="006E50D7" w:rsidRPr="00613AF5">
          <w:headerReference w:type="default" r:id="rId34"/>
          <w:footerReference w:type="default" r:id="rId35"/>
          <w:footerReference w:type="first" r:id="rId36"/>
          <w:type w:val="continuous"/>
          <w:pgSz w:w="11906" w:h="16838"/>
          <w:pgMar w:top="1418" w:right="1440" w:bottom="1560" w:left="1276" w:header="708" w:footer="708" w:gutter="0"/>
          <w:cols w:space="708"/>
          <w:titlePg/>
          <w:docGrid w:linePitch="360"/>
        </w:sectPr>
      </w:pPr>
    </w:p>
    <w:p w14:paraId="5E5787A5" w14:textId="71A91EDF" w:rsidR="001234CE" w:rsidRPr="00A030A7" w:rsidRDefault="001234CE" w:rsidP="00613AF5">
      <w:pPr>
        <w:pStyle w:val="Heading2"/>
        <w:keepNext w:val="0"/>
        <w:keepLines w:val="0"/>
        <w:spacing w:before="120" w:after="120" w:line="360" w:lineRule="auto"/>
        <w:contextualSpacing/>
        <w:rPr>
          <w:rFonts w:asciiTheme="minorHAnsi" w:eastAsiaTheme="minorEastAsia" w:hAnsiTheme="minorHAnsi" w:cstheme="minorBidi"/>
          <w:b w:val="0"/>
          <w:color w:val="auto"/>
          <w:sz w:val="22"/>
          <w:szCs w:val="22"/>
        </w:rPr>
      </w:pPr>
    </w:p>
    <w:sectPr w:rsidR="001234CE" w:rsidRPr="00A030A7" w:rsidSect="002A123F">
      <w:headerReference w:type="default" r:id="rId37"/>
      <w:footerReference w:type="default" r:id="rId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702E" w14:textId="77777777" w:rsidR="000B52B8" w:rsidRDefault="000B52B8" w:rsidP="000D7E4C">
      <w:pPr>
        <w:spacing w:after="0" w:line="240" w:lineRule="auto"/>
      </w:pPr>
      <w:r>
        <w:separator/>
      </w:r>
    </w:p>
  </w:endnote>
  <w:endnote w:type="continuationSeparator" w:id="0">
    <w:p w14:paraId="601A58CD" w14:textId="77777777" w:rsidR="000B52B8" w:rsidRDefault="000B52B8" w:rsidP="000D7E4C">
      <w:pPr>
        <w:spacing w:after="0" w:line="240" w:lineRule="auto"/>
      </w:pPr>
      <w:r>
        <w:continuationSeparator/>
      </w:r>
    </w:p>
  </w:endnote>
  <w:endnote w:type="continuationNotice" w:id="1">
    <w:p w14:paraId="0268036B" w14:textId="77777777" w:rsidR="000B52B8" w:rsidRDefault="000B52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7F777" w14:textId="330C5D9B" w:rsidR="008A059F" w:rsidRPr="006D52B4" w:rsidRDefault="008A059F" w:rsidP="0080450B">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01D38" w14:textId="616A8BF5" w:rsidR="0080450B" w:rsidRPr="006D52B4" w:rsidRDefault="0080450B" w:rsidP="0080450B">
    <w:pPr>
      <w:pStyle w:val="Footer"/>
      <w:jc w:val="cen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063E0" w14:textId="39329950" w:rsidR="002A123F" w:rsidRDefault="002A12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9543" w14:textId="6E8C9617" w:rsidR="006E50D7" w:rsidRPr="001D193E" w:rsidRDefault="006E50D7">
    <w:pPr>
      <w:pStyle w:val="Footer"/>
      <w:jc w:val="center"/>
      <w:rPr>
        <w:color w:val="FF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99B19" w14:textId="5145BBBD" w:rsidR="006E50D7" w:rsidRPr="001D193E" w:rsidRDefault="006E50D7">
    <w:pPr>
      <w:pStyle w:val="Footer"/>
      <w:jc w:val="center"/>
      <w:rPr>
        <w:color w:val="FF000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B0FA" w14:textId="78328618" w:rsidR="008A059F" w:rsidRPr="00917EFE" w:rsidRDefault="008A059F" w:rsidP="00917EFE">
    <w:pPr>
      <w:pStyle w:val="Footer"/>
      <w:jc w:val="cen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DE147" w14:textId="77777777" w:rsidR="000B52B8" w:rsidRDefault="000B52B8" w:rsidP="000D7E4C">
      <w:pPr>
        <w:spacing w:after="0" w:line="240" w:lineRule="auto"/>
      </w:pPr>
      <w:r>
        <w:separator/>
      </w:r>
    </w:p>
  </w:footnote>
  <w:footnote w:type="continuationSeparator" w:id="0">
    <w:p w14:paraId="7388D881" w14:textId="77777777" w:rsidR="000B52B8" w:rsidRDefault="000B52B8" w:rsidP="000D7E4C">
      <w:pPr>
        <w:spacing w:after="0" w:line="240" w:lineRule="auto"/>
      </w:pPr>
      <w:r>
        <w:continuationSeparator/>
      </w:r>
    </w:p>
  </w:footnote>
  <w:footnote w:type="continuationNotice" w:id="1">
    <w:p w14:paraId="26FA06A6" w14:textId="77777777" w:rsidR="000B52B8" w:rsidRDefault="000B52B8">
      <w:pPr>
        <w:spacing w:after="0" w:line="240" w:lineRule="auto"/>
      </w:pPr>
    </w:p>
  </w:footnote>
  <w:footnote w:id="2">
    <w:p w14:paraId="5AA8B132" w14:textId="6A0196A2" w:rsidR="008A059F" w:rsidRPr="00DB50CA" w:rsidRDefault="008A059F" w:rsidP="008A059F">
      <w:pPr>
        <w:pStyle w:val="FootnoteText"/>
        <w:rPr>
          <w:rFonts w:asciiTheme="minorHAnsi" w:hAnsiTheme="minorHAnsi" w:cstheme="minorHAnsi"/>
        </w:rPr>
      </w:pPr>
      <w:r>
        <w:rPr>
          <w:rStyle w:val="FootnoteReference"/>
        </w:rPr>
        <w:footnoteRef/>
      </w:r>
      <w:r>
        <w:t xml:space="preserve"> </w:t>
      </w:r>
      <w:r w:rsidRPr="00DB50CA">
        <w:rPr>
          <w:rFonts w:asciiTheme="minorHAnsi" w:hAnsiTheme="minorHAnsi" w:cstheme="minorHAnsi"/>
        </w:rPr>
        <w:t xml:space="preserve">Senate Select Committee on Job Security, </w:t>
      </w:r>
      <w:hyperlink r:id="rId1" w:history="1">
        <w:r w:rsidRPr="00956A60">
          <w:rPr>
            <w:rStyle w:val="Hyperlink"/>
            <w:rFonts w:asciiTheme="minorHAnsi" w:hAnsiTheme="minorHAnsi" w:cstheme="minorHAnsi"/>
            <w:i/>
            <w:iCs/>
          </w:rPr>
          <w:t>The job insecurity report</w:t>
        </w:r>
      </w:hyperlink>
      <w:r w:rsidRPr="00DB50CA">
        <w:rPr>
          <w:rFonts w:asciiTheme="minorHAnsi" w:hAnsiTheme="minorHAnsi" w:cstheme="minorHAnsi"/>
        </w:rPr>
        <w:t xml:space="preserve">, February 2022, </w:t>
      </w:r>
      <w:r>
        <w:rPr>
          <w:rFonts w:asciiTheme="minorHAnsi" w:hAnsiTheme="minorHAnsi" w:cstheme="minorHAnsi"/>
        </w:rPr>
        <w:t>pp</w:t>
      </w:r>
      <w:r w:rsidRPr="00DB50CA">
        <w:rPr>
          <w:rFonts w:asciiTheme="minorHAnsi" w:hAnsiTheme="minorHAnsi" w:cstheme="minorHAnsi"/>
        </w:rPr>
        <w:t xml:space="preserve"> 43-44 (Quoting submission from Professor Michael Quinlan and Dr Elsa Underhill)</w:t>
      </w:r>
      <w:r>
        <w:rPr>
          <w:rFonts w:asciiTheme="minorHAnsi" w:hAnsiTheme="minorHAnsi" w:cstheme="minorHAnsi"/>
        </w:rPr>
        <w:t xml:space="preserve"> </w:t>
      </w:r>
    </w:p>
  </w:footnote>
  <w:footnote w:id="3">
    <w:p w14:paraId="14A2AB13" w14:textId="44E8DD08" w:rsidR="008A059F" w:rsidRDefault="008A059F" w:rsidP="008A059F">
      <w:pPr>
        <w:pStyle w:val="FootnoteText"/>
      </w:pPr>
      <w:r w:rsidRPr="00DB50CA">
        <w:rPr>
          <w:rStyle w:val="FootnoteReference"/>
          <w:rFonts w:asciiTheme="minorHAnsi" w:hAnsiTheme="minorHAnsi" w:cstheme="minorHAnsi"/>
        </w:rPr>
        <w:footnoteRef/>
      </w:r>
      <w:r>
        <w:rPr>
          <w:rFonts w:asciiTheme="minorHAnsi" w:hAnsiTheme="minorHAnsi" w:cstheme="minorHAnsi"/>
        </w:rPr>
        <w:t xml:space="preserve"> </w:t>
      </w:r>
      <w:r w:rsidRPr="00DB50CA">
        <w:rPr>
          <w:rFonts w:asciiTheme="minorHAnsi" w:hAnsiTheme="minorHAnsi" w:cstheme="minorHAnsi"/>
        </w:rPr>
        <w:t xml:space="preserve">Senate Select Committee on Job Security, </w:t>
      </w:r>
      <w:hyperlink r:id="rId2" w:history="1">
        <w:r w:rsidRPr="002D4D6D">
          <w:rPr>
            <w:rStyle w:val="Hyperlink"/>
            <w:rFonts w:asciiTheme="minorHAnsi" w:hAnsiTheme="minorHAnsi" w:cstheme="minorHAnsi"/>
            <w:i/>
            <w:iCs/>
          </w:rPr>
          <w:t>The job insecurity report</w:t>
        </w:r>
      </w:hyperlink>
      <w:r w:rsidRPr="00DB50CA">
        <w:rPr>
          <w:rFonts w:asciiTheme="minorHAnsi" w:hAnsiTheme="minorHAnsi" w:cstheme="minorHAnsi"/>
        </w:rPr>
        <w:t xml:space="preserve">, February 2022, </w:t>
      </w:r>
      <w:r>
        <w:rPr>
          <w:rFonts w:asciiTheme="minorHAnsi" w:hAnsiTheme="minorHAnsi" w:cstheme="minorHAnsi"/>
        </w:rPr>
        <w:t>p</w:t>
      </w:r>
      <w:r w:rsidRPr="00DB50CA">
        <w:rPr>
          <w:rFonts w:asciiTheme="minorHAnsi" w:hAnsiTheme="minorHAnsi" w:cstheme="minorHAnsi"/>
        </w:rPr>
        <w:t xml:space="preserve"> 49 (Quoting submission from the Australian Medical Association)</w:t>
      </w:r>
      <w:r>
        <w:rPr>
          <w:rFonts w:asciiTheme="minorHAnsi" w:hAnsiTheme="minorHAnsi" w:cstheme="minorHAnsi"/>
        </w:rPr>
        <w:t>.</w:t>
      </w:r>
      <w:r w:rsidRPr="00F87095">
        <w:rPr>
          <w:rStyle w:val="Hyperlink"/>
          <w:rFonts w:asciiTheme="minorHAnsi" w:hAnsiTheme="minorHAnsi" w:cstheme="minorHAnsi"/>
        </w:rPr>
        <w:t xml:space="preserve"> </w:t>
      </w:r>
    </w:p>
  </w:footnote>
  <w:footnote w:id="4">
    <w:p w14:paraId="226058CE" w14:textId="7E1E431C" w:rsidR="008A059F" w:rsidRPr="00DB50CA" w:rsidRDefault="008A059F" w:rsidP="008A059F">
      <w:pPr>
        <w:pStyle w:val="FootnoteText"/>
        <w:rPr>
          <w:rFonts w:asciiTheme="minorHAnsi" w:hAnsiTheme="minorHAnsi" w:cstheme="minorHAnsi"/>
        </w:rPr>
      </w:pPr>
      <w:r w:rsidRPr="00DB50CA">
        <w:rPr>
          <w:rStyle w:val="FootnoteReference"/>
          <w:rFonts w:asciiTheme="minorHAnsi" w:hAnsiTheme="minorHAnsi" w:cstheme="minorHAnsi"/>
        </w:rPr>
        <w:footnoteRef/>
      </w:r>
      <w:r>
        <w:rPr>
          <w:rFonts w:asciiTheme="minorHAnsi" w:hAnsiTheme="minorHAnsi" w:cstheme="minorHAnsi"/>
        </w:rPr>
        <w:t xml:space="preserve"> </w:t>
      </w:r>
      <w:r w:rsidRPr="00DB50CA">
        <w:rPr>
          <w:rFonts w:asciiTheme="minorHAnsi" w:hAnsiTheme="minorHAnsi" w:cstheme="minorHAnsi"/>
        </w:rPr>
        <w:t xml:space="preserve">Senate Select Committee on Job Security, </w:t>
      </w:r>
      <w:hyperlink r:id="rId3" w:history="1">
        <w:r w:rsidRPr="002D4D6D">
          <w:rPr>
            <w:rStyle w:val="Hyperlink"/>
            <w:rFonts w:asciiTheme="minorHAnsi" w:hAnsiTheme="minorHAnsi" w:cstheme="minorHAnsi"/>
            <w:i/>
            <w:iCs/>
          </w:rPr>
          <w:t>The job insecurity report</w:t>
        </w:r>
      </w:hyperlink>
      <w:r w:rsidRPr="00DB50CA">
        <w:rPr>
          <w:rFonts w:asciiTheme="minorHAnsi" w:hAnsiTheme="minorHAnsi" w:cstheme="minorHAnsi"/>
        </w:rPr>
        <w:t xml:space="preserve">, February 2022, </w:t>
      </w:r>
      <w:r>
        <w:rPr>
          <w:rFonts w:asciiTheme="minorHAnsi" w:hAnsiTheme="minorHAnsi" w:cstheme="minorHAnsi"/>
        </w:rPr>
        <w:t>p</w:t>
      </w:r>
      <w:r w:rsidRPr="00DB50CA">
        <w:rPr>
          <w:rFonts w:asciiTheme="minorHAnsi" w:hAnsiTheme="minorHAnsi" w:cstheme="minorHAnsi"/>
        </w:rPr>
        <w:t xml:space="preserve"> 54 (Quoting submission from the Western Australian Council of Social Services).</w:t>
      </w:r>
      <w:r w:rsidRPr="00F87095">
        <w:rPr>
          <w:rStyle w:val="Hyperlink"/>
          <w:rFonts w:asciiTheme="minorHAnsi" w:hAnsiTheme="minorHAnsi" w:cstheme="minorHAnsi"/>
        </w:rPr>
        <w:t xml:space="preserve"> </w:t>
      </w:r>
    </w:p>
  </w:footnote>
  <w:footnote w:id="5">
    <w:p w14:paraId="653B9D0B" w14:textId="29626DDB" w:rsidR="008A059F" w:rsidRDefault="008A059F" w:rsidP="008A059F">
      <w:pPr>
        <w:pStyle w:val="FootnoteText"/>
      </w:pPr>
      <w:r>
        <w:rPr>
          <w:rStyle w:val="FootnoteReference"/>
        </w:rPr>
        <w:footnoteRef/>
      </w:r>
      <w:r>
        <w:t xml:space="preserve"> </w:t>
      </w:r>
      <w:r>
        <w:rPr>
          <w:rFonts w:asciiTheme="minorHAnsi" w:hAnsiTheme="minorHAnsi" w:cstheme="minorHAnsi"/>
        </w:rPr>
        <w:t>KPMG,</w:t>
      </w:r>
      <w:r w:rsidRPr="00316257">
        <w:rPr>
          <w:rFonts w:asciiTheme="minorHAnsi" w:hAnsiTheme="minorHAnsi" w:cstheme="minorHAnsi"/>
        </w:rPr>
        <w:t xml:space="preserve"> </w:t>
      </w:r>
      <w:hyperlink r:id="rId4" w:history="1">
        <w:r w:rsidRPr="00637288">
          <w:rPr>
            <w:rStyle w:val="Hyperlink"/>
            <w:rFonts w:asciiTheme="minorHAnsi" w:hAnsiTheme="minorHAnsi" w:cstheme="minorHAnsi"/>
            <w:i/>
            <w:iCs/>
          </w:rPr>
          <w:t xml:space="preserve">Review of the Fair Work Amendment (Supporting Australia’s Jobs and Economic Recovery) Act 2021 </w:t>
        </w:r>
        <w:r w:rsidRPr="00637288">
          <w:rPr>
            <w:rStyle w:val="Hyperlink"/>
            <w:rFonts w:asciiTheme="minorHAnsi" w:hAnsiTheme="minorHAnsi" w:cstheme="minorHAnsi"/>
          </w:rPr>
          <w:t>(Cth)</w:t>
        </w:r>
      </w:hyperlink>
      <w:r w:rsidRPr="00316257">
        <w:rPr>
          <w:rFonts w:asciiTheme="minorHAnsi" w:hAnsiTheme="minorHAnsi" w:cstheme="minorHAnsi"/>
        </w:rPr>
        <w:t>,</w:t>
      </w:r>
      <w:r w:rsidRPr="00316257">
        <w:rPr>
          <w:rFonts w:asciiTheme="minorHAnsi" w:hAnsiTheme="minorHAnsi" w:cstheme="minorHAnsi"/>
          <w:i/>
          <w:iCs/>
        </w:rPr>
        <w:t xml:space="preserve"> </w:t>
      </w:r>
      <w:r>
        <w:rPr>
          <w:rFonts w:asciiTheme="minorHAnsi" w:hAnsiTheme="minorHAnsi" w:cstheme="minorHAnsi"/>
        </w:rPr>
        <w:t xml:space="preserve">October 2022, </w:t>
      </w:r>
      <w:r w:rsidRPr="00316257">
        <w:rPr>
          <w:rFonts w:asciiTheme="minorHAnsi" w:hAnsiTheme="minorHAnsi" w:cstheme="minorHAnsi"/>
        </w:rPr>
        <w:t>p</w:t>
      </w:r>
      <w:r>
        <w:rPr>
          <w:rFonts w:asciiTheme="minorHAnsi" w:hAnsiTheme="minorHAnsi" w:cstheme="minorHAnsi"/>
        </w:rPr>
        <w:t xml:space="preserve"> 71</w:t>
      </w:r>
      <w:r w:rsidR="00D0608D">
        <w:rPr>
          <w:rStyle w:val="Hyperlink"/>
          <w:rFonts w:asciiTheme="minorHAnsi" w:hAnsiTheme="minorHAnsi" w:cstheme="minorHAnsi"/>
        </w:rPr>
        <w:t>.</w:t>
      </w:r>
    </w:p>
  </w:footnote>
  <w:footnote w:id="6">
    <w:p w14:paraId="3B049067" w14:textId="25A1E47A" w:rsidR="008A059F" w:rsidRDefault="008A059F" w:rsidP="008A059F">
      <w:pPr>
        <w:pStyle w:val="FootnoteText"/>
      </w:pPr>
      <w:r>
        <w:rPr>
          <w:rStyle w:val="FootnoteReference"/>
        </w:rPr>
        <w:footnoteRef/>
      </w:r>
      <w:r>
        <w:t xml:space="preserve"> </w:t>
      </w:r>
      <w:r>
        <w:rPr>
          <w:rFonts w:asciiTheme="minorHAnsi" w:hAnsiTheme="minorHAnsi" w:cstheme="minorHAnsi"/>
        </w:rPr>
        <w:t>KPMG,</w:t>
      </w:r>
      <w:r w:rsidRPr="00316257">
        <w:rPr>
          <w:rFonts w:asciiTheme="minorHAnsi" w:hAnsiTheme="minorHAnsi" w:cstheme="minorHAnsi"/>
        </w:rPr>
        <w:t xml:space="preserve"> </w:t>
      </w:r>
      <w:hyperlink r:id="rId5" w:history="1">
        <w:r w:rsidRPr="00637288">
          <w:rPr>
            <w:rStyle w:val="Hyperlink"/>
            <w:rFonts w:asciiTheme="minorHAnsi" w:hAnsiTheme="minorHAnsi" w:cstheme="minorHAnsi"/>
            <w:i/>
            <w:iCs/>
          </w:rPr>
          <w:t xml:space="preserve">Review of the Fair Work Amendment (Supporting Australia’s Jobs and Economic Recovery) Act 2021 </w:t>
        </w:r>
        <w:r w:rsidRPr="00637288">
          <w:rPr>
            <w:rStyle w:val="Hyperlink"/>
            <w:rFonts w:asciiTheme="minorHAnsi" w:hAnsiTheme="minorHAnsi" w:cstheme="minorHAnsi"/>
          </w:rPr>
          <w:t>(Cth)</w:t>
        </w:r>
      </w:hyperlink>
      <w:r w:rsidRPr="00316257">
        <w:rPr>
          <w:rFonts w:asciiTheme="minorHAnsi" w:hAnsiTheme="minorHAnsi" w:cstheme="minorHAnsi"/>
        </w:rPr>
        <w:t>,</w:t>
      </w:r>
      <w:r w:rsidRPr="00316257">
        <w:rPr>
          <w:rFonts w:asciiTheme="minorHAnsi" w:hAnsiTheme="minorHAnsi" w:cstheme="minorHAnsi"/>
          <w:i/>
          <w:iCs/>
        </w:rPr>
        <w:t xml:space="preserve"> </w:t>
      </w:r>
      <w:r>
        <w:rPr>
          <w:rFonts w:asciiTheme="minorHAnsi" w:hAnsiTheme="minorHAnsi" w:cstheme="minorHAnsi"/>
        </w:rPr>
        <w:t xml:space="preserve">October 2022, </w:t>
      </w:r>
      <w:r w:rsidRPr="00316257">
        <w:rPr>
          <w:rFonts w:asciiTheme="minorHAnsi" w:hAnsiTheme="minorHAnsi" w:cstheme="minorHAnsi"/>
        </w:rPr>
        <w:t>p</w:t>
      </w:r>
      <w:r>
        <w:rPr>
          <w:rFonts w:asciiTheme="minorHAnsi" w:hAnsiTheme="minorHAnsi" w:cstheme="minorHAnsi"/>
        </w:rPr>
        <w:t xml:space="preserve"> 75</w:t>
      </w:r>
      <w:r w:rsidR="00025466">
        <w:rPr>
          <w:rFonts w:asciiTheme="minorHAnsi" w:hAnsiTheme="minorHAnsi" w:cstheme="minorHAnsi"/>
        </w:rPr>
        <w:t>.</w:t>
      </w:r>
    </w:p>
  </w:footnote>
  <w:footnote w:id="7">
    <w:p w14:paraId="39249E5A" w14:textId="447A5719" w:rsidR="008A059F" w:rsidRDefault="008A059F" w:rsidP="008A059F">
      <w:pPr>
        <w:pStyle w:val="FootnoteText"/>
      </w:pPr>
      <w:r>
        <w:rPr>
          <w:rStyle w:val="FootnoteReference"/>
        </w:rPr>
        <w:footnoteRef/>
      </w:r>
      <w:r>
        <w:t xml:space="preserve"> </w:t>
      </w:r>
      <w:r w:rsidRPr="00A970FF">
        <w:rPr>
          <w:rFonts w:asciiTheme="minorHAnsi" w:hAnsiTheme="minorHAnsi" w:cstheme="minorHAnsi"/>
        </w:rPr>
        <w:t xml:space="preserve">Senate Select Committee on Job Security, </w:t>
      </w:r>
      <w:hyperlink r:id="rId6" w:history="1">
        <w:r w:rsidRPr="00D462BA">
          <w:rPr>
            <w:rStyle w:val="Hyperlink"/>
            <w:rFonts w:asciiTheme="minorHAnsi" w:hAnsiTheme="minorHAnsi" w:cstheme="minorHAnsi"/>
            <w:i/>
            <w:iCs/>
          </w:rPr>
          <w:t>The job insecurity report</w:t>
        </w:r>
      </w:hyperlink>
      <w:r w:rsidRPr="00A970FF">
        <w:rPr>
          <w:rFonts w:asciiTheme="minorHAnsi" w:hAnsiTheme="minorHAnsi" w:cstheme="minorHAnsi"/>
        </w:rPr>
        <w:t xml:space="preserve">, February 2022, </w:t>
      </w:r>
      <w:r>
        <w:rPr>
          <w:rFonts w:asciiTheme="minorHAnsi" w:hAnsiTheme="minorHAnsi" w:cstheme="minorHAnsi"/>
        </w:rPr>
        <w:t>pp</w:t>
      </w:r>
      <w:r w:rsidRPr="00A970FF">
        <w:rPr>
          <w:rFonts w:asciiTheme="minorHAnsi" w:hAnsiTheme="minorHAnsi" w:cstheme="minorHAnsi"/>
        </w:rPr>
        <w:t xml:space="preserve"> 82-</w:t>
      </w:r>
      <w:r>
        <w:rPr>
          <w:rFonts w:asciiTheme="minorHAnsi" w:hAnsiTheme="minorHAnsi" w:cstheme="minorHAnsi"/>
        </w:rPr>
        <w:t>8</w:t>
      </w:r>
      <w:r w:rsidRPr="00A970FF">
        <w:rPr>
          <w:rFonts w:asciiTheme="minorHAnsi" w:hAnsiTheme="minorHAnsi" w:cstheme="minorHAnsi"/>
        </w:rPr>
        <w:t>3 (Quoting submission from the National Foundation for Australian Women)</w:t>
      </w:r>
      <w:r w:rsidR="00C97504">
        <w:rPr>
          <w:rFonts w:asciiTheme="minorHAnsi" w:hAnsiTheme="minorHAnsi" w:cstheme="minorHAnsi"/>
        </w:rPr>
        <w:t>.</w:t>
      </w:r>
    </w:p>
  </w:footnote>
  <w:footnote w:id="8">
    <w:p w14:paraId="4CDBC1DB" w14:textId="63AC71F3" w:rsidR="008A059F" w:rsidRPr="00A970FF" w:rsidRDefault="008A059F" w:rsidP="008A059F">
      <w:pPr>
        <w:pStyle w:val="FootnoteText"/>
        <w:rPr>
          <w:rFonts w:asciiTheme="minorHAnsi" w:hAnsiTheme="minorHAnsi" w:cstheme="minorHAnsi"/>
        </w:rPr>
      </w:pPr>
      <w:r>
        <w:rPr>
          <w:rStyle w:val="FootnoteReference"/>
        </w:rPr>
        <w:footnoteRef/>
      </w:r>
      <w:r>
        <w:t xml:space="preserve"> </w:t>
      </w:r>
      <w:r w:rsidRPr="00A970FF">
        <w:rPr>
          <w:rFonts w:asciiTheme="minorHAnsi" w:hAnsiTheme="minorHAnsi" w:cstheme="minorHAnsi"/>
        </w:rPr>
        <w:t xml:space="preserve">Senate Select Committee on Job Security, </w:t>
      </w:r>
      <w:hyperlink r:id="rId7" w:history="1">
        <w:r w:rsidRPr="00A84712">
          <w:rPr>
            <w:rStyle w:val="Hyperlink"/>
            <w:rFonts w:asciiTheme="minorHAnsi" w:hAnsiTheme="minorHAnsi" w:cstheme="minorHAnsi"/>
            <w:i/>
            <w:iCs/>
          </w:rPr>
          <w:t>The job insecurity report</w:t>
        </w:r>
      </w:hyperlink>
      <w:r w:rsidRPr="00A970FF">
        <w:rPr>
          <w:rFonts w:asciiTheme="minorHAnsi" w:hAnsiTheme="minorHAnsi" w:cstheme="minorHAnsi"/>
        </w:rPr>
        <w:t xml:space="preserve">, February 2022, </w:t>
      </w:r>
      <w:r>
        <w:rPr>
          <w:rFonts w:asciiTheme="minorHAnsi" w:hAnsiTheme="minorHAnsi" w:cstheme="minorHAnsi"/>
        </w:rPr>
        <w:t>p</w:t>
      </w:r>
      <w:r w:rsidRPr="00A970FF">
        <w:rPr>
          <w:rFonts w:asciiTheme="minorHAnsi" w:hAnsiTheme="minorHAnsi" w:cstheme="minorHAnsi"/>
        </w:rPr>
        <w:t xml:space="preserve"> 79</w:t>
      </w:r>
      <w:r w:rsidR="00C97504">
        <w:rPr>
          <w:rFonts w:asciiTheme="minorHAnsi" w:hAnsiTheme="minorHAnsi" w:cstheme="minorHAnsi"/>
        </w:rPr>
        <w:t>.</w:t>
      </w:r>
    </w:p>
  </w:footnote>
  <w:footnote w:id="9">
    <w:p w14:paraId="25A8BC43" w14:textId="04FBAB6C" w:rsidR="008A059F" w:rsidRPr="00A970FF" w:rsidRDefault="008A059F" w:rsidP="008A059F">
      <w:pPr>
        <w:pStyle w:val="FootnoteText"/>
        <w:rPr>
          <w:rFonts w:asciiTheme="minorHAnsi" w:hAnsiTheme="minorHAnsi" w:cstheme="minorHAnsi"/>
        </w:rPr>
      </w:pPr>
      <w:r w:rsidRPr="00A970FF">
        <w:rPr>
          <w:rStyle w:val="FootnoteReference"/>
          <w:rFonts w:asciiTheme="minorHAnsi" w:hAnsiTheme="minorHAnsi" w:cstheme="minorHAnsi"/>
        </w:rPr>
        <w:footnoteRef/>
      </w:r>
      <w:r w:rsidRPr="00A970FF">
        <w:rPr>
          <w:rFonts w:asciiTheme="minorHAnsi" w:hAnsiTheme="minorHAnsi" w:cstheme="minorHAnsi"/>
        </w:rPr>
        <w:t xml:space="preserve"> Senate Select Committee on Job Security, </w:t>
      </w:r>
      <w:hyperlink r:id="rId8" w:history="1">
        <w:r w:rsidRPr="00A84712">
          <w:rPr>
            <w:rStyle w:val="Hyperlink"/>
            <w:rFonts w:asciiTheme="minorHAnsi" w:hAnsiTheme="minorHAnsi" w:cstheme="minorHAnsi"/>
            <w:i/>
            <w:iCs/>
          </w:rPr>
          <w:t>The job insecurity report</w:t>
        </w:r>
      </w:hyperlink>
      <w:r w:rsidRPr="00A970FF">
        <w:rPr>
          <w:rFonts w:asciiTheme="minorHAnsi" w:hAnsiTheme="minorHAnsi" w:cstheme="minorHAnsi"/>
        </w:rPr>
        <w:t xml:space="preserve">, February 2022, </w:t>
      </w:r>
      <w:r>
        <w:rPr>
          <w:rFonts w:asciiTheme="minorHAnsi" w:hAnsiTheme="minorHAnsi" w:cstheme="minorHAnsi"/>
        </w:rPr>
        <w:t>p</w:t>
      </w:r>
      <w:r w:rsidRPr="00A970FF">
        <w:rPr>
          <w:rFonts w:asciiTheme="minorHAnsi" w:hAnsiTheme="minorHAnsi" w:cstheme="minorHAnsi"/>
        </w:rPr>
        <w:t xml:space="preserve"> 80</w:t>
      </w:r>
      <w:r w:rsidR="00C97504">
        <w:rPr>
          <w:rFonts w:asciiTheme="minorHAnsi" w:hAnsiTheme="minorHAnsi" w:cstheme="minorHAnsi"/>
        </w:rPr>
        <w:t>.</w:t>
      </w:r>
    </w:p>
  </w:footnote>
  <w:footnote w:id="10">
    <w:p w14:paraId="554B17AD" w14:textId="45EBF978" w:rsidR="008A059F" w:rsidRDefault="008A059F" w:rsidP="008A059F">
      <w:pPr>
        <w:pStyle w:val="FootnoteText"/>
      </w:pPr>
      <w:r w:rsidRPr="00A970FF">
        <w:rPr>
          <w:rStyle w:val="FootnoteReference"/>
          <w:rFonts w:asciiTheme="minorHAnsi" w:hAnsiTheme="minorHAnsi" w:cstheme="minorHAnsi"/>
        </w:rPr>
        <w:footnoteRef/>
      </w:r>
      <w:r w:rsidRPr="00A970FF">
        <w:rPr>
          <w:rFonts w:asciiTheme="minorHAnsi" w:hAnsiTheme="minorHAnsi" w:cstheme="minorHAnsi"/>
        </w:rPr>
        <w:t xml:space="preserve"> Senate Select Committee on Job Securit</w:t>
      </w:r>
      <w:r>
        <w:rPr>
          <w:rFonts w:asciiTheme="minorHAnsi" w:hAnsiTheme="minorHAnsi" w:cstheme="minorHAnsi"/>
        </w:rPr>
        <w:t>y,</w:t>
      </w:r>
      <w:hyperlink r:id="rId9" w:history="1">
        <w:r w:rsidRPr="00A84712">
          <w:rPr>
            <w:rStyle w:val="Hyperlink"/>
            <w:rFonts w:asciiTheme="minorHAnsi" w:hAnsiTheme="minorHAnsi" w:cstheme="minorHAnsi"/>
          </w:rPr>
          <w:t xml:space="preserve"> </w:t>
        </w:r>
        <w:r w:rsidRPr="00A84712">
          <w:rPr>
            <w:rStyle w:val="Hyperlink"/>
            <w:rFonts w:asciiTheme="minorHAnsi" w:hAnsiTheme="minorHAnsi" w:cstheme="minorHAnsi"/>
            <w:i/>
            <w:iCs/>
          </w:rPr>
          <w:t>The job insecurity report</w:t>
        </w:r>
      </w:hyperlink>
      <w:r w:rsidRPr="00A970FF">
        <w:rPr>
          <w:rFonts w:asciiTheme="minorHAnsi" w:hAnsiTheme="minorHAnsi" w:cstheme="minorHAnsi"/>
        </w:rPr>
        <w:t xml:space="preserve">, February 2022, </w:t>
      </w:r>
      <w:r>
        <w:rPr>
          <w:rFonts w:asciiTheme="minorHAnsi" w:hAnsiTheme="minorHAnsi" w:cstheme="minorHAnsi"/>
        </w:rPr>
        <w:t>p</w:t>
      </w:r>
      <w:r w:rsidRPr="00A970FF">
        <w:rPr>
          <w:rFonts w:asciiTheme="minorHAnsi" w:hAnsiTheme="minorHAnsi" w:cstheme="minorHAnsi"/>
        </w:rPr>
        <w:t xml:space="preserve"> 84</w:t>
      </w:r>
      <w:r w:rsidR="00C97504">
        <w:rPr>
          <w:rFonts w:asciiTheme="minorHAnsi" w:hAnsiTheme="minorHAnsi" w:cstheme="minorHAnsi"/>
        </w:rPr>
        <w:t>.</w:t>
      </w:r>
      <w:r w:rsidRPr="00A970FF">
        <w:rPr>
          <w:rFonts w:asciiTheme="minorHAnsi" w:hAnsiTheme="minorHAnsi" w:cstheme="minorHAnsi"/>
        </w:rPr>
        <w:t xml:space="preserve"> </w:t>
      </w:r>
    </w:p>
  </w:footnote>
  <w:footnote w:id="11">
    <w:p w14:paraId="3CD830AC" w14:textId="5E12448F" w:rsidR="008A059F" w:rsidRPr="00316257" w:rsidRDefault="008A059F" w:rsidP="008A059F">
      <w:pPr>
        <w:pStyle w:val="FootnoteText"/>
        <w:rPr>
          <w:rFonts w:asciiTheme="minorHAnsi" w:hAnsiTheme="minorHAnsi" w:cstheme="minorHAnsi"/>
        </w:rPr>
      </w:pPr>
      <w:r w:rsidRPr="00316257">
        <w:rPr>
          <w:rStyle w:val="FootnoteReference"/>
          <w:rFonts w:asciiTheme="minorHAnsi" w:hAnsiTheme="minorHAnsi" w:cstheme="minorHAnsi"/>
        </w:rPr>
        <w:footnoteRef/>
      </w:r>
      <w:r>
        <w:rPr>
          <w:rFonts w:asciiTheme="minorHAnsi" w:hAnsiTheme="minorHAnsi" w:cstheme="minorHAnsi"/>
        </w:rPr>
        <w:t xml:space="preserve"> KPMG,</w:t>
      </w:r>
      <w:r w:rsidRPr="00316257">
        <w:rPr>
          <w:rFonts w:asciiTheme="minorHAnsi" w:hAnsiTheme="minorHAnsi" w:cstheme="minorHAnsi"/>
        </w:rPr>
        <w:t xml:space="preserve"> </w:t>
      </w:r>
      <w:hyperlink r:id="rId10" w:history="1">
        <w:r w:rsidRPr="00637288">
          <w:rPr>
            <w:rStyle w:val="Hyperlink"/>
            <w:rFonts w:asciiTheme="minorHAnsi" w:hAnsiTheme="minorHAnsi" w:cstheme="minorHAnsi"/>
            <w:i/>
            <w:iCs/>
          </w:rPr>
          <w:t xml:space="preserve">Review of the Fair Work Amendment (Supporting Australia’s Jobs and Economic Recovery) Act 2021 </w:t>
        </w:r>
        <w:r w:rsidRPr="00637288">
          <w:rPr>
            <w:rStyle w:val="Hyperlink"/>
            <w:rFonts w:asciiTheme="minorHAnsi" w:hAnsiTheme="minorHAnsi" w:cstheme="minorHAnsi"/>
          </w:rPr>
          <w:t>(Cth)</w:t>
        </w:r>
      </w:hyperlink>
      <w:r w:rsidRPr="00316257">
        <w:rPr>
          <w:rFonts w:asciiTheme="minorHAnsi" w:hAnsiTheme="minorHAnsi" w:cstheme="minorHAnsi"/>
        </w:rPr>
        <w:t>,</w:t>
      </w:r>
      <w:r w:rsidR="00265BC7">
        <w:rPr>
          <w:rFonts w:asciiTheme="minorHAnsi" w:hAnsiTheme="minorHAnsi" w:cstheme="minorHAnsi"/>
        </w:rPr>
        <w:t xml:space="preserve"> October 2022, </w:t>
      </w:r>
      <w:r w:rsidR="00265BC7" w:rsidRPr="00316257">
        <w:rPr>
          <w:rFonts w:asciiTheme="minorHAnsi" w:hAnsiTheme="minorHAnsi" w:cstheme="minorHAnsi"/>
        </w:rPr>
        <w:t>p</w:t>
      </w:r>
      <w:r w:rsidR="00265BC7">
        <w:rPr>
          <w:rFonts w:asciiTheme="minorHAnsi" w:hAnsiTheme="minorHAnsi" w:cstheme="minorHAnsi"/>
        </w:rPr>
        <w:t xml:space="preserve"> </w:t>
      </w:r>
      <w:r w:rsidR="00265BC7" w:rsidRPr="00316257">
        <w:rPr>
          <w:rFonts w:asciiTheme="minorHAnsi" w:hAnsiTheme="minorHAnsi" w:cstheme="minorHAnsi"/>
        </w:rPr>
        <w:t>43</w:t>
      </w:r>
      <w:r w:rsidR="002A5942">
        <w:rPr>
          <w:rFonts w:asciiTheme="minorHAnsi" w:hAnsiTheme="minorHAnsi" w:cstheme="minorHAnsi"/>
        </w:rPr>
        <w:t>.</w:t>
      </w:r>
    </w:p>
  </w:footnote>
  <w:footnote w:id="12">
    <w:p w14:paraId="4CD014BE" w14:textId="13C5643B" w:rsidR="008A059F" w:rsidRPr="00D6071B" w:rsidRDefault="008A059F" w:rsidP="008A059F">
      <w:pPr>
        <w:pStyle w:val="FootnoteText"/>
      </w:pPr>
      <w:r w:rsidRPr="00316257">
        <w:rPr>
          <w:rStyle w:val="FootnoteReference"/>
          <w:rFonts w:asciiTheme="minorHAnsi" w:hAnsiTheme="minorHAnsi" w:cstheme="minorHAnsi"/>
        </w:rPr>
        <w:footnoteRef/>
      </w:r>
      <w:r w:rsidRPr="00316257">
        <w:rPr>
          <w:rFonts w:asciiTheme="minorHAnsi" w:hAnsiTheme="minorHAnsi" w:cstheme="minorHAnsi"/>
        </w:rPr>
        <w:t xml:space="preserve"> </w:t>
      </w:r>
      <w:r w:rsidR="00615962">
        <w:rPr>
          <w:rFonts w:asciiTheme="minorHAnsi" w:hAnsiTheme="minorHAnsi" w:cstheme="minorHAnsi"/>
        </w:rPr>
        <w:t>Electrical Trades Union of Australia</w:t>
      </w:r>
      <w:r w:rsidR="00871FDF">
        <w:rPr>
          <w:rFonts w:asciiTheme="minorHAnsi" w:hAnsiTheme="minorHAnsi" w:cstheme="minorHAnsi"/>
        </w:rPr>
        <w:t xml:space="preserve">, </w:t>
      </w:r>
      <w:r w:rsidR="00871FDF" w:rsidRPr="00730FEF">
        <w:rPr>
          <w:rFonts w:asciiTheme="minorHAnsi" w:hAnsiTheme="minorHAnsi" w:cstheme="minorHAnsi"/>
          <w:i/>
          <w:iCs/>
        </w:rPr>
        <w:t>Submission to the Attorney-General</w:t>
      </w:r>
      <w:r w:rsidR="00F76035">
        <w:rPr>
          <w:rFonts w:asciiTheme="minorHAnsi" w:hAnsiTheme="minorHAnsi" w:cstheme="minorHAnsi"/>
          <w:i/>
          <w:iCs/>
        </w:rPr>
        <w:t xml:space="preserve"> Department’s Review of Changes to Casual Employment Laws</w:t>
      </w:r>
      <w:r w:rsidR="009A0BEC">
        <w:rPr>
          <w:rFonts w:asciiTheme="minorHAnsi" w:hAnsiTheme="minorHAnsi" w:cstheme="minorHAnsi"/>
        </w:rPr>
        <w:t xml:space="preserve">, </w:t>
      </w:r>
      <w:hyperlink r:id="rId11" w:history="1">
        <w:r w:rsidR="00004107" w:rsidRPr="00D6071B">
          <w:rPr>
            <w:rStyle w:val="Hyperlink"/>
            <w:rFonts w:asciiTheme="minorHAnsi" w:hAnsiTheme="minorHAnsi" w:cstheme="minorHAnsi"/>
          </w:rPr>
          <w:t>D22 1651683 ETU Submission.PDF (dewr.gov.au)</w:t>
        </w:r>
      </w:hyperlink>
      <w:r w:rsidR="00101279">
        <w:rPr>
          <w:rFonts w:asciiTheme="minorHAnsi" w:hAnsiTheme="minorHAnsi" w:cstheme="minorHAnsi"/>
        </w:rPr>
        <w:t>,</w:t>
      </w:r>
      <w:r w:rsidR="004833B8">
        <w:rPr>
          <w:rFonts w:asciiTheme="minorHAnsi" w:hAnsiTheme="minorHAnsi" w:cstheme="minorHAnsi"/>
        </w:rPr>
        <w:t xml:space="preserve"> p </w:t>
      </w:r>
      <w:r w:rsidR="00873526">
        <w:rPr>
          <w:rFonts w:asciiTheme="minorHAnsi" w:hAnsiTheme="minorHAnsi" w:cstheme="minorHAnsi"/>
        </w:rPr>
        <w:t>2</w:t>
      </w:r>
      <w:r w:rsidR="004833B8">
        <w:rPr>
          <w:rFonts w:asciiTheme="minorHAnsi" w:hAnsiTheme="minorHAnsi" w:cstheme="minorHAnsi"/>
        </w:rPr>
        <w:t xml:space="preserve">. </w:t>
      </w:r>
      <w:r w:rsidR="00101279">
        <w:rPr>
          <w:rFonts w:asciiTheme="minorHAnsi" w:hAnsiTheme="minorHAnsi" w:cstheme="minorHAnsi"/>
        </w:rPr>
        <w:t xml:space="preserve"> </w:t>
      </w:r>
    </w:p>
  </w:footnote>
  <w:footnote w:id="13">
    <w:p w14:paraId="65B8AA31" w14:textId="343FCF9E" w:rsidR="008A059F" w:rsidRPr="00316257" w:rsidRDefault="008A059F" w:rsidP="008A059F">
      <w:pPr>
        <w:pStyle w:val="FootnoteText"/>
        <w:rPr>
          <w:rFonts w:asciiTheme="minorHAnsi" w:hAnsiTheme="minorHAnsi" w:cstheme="minorHAnsi"/>
        </w:rPr>
      </w:pPr>
      <w:r w:rsidRPr="00316257">
        <w:rPr>
          <w:rStyle w:val="FootnoteReference"/>
          <w:rFonts w:asciiTheme="minorHAnsi" w:hAnsiTheme="minorHAnsi" w:cstheme="minorHAnsi"/>
        </w:rPr>
        <w:footnoteRef/>
      </w:r>
      <w:r w:rsidRPr="00316257">
        <w:rPr>
          <w:rFonts w:asciiTheme="minorHAnsi" w:hAnsiTheme="minorHAnsi" w:cstheme="minorHAnsi"/>
        </w:rPr>
        <w:t xml:space="preserve"> </w:t>
      </w:r>
      <w:r>
        <w:rPr>
          <w:rFonts w:asciiTheme="minorHAnsi" w:hAnsiTheme="minorHAnsi" w:cstheme="minorHAnsi"/>
        </w:rPr>
        <w:t>KPMG,</w:t>
      </w:r>
      <w:r w:rsidRPr="00316257">
        <w:rPr>
          <w:rFonts w:asciiTheme="minorHAnsi" w:hAnsiTheme="minorHAnsi" w:cstheme="minorHAnsi"/>
        </w:rPr>
        <w:t xml:space="preserve"> </w:t>
      </w:r>
      <w:hyperlink r:id="rId12" w:history="1">
        <w:r w:rsidRPr="00637288">
          <w:rPr>
            <w:rStyle w:val="Hyperlink"/>
            <w:rFonts w:asciiTheme="minorHAnsi" w:hAnsiTheme="minorHAnsi" w:cstheme="minorHAnsi"/>
            <w:i/>
            <w:iCs/>
          </w:rPr>
          <w:t xml:space="preserve">Review of the Fair Work Amendment (Supporting Australia’s Jobs and Economic Recovery) Act 2021 </w:t>
        </w:r>
        <w:r w:rsidRPr="00637288">
          <w:rPr>
            <w:rStyle w:val="Hyperlink"/>
            <w:rFonts w:asciiTheme="minorHAnsi" w:hAnsiTheme="minorHAnsi" w:cstheme="minorHAnsi"/>
          </w:rPr>
          <w:t>(Cth)</w:t>
        </w:r>
      </w:hyperlink>
      <w:r w:rsidRPr="00316257">
        <w:rPr>
          <w:rFonts w:asciiTheme="minorHAnsi" w:hAnsiTheme="minorHAnsi" w:cstheme="minorHAnsi"/>
        </w:rPr>
        <w:t>,</w:t>
      </w:r>
      <w:r w:rsidRPr="00B60FDC">
        <w:rPr>
          <w:rFonts w:asciiTheme="minorHAnsi" w:hAnsiTheme="minorHAnsi" w:cstheme="minorHAnsi"/>
        </w:rPr>
        <w:t xml:space="preserve"> </w:t>
      </w:r>
      <w:r>
        <w:rPr>
          <w:rFonts w:asciiTheme="minorHAnsi" w:hAnsiTheme="minorHAnsi" w:cstheme="minorHAnsi"/>
        </w:rPr>
        <w:t>October 2022</w:t>
      </w:r>
      <w:r w:rsidR="000A1435">
        <w:rPr>
          <w:rFonts w:asciiTheme="minorHAnsi" w:hAnsiTheme="minorHAnsi" w:cstheme="minorHAnsi"/>
        </w:rPr>
        <w:t>,</w:t>
      </w:r>
      <w:r w:rsidRPr="00316257">
        <w:rPr>
          <w:rFonts w:asciiTheme="minorHAnsi" w:hAnsiTheme="minorHAnsi" w:cstheme="minorHAnsi"/>
          <w:i/>
          <w:iCs/>
        </w:rPr>
        <w:t xml:space="preserve"> </w:t>
      </w:r>
      <w:r w:rsidRPr="00316257">
        <w:rPr>
          <w:rFonts w:asciiTheme="minorHAnsi" w:hAnsiTheme="minorHAnsi" w:cstheme="minorHAnsi"/>
        </w:rPr>
        <w:t>p</w:t>
      </w:r>
      <w:r>
        <w:rPr>
          <w:rFonts w:asciiTheme="minorHAnsi" w:hAnsiTheme="minorHAnsi" w:cstheme="minorHAnsi"/>
        </w:rPr>
        <w:t xml:space="preserve"> 70</w:t>
      </w:r>
      <w:r w:rsidR="002A5942">
        <w:rPr>
          <w:rFonts w:asciiTheme="minorHAnsi" w:hAnsiTheme="minorHAnsi" w:cstheme="minorHAnsi"/>
        </w:rPr>
        <w:t>.</w:t>
      </w:r>
    </w:p>
  </w:footnote>
  <w:footnote w:id="14">
    <w:p w14:paraId="78660C96" w14:textId="71DD4705" w:rsidR="008A059F" w:rsidRPr="00316257" w:rsidRDefault="008A059F" w:rsidP="008A059F">
      <w:pPr>
        <w:pStyle w:val="FootnoteText"/>
        <w:rPr>
          <w:rFonts w:asciiTheme="minorHAnsi" w:hAnsiTheme="minorHAnsi" w:cstheme="minorHAnsi"/>
        </w:rPr>
      </w:pPr>
      <w:r w:rsidRPr="00316257">
        <w:rPr>
          <w:rStyle w:val="FootnoteReference"/>
          <w:rFonts w:asciiTheme="minorHAnsi" w:hAnsiTheme="minorHAnsi" w:cstheme="minorHAnsi"/>
        </w:rPr>
        <w:footnoteRef/>
      </w:r>
      <w:r w:rsidRPr="00316257">
        <w:rPr>
          <w:rFonts w:asciiTheme="minorHAnsi" w:hAnsiTheme="minorHAnsi" w:cstheme="minorHAnsi"/>
        </w:rPr>
        <w:t xml:space="preserve"> For more information on the current conversion framework, see</w:t>
      </w:r>
      <w:r>
        <w:rPr>
          <w:rFonts w:asciiTheme="minorHAnsi" w:hAnsiTheme="minorHAnsi" w:cstheme="minorHAnsi"/>
        </w:rPr>
        <w:t xml:space="preserve"> the Fair</w:t>
      </w:r>
      <w:r w:rsidRPr="00316257">
        <w:rPr>
          <w:rFonts w:asciiTheme="minorHAnsi" w:hAnsiTheme="minorHAnsi" w:cstheme="minorHAnsi"/>
        </w:rPr>
        <w:t xml:space="preserve"> </w:t>
      </w:r>
      <w:r>
        <w:rPr>
          <w:rFonts w:asciiTheme="minorHAnsi" w:hAnsiTheme="minorHAnsi" w:cstheme="minorHAnsi"/>
        </w:rPr>
        <w:t xml:space="preserve">Work Ombudsman, </w:t>
      </w:r>
      <w:hyperlink r:id="rId13" w:history="1">
        <w:r w:rsidR="007D2C92">
          <w:rPr>
            <w:rStyle w:val="Hyperlink"/>
            <w:rFonts w:asciiTheme="minorHAnsi" w:hAnsiTheme="minorHAnsi" w:cstheme="minorHAnsi"/>
          </w:rPr>
          <w:t>Casual Employment Information Statement,</w:t>
        </w:r>
      </w:hyperlink>
    </w:p>
  </w:footnote>
  <w:footnote w:id="15">
    <w:p w14:paraId="7DFDE12E" w14:textId="6FD21D60" w:rsidR="008A059F" w:rsidRPr="00627E63" w:rsidRDefault="008A059F" w:rsidP="008A059F">
      <w:pPr>
        <w:pStyle w:val="FootnoteText"/>
        <w:rPr>
          <w:i/>
          <w:iCs/>
        </w:rPr>
      </w:pPr>
      <w:r w:rsidRPr="00316257">
        <w:rPr>
          <w:rStyle w:val="FootnoteReference"/>
          <w:rFonts w:asciiTheme="minorHAnsi" w:hAnsiTheme="minorHAnsi" w:cstheme="minorHAnsi"/>
        </w:rPr>
        <w:footnoteRef/>
      </w:r>
      <w:r w:rsidRPr="00316257">
        <w:rPr>
          <w:rFonts w:asciiTheme="minorHAnsi" w:hAnsiTheme="minorHAnsi" w:cstheme="minorHAnsi"/>
        </w:rPr>
        <w:t xml:space="preserve"> </w:t>
      </w:r>
      <w:r w:rsidRPr="0062786B">
        <w:rPr>
          <w:rFonts w:asciiTheme="minorHAnsi" w:hAnsiTheme="minorHAnsi" w:cstheme="minorHAnsi"/>
        </w:rPr>
        <w:t>Australian Bureau of Statistics (ABS)</w:t>
      </w:r>
      <w:r w:rsidRPr="00316257">
        <w:rPr>
          <w:rFonts w:asciiTheme="minorHAnsi" w:hAnsiTheme="minorHAnsi" w:cstheme="minorHAnsi"/>
        </w:rPr>
        <w:t xml:space="preserve">, </w:t>
      </w:r>
      <w:hyperlink r:id="rId14" w:history="1">
        <w:r w:rsidRPr="00AD5C21">
          <w:rPr>
            <w:rStyle w:val="Hyperlink"/>
            <w:rFonts w:asciiTheme="minorHAnsi" w:hAnsiTheme="minorHAnsi" w:cstheme="minorHAnsi"/>
            <w:i/>
            <w:iCs/>
          </w:rPr>
          <w:t>Analysis of changes in casual conversion in Australia</w:t>
        </w:r>
      </w:hyperlink>
      <w:r w:rsidRPr="00316257">
        <w:rPr>
          <w:rFonts w:asciiTheme="minorHAnsi" w:hAnsiTheme="minorHAnsi" w:cstheme="minorHAnsi"/>
        </w:rPr>
        <w:t xml:space="preserve">, </w:t>
      </w:r>
      <w:r>
        <w:rPr>
          <w:rFonts w:asciiTheme="minorHAnsi" w:hAnsiTheme="minorHAnsi" w:cstheme="minorHAnsi"/>
        </w:rPr>
        <w:t xml:space="preserve">July </w:t>
      </w:r>
      <w:r w:rsidRPr="00316257">
        <w:rPr>
          <w:rFonts w:asciiTheme="minorHAnsi" w:hAnsiTheme="minorHAnsi" w:cstheme="minorHAnsi"/>
        </w:rPr>
        <w:t xml:space="preserve">2022. </w:t>
      </w:r>
    </w:p>
  </w:footnote>
  <w:footnote w:id="16">
    <w:p w14:paraId="0FB4AA4F" w14:textId="77777777" w:rsidR="008A059F" w:rsidRDefault="008A059F" w:rsidP="008A059F">
      <w:pPr>
        <w:pStyle w:val="FootnoteText"/>
      </w:pPr>
      <w:r w:rsidRPr="00A970FF">
        <w:rPr>
          <w:rStyle w:val="FootnoteReference"/>
          <w:rFonts w:asciiTheme="minorHAnsi" w:hAnsiTheme="minorHAnsi" w:cstheme="minorHAnsi"/>
        </w:rPr>
        <w:footnoteRef/>
      </w:r>
      <w:r w:rsidRPr="00A970FF">
        <w:rPr>
          <w:rFonts w:asciiTheme="minorHAnsi" w:hAnsiTheme="minorHAnsi" w:cstheme="minorHAnsi"/>
        </w:rPr>
        <w:t xml:space="preserve"> The survey, undertaken by BETA, the Behavioural Economics Team of the Australian Government, was not designed to deliver findings representative of the overall casual workforce.</w:t>
      </w:r>
    </w:p>
  </w:footnote>
  <w:footnote w:id="17">
    <w:p w14:paraId="20F65146" w14:textId="7AC81812" w:rsidR="008A059F" w:rsidRDefault="008A059F" w:rsidP="008A059F">
      <w:pPr>
        <w:pStyle w:val="FootnoteText"/>
      </w:pPr>
      <w:r>
        <w:rPr>
          <w:rStyle w:val="FootnoteReference"/>
        </w:rPr>
        <w:footnoteRef/>
      </w:r>
      <w:r>
        <w:t xml:space="preserve"> </w:t>
      </w:r>
      <w:r>
        <w:rPr>
          <w:rFonts w:asciiTheme="minorHAnsi" w:hAnsiTheme="minorHAnsi" w:cstheme="minorHAnsi"/>
        </w:rPr>
        <w:t>BETA</w:t>
      </w:r>
      <w:r w:rsidRPr="0023620D">
        <w:rPr>
          <w:rFonts w:asciiTheme="minorHAnsi" w:hAnsiTheme="minorHAnsi" w:cstheme="minorHAnsi"/>
        </w:rPr>
        <w:t xml:space="preserve">, </w:t>
      </w:r>
      <w:hyperlink r:id="rId15" w:history="1">
        <w:r w:rsidRPr="0049650B">
          <w:rPr>
            <w:rStyle w:val="Hyperlink"/>
            <w:rFonts w:asciiTheme="minorHAnsi" w:hAnsiTheme="minorHAnsi" w:cstheme="minorHAnsi"/>
            <w:i/>
            <w:iCs/>
          </w:rPr>
          <w:t>Casual Employment: Research findings to inform independent review of SAJER Act</w:t>
        </w:r>
        <w:r w:rsidRPr="0049650B">
          <w:rPr>
            <w:rStyle w:val="Hyperlink"/>
            <w:rFonts w:asciiTheme="minorHAnsi" w:hAnsiTheme="minorHAnsi" w:cstheme="minorHAnsi"/>
          </w:rPr>
          <w:t>,</w:t>
        </w:r>
      </w:hyperlink>
      <w:r w:rsidRPr="0023620D">
        <w:rPr>
          <w:rFonts w:asciiTheme="minorHAnsi" w:hAnsiTheme="minorHAnsi" w:cstheme="minorHAnsi"/>
        </w:rPr>
        <w:t xml:space="preserve"> 2022</w:t>
      </w:r>
      <w:r w:rsidR="00265BC7">
        <w:rPr>
          <w:rFonts w:asciiTheme="minorHAnsi" w:hAnsiTheme="minorHAnsi" w:cstheme="minorHAnsi"/>
        </w:rPr>
        <w:t>, p</w:t>
      </w:r>
      <w:r w:rsidR="00721F33">
        <w:rPr>
          <w:rFonts w:asciiTheme="minorHAnsi" w:hAnsiTheme="minorHAnsi" w:cstheme="minorHAnsi"/>
        </w:rPr>
        <w:t xml:space="preserve"> </w:t>
      </w:r>
      <w:r>
        <w:rPr>
          <w:rFonts w:asciiTheme="minorHAnsi" w:hAnsiTheme="minorHAnsi" w:cstheme="minorHAnsi"/>
        </w:rPr>
        <w:t>31</w:t>
      </w:r>
    </w:p>
  </w:footnote>
  <w:footnote w:id="18">
    <w:p w14:paraId="2498A33A" w14:textId="509A24DA" w:rsidR="008A059F" w:rsidRDefault="008A059F" w:rsidP="008A059F">
      <w:pPr>
        <w:pStyle w:val="FootnoteText"/>
      </w:pPr>
      <w:r>
        <w:rPr>
          <w:rStyle w:val="FootnoteReference"/>
        </w:rPr>
        <w:footnoteRef/>
      </w:r>
      <w:r>
        <w:t xml:space="preserve"> </w:t>
      </w:r>
      <w:r w:rsidR="00DB2F30" w:rsidRPr="00A654D2">
        <w:rPr>
          <w:rFonts w:asciiTheme="minorHAnsi" w:hAnsiTheme="minorHAnsi" w:cstheme="minorHAnsi"/>
        </w:rPr>
        <w:t xml:space="preserve">A further </w:t>
      </w:r>
      <w:r w:rsidR="009577C8" w:rsidRPr="00A654D2">
        <w:rPr>
          <w:rFonts w:asciiTheme="minorHAnsi" w:hAnsiTheme="minorHAnsi" w:cstheme="minorHAnsi"/>
        </w:rPr>
        <w:t xml:space="preserve">11 per cent of long-term casuals </w:t>
      </w:r>
      <w:r w:rsidR="00A654D2" w:rsidRPr="00A654D2">
        <w:rPr>
          <w:rFonts w:asciiTheme="minorHAnsi" w:hAnsiTheme="minorHAnsi" w:cstheme="minorHAnsi"/>
        </w:rPr>
        <w:t>indicated no preference</w:t>
      </w:r>
      <w:r w:rsidR="00A654D2">
        <w:rPr>
          <w:rFonts w:asciiTheme="minorHAnsi" w:hAnsiTheme="minorHAnsi" w:cstheme="minorHAnsi"/>
        </w:rPr>
        <w:t xml:space="preserve"> </w:t>
      </w:r>
      <w:r w:rsidR="00C24417">
        <w:rPr>
          <w:rFonts w:asciiTheme="minorHAnsi" w:hAnsiTheme="minorHAnsi" w:cstheme="minorHAnsi"/>
        </w:rPr>
        <w:t>for a casual vs permanent role.</w:t>
      </w:r>
      <w:r w:rsidR="00A654D2" w:rsidRPr="00A654D2">
        <w:rPr>
          <w:rFonts w:asciiTheme="minorHAnsi" w:hAnsiTheme="minorHAnsi" w:cstheme="minorHAnsi"/>
        </w:rPr>
        <w:t xml:space="preserve"> </w:t>
      </w:r>
      <w:r w:rsidRPr="00A654D2">
        <w:rPr>
          <w:rFonts w:asciiTheme="minorHAnsi" w:hAnsiTheme="minorHAnsi" w:cstheme="minorHAnsi"/>
        </w:rPr>
        <w:t>BETA,</w:t>
      </w:r>
      <w:r w:rsidRPr="0023620D">
        <w:rPr>
          <w:rFonts w:asciiTheme="minorHAnsi" w:hAnsiTheme="minorHAnsi" w:cstheme="minorHAnsi"/>
        </w:rPr>
        <w:t xml:space="preserve"> </w:t>
      </w:r>
      <w:hyperlink r:id="rId16" w:history="1">
        <w:r w:rsidRPr="008A3D38">
          <w:rPr>
            <w:rStyle w:val="Hyperlink"/>
            <w:rFonts w:asciiTheme="minorHAnsi" w:hAnsiTheme="minorHAnsi" w:cstheme="minorHAnsi"/>
            <w:i/>
            <w:iCs/>
          </w:rPr>
          <w:t>Casual Employment: Research findings to inform independent review of SAJER Act</w:t>
        </w:r>
      </w:hyperlink>
      <w:r w:rsidRPr="0023620D">
        <w:rPr>
          <w:rFonts w:asciiTheme="minorHAnsi" w:hAnsiTheme="minorHAnsi" w:cstheme="minorHAnsi"/>
        </w:rPr>
        <w:t>, 2022</w:t>
      </w:r>
      <w:r>
        <w:rPr>
          <w:rFonts w:asciiTheme="minorHAnsi" w:hAnsiTheme="minorHAnsi" w:cstheme="minorHAnsi"/>
        </w:rPr>
        <w:t>,</w:t>
      </w:r>
      <w:r w:rsidRPr="0023620D">
        <w:rPr>
          <w:rFonts w:asciiTheme="minorHAnsi" w:hAnsiTheme="minorHAnsi" w:cstheme="minorHAnsi"/>
        </w:rPr>
        <w:t xml:space="preserve"> </w:t>
      </w:r>
      <w:r>
        <w:rPr>
          <w:rFonts w:asciiTheme="minorHAnsi" w:hAnsiTheme="minorHAnsi" w:cstheme="minorHAnsi"/>
        </w:rPr>
        <w:t>p</w:t>
      </w:r>
      <w:r w:rsidR="00721F33">
        <w:rPr>
          <w:rFonts w:asciiTheme="minorHAnsi" w:hAnsiTheme="minorHAnsi" w:cstheme="minorHAnsi"/>
        </w:rPr>
        <w:t xml:space="preserve"> </w:t>
      </w:r>
      <w:r>
        <w:rPr>
          <w:rFonts w:asciiTheme="minorHAnsi" w:hAnsiTheme="minorHAnsi" w:cstheme="minorHAnsi"/>
        </w:rPr>
        <w:t>11</w:t>
      </w:r>
      <w:r w:rsidR="00D24ADE">
        <w:rPr>
          <w:rFonts w:asciiTheme="minorHAnsi" w:hAnsiTheme="minorHAnsi" w:cstheme="minorHAnsi"/>
        </w:rPr>
        <w:t xml:space="preserve">. </w:t>
      </w:r>
    </w:p>
  </w:footnote>
  <w:footnote w:id="19">
    <w:p w14:paraId="0EBAB5C6" w14:textId="2D193225" w:rsidR="008A059F" w:rsidRPr="00EB40E3" w:rsidRDefault="008A059F" w:rsidP="008A059F">
      <w:pPr>
        <w:pStyle w:val="FootnoteText"/>
        <w:rPr>
          <w:rFonts w:asciiTheme="minorHAnsi" w:hAnsiTheme="minorHAnsi" w:cstheme="minorHAnsi"/>
        </w:rPr>
      </w:pPr>
      <w:r w:rsidRPr="00EB40E3">
        <w:rPr>
          <w:rStyle w:val="FootnoteReference"/>
          <w:rFonts w:asciiTheme="minorHAnsi" w:hAnsiTheme="minorHAnsi" w:cstheme="minorHAnsi"/>
        </w:rPr>
        <w:footnoteRef/>
      </w:r>
      <w:r>
        <w:rPr>
          <w:rFonts w:asciiTheme="minorHAnsi" w:hAnsiTheme="minorHAnsi" w:cstheme="minorHAnsi"/>
        </w:rPr>
        <w:t xml:space="preserve"> Office of Impact Analysis,</w:t>
      </w:r>
      <w:r w:rsidRPr="00EB40E3">
        <w:rPr>
          <w:rFonts w:asciiTheme="minorHAnsi" w:hAnsiTheme="minorHAnsi" w:cstheme="minorHAnsi"/>
        </w:rPr>
        <w:t xml:space="preserve"> </w:t>
      </w:r>
      <w:hyperlink r:id="rId17" w:history="1">
        <w:r w:rsidRPr="00FA29F2">
          <w:rPr>
            <w:rStyle w:val="Hyperlink"/>
            <w:rFonts w:asciiTheme="minorHAnsi" w:hAnsiTheme="minorHAnsi" w:cstheme="minorHAnsi"/>
            <w:i/>
            <w:iCs/>
          </w:rPr>
          <w:t>Australian Government Guide to Policy Impact Analysis</w:t>
        </w:r>
      </w:hyperlink>
      <w:r w:rsidRPr="00006491">
        <w:rPr>
          <w:rFonts w:asciiTheme="minorHAnsi" w:hAnsiTheme="minorHAnsi" w:cstheme="minorHAnsi"/>
          <w:i/>
          <w:iCs/>
        </w:rPr>
        <w:t>,</w:t>
      </w:r>
      <w:r>
        <w:rPr>
          <w:rFonts w:asciiTheme="minorHAnsi" w:hAnsiTheme="minorHAnsi" w:cstheme="minorHAnsi"/>
          <w:i/>
          <w:iCs/>
        </w:rPr>
        <w:t xml:space="preserve"> </w:t>
      </w:r>
      <w:r w:rsidR="00265BC7">
        <w:rPr>
          <w:rFonts w:asciiTheme="minorHAnsi" w:hAnsiTheme="minorHAnsi" w:cstheme="minorHAnsi"/>
        </w:rPr>
        <w:t xml:space="preserve">, </w:t>
      </w:r>
      <w:r w:rsidR="00265BC7" w:rsidRPr="00310F6A">
        <w:rPr>
          <w:rFonts w:asciiTheme="minorHAnsi" w:hAnsiTheme="minorHAnsi" w:cstheme="minorHAnsi"/>
        </w:rPr>
        <w:t>February 2023</w:t>
      </w:r>
      <w:r w:rsidR="007C47EA">
        <w:rPr>
          <w:rFonts w:asciiTheme="minorHAnsi" w:hAnsiTheme="minorHAnsi" w:cstheme="minorHAnsi"/>
        </w:rPr>
        <w:t>,</w:t>
      </w:r>
      <w:r w:rsidR="00265BC7" w:rsidRPr="00006491">
        <w:rPr>
          <w:rFonts w:asciiTheme="minorHAnsi" w:hAnsiTheme="minorHAnsi" w:cstheme="minorHAnsi"/>
          <w:i/>
          <w:iCs/>
        </w:rPr>
        <w:t xml:space="preserve"> </w:t>
      </w:r>
      <w:r w:rsidR="00265BC7" w:rsidRPr="008D04BC">
        <w:rPr>
          <w:rFonts w:asciiTheme="minorHAnsi" w:hAnsiTheme="minorHAnsi" w:cstheme="minorHAnsi"/>
        </w:rPr>
        <w:t>pp</w:t>
      </w:r>
      <w:r w:rsidR="00265BC7">
        <w:rPr>
          <w:rFonts w:asciiTheme="minorHAnsi" w:hAnsiTheme="minorHAnsi" w:cstheme="minorHAnsi"/>
        </w:rPr>
        <w:t xml:space="preserve"> </w:t>
      </w:r>
      <w:r w:rsidR="00265BC7" w:rsidRPr="008D04BC">
        <w:rPr>
          <w:rFonts w:asciiTheme="minorHAnsi" w:hAnsiTheme="minorHAnsi" w:cstheme="minorHAnsi"/>
        </w:rPr>
        <w:t>20-21</w:t>
      </w:r>
      <w:r w:rsidR="009957D2">
        <w:rPr>
          <w:rFonts w:asciiTheme="minorHAnsi" w:hAnsiTheme="minorHAnsi" w:cstheme="minorHAnsi"/>
        </w:rPr>
        <w:t>.</w:t>
      </w:r>
    </w:p>
  </w:footnote>
  <w:footnote w:id="20">
    <w:p w14:paraId="2BDC2E45" w14:textId="13C61225" w:rsidR="008A059F" w:rsidRDefault="008A059F" w:rsidP="008A059F">
      <w:pPr>
        <w:pStyle w:val="FootnoteText"/>
      </w:pPr>
      <w:r>
        <w:rPr>
          <w:rStyle w:val="FootnoteReference"/>
        </w:rPr>
        <w:footnoteRef/>
      </w:r>
      <w:r w:rsidRPr="0042638D">
        <w:rPr>
          <w:rFonts w:asciiTheme="minorHAnsi" w:hAnsiTheme="minorHAnsi" w:cstheme="minorHAnsi"/>
        </w:rPr>
        <w:t xml:space="preserve"> </w:t>
      </w:r>
      <w:r>
        <w:rPr>
          <w:rFonts w:asciiTheme="minorHAnsi" w:hAnsiTheme="minorHAnsi" w:cstheme="minorHAnsi"/>
        </w:rPr>
        <w:t xml:space="preserve">The </w:t>
      </w:r>
      <w:r w:rsidRPr="00C03C4D">
        <w:rPr>
          <w:rFonts w:asciiTheme="minorHAnsi" w:hAnsiTheme="minorHAnsi" w:cstheme="minorHAnsi"/>
        </w:rPr>
        <w:t>Regulatory Impact Statement is contained within the revised explanatory memorandum to the</w:t>
      </w:r>
      <w:hyperlink r:id="rId18" w:history="1">
        <w:r w:rsidRPr="00C03C4D">
          <w:rPr>
            <w:rStyle w:val="Hyperlink"/>
            <w:rFonts w:asciiTheme="minorHAnsi" w:hAnsiTheme="minorHAnsi" w:cstheme="minorHAnsi"/>
            <w:u w:val="none"/>
          </w:rPr>
          <w:t xml:space="preserve"> </w:t>
        </w:r>
        <w:r w:rsidRPr="00C03C4D">
          <w:rPr>
            <w:rStyle w:val="Hyperlink"/>
            <w:rFonts w:asciiTheme="minorHAnsi" w:hAnsiTheme="minorHAnsi" w:cstheme="minorHAnsi"/>
          </w:rPr>
          <w:t>Fair Work Amendment (Supporting Australia’s Jobs and Economic Recovery) Bill 2021</w:t>
        </w:r>
      </w:hyperlink>
      <w:r w:rsidR="00F60B6C">
        <w:rPr>
          <w:rStyle w:val="Hyperlink"/>
          <w:rFonts w:asciiTheme="minorHAnsi" w:hAnsiTheme="minorHAnsi" w:cstheme="minorHAnsi"/>
        </w:rPr>
        <w:t>.</w:t>
      </w:r>
    </w:p>
  </w:footnote>
  <w:footnote w:id="21">
    <w:p w14:paraId="38E7CF87" w14:textId="77777777" w:rsidR="008A059F" w:rsidRDefault="008A059F" w:rsidP="008A059F">
      <w:pPr>
        <w:pStyle w:val="FootnoteText"/>
      </w:pPr>
      <w:r>
        <w:rPr>
          <w:rStyle w:val="FootnoteReference"/>
        </w:rPr>
        <w:footnoteRef/>
      </w:r>
      <w:r>
        <w:t xml:space="preserve"> </w:t>
      </w:r>
      <w:r>
        <w:rPr>
          <w:rFonts w:asciiTheme="minorHAnsi" w:hAnsiTheme="minorHAnsi" w:cstheme="minorHAnsi"/>
        </w:rPr>
        <w:t>BETA</w:t>
      </w:r>
      <w:r w:rsidRPr="0023620D">
        <w:rPr>
          <w:rFonts w:asciiTheme="minorHAnsi" w:hAnsiTheme="minorHAnsi" w:cstheme="minorHAnsi"/>
        </w:rPr>
        <w:t xml:space="preserve">, </w:t>
      </w:r>
      <w:hyperlink r:id="rId19" w:history="1">
        <w:r w:rsidRPr="00B56C49">
          <w:rPr>
            <w:rStyle w:val="Hyperlink"/>
            <w:rFonts w:asciiTheme="minorHAnsi" w:hAnsiTheme="minorHAnsi" w:cstheme="minorHAnsi"/>
            <w:i/>
            <w:iCs/>
          </w:rPr>
          <w:t>Casual Employment: Research findings to inform independent review of SAJER Act</w:t>
        </w:r>
      </w:hyperlink>
      <w:r w:rsidRPr="0023620D">
        <w:rPr>
          <w:rFonts w:asciiTheme="minorHAnsi" w:hAnsiTheme="minorHAnsi" w:cstheme="minorHAnsi"/>
        </w:rPr>
        <w:t>, 2022</w:t>
      </w:r>
      <w:r>
        <w:rPr>
          <w:rFonts w:asciiTheme="minorHAnsi" w:hAnsiTheme="minorHAnsi" w:cstheme="minorHAnsi"/>
        </w:rPr>
        <w:t>,</w:t>
      </w:r>
      <w:r w:rsidRPr="0023620D">
        <w:rPr>
          <w:rFonts w:asciiTheme="minorHAnsi" w:hAnsiTheme="minorHAnsi" w:cstheme="minorHAnsi"/>
        </w:rPr>
        <w:t xml:space="preserve"> </w:t>
      </w:r>
      <w:r>
        <w:rPr>
          <w:rFonts w:asciiTheme="minorHAnsi" w:hAnsiTheme="minorHAnsi" w:cstheme="minorHAnsi"/>
        </w:rPr>
        <w:t>pp 31-33</w:t>
      </w:r>
    </w:p>
  </w:footnote>
  <w:footnote w:id="22">
    <w:p w14:paraId="03BA9100" w14:textId="5CC8750A" w:rsidR="00354781" w:rsidRDefault="00354781" w:rsidP="00354781">
      <w:pPr>
        <w:pStyle w:val="FootnoteText"/>
      </w:pPr>
      <w:r>
        <w:rPr>
          <w:rStyle w:val="FootnoteReference"/>
        </w:rPr>
        <w:footnoteRef/>
      </w:r>
      <w:r>
        <w:t xml:space="preserve"> </w:t>
      </w:r>
      <w:r>
        <w:rPr>
          <w:rFonts w:asciiTheme="minorHAnsi" w:hAnsiTheme="minorHAnsi" w:cstheme="minorHAnsi"/>
        </w:rPr>
        <w:t xml:space="preserve">Existing casual employees will also need to meet this qualifying period. That is, they must wait 6 months, or 12 months for employees of small business, after commencement of the laws before they can access the new </w:t>
      </w:r>
      <w:r w:rsidR="00473985">
        <w:rPr>
          <w:rFonts w:asciiTheme="minorHAnsi" w:hAnsiTheme="minorHAnsi" w:cstheme="minorHAnsi"/>
        </w:rPr>
        <w:t>employee choice</w:t>
      </w:r>
      <w:r>
        <w:rPr>
          <w:rFonts w:asciiTheme="minorHAnsi" w:hAnsiTheme="minorHAnsi" w:cstheme="minorHAnsi"/>
        </w:rPr>
        <w:t xml:space="preserve"> definition pathway.  </w:t>
      </w:r>
    </w:p>
  </w:footnote>
  <w:footnote w:id="23">
    <w:p w14:paraId="30114C4E" w14:textId="1F44B640" w:rsidR="008A059F" w:rsidRDefault="008A059F" w:rsidP="008A059F">
      <w:pPr>
        <w:pStyle w:val="FootnoteText"/>
      </w:pPr>
      <w:r>
        <w:rPr>
          <w:rStyle w:val="FootnoteReference"/>
        </w:rPr>
        <w:footnoteRef/>
      </w:r>
      <w:r>
        <w:t xml:space="preserve"> </w:t>
      </w:r>
      <w:r>
        <w:rPr>
          <w:rFonts w:asciiTheme="minorHAnsi" w:hAnsiTheme="minorHAnsi" w:cstheme="minorHAnsi"/>
        </w:rPr>
        <w:t>BETA</w:t>
      </w:r>
      <w:r w:rsidRPr="0023620D">
        <w:rPr>
          <w:rFonts w:asciiTheme="minorHAnsi" w:hAnsiTheme="minorHAnsi" w:cstheme="minorHAnsi"/>
        </w:rPr>
        <w:t xml:space="preserve">, </w:t>
      </w:r>
      <w:hyperlink r:id="rId20" w:history="1">
        <w:r w:rsidRPr="00C92F5F">
          <w:rPr>
            <w:rStyle w:val="Hyperlink"/>
            <w:rFonts w:asciiTheme="minorHAnsi" w:hAnsiTheme="minorHAnsi" w:cstheme="minorHAnsi"/>
            <w:i/>
            <w:iCs/>
          </w:rPr>
          <w:t>Casual Employment: Research findings to inform independent review of SAJER Act</w:t>
        </w:r>
      </w:hyperlink>
      <w:r w:rsidRPr="0023620D">
        <w:rPr>
          <w:rFonts w:asciiTheme="minorHAnsi" w:hAnsiTheme="minorHAnsi" w:cstheme="minorHAnsi"/>
        </w:rPr>
        <w:t>, 2022</w:t>
      </w:r>
      <w:r>
        <w:rPr>
          <w:rFonts w:asciiTheme="minorHAnsi" w:hAnsiTheme="minorHAnsi" w:cstheme="minorHAnsi"/>
        </w:rPr>
        <w:t>,</w:t>
      </w:r>
      <w:r w:rsidRPr="0023620D">
        <w:rPr>
          <w:rFonts w:asciiTheme="minorHAnsi" w:hAnsiTheme="minorHAnsi" w:cstheme="minorHAnsi"/>
        </w:rPr>
        <w:t xml:space="preserve"> </w:t>
      </w:r>
      <w:r>
        <w:rPr>
          <w:rFonts w:asciiTheme="minorHAnsi" w:hAnsiTheme="minorHAnsi" w:cstheme="minorHAnsi"/>
        </w:rPr>
        <w:t>p 11</w:t>
      </w:r>
      <w:r w:rsidR="002A3202">
        <w:rPr>
          <w:rFonts w:asciiTheme="minorHAnsi" w:hAnsiTheme="minorHAnsi" w:cstheme="minorHAnsi"/>
        </w:rPr>
        <w:t>.</w:t>
      </w:r>
    </w:p>
  </w:footnote>
  <w:footnote w:id="24">
    <w:p w14:paraId="22A91325" w14:textId="2783D2EF" w:rsidR="008A059F" w:rsidRPr="00F76ABA" w:rsidRDefault="008A059F" w:rsidP="008A059F">
      <w:pPr>
        <w:pStyle w:val="FootnoteText"/>
      </w:pPr>
      <w:r>
        <w:rPr>
          <w:rStyle w:val="FootnoteReference"/>
        </w:rPr>
        <w:footnoteRef/>
      </w:r>
      <w:r>
        <w:t xml:space="preserve"> </w:t>
      </w:r>
      <w:r>
        <w:rPr>
          <w:rFonts w:asciiTheme="minorHAnsi" w:hAnsiTheme="minorHAnsi" w:cstheme="minorHAnsi"/>
        </w:rPr>
        <w:t>BETA</w:t>
      </w:r>
      <w:r w:rsidRPr="0023620D">
        <w:rPr>
          <w:rFonts w:asciiTheme="minorHAnsi" w:hAnsiTheme="minorHAnsi" w:cstheme="minorHAnsi"/>
        </w:rPr>
        <w:t xml:space="preserve">, </w:t>
      </w:r>
      <w:hyperlink r:id="rId21" w:history="1">
        <w:r w:rsidRPr="00C92F5F">
          <w:rPr>
            <w:rStyle w:val="Hyperlink"/>
            <w:rFonts w:asciiTheme="minorHAnsi" w:hAnsiTheme="minorHAnsi" w:cstheme="minorHAnsi"/>
            <w:i/>
            <w:iCs/>
          </w:rPr>
          <w:t>Casual Employment: Research findings to inform independent review of SAJER Act</w:t>
        </w:r>
      </w:hyperlink>
      <w:r w:rsidRPr="0023620D">
        <w:rPr>
          <w:rFonts w:asciiTheme="minorHAnsi" w:hAnsiTheme="minorHAnsi" w:cstheme="minorHAnsi"/>
        </w:rPr>
        <w:t>, 2022</w:t>
      </w:r>
      <w:r>
        <w:rPr>
          <w:rFonts w:asciiTheme="minorHAnsi" w:hAnsiTheme="minorHAnsi" w:cstheme="minorHAnsi"/>
        </w:rPr>
        <w:t>,</w:t>
      </w:r>
      <w:r w:rsidRPr="0023620D">
        <w:rPr>
          <w:rFonts w:asciiTheme="minorHAnsi" w:hAnsiTheme="minorHAnsi" w:cstheme="minorHAnsi"/>
        </w:rPr>
        <w:t xml:space="preserve"> </w:t>
      </w:r>
      <w:r>
        <w:rPr>
          <w:rFonts w:asciiTheme="minorHAnsi" w:hAnsiTheme="minorHAnsi" w:cstheme="minorHAnsi"/>
        </w:rPr>
        <w:t>p 13</w:t>
      </w:r>
      <w:r w:rsidR="002A3202">
        <w:rPr>
          <w:rFonts w:asciiTheme="minorHAnsi" w:hAnsiTheme="minorHAnsi" w:cstheme="minorHAnsi"/>
        </w:rPr>
        <w:t>.</w:t>
      </w:r>
    </w:p>
  </w:footnote>
  <w:footnote w:id="25">
    <w:p w14:paraId="4B503EDE" w14:textId="073FD725" w:rsidR="008A059F" w:rsidRDefault="008A059F" w:rsidP="008A059F">
      <w:pPr>
        <w:pStyle w:val="FootnoteText"/>
      </w:pPr>
      <w:r>
        <w:rPr>
          <w:rStyle w:val="FootnoteReference"/>
        </w:rPr>
        <w:footnoteRef/>
      </w:r>
      <w:r>
        <w:t xml:space="preserve"> </w:t>
      </w:r>
      <w:r>
        <w:rPr>
          <w:rFonts w:asciiTheme="minorHAnsi" w:hAnsiTheme="minorHAnsi" w:cstheme="minorHAnsi"/>
        </w:rPr>
        <w:t>BETA</w:t>
      </w:r>
      <w:r w:rsidRPr="0023620D">
        <w:rPr>
          <w:rFonts w:asciiTheme="minorHAnsi" w:hAnsiTheme="minorHAnsi" w:cstheme="minorHAnsi"/>
        </w:rPr>
        <w:t xml:space="preserve">, </w:t>
      </w:r>
      <w:hyperlink r:id="rId22" w:history="1">
        <w:r w:rsidRPr="00C92F5F">
          <w:rPr>
            <w:rStyle w:val="Hyperlink"/>
            <w:rFonts w:asciiTheme="minorHAnsi" w:hAnsiTheme="minorHAnsi" w:cstheme="minorHAnsi"/>
            <w:i/>
            <w:iCs/>
          </w:rPr>
          <w:t>Casual Employment: Research findings to inform independent review of SAJER Act</w:t>
        </w:r>
      </w:hyperlink>
      <w:r w:rsidRPr="0023620D">
        <w:rPr>
          <w:rFonts w:asciiTheme="minorHAnsi" w:hAnsiTheme="minorHAnsi" w:cstheme="minorHAnsi"/>
        </w:rPr>
        <w:t>, 2022</w:t>
      </w:r>
      <w:r>
        <w:rPr>
          <w:rFonts w:asciiTheme="minorHAnsi" w:hAnsiTheme="minorHAnsi" w:cstheme="minorHAnsi"/>
        </w:rPr>
        <w:t>,</w:t>
      </w:r>
      <w:r w:rsidRPr="0023620D">
        <w:rPr>
          <w:rFonts w:asciiTheme="minorHAnsi" w:hAnsiTheme="minorHAnsi" w:cstheme="minorHAnsi"/>
        </w:rPr>
        <w:t xml:space="preserve"> </w:t>
      </w:r>
      <w:r>
        <w:rPr>
          <w:rFonts w:asciiTheme="minorHAnsi" w:hAnsiTheme="minorHAnsi" w:cstheme="minorHAnsi"/>
        </w:rPr>
        <w:t>p 11</w:t>
      </w:r>
      <w:r w:rsidR="002A3202">
        <w:rPr>
          <w:rFonts w:asciiTheme="minorHAnsi" w:hAnsiTheme="minorHAnsi" w:cstheme="minorHAnsi"/>
        </w:rPr>
        <w:t>.</w:t>
      </w:r>
    </w:p>
  </w:footnote>
  <w:footnote w:id="26">
    <w:p w14:paraId="6088AEFA" w14:textId="3743CA19" w:rsidR="008A059F" w:rsidRPr="0096030C" w:rsidRDefault="008A059F" w:rsidP="008A059F">
      <w:pPr>
        <w:pStyle w:val="FootnoteText"/>
      </w:pPr>
      <w:r w:rsidRPr="0096030C">
        <w:rPr>
          <w:rStyle w:val="FootnoteReference"/>
        </w:rPr>
        <w:footnoteRef/>
      </w:r>
      <w:r w:rsidRPr="0096030C">
        <w:t xml:space="preserve"> </w:t>
      </w:r>
      <w:r w:rsidRPr="006B338F">
        <w:rPr>
          <w:rFonts w:asciiTheme="minorHAnsi" w:hAnsiTheme="minorHAnsi" w:cstheme="minorHAnsi"/>
        </w:rPr>
        <w:t>Australian Government,</w:t>
      </w:r>
      <w:r>
        <w:rPr>
          <w:rFonts w:asciiTheme="minorHAnsi" w:hAnsiTheme="minorHAnsi" w:cstheme="minorHAnsi"/>
        </w:rPr>
        <w:t xml:space="preserve"> </w:t>
      </w:r>
      <w:hyperlink r:id="rId23" w:history="1">
        <w:r w:rsidRPr="00452868">
          <w:rPr>
            <w:rStyle w:val="Hyperlink"/>
            <w:rFonts w:asciiTheme="minorHAnsi" w:hAnsiTheme="minorHAnsi" w:cstheme="minorHAnsi"/>
            <w:i/>
            <w:iCs/>
          </w:rPr>
          <w:t>Australian Government Response to the Review of the Fair Work Amendment (Supporting Australia's Job and Economic Recovery) Act 2021 (Cth)</w:t>
        </w:r>
      </w:hyperlink>
      <w:r w:rsidR="001D0DB7">
        <w:rPr>
          <w:rFonts w:asciiTheme="minorHAnsi" w:hAnsiTheme="minorHAnsi" w:cstheme="minorHAnsi"/>
        </w:rPr>
        <w:t xml:space="preserve">, December 2022. </w:t>
      </w:r>
    </w:p>
  </w:footnote>
  <w:footnote w:id="27">
    <w:p w14:paraId="76AD8EF9" w14:textId="34A5316F" w:rsidR="008A059F" w:rsidRPr="00E261BB" w:rsidRDefault="008A059F" w:rsidP="008A059F">
      <w:pPr>
        <w:pStyle w:val="FootnoteText"/>
        <w:rPr>
          <w:rFonts w:asciiTheme="minorHAnsi" w:hAnsiTheme="minorHAnsi" w:cstheme="minorHAnsi"/>
        </w:rPr>
      </w:pPr>
      <w:r w:rsidRPr="00E261BB">
        <w:rPr>
          <w:rStyle w:val="FootnoteReference"/>
          <w:rFonts w:asciiTheme="minorHAnsi" w:hAnsiTheme="minorHAnsi" w:cstheme="minorHAnsi"/>
        </w:rPr>
        <w:footnoteRef/>
      </w:r>
      <w:r w:rsidRPr="00E261BB">
        <w:rPr>
          <w:rFonts w:asciiTheme="minorHAnsi" w:hAnsiTheme="minorHAnsi" w:cstheme="minorHAnsi"/>
        </w:rPr>
        <w:t xml:space="preserve"> </w:t>
      </w:r>
      <w:r>
        <w:rPr>
          <w:rFonts w:asciiTheme="minorHAnsi" w:hAnsiTheme="minorHAnsi" w:cstheme="minorHAnsi"/>
        </w:rPr>
        <w:t xml:space="preserve">Department of Employment and Workplace Relations, </w:t>
      </w:r>
      <w:hyperlink r:id="rId24" w:history="1">
        <w:r w:rsidRPr="007235E5">
          <w:rPr>
            <w:rStyle w:val="Hyperlink"/>
            <w:rFonts w:asciiTheme="minorHAnsi" w:hAnsiTheme="minorHAnsi" w:cstheme="minorHAnsi"/>
            <w:i/>
            <w:iCs/>
          </w:rPr>
          <w:t xml:space="preserve">Stand up for </w:t>
        </w:r>
        <w:r w:rsidRPr="007235E5">
          <w:rPr>
            <w:rStyle w:val="Hyperlink"/>
            <w:rFonts w:asciiTheme="minorHAnsi" w:hAnsiTheme="minorHAnsi" w:cstheme="minorHAnsi"/>
            <w:i/>
          </w:rPr>
          <w:t>casual</w:t>
        </w:r>
        <w:r w:rsidRPr="007235E5">
          <w:rPr>
            <w:rStyle w:val="Hyperlink"/>
            <w:rFonts w:asciiTheme="minorHAnsi" w:hAnsiTheme="minorHAnsi" w:cstheme="minorHAnsi"/>
            <w:i/>
            <w:iCs/>
          </w:rPr>
          <w:t xml:space="preserve"> </w:t>
        </w:r>
        <w:r w:rsidRPr="007235E5">
          <w:rPr>
            <w:rStyle w:val="Hyperlink"/>
            <w:rFonts w:asciiTheme="minorHAnsi" w:hAnsiTheme="minorHAnsi" w:cstheme="minorHAnsi"/>
            <w:i/>
          </w:rPr>
          <w:t>workers</w:t>
        </w:r>
        <w:r w:rsidRPr="007235E5">
          <w:rPr>
            <w:rStyle w:val="Hyperlink"/>
            <w:rFonts w:asciiTheme="minorHAnsi" w:hAnsiTheme="minorHAnsi" w:cstheme="minorHAnsi"/>
            <w:i/>
            <w:iCs/>
          </w:rPr>
          <w:t xml:space="preserve">: Legislate an </w:t>
        </w:r>
        <w:r w:rsidRPr="007235E5">
          <w:rPr>
            <w:rStyle w:val="Hyperlink"/>
            <w:rFonts w:asciiTheme="minorHAnsi" w:hAnsiTheme="minorHAnsi" w:cstheme="minorHAnsi"/>
            <w:i/>
          </w:rPr>
          <w:t>objective</w:t>
        </w:r>
        <w:r w:rsidRPr="007235E5">
          <w:rPr>
            <w:rStyle w:val="Hyperlink"/>
            <w:rFonts w:asciiTheme="minorHAnsi" w:hAnsiTheme="minorHAnsi" w:cstheme="minorHAnsi"/>
            <w:i/>
            <w:iCs/>
          </w:rPr>
          <w:t xml:space="preserve"> </w:t>
        </w:r>
        <w:r w:rsidRPr="007235E5">
          <w:rPr>
            <w:rStyle w:val="Hyperlink"/>
            <w:rFonts w:asciiTheme="minorHAnsi" w:hAnsiTheme="minorHAnsi" w:cstheme="minorHAnsi"/>
            <w:i/>
          </w:rPr>
          <w:t>test</w:t>
        </w:r>
        <w:r w:rsidRPr="007235E5">
          <w:rPr>
            <w:rStyle w:val="Hyperlink"/>
            <w:rFonts w:asciiTheme="minorHAnsi" w:hAnsiTheme="minorHAnsi" w:cstheme="minorHAnsi"/>
            <w:i/>
            <w:iCs/>
          </w:rPr>
          <w:t xml:space="preserve"> to </w:t>
        </w:r>
        <w:r w:rsidRPr="007235E5">
          <w:rPr>
            <w:rStyle w:val="Hyperlink"/>
            <w:rFonts w:asciiTheme="minorHAnsi" w:hAnsiTheme="minorHAnsi" w:cstheme="minorHAnsi"/>
            <w:i/>
          </w:rPr>
          <w:t>determine</w:t>
        </w:r>
        <w:r w:rsidRPr="007235E5">
          <w:rPr>
            <w:rStyle w:val="Hyperlink"/>
            <w:rFonts w:asciiTheme="minorHAnsi" w:hAnsiTheme="minorHAnsi" w:cstheme="minorHAnsi"/>
            <w:i/>
            <w:iCs/>
          </w:rPr>
          <w:t xml:space="preserve"> </w:t>
        </w:r>
        <w:r w:rsidRPr="007235E5">
          <w:rPr>
            <w:rStyle w:val="Hyperlink"/>
            <w:rFonts w:asciiTheme="minorHAnsi" w:hAnsiTheme="minorHAnsi" w:cstheme="minorHAnsi"/>
            <w:i/>
          </w:rPr>
          <w:t>when</w:t>
        </w:r>
        <w:r w:rsidRPr="007235E5">
          <w:rPr>
            <w:rStyle w:val="Hyperlink"/>
            <w:rFonts w:asciiTheme="minorHAnsi" w:hAnsiTheme="minorHAnsi" w:cstheme="minorHAnsi"/>
            <w:i/>
            <w:iCs/>
          </w:rPr>
          <w:t xml:space="preserve"> an </w:t>
        </w:r>
        <w:r w:rsidRPr="007235E5">
          <w:rPr>
            <w:rStyle w:val="Hyperlink"/>
            <w:rFonts w:asciiTheme="minorHAnsi" w:hAnsiTheme="minorHAnsi" w:cstheme="minorHAnsi"/>
            <w:i/>
          </w:rPr>
          <w:t>employee</w:t>
        </w:r>
        <w:r w:rsidRPr="007235E5">
          <w:rPr>
            <w:rStyle w:val="Hyperlink"/>
            <w:rFonts w:asciiTheme="minorHAnsi" w:hAnsiTheme="minorHAnsi" w:cstheme="minorHAnsi"/>
            <w:i/>
            <w:iCs/>
          </w:rPr>
          <w:t xml:space="preserve"> </w:t>
        </w:r>
        <w:r w:rsidRPr="007235E5">
          <w:rPr>
            <w:rStyle w:val="Hyperlink"/>
            <w:rFonts w:asciiTheme="minorHAnsi" w:hAnsiTheme="minorHAnsi" w:cstheme="minorHAnsi"/>
            <w:i/>
          </w:rPr>
          <w:t>can</w:t>
        </w:r>
        <w:r w:rsidRPr="007235E5">
          <w:rPr>
            <w:rStyle w:val="Hyperlink"/>
            <w:rFonts w:asciiTheme="minorHAnsi" w:hAnsiTheme="minorHAnsi" w:cstheme="minorHAnsi"/>
            <w:i/>
            <w:iCs/>
          </w:rPr>
          <w:t xml:space="preserve"> </w:t>
        </w:r>
        <w:r w:rsidRPr="007235E5">
          <w:rPr>
            <w:rStyle w:val="Hyperlink"/>
            <w:rFonts w:asciiTheme="minorHAnsi" w:hAnsiTheme="minorHAnsi" w:cstheme="minorHAnsi"/>
            <w:i/>
          </w:rPr>
          <w:t>be</w:t>
        </w:r>
        <w:r w:rsidRPr="007235E5">
          <w:rPr>
            <w:rStyle w:val="Hyperlink"/>
            <w:rFonts w:asciiTheme="minorHAnsi" w:hAnsiTheme="minorHAnsi" w:cstheme="minorHAnsi"/>
            <w:i/>
            <w:iCs/>
          </w:rPr>
          <w:t xml:space="preserve"> </w:t>
        </w:r>
        <w:r w:rsidRPr="007235E5">
          <w:rPr>
            <w:rStyle w:val="Hyperlink"/>
            <w:rFonts w:asciiTheme="minorHAnsi" w:hAnsiTheme="minorHAnsi" w:cstheme="minorHAnsi"/>
            <w:i/>
          </w:rPr>
          <w:t>classified</w:t>
        </w:r>
        <w:r w:rsidRPr="007235E5">
          <w:rPr>
            <w:rStyle w:val="Hyperlink"/>
            <w:rFonts w:asciiTheme="minorHAnsi" w:hAnsiTheme="minorHAnsi" w:cstheme="minorHAnsi"/>
            <w:i/>
            <w:iCs/>
          </w:rPr>
          <w:t xml:space="preserve"> as </w:t>
        </w:r>
        <w:r w:rsidRPr="007235E5">
          <w:rPr>
            <w:rStyle w:val="Hyperlink"/>
            <w:rFonts w:asciiTheme="minorHAnsi" w:hAnsiTheme="minorHAnsi" w:cstheme="minorHAnsi"/>
            <w:i/>
          </w:rPr>
          <w:t>casual</w:t>
        </w:r>
      </w:hyperlink>
      <w:r w:rsidR="00280D99">
        <w:rPr>
          <w:rFonts w:asciiTheme="minorHAnsi" w:hAnsiTheme="minorHAnsi" w:cstheme="minorHAnsi"/>
        </w:rPr>
        <w:t>.</w:t>
      </w:r>
    </w:p>
  </w:footnote>
  <w:footnote w:id="28">
    <w:p w14:paraId="7B52E4B5" w14:textId="06A2A4C4" w:rsidR="008A059F" w:rsidRPr="00B924F9" w:rsidRDefault="008A059F" w:rsidP="008A059F">
      <w:pPr>
        <w:pStyle w:val="FootnoteText"/>
        <w:rPr>
          <w:rFonts w:asciiTheme="minorHAnsi" w:hAnsiTheme="minorHAnsi" w:cstheme="minorHAnsi"/>
        </w:rPr>
      </w:pPr>
      <w:r>
        <w:rPr>
          <w:rStyle w:val="FootnoteReference"/>
        </w:rPr>
        <w:footnoteRef/>
      </w:r>
      <w:r>
        <w:t xml:space="preserve"> </w:t>
      </w:r>
      <w:r w:rsidRPr="00E26DB9">
        <w:rPr>
          <w:rFonts w:asciiTheme="minorHAnsi" w:hAnsiTheme="minorHAnsi" w:cstheme="minorHAnsi"/>
        </w:rPr>
        <w:t>KPMG,</w:t>
      </w:r>
      <w:r>
        <w:t xml:space="preserve"> </w:t>
      </w:r>
      <w:hyperlink r:id="rId25" w:history="1">
        <w:r w:rsidRPr="007D7946">
          <w:rPr>
            <w:rStyle w:val="Hyperlink"/>
            <w:rFonts w:asciiTheme="minorHAnsi" w:hAnsiTheme="minorHAnsi" w:cstheme="minorHAnsi"/>
            <w:i/>
            <w:iCs/>
          </w:rPr>
          <w:t>Review of the Fair Work Amendment (Supporting Australia’s Jobs and Economic Recovery) Act 2021</w:t>
        </w:r>
      </w:hyperlink>
      <w:r>
        <w:rPr>
          <w:rFonts w:asciiTheme="minorHAnsi" w:hAnsiTheme="minorHAnsi" w:cstheme="minorHAnsi"/>
          <w:i/>
          <w:iCs/>
        </w:rPr>
        <w:t xml:space="preserve"> </w:t>
      </w:r>
      <w:r w:rsidRPr="00316257">
        <w:rPr>
          <w:rFonts w:asciiTheme="minorHAnsi" w:hAnsiTheme="minorHAnsi" w:cstheme="minorHAnsi"/>
        </w:rPr>
        <w:t>(Cth),</w:t>
      </w:r>
      <w:r>
        <w:rPr>
          <w:rFonts w:asciiTheme="minorHAnsi" w:hAnsiTheme="minorHAnsi" w:cstheme="minorHAnsi"/>
        </w:rPr>
        <w:t>October 2022,</w:t>
      </w:r>
      <w:r w:rsidRPr="00316257">
        <w:rPr>
          <w:rFonts w:asciiTheme="minorHAnsi" w:hAnsiTheme="minorHAnsi" w:cstheme="minorHAnsi"/>
          <w:i/>
          <w:iCs/>
        </w:rPr>
        <w:t xml:space="preserve"> </w:t>
      </w:r>
      <w:r w:rsidRPr="00B924F9">
        <w:rPr>
          <w:rFonts w:asciiTheme="minorHAnsi" w:hAnsiTheme="minorHAnsi" w:cstheme="minorHAnsi"/>
        </w:rPr>
        <w:t>p</w:t>
      </w:r>
      <w:r>
        <w:rPr>
          <w:rFonts w:asciiTheme="minorHAnsi" w:hAnsiTheme="minorHAnsi" w:cstheme="minorHAnsi"/>
        </w:rPr>
        <w:t xml:space="preserve"> </w:t>
      </w:r>
      <w:r w:rsidRPr="00B924F9">
        <w:rPr>
          <w:rFonts w:asciiTheme="minorHAnsi" w:hAnsiTheme="minorHAnsi" w:cstheme="minorHAnsi"/>
        </w:rPr>
        <w:t>73</w:t>
      </w:r>
      <w:r w:rsidR="00ED4975">
        <w:rPr>
          <w:rFonts w:asciiTheme="minorHAnsi" w:hAnsiTheme="minorHAnsi" w:cstheme="minorHAnsi"/>
        </w:rPr>
        <w:t>.</w:t>
      </w:r>
    </w:p>
  </w:footnote>
  <w:footnote w:id="29">
    <w:p w14:paraId="361CF681" w14:textId="3ED7A9B3" w:rsidR="008A059F" w:rsidRDefault="008A059F" w:rsidP="008A059F">
      <w:pPr>
        <w:pStyle w:val="FootnoteText"/>
      </w:pPr>
      <w:r>
        <w:rPr>
          <w:rStyle w:val="FootnoteReference"/>
        </w:rPr>
        <w:footnoteRef/>
      </w:r>
      <w:r>
        <w:t xml:space="preserve"> </w:t>
      </w:r>
      <w:r>
        <w:rPr>
          <w:rFonts w:asciiTheme="minorHAnsi" w:hAnsiTheme="minorHAnsi" w:cstheme="minorHAnsi"/>
        </w:rPr>
        <w:t>KPMG,</w:t>
      </w:r>
      <w:r w:rsidRPr="00316257">
        <w:rPr>
          <w:rFonts w:asciiTheme="minorHAnsi" w:hAnsiTheme="minorHAnsi" w:cstheme="minorHAnsi"/>
        </w:rPr>
        <w:t xml:space="preserve"> </w:t>
      </w:r>
      <w:hyperlink r:id="rId26" w:history="1">
        <w:r w:rsidRPr="00637288">
          <w:rPr>
            <w:rStyle w:val="Hyperlink"/>
            <w:rFonts w:asciiTheme="minorHAnsi" w:hAnsiTheme="minorHAnsi" w:cstheme="minorHAnsi"/>
            <w:i/>
            <w:iCs/>
          </w:rPr>
          <w:t xml:space="preserve">Review of the Fair Work Amendment (Supporting Australia’s Jobs and Economic Recovery) Act 2021 </w:t>
        </w:r>
        <w:r w:rsidRPr="00637288">
          <w:rPr>
            <w:rStyle w:val="Hyperlink"/>
            <w:rFonts w:asciiTheme="minorHAnsi" w:hAnsiTheme="minorHAnsi" w:cstheme="minorHAnsi"/>
          </w:rPr>
          <w:t>(Cth)</w:t>
        </w:r>
      </w:hyperlink>
      <w:r w:rsidRPr="00316257">
        <w:rPr>
          <w:rFonts w:asciiTheme="minorHAnsi" w:hAnsiTheme="minorHAnsi" w:cstheme="minorHAnsi"/>
        </w:rPr>
        <w:t>,</w:t>
      </w:r>
      <w:r w:rsidRPr="00316257">
        <w:rPr>
          <w:rFonts w:asciiTheme="minorHAnsi" w:hAnsiTheme="minorHAnsi" w:cstheme="minorHAnsi"/>
          <w:i/>
          <w:iCs/>
        </w:rPr>
        <w:t xml:space="preserve"> </w:t>
      </w:r>
      <w:r>
        <w:rPr>
          <w:rFonts w:asciiTheme="minorHAnsi" w:hAnsiTheme="minorHAnsi" w:cstheme="minorHAnsi"/>
        </w:rPr>
        <w:t xml:space="preserve">October 2022, </w:t>
      </w:r>
      <w:r w:rsidRPr="00316257">
        <w:rPr>
          <w:rFonts w:asciiTheme="minorHAnsi" w:hAnsiTheme="minorHAnsi" w:cstheme="minorHAnsi"/>
        </w:rPr>
        <w:t>p</w:t>
      </w:r>
      <w:r>
        <w:rPr>
          <w:rFonts w:asciiTheme="minorHAnsi" w:hAnsiTheme="minorHAnsi" w:cstheme="minorHAnsi"/>
        </w:rPr>
        <w:t>p 34-35</w:t>
      </w:r>
      <w:r w:rsidR="0032218D">
        <w:rPr>
          <w:rFonts w:asciiTheme="minorHAnsi" w:hAnsiTheme="minorHAnsi" w:cstheme="minorHAnsi"/>
        </w:rPr>
        <w:t>.</w:t>
      </w:r>
    </w:p>
  </w:footnote>
  <w:footnote w:id="30">
    <w:p w14:paraId="6C853A27" w14:textId="77777777" w:rsidR="009374DC" w:rsidRPr="000118D1" w:rsidRDefault="009374DC" w:rsidP="009374DC">
      <w:pPr>
        <w:pStyle w:val="FootnoteText"/>
        <w:rPr>
          <w:rFonts w:asciiTheme="majorHAnsi" w:hAnsiTheme="majorHAnsi" w:cstheme="majorHAnsi"/>
        </w:rPr>
      </w:pPr>
      <w:r w:rsidRPr="000118D1">
        <w:rPr>
          <w:rStyle w:val="FootnoteReference"/>
          <w:rFonts w:asciiTheme="majorHAnsi" w:hAnsiTheme="majorHAnsi" w:cstheme="majorHAnsi"/>
        </w:rPr>
        <w:footnoteRef/>
      </w:r>
      <w:r w:rsidRPr="000118D1">
        <w:rPr>
          <w:rFonts w:asciiTheme="majorHAnsi" w:hAnsiTheme="majorHAnsi" w:cstheme="majorHAnsi"/>
        </w:rPr>
        <w:t xml:space="preserve"> </w:t>
      </w:r>
      <w:r w:rsidRPr="00234908">
        <w:rPr>
          <w:rFonts w:asciiTheme="minorHAnsi" w:hAnsiTheme="minorHAnsi" w:cstheme="minorHAnsi"/>
        </w:rPr>
        <w:t xml:space="preserve">ABS </w:t>
      </w:r>
      <w:r w:rsidRPr="00234908">
        <w:rPr>
          <w:rFonts w:asciiTheme="minorHAnsi" w:hAnsiTheme="minorHAnsi" w:cstheme="minorHAnsi"/>
          <w:i/>
          <w:iCs/>
        </w:rPr>
        <w:t>Characteristics of Employment</w:t>
      </w:r>
      <w:r>
        <w:rPr>
          <w:rFonts w:asciiTheme="minorHAnsi" w:hAnsiTheme="minorHAnsi" w:cstheme="minorHAnsi"/>
          <w:i/>
          <w:iCs/>
        </w:rPr>
        <w:t>,</w:t>
      </w:r>
      <w:r w:rsidRPr="00234908">
        <w:rPr>
          <w:rFonts w:asciiTheme="minorHAnsi" w:hAnsiTheme="minorHAnsi" w:cstheme="minorHAnsi"/>
          <w:i/>
          <w:iCs/>
        </w:rPr>
        <w:t xml:space="preserve"> </w:t>
      </w:r>
      <w:r w:rsidRPr="00923158">
        <w:rPr>
          <w:rFonts w:asciiTheme="minorHAnsi" w:hAnsiTheme="minorHAnsi" w:cstheme="minorHAnsi"/>
        </w:rPr>
        <w:t>August 2022</w:t>
      </w:r>
      <w:r w:rsidRPr="00234908">
        <w:rPr>
          <w:rFonts w:asciiTheme="minorHAnsi" w:hAnsiTheme="minorHAnsi" w:cstheme="minorHAnsi"/>
        </w:rPr>
        <w:t>, unpublished Tablebuilder.</w:t>
      </w:r>
    </w:p>
  </w:footnote>
  <w:footnote w:id="31">
    <w:p w14:paraId="4D688A32" w14:textId="77777777" w:rsidR="00774780" w:rsidRDefault="00774780" w:rsidP="00774780">
      <w:pPr>
        <w:pStyle w:val="FootnoteText"/>
      </w:pPr>
      <w:r>
        <w:rPr>
          <w:rStyle w:val="FootnoteReference"/>
        </w:rPr>
        <w:footnoteRef/>
      </w:r>
      <w:r>
        <w:t xml:space="preserve"> </w:t>
      </w:r>
      <w:r w:rsidRPr="000250A8">
        <w:rPr>
          <w:rFonts w:asciiTheme="minorHAnsi" w:hAnsiTheme="minorHAnsi" w:cstheme="minorHAnsi"/>
        </w:rPr>
        <w:t>Note that components will not always sum to totals due to rounding.</w:t>
      </w:r>
    </w:p>
  </w:footnote>
  <w:footnote w:id="32">
    <w:p w14:paraId="3E8A6E2A" w14:textId="77777777" w:rsidR="00774780" w:rsidRPr="000250A8" w:rsidRDefault="00774780" w:rsidP="00774780">
      <w:pPr>
        <w:pStyle w:val="FootnoteText"/>
        <w:rPr>
          <w:rFonts w:asciiTheme="minorHAnsi" w:hAnsiTheme="minorHAnsi" w:cstheme="minorHAnsi"/>
        </w:rPr>
      </w:pPr>
      <w:r w:rsidRPr="000250A8">
        <w:rPr>
          <w:rStyle w:val="FootnoteReference"/>
          <w:rFonts w:asciiTheme="minorHAnsi" w:hAnsiTheme="minorHAnsi" w:cstheme="minorHAnsi"/>
        </w:rPr>
        <w:footnoteRef/>
      </w:r>
      <w:r w:rsidRPr="000250A8">
        <w:rPr>
          <w:rFonts w:asciiTheme="minorHAnsi" w:hAnsiTheme="minorHAnsi" w:cstheme="minorHAnsi"/>
        </w:rPr>
        <w:t xml:space="preserve"> ABS, </w:t>
      </w:r>
      <w:r w:rsidRPr="00923158">
        <w:rPr>
          <w:rFonts w:asciiTheme="minorHAnsi" w:hAnsiTheme="minorHAnsi" w:cstheme="minorHAnsi"/>
          <w:i/>
          <w:iCs/>
        </w:rPr>
        <w:t>Characteristics of Employment</w:t>
      </w:r>
      <w:r w:rsidRPr="000250A8">
        <w:rPr>
          <w:rFonts w:asciiTheme="minorHAnsi" w:hAnsiTheme="minorHAnsi" w:cstheme="minorHAnsi"/>
        </w:rPr>
        <w:t xml:space="preserve">, </w:t>
      </w:r>
      <w:r w:rsidRPr="00B35373">
        <w:rPr>
          <w:rFonts w:asciiTheme="minorHAnsi" w:hAnsiTheme="minorHAnsi" w:cstheme="minorHAnsi"/>
          <w:i/>
          <w:iCs/>
        </w:rPr>
        <w:t>August 2022</w:t>
      </w:r>
      <w:r>
        <w:rPr>
          <w:rFonts w:asciiTheme="minorHAnsi" w:hAnsiTheme="minorHAnsi" w:cstheme="minorHAnsi"/>
          <w:i/>
          <w:iCs/>
        </w:rPr>
        <w:t>,</w:t>
      </w:r>
      <w:r>
        <w:rPr>
          <w:rFonts w:asciiTheme="minorHAnsi" w:hAnsiTheme="minorHAnsi" w:cstheme="minorHAnsi"/>
        </w:rPr>
        <w:t xml:space="preserve"> unpublished Tablebuilder.</w:t>
      </w:r>
    </w:p>
  </w:footnote>
  <w:footnote w:id="33">
    <w:p w14:paraId="364D2D95" w14:textId="7C976DA7" w:rsidR="003279A4" w:rsidRPr="009413E4" w:rsidRDefault="00767B8B">
      <w:pPr>
        <w:pStyle w:val="FootnoteText"/>
        <w:rPr>
          <w:rFonts w:asciiTheme="minorHAnsi" w:hAnsiTheme="minorHAnsi" w:cstheme="minorHAnsi"/>
        </w:rPr>
      </w:pPr>
      <w:r>
        <w:rPr>
          <w:rStyle w:val="FootnoteReference"/>
        </w:rPr>
        <w:footnoteRef/>
      </w:r>
      <w:r>
        <w:t xml:space="preserve"> </w:t>
      </w:r>
      <w:r w:rsidR="0068765E">
        <w:rPr>
          <w:rFonts w:asciiTheme="minorHAnsi" w:hAnsiTheme="minorHAnsi" w:cstheme="minorHAnsi"/>
        </w:rPr>
        <w:t>Data on casual employment is available from a number of ABS publications, namely Characteristics of Employment and Quarterly Detailed Labour Force. Data from the Labour Force publication is more timely as it is released on a quarterly basis the month after the data was collected</w:t>
      </w:r>
      <w:r w:rsidR="007C47A3">
        <w:rPr>
          <w:rFonts w:asciiTheme="minorHAnsi" w:hAnsiTheme="minorHAnsi" w:cstheme="minorHAnsi"/>
        </w:rPr>
        <w:t xml:space="preserve">, but </w:t>
      </w:r>
      <w:r w:rsidR="003279A4">
        <w:rPr>
          <w:rFonts w:asciiTheme="minorHAnsi" w:hAnsiTheme="minorHAnsi" w:cstheme="minorHAnsi"/>
        </w:rPr>
        <w:t xml:space="preserve">is limited in </w:t>
      </w:r>
      <w:r w:rsidR="005912B3">
        <w:rPr>
          <w:rFonts w:asciiTheme="minorHAnsi" w:hAnsiTheme="minorHAnsi" w:cstheme="minorHAnsi"/>
        </w:rPr>
        <w:t>its</w:t>
      </w:r>
      <w:r w:rsidR="003279A4">
        <w:rPr>
          <w:rFonts w:asciiTheme="minorHAnsi" w:hAnsiTheme="minorHAnsi" w:cstheme="minorHAnsi"/>
        </w:rPr>
        <w:t xml:space="preserve"> ability to breakdown </w:t>
      </w:r>
      <w:r w:rsidR="005912B3">
        <w:rPr>
          <w:rFonts w:asciiTheme="minorHAnsi" w:hAnsiTheme="minorHAnsi" w:cstheme="minorHAnsi"/>
        </w:rPr>
        <w:t>the headline figure</w:t>
      </w:r>
      <w:r w:rsidR="0068765E">
        <w:rPr>
          <w:rFonts w:asciiTheme="minorHAnsi" w:hAnsiTheme="minorHAnsi" w:cstheme="minorHAnsi"/>
        </w:rPr>
        <w:t xml:space="preserve">. Characteristics of Employment </w:t>
      </w:r>
      <w:r w:rsidR="007C47A3">
        <w:rPr>
          <w:rFonts w:asciiTheme="minorHAnsi" w:hAnsiTheme="minorHAnsi" w:cstheme="minorHAnsi"/>
        </w:rPr>
        <w:t xml:space="preserve">is an annual publication </w:t>
      </w:r>
      <w:r w:rsidR="005912B3">
        <w:rPr>
          <w:rFonts w:asciiTheme="minorHAnsi" w:hAnsiTheme="minorHAnsi" w:cstheme="minorHAnsi"/>
        </w:rPr>
        <w:t xml:space="preserve">but has considerably more information, including the demographic and work characteristics that have been used in much of the costing of these policies. </w:t>
      </w:r>
    </w:p>
  </w:footnote>
  <w:footnote w:id="34">
    <w:p w14:paraId="103B5794" w14:textId="11DF52C0" w:rsidR="000A4FAD" w:rsidRDefault="000A4FAD" w:rsidP="000A4FAD">
      <w:pPr>
        <w:pStyle w:val="FootnoteText"/>
      </w:pPr>
      <w:r w:rsidRPr="48C2E276">
        <w:rPr>
          <w:rStyle w:val="FootnoteReference"/>
        </w:rPr>
        <w:footnoteRef/>
      </w:r>
      <w:r>
        <w:t xml:space="preserve"> </w:t>
      </w:r>
      <w:r w:rsidRPr="00057650">
        <w:rPr>
          <w:rFonts w:asciiTheme="minorHAnsi" w:hAnsiTheme="minorHAnsi" w:cstheme="minorHAnsi"/>
        </w:rPr>
        <w:t xml:space="preserve">These casual employees expect to remain with their employer for the next 12 months and either meet the combined conditions of ‘guaranteed minimum hours’ + ‘did not usually work same hours’ </w:t>
      </w:r>
      <w:r>
        <w:rPr>
          <w:rFonts w:asciiTheme="minorHAnsi" w:hAnsiTheme="minorHAnsi" w:cstheme="minorHAnsi"/>
        </w:rPr>
        <w:t xml:space="preserve">+ ‘income varies from one pay period to the next’ </w:t>
      </w:r>
      <w:r w:rsidRPr="00057650">
        <w:rPr>
          <w:rFonts w:asciiTheme="minorHAnsi" w:hAnsiTheme="minorHAnsi" w:cstheme="minorHAnsi"/>
        </w:rPr>
        <w:t>or are ‘not guaranteed minimum hours’</w:t>
      </w:r>
      <w:r w:rsidR="00EA07D5">
        <w:rPr>
          <w:rFonts w:asciiTheme="minorHAnsi" w:hAnsiTheme="minorHAnsi" w:cstheme="minorHAnsi"/>
        </w:rPr>
        <w:t>.</w:t>
      </w:r>
    </w:p>
  </w:footnote>
  <w:footnote w:id="35">
    <w:p w14:paraId="5FB11E78" w14:textId="77777777" w:rsidR="00774780" w:rsidRDefault="00774780" w:rsidP="00774780">
      <w:pPr>
        <w:pStyle w:val="FootnoteText"/>
      </w:pPr>
      <w:r>
        <w:rPr>
          <w:rStyle w:val="FootnoteReference"/>
        </w:rPr>
        <w:footnoteRef/>
      </w:r>
      <w:r>
        <w:t xml:space="preserve"> </w:t>
      </w:r>
      <w:r w:rsidRPr="00FA0514">
        <w:rPr>
          <w:rFonts w:asciiTheme="minorHAnsi" w:hAnsiTheme="minorHAnsi" w:cstheme="minorHAnsi"/>
        </w:rPr>
        <w:t xml:space="preserve">This is a similar cohort to the 851,100 regular casual employees </w:t>
      </w:r>
      <w:r w:rsidRPr="00FA0514">
        <w:rPr>
          <w:rFonts w:asciiTheme="minorHAnsi" w:eastAsiaTheme="minorEastAsia" w:hAnsiTheme="minorHAnsi" w:cstheme="minorHAnsi"/>
        </w:rPr>
        <w:t>but they did not report having guaranteed minimum hours</w:t>
      </w:r>
      <w:r w:rsidR="00CC3268">
        <w:rPr>
          <w:rFonts w:asciiTheme="minorHAnsi" w:eastAsiaTheme="minorEastAsia" w:hAnsiTheme="minorHAnsi" w:cstheme="minorHAnsi"/>
        </w:rPr>
        <w:t>.</w:t>
      </w:r>
      <w:r w:rsidRPr="00FA0514">
        <w:rPr>
          <w:rFonts w:asciiTheme="minorHAnsi" w:eastAsiaTheme="minorEastAsia" w:hAnsiTheme="minorHAnsi" w:cstheme="minorHAnsi"/>
        </w:rPr>
        <w:t xml:space="preserve"> </w:t>
      </w:r>
    </w:p>
  </w:footnote>
  <w:footnote w:id="36">
    <w:p w14:paraId="28EAB9F0" w14:textId="77777777" w:rsidR="00774780" w:rsidRDefault="00774780" w:rsidP="00774780">
      <w:pPr>
        <w:pStyle w:val="FootnoteText"/>
      </w:pPr>
      <w:r w:rsidRPr="54A4CF2A">
        <w:rPr>
          <w:rStyle w:val="FootnoteReference"/>
        </w:rPr>
        <w:footnoteRef/>
      </w:r>
      <w:r>
        <w:t xml:space="preserve"> </w:t>
      </w:r>
      <w:r w:rsidRPr="54A4CF2A">
        <w:rPr>
          <w:rFonts w:ascii="Calibri" w:hAnsi="Calibri" w:cs="Calibri"/>
        </w:rPr>
        <w:t xml:space="preserve">ABS, </w:t>
      </w:r>
      <w:r w:rsidRPr="54A4CF2A">
        <w:rPr>
          <w:rFonts w:ascii="Calibri" w:hAnsi="Calibri" w:cs="Calibri"/>
          <w:i/>
          <w:iCs/>
        </w:rPr>
        <w:t>Characteristics of Employment</w:t>
      </w:r>
      <w:r w:rsidRPr="54A4CF2A">
        <w:rPr>
          <w:rFonts w:ascii="Calibri" w:hAnsi="Calibri" w:cs="Calibri"/>
        </w:rPr>
        <w:t xml:space="preserve">, </w:t>
      </w:r>
      <w:r w:rsidRPr="54A4CF2A">
        <w:rPr>
          <w:rFonts w:asciiTheme="minorHAnsi" w:hAnsiTheme="minorHAnsi"/>
          <w:i/>
          <w:iCs/>
        </w:rPr>
        <w:t>August 2022,</w:t>
      </w:r>
      <w:r w:rsidRPr="54A4CF2A">
        <w:rPr>
          <w:rFonts w:asciiTheme="minorHAnsi" w:hAnsiTheme="minorHAnsi"/>
        </w:rPr>
        <w:t xml:space="preserve"> unpublished Tablebuilder.</w:t>
      </w:r>
    </w:p>
  </w:footnote>
  <w:footnote w:id="37">
    <w:p w14:paraId="12487143" w14:textId="40663D53" w:rsidR="005A2718" w:rsidRDefault="005A2718" w:rsidP="005A2718">
      <w:pPr>
        <w:pStyle w:val="FootnoteText"/>
        <w:rPr>
          <w:rFonts w:asciiTheme="minorHAnsi" w:hAnsiTheme="minorHAnsi"/>
        </w:rPr>
      </w:pPr>
      <w:r w:rsidRPr="6B43A0A0">
        <w:rPr>
          <w:rStyle w:val="FootnoteReference"/>
          <w:rFonts w:asciiTheme="minorHAnsi" w:hAnsiTheme="minorHAnsi"/>
        </w:rPr>
        <w:footnoteRef/>
      </w:r>
      <w:r w:rsidRPr="6B43A0A0">
        <w:rPr>
          <w:rFonts w:asciiTheme="minorHAnsi" w:hAnsiTheme="minorHAnsi"/>
        </w:rPr>
        <w:t xml:space="preserve"> ABS, </w:t>
      </w:r>
      <w:r w:rsidRPr="6B43A0A0">
        <w:rPr>
          <w:rFonts w:asciiTheme="minorHAnsi" w:hAnsiTheme="minorHAnsi"/>
          <w:i/>
        </w:rPr>
        <w:t>Characteristics of Employment</w:t>
      </w:r>
      <w:r w:rsidRPr="6B43A0A0">
        <w:rPr>
          <w:rFonts w:asciiTheme="minorHAnsi" w:hAnsiTheme="minorHAnsi"/>
        </w:rPr>
        <w:t xml:space="preserve">, </w:t>
      </w:r>
      <w:r w:rsidRPr="6B43A0A0">
        <w:rPr>
          <w:rFonts w:asciiTheme="minorHAnsi" w:hAnsiTheme="minorHAnsi"/>
          <w:i/>
        </w:rPr>
        <w:t>August 2022,</w:t>
      </w:r>
      <w:r w:rsidRPr="6B43A0A0">
        <w:rPr>
          <w:rFonts w:asciiTheme="minorHAnsi" w:hAnsiTheme="minorHAnsi"/>
        </w:rPr>
        <w:t xml:space="preserve"> unpublished Tablebuilder</w:t>
      </w:r>
      <w:r w:rsidR="6B43A0A0" w:rsidRPr="6B43A0A0">
        <w:rPr>
          <w:rFonts w:asciiTheme="minorHAnsi" w:hAnsiTheme="minorHAnsi"/>
        </w:rPr>
        <w:t xml:space="preserve">; ABS, </w:t>
      </w:r>
      <w:r w:rsidR="6B43A0A0" w:rsidRPr="6B43A0A0">
        <w:rPr>
          <w:rFonts w:asciiTheme="minorHAnsi" w:hAnsiTheme="minorHAnsi"/>
          <w:i/>
          <w:iCs/>
        </w:rPr>
        <w:t>Employee Earnings and Hours, May 2021.</w:t>
      </w:r>
    </w:p>
  </w:footnote>
  <w:footnote w:id="38">
    <w:p w14:paraId="4B4BB3F0" w14:textId="2D4B765D" w:rsidR="005A2718" w:rsidRDefault="005A2718" w:rsidP="005A2718">
      <w:pPr>
        <w:pStyle w:val="FootnoteText"/>
        <w:rPr>
          <w:rFonts w:asciiTheme="minorHAnsi" w:hAnsiTheme="minorHAnsi"/>
        </w:rPr>
      </w:pPr>
      <w:r w:rsidRPr="3FEE9810">
        <w:rPr>
          <w:rStyle w:val="FootnoteReference"/>
          <w:rFonts w:asciiTheme="minorHAnsi" w:hAnsiTheme="minorHAnsi"/>
        </w:rPr>
        <w:footnoteRef/>
      </w:r>
      <w:r w:rsidRPr="3FEE9810">
        <w:rPr>
          <w:rFonts w:asciiTheme="minorHAnsi" w:hAnsiTheme="minorHAnsi"/>
        </w:rPr>
        <w:t xml:space="preserve"> ABS, </w:t>
      </w:r>
      <w:r w:rsidRPr="3FEE9810">
        <w:rPr>
          <w:rFonts w:asciiTheme="minorHAnsi" w:hAnsiTheme="minorHAnsi"/>
          <w:i/>
        </w:rPr>
        <w:t>Characteristics of Employment</w:t>
      </w:r>
      <w:r w:rsidRPr="3FEE9810">
        <w:rPr>
          <w:rFonts w:asciiTheme="minorHAnsi" w:hAnsiTheme="minorHAnsi"/>
        </w:rPr>
        <w:t xml:space="preserve">, </w:t>
      </w:r>
      <w:r w:rsidRPr="3FEE9810">
        <w:rPr>
          <w:rFonts w:asciiTheme="minorHAnsi" w:hAnsiTheme="minorHAnsi"/>
          <w:i/>
        </w:rPr>
        <w:t>August 2022,</w:t>
      </w:r>
      <w:r w:rsidRPr="3FEE9810">
        <w:rPr>
          <w:rFonts w:asciiTheme="minorHAnsi" w:hAnsiTheme="minorHAnsi"/>
        </w:rPr>
        <w:t xml:space="preserve"> unpublished Tablebuilder</w:t>
      </w:r>
      <w:r w:rsidR="1E51AD98" w:rsidRPr="1E51AD98">
        <w:rPr>
          <w:rFonts w:asciiTheme="minorHAnsi" w:hAnsiTheme="minorHAnsi"/>
        </w:rPr>
        <w:t xml:space="preserve">; ABS, </w:t>
      </w:r>
      <w:r w:rsidR="1E51AD98" w:rsidRPr="1E51AD98">
        <w:rPr>
          <w:rFonts w:asciiTheme="minorHAnsi" w:hAnsiTheme="minorHAnsi"/>
          <w:i/>
          <w:iCs/>
        </w:rPr>
        <w:t xml:space="preserve">Employee Earnings and Hours, </w:t>
      </w:r>
      <w:r w:rsidR="6B43A0A0" w:rsidRPr="6B43A0A0">
        <w:rPr>
          <w:rFonts w:asciiTheme="minorHAnsi" w:hAnsiTheme="minorHAnsi"/>
          <w:i/>
          <w:iCs/>
        </w:rPr>
        <w:t>May 2021.</w:t>
      </w:r>
    </w:p>
  </w:footnote>
  <w:footnote w:id="39">
    <w:p w14:paraId="6F88B3A1" w14:textId="77777777" w:rsidR="004E0255" w:rsidRPr="000250A8" w:rsidRDefault="004E0255" w:rsidP="004E0255">
      <w:pPr>
        <w:pStyle w:val="FootnoteText"/>
        <w:rPr>
          <w:rFonts w:asciiTheme="minorHAnsi" w:hAnsiTheme="minorHAnsi" w:cstheme="minorHAnsi"/>
        </w:rPr>
      </w:pPr>
      <w:r w:rsidRPr="000250A8">
        <w:rPr>
          <w:rStyle w:val="FootnoteReference"/>
          <w:rFonts w:asciiTheme="minorHAnsi" w:hAnsiTheme="minorHAnsi" w:cstheme="minorHAnsi"/>
        </w:rPr>
        <w:footnoteRef/>
      </w:r>
      <w:r w:rsidRPr="000250A8">
        <w:rPr>
          <w:rFonts w:asciiTheme="minorHAnsi" w:hAnsiTheme="minorHAnsi" w:cstheme="minorHAnsi"/>
        </w:rPr>
        <w:t xml:space="preserve"> </w:t>
      </w:r>
      <w:hyperlink r:id="rId27" w:history="1">
        <w:r w:rsidRPr="000250A8">
          <w:rPr>
            <w:rStyle w:val="Hyperlink"/>
            <w:rFonts w:asciiTheme="minorHAnsi" w:hAnsiTheme="minorHAnsi" w:cstheme="minorHAnsi"/>
          </w:rPr>
          <w:t>Regulatory Burden Measurement Framework (pmc.gov.au)</w:t>
        </w:r>
      </w:hyperlink>
    </w:p>
  </w:footnote>
  <w:footnote w:id="40">
    <w:p w14:paraId="6A600B11" w14:textId="77777777" w:rsidR="004E0255" w:rsidRPr="000250A8" w:rsidRDefault="004E0255" w:rsidP="004E0255">
      <w:pPr>
        <w:pStyle w:val="FootnoteText"/>
        <w:rPr>
          <w:rFonts w:asciiTheme="minorHAnsi" w:hAnsiTheme="minorHAnsi" w:cstheme="minorHAnsi"/>
        </w:rPr>
      </w:pPr>
      <w:r w:rsidRPr="000250A8">
        <w:rPr>
          <w:rStyle w:val="FootnoteReference"/>
          <w:rFonts w:asciiTheme="minorHAnsi" w:hAnsiTheme="minorHAnsi" w:cstheme="minorHAnsi"/>
        </w:rPr>
        <w:footnoteRef/>
      </w:r>
      <w:r w:rsidRPr="000250A8">
        <w:rPr>
          <w:rFonts w:asciiTheme="minorHAnsi" w:hAnsiTheme="minorHAnsi" w:cstheme="minorHAnsi"/>
        </w:rPr>
        <w:t xml:space="preserve"> </w:t>
      </w:r>
      <w:r w:rsidRPr="0026449D">
        <w:rPr>
          <w:rFonts w:asciiTheme="minorHAnsi" w:hAnsiTheme="minorHAnsi" w:cstheme="minorHAnsi"/>
        </w:rPr>
        <w:t xml:space="preserve">ABS, </w:t>
      </w:r>
      <w:r w:rsidRPr="00923158">
        <w:rPr>
          <w:rFonts w:asciiTheme="minorHAnsi" w:hAnsiTheme="minorHAnsi" w:cstheme="minorHAnsi"/>
          <w:i/>
          <w:iCs/>
        </w:rPr>
        <w:t>Characteristics of Employment</w:t>
      </w:r>
      <w:r w:rsidRPr="0026449D">
        <w:rPr>
          <w:rFonts w:asciiTheme="minorHAnsi" w:hAnsiTheme="minorHAnsi" w:cstheme="minorHAnsi"/>
        </w:rPr>
        <w:t xml:space="preserve">, </w:t>
      </w:r>
      <w:r w:rsidRPr="00B35373">
        <w:rPr>
          <w:rFonts w:asciiTheme="minorHAnsi" w:hAnsiTheme="minorHAnsi" w:cstheme="minorHAnsi"/>
          <w:i/>
          <w:iCs/>
        </w:rPr>
        <w:t>August 2022.</w:t>
      </w:r>
      <w:r w:rsidRPr="0026449D">
        <w:rPr>
          <w:rFonts w:asciiTheme="minorHAnsi" w:hAnsiTheme="minorHAnsi" w:cstheme="minorHAnsi"/>
        </w:rPr>
        <w:t xml:space="preserve"> Based on the median hourly wage of a casual employee in their main job at August 2022. The median has been used as it is less affected by outliers and skewed data.</w:t>
      </w:r>
    </w:p>
  </w:footnote>
  <w:footnote w:id="41">
    <w:p w14:paraId="01958B62" w14:textId="4308A620" w:rsidR="004E0255" w:rsidRPr="00C03037" w:rsidRDefault="004E0255" w:rsidP="004E0255">
      <w:pPr>
        <w:pStyle w:val="FootnoteText"/>
        <w:rPr>
          <w:rFonts w:asciiTheme="minorHAnsi" w:hAnsiTheme="minorHAnsi"/>
        </w:rPr>
      </w:pPr>
      <w:r w:rsidRPr="5FAD7EBA">
        <w:rPr>
          <w:rStyle w:val="FootnoteReference"/>
          <w:rFonts w:asciiTheme="minorHAnsi" w:hAnsiTheme="minorHAnsi"/>
        </w:rPr>
        <w:footnoteRef/>
      </w:r>
      <w:r w:rsidRPr="5FAD7EBA">
        <w:rPr>
          <w:rFonts w:asciiTheme="minorHAnsi" w:hAnsiTheme="minorHAnsi"/>
        </w:rPr>
        <w:t xml:space="preserve"> ABS, Employee Earnings and Hours, May 2021 (latest available data).</w:t>
      </w:r>
      <w:r w:rsidR="5FAD7EBA" w:rsidRPr="5FAD7EBA">
        <w:rPr>
          <w:rFonts w:asciiTheme="minorHAnsi" w:hAnsiTheme="minorHAnsi"/>
        </w:rPr>
        <w:t xml:space="preserve"> </w:t>
      </w:r>
      <w:r w:rsidR="61F0F7E2" w:rsidRPr="61F0F7E2">
        <w:rPr>
          <w:rFonts w:asciiTheme="minorHAnsi" w:hAnsiTheme="minorHAnsi"/>
        </w:rPr>
        <w:t xml:space="preserve">Note: the ABS definition of a small business is less than 20 </w:t>
      </w:r>
      <w:r w:rsidR="3D665ACA" w:rsidRPr="3D665ACA">
        <w:rPr>
          <w:rFonts w:asciiTheme="minorHAnsi" w:hAnsiTheme="minorHAnsi"/>
        </w:rPr>
        <w:t xml:space="preserve">employees. This differs from the definition in the Fair Work </w:t>
      </w:r>
      <w:r w:rsidR="1EB20190" w:rsidRPr="1EB20190">
        <w:rPr>
          <w:rFonts w:asciiTheme="minorHAnsi" w:hAnsiTheme="minorHAnsi"/>
        </w:rPr>
        <w:t>Act 2009</w:t>
      </w:r>
      <w:r w:rsidR="0C2BCBC3" w:rsidRPr="0C2BCBC3">
        <w:rPr>
          <w:rFonts w:asciiTheme="minorHAnsi" w:hAnsiTheme="minorHAnsi"/>
        </w:rPr>
        <w:t xml:space="preserve"> </w:t>
      </w:r>
      <w:r w:rsidR="0A44AB7F" w:rsidRPr="0A44AB7F">
        <w:rPr>
          <w:rFonts w:asciiTheme="minorHAnsi" w:hAnsiTheme="minorHAnsi"/>
        </w:rPr>
        <w:t xml:space="preserve">which </w:t>
      </w:r>
      <w:r w:rsidR="361A20D0" w:rsidRPr="361A20D0">
        <w:rPr>
          <w:rFonts w:asciiTheme="minorHAnsi" w:hAnsiTheme="minorHAnsi"/>
        </w:rPr>
        <w:t xml:space="preserve">classifies </w:t>
      </w:r>
      <w:r w:rsidR="2BA8B0D6" w:rsidRPr="2BA8B0D6">
        <w:rPr>
          <w:rFonts w:asciiTheme="minorHAnsi" w:hAnsiTheme="minorHAnsi"/>
        </w:rPr>
        <w:t xml:space="preserve">a small business </w:t>
      </w:r>
      <w:r w:rsidR="3F7CD670" w:rsidRPr="3F7CD670">
        <w:rPr>
          <w:rFonts w:asciiTheme="minorHAnsi" w:hAnsiTheme="minorHAnsi"/>
        </w:rPr>
        <w:t xml:space="preserve">as employing less than </w:t>
      </w:r>
      <w:r w:rsidR="49F7C787" w:rsidRPr="49F7C787">
        <w:rPr>
          <w:rFonts w:asciiTheme="minorHAnsi" w:hAnsiTheme="minorHAnsi"/>
        </w:rPr>
        <w:t xml:space="preserve">15 employees. </w:t>
      </w:r>
      <w:r w:rsidR="0091240B" w:rsidRPr="0091240B">
        <w:rPr>
          <w:rFonts w:asciiTheme="minorHAnsi" w:hAnsiTheme="minorHAnsi"/>
        </w:rPr>
        <w:t>Casual employees are not included</w:t>
      </w:r>
      <w:r w:rsidR="0091240B">
        <w:rPr>
          <w:rFonts w:asciiTheme="minorHAnsi" w:hAnsiTheme="minorHAnsi"/>
        </w:rPr>
        <w:t xml:space="preserve"> in the count</w:t>
      </w:r>
      <w:r w:rsidR="0091240B" w:rsidRPr="0091240B">
        <w:rPr>
          <w:rFonts w:asciiTheme="minorHAnsi" w:hAnsiTheme="minorHAnsi"/>
        </w:rPr>
        <w:t xml:space="preserve"> unless engaged on a regular and systematic basis. </w:t>
      </w:r>
      <w:r w:rsidR="00EA0F0E">
        <w:rPr>
          <w:rFonts w:asciiTheme="minorHAnsi" w:hAnsiTheme="minorHAnsi"/>
        </w:rPr>
        <w:t xml:space="preserve">Further disaggregation of ABS data to align with </w:t>
      </w:r>
      <w:r w:rsidR="00C53ADD">
        <w:rPr>
          <w:rFonts w:asciiTheme="minorHAnsi" w:hAnsiTheme="minorHAnsi"/>
        </w:rPr>
        <w:t>the Fair Work Act definition</w:t>
      </w:r>
      <w:r w:rsidR="00EA0F0E">
        <w:rPr>
          <w:rFonts w:asciiTheme="minorHAnsi" w:hAnsiTheme="minorHAnsi"/>
        </w:rPr>
        <w:t xml:space="preserve"> is not readily available and as such t</w:t>
      </w:r>
      <w:r w:rsidR="0874ED30" w:rsidRPr="0874ED30">
        <w:rPr>
          <w:rFonts w:asciiTheme="minorHAnsi" w:hAnsiTheme="minorHAnsi"/>
        </w:rPr>
        <w:t xml:space="preserve">he proportion of casual employees in a small </w:t>
      </w:r>
      <w:r w:rsidR="0FB8D4FD" w:rsidRPr="0FB8D4FD">
        <w:rPr>
          <w:rFonts w:asciiTheme="minorHAnsi" w:hAnsiTheme="minorHAnsi"/>
        </w:rPr>
        <w:t>business therefore</w:t>
      </w:r>
      <w:r w:rsidR="34719E87" w:rsidRPr="34719E87">
        <w:rPr>
          <w:rFonts w:asciiTheme="minorHAnsi" w:hAnsiTheme="minorHAnsi"/>
        </w:rPr>
        <w:t xml:space="preserve"> is likely an overestimate </w:t>
      </w:r>
      <w:r w:rsidR="56CD93BB" w:rsidRPr="56CD93BB">
        <w:rPr>
          <w:rFonts w:asciiTheme="minorHAnsi" w:hAnsiTheme="minorHAnsi"/>
        </w:rPr>
        <w:t xml:space="preserve">as it captures those </w:t>
      </w:r>
      <w:r w:rsidR="561EFA88" w:rsidRPr="561EFA88">
        <w:rPr>
          <w:rFonts w:asciiTheme="minorHAnsi" w:hAnsiTheme="minorHAnsi"/>
        </w:rPr>
        <w:t xml:space="preserve">that work in businesses with 15-19 </w:t>
      </w:r>
      <w:r w:rsidR="0E629303" w:rsidRPr="0E629303">
        <w:rPr>
          <w:rFonts w:asciiTheme="minorHAnsi" w:hAnsiTheme="minorHAnsi"/>
        </w:rPr>
        <w:t xml:space="preserve">employees. </w:t>
      </w:r>
    </w:p>
  </w:footnote>
  <w:footnote w:id="42">
    <w:p w14:paraId="1A4756B9" w14:textId="77777777" w:rsidR="00FE04D9" w:rsidRPr="000250A8" w:rsidRDefault="00FE04D9" w:rsidP="00FE04D9">
      <w:pPr>
        <w:pStyle w:val="FootnoteText"/>
        <w:rPr>
          <w:rFonts w:asciiTheme="minorHAnsi" w:hAnsiTheme="minorHAnsi" w:cstheme="minorHAnsi"/>
        </w:rPr>
      </w:pPr>
      <w:r>
        <w:rPr>
          <w:rStyle w:val="FootnoteReference"/>
        </w:rPr>
        <w:footnoteRef/>
      </w:r>
      <w:r>
        <w:t xml:space="preserve"> </w:t>
      </w:r>
      <w:r w:rsidRPr="000D23E1">
        <w:rPr>
          <w:rFonts w:asciiTheme="minorHAnsi" w:hAnsiTheme="minorHAnsi" w:cstheme="minorHAnsi"/>
        </w:rPr>
        <w:t>Regulatory Impact Statement contained within the revised explanatory memorandum</w:t>
      </w:r>
      <w:r w:rsidRPr="000D23E1">
        <w:rPr>
          <w:rFonts w:asciiTheme="minorHAnsi" w:hAnsiTheme="minorHAnsi" w:cstheme="minorHAnsi"/>
          <w:color w:val="444444"/>
          <w:shd w:val="clear" w:color="auto" w:fill="FFFFFF"/>
        </w:rPr>
        <w:t>,</w:t>
      </w:r>
      <w:r w:rsidRPr="000250A8">
        <w:rPr>
          <w:rFonts w:asciiTheme="minorHAnsi" w:hAnsiTheme="minorHAnsi" w:cstheme="minorHAnsi"/>
          <w:color w:val="444444"/>
          <w:sz w:val="22"/>
          <w:szCs w:val="22"/>
          <w:shd w:val="clear" w:color="auto" w:fill="FFFFFF"/>
        </w:rPr>
        <w:t xml:space="preserve"> </w:t>
      </w:r>
      <w:hyperlink r:id="rId28" w:history="1">
        <w:r w:rsidRPr="000250A8">
          <w:rPr>
            <w:rStyle w:val="Hyperlink"/>
            <w:rFonts w:asciiTheme="minorHAnsi" w:hAnsiTheme="minorHAnsi" w:cstheme="minorHAnsi"/>
          </w:rPr>
          <w:t>ParlInfo - Fair Work Amendment (Supporting Australia’s Jobs and Economic Recovery) Bill 2021 (aph.gov.au)</w:t>
        </w:r>
      </w:hyperlink>
    </w:p>
  </w:footnote>
  <w:footnote w:id="43">
    <w:p w14:paraId="20D90ACA" w14:textId="77777777" w:rsidR="00C065A6" w:rsidRPr="00923DEF" w:rsidRDefault="00C065A6" w:rsidP="00C065A6">
      <w:pPr>
        <w:pStyle w:val="FootnoteText"/>
        <w:rPr>
          <w:rFonts w:asciiTheme="minorHAnsi" w:hAnsiTheme="minorHAnsi" w:cstheme="minorHAnsi"/>
        </w:rPr>
      </w:pPr>
      <w:r w:rsidRPr="00923DEF">
        <w:rPr>
          <w:rStyle w:val="FootnoteReference"/>
          <w:rFonts w:asciiTheme="minorHAnsi" w:hAnsiTheme="minorHAnsi" w:cstheme="minorHAnsi"/>
        </w:rPr>
        <w:footnoteRef/>
      </w:r>
      <w:r w:rsidRPr="00923DEF">
        <w:rPr>
          <w:rFonts w:asciiTheme="minorHAnsi" w:hAnsiTheme="minorHAnsi" w:cstheme="minorHAnsi"/>
        </w:rPr>
        <w:t xml:space="preserve"> Australian Industry Group ‘</w:t>
      </w:r>
      <w:r w:rsidRPr="00923DEF">
        <w:rPr>
          <w:rFonts w:asciiTheme="minorHAnsi" w:hAnsiTheme="minorHAnsi" w:cstheme="minorHAnsi"/>
          <w:i/>
          <w:iCs/>
        </w:rPr>
        <w:t xml:space="preserve">Casual work in the contemporary labour market’ </w:t>
      </w:r>
      <w:hyperlink r:id="rId29" w:history="1">
        <w:r w:rsidRPr="00923DEF">
          <w:rPr>
            <w:rStyle w:val="Hyperlink"/>
            <w:rFonts w:asciiTheme="minorHAnsi" w:hAnsiTheme="minorHAnsi" w:cstheme="minorHAnsi"/>
          </w:rPr>
          <w:t>Casual work in the contemporary labour market | Ai Group</w:t>
        </w:r>
      </w:hyperlink>
      <w:r w:rsidRPr="00923DEF">
        <w:rPr>
          <w:rFonts w:asciiTheme="minorHAnsi" w:hAnsiTheme="minorHAnsi" w:cstheme="minorHAnsi"/>
        </w:rPr>
        <w:t>, July 2023</w:t>
      </w:r>
    </w:p>
  </w:footnote>
  <w:footnote w:id="44">
    <w:p w14:paraId="6F98582D" w14:textId="77777777" w:rsidR="004018DB" w:rsidRPr="005356A3" w:rsidRDefault="004018DB" w:rsidP="004018DB">
      <w:pPr>
        <w:pStyle w:val="FootnoteText"/>
      </w:pPr>
      <w:r w:rsidRPr="00923DEF">
        <w:rPr>
          <w:rStyle w:val="FootnoteReference"/>
          <w:rFonts w:asciiTheme="minorHAnsi" w:hAnsiTheme="minorHAnsi" w:cstheme="minorHAnsi"/>
        </w:rPr>
        <w:footnoteRef/>
      </w:r>
      <w:r w:rsidRPr="00923DEF">
        <w:rPr>
          <w:rFonts w:asciiTheme="minorHAnsi" w:hAnsiTheme="minorHAnsi" w:cstheme="minorHAnsi"/>
        </w:rPr>
        <w:t xml:space="preserve"> Regulatory Impact Statement contained within the revised explanatory memorandum</w:t>
      </w:r>
      <w:r w:rsidRPr="00923DEF">
        <w:rPr>
          <w:rFonts w:asciiTheme="minorHAnsi" w:hAnsiTheme="minorHAnsi" w:cstheme="minorHAnsi"/>
          <w:color w:val="444444"/>
          <w:shd w:val="clear" w:color="auto" w:fill="FFFFFF"/>
        </w:rPr>
        <w:t>,</w:t>
      </w:r>
      <w:r w:rsidRPr="00923DEF">
        <w:rPr>
          <w:rFonts w:asciiTheme="minorHAnsi" w:hAnsiTheme="minorHAnsi" w:cstheme="minorHAnsi"/>
          <w:color w:val="444444"/>
          <w:sz w:val="22"/>
          <w:szCs w:val="22"/>
          <w:shd w:val="clear" w:color="auto" w:fill="FFFFFF"/>
        </w:rPr>
        <w:t xml:space="preserve"> </w:t>
      </w:r>
      <w:hyperlink r:id="rId30" w:history="1">
        <w:r w:rsidRPr="00923DEF">
          <w:rPr>
            <w:rStyle w:val="Hyperlink"/>
            <w:rFonts w:asciiTheme="minorHAnsi" w:hAnsiTheme="minorHAnsi" w:cstheme="minorHAnsi"/>
          </w:rPr>
          <w:t>ParlInfo - Fair Work Amendment (Supporting Australia’s Jobs and Economic Recovery) Bill 2021 (aph.gov.au)</w:t>
        </w:r>
      </w:hyperlink>
    </w:p>
  </w:footnote>
  <w:footnote w:id="45">
    <w:p w14:paraId="427BB115" w14:textId="35128A2C" w:rsidR="004018DB" w:rsidRDefault="004018DB" w:rsidP="004018DB">
      <w:pPr>
        <w:pStyle w:val="FootnoteText"/>
      </w:pPr>
      <w:r>
        <w:rPr>
          <w:rStyle w:val="FootnoteReference"/>
        </w:rPr>
        <w:footnoteRef/>
      </w:r>
      <w:r>
        <w:t xml:space="preserve"> </w:t>
      </w:r>
      <w:r w:rsidR="00FB50C5">
        <w:rPr>
          <w:rFonts w:asciiTheme="minorHAnsi" w:hAnsiTheme="minorHAnsi" w:cstheme="minorHAnsi"/>
        </w:rPr>
        <w:t xml:space="preserve">Attorney-General’s Department, </w:t>
      </w:r>
      <w:hyperlink r:id="rId31" w:history="1">
        <w:r w:rsidR="00424536" w:rsidRPr="00424536">
          <w:rPr>
            <w:rStyle w:val="Hyperlink"/>
            <w:rFonts w:asciiTheme="minorHAnsi" w:hAnsiTheme="minorHAnsi" w:cstheme="minorHAnsi"/>
          </w:rPr>
          <w:t>Casual employment reform</w:t>
        </w:r>
      </w:hyperlink>
      <w:r w:rsidR="00424536">
        <w:rPr>
          <w:rFonts w:asciiTheme="minorHAnsi" w:hAnsiTheme="minorHAnsi" w:cstheme="minorHAnsi"/>
        </w:rPr>
        <w:t xml:space="preserve">, 11 December 2020 </w:t>
      </w:r>
    </w:p>
  </w:footnote>
  <w:footnote w:id="46">
    <w:p w14:paraId="4B37E682" w14:textId="77777777" w:rsidR="003518E1" w:rsidRPr="000250A8" w:rsidRDefault="003518E1" w:rsidP="003518E1">
      <w:pPr>
        <w:pStyle w:val="FootnoteText"/>
        <w:rPr>
          <w:rFonts w:asciiTheme="minorHAnsi" w:hAnsiTheme="minorHAnsi" w:cstheme="minorHAnsi"/>
        </w:rPr>
      </w:pPr>
      <w:r w:rsidRPr="000250A8">
        <w:rPr>
          <w:rStyle w:val="FootnoteReference"/>
          <w:rFonts w:asciiTheme="minorHAnsi" w:hAnsiTheme="minorHAnsi" w:cstheme="minorHAnsi"/>
        </w:rPr>
        <w:footnoteRef/>
      </w:r>
      <w:r w:rsidRPr="000250A8">
        <w:rPr>
          <w:rFonts w:asciiTheme="minorHAnsi" w:hAnsiTheme="minorHAnsi" w:cstheme="minorHAnsi"/>
        </w:rPr>
        <w:t xml:space="preserve"> </w:t>
      </w:r>
      <w:r>
        <w:rPr>
          <w:rFonts w:asciiTheme="minorHAnsi" w:hAnsiTheme="minorHAnsi" w:cstheme="minorHAnsi"/>
        </w:rPr>
        <w:t xml:space="preserve">Employer labour cost: </w:t>
      </w:r>
      <w:hyperlink r:id="rId32" w:history="1">
        <w:r w:rsidRPr="000250A8">
          <w:rPr>
            <w:rStyle w:val="Hyperlink"/>
            <w:rFonts w:asciiTheme="minorHAnsi" w:hAnsiTheme="minorHAnsi" w:cstheme="minorHAnsi"/>
          </w:rPr>
          <w:t>Regulatory Burden Measurement Framework (pmc.gov.au)</w:t>
        </w:r>
      </w:hyperlink>
      <w:r>
        <w:rPr>
          <w:rStyle w:val="Hyperlink"/>
          <w:rFonts w:asciiTheme="minorHAnsi" w:hAnsiTheme="minorHAnsi" w:cstheme="minorHAnsi"/>
        </w:rPr>
        <w:br/>
      </w:r>
      <w:r>
        <w:rPr>
          <w:rFonts w:asciiTheme="minorHAnsi" w:hAnsiTheme="minorHAnsi" w:cstheme="minorHAnsi"/>
        </w:rPr>
        <w:t xml:space="preserve">Casual employee labour cost: </w:t>
      </w:r>
      <w:r w:rsidRPr="00D134F6">
        <w:rPr>
          <w:rFonts w:asciiTheme="minorHAnsi" w:hAnsiTheme="minorHAnsi" w:cstheme="minorHAnsi"/>
        </w:rPr>
        <w:t xml:space="preserve">ABS, </w:t>
      </w:r>
      <w:r w:rsidRPr="00923158">
        <w:rPr>
          <w:rFonts w:asciiTheme="minorHAnsi" w:hAnsiTheme="minorHAnsi" w:cstheme="minorHAnsi"/>
          <w:i/>
          <w:iCs/>
        </w:rPr>
        <w:t>Characteristics of Employment</w:t>
      </w:r>
      <w:r w:rsidRPr="00D134F6">
        <w:rPr>
          <w:rFonts w:asciiTheme="minorHAnsi" w:hAnsiTheme="minorHAnsi" w:cstheme="minorHAnsi"/>
        </w:rPr>
        <w:t xml:space="preserve">, </w:t>
      </w:r>
      <w:r w:rsidRPr="00923DEF">
        <w:rPr>
          <w:rFonts w:asciiTheme="minorHAnsi" w:hAnsiTheme="minorHAnsi" w:cstheme="minorHAnsi"/>
          <w:i/>
          <w:iCs/>
        </w:rPr>
        <w:t>August 2022</w:t>
      </w:r>
      <w:r w:rsidRPr="00D134F6">
        <w:rPr>
          <w:rFonts w:asciiTheme="minorHAnsi" w:hAnsiTheme="minorHAnsi" w:cstheme="minorHAnsi"/>
        </w:rPr>
        <w:t>. Based on the median hourly wage of a casual employee in their main job at August 2022. The median has been used as it is less affected by outliers and skewed data.</w:t>
      </w:r>
    </w:p>
  </w:footnote>
  <w:footnote w:id="47">
    <w:p w14:paraId="3A92F5BA" w14:textId="77777777" w:rsidR="003518E1" w:rsidRDefault="003518E1" w:rsidP="003518E1">
      <w:pPr>
        <w:pStyle w:val="FootnoteText"/>
      </w:pPr>
      <w:r w:rsidRPr="000250A8">
        <w:rPr>
          <w:rStyle w:val="FootnoteReference"/>
          <w:rFonts w:asciiTheme="minorHAnsi" w:hAnsiTheme="minorHAnsi" w:cstheme="minorHAnsi"/>
        </w:rPr>
        <w:footnoteRef/>
      </w:r>
      <w:r w:rsidRPr="000250A8">
        <w:rPr>
          <w:rFonts w:asciiTheme="minorHAnsi" w:hAnsiTheme="minorHAnsi" w:cstheme="minorHAnsi"/>
        </w:rPr>
        <w:t xml:space="preserve"> Based on SAJER estimates.</w:t>
      </w:r>
    </w:p>
  </w:footnote>
  <w:footnote w:id="48">
    <w:p w14:paraId="0118A2E6" w14:textId="77777777" w:rsidR="00F5591D" w:rsidRPr="00EC6FF8" w:rsidRDefault="00F5591D" w:rsidP="00F5591D">
      <w:pPr>
        <w:pStyle w:val="FootnoteText"/>
        <w:rPr>
          <w:rFonts w:asciiTheme="minorHAnsi" w:hAnsiTheme="minorHAnsi" w:cstheme="minorHAnsi"/>
        </w:rPr>
      </w:pPr>
      <w:r w:rsidRPr="00EC6FF8">
        <w:rPr>
          <w:rStyle w:val="FootnoteReference"/>
          <w:rFonts w:asciiTheme="minorHAnsi" w:hAnsiTheme="minorHAnsi" w:cstheme="minorHAnsi"/>
        </w:rPr>
        <w:footnoteRef/>
      </w:r>
      <w:r w:rsidRPr="00EC6FF8">
        <w:rPr>
          <w:rFonts w:asciiTheme="minorHAnsi" w:hAnsiTheme="minorHAnsi" w:cstheme="minorHAnsi"/>
        </w:rPr>
        <w:t xml:space="preserve"> Employer labour cost: </w:t>
      </w:r>
      <w:hyperlink r:id="rId33" w:history="1">
        <w:r w:rsidRPr="00EC6FF8">
          <w:rPr>
            <w:rStyle w:val="Hyperlink"/>
            <w:rFonts w:asciiTheme="minorHAnsi" w:hAnsiTheme="minorHAnsi" w:cstheme="minorHAnsi"/>
          </w:rPr>
          <w:t>Regulatory Burden Measurement Framework (pmc.gov.au)</w:t>
        </w:r>
      </w:hyperlink>
      <w:r w:rsidRPr="00EC6FF8">
        <w:rPr>
          <w:rStyle w:val="Hyperlink"/>
          <w:rFonts w:asciiTheme="minorHAnsi" w:hAnsiTheme="minorHAnsi" w:cstheme="minorHAnsi"/>
        </w:rPr>
        <w:br/>
      </w:r>
      <w:r w:rsidRPr="00EC6FF8">
        <w:rPr>
          <w:rFonts w:asciiTheme="minorHAnsi" w:hAnsiTheme="minorHAnsi" w:cstheme="minorHAnsi"/>
        </w:rPr>
        <w:t xml:space="preserve">Casual employee labour cost: ABS, </w:t>
      </w:r>
      <w:r w:rsidRPr="00923158">
        <w:rPr>
          <w:rFonts w:asciiTheme="minorHAnsi" w:hAnsiTheme="minorHAnsi" w:cstheme="minorHAnsi"/>
          <w:i/>
          <w:iCs/>
        </w:rPr>
        <w:t>Characteristics of Employment</w:t>
      </w:r>
      <w:r w:rsidRPr="00EC6FF8">
        <w:rPr>
          <w:rFonts w:asciiTheme="minorHAnsi" w:hAnsiTheme="minorHAnsi" w:cstheme="minorHAnsi"/>
        </w:rPr>
        <w:t xml:space="preserve">, </w:t>
      </w:r>
      <w:r w:rsidRPr="00923DEF">
        <w:rPr>
          <w:rFonts w:asciiTheme="minorHAnsi" w:hAnsiTheme="minorHAnsi" w:cstheme="minorHAnsi"/>
          <w:i/>
          <w:iCs/>
        </w:rPr>
        <w:t>August 2022.</w:t>
      </w:r>
      <w:r w:rsidRPr="00EC6FF8">
        <w:rPr>
          <w:rFonts w:asciiTheme="minorHAnsi" w:hAnsiTheme="minorHAnsi" w:cstheme="minorHAnsi"/>
        </w:rPr>
        <w:t xml:space="preserve"> Based on the median hourly wage of a casual employee in their main job at August 2022. The median has been used as it is less affected by outliers and skewed data.</w:t>
      </w:r>
    </w:p>
  </w:footnote>
  <w:footnote w:id="49">
    <w:p w14:paraId="292E0628" w14:textId="77777777" w:rsidR="00F5591D" w:rsidRPr="00C03037" w:rsidRDefault="00F5591D" w:rsidP="00F5591D">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Based on SAJER estimates.</w:t>
      </w:r>
    </w:p>
  </w:footnote>
  <w:footnote w:id="50">
    <w:p w14:paraId="2D52D40D" w14:textId="77777777" w:rsidR="006C2FB1" w:rsidRPr="00C03037" w:rsidRDefault="006C2FB1" w:rsidP="006C2FB1">
      <w:pPr>
        <w:spacing w:after="0" w:line="240" w:lineRule="auto"/>
        <w:rPr>
          <w:rFonts w:cstheme="minorHAnsi"/>
          <w:sz w:val="2"/>
          <w:szCs w:val="2"/>
        </w:rPr>
      </w:pPr>
    </w:p>
  </w:footnote>
  <w:footnote w:id="51">
    <w:p w14:paraId="5D9DD402" w14:textId="77777777" w:rsidR="006C2FB1" w:rsidRPr="00C03037" w:rsidRDefault="006C2FB1" w:rsidP="006C2FB1">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w:t>
      </w:r>
      <w:r>
        <w:rPr>
          <w:rFonts w:asciiTheme="minorHAnsi" w:hAnsiTheme="minorHAnsi" w:cstheme="minorHAnsi"/>
        </w:rPr>
        <w:t xml:space="preserve">Employer labour cost: </w:t>
      </w:r>
      <w:hyperlink r:id="rId34" w:history="1">
        <w:r w:rsidRPr="00C03037">
          <w:rPr>
            <w:rStyle w:val="Hyperlink"/>
            <w:rFonts w:asciiTheme="minorHAnsi" w:hAnsiTheme="minorHAnsi" w:cstheme="minorHAnsi"/>
          </w:rPr>
          <w:t>Regulatory Burden Measurement Framework (pmc.gov.au)</w:t>
        </w:r>
      </w:hyperlink>
      <w:r>
        <w:rPr>
          <w:rStyle w:val="Hyperlink"/>
          <w:rFonts w:asciiTheme="minorHAnsi" w:hAnsiTheme="minorHAnsi" w:cstheme="minorHAnsi"/>
        </w:rPr>
        <w:br/>
      </w:r>
      <w:r w:rsidRPr="00EC6FF8">
        <w:rPr>
          <w:rFonts w:asciiTheme="minorHAnsi" w:hAnsiTheme="minorHAnsi" w:cstheme="minorHAnsi"/>
        </w:rPr>
        <w:t xml:space="preserve">Casual employee labour cost: ABS, </w:t>
      </w:r>
      <w:r w:rsidRPr="00923158">
        <w:rPr>
          <w:rFonts w:asciiTheme="minorHAnsi" w:hAnsiTheme="minorHAnsi" w:cstheme="minorHAnsi"/>
          <w:i/>
          <w:iCs/>
        </w:rPr>
        <w:t>Characteristics of Employment</w:t>
      </w:r>
      <w:r w:rsidRPr="00EC6FF8">
        <w:rPr>
          <w:rFonts w:asciiTheme="minorHAnsi" w:hAnsiTheme="minorHAnsi" w:cstheme="minorHAnsi"/>
        </w:rPr>
        <w:t xml:space="preserve">, </w:t>
      </w:r>
      <w:r w:rsidRPr="00923DEF">
        <w:rPr>
          <w:rFonts w:asciiTheme="minorHAnsi" w:hAnsiTheme="minorHAnsi" w:cstheme="minorHAnsi"/>
          <w:i/>
          <w:iCs/>
        </w:rPr>
        <w:t>August 2022</w:t>
      </w:r>
      <w:r w:rsidRPr="00EC6FF8">
        <w:rPr>
          <w:rFonts w:asciiTheme="minorHAnsi" w:hAnsiTheme="minorHAnsi" w:cstheme="minorHAnsi"/>
        </w:rPr>
        <w:t>. Based on the median hourly wage of a casual employee in their main job at August 2022. The median has been used as it is less affected by</w:t>
      </w:r>
      <w:r>
        <w:rPr>
          <w:rFonts w:asciiTheme="minorHAnsi" w:hAnsiTheme="minorHAnsi" w:cstheme="minorHAnsi"/>
        </w:rPr>
        <w:t xml:space="preserve"> </w:t>
      </w:r>
      <w:r w:rsidRPr="00EC6FF8">
        <w:rPr>
          <w:rFonts w:asciiTheme="minorHAnsi" w:hAnsiTheme="minorHAnsi" w:cstheme="minorHAnsi"/>
        </w:rPr>
        <w:t>outliers and skewed data.</w:t>
      </w:r>
    </w:p>
  </w:footnote>
  <w:footnote w:id="52">
    <w:p w14:paraId="0ADB300A" w14:textId="77777777" w:rsidR="006C2FB1" w:rsidRPr="00C03037" w:rsidRDefault="006C2FB1" w:rsidP="006C2FB1">
      <w:pPr>
        <w:spacing w:after="0" w:line="240" w:lineRule="auto"/>
        <w:rPr>
          <w:rFonts w:cstheme="minorHAnsi"/>
          <w:sz w:val="2"/>
          <w:szCs w:val="2"/>
        </w:rPr>
      </w:pPr>
    </w:p>
  </w:footnote>
  <w:footnote w:id="53">
    <w:p w14:paraId="15CEA4E9" w14:textId="77777777" w:rsidR="006C2FB1" w:rsidRPr="00C03037" w:rsidRDefault="006C2FB1" w:rsidP="006C2FB1">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Based on SAJER estimates.</w:t>
      </w:r>
    </w:p>
  </w:footnote>
  <w:footnote w:id="54">
    <w:p w14:paraId="43086060" w14:textId="77777777" w:rsidR="001C060C" w:rsidRPr="000250A8" w:rsidRDefault="001C060C" w:rsidP="001C060C">
      <w:pPr>
        <w:pStyle w:val="FootnoteText"/>
        <w:rPr>
          <w:rFonts w:asciiTheme="minorHAnsi" w:hAnsiTheme="minorHAnsi" w:cstheme="minorHAnsi"/>
        </w:rPr>
      </w:pPr>
      <w:r w:rsidRPr="000250A8">
        <w:rPr>
          <w:rStyle w:val="FootnoteReference"/>
          <w:rFonts w:asciiTheme="minorHAnsi" w:hAnsiTheme="minorHAnsi" w:cstheme="minorHAnsi"/>
        </w:rPr>
        <w:footnoteRef/>
      </w:r>
      <w:r w:rsidRPr="000250A8">
        <w:rPr>
          <w:rFonts w:asciiTheme="minorHAnsi" w:hAnsiTheme="minorHAnsi" w:cstheme="minorHAnsi"/>
        </w:rPr>
        <w:t xml:space="preserve"> </w:t>
      </w:r>
      <w:r>
        <w:rPr>
          <w:rFonts w:asciiTheme="minorHAnsi" w:hAnsiTheme="minorHAnsi" w:cstheme="minorHAnsi"/>
        </w:rPr>
        <w:t xml:space="preserve">Employer labour cost: </w:t>
      </w:r>
      <w:hyperlink r:id="rId35" w:history="1">
        <w:r w:rsidRPr="000250A8">
          <w:rPr>
            <w:rStyle w:val="Hyperlink"/>
            <w:rFonts w:asciiTheme="minorHAnsi" w:hAnsiTheme="minorHAnsi" w:cstheme="minorHAnsi"/>
          </w:rPr>
          <w:t>Regulatory Burden Measurement Framework (pmc.gov.au)</w:t>
        </w:r>
      </w:hyperlink>
      <w:r>
        <w:rPr>
          <w:rStyle w:val="Hyperlink"/>
          <w:rFonts w:asciiTheme="minorHAnsi" w:hAnsiTheme="minorHAnsi" w:cstheme="minorHAnsi"/>
        </w:rPr>
        <w:br/>
      </w:r>
      <w:r>
        <w:rPr>
          <w:rFonts w:asciiTheme="minorHAnsi" w:hAnsiTheme="minorHAnsi" w:cstheme="minorHAnsi"/>
        </w:rPr>
        <w:t xml:space="preserve">Casual employee labour cost: </w:t>
      </w:r>
      <w:r w:rsidRPr="00D134F6">
        <w:rPr>
          <w:rFonts w:asciiTheme="minorHAnsi" w:hAnsiTheme="minorHAnsi" w:cstheme="minorHAnsi"/>
        </w:rPr>
        <w:t xml:space="preserve">ABS, </w:t>
      </w:r>
      <w:r w:rsidRPr="00923158">
        <w:rPr>
          <w:rFonts w:asciiTheme="minorHAnsi" w:hAnsiTheme="minorHAnsi" w:cstheme="minorHAnsi"/>
          <w:i/>
          <w:iCs/>
        </w:rPr>
        <w:t>Characteristics of Employment</w:t>
      </w:r>
      <w:r w:rsidRPr="00D134F6">
        <w:rPr>
          <w:rFonts w:asciiTheme="minorHAnsi" w:hAnsiTheme="minorHAnsi" w:cstheme="minorHAnsi"/>
        </w:rPr>
        <w:t xml:space="preserve">, </w:t>
      </w:r>
      <w:r w:rsidRPr="00923DEF">
        <w:rPr>
          <w:rFonts w:asciiTheme="minorHAnsi" w:hAnsiTheme="minorHAnsi" w:cstheme="minorHAnsi"/>
          <w:i/>
          <w:iCs/>
        </w:rPr>
        <w:t>August 2022.</w:t>
      </w:r>
      <w:r w:rsidRPr="00D134F6">
        <w:rPr>
          <w:rFonts w:asciiTheme="minorHAnsi" w:hAnsiTheme="minorHAnsi" w:cstheme="minorHAnsi"/>
        </w:rPr>
        <w:t xml:space="preserve"> Based on the median hourly wage of a casual employee in their main job at August 2022. The median has been used as it is less affected by outliers and skewed data.</w:t>
      </w:r>
    </w:p>
  </w:footnote>
  <w:footnote w:id="55">
    <w:p w14:paraId="3366282E" w14:textId="77777777" w:rsidR="001C060C" w:rsidRDefault="001C060C" w:rsidP="001C060C">
      <w:pPr>
        <w:pStyle w:val="FootnoteText"/>
      </w:pPr>
      <w:r w:rsidRPr="000250A8">
        <w:rPr>
          <w:rStyle w:val="FootnoteReference"/>
          <w:rFonts w:asciiTheme="minorHAnsi" w:hAnsiTheme="minorHAnsi" w:cstheme="minorHAnsi"/>
        </w:rPr>
        <w:footnoteRef/>
      </w:r>
      <w:r w:rsidRPr="000250A8">
        <w:rPr>
          <w:rFonts w:asciiTheme="minorHAnsi" w:hAnsiTheme="minorHAnsi" w:cstheme="minorHAnsi"/>
        </w:rPr>
        <w:t xml:space="preserve"> Based on SAJER estimates.</w:t>
      </w:r>
    </w:p>
  </w:footnote>
  <w:footnote w:id="56">
    <w:p w14:paraId="67EE1452" w14:textId="77777777" w:rsidR="0061094C" w:rsidRPr="00EC6FF8" w:rsidRDefault="0061094C" w:rsidP="0061094C">
      <w:pPr>
        <w:pStyle w:val="FootnoteText"/>
        <w:rPr>
          <w:rFonts w:asciiTheme="minorHAnsi" w:hAnsiTheme="minorHAnsi" w:cstheme="minorHAnsi"/>
        </w:rPr>
      </w:pPr>
      <w:r w:rsidRPr="00EC6FF8">
        <w:rPr>
          <w:rStyle w:val="FootnoteReference"/>
          <w:rFonts w:asciiTheme="minorHAnsi" w:hAnsiTheme="minorHAnsi" w:cstheme="minorHAnsi"/>
        </w:rPr>
        <w:footnoteRef/>
      </w:r>
      <w:r w:rsidRPr="00EC6FF8">
        <w:rPr>
          <w:rFonts w:asciiTheme="minorHAnsi" w:hAnsiTheme="minorHAnsi" w:cstheme="minorHAnsi"/>
        </w:rPr>
        <w:t xml:space="preserve"> Employer labour cost: </w:t>
      </w:r>
      <w:hyperlink r:id="rId36" w:history="1">
        <w:r w:rsidRPr="00EC6FF8">
          <w:rPr>
            <w:rStyle w:val="Hyperlink"/>
            <w:rFonts w:asciiTheme="minorHAnsi" w:hAnsiTheme="minorHAnsi" w:cstheme="minorHAnsi"/>
          </w:rPr>
          <w:t>Regulatory Burden Measurement Framework (pmc.gov.au)</w:t>
        </w:r>
      </w:hyperlink>
      <w:r w:rsidRPr="00EC6FF8">
        <w:rPr>
          <w:rStyle w:val="Hyperlink"/>
          <w:rFonts w:asciiTheme="minorHAnsi" w:hAnsiTheme="minorHAnsi" w:cstheme="minorHAnsi"/>
        </w:rPr>
        <w:br/>
      </w:r>
      <w:r w:rsidRPr="00EC6FF8">
        <w:rPr>
          <w:rFonts w:asciiTheme="minorHAnsi" w:hAnsiTheme="minorHAnsi" w:cstheme="minorHAnsi"/>
        </w:rPr>
        <w:t xml:space="preserve">Casual employee labour cost: ABS, </w:t>
      </w:r>
      <w:r w:rsidRPr="00923158">
        <w:rPr>
          <w:rFonts w:asciiTheme="minorHAnsi" w:hAnsiTheme="minorHAnsi" w:cstheme="minorHAnsi"/>
          <w:i/>
          <w:iCs/>
        </w:rPr>
        <w:t>Characteristics of Employment</w:t>
      </w:r>
      <w:r w:rsidRPr="00EC6FF8">
        <w:rPr>
          <w:rFonts w:asciiTheme="minorHAnsi" w:hAnsiTheme="minorHAnsi" w:cstheme="minorHAnsi"/>
        </w:rPr>
        <w:t xml:space="preserve">, </w:t>
      </w:r>
      <w:r w:rsidRPr="00923DEF">
        <w:rPr>
          <w:rFonts w:asciiTheme="minorHAnsi" w:hAnsiTheme="minorHAnsi" w:cstheme="minorHAnsi"/>
          <w:i/>
          <w:iCs/>
        </w:rPr>
        <w:t>August 2022</w:t>
      </w:r>
      <w:r w:rsidRPr="00EC6FF8">
        <w:rPr>
          <w:rFonts w:asciiTheme="minorHAnsi" w:hAnsiTheme="minorHAnsi" w:cstheme="minorHAnsi"/>
        </w:rPr>
        <w:t>. Based on the median hourly wage of a casual employee in their main job at August 2022. The median has been used as it is less affected by outliers and skewed data.</w:t>
      </w:r>
    </w:p>
  </w:footnote>
  <w:footnote w:id="57">
    <w:p w14:paraId="338E872D" w14:textId="77777777" w:rsidR="0061094C" w:rsidRPr="00C03037" w:rsidRDefault="0061094C" w:rsidP="0061094C">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Based on SAJER estimates.</w:t>
      </w:r>
    </w:p>
  </w:footnote>
  <w:footnote w:id="58">
    <w:p w14:paraId="43BCD43C" w14:textId="77777777" w:rsidR="00154A88" w:rsidRPr="00C03037" w:rsidRDefault="00154A88" w:rsidP="00154A88">
      <w:pPr>
        <w:spacing w:after="0" w:line="240" w:lineRule="auto"/>
        <w:rPr>
          <w:rFonts w:cstheme="minorHAnsi"/>
          <w:sz w:val="2"/>
          <w:szCs w:val="2"/>
        </w:rPr>
      </w:pPr>
    </w:p>
  </w:footnote>
  <w:footnote w:id="59">
    <w:p w14:paraId="3E26E2AE" w14:textId="77777777" w:rsidR="00154A88" w:rsidRPr="00C03037" w:rsidRDefault="00154A88" w:rsidP="00154A88">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w:t>
      </w:r>
      <w:r>
        <w:rPr>
          <w:rFonts w:asciiTheme="minorHAnsi" w:hAnsiTheme="minorHAnsi" w:cstheme="minorHAnsi"/>
        </w:rPr>
        <w:t xml:space="preserve">Employer labour cost: </w:t>
      </w:r>
      <w:hyperlink r:id="rId37" w:history="1">
        <w:r w:rsidRPr="00C03037">
          <w:rPr>
            <w:rStyle w:val="Hyperlink"/>
            <w:rFonts w:asciiTheme="minorHAnsi" w:hAnsiTheme="minorHAnsi" w:cstheme="minorHAnsi"/>
          </w:rPr>
          <w:t>Regulatory Burden Measurement Framework (pmc.gov.au)</w:t>
        </w:r>
      </w:hyperlink>
      <w:r>
        <w:rPr>
          <w:rStyle w:val="Hyperlink"/>
          <w:rFonts w:asciiTheme="minorHAnsi" w:hAnsiTheme="minorHAnsi" w:cstheme="minorHAnsi"/>
        </w:rPr>
        <w:br/>
      </w:r>
      <w:r w:rsidRPr="00EC6FF8">
        <w:rPr>
          <w:rFonts w:asciiTheme="minorHAnsi" w:hAnsiTheme="minorHAnsi" w:cstheme="minorHAnsi"/>
        </w:rPr>
        <w:t xml:space="preserve">Casual employee labour cost: ABS, </w:t>
      </w:r>
      <w:r w:rsidRPr="00923158">
        <w:rPr>
          <w:rFonts w:asciiTheme="minorHAnsi" w:hAnsiTheme="minorHAnsi" w:cstheme="minorHAnsi"/>
          <w:i/>
          <w:iCs/>
        </w:rPr>
        <w:t>Characteristics of Employment</w:t>
      </w:r>
      <w:r w:rsidRPr="00EC6FF8">
        <w:rPr>
          <w:rFonts w:asciiTheme="minorHAnsi" w:hAnsiTheme="minorHAnsi" w:cstheme="minorHAnsi"/>
        </w:rPr>
        <w:t xml:space="preserve">, </w:t>
      </w:r>
      <w:r w:rsidRPr="00923DEF">
        <w:rPr>
          <w:rFonts w:asciiTheme="minorHAnsi" w:hAnsiTheme="minorHAnsi" w:cstheme="minorHAnsi"/>
          <w:i/>
          <w:iCs/>
        </w:rPr>
        <w:t>August 2022</w:t>
      </w:r>
      <w:r w:rsidRPr="00EC6FF8">
        <w:rPr>
          <w:rFonts w:asciiTheme="minorHAnsi" w:hAnsiTheme="minorHAnsi" w:cstheme="minorHAnsi"/>
        </w:rPr>
        <w:t>. Based on the median hourly wage of a casual employee in their main job at August 2022. The median has been used as it is less affected by</w:t>
      </w:r>
      <w:r>
        <w:rPr>
          <w:rFonts w:asciiTheme="minorHAnsi" w:hAnsiTheme="minorHAnsi" w:cstheme="minorHAnsi"/>
        </w:rPr>
        <w:t xml:space="preserve"> </w:t>
      </w:r>
      <w:r w:rsidRPr="00EC6FF8">
        <w:rPr>
          <w:rFonts w:asciiTheme="minorHAnsi" w:hAnsiTheme="minorHAnsi" w:cstheme="minorHAnsi"/>
        </w:rPr>
        <w:t>outliers and skewed data.</w:t>
      </w:r>
    </w:p>
  </w:footnote>
  <w:footnote w:id="60">
    <w:p w14:paraId="74D301BA" w14:textId="77777777" w:rsidR="00154A88" w:rsidRPr="00C03037" w:rsidRDefault="00154A88" w:rsidP="00154A88">
      <w:pPr>
        <w:spacing w:after="0" w:line="240" w:lineRule="auto"/>
        <w:rPr>
          <w:rFonts w:cstheme="minorHAnsi"/>
          <w:sz w:val="2"/>
          <w:szCs w:val="2"/>
        </w:rPr>
      </w:pPr>
    </w:p>
  </w:footnote>
  <w:footnote w:id="61">
    <w:p w14:paraId="5DF63893" w14:textId="77777777" w:rsidR="00154A88" w:rsidRPr="00C03037" w:rsidRDefault="00154A88" w:rsidP="00154A88">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Based on SAJER estimates.</w:t>
      </w:r>
    </w:p>
  </w:footnote>
  <w:footnote w:id="62">
    <w:p w14:paraId="1C128866" w14:textId="77777777" w:rsidR="0067610B" w:rsidRDefault="0067610B" w:rsidP="0067610B">
      <w:pPr>
        <w:pStyle w:val="FootnoteText"/>
      </w:pPr>
      <w:r w:rsidRPr="00C03037">
        <w:rPr>
          <w:rStyle w:val="FootnoteReference"/>
          <w:rFonts w:asciiTheme="minorHAnsi" w:hAnsiTheme="minorHAnsi" w:cstheme="minorHAnsi"/>
        </w:rPr>
        <w:footnoteRef/>
      </w:r>
      <w:r w:rsidRPr="00C03037">
        <w:rPr>
          <w:rFonts w:asciiTheme="minorHAnsi" w:hAnsiTheme="minorHAnsi" w:cstheme="minorHAnsi"/>
        </w:rPr>
        <w:t xml:space="preserve"> </w:t>
      </w:r>
      <w:r w:rsidRPr="00C03037">
        <w:rPr>
          <w:rStyle w:val="ui-provider"/>
          <w:rFonts w:asciiTheme="minorHAnsi" w:hAnsiTheme="minorHAnsi" w:cstheme="minorHAnsi"/>
        </w:rPr>
        <w:t>Note this figure has not been adjusted to account for inflation over the 10-year period.</w:t>
      </w:r>
    </w:p>
  </w:footnote>
  <w:footnote w:id="63">
    <w:p w14:paraId="6F93A7DF" w14:textId="77777777" w:rsidR="0074072E" w:rsidRPr="00C03037" w:rsidRDefault="0074072E" w:rsidP="0074072E">
      <w:pPr>
        <w:pStyle w:val="FootnoteText"/>
        <w:rPr>
          <w:rFonts w:asciiTheme="minorHAnsi" w:hAnsiTheme="minorHAnsi" w:cstheme="minorHAnsi"/>
        </w:rPr>
      </w:pPr>
      <w:r>
        <w:rPr>
          <w:rStyle w:val="FootnoteReference"/>
        </w:rPr>
        <w:footnoteRef/>
      </w:r>
      <w:r>
        <w:t xml:space="preserve"> </w:t>
      </w:r>
      <w:r w:rsidRPr="00C03037">
        <w:rPr>
          <w:rFonts w:asciiTheme="minorHAnsi" w:hAnsiTheme="minorHAnsi" w:cstheme="minorHAnsi"/>
        </w:rPr>
        <w:t xml:space="preserve">See </w:t>
      </w:r>
      <w:hyperlink r:id="rId38" w:history="1">
        <w:r w:rsidRPr="00C03037">
          <w:rPr>
            <w:rStyle w:val="Hyperlink"/>
            <w:rFonts w:asciiTheme="minorHAnsi" w:hAnsiTheme="minorHAnsi" w:cstheme="minorHAnsi"/>
          </w:rPr>
          <w:t>Casual Employment Information Statement - Fair Work Ombudsman</w:t>
        </w:r>
      </w:hyperlink>
      <w:r w:rsidRPr="00C03037">
        <w:rPr>
          <w:rFonts w:asciiTheme="minorHAnsi" w:hAnsiTheme="minorHAnsi" w:cstheme="minorHAnsi"/>
        </w:rPr>
        <w:t>.</w:t>
      </w:r>
    </w:p>
  </w:footnote>
  <w:footnote w:id="64">
    <w:p w14:paraId="0E9C1B50" w14:textId="77777777" w:rsidR="0074072E" w:rsidRPr="00DE3048" w:rsidRDefault="0074072E" w:rsidP="0074072E">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ABS, </w:t>
      </w:r>
      <w:r w:rsidRPr="00923DEF">
        <w:rPr>
          <w:rFonts w:asciiTheme="minorHAnsi" w:hAnsiTheme="minorHAnsi" w:cstheme="minorHAnsi"/>
          <w:i/>
          <w:iCs/>
        </w:rPr>
        <w:t>Labour Force, Detailed, Quarterly, May 2023</w:t>
      </w:r>
      <w:r w:rsidRPr="00DE3048">
        <w:rPr>
          <w:rFonts w:asciiTheme="minorHAnsi" w:hAnsiTheme="minorHAnsi" w:cstheme="minorHAnsi"/>
        </w:rPr>
        <w:t>.</w:t>
      </w:r>
      <w:r>
        <w:rPr>
          <w:rFonts w:asciiTheme="minorHAnsi" w:hAnsiTheme="minorHAnsi" w:cstheme="minorHAnsi"/>
        </w:rPr>
        <w:t xml:space="preserve"> This is the most recent data on the number of casual employees, but there is no associated characteristics information which was used in the costing of the casual definition (most recent data for that is ABS, </w:t>
      </w:r>
      <w:r w:rsidRPr="00923DEF">
        <w:rPr>
          <w:rFonts w:asciiTheme="minorHAnsi" w:hAnsiTheme="minorHAnsi" w:cstheme="minorHAnsi"/>
          <w:i/>
          <w:iCs/>
        </w:rPr>
        <w:t>Characteristics of Employment, August 2022</w:t>
      </w:r>
      <w:r>
        <w:rPr>
          <w:rFonts w:asciiTheme="minorHAnsi" w:hAnsiTheme="minorHAnsi" w:cstheme="minorHAnsi"/>
        </w:rPr>
        <w:t>).</w:t>
      </w:r>
    </w:p>
  </w:footnote>
  <w:footnote w:id="65">
    <w:p w14:paraId="2B8F997B" w14:textId="77777777" w:rsidR="003E3D8E" w:rsidRPr="00C03037" w:rsidRDefault="003E3D8E" w:rsidP="003E3D8E">
      <w:pPr>
        <w:pStyle w:val="FootnoteText"/>
        <w:rPr>
          <w:rFonts w:asciiTheme="minorHAnsi" w:hAnsiTheme="minorHAnsi" w:cstheme="minorHAnsi"/>
        </w:rPr>
      </w:pPr>
      <w:r>
        <w:rPr>
          <w:rStyle w:val="FootnoteReference"/>
        </w:rPr>
        <w:footnoteRef/>
      </w:r>
      <w:r>
        <w:t xml:space="preserve"> </w:t>
      </w:r>
      <w:r w:rsidRPr="00C03037">
        <w:rPr>
          <w:rFonts w:asciiTheme="minorHAnsi" w:hAnsiTheme="minorHAnsi" w:cstheme="minorHAnsi"/>
        </w:rPr>
        <w:t xml:space="preserve">See </w:t>
      </w:r>
      <w:hyperlink r:id="rId39" w:history="1">
        <w:r w:rsidRPr="00C03037">
          <w:rPr>
            <w:rStyle w:val="Hyperlink"/>
            <w:rFonts w:asciiTheme="minorHAnsi" w:hAnsiTheme="minorHAnsi" w:cstheme="minorHAnsi"/>
          </w:rPr>
          <w:t>Casual Employment Information Statement - Fair Work Ombudsman</w:t>
        </w:r>
      </w:hyperlink>
      <w:r w:rsidRPr="00C03037">
        <w:rPr>
          <w:rFonts w:asciiTheme="minorHAnsi" w:hAnsiTheme="minorHAnsi" w:cstheme="minorHAnsi"/>
        </w:rPr>
        <w:t>.</w:t>
      </w:r>
    </w:p>
  </w:footnote>
  <w:footnote w:id="66">
    <w:p w14:paraId="3EFFC625" w14:textId="77777777" w:rsidR="003E3D8E" w:rsidRPr="00FC6DEC" w:rsidRDefault="003E3D8E" w:rsidP="003E3D8E">
      <w:pPr>
        <w:pStyle w:val="FootnoteText"/>
        <w:rPr>
          <w:rFonts w:asciiTheme="minorHAnsi" w:hAnsiTheme="minorHAnsi" w:cstheme="minorHAnsi"/>
        </w:rPr>
      </w:pPr>
      <w:r w:rsidRPr="00C03037">
        <w:rPr>
          <w:rStyle w:val="FootnoteReference"/>
          <w:rFonts w:asciiTheme="minorHAnsi" w:hAnsiTheme="minorHAnsi" w:cstheme="minorHAnsi"/>
        </w:rPr>
        <w:footnoteRef/>
      </w:r>
      <w:r w:rsidRPr="00C03037">
        <w:rPr>
          <w:rFonts w:asciiTheme="minorHAnsi" w:hAnsiTheme="minorHAnsi" w:cstheme="minorHAnsi"/>
        </w:rPr>
        <w:t xml:space="preserve"> ABS, </w:t>
      </w:r>
      <w:r w:rsidRPr="00DE3048">
        <w:rPr>
          <w:rFonts w:asciiTheme="minorHAnsi" w:hAnsiTheme="minorHAnsi" w:cstheme="minorHAnsi"/>
        </w:rPr>
        <w:t>Characteristics of Employment,</w:t>
      </w:r>
      <w:r w:rsidRPr="00FC6DEC">
        <w:rPr>
          <w:rFonts w:asciiTheme="minorHAnsi" w:hAnsiTheme="minorHAnsi" w:cstheme="minorHAnsi"/>
        </w:rPr>
        <w:t xml:space="preserve"> </w:t>
      </w:r>
      <w:r w:rsidRPr="009D7AD2">
        <w:rPr>
          <w:rFonts w:asciiTheme="minorHAnsi" w:hAnsiTheme="minorHAnsi" w:cstheme="minorHAnsi"/>
          <w:i/>
          <w:iCs/>
        </w:rPr>
        <w:t>August 2022</w:t>
      </w:r>
      <w:r>
        <w:rPr>
          <w:rFonts w:asciiTheme="minorHAnsi" w:hAnsiTheme="minorHAnsi" w:cstheme="minorHAnsi"/>
          <w:i/>
          <w:iCs/>
        </w:rPr>
        <w:t>,</w:t>
      </w:r>
      <w:r>
        <w:rPr>
          <w:rFonts w:asciiTheme="minorHAnsi" w:hAnsiTheme="minorHAnsi" w:cstheme="minorHAnsi"/>
        </w:rPr>
        <w:t xml:space="preserve"> unpublished Tablebuilder.</w:t>
      </w:r>
    </w:p>
  </w:footnote>
  <w:footnote w:id="67">
    <w:p w14:paraId="756157B3" w14:textId="77777777" w:rsidR="003E3D8E" w:rsidRPr="00C03037" w:rsidRDefault="003E3D8E" w:rsidP="003E3D8E">
      <w:pPr>
        <w:pStyle w:val="FootnoteText"/>
        <w:rPr>
          <w:rFonts w:asciiTheme="minorHAnsi" w:hAnsiTheme="minorHAnsi" w:cstheme="minorHAnsi"/>
        </w:rPr>
      </w:pPr>
      <w:r w:rsidRPr="00FC6DEC">
        <w:rPr>
          <w:rStyle w:val="FootnoteReference"/>
          <w:rFonts w:asciiTheme="minorHAnsi" w:hAnsiTheme="minorHAnsi" w:cstheme="minorHAnsi"/>
        </w:rPr>
        <w:footnoteRef/>
      </w:r>
      <w:r w:rsidRPr="00FC6DEC">
        <w:rPr>
          <w:rFonts w:asciiTheme="minorHAnsi" w:hAnsiTheme="minorHAnsi" w:cstheme="minorHAnsi"/>
        </w:rPr>
        <w:t xml:space="preserve"> ABS, Employee Earnings and Hours, May 2021</w:t>
      </w:r>
      <w:r w:rsidRPr="00C03037">
        <w:rPr>
          <w:rFonts w:asciiTheme="minorHAnsi" w:hAnsiTheme="minorHAnsi" w:cstheme="minorHAnsi"/>
        </w:rPr>
        <w:t xml:space="preserve"> (latest available data)</w:t>
      </w:r>
    </w:p>
  </w:footnote>
  <w:footnote w:id="68">
    <w:p w14:paraId="31DA3B35" w14:textId="77777777" w:rsidR="006D52B4" w:rsidRDefault="006D52B4" w:rsidP="006D52B4">
      <w:pPr>
        <w:pStyle w:val="FootnoteText"/>
      </w:pPr>
      <w:r w:rsidRPr="005A2718">
        <w:rPr>
          <w:rStyle w:val="FootnoteReference"/>
          <w:rFonts w:asciiTheme="minorHAnsi" w:hAnsiTheme="minorHAnsi" w:cstheme="minorHAnsi"/>
        </w:rPr>
        <w:footnoteRef/>
      </w:r>
      <w:r w:rsidRPr="005A2718">
        <w:rPr>
          <w:rFonts w:asciiTheme="minorHAnsi" w:hAnsiTheme="minorHAnsi" w:cstheme="minorHAnsi"/>
        </w:rPr>
        <w:t xml:space="preserve"> </w:t>
      </w:r>
      <w:hyperlink r:id="rId40" w:history="1">
        <w:r w:rsidRPr="005A2718">
          <w:rPr>
            <w:rStyle w:val="Hyperlink"/>
            <w:rFonts w:asciiTheme="minorHAnsi" w:hAnsiTheme="minorHAnsi" w:cstheme="minorHAnsi"/>
            <w:color w:val="auto"/>
          </w:rPr>
          <w:t>Regulatory Burden Measurement Framework (pmc.gov.au)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4DA29" w14:textId="77777777" w:rsidR="0080450B" w:rsidRDefault="0080450B" w:rsidP="0080450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17D4D" w14:textId="77777777" w:rsidR="002A123F" w:rsidRDefault="002A123F" w:rsidP="0080450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D0BAB" w14:textId="77777777" w:rsidR="002A123F" w:rsidRDefault="002A12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5FD26" w14:textId="653073E1" w:rsidR="006E50D7" w:rsidRPr="001D193E" w:rsidRDefault="006E50D7">
    <w:pPr>
      <w:pStyle w:val="Header"/>
      <w:jc w:val="center"/>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CFABC" w14:textId="7B40356C" w:rsidR="008A059F" w:rsidRDefault="008A059F" w:rsidP="00917EF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982"/>
    <w:multiLevelType w:val="hybridMultilevel"/>
    <w:tmpl w:val="525AA006"/>
    <w:lvl w:ilvl="0" w:tplc="FFFFFFFF">
      <w:start w:val="62"/>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59739C"/>
    <w:multiLevelType w:val="hybridMultilevel"/>
    <w:tmpl w:val="FB4A0CBE"/>
    <w:lvl w:ilvl="0" w:tplc="0C090003">
      <w:start w:val="1"/>
      <w:numFmt w:val="bullet"/>
      <w:lvlText w:val="o"/>
      <w:lvlJc w:val="left"/>
      <w:pPr>
        <w:ind w:left="1353" w:hanging="360"/>
      </w:pPr>
      <w:rPr>
        <w:rFonts w:ascii="Courier New" w:hAnsi="Courier New" w:cs="Courier New"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 w15:restartNumberingAfterBreak="0">
    <w:nsid w:val="05345836"/>
    <w:multiLevelType w:val="hybridMultilevel"/>
    <w:tmpl w:val="9FCE3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196DEA"/>
    <w:multiLevelType w:val="hybridMultilevel"/>
    <w:tmpl w:val="BADE563E"/>
    <w:lvl w:ilvl="0" w:tplc="0C090017">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12784946"/>
    <w:multiLevelType w:val="hybridMultilevel"/>
    <w:tmpl w:val="7938D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186175A7"/>
    <w:multiLevelType w:val="hybridMultilevel"/>
    <w:tmpl w:val="EEE8BC2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26016C"/>
    <w:multiLevelType w:val="hybridMultilevel"/>
    <w:tmpl w:val="9600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D802E4"/>
    <w:multiLevelType w:val="hybridMultilevel"/>
    <w:tmpl w:val="35846204"/>
    <w:lvl w:ilvl="0" w:tplc="0C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FC050E7"/>
    <w:multiLevelType w:val="hybridMultilevel"/>
    <w:tmpl w:val="0D84D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3C1615"/>
    <w:multiLevelType w:val="hybridMultilevel"/>
    <w:tmpl w:val="FFFFFFFF"/>
    <w:lvl w:ilvl="0" w:tplc="BA26B33A">
      <w:start w:val="1"/>
      <w:numFmt w:val="bullet"/>
      <w:lvlText w:val=""/>
      <w:lvlJc w:val="left"/>
      <w:pPr>
        <w:ind w:left="720" w:hanging="360"/>
      </w:pPr>
      <w:rPr>
        <w:rFonts w:ascii="Symbol" w:hAnsi="Symbol" w:hint="default"/>
      </w:rPr>
    </w:lvl>
    <w:lvl w:ilvl="1" w:tplc="3DDEBC18">
      <w:start w:val="1"/>
      <w:numFmt w:val="bullet"/>
      <w:lvlText w:val=""/>
      <w:lvlJc w:val="left"/>
      <w:pPr>
        <w:ind w:left="1440" w:hanging="360"/>
      </w:pPr>
      <w:rPr>
        <w:rFonts w:ascii="Symbol" w:hAnsi="Symbol" w:hint="default"/>
      </w:rPr>
    </w:lvl>
    <w:lvl w:ilvl="2" w:tplc="890E5212">
      <w:start w:val="1"/>
      <w:numFmt w:val="bullet"/>
      <w:lvlText w:val=""/>
      <w:lvlJc w:val="left"/>
      <w:pPr>
        <w:ind w:left="2160" w:hanging="360"/>
      </w:pPr>
      <w:rPr>
        <w:rFonts w:ascii="Wingdings" w:hAnsi="Wingdings" w:hint="default"/>
      </w:rPr>
    </w:lvl>
    <w:lvl w:ilvl="3" w:tplc="D362D128">
      <w:start w:val="1"/>
      <w:numFmt w:val="bullet"/>
      <w:lvlText w:val=""/>
      <w:lvlJc w:val="left"/>
      <w:pPr>
        <w:ind w:left="2880" w:hanging="360"/>
      </w:pPr>
      <w:rPr>
        <w:rFonts w:ascii="Symbol" w:hAnsi="Symbol" w:hint="default"/>
      </w:rPr>
    </w:lvl>
    <w:lvl w:ilvl="4" w:tplc="7BE44C44">
      <w:start w:val="1"/>
      <w:numFmt w:val="bullet"/>
      <w:lvlText w:val="o"/>
      <w:lvlJc w:val="left"/>
      <w:pPr>
        <w:ind w:left="3600" w:hanging="360"/>
      </w:pPr>
      <w:rPr>
        <w:rFonts w:ascii="Courier New" w:hAnsi="Courier New" w:hint="default"/>
      </w:rPr>
    </w:lvl>
    <w:lvl w:ilvl="5" w:tplc="1C4010A4">
      <w:start w:val="1"/>
      <w:numFmt w:val="bullet"/>
      <w:lvlText w:val=""/>
      <w:lvlJc w:val="left"/>
      <w:pPr>
        <w:ind w:left="4320" w:hanging="360"/>
      </w:pPr>
      <w:rPr>
        <w:rFonts w:ascii="Wingdings" w:hAnsi="Wingdings" w:hint="default"/>
      </w:rPr>
    </w:lvl>
    <w:lvl w:ilvl="6" w:tplc="D4EA9500">
      <w:start w:val="1"/>
      <w:numFmt w:val="bullet"/>
      <w:lvlText w:val=""/>
      <w:lvlJc w:val="left"/>
      <w:pPr>
        <w:ind w:left="5040" w:hanging="360"/>
      </w:pPr>
      <w:rPr>
        <w:rFonts w:ascii="Symbol" w:hAnsi="Symbol" w:hint="default"/>
      </w:rPr>
    </w:lvl>
    <w:lvl w:ilvl="7" w:tplc="C6A66570">
      <w:start w:val="1"/>
      <w:numFmt w:val="bullet"/>
      <w:lvlText w:val="o"/>
      <w:lvlJc w:val="left"/>
      <w:pPr>
        <w:ind w:left="5760" w:hanging="360"/>
      </w:pPr>
      <w:rPr>
        <w:rFonts w:ascii="Courier New" w:hAnsi="Courier New" w:hint="default"/>
      </w:rPr>
    </w:lvl>
    <w:lvl w:ilvl="8" w:tplc="CFEC327A">
      <w:start w:val="1"/>
      <w:numFmt w:val="bullet"/>
      <w:lvlText w:val=""/>
      <w:lvlJc w:val="left"/>
      <w:pPr>
        <w:ind w:left="6480" w:hanging="360"/>
      </w:pPr>
      <w:rPr>
        <w:rFonts w:ascii="Wingdings" w:hAnsi="Wingdings" w:hint="default"/>
      </w:rPr>
    </w:lvl>
  </w:abstractNum>
  <w:abstractNum w:abstractNumId="12" w15:restartNumberingAfterBreak="0">
    <w:nsid w:val="2AD90ED6"/>
    <w:multiLevelType w:val="hybridMultilevel"/>
    <w:tmpl w:val="D166D3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AE241E"/>
    <w:multiLevelType w:val="hybridMultilevel"/>
    <w:tmpl w:val="9322E20E"/>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DE0454"/>
    <w:multiLevelType w:val="hybridMultilevel"/>
    <w:tmpl w:val="2E143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07046D"/>
    <w:multiLevelType w:val="hybridMultilevel"/>
    <w:tmpl w:val="AE14D4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793C47"/>
    <w:multiLevelType w:val="hybridMultilevel"/>
    <w:tmpl w:val="650C0F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AA627D2"/>
    <w:multiLevelType w:val="hybridMultilevel"/>
    <w:tmpl w:val="BBB00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382FA5"/>
    <w:multiLevelType w:val="hybridMultilevel"/>
    <w:tmpl w:val="D6BC7EA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
  </w:num>
  <w:num w:numId="2">
    <w:abstractNumId w:val="14"/>
  </w:num>
  <w:num w:numId="3">
    <w:abstractNumId w:val="1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0"/>
  </w:num>
  <w:num w:numId="8">
    <w:abstractNumId w:val="13"/>
  </w:num>
  <w:num w:numId="9">
    <w:abstractNumId w:val="7"/>
  </w:num>
  <w:num w:numId="10">
    <w:abstractNumId w:val="9"/>
  </w:num>
  <w:num w:numId="11">
    <w:abstractNumId w:val="4"/>
  </w:num>
  <w:num w:numId="12">
    <w:abstractNumId w:val="1"/>
  </w:num>
  <w:num w:numId="13">
    <w:abstractNumId w:val="17"/>
  </w:num>
  <w:num w:numId="14">
    <w:abstractNumId w:val="19"/>
  </w:num>
  <w:num w:numId="15">
    <w:abstractNumId w:val="10"/>
  </w:num>
  <w:num w:numId="16">
    <w:abstractNumId w:val="12"/>
  </w:num>
  <w:num w:numId="17">
    <w:abstractNumId w:val="20"/>
  </w:num>
  <w:num w:numId="18">
    <w:abstractNumId w:val="2"/>
  </w:num>
  <w:num w:numId="19">
    <w:abstractNumId w:val="5"/>
  </w:num>
  <w:num w:numId="20">
    <w:abstractNumId w:val="18"/>
  </w:num>
  <w:num w:numId="21">
    <w:abstractNumId w:val="6"/>
  </w:num>
  <w:num w:numId="22">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4EE094"/>
    <w:rsid w:val="00000130"/>
    <w:rsid w:val="00001E1D"/>
    <w:rsid w:val="0000408D"/>
    <w:rsid w:val="00004107"/>
    <w:rsid w:val="000053AB"/>
    <w:rsid w:val="000053AF"/>
    <w:rsid w:val="00005A64"/>
    <w:rsid w:val="0000699F"/>
    <w:rsid w:val="00006A0B"/>
    <w:rsid w:val="00006CAB"/>
    <w:rsid w:val="00007C50"/>
    <w:rsid w:val="0001054F"/>
    <w:rsid w:val="00011E63"/>
    <w:rsid w:val="000128E9"/>
    <w:rsid w:val="0001552D"/>
    <w:rsid w:val="00016321"/>
    <w:rsid w:val="00016986"/>
    <w:rsid w:val="0002011E"/>
    <w:rsid w:val="00024214"/>
    <w:rsid w:val="00024851"/>
    <w:rsid w:val="000250A8"/>
    <w:rsid w:val="00025466"/>
    <w:rsid w:val="00025CE8"/>
    <w:rsid w:val="00025F21"/>
    <w:rsid w:val="00026A01"/>
    <w:rsid w:val="0003032D"/>
    <w:rsid w:val="0003066B"/>
    <w:rsid w:val="00032388"/>
    <w:rsid w:val="00034C35"/>
    <w:rsid w:val="00037826"/>
    <w:rsid w:val="00037FBB"/>
    <w:rsid w:val="00040B3B"/>
    <w:rsid w:val="00042F20"/>
    <w:rsid w:val="00044CC4"/>
    <w:rsid w:val="00045EA1"/>
    <w:rsid w:val="000508FB"/>
    <w:rsid w:val="000516CC"/>
    <w:rsid w:val="00051CFD"/>
    <w:rsid w:val="00052A2A"/>
    <w:rsid w:val="00053A3F"/>
    <w:rsid w:val="00055F94"/>
    <w:rsid w:val="00056B18"/>
    <w:rsid w:val="00057FCD"/>
    <w:rsid w:val="0006069A"/>
    <w:rsid w:val="00060C24"/>
    <w:rsid w:val="0006120B"/>
    <w:rsid w:val="00062A59"/>
    <w:rsid w:val="0006362C"/>
    <w:rsid w:val="00064745"/>
    <w:rsid w:val="000647D7"/>
    <w:rsid w:val="00064851"/>
    <w:rsid w:val="00065185"/>
    <w:rsid w:val="0006678F"/>
    <w:rsid w:val="00070DBE"/>
    <w:rsid w:val="000729AF"/>
    <w:rsid w:val="000736AF"/>
    <w:rsid w:val="00075ABC"/>
    <w:rsid w:val="0007600C"/>
    <w:rsid w:val="00081D5F"/>
    <w:rsid w:val="000825B9"/>
    <w:rsid w:val="000837A5"/>
    <w:rsid w:val="00085F6C"/>
    <w:rsid w:val="00091C98"/>
    <w:rsid w:val="00092278"/>
    <w:rsid w:val="00097ABB"/>
    <w:rsid w:val="000A0354"/>
    <w:rsid w:val="000A0A03"/>
    <w:rsid w:val="000A1435"/>
    <w:rsid w:val="000A45E6"/>
    <w:rsid w:val="000A4FAD"/>
    <w:rsid w:val="000A55ED"/>
    <w:rsid w:val="000A5DA4"/>
    <w:rsid w:val="000A61EA"/>
    <w:rsid w:val="000A6B69"/>
    <w:rsid w:val="000A7398"/>
    <w:rsid w:val="000B0C59"/>
    <w:rsid w:val="000B1BA2"/>
    <w:rsid w:val="000B2670"/>
    <w:rsid w:val="000B2C7B"/>
    <w:rsid w:val="000B3666"/>
    <w:rsid w:val="000B44E1"/>
    <w:rsid w:val="000B52B8"/>
    <w:rsid w:val="000B65F4"/>
    <w:rsid w:val="000B66C9"/>
    <w:rsid w:val="000B6D1B"/>
    <w:rsid w:val="000B7C1F"/>
    <w:rsid w:val="000C3A52"/>
    <w:rsid w:val="000C4B90"/>
    <w:rsid w:val="000C7004"/>
    <w:rsid w:val="000D23E1"/>
    <w:rsid w:val="000D7E4C"/>
    <w:rsid w:val="000E08D2"/>
    <w:rsid w:val="000E0B90"/>
    <w:rsid w:val="000E15B4"/>
    <w:rsid w:val="000E2FCD"/>
    <w:rsid w:val="000E5F9C"/>
    <w:rsid w:val="000E758B"/>
    <w:rsid w:val="000F1E5E"/>
    <w:rsid w:val="000F2338"/>
    <w:rsid w:val="000F24FA"/>
    <w:rsid w:val="000F27F2"/>
    <w:rsid w:val="000F2853"/>
    <w:rsid w:val="000F2C67"/>
    <w:rsid w:val="000F3A33"/>
    <w:rsid w:val="000F4241"/>
    <w:rsid w:val="000F6455"/>
    <w:rsid w:val="000F6ADE"/>
    <w:rsid w:val="00100728"/>
    <w:rsid w:val="00100E42"/>
    <w:rsid w:val="00101279"/>
    <w:rsid w:val="00101EB6"/>
    <w:rsid w:val="00102405"/>
    <w:rsid w:val="00102DF6"/>
    <w:rsid w:val="0010504F"/>
    <w:rsid w:val="001066C0"/>
    <w:rsid w:val="00106AED"/>
    <w:rsid w:val="00107B81"/>
    <w:rsid w:val="001109E8"/>
    <w:rsid w:val="001113AF"/>
    <w:rsid w:val="00112BB6"/>
    <w:rsid w:val="0011378B"/>
    <w:rsid w:val="0011423C"/>
    <w:rsid w:val="001153C2"/>
    <w:rsid w:val="001156B6"/>
    <w:rsid w:val="00115D66"/>
    <w:rsid w:val="001161A1"/>
    <w:rsid w:val="001163B5"/>
    <w:rsid w:val="00116455"/>
    <w:rsid w:val="001205DE"/>
    <w:rsid w:val="001234CE"/>
    <w:rsid w:val="00127886"/>
    <w:rsid w:val="00127E3B"/>
    <w:rsid w:val="00130738"/>
    <w:rsid w:val="001311B4"/>
    <w:rsid w:val="0013130B"/>
    <w:rsid w:val="00131CDC"/>
    <w:rsid w:val="00131EAA"/>
    <w:rsid w:val="00132512"/>
    <w:rsid w:val="001349AF"/>
    <w:rsid w:val="00136534"/>
    <w:rsid w:val="0013708E"/>
    <w:rsid w:val="0013785A"/>
    <w:rsid w:val="001409EE"/>
    <w:rsid w:val="00141DB0"/>
    <w:rsid w:val="00143718"/>
    <w:rsid w:val="0014408F"/>
    <w:rsid w:val="0014504F"/>
    <w:rsid w:val="0014580F"/>
    <w:rsid w:val="00146E28"/>
    <w:rsid w:val="00150CB9"/>
    <w:rsid w:val="00150F0A"/>
    <w:rsid w:val="00153CE4"/>
    <w:rsid w:val="001545EA"/>
    <w:rsid w:val="00154A88"/>
    <w:rsid w:val="00155668"/>
    <w:rsid w:val="00157EBE"/>
    <w:rsid w:val="00160989"/>
    <w:rsid w:val="00160E2F"/>
    <w:rsid w:val="00161571"/>
    <w:rsid w:val="00161CB2"/>
    <w:rsid w:val="00161FBA"/>
    <w:rsid w:val="00162508"/>
    <w:rsid w:val="001640E4"/>
    <w:rsid w:val="00164436"/>
    <w:rsid w:val="00165386"/>
    <w:rsid w:val="001659F0"/>
    <w:rsid w:val="00166410"/>
    <w:rsid w:val="001668F1"/>
    <w:rsid w:val="00167540"/>
    <w:rsid w:val="001721FC"/>
    <w:rsid w:val="00172FB7"/>
    <w:rsid w:val="001730E9"/>
    <w:rsid w:val="0017327B"/>
    <w:rsid w:val="00176041"/>
    <w:rsid w:val="00180240"/>
    <w:rsid w:val="00180CF0"/>
    <w:rsid w:val="00181425"/>
    <w:rsid w:val="00181540"/>
    <w:rsid w:val="00183359"/>
    <w:rsid w:val="00185167"/>
    <w:rsid w:val="0019096B"/>
    <w:rsid w:val="00191018"/>
    <w:rsid w:val="001926C5"/>
    <w:rsid w:val="00197C53"/>
    <w:rsid w:val="001A0293"/>
    <w:rsid w:val="001A03B6"/>
    <w:rsid w:val="001A3F5A"/>
    <w:rsid w:val="001A4D5B"/>
    <w:rsid w:val="001A5E27"/>
    <w:rsid w:val="001A63AC"/>
    <w:rsid w:val="001B225C"/>
    <w:rsid w:val="001B2811"/>
    <w:rsid w:val="001B3BCC"/>
    <w:rsid w:val="001B3BE5"/>
    <w:rsid w:val="001B4FA9"/>
    <w:rsid w:val="001B651A"/>
    <w:rsid w:val="001B7AF4"/>
    <w:rsid w:val="001C060C"/>
    <w:rsid w:val="001C06EC"/>
    <w:rsid w:val="001C3248"/>
    <w:rsid w:val="001C34A5"/>
    <w:rsid w:val="001C4C7C"/>
    <w:rsid w:val="001C69C3"/>
    <w:rsid w:val="001C7E88"/>
    <w:rsid w:val="001D0DB7"/>
    <w:rsid w:val="001D1B09"/>
    <w:rsid w:val="001D31E9"/>
    <w:rsid w:val="001D4F8B"/>
    <w:rsid w:val="001D4F9B"/>
    <w:rsid w:val="001D5B26"/>
    <w:rsid w:val="001D75BB"/>
    <w:rsid w:val="001D7DB1"/>
    <w:rsid w:val="001E0323"/>
    <w:rsid w:val="001E294E"/>
    <w:rsid w:val="001E2B74"/>
    <w:rsid w:val="001E5198"/>
    <w:rsid w:val="001F134B"/>
    <w:rsid w:val="001F4B4E"/>
    <w:rsid w:val="001F4FAE"/>
    <w:rsid w:val="001F7553"/>
    <w:rsid w:val="001F795C"/>
    <w:rsid w:val="00203ACB"/>
    <w:rsid w:val="00204637"/>
    <w:rsid w:val="002063CE"/>
    <w:rsid w:val="00207F79"/>
    <w:rsid w:val="0021051F"/>
    <w:rsid w:val="002115FF"/>
    <w:rsid w:val="00214BCA"/>
    <w:rsid w:val="00215D5B"/>
    <w:rsid w:val="0021745D"/>
    <w:rsid w:val="00221135"/>
    <w:rsid w:val="00221160"/>
    <w:rsid w:val="00221A86"/>
    <w:rsid w:val="00221B05"/>
    <w:rsid w:val="00221DFB"/>
    <w:rsid w:val="0022378C"/>
    <w:rsid w:val="0022578F"/>
    <w:rsid w:val="0022667B"/>
    <w:rsid w:val="0022681E"/>
    <w:rsid w:val="0023002C"/>
    <w:rsid w:val="002312A0"/>
    <w:rsid w:val="00231C7C"/>
    <w:rsid w:val="00234451"/>
    <w:rsid w:val="00234908"/>
    <w:rsid w:val="00240C3A"/>
    <w:rsid w:val="00240DF1"/>
    <w:rsid w:val="00241926"/>
    <w:rsid w:val="00241C1B"/>
    <w:rsid w:val="00242DAF"/>
    <w:rsid w:val="00243816"/>
    <w:rsid w:val="00243C15"/>
    <w:rsid w:val="00246157"/>
    <w:rsid w:val="00246E90"/>
    <w:rsid w:val="0024701C"/>
    <w:rsid w:val="00247374"/>
    <w:rsid w:val="002475CD"/>
    <w:rsid w:val="00247FF6"/>
    <w:rsid w:val="002505DD"/>
    <w:rsid w:val="00252836"/>
    <w:rsid w:val="002535FC"/>
    <w:rsid w:val="00261809"/>
    <w:rsid w:val="00261A0A"/>
    <w:rsid w:val="00261BFC"/>
    <w:rsid w:val="00263E86"/>
    <w:rsid w:val="0026449D"/>
    <w:rsid w:val="00265881"/>
    <w:rsid w:val="00265BC7"/>
    <w:rsid w:val="00267B43"/>
    <w:rsid w:val="00270F82"/>
    <w:rsid w:val="0027296A"/>
    <w:rsid w:val="002730DB"/>
    <w:rsid w:val="00273CA4"/>
    <w:rsid w:val="00276239"/>
    <w:rsid w:val="00280D80"/>
    <w:rsid w:val="00280D99"/>
    <w:rsid w:val="00281655"/>
    <w:rsid w:val="0028220B"/>
    <w:rsid w:val="002853A1"/>
    <w:rsid w:val="00285791"/>
    <w:rsid w:val="0029092F"/>
    <w:rsid w:val="00290A8C"/>
    <w:rsid w:val="00295855"/>
    <w:rsid w:val="00295E68"/>
    <w:rsid w:val="00295F2F"/>
    <w:rsid w:val="0029717C"/>
    <w:rsid w:val="002A0FE2"/>
    <w:rsid w:val="002A123F"/>
    <w:rsid w:val="002A20B2"/>
    <w:rsid w:val="002A3202"/>
    <w:rsid w:val="002A38B6"/>
    <w:rsid w:val="002A5942"/>
    <w:rsid w:val="002A76DE"/>
    <w:rsid w:val="002B073E"/>
    <w:rsid w:val="002B10B2"/>
    <w:rsid w:val="002B2199"/>
    <w:rsid w:val="002B2469"/>
    <w:rsid w:val="002B2505"/>
    <w:rsid w:val="002B2F7F"/>
    <w:rsid w:val="002B3270"/>
    <w:rsid w:val="002B735A"/>
    <w:rsid w:val="002B7E0A"/>
    <w:rsid w:val="002C30FD"/>
    <w:rsid w:val="002C386B"/>
    <w:rsid w:val="002C3D95"/>
    <w:rsid w:val="002C42C6"/>
    <w:rsid w:val="002C49D6"/>
    <w:rsid w:val="002C5ACF"/>
    <w:rsid w:val="002C6BDB"/>
    <w:rsid w:val="002C6E0B"/>
    <w:rsid w:val="002D0200"/>
    <w:rsid w:val="002D0E6C"/>
    <w:rsid w:val="002D1294"/>
    <w:rsid w:val="002D179C"/>
    <w:rsid w:val="002D3820"/>
    <w:rsid w:val="002D62AA"/>
    <w:rsid w:val="002D7D6B"/>
    <w:rsid w:val="002DD899"/>
    <w:rsid w:val="002E3A64"/>
    <w:rsid w:val="002E5B19"/>
    <w:rsid w:val="002E64F4"/>
    <w:rsid w:val="002E6B38"/>
    <w:rsid w:val="002E6DE8"/>
    <w:rsid w:val="002E78E3"/>
    <w:rsid w:val="002F0A40"/>
    <w:rsid w:val="002F0B3D"/>
    <w:rsid w:val="002F2249"/>
    <w:rsid w:val="002F2A03"/>
    <w:rsid w:val="002F506F"/>
    <w:rsid w:val="002F6DDE"/>
    <w:rsid w:val="002F6FD7"/>
    <w:rsid w:val="002F7682"/>
    <w:rsid w:val="002F7FAF"/>
    <w:rsid w:val="00300060"/>
    <w:rsid w:val="003017F8"/>
    <w:rsid w:val="00301D75"/>
    <w:rsid w:val="003039CE"/>
    <w:rsid w:val="00306E62"/>
    <w:rsid w:val="00306EE1"/>
    <w:rsid w:val="00306F97"/>
    <w:rsid w:val="00312076"/>
    <w:rsid w:val="0031571E"/>
    <w:rsid w:val="00316291"/>
    <w:rsid w:val="00317A12"/>
    <w:rsid w:val="00321588"/>
    <w:rsid w:val="0032218D"/>
    <w:rsid w:val="00325A01"/>
    <w:rsid w:val="00325B80"/>
    <w:rsid w:val="00326341"/>
    <w:rsid w:val="003279A4"/>
    <w:rsid w:val="003304D2"/>
    <w:rsid w:val="0033290B"/>
    <w:rsid w:val="0033527C"/>
    <w:rsid w:val="0033529E"/>
    <w:rsid w:val="00336E7C"/>
    <w:rsid w:val="003400FF"/>
    <w:rsid w:val="00341FD4"/>
    <w:rsid w:val="0034369F"/>
    <w:rsid w:val="00345579"/>
    <w:rsid w:val="00347454"/>
    <w:rsid w:val="003505A3"/>
    <w:rsid w:val="00351683"/>
    <w:rsid w:val="003518E1"/>
    <w:rsid w:val="00351EC6"/>
    <w:rsid w:val="00352F9E"/>
    <w:rsid w:val="00353BE9"/>
    <w:rsid w:val="00354781"/>
    <w:rsid w:val="00354D80"/>
    <w:rsid w:val="00356DDC"/>
    <w:rsid w:val="0036088C"/>
    <w:rsid w:val="0036139C"/>
    <w:rsid w:val="00361587"/>
    <w:rsid w:val="00362281"/>
    <w:rsid w:val="00363797"/>
    <w:rsid w:val="00364C66"/>
    <w:rsid w:val="00365479"/>
    <w:rsid w:val="0036797E"/>
    <w:rsid w:val="00370EED"/>
    <w:rsid w:val="00371C24"/>
    <w:rsid w:val="0037526D"/>
    <w:rsid w:val="0037567B"/>
    <w:rsid w:val="00376E39"/>
    <w:rsid w:val="0037703E"/>
    <w:rsid w:val="00377ECF"/>
    <w:rsid w:val="00384386"/>
    <w:rsid w:val="0038532A"/>
    <w:rsid w:val="003869BE"/>
    <w:rsid w:val="00387075"/>
    <w:rsid w:val="00387274"/>
    <w:rsid w:val="00387513"/>
    <w:rsid w:val="0039258F"/>
    <w:rsid w:val="00393037"/>
    <w:rsid w:val="00395868"/>
    <w:rsid w:val="00396034"/>
    <w:rsid w:val="00396BC6"/>
    <w:rsid w:val="003972DB"/>
    <w:rsid w:val="003A0AA3"/>
    <w:rsid w:val="003A1DC3"/>
    <w:rsid w:val="003A27FF"/>
    <w:rsid w:val="003A2D8A"/>
    <w:rsid w:val="003A7744"/>
    <w:rsid w:val="003B048B"/>
    <w:rsid w:val="003B0712"/>
    <w:rsid w:val="003B087B"/>
    <w:rsid w:val="003B1107"/>
    <w:rsid w:val="003B22C9"/>
    <w:rsid w:val="003B354E"/>
    <w:rsid w:val="003B3B95"/>
    <w:rsid w:val="003B3E9B"/>
    <w:rsid w:val="003B5F98"/>
    <w:rsid w:val="003B7087"/>
    <w:rsid w:val="003C2442"/>
    <w:rsid w:val="003C3742"/>
    <w:rsid w:val="003C60AD"/>
    <w:rsid w:val="003C64C4"/>
    <w:rsid w:val="003C6C77"/>
    <w:rsid w:val="003C7832"/>
    <w:rsid w:val="003C7D29"/>
    <w:rsid w:val="003D45D7"/>
    <w:rsid w:val="003D6963"/>
    <w:rsid w:val="003D7133"/>
    <w:rsid w:val="003D73AF"/>
    <w:rsid w:val="003E0450"/>
    <w:rsid w:val="003E0C4D"/>
    <w:rsid w:val="003E20A4"/>
    <w:rsid w:val="003E3B49"/>
    <w:rsid w:val="003E3D8E"/>
    <w:rsid w:val="003E426E"/>
    <w:rsid w:val="003E4DA9"/>
    <w:rsid w:val="003E4DB2"/>
    <w:rsid w:val="003E5942"/>
    <w:rsid w:val="003E677D"/>
    <w:rsid w:val="003E6C55"/>
    <w:rsid w:val="003F0782"/>
    <w:rsid w:val="003F18A9"/>
    <w:rsid w:val="003F1EEB"/>
    <w:rsid w:val="003F4294"/>
    <w:rsid w:val="003F44EE"/>
    <w:rsid w:val="003F53A6"/>
    <w:rsid w:val="003F6017"/>
    <w:rsid w:val="003F6C94"/>
    <w:rsid w:val="003F745E"/>
    <w:rsid w:val="00400D22"/>
    <w:rsid w:val="0040181B"/>
    <w:rsid w:val="004018DB"/>
    <w:rsid w:val="00402D86"/>
    <w:rsid w:val="00403116"/>
    <w:rsid w:val="00403C51"/>
    <w:rsid w:val="004048AF"/>
    <w:rsid w:val="00404C75"/>
    <w:rsid w:val="004062C3"/>
    <w:rsid w:val="004064A8"/>
    <w:rsid w:val="004065A0"/>
    <w:rsid w:val="004074CB"/>
    <w:rsid w:val="0041282A"/>
    <w:rsid w:val="00412DA5"/>
    <w:rsid w:val="0041369C"/>
    <w:rsid w:val="004137B4"/>
    <w:rsid w:val="004143DB"/>
    <w:rsid w:val="004146C1"/>
    <w:rsid w:val="00414B87"/>
    <w:rsid w:val="00417788"/>
    <w:rsid w:val="004210F1"/>
    <w:rsid w:val="00422A1A"/>
    <w:rsid w:val="00422E15"/>
    <w:rsid w:val="0042318C"/>
    <w:rsid w:val="00424536"/>
    <w:rsid w:val="00426202"/>
    <w:rsid w:val="00430C1E"/>
    <w:rsid w:val="004327A6"/>
    <w:rsid w:val="0043293E"/>
    <w:rsid w:val="00433414"/>
    <w:rsid w:val="00433C2A"/>
    <w:rsid w:val="00436AB8"/>
    <w:rsid w:val="0044123F"/>
    <w:rsid w:val="00443E0A"/>
    <w:rsid w:val="004449A4"/>
    <w:rsid w:val="00444EC3"/>
    <w:rsid w:val="004471E9"/>
    <w:rsid w:val="00447D53"/>
    <w:rsid w:val="004505C5"/>
    <w:rsid w:val="00450FBC"/>
    <w:rsid w:val="00452868"/>
    <w:rsid w:val="00452900"/>
    <w:rsid w:val="00452FA1"/>
    <w:rsid w:val="00454864"/>
    <w:rsid w:val="004565AA"/>
    <w:rsid w:val="00460FB4"/>
    <w:rsid w:val="00463086"/>
    <w:rsid w:val="00463240"/>
    <w:rsid w:val="00463CA7"/>
    <w:rsid w:val="00463FEC"/>
    <w:rsid w:val="00464210"/>
    <w:rsid w:val="00464BE6"/>
    <w:rsid w:val="00465CF0"/>
    <w:rsid w:val="0046612B"/>
    <w:rsid w:val="00467069"/>
    <w:rsid w:val="00467E28"/>
    <w:rsid w:val="00471B3C"/>
    <w:rsid w:val="00472602"/>
    <w:rsid w:val="00473985"/>
    <w:rsid w:val="0047541C"/>
    <w:rsid w:val="00475498"/>
    <w:rsid w:val="00476FD4"/>
    <w:rsid w:val="00482391"/>
    <w:rsid w:val="0048319D"/>
    <w:rsid w:val="004833B8"/>
    <w:rsid w:val="00483CED"/>
    <w:rsid w:val="0048502C"/>
    <w:rsid w:val="004857CA"/>
    <w:rsid w:val="0048622B"/>
    <w:rsid w:val="004869E9"/>
    <w:rsid w:val="00487D91"/>
    <w:rsid w:val="0049073E"/>
    <w:rsid w:val="004916A9"/>
    <w:rsid w:val="00492716"/>
    <w:rsid w:val="00493E72"/>
    <w:rsid w:val="0049454D"/>
    <w:rsid w:val="00494995"/>
    <w:rsid w:val="00494AC0"/>
    <w:rsid w:val="00495635"/>
    <w:rsid w:val="00495DBC"/>
    <w:rsid w:val="004A13FE"/>
    <w:rsid w:val="004A1756"/>
    <w:rsid w:val="004A2BFC"/>
    <w:rsid w:val="004A388F"/>
    <w:rsid w:val="004A4497"/>
    <w:rsid w:val="004A4930"/>
    <w:rsid w:val="004A5438"/>
    <w:rsid w:val="004A5750"/>
    <w:rsid w:val="004A6481"/>
    <w:rsid w:val="004A6EB1"/>
    <w:rsid w:val="004A7907"/>
    <w:rsid w:val="004A7F12"/>
    <w:rsid w:val="004B1E81"/>
    <w:rsid w:val="004B35E2"/>
    <w:rsid w:val="004B381A"/>
    <w:rsid w:val="004B4512"/>
    <w:rsid w:val="004B7BA7"/>
    <w:rsid w:val="004C06B3"/>
    <w:rsid w:val="004C0DF1"/>
    <w:rsid w:val="004C1BF6"/>
    <w:rsid w:val="004C2750"/>
    <w:rsid w:val="004C63F2"/>
    <w:rsid w:val="004C65D3"/>
    <w:rsid w:val="004C7F3D"/>
    <w:rsid w:val="004D2DF6"/>
    <w:rsid w:val="004D34D8"/>
    <w:rsid w:val="004D3BF6"/>
    <w:rsid w:val="004D7EAC"/>
    <w:rsid w:val="004E0255"/>
    <w:rsid w:val="004E14D3"/>
    <w:rsid w:val="004E46FD"/>
    <w:rsid w:val="004E4CB7"/>
    <w:rsid w:val="004E5037"/>
    <w:rsid w:val="004E60D9"/>
    <w:rsid w:val="004F12CB"/>
    <w:rsid w:val="004F25AE"/>
    <w:rsid w:val="004F43C8"/>
    <w:rsid w:val="004F47FB"/>
    <w:rsid w:val="004F6A92"/>
    <w:rsid w:val="0050038A"/>
    <w:rsid w:val="00500A7A"/>
    <w:rsid w:val="00500F83"/>
    <w:rsid w:val="00505AB0"/>
    <w:rsid w:val="00505D34"/>
    <w:rsid w:val="00506659"/>
    <w:rsid w:val="00507F13"/>
    <w:rsid w:val="0051044F"/>
    <w:rsid w:val="005114AE"/>
    <w:rsid w:val="00512D61"/>
    <w:rsid w:val="00513E32"/>
    <w:rsid w:val="00516F8B"/>
    <w:rsid w:val="00521A16"/>
    <w:rsid w:val="00521DF6"/>
    <w:rsid w:val="005221B5"/>
    <w:rsid w:val="005238DD"/>
    <w:rsid w:val="00523EF6"/>
    <w:rsid w:val="0052520A"/>
    <w:rsid w:val="00526179"/>
    <w:rsid w:val="005270C7"/>
    <w:rsid w:val="0053179D"/>
    <w:rsid w:val="00531B89"/>
    <w:rsid w:val="00531C51"/>
    <w:rsid w:val="00531D23"/>
    <w:rsid w:val="005325D8"/>
    <w:rsid w:val="0053497E"/>
    <w:rsid w:val="00537671"/>
    <w:rsid w:val="005404CF"/>
    <w:rsid w:val="00542D58"/>
    <w:rsid w:val="00544408"/>
    <w:rsid w:val="00547611"/>
    <w:rsid w:val="00547ADD"/>
    <w:rsid w:val="00551E54"/>
    <w:rsid w:val="00552E94"/>
    <w:rsid w:val="00555799"/>
    <w:rsid w:val="00555B56"/>
    <w:rsid w:val="0055637F"/>
    <w:rsid w:val="005569E8"/>
    <w:rsid w:val="00556D60"/>
    <w:rsid w:val="00562579"/>
    <w:rsid w:val="00562DE8"/>
    <w:rsid w:val="00567F69"/>
    <w:rsid w:val="0057172B"/>
    <w:rsid w:val="00572EAF"/>
    <w:rsid w:val="00573FF3"/>
    <w:rsid w:val="00574157"/>
    <w:rsid w:val="005813A6"/>
    <w:rsid w:val="005813AE"/>
    <w:rsid w:val="00583E38"/>
    <w:rsid w:val="0058437D"/>
    <w:rsid w:val="005853F8"/>
    <w:rsid w:val="00586CA7"/>
    <w:rsid w:val="005873F2"/>
    <w:rsid w:val="005912B3"/>
    <w:rsid w:val="00591A1F"/>
    <w:rsid w:val="00593ED5"/>
    <w:rsid w:val="00594800"/>
    <w:rsid w:val="00594B65"/>
    <w:rsid w:val="00596506"/>
    <w:rsid w:val="005A0A28"/>
    <w:rsid w:val="005A0BF9"/>
    <w:rsid w:val="005A1184"/>
    <w:rsid w:val="005A1544"/>
    <w:rsid w:val="005A2718"/>
    <w:rsid w:val="005A50A0"/>
    <w:rsid w:val="005A68C0"/>
    <w:rsid w:val="005A692D"/>
    <w:rsid w:val="005B40CC"/>
    <w:rsid w:val="005C025E"/>
    <w:rsid w:val="005C0CAE"/>
    <w:rsid w:val="005C329A"/>
    <w:rsid w:val="005C70D3"/>
    <w:rsid w:val="005D101C"/>
    <w:rsid w:val="005D199F"/>
    <w:rsid w:val="005D22D1"/>
    <w:rsid w:val="005D2E96"/>
    <w:rsid w:val="005D43DC"/>
    <w:rsid w:val="005D47FB"/>
    <w:rsid w:val="005E10A4"/>
    <w:rsid w:val="005E18BA"/>
    <w:rsid w:val="005E217A"/>
    <w:rsid w:val="005E4D3C"/>
    <w:rsid w:val="005E5CBC"/>
    <w:rsid w:val="005F1C81"/>
    <w:rsid w:val="005F356A"/>
    <w:rsid w:val="005F3CB9"/>
    <w:rsid w:val="005F47EE"/>
    <w:rsid w:val="00600FC1"/>
    <w:rsid w:val="0060259D"/>
    <w:rsid w:val="00603120"/>
    <w:rsid w:val="00603914"/>
    <w:rsid w:val="0060444C"/>
    <w:rsid w:val="006047C0"/>
    <w:rsid w:val="00605CDC"/>
    <w:rsid w:val="00606A67"/>
    <w:rsid w:val="00607C15"/>
    <w:rsid w:val="0061094C"/>
    <w:rsid w:val="00613AF5"/>
    <w:rsid w:val="00614864"/>
    <w:rsid w:val="006148E8"/>
    <w:rsid w:val="00615962"/>
    <w:rsid w:val="006165C2"/>
    <w:rsid w:val="006202CE"/>
    <w:rsid w:val="00621961"/>
    <w:rsid w:val="00622409"/>
    <w:rsid w:val="00624172"/>
    <w:rsid w:val="006260A8"/>
    <w:rsid w:val="006279BE"/>
    <w:rsid w:val="00630078"/>
    <w:rsid w:val="00630EC8"/>
    <w:rsid w:val="006339D9"/>
    <w:rsid w:val="00633E7B"/>
    <w:rsid w:val="00634120"/>
    <w:rsid w:val="006357E8"/>
    <w:rsid w:val="00636192"/>
    <w:rsid w:val="00636625"/>
    <w:rsid w:val="006379BB"/>
    <w:rsid w:val="00640219"/>
    <w:rsid w:val="00641CF6"/>
    <w:rsid w:val="00641DEC"/>
    <w:rsid w:val="00642515"/>
    <w:rsid w:val="00642F83"/>
    <w:rsid w:val="00642F88"/>
    <w:rsid w:val="0064366F"/>
    <w:rsid w:val="00643A69"/>
    <w:rsid w:val="006440E8"/>
    <w:rsid w:val="00645B58"/>
    <w:rsid w:val="00645F73"/>
    <w:rsid w:val="00646F18"/>
    <w:rsid w:val="00647081"/>
    <w:rsid w:val="0065139D"/>
    <w:rsid w:val="00652B50"/>
    <w:rsid w:val="0065497C"/>
    <w:rsid w:val="00657534"/>
    <w:rsid w:val="00660CBF"/>
    <w:rsid w:val="00662574"/>
    <w:rsid w:val="00663602"/>
    <w:rsid w:val="00663B34"/>
    <w:rsid w:val="00663B70"/>
    <w:rsid w:val="00663F58"/>
    <w:rsid w:val="0066607A"/>
    <w:rsid w:val="0066664A"/>
    <w:rsid w:val="0066698F"/>
    <w:rsid w:val="00670731"/>
    <w:rsid w:val="006710BE"/>
    <w:rsid w:val="00671DDE"/>
    <w:rsid w:val="006752D8"/>
    <w:rsid w:val="0067610B"/>
    <w:rsid w:val="006768E2"/>
    <w:rsid w:val="00677AD8"/>
    <w:rsid w:val="00677CD3"/>
    <w:rsid w:val="00680203"/>
    <w:rsid w:val="00680588"/>
    <w:rsid w:val="006814A2"/>
    <w:rsid w:val="00682C6C"/>
    <w:rsid w:val="00682C9F"/>
    <w:rsid w:val="00682E29"/>
    <w:rsid w:val="00683163"/>
    <w:rsid w:val="006840BB"/>
    <w:rsid w:val="0068578C"/>
    <w:rsid w:val="00686171"/>
    <w:rsid w:val="006868F5"/>
    <w:rsid w:val="00686BD0"/>
    <w:rsid w:val="0068765E"/>
    <w:rsid w:val="00691428"/>
    <w:rsid w:val="00693C87"/>
    <w:rsid w:val="0069544E"/>
    <w:rsid w:val="006971A5"/>
    <w:rsid w:val="006A0A56"/>
    <w:rsid w:val="006A130B"/>
    <w:rsid w:val="006A23FB"/>
    <w:rsid w:val="006A2720"/>
    <w:rsid w:val="006A6D00"/>
    <w:rsid w:val="006A7AA0"/>
    <w:rsid w:val="006AB664"/>
    <w:rsid w:val="006B00BA"/>
    <w:rsid w:val="006B184C"/>
    <w:rsid w:val="006B19FA"/>
    <w:rsid w:val="006B2FBD"/>
    <w:rsid w:val="006B7F6C"/>
    <w:rsid w:val="006C01A4"/>
    <w:rsid w:val="006C263A"/>
    <w:rsid w:val="006C2FB1"/>
    <w:rsid w:val="006C2FE7"/>
    <w:rsid w:val="006C5528"/>
    <w:rsid w:val="006C592E"/>
    <w:rsid w:val="006D0C22"/>
    <w:rsid w:val="006D22CD"/>
    <w:rsid w:val="006D334E"/>
    <w:rsid w:val="006D431A"/>
    <w:rsid w:val="006D5201"/>
    <w:rsid w:val="006D52B4"/>
    <w:rsid w:val="006D557C"/>
    <w:rsid w:val="006D6E97"/>
    <w:rsid w:val="006D76F4"/>
    <w:rsid w:val="006E117E"/>
    <w:rsid w:val="006E1DAF"/>
    <w:rsid w:val="006E21DD"/>
    <w:rsid w:val="006E2A98"/>
    <w:rsid w:val="006E464D"/>
    <w:rsid w:val="006E50D7"/>
    <w:rsid w:val="006E740B"/>
    <w:rsid w:val="006E7AD1"/>
    <w:rsid w:val="006F3F2B"/>
    <w:rsid w:val="006F5853"/>
    <w:rsid w:val="006F6422"/>
    <w:rsid w:val="006F77AB"/>
    <w:rsid w:val="00701E90"/>
    <w:rsid w:val="007030F5"/>
    <w:rsid w:val="007034BB"/>
    <w:rsid w:val="007040DA"/>
    <w:rsid w:val="00704881"/>
    <w:rsid w:val="0070496D"/>
    <w:rsid w:val="00704CAC"/>
    <w:rsid w:val="00705BBB"/>
    <w:rsid w:val="00706184"/>
    <w:rsid w:val="007073DD"/>
    <w:rsid w:val="00710F8D"/>
    <w:rsid w:val="0071298C"/>
    <w:rsid w:val="0071487A"/>
    <w:rsid w:val="0071501D"/>
    <w:rsid w:val="00715748"/>
    <w:rsid w:val="00716617"/>
    <w:rsid w:val="00716B60"/>
    <w:rsid w:val="00716FB6"/>
    <w:rsid w:val="00717396"/>
    <w:rsid w:val="007174FF"/>
    <w:rsid w:val="007175F8"/>
    <w:rsid w:val="0071796D"/>
    <w:rsid w:val="00720F3F"/>
    <w:rsid w:val="00721F33"/>
    <w:rsid w:val="00722614"/>
    <w:rsid w:val="007235E5"/>
    <w:rsid w:val="007248AF"/>
    <w:rsid w:val="00724B1B"/>
    <w:rsid w:val="00730FEF"/>
    <w:rsid w:val="007316BF"/>
    <w:rsid w:val="007319C3"/>
    <w:rsid w:val="00731F9E"/>
    <w:rsid w:val="00732A07"/>
    <w:rsid w:val="00734630"/>
    <w:rsid w:val="00735CAD"/>
    <w:rsid w:val="0074072E"/>
    <w:rsid w:val="00741FF2"/>
    <w:rsid w:val="00744819"/>
    <w:rsid w:val="00745CF2"/>
    <w:rsid w:val="00746B19"/>
    <w:rsid w:val="007513FF"/>
    <w:rsid w:val="00753CBE"/>
    <w:rsid w:val="00755B56"/>
    <w:rsid w:val="00757D4D"/>
    <w:rsid w:val="00757D87"/>
    <w:rsid w:val="00757E5D"/>
    <w:rsid w:val="007640E0"/>
    <w:rsid w:val="00767B8B"/>
    <w:rsid w:val="00767F68"/>
    <w:rsid w:val="00772729"/>
    <w:rsid w:val="00773FE1"/>
    <w:rsid w:val="00774780"/>
    <w:rsid w:val="00775544"/>
    <w:rsid w:val="007768F2"/>
    <w:rsid w:val="00781A44"/>
    <w:rsid w:val="00784C3E"/>
    <w:rsid w:val="00785E1D"/>
    <w:rsid w:val="00786CCC"/>
    <w:rsid w:val="00787D20"/>
    <w:rsid w:val="00792AB6"/>
    <w:rsid w:val="00793E07"/>
    <w:rsid w:val="0079675F"/>
    <w:rsid w:val="00797260"/>
    <w:rsid w:val="007A75DF"/>
    <w:rsid w:val="007B1639"/>
    <w:rsid w:val="007B1B0A"/>
    <w:rsid w:val="007B4904"/>
    <w:rsid w:val="007B4CC4"/>
    <w:rsid w:val="007B6BA8"/>
    <w:rsid w:val="007B6BCC"/>
    <w:rsid w:val="007B6F7A"/>
    <w:rsid w:val="007B7EBE"/>
    <w:rsid w:val="007C0D19"/>
    <w:rsid w:val="007C10BD"/>
    <w:rsid w:val="007C20E2"/>
    <w:rsid w:val="007C277D"/>
    <w:rsid w:val="007C2F3B"/>
    <w:rsid w:val="007C31DA"/>
    <w:rsid w:val="007C43B2"/>
    <w:rsid w:val="007C47A3"/>
    <w:rsid w:val="007C47EA"/>
    <w:rsid w:val="007C5938"/>
    <w:rsid w:val="007D05E0"/>
    <w:rsid w:val="007D0B16"/>
    <w:rsid w:val="007D191B"/>
    <w:rsid w:val="007D1A8A"/>
    <w:rsid w:val="007D243D"/>
    <w:rsid w:val="007D285D"/>
    <w:rsid w:val="007D2C92"/>
    <w:rsid w:val="007D4809"/>
    <w:rsid w:val="007D4E8B"/>
    <w:rsid w:val="007D53B1"/>
    <w:rsid w:val="007D574B"/>
    <w:rsid w:val="007E0828"/>
    <w:rsid w:val="007E1A83"/>
    <w:rsid w:val="007E2118"/>
    <w:rsid w:val="007E52D0"/>
    <w:rsid w:val="007E5390"/>
    <w:rsid w:val="007E567E"/>
    <w:rsid w:val="007E67D1"/>
    <w:rsid w:val="007F256A"/>
    <w:rsid w:val="007F5DA4"/>
    <w:rsid w:val="007F73D4"/>
    <w:rsid w:val="007F76EF"/>
    <w:rsid w:val="008002B7"/>
    <w:rsid w:val="00802925"/>
    <w:rsid w:val="00802E03"/>
    <w:rsid w:val="00803715"/>
    <w:rsid w:val="0080450B"/>
    <w:rsid w:val="00805AD8"/>
    <w:rsid w:val="00806852"/>
    <w:rsid w:val="00806EFB"/>
    <w:rsid w:val="00813F92"/>
    <w:rsid w:val="00814588"/>
    <w:rsid w:val="00815AD9"/>
    <w:rsid w:val="00824DB1"/>
    <w:rsid w:val="00825A14"/>
    <w:rsid w:val="008260E9"/>
    <w:rsid w:val="00827FD8"/>
    <w:rsid w:val="00830244"/>
    <w:rsid w:val="00830620"/>
    <w:rsid w:val="00832B90"/>
    <w:rsid w:val="00833908"/>
    <w:rsid w:val="00835593"/>
    <w:rsid w:val="00840717"/>
    <w:rsid w:val="00843948"/>
    <w:rsid w:val="008446A6"/>
    <w:rsid w:val="00846D88"/>
    <w:rsid w:val="00846E2A"/>
    <w:rsid w:val="00851BDF"/>
    <w:rsid w:val="00851BF7"/>
    <w:rsid w:val="0085320D"/>
    <w:rsid w:val="00854271"/>
    <w:rsid w:val="00854932"/>
    <w:rsid w:val="008564B2"/>
    <w:rsid w:val="00860B90"/>
    <w:rsid w:val="0086180E"/>
    <w:rsid w:val="00863683"/>
    <w:rsid w:val="008644B9"/>
    <w:rsid w:val="00866447"/>
    <w:rsid w:val="008664E1"/>
    <w:rsid w:val="00867830"/>
    <w:rsid w:val="0087032D"/>
    <w:rsid w:val="00871FDF"/>
    <w:rsid w:val="00872368"/>
    <w:rsid w:val="0087339E"/>
    <w:rsid w:val="00873526"/>
    <w:rsid w:val="0087700D"/>
    <w:rsid w:val="00880397"/>
    <w:rsid w:val="008821CA"/>
    <w:rsid w:val="00882214"/>
    <w:rsid w:val="00882BE9"/>
    <w:rsid w:val="008832ED"/>
    <w:rsid w:val="00885A59"/>
    <w:rsid w:val="0088600F"/>
    <w:rsid w:val="00895E18"/>
    <w:rsid w:val="008961A9"/>
    <w:rsid w:val="00897EB6"/>
    <w:rsid w:val="008A0257"/>
    <w:rsid w:val="008A059F"/>
    <w:rsid w:val="008A121D"/>
    <w:rsid w:val="008A2657"/>
    <w:rsid w:val="008A525F"/>
    <w:rsid w:val="008A6DC3"/>
    <w:rsid w:val="008A7281"/>
    <w:rsid w:val="008B3CBD"/>
    <w:rsid w:val="008B421A"/>
    <w:rsid w:val="008B5E31"/>
    <w:rsid w:val="008C0F5D"/>
    <w:rsid w:val="008C1456"/>
    <w:rsid w:val="008C66A9"/>
    <w:rsid w:val="008D135A"/>
    <w:rsid w:val="008D418A"/>
    <w:rsid w:val="008E10B4"/>
    <w:rsid w:val="008E14B8"/>
    <w:rsid w:val="008F542C"/>
    <w:rsid w:val="008F670C"/>
    <w:rsid w:val="008F7494"/>
    <w:rsid w:val="00901BDA"/>
    <w:rsid w:val="00902C85"/>
    <w:rsid w:val="0090424E"/>
    <w:rsid w:val="00905781"/>
    <w:rsid w:val="00905A32"/>
    <w:rsid w:val="00907453"/>
    <w:rsid w:val="0091033B"/>
    <w:rsid w:val="009121E4"/>
    <w:rsid w:val="0091240B"/>
    <w:rsid w:val="009133EB"/>
    <w:rsid w:val="00916201"/>
    <w:rsid w:val="00916561"/>
    <w:rsid w:val="00917266"/>
    <w:rsid w:val="00917415"/>
    <w:rsid w:val="00917423"/>
    <w:rsid w:val="00917C48"/>
    <w:rsid w:val="00917EFE"/>
    <w:rsid w:val="00920C90"/>
    <w:rsid w:val="0092212A"/>
    <w:rsid w:val="00922259"/>
    <w:rsid w:val="00922FC5"/>
    <w:rsid w:val="00923158"/>
    <w:rsid w:val="0092377B"/>
    <w:rsid w:val="00925088"/>
    <w:rsid w:val="00925A59"/>
    <w:rsid w:val="00927010"/>
    <w:rsid w:val="00930BF8"/>
    <w:rsid w:val="00933A52"/>
    <w:rsid w:val="0093628A"/>
    <w:rsid w:val="009374DC"/>
    <w:rsid w:val="00937E00"/>
    <w:rsid w:val="009413E4"/>
    <w:rsid w:val="00942E74"/>
    <w:rsid w:val="00945A3B"/>
    <w:rsid w:val="009465EC"/>
    <w:rsid w:val="00946E16"/>
    <w:rsid w:val="00946F42"/>
    <w:rsid w:val="00952511"/>
    <w:rsid w:val="00954AB8"/>
    <w:rsid w:val="00956B0B"/>
    <w:rsid w:val="009577C8"/>
    <w:rsid w:val="0096061A"/>
    <w:rsid w:val="00963AD3"/>
    <w:rsid w:val="00963C4B"/>
    <w:rsid w:val="0096484E"/>
    <w:rsid w:val="00966E56"/>
    <w:rsid w:val="009673A3"/>
    <w:rsid w:val="00967EFF"/>
    <w:rsid w:val="00970A1C"/>
    <w:rsid w:val="00971F62"/>
    <w:rsid w:val="00972C62"/>
    <w:rsid w:val="009764E9"/>
    <w:rsid w:val="00977ABD"/>
    <w:rsid w:val="00982E2F"/>
    <w:rsid w:val="00982F62"/>
    <w:rsid w:val="009847FF"/>
    <w:rsid w:val="00986917"/>
    <w:rsid w:val="009869EC"/>
    <w:rsid w:val="00987ACA"/>
    <w:rsid w:val="00991221"/>
    <w:rsid w:val="009931A0"/>
    <w:rsid w:val="00993946"/>
    <w:rsid w:val="0099472A"/>
    <w:rsid w:val="009957D2"/>
    <w:rsid w:val="009A0B4F"/>
    <w:rsid w:val="009A0BEC"/>
    <w:rsid w:val="009A415D"/>
    <w:rsid w:val="009A62A5"/>
    <w:rsid w:val="009A7F06"/>
    <w:rsid w:val="009B0651"/>
    <w:rsid w:val="009B0838"/>
    <w:rsid w:val="009B08B2"/>
    <w:rsid w:val="009B21C5"/>
    <w:rsid w:val="009B4B89"/>
    <w:rsid w:val="009B67BC"/>
    <w:rsid w:val="009B76A7"/>
    <w:rsid w:val="009B7911"/>
    <w:rsid w:val="009C0AF6"/>
    <w:rsid w:val="009C1262"/>
    <w:rsid w:val="009C1E25"/>
    <w:rsid w:val="009C2749"/>
    <w:rsid w:val="009C369D"/>
    <w:rsid w:val="009C58F6"/>
    <w:rsid w:val="009D0993"/>
    <w:rsid w:val="009D0D7D"/>
    <w:rsid w:val="009D13F2"/>
    <w:rsid w:val="009D198C"/>
    <w:rsid w:val="009D24C2"/>
    <w:rsid w:val="009D44FD"/>
    <w:rsid w:val="009D64A2"/>
    <w:rsid w:val="009D6FBE"/>
    <w:rsid w:val="009E0D92"/>
    <w:rsid w:val="009E21C2"/>
    <w:rsid w:val="009E4757"/>
    <w:rsid w:val="009E501B"/>
    <w:rsid w:val="009E74C4"/>
    <w:rsid w:val="009E7F71"/>
    <w:rsid w:val="009F2D8B"/>
    <w:rsid w:val="009F32C9"/>
    <w:rsid w:val="009F33AE"/>
    <w:rsid w:val="009F47C3"/>
    <w:rsid w:val="009F6B39"/>
    <w:rsid w:val="00A0105D"/>
    <w:rsid w:val="00A030A7"/>
    <w:rsid w:val="00A03E1D"/>
    <w:rsid w:val="00A044E1"/>
    <w:rsid w:val="00A061F2"/>
    <w:rsid w:val="00A0672B"/>
    <w:rsid w:val="00A1058C"/>
    <w:rsid w:val="00A12736"/>
    <w:rsid w:val="00A1512E"/>
    <w:rsid w:val="00A20B30"/>
    <w:rsid w:val="00A22AB0"/>
    <w:rsid w:val="00A22B91"/>
    <w:rsid w:val="00A22F69"/>
    <w:rsid w:val="00A26BAD"/>
    <w:rsid w:val="00A26F1D"/>
    <w:rsid w:val="00A3325C"/>
    <w:rsid w:val="00A3473C"/>
    <w:rsid w:val="00A3612C"/>
    <w:rsid w:val="00A37AD8"/>
    <w:rsid w:val="00A40DA0"/>
    <w:rsid w:val="00A42EBE"/>
    <w:rsid w:val="00A43268"/>
    <w:rsid w:val="00A432EC"/>
    <w:rsid w:val="00A434CC"/>
    <w:rsid w:val="00A4356E"/>
    <w:rsid w:val="00A44472"/>
    <w:rsid w:val="00A4476D"/>
    <w:rsid w:val="00A45B18"/>
    <w:rsid w:val="00A47195"/>
    <w:rsid w:val="00A47CBC"/>
    <w:rsid w:val="00A51494"/>
    <w:rsid w:val="00A551B1"/>
    <w:rsid w:val="00A56345"/>
    <w:rsid w:val="00A566ED"/>
    <w:rsid w:val="00A5783D"/>
    <w:rsid w:val="00A61B4E"/>
    <w:rsid w:val="00A624EF"/>
    <w:rsid w:val="00A6253F"/>
    <w:rsid w:val="00A629D8"/>
    <w:rsid w:val="00A64DAA"/>
    <w:rsid w:val="00A654D2"/>
    <w:rsid w:val="00A6772B"/>
    <w:rsid w:val="00A67CD1"/>
    <w:rsid w:val="00A734C9"/>
    <w:rsid w:val="00A7596E"/>
    <w:rsid w:val="00A75CAD"/>
    <w:rsid w:val="00A75D7F"/>
    <w:rsid w:val="00A765B0"/>
    <w:rsid w:val="00A804BE"/>
    <w:rsid w:val="00A80BCF"/>
    <w:rsid w:val="00A83616"/>
    <w:rsid w:val="00A868CE"/>
    <w:rsid w:val="00A87CC7"/>
    <w:rsid w:val="00A93AE5"/>
    <w:rsid w:val="00A93F8E"/>
    <w:rsid w:val="00A95977"/>
    <w:rsid w:val="00A961DA"/>
    <w:rsid w:val="00A965E2"/>
    <w:rsid w:val="00A97F9F"/>
    <w:rsid w:val="00AA26E4"/>
    <w:rsid w:val="00AA2B7A"/>
    <w:rsid w:val="00AA2EE5"/>
    <w:rsid w:val="00AA463C"/>
    <w:rsid w:val="00AA512F"/>
    <w:rsid w:val="00AA5AEE"/>
    <w:rsid w:val="00AA6DAF"/>
    <w:rsid w:val="00AA797A"/>
    <w:rsid w:val="00AB1D7E"/>
    <w:rsid w:val="00AB3E49"/>
    <w:rsid w:val="00AB4372"/>
    <w:rsid w:val="00AB439E"/>
    <w:rsid w:val="00AB4793"/>
    <w:rsid w:val="00AB4810"/>
    <w:rsid w:val="00AB4F0D"/>
    <w:rsid w:val="00AB7BFC"/>
    <w:rsid w:val="00AC10CE"/>
    <w:rsid w:val="00AC2C09"/>
    <w:rsid w:val="00AC33D4"/>
    <w:rsid w:val="00AC48A2"/>
    <w:rsid w:val="00AC504C"/>
    <w:rsid w:val="00AD0217"/>
    <w:rsid w:val="00AD2BC9"/>
    <w:rsid w:val="00AD35B2"/>
    <w:rsid w:val="00AD4F3E"/>
    <w:rsid w:val="00AD51BA"/>
    <w:rsid w:val="00AD739C"/>
    <w:rsid w:val="00AE0321"/>
    <w:rsid w:val="00AE03B1"/>
    <w:rsid w:val="00AE0740"/>
    <w:rsid w:val="00AE133A"/>
    <w:rsid w:val="00AE3CE9"/>
    <w:rsid w:val="00AE5B25"/>
    <w:rsid w:val="00AE63AC"/>
    <w:rsid w:val="00AE6A97"/>
    <w:rsid w:val="00AF0B77"/>
    <w:rsid w:val="00AF0E59"/>
    <w:rsid w:val="00AF1952"/>
    <w:rsid w:val="00AF23E0"/>
    <w:rsid w:val="00AF30D0"/>
    <w:rsid w:val="00AF317A"/>
    <w:rsid w:val="00AF44AE"/>
    <w:rsid w:val="00AF7923"/>
    <w:rsid w:val="00B013C6"/>
    <w:rsid w:val="00B01E99"/>
    <w:rsid w:val="00B04E73"/>
    <w:rsid w:val="00B07726"/>
    <w:rsid w:val="00B10AC2"/>
    <w:rsid w:val="00B114D0"/>
    <w:rsid w:val="00B12896"/>
    <w:rsid w:val="00B14B67"/>
    <w:rsid w:val="00B1550E"/>
    <w:rsid w:val="00B175FA"/>
    <w:rsid w:val="00B23665"/>
    <w:rsid w:val="00B2440A"/>
    <w:rsid w:val="00B265A1"/>
    <w:rsid w:val="00B2773B"/>
    <w:rsid w:val="00B31160"/>
    <w:rsid w:val="00B34CA8"/>
    <w:rsid w:val="00B36F08"/>
    <w:rsid w:val="00B37E9B"/>
    <w:rsid w:val="00B414F4"/>
    <w:rsid w:val="00B42BF3"/>
    <w:rsid w:val="00B4407A"/>
    <w:rsid w:val="00B44D8F"/>
    <w:rsid w:val="00B47B13"/>
    <w:rsid w:val="00B47F57"/>
    <w:rsid w:val="00B504B1"/>
    <w:rsid w:val="00B54D82"/>
    <w:rsid w:val="00B57534"/>
    <w:rsid w:val="00B64620"/>
    <w:rsid w:val="00B64D0B"/>
    <w:rsid w:val="00B65195"/>
    <w:rsid w:val="00B65656"/>
    <w:rsid w:val="00B65B3A"/>
    <w:rsid w:val="00B71108"/>
    <w:rsid w:val="00B722C5"/>
    <w:rsid w:val="00B72570"/>
    <w:rsid w:val="00B72FA4"/>
    <w:rsid w:val="00B73456"/>
    <w:rsid w:val="00B73CF4"/>
    <w:rsid w:val="00B7677D"/>
    <w:rsid w:val="00B84325"/>
    <w:rsid w:val="00B846F1"/>
    <w:rsid w:val="00B84A34"/>
    <w:rsid w:val="00B84C31"/>
    <w:rsid w:val="00B862FC"/>
    <w:rsid w:val="00B86311"/>
    <w:rsid w:val="00B86883"/>
    <w:rsid w:val="00B87B19"/>
    <w:rsid w:val="00B925EB"/>
    <w:rsid w:val="00B92B41"/>
    <w:rsid w:val="00B934CF"/>
    <w:rsid w:val="00B949FF"/>
    <w:rsid w:val="00B96EEC"/>
    <w:rsid w:val="00BA0CF6"/>
    <w:rsid w:val="00BA1C0F"/>
    <w:rsid w:val="00BA3F96"/>
    <w:rsid w:val="00BA42B8"/>
    <w:rsid w:val="00BA4B08"/>
    <w:rsid w:val="00BA4B76"/>
    <w:rsid w:val="00BA64BC"/>
    <w:rsid w:val="00BA7220"/>
    <w:rsid w:val="00BA7D3B"/>
    <w:rsid w:val="00BB0065"/>
    <w:rsid w:val="00BB060F"/>
    <w:rsid w:val="00BB14E6"/>
    <w:rsid w:val="00BB160F"/>
    <w:rsid w:val="00BB3EDC"/>
    <w:rsid w:val="00BB3EF5"/>
    <w:rsid w:val="00BB60B7"/>
    <w:rsid w:val="00BB75F9"/>
    <w:rsid w:val="00BB7C0D"/>
    <w:rsid w:val="00BC1643"/>
    <w:rsid w:val="00BC17DC"/>
    <w:rsid w:val="00BC4C9B"/>
    <w:rsid w:val="00BC5132"/>
    <w:rsid w:val="00BC7190"/>
    <w:rsid w:val="00BC7A34"/>
    <w:rsid w:val="00BD146A"/>
    <w:rsid w:val="00BD1BE9"/>
    <w:rsid w:val="00BD25B6"/>
    <w:rsid w:val="00BD2A55"/>
    <w:rsid w:val="00BD6BF2"/>
    <w:rsid w:val="00BE0A18"/>
    <w:rsid w:val="00BE0C48"/>
    <w:rsid w:val="00BE2396"/>
    <w:rsid w:val="00BE2601"/>
    <w:rsid w:val="00BE2A0E"/>
    <w:rsid w:val="00BE5B27"/>
    <w:rsid w:val="00BE67C3"/>
    <w:rsid w:val="00BF034C"/>
    <w:rsid w:val="00BF05E8"/>
    <w:rsid w:val="00BF22F1"/>
    <w:rsid w:val="00BF2D33"/>
    <w:rsid w:val="00BF54B2"/>
    <w:rsid w:val="00BF662B"/>
    <w:rsid w:val="00BF7EFD"/>
    <w:rsid w:val="00C0019E"/>
    <w:rsid w:val="00C00B66"/>
    <w:rsid w:val="00C01185"/>
    <w:rsid w:val="00C03037"/>
    <w:rsid w:val="00C03366"/>
    <w:rsid w:val="00C03C4D"/>
    <w:rsid w:val="00C042A0"/>
    <w:rsid w:val="00C065A6"/>
    <w:rsid w:val="00C0717D"/>
    <w:rsid w:val="00C120A1"/>
    <w:rsid w:val="00C13D44"/>
    <w:rsid w:val="00C1501F"/>
    <w:rsid w:val="00C153D9"/>
    <w:rsid w:val="00C1642B"/>
    <w:rsid w:val="00C16AAE"/>
    <w:rsid w:val="00C20432"/>
    <w:rsid w:val="00C21EE1"/>
    <w:rsid w:val="00C22038"/>
    <w:rsid w:val="00C23969"/>
    <w:rsid w:val="00C24417"/>
    <w:rsid w:val="00C24A18"/>
    <w:rsid w:val="00C25A07"/>
    <w:rsid w:val="00C267C7"/>
    <w:rsid w:val="00C2688F"/>
    <w:rsid w:val="00C30B0D"/>
    <w:rsid w:val="00C30D41"/>
    <w:rsid w:val="00C31E2F"/>
    <w:rsid w:val="00C3205A"/>
    <w:rsid w:val="00C32447"/>
    <w:rsid w:val="00C32FA5"/>
    <w:rsid w:val="00C3343C"/>
    <w:rsid w:val="00C33D77"/>
    <w:rsid w:val="00C34015"/>
    <w:rsid w:val="00C35425"/>
    <w:rsid w:val="00C35C44"/>
    <w:rsid w:val="00C365E5"/>
    <w:rsid w:val="00C404A1"/>
    <w:rsid w:val="00C416EC"/>
    <w:rsid w:val="00C41DD5"/>
    <w:rsid w:val="00C4243B"/>
    <w:rsid w:val="00C434D3"/>
    <w:rsid w:val="00C439DB"/>
    <w:rsid w:val="00C43A73"/>
    <w:rsid w:val="00C43D17"/>
    <w:rsid w:val="00C441E7"/>
    <w:rsid w:val="00C459F2"/>
    <w:rsid w:val="00C46565"/>
    <w:rsid w:val="00C46940"/>
    <w:rsid w:val="00C516FC"/>
    <w:rsid w:val="00C5190B"/>
    <w:rsid w:val="00C529F8"/>
    <w:rsid w:val="00C52DDB"/>
    <w:rsid w:val="00C536D0"/>
    <w:rsid w:val="00C53ADD"/>
    <w:rsid w:val="00C56843"/>
    <w:rsid w:val="00C578CB"/>
    <w:rsid w:val="00C57985"/>
    <w:rsid w:val="00C6026D"/>
    <w:rsid w:val="00C60A77"/>
    <w:rsid w:val="00C6240C"/>
    <w:rsid w:val="00C62624"/>
    <w:rsid w:val="00C630DA"/>
    <w:rsid w:val="00C64DE9"/>
    <w:rsid w:val="00C7093C"/>
    <w:rsid w:val="00C72FB9"/>
    <w:rsid w:val="00C7536B"/>
    <w:rsid w:val="00C754DE"/>
    <w:rsid w:val="00C76BCA"/>
    <w:rsid w:val="00C77F7D"/>
    <w:rsid w:val="00C804C1"/>
    <w:rsid w:val="00C81709"/>
    <w:rsid w:val="00C85A76"/>
    <w:rsid w:val="00C8648B"/>
    <w:rsid w:val="00C86E97"/>
    <w:rsid w:val="00C86F87"/>
    <w:rsid w:val="00C87E2F"/>
    <w:rsid w:val="00C906C0"/>
    <w:rsid w:val="00C91EEF"/>
    <w:rsid w:val="00C92138"/>
    <w:rsid w:val="00C97504"/>
    <w:rsid w:val="00CA1239"/>
    <w:rsid w:val="00CA1A7D"/>
    <w:rsid w:val="00CA244B"/>
    <w:rsid w:val="00CA2E97"/>
    <w:rsid w:val="00CA3721"/>
    <w:rsid w:val="00CA409C"/>
    <w:rsid w:val="00CA5BEA"/>
    <w:rsid w:val="00CA6393"/>
    <w:rsid w:val="00CA7127"/>
    <w:rsid w:val="00CA7566"/>
    <w:rsid w:val="00CB0C2A"/>
    <w:rsid w:val="00CB1E49"/>
    <w:rsid w:val="00CB2B38"/>
    <w:rsid w:val="00CB2E82"/>
    <w:rsid w:val="00CB4128"/>
    <w:rsid w:val="00CB493D"/>
    <w:rsid w:val="00CB5F09"/>
    <w:rsid w:val="00CB74DB"/>
    <w:rsid w:val="00CC0C4D"/>
    <w:rsid w:val="00CC2193"/>
    <w:rsid w:val="00CC3268"/>
    <w:rsid w:val="00CC61BB"/>
    <w:rsid w:val="00CC6904"/>
    <w:rsid w:val="00CC7260"/>
    <w:rsid w:val="00CD2F9D"/>
    <w:rsid w:val="00CD3634"/>
    <w:rsid w:val="00CD6B0D"/>
    <w:rsid w:val="00CE1004"/>
    <w:rsid w:val="00CE1483"/>
    <w:rsid w:val="00CE5AD0"/>
    <w:rsid w:val="00CE70BF"/>
    <w:rsid w:val="00CF0C78"/>
    <w:rsid w:val="00CF3B32"/>
    <w:rsid w:val="00CF63C0"/>
    <w:rsid w:val="00CF6630"/>
    <w:rsid w:val="00CF78A1"/>
    <w:rsid w:val="00D01238"/>
    <w:rsid w:val="00D012F2"/>
    <w:rsid w:val="00D02054"/>
    <w:rsid w:val="00D04102"/>
    <w:rsid w:val="00D05112"/>
    <w:rsid w:val="00D0608D"/>
    <w:rsid w:val="00D10188"/>
    <w:rsid w:val="00D10FD8"/>
    <w:rsid w:val="00D1121B"/>
    <w:rsid w:val="00D11245"/>
    <w:rsid w:val="00D12D4C"/>
    <w:rsid w:val="00D12E19"/>
    <w:rsid w:val="00D134F6"/>
    <w:rsid w:val="00D137CE"/>
    <w:rsid w:val="00D14AC9"/>
    <w:rsid w:val="00D1632A"/>
    <w:rsid w:val="00D1767C"/>
    <w:rsid w:val="00D17D0B"/>
    <w:rsid w:val="00D2271A"/>
    <w:rsid w:val="00D22A09"/>
    <w:rsid w:val="00D238EA"/>
    <w:rsid w:val="00D23E77"/>
    <w:rsid w:val="00D24ADE"/>
    <w:rsid w:val="00D322AD"/>
    <w:rsid w:val="00D3778F"/>
    <w:rsid w:val="00D37D6C"/>
    <w:rsid w:val="00D40914"/>
    <w:rsid w:val="00D42936"/>
    <w:rsid w:val="00D42C22"/>
    <w:rsid w:val="00D42DB4"/>
    <w:rsid w:val="00D4316C"/>
    <w:rsid w:val="00D43AE9"/>
    <w:rsid w:val="00D44A68"/>
    <w:rsid w:val="00D45E3B"/>
    <w:rsid w:val="00D47ADB"/>
    <w:rsid w:val="00D5162C"/>
    <w:rsid w:val="00D51AD2"/>
    <w:rsid w:val="00D54FCA"/>
    <w:rsid w:val="00D55A08"/>
    <w:rsid w:val="00D56384"/>
    <w:rsid w:val="00D57C79"/>
    <w:rsid w:val="00D6071B"/>
    <w:rsid w:val="00D65D9F"/>
    <w:rsid w:val="00D67794"/>
    <w:rsid w:val="00D67AB5"/>
    <w:rsid w:val="00D75027"/>
    <w:rsid w:val="00D75310"/>
    <w:rsid w:val="00D7709D"/>
    <w:rsid w:val="00D8028B"/>
    <w:rsid w:val="00D80979"/>
    <w:rsid w:val="00D8278A"/>
    <w:rsid w:val="00D83E50"/>
    <w:rsid w:val="00D84EB0"/>
    <w:rsid w:val="00D931A5"/>
    <w:rsid w:val="00D97968"/>
    <w:rsid w:val="00D97F69"/>
    <w:rsid w:val="00DA0073"/>
    <w:rsid w:val="00DA0173"/>
    <w:rsid w:val="00DA1549"/>
    <w:rsid w:val="00DA5176"/>
    <w:rsid w:val="00DA564F"/>
    <w:rsid w:val="00DB0AE2"/>
    <w:rsid w:val="00DB0DA9"/>
    <w:rsid w:val="00DB1285"/>
    <w:rsid w:val="00DB2C1A"/>
    <w:rsid w:val="00DB2F30"/>
    <w:rsid w:val="00DB3F28"/>
    <w:rsid w:val="00DC13ED"/>
    <w:rsid w:val="00DC1E68"/>
    <w:rsid w:val="00DC2EC3"/>
    <w:rsid w:val="00DC33BC"/>
    <w:rsid w:val="00DC7067"/>
    <w:rsid w:val="00DC7DAD"/>
    <w:rsid w:val="00DD0700"/>
    <w:rsid w:val="00DD11A5"/>
    <w:rsid w:val="00DD25B1"/>
    <w:rsid w:val="00DD3D02"/>
    <w:rsid w:val="00DD6814"/>
    <w:rsid w:val="00DD6F65"/>
    <w:rsid w:val="00DE15BE"/>
    <w:rsid w:val="00DE4445"/>
    <w:rsid w:val="00DE6304"/>
    <w:rsid w:val="00DE6BBE"/>
    <w:rsid w:val="00DE6DFF"/>
    <w:rsid w:val="00DF0721"/>
    <w:rsid w:val="00DF1370"/>
    <w:rsid w:val="00DF4BD4"/>
    <w:rsid w:val="00DF7026"/>
    <w:rsid w:val="00DF7D45"/>
    <w:rsid w:val="00DF7E4C"/>
    <w:rsid w:val="00E00CA5"/>
    <w:rsid w:val="00E0472B"/>
    <w:rsid w:val="00E12F70"/>
    <w:rsid w:val="00E158CC"/>
    <w:rsid w:val="00E16C8C"/>
    <w:rsid w:val="00E203DF"/>
    <w:rsid w:val="00E20E19"/>
    <w:rsid w:val="00E20F2E"/>
    <w:rsid w:val="00E2217A"/>
    <w:rsid w:val="00E249C3"/>
    <w:rsid w:val="00E254B6"/>
    <w:rsid w:val="00E25623"/>
    <w:rsid w:val="00E259AF"/>
    <w:rsid w:val="00E26DB7"/>
    <w:rsid w:val="00E27DC4"/>
    <w:rsid w:val="00E3277E"/>
    <w:rsid w:val="00E34523"/>
    <w:rsid w:val="00E3534A"/>
    <w:rsid w:val="00E36105"/>
    <w:rsid w:val="00E365F2"/>
    <w:rsid w:val="00E4482E"/>
    <w:rsid w:val="00E45488"/>
    <w:rsid w:val="00E46A6A"/>
    <w:rsid w:val="00E538BE"/>
    <w:rsid w:val="00E5531C"/>
    <w:rsid w:val="00E56B54"/>
    <w:rsid w:val="00E570A9"/>
    <w:rsid w:val="00E61388"/>
    <w:rsid w:val="00E62751"/>
    <w:rsid w:val="00E63795"/>
    <w:rsid w:val="00E63E31"/>
    <w:rsid w:val="00E65DF2"/>
    <w:rsid w:val="00E7295B"/>
    <w:rsid w:val="00E73F44"/>
    <w:rsid w:val="00E753C1"/>
    <w:rsid w:val="00E76B21"/>
    <w:rsid w:val="00E7730D"/>
    <w:rsid w:val="00E80602"/>
    <w:rsid w:val="00E8107A"/>
    <w:rsid w:val="00E82A3E"/>
    <w:rsid w:val="00E84E6E"/>
    <w:rsid w:val="00E85627"/>
    <w:rsid w:val="00E8599B"/>
    <w:rsid w:val="00E904D0"/>
    <w:rsid w:val="00E90759"/>
    <w:rsid w:val="00E92A11"/>
    <w:rsid w:val="00E9353B"/>
    <w:rsid w:val="00E937F1"/>
    <w:rsid w:val="00E94316"/>
    <w:rsid w:val="00E9546B"/>
    <w:rsid w:val="00E9598E"/>
    <w:rsid w:val="00E95BC4"/>
    <w:rsid w:val="00E972BA"/>
    <w:rsid w:val="00E97877"/>
    <w:rsid w:val="00EA07D5"/>
    <w:rsid w:val="00EA0F0E"/>
    <w:rsid w:val="00EA2094"/>
    <w:rsid w:val="00EA359D"/>
    <w:rsid w:val="00EA4846"/>
    <w:rsid w:val="00EA4B4E"/>
    <w:rsid w:val="00EB15B9"/>
    <w:rsid w:val="00EB1C97"/>
    <w:rsid w:val="00EB4286"/>
    <w:rsid w:val="00EB49D6"/>
    <w:rsid w:val="00EB4CEE"/>
    <w:rsid w:val="00EB588F"/>
    <w:rsid w:val="00EB6961"/>
    <w:rsid w:val="00EC1C31"/>
    <w:rsid w:val="00EC2505"/>
    <w:rsid w:val="00EC3398"/>
    <w:rsid w:val="00EC4037"/>
    <w:rsid w:val="00EC4570"/>
    <w:rsid w:val="00EC474E"/>
    <w:rsid w:val="00EC54A6"/>
    <w:rsid w:val="00EC6057"/>
    <w:rsid w:val="00EC670E"/>
    <w:rsid w:val="00EC6FF8"/>
    <w:rsid w:val="00ED0FA7"/>
    <w:rsid w:val="00ED1663"/>
    <w:rsid w:val="00ED203C"/>
    <w:rsid w:val="00ED2F2D"/>
    <w:rsid w:val="00ED4975"/>
    <w:rsid w:val="00ED7537"/>
    <w:rsid w:val="00ED7C90"/>
    <w:rsid w:val="00EE000E"/>
    <w:rsid w:val="00EE0042"/>
    <w:rsid w:val="00EE309B"/>
    <w:rsid w:val="00EE46B5"/>
    <w:rsid w:val="00EE58C8"/>
    <w:rsid w:val="00EE6A5B"/>
    <w:rsid w:val="00EE6BA0"/>
    <w:rsid w:val="00EE79E0"/>
    <w:rsid w:val="00EF10D0"/>
    <w:rsid w:val="00EF1B01"/>
    <w:rsid w:val="00EF1E22"/>
    <w:rsid w:val="00EF2D59"/>
    <w:rsid w:val="00EF60C9"/>
    <w:rsid w:val="00EF6A6A"/>
    <w:rsid w:val="00EF71F0"/>
    <w:rsid w:val="00F00115"/>
    <w:rsid w:val="00F024E1"/>
    <w:rsid w:val="00F02F30"/>
    <w:rsid w:val="00F0325D"/>
    <w:rsid w:val="00F074A7"/>
    <w:rsid w:val="00F102EB"/>
    <w:rsid w:val="00F10DC6"/>
    <w:rsid w:val="00F12142"/>
    <w:rsid w:val="00F123BD"/>
    <w:rsid w:val="00F12F87"/>
    <w:rsid w:val="00F14900"/>
    <w:rsid w:val="00F154DD"/>
    <w:rsid w:val="00F15844"/>
    <w:rsid w:val="00F1636B"/>
    <w:rsid w:val="00F16E7B"/>
    <w:rsid w:val="00F22444"/>
    <w:rsid w:val="00F24570"/>
    <w:rsid w:val="00F31131"/>
    <w:rsid w:val="00F315A6"/>
    <w:rsid w:val="00F31638"/>
    <w:rsid w:val="00F33EAB"/>
    <w:rsid w:val="00F346CB"/>
    <w:rsid w:val="00F413B6"/>
    <w:rsid w:val="00F435B8"/>
    <w:rsid w:val="00F45124"/>
    <w:rsid w:val="00F479BD"/>
    <w:rsid w:val="00F510A3"/>
    <w:rsid w:val="00F5158D"/>
    <w:rsid w:val="00F52C04"/>
    <w:rsid w:val="00F558AD"/>
    <w:rsid w:val="00F5591D"/>
    <w:rsid w:val="00F56681"/>
    <w:rsid w:val="00F56F55"/>
    <w:rsid w:val="00F571D4"/>
    <w:rsid w:val="00F60B6C"/>
    <w:rsid w:val="00F6149B"/>
    <w:rsid w:val="00F64B68"/>
    <w:rsid w:val="00F64F7A"/>
    <w:rsid w:val="00F66BD8"/>
    <w:rsid w:val="00F66D7B"/>
    <w:rsid w:val="00F722F1"/>
    <w:rsid w:val="00F7353A"/>
    <w:rsid w:val="00F7385D"/>
    <w:rsid w:val="00F75258"/>
    <w:rsid w:val="00F75301"/>
    <w:rsid w:val="00F76035"/>
    <w:rsid w:val="00F766CB"/>
    <w:rsid w:val="00F76BE8"/>
    <w:rsid w:val="00F773B4"/>
    <w:rsid w:val="00F830BC"/>
    <w:rsid w:val="00F83868"/>
    <w:rsid w:val="00F8410C"/>
    <w:rsid w:val="00F85DE9"/>
    <w:rsid w:val="00F86844"/>
    <w:rsid w:val="00F86F38"/>
    <w:rsid w:val="00F9034B"/>
    <w:rsid w:val="00F9118E"/>
    <w:rsid w:val="00F92BC6"/>
    <w:rsid w:val="00F92C02"/>
    <w:rsid w:val="00F95DA7"/>
    <w:rsid w:val="00F97195"/>
    <w:rsid w:val="00FA29F2"/>
    <w:rsid w:val="00FA2A97"/>
    <w:rsid w:val="00FA37D2"/>
    <w:rsid w:val="00FA47C7"/>
    <w:rsid w:val="00FA7343"/>
    <w:rsid w:val="00FB0CCC"/>
    <w:rsid w:val="00FB106C"/>
    <w:rsid w:val="00FB50C5"/>
    <w:rsid w:val="00FB5D93"/>
    <w:rsid w:val="00FB6CBF"/>
    <w:rsid w:val="00FB6F08"/>
    <w:rsid w:val="00FC18AA"/>
    <w:rsid w:val="00FC29CD"/>
    <w:rsid w:val="00FC3788"/>
    <w:rsid w:val="00FC3BF5"/>
    <w:rsid w:val="00FC6DEC"/>
    <w:rsid w:val="00FD005A"/>
    <w:rsid w:val="00FD091C"/>
    <w:rsid w:val="00FD3CAF"/>
    <w:rsid w:val="00FD4F44"/>
    <w:rsid w:val="00FD66F9"/>
    <w:rsid w:val="00FD6D65"/>
    <w:rsid w:val="00FD6ED7"/>
    <w:rsid w:val="00FE04D9"/>
    <w:rsid w:val="00FE35C4"/>
    <w:rsid w:val="00FE3B8A"/>
    <w:rsid w:val="00FE40C4"/>
    <w:rsid w:val="00FE4DAE"/>
    <w:rsid w:val="00FE61FA"/>
    <w:rsid w:val="00FE684C"/>
    <w:rsid w:val="00FF35CA"/>
    <w:rsid w:val="00FF4B4F"/>
    <w:rsid w:val="00FF614B"/>
    <w:rsid w:val="00FF64F3"/>
    <w:rsid w:val="00FF654A"/>
    <w:rsid w:val="00FF65A6"/>
    <w:rsid w:val="00FF6D4F"/>
    <w:rsid w:val="00FF6F3D"/>
    <w:rsid w:val="01C4450B"/>
    <w:rsid w:val="03976378"/>
    <w:rsid w:val="0412A635"/>
    <w:rsid w:val="0472FE3D"/>
    <w:rsid w:val="06BA6592"/>
    <w:rsid w:val="06F3DBFB"/>
    <w:rsid w:val="07048F66"/>
    <w:rsid w:val="07AE5E0E"/>
    <w:rsid w:val="07E28D3C"/>
    <w:rsid w:val="084D8E4C"/>
    <w:rsid w:val="0874ED30"/>
    <w:rsid w:val="0A41450D"/>
    <w:rsid w:val="0A44AB7F"/>
    <w:rsid w:val="0A770C92"/>
    <w:rsid w:val="0B8E473B"/>
    <w:rsid w:val="0C2BCBC3"/>
    <w:rsid w:val="0D46E04D"/>
    <w:rsid w:val="0D4779DB"/>
    <w:rsid w:val="0E629303"/>
    <w:rsid w:val="0F1F7E7E"/>
    <w:rsid w:val="0F26304B"/>
    <w:rsid w:val="0FB8D4FD"/>
    <w:rsid w:val="0FEEC6BC"/>
    <w:rsid w:val="1089DE88"/>
    <w:rsid w:val="10FE49D0"/>
    <w:rsid w:val="119F9228"/>
    <w:rsid w:val="13C911ED"/>
    <w:rsid w:val="13DFA9A4"/>
    <w:rsid w:val="16A38F8D"/>
    <w:rsid w:val="174813CF"/>
    <w:rsid w:val="1925CA6A"/>
    <w:rsid w:val="19DD5FD7"/>
    <w:rsid w:val="1A6C44E8"/>
    <w:rsid w:val="1DA15895"/>
    <w:rsid w:val="1E355B6C"/>
    <w:rsid w:val="1E51AD98"/>
    <w:rsid w:val="1E661A35"/>
    <w:rsid w:val="1EB20190"/>
    <w:rsid w:val="1FEEB067"/>
    <w:rsid w:val="1FF67157"/>
    <w:rsid w:val="2120470C"/>
    <w:rsid w:val="213876C8"/>
    <w:rsid w:val="215551DE"/>
    <w:rsid w:val="21F22655"/>
    <w:rsid w:val="235CA3E6"/>
    <w:rsid w:val="243B799B"/>
    <w:rsid w:val="27BDFF27"/>
    <w:rsid w:val="2871C0D7"/>
    <w:rsid w:val="288C156C"/>
    <w:rsid w:val="288C999D"/>
    <w:rsid w:val="2A807F55"/>
    <w:rsid w:val="2A8826B0"/>
    <w:rsid w:val="2BA8B0D6"/>
    <w:rsid w:val="2BB20D37"/>
    <w:rsid w:val="2BEE790A"/>
    <w:rsid w:val="2DE73C68"/>
    <w:rsid w:val="2E0A7C5F"/>
    <w:rsid w:val="2F06C68B"/>
    <w:rsid w:val="309734FE"/>
    <w:rsid w:val="30E63EC6"/>
    <w:rsid w:val="318B0D7E"/>
    <w:rsid w:val="31D9B3B0"/>
    <w:rsid w:val="32095B14"/>
    <w:rsid w:val="32B68B74"/>
    <w:rsid w:val="34719E87"/>
    <w:rsid w:val="3579F191"/>
    <w:rsid w:val="361A20D0"/>
    <w:rsid w:val="36544317"/>
    <w:rsid w:val="36AF8C82"/>
    <w:rsid w:val="378732BD"/>
    <w:rsid w:val="37DEC0CE"/>
    <w:rsid w:val="38617D9C"/>
    <w:rsid w:val="3864A6E6"/>
    <w:rsid w:val="3879ECDE"/>
    <w:rsid w:val="38FE1F00"/>
    <w:rsid w:val="390542BF"/>
    <w:rsid w:val="39C2EBFF"/>
    <w:rsid w:val="3A6C590B"/>
    <w:rsid w:val="3D0D605E"/>
    <w:rsid w:val="3D665ACA"/>
    <w:rsid w:val="3EB6963C"/>
    <w:rsid w:val="3F7CD670"/>
    <w:rsid w:val="3FEE9810"/>
    <w:rsid w:val="41154B2C"/>
    <w:rsid w:val="42CA0A8D"/>
    <w:rsid w:val="42EFE7AE"/>
    <w:rsid w:val="43B5ED87"/>
    <w:rsid w:val="43BB3646"/>
    <w:rsid w:val="4403A7BA"/>
    <w:rsid w:val="45D75C2F"/>
    <w:rsid w:val="479FD22D"/>
    <w:rsid w:val="47A6E2BB"/>
    <w:rsid w:val="48B6F972"/>
    <w:rsid w:val="49A3C0D0"/>
    <w:rsid w:val="49CCD7CF"/>
    <w:rsid w:val="49F7C787"/>
    <w:rsid w:val="4AC0EE56"/>
    <w:rsid w:val="4C022C3B"/>
    <w:rsid w:val="4D90C651"/>
    <w:rsid w:val="4E565F8C"/>
    <w:rsid w:val="4F5A4EE6"/>
    <w:rsid w:val="51003982"/>
    <w:rsid w:val="51C808CF"/>
    <w:rsid w:val="5249321C"/>
    <w:rsid w:val="524EE094"/>
    <w:rsid w:val="52A311C6"/>
    <w:rsid w:val="52FAF6F6"/>
    <w:rsid w:val="532403E3"/>
    <w:rsid w:val="53BCFE8C"/>
    <w:rsid w:val="54864768"/>
    <w:rsid w:val="561EFA88"/>
    <w:rsid w:val="56325353"/>
    <w:rsid w:val="56A1D54A"/>
    <w:rsid w:val="56CD93BB"/>
    <w:rsid w:val="57C711C5"/>
    <w:rsid w:val="59C86ADB"/>
    <w:rsid w:val="5A5BE2BD"/>
    <w:rsid w:val="5A7396FA"/>
    <w:rsid w:val="5C24792F"/>
    <w:rsid w:val="5CB47FAD"/>
    <w:rsid w:val="5FAD7EBA"/>
    <w:rsid w:val="5FF56E7F"/>
    <w:rsid w:val="60913A0D"/>
    <w:rsid w:val="61F0F7E2"/>
    <w:rsid w:val="627930B0"/>
    <w:rsid w:val="647BC5D9"/>
    <w:rsid w:val="64B21525"/>
    <w:rsid w:val="64BE9D87"/>
    <w:rsid w:val="65594F76"/>
    <w:rsid w:val="6579BD6A"/>
    <w:rsid w:val="657DD38D"/>
    <w:rsid w:val="676A49BE"/>
    <w:rsid w:val="67C5656A"/>
    <w:rsid w:val="67E63E80"/>
    <w:rsid w:val="6800B335"/>
    <w:rsid w:val="681B7140"/>
    <w:rsid w:val="68BC924A"/>
    <w:rsid w:val="694C3C4E"/>
    <w:rsid w:val="6A5659CF"/>
    <w:rsid w:val="6B43A0A0"/>
    <w:rsid w:val="6BCDF79E"/>
    <w:rsid w:val="6BDC1899"/>
    <w:rsid w:val="6C1A83C3"/>
    <w:rsid w:val="6CBE23F2"/>
    <w:rsid w:val="6F299AAF"/>
    <w:rsid w:val="6F358070"/>
    <w:rsid w:val="6FADCD25"/>
    <w:rsid w:val="6FC94E1A"/>
    <w:rsid w:val="6FE9BF1B"/>
    <w:rsid w:val="714503AF"/>
    <w:rsid w:val="719553BB"/>
    <w:rsid w:val="71B41372"/>
    <w:rsid w:val="73000CD1"/>
    <w:rsid w:val="7347680A"/>
    <w:rsid w:val="744B5F1D"/>
    <w:rsid w:val="745B03BC"/>
    <w:rsid w:val="74871258"/>
    <w:rsid w:val="75DCF84E"/>
    <w:rsid w:val="75E15686"/>
    <w:rsid w:val="7680C81A"/>
    <w:rsid w:val="7708399C"/>
    <w:rsid w:val="773C56E7"/>
    <w:rsid w:val="77D6833C"/>
    <w:rsid w:val="7A0ADCC5"/>
    <w:rsid w:val="7A9BE348"/>
    <w:rsid w:val="7B3231AE"/>
    <w:rsid w:val="7C9C9A5F"/>
    <w:rsid w:val="7D2E7941"/>
    <w:rsid w:val="7DCBC955"/>
    <w:rsid w:val="7DE3FF62"/>
    <w:rsid w:val="7E0CB1FD"/>
    <w:rsid w:val="7E10AA9C"/>
    <w:rsid w:val="7E532CD3"/>
    <w:rsid w:val="7E7BE79D"/>
    <w:rsid w:val="7EE04D09"/>
    <w:rsid w:val="7FF1D0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EE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059F"/>
    <w:pPr>
      <w:keepNext/>
      <w:keepLines/>
      <w:spacing w:before="240" w:after="0" w:line="276" w:lineRule="auto"/>
      <w:outlineLvl w:val="0"/>
    </w:pPr>
    <w:rPr>
      <w:rFonts w:ascii="Calibri" w:eastAsiaTheme="majorEastAsia" w:hAnsi="Calibri" w:cstheme="majorBidi"/>
      <w:b/>
      <w:color w:val="404246"/>
      <w:sz w:val="32"/>
      <w:szCs w:val="32"/>
      <w:lang w:val="en-AU"/>
    </w:rPr>
  </w:style>
  <w:style w:type="paragraph" w:styleId="Heading2">
    <w:name w:val="heading 2"/>
    <w:basedOn w:val="Normal"/>
    <w:next w:val="Normal"/>
    <w:link w:val="Heading2Char"/>
    <w:uiPriority w:val="9"/>
    <w:unhideWhenUsed/>
    <w:qFormat/>
    <w:rsid w:val="008A059F"/>
    <w:pPr>
      <w:keepNext/>
      <w:keepLines/>
      <w:spacing w:before="240" w:after="0" w:line="276" w:lineRule="auto"/>
      <w:outlineLvl w:val="1"/>
    </w:pPr>
    <w:rPr>
      <w:rFonts w:ascii="Calibri" w:eastAsiaTheme="majorEastAsia" w:hAnsi="Calibri" w:cstheme="majorBidi"/>
      <w:b/>
      <w:color w:val="404246"/>
      <w:sz w:val="30"/>
      <w:szCs w:val="26"/>
      <w:lang w:val="en-AU"/>
    </w:rPr>
  </w:style>
  <w:style w:type="paragraph" w:styleId="Heading3">
    <w:name w:val="heading 3"/>
    <w:basedOn w:val="Normal"/>
    <w:next w:val="Normal"/>
    <w:link w:val="Heading3Char"/>
    <w:uiPriority w:val="9"/>
    <w:unhideWhenUsed/>
    <w:qFormat/>
    <w:rsid w:val="008A059F"/>
    <w:pPr>
      <w:keepNext/>
      <w:keepLines/>
      <w:spacing w:before="240" w:after="0" w:line="276" w:lineRule="auto"/>
      <w:outlineLvl w:val="2"/>
    </w:pPr>
    <w:rPr>
      <w:rFonts w:ascii="Calibri" w:eastAsiaTheme="majorEastAsia" w:hAnsi="Calibri" w:cstheme="majorBidi"/>
      <w:color w:val="000000" w:themeColor="text1"/>
      <w:sz w:val="28"/>
      <w:szCs w:val="24"/>
      <w:lang w:val="en-AU"/>
    </w:rPr>
  </w:style>
  <w:style w:type="paragraph" w:styleId="Heading4">
    <w:name w:val="heading 4"/>
    <w:basedOn w:val="Normal"/>
    <w:next w:val="Normal"/>
    <w:link w:val="Heading4Char"/>
    <w:uiPriority w:val="9"/>
    <w:unhideWhenUsed/>
    <w:qFormat/>
    <w:rsid w:val="008A059F"/>
    <w:pPr>
      <w:keepNext/>
      <w:keepLines/>
      <w:spacing w:before="240" w:after="0" w:line="276" w:lineRule="auto"/>
      <w:outlineLvl w:val="3"/>
    </w:pPr>
    <w:rPr>
      <w:rFonts w:ascii="Calibri" w:eastAsiaTheme="majorEastAsia" w:hAnsi="Calibri" w:cstheme="majorBidi"/>
      <w:iCs/>
      <w:color w:val="5F6369"/>
      <w:sz w:val="26"/>
      <w:lang w:val="en-AU"/>
    </w:rPr>
  </w:style>
  <w:style w:type="paragraph" w:styleId="Heading5">
    <w:name w:val="heading 5"/>
    <w:basedOn w:val="Normal"/>
    <w:next w:val="Normal"/>
    <w:link w:val="Heading5Char"/>
    <w:uiPriority w:val="9"/>
    <w:unhideWhenUsed/>
    <w:qFormat/>
    <w:rsid w:val="008A059F"/>
    <w:pPr>
      <w:keepNext/>
      <w:keepLines/>
      <w:spacing w:before="240" w:after="0" w:line="276" w:lineRule="auto"/>
      <w:outlineLvl w:val="4"/>
    </w:pPr>
    <w:rPr>
      <w:rFonts w:ascii="Calibri" w:eastAsiaTheme="majorEastAsia" w:hAnsi="Calibri" w:cstheme="majorBidi"/>
      <w:b/>
      <w:color w:val="5F6369"/>
      <w:lang w:val="en-AU"/>
    </w:rPr>
  </w:style>
  <w:style w:type="paragraph" w:styleId="Heading6">
    <w:name w:val="heading 6"/>
    <w:basedOn w:val="Normal"/>
    <w:next w:val="Normal"/>
    <w:link w:val="Heading6Char"/>
    <w:uiPriority w:val="9"/>
    <w:unhideWhenUsed/>
    <w:qFormat/>
    <w:rsid w:val="008A059F"/>
    <w:pPr>
      <w:keepNext/>
      <w:keepLines/>
      <w:spacing w:before="240" w:after="0" w:line="276" w:lineRule="auto"/>
      <w:outlineLvl w:val="5"/>
    </w:pPr>
    <w:rPr>
      <w:rFonts w:ascii="Calibri" w:eastAsiaTheme="majorEastAsia" w:hAnsi="Calibri" w:cstheme="majorBidi"/>
      <w:color w:val="5F6369"/>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59F"/>
    <w:rPr>
      <w:rFonts w:ascii="Calibri" w:eastAsiaTheme="majorEastAsia" w:hAnsi="Calibri" w:cstheme="majorBidi"/>
      <w:b/>
      <w:color w:val="404246"/>
      <w:sz w:val="32"/>
      <w:szCs w:val="32"/>
      <w:lang w:val="en-AU"/>
    </w:rPr>
  </w:style>
  <w:style w:type="character" w:customStyle="1" w:styleId="Heading2Char">
    <w:name w:val="Heading 2 Char"/>
    <w:basedOn w:val="DefaultParagraphFont"/>
    <w:link w:val="Heading2"/>
    <w:uiPriority w:val="9"/>
    <w:rsid w:val="008A059F"/>
    <w:rPr>
      <w:rFonts w:ascii="Calibri" w:eastAsiaTheme="majorEastAsia" w:hAnsi="Calibri" w:cstheme="majorBidi"/>
      <w:b/>
      <w:color w:val="404246"/>
      <w:sz w:val="30"/>
      <w:szCs w:val="26"/>
      <w:lang w:val="en-AU"/>
    </w:rPr>
  </w:style>
  <w:style w:type="character" w:customStyle="1" w:styleId="Heading3Char">
    <w:name w:val="Heading 3 Char"/>
    <w:basedOn w:val="DefaultParagraphFont"/>
    <w:link w:val="Heading3"/>
    <w:uiPriority w:val="9"/>
    <w:rsid w:val="008A059F"/>
    <w:rPr>
      <w:rFonts w:ascii="Calibri" w:eastAsiaTheme="majorEastAsia" w:hAnsi="Calibri" w:cstheme="majorBidi"/>
      <w:color w:val="000000" w:themeColor="text1"/>
      <w:sz w:val="28"/>
      <w:szCs w:val="24"/>
      <w:lang w:val="en-AU"/>
    </w:rPr>
  </w:style>
  <w:style w:type="character" w:customStyle="1" w:styleId="Heading4Char">
    <w:name w:val="Heading 4 Char"/>
    <w:basedOn w:val="DefaultParagraphFont"/>
    <w:link w:val="Heading4"/>
    <w:uiPriority w:val="9"/>
    <w:rsid w:val="008A059F"/>
    <w:rPr>
      <w:rFonts w:ascii="Calibri" w:eastAsiaTheme="majorEastAsia" w:hAnsi="Calibri" w:cstheme="majorBidi"/>
      <w:iCs/>
      <w:color w:val="5F6369"/>
      <w:sz w:val="26"/>
      <w:lang w:val="en-AU"/>
    </w:rPr>
  </w:style>
  <w:style w:type="character" w:customStyle="1" w:styleId="Heading5Char">
    <w:name w:val="Heading 5 Char"/>
    <w:basedOn w:val="DefaultParagraphFont"/>
    <w:link w:val="Heading5"/>
    <w:uiPriority w:val="9"/>
    <w:rsid w:val="008A059F"/>
    <w:rPr>
      <w:rFonts w:ascii="Calibri" w:eastAsiaTheme="majorEastAsia" w:hAnsi="Calibri" w:cstheme="majorBidi"/>
      <w:b/>
      <w:color w:val="5F6369"/>
      <w:lang w:val="en-AU"/>
    </w:rPr>
  </w:style>
  <w:style w:type="character" w:customStyle="1" w:styleId="Heading6Char">
    <w:name w:val="Heading 6 Char"/>
    <w:basedOn w:val="DefaultParagraphFont"/>
    <w:link w:val="Heading6"/>
    <w:uiPriority w:val="9"/>
    <w:rsid w:val="008A059F"/>
    <w:rPr>
      <w:rFonts w:ascii="Calibri" w:eastAsiaTheme="majorEastAsia" w:hAnsi="Calibri" w:cstheme="majorBidi"/>
      <w:color w:val="5F6369"/>
      <w:lang w:val="en-AU"/>
    </w:rPr>
  </w:style>
  <w:style w:type="paragraph" w:styleId="Title">
    <w:name w:val="Title"/>
    <w:basedOn w:val="Normal"/>
    <w:next w:val="Normal"/>
    <w:link w:val="TitleChar"/>
    <w:uiPriority w:val="7"/>
    <w:qFormat/>
    <w:rsid w:val="008A059F"/>
    <w:pPr>
      <w:spacing w:before="3240" w:after="0" w:line="276" w:lineRule="auto"/>
    </w:pPr>
    <w:rPr>
      <w:rFonts w:ascii="Calibri" w:eastAsiaTheme="majorEastAsia" w:hAnsi="Calibri" w:cstheme="majorBidi"/>
      <w:b/>
      <w:color w:val="FFFFFF" w:themeColor="background1"/>
      <w:spacing w:val="-10"/>
      <w:kern w:val="28"/>
      <w:sz w:val="60"/>
      <w:szCs w:val="56"/>
      <w:lang w:val="en-AU"/>
    </w:rPr>
  </w:style>
  <w:style w:type="character" w:customStyle="1" w:styleId="TitleChar">
    <w:name w:val="Title Char"/>
    <w:basedOn w:val="DefaultParagraphFont"/>
    <w:link w:val="Title"/>
    <w:uiPriority w:val="7"/>
    <w:rsid w:val="008A059F"/>
    <w:rPr>
      <w:rFonts w:ascii="Calibri" w:eastAsiaTheme="majorEastAsia" w:hAnsi="Calibri" w:cstheme="majorBidi"/>
      <w:b/>
      <w:color w:val="FFFFFF" w:themeColor="background1"/>
      <w:spacing w:val="-10"/>
      <w:kern w:val="28"/>
      <w:sz w:val="60"/>
      <w:szCs w:val="56"/>
      <w:lang w:val="en-AU"/>
    </w:rPr>
  </w:style>
  <w:style w:type="paragraph" w:styleId="Subtitle">
    <w:name w:val="Subtitle"/>
    <w:basedOn w:val="Normal"/>
    <w:next w:val="Normal"/>
    <w:link w:val="SubtitleChar"/>
    <w:uiPriority w:val="8"/>
    <w:qFormat/>
    <w:rsid w:val="008A059F"/>
    <w:pPr>
      <w:numPr>
        <w:ilvl w:val="1"/>
      </w:numPr>
      <w:spacing w:after="0" w:line="276" w:lineRule="auto"/>
    </w:pPr>
    <w:rPr>
      <w:rFonts w:ascii="Calibri" w:eastAsiaTheme="minorEastAsia" w:hAnsi="Calibri"/>
      <w:color w:val="789B4A"/>
      <w:spacing w:val="15"/>
      <w:sz w:val="40"/>
      <w:lang w:val="en-AU"/>
    </w:rPr>
  </w:style>
  <w:style w:type="character" w:customStyle="1" w:styleId="SubtitleChar">
    <w:name w:val="Subtitle Char"/>
    <w:basedOn w:val="DefaultParagraphFont"/>
    <w:link w:val="Subtitle"/>
    <w:uiPriority w:val="8"/>
    <w:rsid w:val="008A059F"/>
    <w:rPr>
      <w:rFonts w:ascii="Calibri" w:eastAsiaTheme="minorEastAsia" w:hAnsi="Calibri"/>
      <w:color w:val="789B4A"/>
      <w:spacing w:val="15"/>
      <w:sz w:val="40"/>
      <w:lang w:val="en-AU"/>
    </w:rPr>
  </w:style>
  <w:style w:type="character" w:styleId="Hyperlink">
    <w:name w:val="Hyperlink"/>
    <w:basedOn w:val="DefaultParagraphFont"/>
    <w:uiPriority w:val="99"/>
    <w:unhideWhenUsed/>
    <w:qFormat/>
    <w:rsid w:val="008A059F"/>
    <w:rPr>
      <w:color w:val="404246"/>
      <w:u w:val="single"/>
    </w:rPr>
  </w:style>
  <w:style w:type="character" w:customStyle="1" w:styleId="UnresolvedMention1">
    <w:name w:val="Unresolved Mention1"/>
    <w:basedOn w:val="DefaultParagraphFont"/>
    <w:uiPriority w:val="99"/>
    <w:semiHidden/>
    <w:unhideWhenUsed/>
    <w:rsid w:val="008A059F"/>
    <w:rPr>
      <w:color w:val="605E5C"/>
      <w:shd w:val="clear" w:color="auto" w:fill="E1DFDD"/>
    </w:rPr>
  </w:style>
  <w:style w:type="character" w:styleId="Strong">
    <w:name w:val="Strong"/>
    <w:basedOn w:val="DefaultParagraphFont"/>
    <w:uiPriority w:val="11"/>
    <w:qFormat/>
    <w:rsid w:val="008A059F"/>
    <w:rPr>
      <w:b/>
      <w:bCs/>
    </w:rPr>
  </w:style>
  <w:style w:type="table" w:styleId="TableGrid">
    <w:name w:val="Table Grid"/>
    <w:basedOn w:val="TableNormal"/>
    <w:uiPriority w:val="39"/>
    <w:rsid w:val="008A059F"/>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8A059F"/>
    <w:pPr>
      <w:spacing w:before="240" w:after="40" w:line="240" w:lineRule="auto"/>
    </w:pPr>
    <w:rPr>
      <w:b/>
      <w:iCs/>
      <w:szCs w:val="18"/>
      <w:lang w:val="en-AU"/>
    </w:rPr>
  </w:style>
  <w:style w:type="paragraph" w:styleId="Quote">
    <w:name w:val="Quote"/>
    <w:basedOn w:val="Normal"/>
    <w:next w:val="Normal"/>
    <w:link w:val="QuoteChar"/>
    <w:uiPriority w:val="29"/>
    <w:qFormat/>
    <w:rsid w:val="008A059F"/>
    <w:pPr>
      <w:spacing w:before="200" w:line="276" w:lineRule="auto"/>
      <w:ind w:left="862" w:right="862"/>
      <w:jc w:val="center"/>
    </w:pPr>
    <w:rPr>
      <w:iCs/>
      <w:color w:val="595959" w:themeColor="text1" w:themeTint="A6"/>
      <w:lang w:val="en-AU"/>
    </w:rPr>
  </w:style>
  <w:style w:type="character" w:customStyle="1" w:styleId="QuoteChar">
    <w:name w:val="Quote Char"/>
    <w:basedOn w:val="DefaultParagraphFont"/>
    <w:link w:val="Quote"/>
    <w:uiPriority w:val="29"/>
    <w:rsid w:val="008A059F"/>
    <w:rPr>
      <w:iCs/>
      <w:color w:val="595959" w:themeColor="text1" w:themeTint="A6"/>
      <w:lang w:val="en-AU"/>
    </w:rPr>
  </w:style>
  <w:style w:type="paragraph" w:customStyle="1" w:styleId="Source">
    <w:name w:val="Source"/>
    <w:basedOn w:val="Normal"/>
    <w:uiPriority w:val="17"/>
    <w:qFormat/>
    <w:rsid w:val="008A059F"/>
    <w:pPr>
      <w:spacing w:before="80" w:after="320" w:line="276" w:lineRule="auto"/>
    </w:pPr>
    <w:rPr>
      <w:sz w:val="18"/>
      <w:lang w:val="en-AU"/>
    </w:rPr>
  </w:style>
  <w:style w:type="table" w:customStyle="1" w:styleId="DESE">
    <w:name w:val="DESE"/>
    <w:basedOn w:val="TableNormal"/>
    <w:uiPriority w:val="99"/>
    <w:rsid w:val="008A059F"/>
    <w:pPr>
      <w:spacing w:before="100" w:beforeAutospacing="1" w:after="100" w:afterAutospacing="1"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8A059F"/>
    <w:pPr>
      <w:spacing w:after="200" w:line="360" w:lineRule="auto"/>
      <w:ind w:left="720"/>
      <w:contextualSpacing/>
    </w:pPr>
    <w:rPr>
      <w:lang w:val="en-AU"/>
    </w:rPr>
  </w:style>
  <w:style w:type="paragraph" w:styleId="ListNumber">
    <w:name w:val="List Number"/>
    <w:basedOn w:val="ListParagraph"/>
    <w:uiPriority w:val="99"/>
    <w:unhideWhenUsed/>
    <w:qFormat/>
    <w:rsid w:val="008A059F"/>
    <w:pPr>
      <w:numPr>
        <w:numId w:val="1"/>
      </w:numPr>
    </w:pPr>
  </w:style>
  <w:style w:type="paragraph" w:styleId="ListBullet">
    <w:name w:val="List Bullet"/>
    <w:basedOn w:val="ListParagraph"/>
    <w:uiPriority w:val="99"/>
    <w:unhideWhenUsed/>
    <w:qFormat/>
    <w:rsid w:val="008A059F"/>
    <w:pPr>
      <w:numPr>
        <w:numId w:val="2"/>
      </w:numPr>
    </w:pPr>
  </w:style>
  <w:style w:type="paragraph" w:styleId="List">
    <w:name w:val="List"/>
    <w:basedOn w:val="ListBullet"/>
    <w:uiPriority w:val="99"/>
    <w:unhideWhenUsed/>
    <w:qFormat/>
    <w:rsid w:val="008A059F"/>
    <w:pPr>
      <w:numPr>
        <w:numId w:val="3"/>
      </w:numPr>
    </w:pPr>
  </w:style>
  <w:style w:type="paragraph" w:styleId="Header">
    <w:name w:val="header"/>
    <w:basedOn w:val="Normal"/>
    <w:link w:val="HeaderChar"/>
    <w:uiPriority w:val="99"/>
    <w:unhideWhenUsed/>
    <w:rsid w:val="008A059F"/>
    <w:pPr>
      <w:tabs>
        <w:tab w:val="center" w:pos="4513"/>
        <w:tab w:val="right" w:pos="9026"/>
      </w:tabs>
      <w:spacing w:after="0" w:line="240" w:lineRule="auto"/>
    </w:pPr>
    <w:rPr>
      <w:lang w:val="en-AU"/>
    </w:rPr>
  </w:style>
  <w:style w:type="character" w:customStyle="1" w:styleId="HeaderChar">
    <w:name w:val="Header Char"/>
    <w:basedOn w:val="DefaultParagraphFont"/>
    <w:link w:val="Header"/>
    <w:uiPriority w:val="99"/>
    <w:rsid w:val="008A059F"/>
    <w:rPr>
      <w:lang w:val="en-AU"/>
    </w:rPr>
  </w:style>
  <w:style w:type="paragraph" w:styleId="Footer">
    <w:name w:val="footer"/>
    <w:basedOn w:val="Normal"/>
    <w:link w:val="FooterChar"/>
    <w:uiPriority w:val="99"/>
    <w:unhideWhenUsed/>
    <w:rsid w:val="008A059F"/>
    <w:pPr>
      <w:tabs>
        <w:tab w:val="center" w:pos="4513"/>
        <w:tab w:val="right" w:pos="9026"/>
      </w:tabs>
      <w:spacing w:after="0" w:line="240" w:lineRule="auto"/>
    </w:pPr>
    <w:rPr>
      <w:lang w:val="en-AU"/>
    </w:rPr>
  </w:style>
  <w:style w:type="character" w:customStyle="1" w:styleId="FooterChar">
    <w:name w:val="Footer Char"/>
    <w:basedOn w:val="DefaultParagraphFont"/>
    <w:link w:val="Footer"/>
    <w:uiPriority w:val="99"/>
    <w:rsid w:val="008A059F"/>
    <w:rPr>
      <w:lang w:val="en-AU"/>
    </w:rPr>
  </w:style>
  <w:style w:type="paragraph" w:styleId="TOC1">
    <w:name w:val="toc 1"/>
    <w:basedOn w:val="Normal"/>
    <w:next w:val="Normal"/>
    <w:autoRedefine/>
    <w:uiPriority w:val="39"/>
    <w:unhideWhenUsed/>
    <w:rsid w:val="00167540"/>
    <w:pPr>
      <w:tabs>
        <w:tab w:val="right" w:leader="dot" w:pos="9016"/>
      </w:tabs>
      <w:spacing w:after="100" w:line="276" w:lineRule="auto"/>
    </w:pPr>
    <w:rPr>
      <w:b/>
      <w:lang w:val="en-AU"/>
    </w:rPr>
  </w:style>
  <w:style w:type="paragraph" w:styleId="TOC2">
    <w:name w:val="toc 2"/>
    <w:basedOn w:val="Normal"/>
    <w:next w:val="Normal"/>
    <w:autoRedefine/>
    <w:uiPriority w:val="39"/>
    <w:unhideWhenUsed/>
    <w:rsid w:val="00CB4128"/>
    <w:pPr>
      <w:tabs>
        <w:tab w:val="right" w:leader="dot" w:pos="9016"/>
      </w:tabs>
      <w:spacing w:after="100" w:line="276" w:lineRule="auto"/>
      <w:ind w:left="220"/>
    </w:pPr>
    <w:rPr>
      <w:lang w:val="en-AU"/>
    </w:rPr>
  </w:style>
  <w:style w:type="paragraph" w:styleId="TOC3">
    <w:name w:val="toc 3"/>
    <w:basedOn w:val="Normal"/>
    <w:next w:val="Normal"/>
    <w:autoRedefine/>
    <w:uiPriority w:val="39"/>
    <w:unhideWhenUsed/>
    <w:rsid w:val="00A80BCF"/>
    <w:pPr>
      <w:tabs>
        <w:tab w:val="right" w:leader="dot" w:pos="9016"/>
      </w:tabs>
      <w:spacing w:after="100" w:line="276" w:lineRule="auto"/>
      <w:ind w:left="142" w:firstLine="298"/>
    </w:pPr>
    <w:rPr>
      <w:lang w:val="en-AU"/>
    </w:rPr>
  </w:style>
  <w:style w:type="paragraph" w:styleId="TOCHeading">
    <w:name w:val="TOC Heading"/>
    <w:basedOn w:val="Heading1"/>
    <w:next w:val="Normal"/>
    <w:uiPriority w:val="39"/>
    <w:unhideWhenUsed/>
    <w:qFormat/>
    <w:rsid w:val="008A059F"/>
    <w:pPr>
      <w:spacing w:after="240"/>
      <w:outlineLvl w:val="9"/>
    </w:pPr>
  </w:style>
  <w:style w:type="paragraph" w:styleId="BalloonText">
    <w:name w:val="Balloon Text"/>
    <w:basedOn w:val="Normal"/>
    <w:link w:val="BalloonTextChar"/>
    <w:uiPriority w:val="99"/>
    <w:semiHidden/>
    <w:unhideWhenUsed/>
    <w:rsid w:val="008A059F"/>
    <w:pPr>
      <w:spacing w:after="0" w:line="240" w:lineRule="auto"/>
    </w:pPr>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8A059F"/>
    <w:rPr>
      <w:rFonts w:ascii="Segoe UI" w:hAnsi="Segoe UI" w:cs="Segoe UI"/>
      <w:sz w:val="18"/>
      <w:szCs w:val="18"/>
      <w:lang w:val="en-AU"/>
    </w:rPr>
  </w:style>
  <w:style w:type="paragraph" w:customStyle="1" w:styleId="numberedpara">
    <w:name w:val="numbered para"/>
    <w:basedOn w:val="Normal"/>
    <w:rsid w:val="008A059F"/>
    <w:pPr>
      <w:numPr>
        <w:numId w:val="4"/>
      </w:numPr>
      <w:spacing w:before="120" w:after="0" w:line="240" w:lineRule="auto"/>
    </w:pPr>
    <w:rPr>
      <w:rFonts w:ascii="Calibri" w:hAnsi="Calibri" w:cs="Calibri"/>
      <w:lang w:val="en-AU" w:eastAsia="en-AU"/>
    </w:rPr>
  </w:style>
  <w:style w:type="character" w:styleId="FollowedHyperlink">
    <w:name w:val="FollowedHyperlink"/>
    <w:basedOn w:val="DefaultParagraphFont"/>
    <w:uiPriority w:val="99"/>
    <w:semiHidden/>
    <w:unhideWhenUsed/>
    <w:rsid w:val="008A059F"/>
    <w:rPr>
      <w:color w:val="954F72" w:themeColor="followedHyperlink"/>
      <w:u w:val="single"/>
    </w:rPr>
  </w:style>
  <w:style w:type="paragraph" w:customStyle="1" w:styleId="TableText">
    <w:name w:val="TableText"/>
    <w:basedOn w:val="Normal"/>
    <w:uiPriority w:val="1"/>
    <w:qFormat/>
    <w:rsid w:val="008A059F"/>
    <w:pPr>
      <w:spacing w:before="120" w:after="120" w:line="240" w:lineRule="auto"/>
    </w:pPr>
    <w:rPr>
      <w:rFonts w:ascii="Century Gothic" w:eastAsiaTheme="majorEastAsia" w:hAnsi="Century Gothic" w:cs="Arial"/>
      <w:bCs/>
      <w:sz w:val="20"/>
      <w:szCs w:val="20"/>
      <w:lang w:val="en-AU"/>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locked/>
    <w:rsid w:val="008A059F"/>
    <w:rPr>
      <w:lang w:val="en-AU"/>
    </w:rPr>
  </w:style>
  <w:style w:type="character" w:styleId="CommentReference">
    <w:name w:val="annotation reference"/>
    <w:basedOn w:val="DefaultParagraphFont"/>
    <w:uiPriority w:val="99"/>
    <w:semiHidden/>
    <w:unhideWhenUsed/>
    <w:rsid w:val="008A059F"/>
    <w:rPr>
      <w:sz w:val="16"/>
      <w:szCs w:val="16"/>
    </w:rPr>
  </w:style>
  <w:style w:type="paragraph" w:styleId="CommentText">
    <w:name w:val="annotation text"/>
    <w:basedOn w:val="Normal"/>
    <w:link w:val="CommentTextChar"/>
    <w:uiPriority w:val="99"/>
    <w:unhideWhenUsed/>
    <w:rsid w:val="008A059F"/>
    <w:pPr>
      <w:spacing w:line="240" w:lineRule="auto"/>
    </w:pPr>
    <w:rPr>
      <w:rFonts w:ascii="Century Gothic" w:hAnsi="Century Gothic"/>
      <w:sz w:val="20"/>
      <w:szCs w:val="20"/>
      <w:lang w:val="en-AU"/>
    </w:rPr>
  </w:style>
  <w:style w:type="character" w:customStyle="1" w:styleId="CommentTextChar">
    <w:name w:val="Comment Text Char"/>
    <w:basedOn w:val="DefaultParagraphFont"/>
    <w:link w:val="CommentText"/>
    <w:uiPriority w:val="99"/>
    <w:rsid w:val="008A059F"/>
    <w:rPr>
      <w:rFonts w:ascii="Century Gothic" w:hAnsi="Century Gothic"/>
      <w:sz w:val="20"/>
      <w:szCs w:val="20"/>
      <w:lang w:val="en-AU"/>
    </w:rPr>
  </w:style>
  <w:style w:type="paragraph" w:styleId="NoSpacing">
    <w:name w:val="No Spacing"/>
    <w:uiPriority w:val="1"/>
    <w:qFormat/>
    <w:rsid w:val="008A059F"/>
    <w:pPr>
      <w:spacing w:after="0" w:line="240" w:lineRule="auto"/>
    </w:pPr>
    <w:rPr>
      <w:lang w:val="en-AU"/>
    </w:rPr>
  </w:style>
  <w:style w:type="table" w:styleId="PlainTable2">
    <w:name w:val="Plain Table 2"/>
    <w:basedOn w:val="TableNormal"/>
    <w:uiPriority w:val="42"/>
    <w:rsid w:val="008A059F"/>
    <w:pPr>
      <w:spacing w:after="0" w:line="240" w:lineRule="auto"/>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8A059F"/>
    <w:pPr>
      <w:autoSpaceDE w:val="0"/>
      <w:autoSpaceDN w:val="0"/>
      <w:adjustRightInd w:val="0"/>
      <w:spacing w:after="0" w:line="240" w:lineRule="auto"/>
    </w:pPr>
    <w:rPr>
      <w:rFonts w:ascii="Palatino Linotype" w:hAnsi="Palatino Linotype" w:cs="Palatino Linotype"/>
      <w:color w:val="000000"/>
      <w:sz w:val="24"/>
      <w:szCs w:val="24"/>
      <w:lang w:val="en-AU"/>
    </w:rPr>
  </w:style>
  <w:style w:type="character" w:customStyle="1" w:styleId="UnresolvedMention">
    <w:name w:val="Unresolved Mention"/>
    <w:basedOn w:val="DefaultParagraphFont"/>
    <w:uiPriority w:val="99"/>
    <w:semiHidden/>
    <w:unhideWhenUsed/>
    <w:rsid w:val="008A05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A059F"/>
    <w:rPr>
      <w:b/>
      <w:bCs/>
    </w:rPr>
  </w:style>
  <w:style w:type="character" w:customStyle="1" w:styleId="CommentSubjectChar">
    <w:name w:val="Comment Subject Char"/>
    <w:basedOn w:val="CommentTextChar"/>
    <w:link w:val="CommentSubject"/>
    <w:uiPriority w:val="99"/>
    <w:semiHidden/>
    <w:rsid w:val="008A059F"/>
    <w:rPr>
      <w:rFonts w:ascii="Century Gothic" w:hAnsi="Century Gothic"/>
      <w:b/>
      <w:bCs/>
      <w:sz w:val="20"/>
      <w:szCs w:val="20"/>
      <w:lang w:val="en-AU"/>
    </w:rPr>
  </w:style>
  <w:style w:type="paragraph" w:styleId="FootnoteText">
    <w:name w:val="footnote text"/>
    <w:aliases w:val="Footnotes Text,FSFootnotes Text,FSFootnote Text"/>
    <w:basedOn w:val="Normal"/>
    <w:link w:val="FootnoteTextChar"/>
    <w:uiPriority w:val="99"/>
    <w:semiHidden/>
    <w:unhideWhenUsed/>
    <w:rsid w:val="008A059F"/>
    <w:pPr>
      <w:spacing w:after="0" w:line="240" w:lineRule="auto"/>
    </w:pPr>
    <w:rPr>
      <w:rFonts w:ascii="Century Gothic" w:hAnsi="Century Gothic"/>
      <w:sz w:val="20"/>
      <w:szCs w:val="20"/>
      <w:lang w:val="en-AU"/>
    </w:rPr>
  </w:style>
  <w:style w:type="character" w:customStyle="1" w:styleId="FootnoteTextChar">
    <w:name w:val="Footnote Text Char"/>
    <w:aliases w:val="Footnotes Text Char,FSFootnotes Text Char,FSFootnote Text Char"/>
    <w:basedOn w:val="DefaultParagraphFont"/>
    <w:link w:val="FootnoteText"/>
    <w:uiPriority w:val="99"/>
    <w:semiHidden/>
    <w:rsid w:val="008A059F"/>
    <w:rPr>
      <w:rFonts w:ascii="Century Gothic" w:hAnsi="Century Gothic"/>
      <w:sz w:val="20"/>
      <w:szCs w:val="20"/>
      <w:lang w:val="en-AU"/>
    </w:rPr>
  </w:style>
  <w:style w:type="character" w:styleId="FootnoteReference">
    <w:name w:val="footnote reference"/>
    <w:basedOn w:val="DefaultParagraphFont"/>
    <w:uiPriority w:val="99"/>
    <w:semiHidden/>
    <w:unhideWhenUsed/>
    <w:rsid w:val="00691428"/>
    <w:rPr>
      <w:vertAlign w:val="superscript"/>
    </w:rPr>
  </w:style>
  <w:style w:type="paragraph" w:customStyle="1" w:styleId="RISparatext">
    <w:name w:val="RIS para text"/>
    <w:basedOn w:val="Normal"/>
    <w:link w:val="RISparatextChar"/>
    <w:qFormat/>
    <w:rsid w:val="008A059F"/>
    <w:pPr>
      <w:spacing w:after="120" w:line="276" w:lineRule="auto"/>
    </w:pPr>
    <w:rPr>
      <w:rFonts w:ascii="Calibri" w:eastAsia="Calibri" w:hAnsi="Calibri" w:cs="Calibri"/>
      <w:w w:val="105"/>
      <w:kern w:val="40"/>
      <w:lang w:val="en-AU"/>
    </w:rPr>
  </w:style>
  <w:style w:type="character" w:customStyle="1" w:styleId="RISparatextChar">
    <w:name w:val="RIS para text Char"/>
    <w:basedOn w:val="DefaultParagraphFont"/>
    <w:link w:val="RISparatext"/>
    <w:rsid w:val="008A059F"/>
    <w:rPr>
      <w:rFonts w:ascii="Calibri" w:eastAsia="Calibri" w:hAnsi="Calibri" w:cs="Calibri"/>
      <w:w w:val="105"/>
      <w:kern w:val="40"/>
      <w:lang w:val="en-AU"/>
    </w:rPr>
  </w:style>
  <w:style w:type="character" w:customStyle="1" w:styleId="normaltextrun">
    <w:name w:val="normaltextrun"/>
    <w:basedOn w:val="DefaultParagraphFont"/>
    <w:rsid w:val="008A059F"/>
  </w:style>
  <w:style w:type="character" w:customStyle="1" w:styleId="eop">
    <w:name w:val="eop"/>
    <w:basedOn w:val="DefaultParagraphFont"/>
    <w:rsid w:val="008A059F"/>
  </w:style>
  <w:style w:type="character" w:styleId="Emphasis">
    <w:name w:val="Emphasis"/>
    <w:basedOn w:val="DefaultParagraphFont"/>
    <w:uiPriority w:val="20"/>
    <w:qFormat/>
    <w:rsid w:val="008A059F"/>
    <w:rPr>
      <w:i/>
      <w:iCs/>
    </w:rPr>
  </w:style>
  <w:style w:type="paragraph" w:styleId="Revision">
    <w:name w:val="Revision"/>
    <w:hidden/>
    <w:uiPriority w:val="99"/>
    <w:semiHidden/>
    <w:rsid w:val="008A059F"/>
    <w:pPr>
      <w:spacing w:after="0" w:line="240" w:lineRule="auto"/>
    </w:pPr>
    <w:rPr>
      <w:rFonts w:ascii="Century Gothic" w:hAnsi="Century Gothic"/>
      <w:sz w:val="20"/>
      <w:lang w:val="en-AU"/>
    </w:rPr>
  </w:style>
  <w:style w:type="character" w:customStyle="1" w:styleId="Mention">
    <w:name w:val="Mention"/>
    <w:basedOn w:val="DefaultParagraphFont"/>
    <w:uiPriority w:val="99"/>
    <w:unhideWhenUsed/>
    <w:rsid w:val="008A059F"/>
    <w:rPr>
      <w:color w:val="2B579A"/>
      <w:shd w:val="clear" w:color="auto" w:fill="E1DFDD"/>
    </w:rPr>
  </w:style>
  <w:style w:type="paragraph" w:styleId="NormalWeb">
    <w:name w:val="Normal (Web)"/>
    <w:basedOn w:val="Normal"/>
    <w:uiPriority w:val="99"/>
    <w:semiHidden/>
    <w:unhideWhenUsed/>
    <w:rsid w:val="008A059F"/>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ody">
    <w:name w:val="Body"/>
    <w:basedOn w:val="Normal"/>
    <w:link w:val="BodyChar"/>
    <w:qFormat/>
    <w:rsid w:val="008A059F"/>
    <w:pPr>
      <w:spacing w:before="240" w:after="240" w:line="276" w:lineRule="auto"/>
    </w:pPr>
    <w:rPr>
      <w:rFonts w:eastAsiaTheme="minorEastAsia"/>
      <w:lang w:val="en-AU" w:eastAsia="en-AU"/>
    </w:rPr>
  </w:style>
  <w:style w:type="character" w:customStyle="1" w:styleId="BodyChar">
    <w:name w:val="Body Char"/>
    <w:basedOn w:val="DefaultParagraphFont"/>
    <w:link w:val="Body"/>
    <w:rsid w:val="008A059F"/>
    <w:rPr>
      <w:rFonts w:eastAsiaTheme="minorEastAsia"/>
      <w:lang w:val="en-AU" w:eastAsia="en-AU"/>
    </w:rPr>
  </w:style>
  <w:style w:type="character" w:customStyle="1" w:styleId="ui-provider">
    <w:name w:val="ui-provider"/>
    <w:basedOn w:val="DefaultParagraphFont"/>
    <w:rsid w:val="008C0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73675">
      <w:bodyDiv w:val="1"/>
      <w:marLeft w:val="0"/>
      <w:marRight w:val="0"/>
      <w:marTop w:val="0"/>
      <w:marBottom w:val="0"/>
      <w:divBdr>
        <w:top w:val="none" w:sz="0" w:space="0" w:color="auto"/>
        <w:left w:val="none" w:sz="0" w:space="0" w:color="auto"/>
        <w:bottom w:val="none" w:sz="0" w:space="0" w:color="auto"/>
        <w:right w:val="none" w:sz="0" w:space="0" w:color="auto"/>
      </w:divBdr>
    </w:div>
    <w:div w:id="1772049562">
      <w:bodyDiv w:val="1"/>
      <w:marLeft w:val="0"/>
      <w:marRight w:val="0"/>
      <w:marTop w:val="0"/>
      <w:marBottom w:val="0"/>
      <w:divBdr>
        <w:top w:val="none" w:sz="0" w:space="0" w:color="auto"/>
        <w:left w:val="none" w:sz="0" w:space="0" w:color="auto"/>
        <w:bottom w:val="none" w:sz="0" w:space="0" w:color="auto"/>
        <w:right w:val="none" w:sz="0" w:space="0" w:color="auto"/>
      </w:divBdr>
      <w:divsChild>
        <w:div w:id="224462569">
          <w:marLeft w:val="0"/>
          <w:marRight w:val="0"/>
          <w:marTop w:val="0"/>
          <w:marBottom w:val="0"/>
          <w:divBdr>
            <w:top w:val="none" w:sz="0" w:space="0" w:color="auto"/>
            <w:left w:val="none" w:sz="0" w:space="0" w:color="auto"/>
            <w:bottom w:val="none" w:sz="0" w:space="0" w:color="auto"/>
            <w:right w:val="none" w:sz="0" w:space="0" w:color="auto"/>
          </w:divBdr>
        </w:div>
        <w:div w:id="565458326">
          <w:marLeft w:val="0"/>
          <w:marRight w:val="0"/>
          <w:marTop w:val="0"/>
          <w:marBottom w:val="0"/>
          <w:divBdr>
            <w:top w:val="none" w:sz="0" w:space="0" w:color="auto"/>
            <w:left w:val="none" w:sz="0" w:space="0" w:color="auto"/>
            <w:bottom w:val="none" w:sz="0" w:space="0" w:color="auto"/>
            <w:right w:val="none" w:sz="0" w:space="0" w:color="auto"/>
          </w:divBdr>
        </w:div>
        <w:div w:id="1159813126">
          <w:marLeft w:val="0"/>
          <w:marRight w:val="0"/>
          <w:marTop w:val="0"/>
          <w:marBottom w:val="0"/>
          <w:divBdr>
            <w:top w:val="none" w:sz="0" w:space="0" w:color="auto"/>
            <w:left w:val="none" w:sz="0" w:space="0" w:color="auto"/>
            <w:bottom w:val="none" w:sz="0" w:space="0" w:color="auto"/>
            <w:right w:val="none" w:sz="0" w:space="0" w:color="auto"/>
          </w:divBdr>
        </w:div>
        <w:div w:id="1947736015">
          <w:marLeft w:val="0"/>
          <w:marRight w:val="0"/>
          <w:marTop w:val="0"/>
          <w:marBottom w:val="0"/>
          <w:divBdr>
            <w:top w:val="none" w:sz="0" w:space="0" w:color="auto"/>
            <w:left w:val="none" w:sz="0" w:space="0" w:color="auto"/>
            <w:bottom w:val="none" w:sz="0" w:space="0" w:color="auto"/>
            <w:right w:val="none" w:sz="0" w:space="0" w:color="auto"/>
          </w:divBdr>
        </w:div>
      </w:divsChild>
    </w:div>
    <w:div w:id="21199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hyperlink" Target="https://www.dewr.gov.au/workplace-relations-australia/consultations/statutory-review-casual-employment-legislation"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arlinfo.aph.gov.au/parlInfo/download/committees/reportsen/024915/toc_pdf/Finalreportmatterofpossibleprivilege.pdf;fileType=application%2Fpdf"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creativecommons.org/licenses/by/4.0/legalcode" TargetMode="External"/><Relationship Id="rId25" Type="http://schemas.openxmlformats.org/officeDocument/2006/relationships/hyperlink" Target="https://www.dewr.gov.au/workplace-relations-australia/consultations/statutory-review-casual-employment-legislation" TargetMode="External"/><Relationship Id="rId33" Type="http://schemas.openxmlformats.org/officeDocument/2006/relationships/hyperlink" Target="https://www.dewr.gov.au/workplace-relations-australia/consultations/statutory-review-casual-employment-legislation" TargetMode="External"/><Relationship Id="rId38"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footer" Target="footer2.xml"/><Relationship Id="rId29" Type="http://schemas.openxmlformats.org/officeDocument/2006/relationships/hyperlink" Target="https://www.aph.gov.au/Parliamentary_Business/Committees/Senate/Job_Security/JobSecurity/Sub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ph.gov.au/Parliamentary_Business/Committees/Senate/Job_Security/JobSecurity/Fourth_Interim_Report" TargetMode="External"/><Relationship Id="rId32" Type="http://schemas.openxmlformats.org/officeDocument/2006/relationships/footer" Target="footer3.xml"/><Relationship Id="rId37" Type="http://schemas.openxmlformats.org/officeDocument/2006/relationships/header" Target="header5.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cid:image001.png@01CC5B5E.C6C84990" TargetMode="External"/><Relationship Id="rId23" Type="http://schemas.openxmlformats.org/officeDocument/2006/relationships/hyperlink" Target="https://www.aph.gov.au/Parliamentary_Business/Committees/Senate/Job_Security/JobSecurity/Submissions" TargetMode="External"/><Relationship Id="rId28" Type="http://schemas.openxmlformats.org/officeDocument/2006/relationships/hyperlink" Target="https://www.aph.gov.au/Parliamentary_Business/Committees/Senate/Job_Security/JobSecurity/Submissions" TargetMode="Externa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www.aph.gov.au/Parliamentary_Business/Committees/Senate/Job_Security/JobSecurity" TargetMode="External"/><Relationship Id="rId27" Type="http://schemas.openxmlformats.org/officeDocument/2006/relationships/hyperlink" Target="https://www.alp.org.au/policies/secure-australian-jobs-plan" TargetMode="External"/><Relationship Id="rId30" Type="http://schemas.openxmlformats.org/officeDocument/2006/relationships/header" Target="header2.xml"/><Relationship Id="rId35"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s://www.aph.gov.au/Parliamentary_Business/Committees/Senate/Job_Security/JobSecurity/Fourth_Interim_Report" TargetMode="External"/><Relationship Id="rId13" Type="http://schemas.openxmlformats.org/officeDocument/2006/relationships/hyperlink" Target="https://www.fairwork.gov.au/employment-conditions/national-employment-standards/casual-employment-information-statement" TargetMode="External"/><Relationship Id="rId18" Type="http://schemas.openxmlformats.org/officeDocument/2006/relationships/hyperlink" Target="https://parlinfo.aph.gov.au/parlInfo/search/display/display.w3p;query=Id%3A%22legislation%2Fems%2Fr6653_ems_b350c2c5-3b57-4c5f-9f38-b9e157fb0e28%22" TargetMode="External"/><Relationship Id="rId26" Type="http://schemas.openxmlformats.org/officeDocument/2006/relationships/hyperlink" Target="https://www.dewr.gov.au/workplace-relations-australia/resources/review-fair-work-amendment-supporting-australias-jobs-and-economic-recovery-act-2021-cth" TargetMode="External"/><Relationship Id="rId39" Type="http://schemas.openxmlformats.org/officeDocument/2006/relationships/hyperlink" Target="https://www.fairwork.gov.au/employment-conditions/national-employment-standards/casual-employment-information-statement" TargetMode="External"/><Relationship Id="rId3" Type="http://schemas.openxmlformats.org/officeDocument/2006/relationships/hyperlink" Target="https://www.aph.gov.au/Parliamentary_Business/Committees/Senate/Job_Security/JobSecurity/Fourth_Interim_Report" TargetMode="External"/><Relationship Id="rId21" Type="http://schemas.openxmlformats.org/officeDocument/2006/relationships/hyperlink" Target="https://www.dewr.gov.au/workplace-relations-australia/resources/behavioural-economics-team-australian-government-beta-casual-employment-research-findings-inform" TargetMode="External"/><Relationship Id="rId34" Type="http://schemas.openxmlformats.org/officeDocument/2006/relationships/hyperlink" Target="https://oia.pmc.gov.au/sites/default/files/2023-05/regulatory-burden-measurement-framework.pdf" TargetMode="External"/><Relationship Id="rId7" Type="http://schemas.openxmlformats.org/officeDocument/2006/relationships/hyperlink" Target="https://www.aph.gov.au/Parliamentary_Business/Committees/Senate/Job_Security/JobSecurity/Fourth_Interim_Report" TargetMode="External"/><Relationship Id="rId12" Type="http://schemas.openxmlformats.org/officeDocument/2006/relationships/hyperlink" Target="https://www.dewr.gov.au/workplace-relations-australia/resources/review-fair-work-amendment-supporting-australias-jobs-and-economic-recovery-act-2021-cth" TargetMode="External"/><Relationship Id="rId17" Type="http://schemas.openxmlformats.org/officeDocument/2006/relationships/hyperlink" Target="https://oia.pmc.gov.au/resources/guidance-impact-analysis/australian-government-guide-policy-impact-analysis" TargetMode="External"/><Relationship Id="rId25" Type="http://schemas.openxmlformats.org/officeDocument/2006/relationships/hyperlink" Target="https://www.dewr.gov.au/workplace-relations-australia/resources/review-fair-work-amendment-supporting-australias-jobs-and-economic-recovery-act-2021-cth" TargetMode="External"/><Relationship Id="rId33" Type="http://schemas.openxmlformats.org/officeDocument/2006/relationships/hyperlink" Target="https://oia.pmc.gov.au/sites/default/files/2023-05/regulatory-burden-measurement-framework.pdf" TargetMode="External"/><Relationship Id="rId38" Type="http://schemas.openxmlformats.org/officeDocument/2006/relationships/hyperlink" Target="https://www.fairwork.gov.au/employment-conditions/national-employment-standards/casual-employment-information-statement" TargetMode="External"/><Relationship Id="rId2" Type="http://schemas.openxmlformats.org/officeDocument/2006/relationships/hyperlink" Target="https://www.aph.gov.au/Parliamentary_Business/Committees/Senate/Job_Security/JobSecurity/Fourth_Interim_Report" TargetMode="External"/><Relationship Id="rId16" Type="http://schemas.openxmlformats.org/officeDocument/2006/relationships/hyperlink" Target="https://www.dewr.gov.au/workplace-relations-australia/resources/behavioural-economics-team-australian-government-beta-casual-employment-research-findings-inform" TargetMode="External"/><Relationship Id="rId20" Type="http://schemas.openxmlformats.org/officeDocument/2006/relationships/hyperlink" Target="https://www.dewr.gov.au/workplace-relations-australia/resources/behavioural-economics-team-australian-government-beta-casual-employment-research-findings-inform" TargetMode="External"/><Relationship Id="rId29" Type="http://schemas.openxmlformats.org/officeDocument/2006/relationships/hyperlink" Target="https://www.aigroup.com.au/resourcecentre/research-economics/casual-work-in-the-contemporary-labour-market/?_cldee=sIlpANh5Kht79zIuIdwtO9jp9Uxt2eGbUQJVGzjBnscXJ29YvZe3nvdkCry0vfhH&amp;recipientid=lead-bcde861b155ee61180cd0050568067c2-81d676f8dc8147a4b5be596a29fa09fb&amp;esid=5efd1783-4724-ee11-9965-00224898af76" TargetMode="External"/><Relationship Id="rId1" Type="http://schemas.openxmlformats.org/officeDocument/2006/relationships/hyperlink" Target="https://www.aph.gov.au/Parliamentary_Business/Committees/Senate/Job_Security/JobSecurity/Fourth_Interim_Report" TargetMode="External"/><Relationship Id="rId6" Type="http://schemas.openxmlformats.org/officeDocument/2006/relationships/hyperlink" Target="https://www.aph.gov.au/Parliamentary_Business/Committees/Senate/Job_Security/JobSecurity/Fourth_Interim_Report" TargetMode="External"/><Relationship Id="rId11" Type="http://schemas.openxmlformats.org/officeDocument/2006/relationships/hyperlink" Target="https://www.dewr.gov.au/system/files/documents/submission-file/2022-12/D22%201651683%20ETU%20Submission.PDF" TargetMode="External"/><Relationship Id="rId24" Type="http://schemas.openxmlformats.org/officeDocument/2006/relationships/hyperlink" Target="https://www.dewr.gov.au/2023-workplace-reform-consultations/consultations/stand-casual-workers-legislate-objective-test-determine-when-employee-can-be-classified-casual" TargetMode="External"/><Relationship Id="rId32" Type="http://schemas.openxmlformats.org/officeDocument/2006/relationships/hyperlink" Target="https://oia.pmc.gov.au/sites/default/files/2023-05/regulatory-burden-measurement-framework.pdf" TargetMode="External"/><Relationship Id="rId37" Type="http://schemas.openxmlformats.org/officeDocument/2006/relationships/hyperlink" Target="https://oia.pmc.gov.au/sites/default/files/2023-05/regulatory-burden-measurement-framework.pdf" TargetMode="External"/><Relationship Id="rId40" Type="http://schemas.openxmlformats.org/officeDocument/2006/relationships/hyperlink" Target="https://oia.pmc.gov.au/sites/default/files/2023-05/regulatory-burden-measurement-framework.pdf" TargetMode="External"/><Relationship Id="rId5" Type="http://schemas.openxmlformats.org/officeDocument/2006/relationships/hyperlink" Target="https://www.dewr.gov.au/workplace-relations-australia/resources/review-fair-work-amendment-supporting-australias-jobs-and-economic-recovery-act-2021-cth" TargetMode="External"/><Relationship Id="rId15" Type="http://schemas.openxmlformats.org/officeDocument/2006/relationships/hyperlink" Target="https://www.dewr.gov.au/workplace-relations-australia/resources/behavioural-economics-team-australian-government-beta-casual-employment-research-findings-inform" TargetMode="External"/><Relationship Id="rId23" Type="http://schemas.openxmlformats.org/officeDocument/2006/relationships/hyperlink" Target="https://www.dewr.gov.au/workplace-relations-australia/resources/australian-government-response-review-fair-work-amendment-supporting-australias-job-and-economic" TargetMode="External"/><Relationship Id="rId28" Type="http://schemas.openxmlformats.org/officeDocument/2006/relationships/hyperlink" Target="https://parlinfo.aph.gov.au/parlInfo/search/display/display.w3p;query=Id%3A%22legislation%2Fems%2Fr6653_ems_b350c2c5-3b57-4c5f-9f38-b9e157fb0e28%22" TargetMode="External"/><Relationship Id="rId36" Type="http://schemas.openxmlformats.org/officeDocument/2006/relationships/hyperlink" Target="https://oia.pmc.gov.au/sites/default/files/2023-05/regulatory-burden-measurement-framework.pdf" TargetMode="External"/><Relationship Id="rId10" Type="http://schemas.openxmlformats.org/officeDocument/2006/relationships/hyperlink" Target="https://www.dewr.gov.au/workplace-relations-australia/resources/review-fair-work-amendment-supporting-australias-jobs-and-economic-recovery-act-2021-cth" TargetMode="External"/><Relationship Id="rId19" Type="http://schemas.openxmlformats.org/officeDocument/2006/relationships/hyperlink" Target="https://www.dewr.gov.au/workplace-relations-australia/resources/behavioural-economics-team-australian-government-beta-casual-employment-research-findings-inform" TargetMode="External"/><Relationship Id="rId31" Type="http://schemas.openxmlformats.org/officeDocument/2006/relationships/hyperlink" Target="https://oia.pmc.gov.au/published-impact-analyses-and-reports/casual-employment-reform" TargetMode="External"/><Relationship Id="rId4" Type="http://schemas.openxmlformats.org/officeDocument/2006/relationships/hyperlink" Target="https://www.dewr.gov.au/workplace-relations-australia/resources/review-fair-work-amendment-supporting-australias-jobs-and-economic-recovery-act-2021-cth" TargetMode="External"/><Relationship Id="rId9" Type="http://schemas.openxmlformats.org/officeDocument/2006/relationships/hyperlink" Target="https://www.aph.gov.au/Parliamentary_Business/Committees/Senate/Job_Security/JobSecurity/Fourth_Interim_Report" TargetMode="External"/><Relationship Id="rId14" Type="http://schemas.openxmlformats.org/officeDocument/2006/relationships/hyperlink" Target="https://www.dewr.gov.au/workplace-relations-australia/resources/abs-technical-data-report-analysis-changes-casual-conversion-australia" TargetMode="External"/><Relationship Id="rId22" Type="http://schemas.openxmlformats.org/officeDocument/2006/relationships/hyperlink" Target="https://www.dewr.gov.au/workplace-relations-australia/resources/behavioural-economics-team-australian-government-beta-casual-employment-research-findings-inform" TargetMode="External"/><Relationship Id="rId27" Type="http://schemas.openxmlformats.org/officeDocument/2006/relationships/hyperlink" Target="https://oia.pmc.gov.au/sites/default/files/2023-05/regulatory-burden-measurement-framework.pdf" TargetMode="External"/><Relationship Id="rId30" Type="http://schemas.openxmlformats.org/officeDocument/2006/relationships/hyperlink" Target="https://parlinfo.aph.gov.au/parlInfo/search/display/display.w3p;query=Id%3A%22legislation%2Fems%2Fr6653_ems_b350c2c5-3b57-4c5f-9f38-b9e157fb0e28%22" TargetMode="External"/><Relationship Id="rId35" Type="http://schemas.openxmlformats.org/officeDocument/2006/relationships/hyperlink" Target="https://oia.pmc.gov.au/sites/default/files/2023-05/regulatory-burden-measurement-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DOCID-322795542-36934</_dlc_DocId>
    <_dlc_DocIdUrl xmlns="4195ad5f-cdf2-4c4a-8d9b-b7944a108e98">
      <Url>https://pmc01.sharepoint.com/sites/CRMOBPR/_layouts/15/DocIdRedir.aspx?ID=DOCID-322795542-36934</Url>
      <Description>DOCID-322795542-36934</Description>
    </_dlc_DocIdUrl>
  </documentManagement>
</p:properties>
</file>

<file path=customXml/itemProps1.xml><?xml version="1.0" encoding="utf-8"?>
<ds:datastoreItem xmlns:ds="http://schemas.openxmlformats.org/officeDocument/2006/customXml" ds:itemID="{5924F668-E88B-4F49-A9A3-9165CBADE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2333C4-EBB7-462E-86E8-33AF1A7DFB3E}">
  <ds:schemaRefs>
    <ds:schemaRef ds:uri="http://schemas.microsoft.com/sharepoint/events"/>
  </ds:schemaRefs>
</ds:datastoreItem>
</file>

<file path=customXml/itemProps3.xml><?xml version="1.0" encoding="utf-8"?>
<ds:datastoreItem xmlns:ds="http://schemas.openxmlformats.org/officeDocument/2006/customXml" ds:itemID="{409A8A32-46AA-4ED6-9BCF-E83278B70139}">
  <ds:schemaRefs>
    <ds:schemaRef ds:uri="http://schemas.microsoft.com/sharepoint/v3/contenttype/forms"/>
  </ds:schemaRefs>
</ds:datastoreItem>
</file>

<file path=customXml/itemProps4.xml><?xml version="1.0" encoding="utf-8"?>
<ds:datastoreItem xmlns:ds="http://schemas.openxmlformats.org/officeDocument/2006/customXml" ds:itemID="{CED88FE0-8753-4B20-9E80-D5C22936DD6F}">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http://schemas.microsoft.com/sharepoint/v3"/>
    <ds:schemaRef ds:uri="26285671-540d-468b-b7a1-f3e0438dd51a"/>
    <ds:schemaRef ds:uri="4195ad5f-cdf2-4c4a-8d9b-b7944a108e9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12701</Words>
  <Characters>72399</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2023-08-31T23:16:00Z</dcterms:created>
  <dcterms:modified xsi:type="dcterms:W3CDTF">2023-08-31T23:16:00Z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6" name="MediaServiceImageTags">
    <vt:lpwstr/>
  </property>
  <property fmtid="{D5CDD505-2E9C-101B-9397-08002B2CF9AE}" pid="7" name="_dlc_DocIdItemGuid">
    <vt:lpwstr>00de85b2-4804-4312-add7-ab55397c8c6a</vt:lpwstr>
  </property>
</Properties>
</file>