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71504" w14:textId="776BB50E" w:rsidR="009B242E" w:rsidRDefault="006A3343" w:rsidP="009B242E">
      <w:pPr>
        <w:sectPr w:rsidR="009B242E" w:rsidSect="004467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09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 wp14:anchorId="338A05BA" wp14:editId="0B0AD7C0">
            <wp:extent cx="2451100" cy="749300"/>
            <wp:effectExtent l="0" t="0" r="0" b="0"/>
            <wp:docPr id="1" name="Picture 1" descr="Australian Government, Department of Employment and Workplace Rel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, Department of Employment and Workplace Relation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1623"/>
      </w:tblGrid>
      <w:tr w:rsidR="009B242E" w:rsidRPr="00791F6F" w14:paraId="631B515C" w14:textId="77777777" w:rsidTr="00240C31">
        <w:tc>
          <w:tcPr>
            <w:tcW w:w="929" w:type="dxa"/>
          </w:tcPr>
          <w:p w14:paraId="089017D6" w14:textId="77777777" w:rsidR="009B242E" w:rsidRPr="00791F6F" w:rsidRDefault="009B242E" w:rsidP="00B62B9D">
            <w:pPr>
              <w:pStyle w:val="NoSpacing"/>
              <w:rPr>
                <w:sz w:val="18"/>
                <w:szCs w:val="18"/>
              </w:rPr>
            </w:pPr>
            <w:r w:rsidRPr="00791F6F">
              <w:rPr>
                <w:sz w:val="18"/>
                <w:szCs w:val="18"/>
              </w:rPr>
              <w:t>Your Ref</w:t>
            </w:r>
          </w:p>
        </w:tc>
        <w:tc>
          <w:tcPr>
            <w:tcW w:w="1623" w:type="dxa"/>
          </w:tcPr>
          <w:p w14:paraId="1AEF22EB" w14:textId="7E90D54E" w:rsidR="009B242E" w:rsidRPr="00791F6F" w:rsidRDefault="00240C31" w:rsidP="00B62B9D">
            <w:pPr>
              <w:pStyle w:val="NoSpacing"/>
              <w:rPr>
                <w:sz w:val="18"/>
                <w:szCs w:val="18"/>
              </w:rPr>
            </w:pPr>
            <w:r w:rsidRPr="00240C31">
              <w:rPr>
                <w:sz w:val="18"/>
                <w:szCs w:val="18"/>
              </w:rPr>
              <w:t>OBPR22-02412</w:t>
            </w:r>
          </w:p>
        </w:tc>
      </w:tr>
    </w:tbl>
    <w:p w14:paraId="34D7517B" w14:textId="7C9E5E62" w:rsidR="009B242E" w:rsidRPr="00E92EF7" w:rsidRDefault="00240C31" w:rsidP="009B242E">
      <w:pPr>
        <w:spacing w:after="0"/>
        <w:jc w:val="right"/>
        <w:rPr>
          <w:highlight w:val="yellow"/>
        </w:rPr>
      </w:pPr>
      <w:r w:rsidRPr="762BA25D">
        <w:rPr>
          <w:rFonts w:ascii="Calibri" w:eastAsia="Calibri" w:hAnsi="Calibri" w:cs="Calibri"/>
          <w:color w:val="000000" w:themeColor="text1"/>
        </w:rPr>
        <w:t>Deputy Secretary, Workplace Relations Group</w:t>
      </w:r>
    </w:p>
    <w:p w14:paraId="435DB346" w14:textId="4A3087B2" w:rsidR="009B242E" w:rsidRPr="001129CA" w:rsidRDefault="001D22F6" w:rsidP="009B242E">
      <w:pPr>
        <w:spacing w:after="840"/>
        <w:jc w:val="right"/>
        <w:rPr>
          <w:color w:val="404040" w:themeColor="text1" w:themeTint="BF"/>
        </w:rPr>
      </w:pPr>
      <w:r w:rsidRPr="001D22F6">
        <w:rPr>
          <w:rFonts w:ascii="Calibri" w:eastAsia="Calibri" w:hAnsi="Calibri" w:cs="Calibri"/>
          <w:color w:val="000000" w:themeColor="text1"/>
        </w:rPr>
        <w:t xml:space="preserve"> </w:t>
      </w:r>
      <w:r w:rsidR="001E5E68">
        <w:rPr>
          <w:rFonts w:ascii="Calibri" w:eastAsia="Calibri" w:hAnsi="Calibri" w:cs="Calibri"/>
          <w:color w:val="000000" w:themeColor="text1"/>
        </w:rPr>
        <w:t>Martin Hehir</w:t>
      </w:r>
    </w:p>
    <w:p w14:paraId="45D15703" w14:textId="77777777" w:rsidR="00E92EF7" w:rsidRDefault="00E92EF7" w:rsidP="00E92EF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5FD1ED">
        <w:rPr>
          <w:rFonts w:ascii="Calibri" w:eastAsia="Calibri" w:hAnsi="Calibri" w:cs="Calibri"/>
          <w:color w:val="000000" w:themeColor="text1"/>
        </w:rPr>
        <w:t>Jason Lange</w:t>
      </w:r>
      <w:r w:rsidRPr="665FD1ED">
        <w:rPr>
          <w:rFonts w:ascii="Calibri" w:eastAsia="Calibri" w:hAnsi="Calibri" w:cs="Calibri"/>
          <w:color w:val="000000" w:themeColor="text1"/>
          <w:lang w:val="en-AU"/>
        </w:rPr>
        <w:t> </w:t>
      </w:r>
    </w:p>
    <w:p w14:paraId="0B03E815" w14:textId="77777777" w:rsidR="00E92EF7" w:rsidRDefault="00E92EF7" w:rsidP="00E92EF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5FD1ED">
        <w:rPr>
          <w:rFonts w:ascii="Calibri" w:eastAsia="Calibri" w:hAnsi="Calibri" w:cs="Calibri"/>
          <w:color w:val="000000" w:themeColor="text1"/>
        </w:rPr>
        <w:t>Executive Director</w:t>
      </w:r>
    </w:p>
    <w:p w14:paraId="2FEB26E0" w14:textId="77777777" w:rsidR="00E92EF7" w:rsidRDefault="00E92EF7" w:rsidP="00E92EF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5FD1ED">
        <w:rPr>
          <w:rFonts w:ascii="Calibri" w:eastAsia="Calibri" w:hAnsi="Calibri" w:cs="Calibri"/>
          <w:color w:val="000000" w:themeColor="text1"/>
        </w:rPr>
        <w:t>Office of Impact Analysis</w:t>
      </w:r>
    </w:p>
    <w:p w14:paraId="6B3F3085" w14:textId="77777777" w:rsidR="00E92EF7" w:rsidRDefault="00E92EF7" w:rsidP="00E92EF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5FD1ED">
        <w:rPr>
          <w:rFonts w:ascii="Calibri" w:eastAsia="Calibri" w:hAnsi="Calibri" w:cs="Calibri"/>
          <w:color w:val="000000" w:themeColor="text1"/>
        </w:rPr>
        <w:t>Department of the Prime Minister and Cabinet</w:t>
      </w:r>
      <w:r w:rsidRPr="665FD1ED">
        <w:rPr>
          <w:rFonts w:ascii="Calibri" w:eastAsia="Calibri" w:hAnsi="Calibri" w:cs="Calibri"/>
          <w:color w:val="000000" w:themeColor="text1"/>
          <w:lang w:val="en-AU"/>
        </w:rPr>
        <w:t> </w:t>
      </w:r>
    </w:p>
    <w:p w14:paraId="15D32114" w14:textId="77777777" w:rsidR="00E92EF7" w:rsidRDefault="00E92EF7" w:rsidP="00E92EF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5FD1ED">
        <w:rPr>
          <w:rFonts w:ascii="Calibri" w:eastAsia="Calibri" w:hAnsi="Calibri" w:cs="Calibri"/>
          <w:color w:val="000000" w:themeColor="text1"/>
        </w:rPr>
        <w:t>1 National Circuit</w:t>
      </w:r>
      <w:r w:rsidRPr="665FD1ED">
        <w:rPr>
          <w:rFonts w:ascii="Calibri" w:eastAsia="Calibri" w:hAnsi="Calibri" w:cs="Calibri"/>
          <w:color w:val="000000" w:themeColor="text1"/>
          <w:lang w:val="en-AU"/>
        </w:rPr>
        <w:t> </w:t>
      </w:r>
    </w:p>
    <w:p w14:paraId="5518D2BD" w14:textId="77777777" w:rsidR="00E92EF7" w:rsidRDefault="00E92EF7" w:rsidP="00E92EF7">
      <w:pPr>
        <w:spacing w:after="0" w:line="240" w:lineRule="auto"/>
        <w:rPr>
          <w:rFonts w:ascii="Calibri" w:eastAsia="Calibri" w:hAnsi="Calibri" w:cs="Calibri"/>
          <w:color w:val="000000" w:themeColor="text1"/>
          <w:lang w:val="en-AU"/>
        </w:rPr>
      </w:pPr>
      <w:r w:rsidRPr="665FD1ED">
        <w:rPr>
          <w:rFonts w:ascii="Calibri" w:eastAsia="Calibri" w:hAnsi="Calibri" w:cs="Calibri"/>
          <w:color w:val="000000" w:themeColor="text1"/>
        </w:rPr>
        <w:t>BARTON ACT 2600</w:t>
      </w:r>
      <w:r w:rsidRPr="665FD1ED">
        <w:rPr>
          <w:rFonts w:ascii="Calibri" w:eastAsia="Calibri" w:hAnsi="Calibri" w:cs="Calibri"/>
          <w:color w:val="000000" w:themeColor="text1"/>
          <w:lang w:val="en-AU"/>
        </w:rPr>
        <w:t> </w:t>
      </w:r>
    </w:p>
    <w:p w14:paraId="054BD918" w14:textId="77777777" w:rsidR="00E92EF7" w:rsidRDefault="00E92EF7" w:rsidP="00E92EF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5FD1ED">
        <w:rPr>
          <w:rFonts w:ascii="Calibri" w:eastAsia="Calibri" w:hAnsi="Calibri" w:cs="Calibri"/>
          <w:color w:val="000000" w:themeColor="text1"/>
        </w:rPr>
        <w:t xml:space="preserve">Email: </w:t>
      </w:r>
      <w:hyperlink r:id="rId18">
        <w:r w:rsidRPr="665FD1ED">
          <w:rPr>
            <w:rStyle w:val="Hyperlink"/>
            <w:rFonts w:ascii="Calibri" w:eastAsia="Calibri" w:hAnsi="Calibri" w:cs="Calibri"/>
          </w:rPr>
          <w:t>helpdesk-OIA@pmc.gov.au</w:t>
        </w:r>
      </w:hyperlink>
      <w:r w:rsidRPr="665FD1ED">
        <w:rPr>
          <w:rFonts w:ascii="Calibri" w:eastAsia="Calibri" w:hAnsi="Calibri" w:cs="Calibri"/>
          <w:color w:val="000000" w:themeColor="text1"/>
          <w:lang w:val="en-AU"/>
        </w:rPr>
        <w:t> </w:t>
      </w:r>
    </w:p>
    <w:p w14:paraId="67B67793" w14:textId="77777777" w:rsidR="00E92EF7" w:rsidRDefault="00E92EF7" w:rsidP="00E92EF7">
      <w:pPr>
        <w:spacing w:after="0" w:line="240" w:lineRule="auto"/>
        <w:rPr>
          <w:rFonts w:ascii="Calibri" w:eastAsia="Calibri" w:hAnsi="Calibri" w:cs="Calibri"/>
          <w:color w:val="000000" w:themeColor="text1"/>
          <w:lang w:val="en-AU"/>
        </w:rPr>
      </w:pPr>
    </w:p>
    <w:p w14:paraId="0167482B" w14:textId="77777777" w:rsidR="00E92EF7" w:rsidRDefault="00E92EF7" w:rsidP="00E92EF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5FD1ED">
        <w:rPr>
          <w:rFonts w:ascii="Calibri" w:eastAsia="Calibri" w:hAnsi="Calibri" w:cs="Calibri"/>
          <w:color w:val="000000" w:themeColor="text1"/>
        </w:rPr>
        <w:t xml:space="preserve">Dear </w:t>
      </w:r>
      <w:proofErr w:type="spellStart"/>
      <w:r w:rsidRPr="665FD1ED">
        <w:rPr>
          <w:rFonts w:ascii="Calibri" w:eastAsia="Calibri" w:hAnsi="Calibri" w:cs="Calibri"/>
          <w:color w:val="000000" w:themeColor="text1"/>
        </w:rPr>
        <w:t>Mr</w:t>
      </w:r>
      <w:proofErr w:type="spellEnd"/>
      <w:r w:rsidRPr="665FD1ED">
        <w:rPr>
          <w:rFonts w:ascii="Calibri" w:eastAsia="Calibri" w:hAnsi="Calibri" w:cs="Calibri"/>
          <w:color w:val="000000" w:themeColor="text1"/>
        </w:rPr>
        <w:t xml:space="preserve"> Lange</w:t>
      </w:r>
      <w:r w:rsidRPr="665FD1ED">
        <w:rPr>
          <w:rFonts w:ascii="Calibri" w:eastAsia="Calibri" w:hAnsi="Calibri" w:cs="Calibri"/>
          <w:color w:val="000000" w:themeColor="text1"/>
          <w:lang w:val="en-AU"/>
        </w:rPr>
        <w:t> </w:t>
      </w:r>
    </w:p>
    <w:p w14:paraId="3F6EFF13" w14:textId="6F51D1EA" w:rsidR="009B242E" w:rsidRPr="00E92EF7" w:rsidRDefault="00E92EF7" w:rsidP="009B242E">
      <w:pPr>
        <w:pStyle w:val="SubjectHeading"/>
      </w:pPr>
      <w:r w:rsidRPr="00E92EF7">
        <w:rPr>
          <w:rFonts w:ascii="Calibri" w:eastAsia="Calibri" w:hAnsi="Calibri" w:cs="Calibri"/>
          <w:lang w:val="en-US"/>
        </w:rPr>
        <w:t xml:space="preserve">Certification as Impact Analysis Equivalent – Standing </w:t>
      </w:r>
      <w:r w:rsidR="001F5FA5">
        <w:rPr>
          <w:rFonts w:ascii="Calibri" w:eastAsia="Calibri" w:hAnsi="Calibri" w:cs="Calibri"/>
          <w:lang w:val="en-US"/>
        </w:rPr>
        <w:t>u</w:t>
      </w:r>
      <w:r w:rsidRPr="00E92EF7">
        <w:rPr>
          <w:rFonts w:ascii="Calibri" w:eastAsia="Calibri" w:hAnsi="Calibri" w:cs="Calibri"/>
          <w:lang w:val="en-US"/>
        </w:rPr>
        <w:t xml:space="preserve">p </w:t>
      </w:r>
      <w:r w:rsidR="001F5FA5">
        <w:rPr>
          <w:rFonts w:ascii="Calibri" w:eastAsia="Calibri" w:hAnsi="Calibri" w:cs="Calibri"/>
          <w:lang w:val="en-US"/>
        </w:rPr>
        <w:t>f</w:t>
      </w:r>
      <w:r w:rsidRPr="00E92EF7">
        <w:rPr>
          <w:rFonts w:ascii="Calibri" w:eastAsia="Calibri" w:hAnsi="Calibri" w:cs="Calibri"/>
          <w:lang w:val="en-US"/>
        </w:rPr>
        <w:t xml:space="preserve">or </w:t>
      </w:r>
      <w:r w:rsidR="001F5FA5">
        <w:rPr>
          <w:rFonts w:ascii="Calibri" w:eastAsia="Calibri" w:hAnsi="Calibri" w:cs="Calibri"/>
          <w:lang w:val="en-US"/>
        </w:rPr>
        <w:t>c</w:t>
      </w:r>
      <w:r w:rsidRPr="00E92EF7">
        <w:rPr>
          <w:rFonts w:ascii="Calibri" w:eastAsia="Calibri" w:hAnsi="Calibri" w:cs="Calibri"/>
          <w:lang w:val="en-US"/>
        </w:rPr>
        <w:t xml:space="preserve">asual </w:t>
      </w:r>
      <w:r w:rsidR="001F5FA5">
        <w:rPr>
          <w:rFonts w:ascii="Calibri" w:eastAsia="Calibri" w:hAnsi="Calibri" w:cs="Calibri"/>
          <w:lang w:val="en-US"/>
        </w:rPr>
        <w:t>w</w:t>
      </w:r>
      <w:r w:rsidRPr="00E92EF7">
        <w:rPr>
          <w:rFonts w:ascii="Calibri" w:eastAsia="Calibri" w:hAnsi="Calibri" w:cs="Calibri"/>
          <w:lang w:val="en-US"/>
        </w:rPr>
        <w:t>orkers</w:t>
      </w:r>
      <w:r w:rsidRPr="00E92EF7">
        <w:t xml:space="preserve"> </w:t>
      </w:r>
    </w:p>
    <w:p w14:paraId="05CA9590" w14:textId="66570016" w:rsidR="00E92EF7" w:rsidRPr="00E92EF7" w:rsidRDefault="00E92EF7" w:rsidP="00E92EF7">
      <w:pPr>
        <w:pStyle w:val="Body"/>
      </w:pPr>
      <w:r w:rsidRPr="73DECFE7">
        <w:rPr>
          <w:rFonts w:ascii="Calibri" w:eastAsia="Calibri" w:hAnsi="Calibri" w:cs="Calibri"/>
          <w:color w:val="000000" w:themeColor="text1"/>
        </w:rPr>
        <w:t xml:space="preserve">I am writing to certify the </w:t>
      </w:r>
      <w:r w:rsidRPr="00B62B9D">
        <w:rPr>
          <w:rFonts w:ascii="Calibri" w:eastAsia="Calibri" w:hAnsi="Calibri" w:cs="Calibri"/>
          <w:color w:val="000000" w:themeColor="text1"/>
        </w:rPr>
        <w:t>Senate Select Committee on Job Security</w:t>
      </w:r>
      <w:r w:rsidRPr="73DECFE7">
        <w:rPr>
          <w:rFonts w:ascii="Calibri" w:eastAsia="Calibri" w:hAnsi="Calibri" w:cs="Calibri"/>
          <w:color w:val="000000" w:themeColor="text1"/>
        </w:rPr>
        <w:t xml:space="preserve"> Inquiry and the review of the </w:t>
      </w:r>
      <w:r w:rsidRPr="73DECFE7">
        <w:rPr>
          <w:rFonts w:ascii="Calibri" w:eastAsia="Calibri" w:hAnsi="Calibri" w:cs="Calibri"/>
          <w:i/>
          <w:iCs/>
          <w:color w:val="000000" w:themeColor="text1"/>
        </w:rPr>
        <w:t>Fair Work Amendment (Supporting Australia’s Jobs and Economic Recovery) Act 2021</w:t>
      </w:r>
      <w:r w:rsidR="001E4FAE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001E4FAE" w:rsidRPr="001E4FAE">
        <w:rPr>
          <w:rFonts w:ascii="Calibri" w:eastAsia="Calibri" w:hAnsi="Calibri" w:cs="Calibri"/>
          <w:color w:val="000000" w:themeColor="text1"/>
        </w:rPr>
        <w:t>(</w:t>
      </w:r>
      <w:proofErr w:type="spellStart"/>
      <w:r w:rsidR="001E4FAE" w:rsidRPr="001E4FAE">
        <w:rPr>
          <w:rFonts w:ascii="Calibri" w:eastAsia="Calibri" w:hAnsi="Calibri" w:cs="Calibri"/>
          <w:color w:val="000000" w:themeColor="text1"/>
        </w:rPr>
        <w:t>Cth</w:t>
      </w:r>
      <w:proofErr w:type="spellEnd"/>
      <w:r w:rsidR="001E4FAE" w:rsidRPr="001E4FAE">
        <w:rPr>
          <w:rFonts w:ascii="Calibri" w:eastAsia="Calibri" w:hAnsi="Calibri" w:cs="Calibri"/>
          <w:color w:val="000000" w:themeColor="text1"/>
        </w:rPr>
        <w:t>)</w:t>
      </w:r>
      <w:r w:rsidRPr="73DECFE7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Pr="73DECFE7">
        <w:rPr>
          <w:rFonts w:ascii="Calibri" w:eastAsia="Calibri" w:hAnsi="Calibri" w:cs="Calibri"/>
          <w:color w:val="000000" w:themeColor="text1"/>
        </w:rPr>
        <w:t xml:space="preserve">as processes and analysis equivalent to an Impact Analysis for the </w:t>
      </w:r>
      <w:r w:rsidR="001D2B2A">
        <w:rPr>
          <w:rFonts w:ascii="Calibri" w:eastAsia="Calibri" w:hAnsi="Calibri" w:cs="Calibri"/>
          <w:color w:val="000000" w:themeColor="text1"/>
        </w:rPr>
        <w:t xml:space="preserve">Australian </w:t>
      </w:r>
      <w:r w:rsidRPr="73DECFE7">
        <w:rPr>
          <w:rFonts w:ascii="Calibri" w:eastAsia="Calibri" w:hAnsi="Calibri" w:cs="Calibri"/>
          <w:color w:val="000000" w:themeColor="text1"/>
        </w:rPr>
        <w:t xml:space="preserve">Government’s election commitment </w:t>
      </w:r>
      <w:r w:rsidR="00D62EF7" w:rsidRPr="004E3793">
        <w:rPr>
          <w:rFonts w:ascii="Calibri" w:eastAsia="Calibri" w:hAnsi="Calibri" w:cs="Calibri"/>
          <w:i/>
          <w:iCs/>
          <w:lang w:val="en-US"/>
        </w:rPr>
        <w:t xml:space="preserve">Standing </w:t>
      </w:r>
      <w:r w:rsidR="00DA38E1" w:rsidRPr="004E3793">
        <w:rPr>
          <w:rFonts w:ascii="Calibri" w:eastAsia="Calibri" w:hAnsi="Calibri" w:cs="Calibri"/>
          <w:i/>
          <w:iCs/>
          <w:lang w:val="en-US"/>
        </w:rPr>
        <w:t>u</w:t>
      </w:r>
      <w:r w:rsidR="00D62EF7" w:rsidRPr="004E3793">
        <w:rPr>
          <w:rFonts w:ascii="Calibri" w:eastAsia="Calibri" w:hAnsi="Calibri" w:cs="Calibri"/>
          <w:i/>
          <w:iCs/>
          <w:lang w:val="en-US"/>
        </w:rPr>
        <w:t xml:space="preserve">p </w:t>
      </w:r>
      <w:r w:rsidR="00DA38E1" w:rsidRPr="004E3793">
        <w:rPr>
          <w:rFonts w:ascii="Calibri" w:eastAsia="Calibri" w:hAnsi="Calibri" w:cs="Calibri"/>
          <w:i/>
          <w:iCs/>
          <w:lang w:val="en-US"/>
        </w:rPr>
        <w:t>f</w:t>
      </w:r>
      <w:r w:rsidR="00D62EF7" w:rsidRPr="004E3793">
        <w:rPr>
          <w:rFonts w:ascii="Calibri" w:eastAsia="Calibri" w:hAnsi="Calibri" w:cs="Calibri"/>
          <w:i/>
          <w:iCs/>
          <w:lang w:val="en-US"/>
        </w:rPr>
        <w:t xml:space="preserve">or </w:t>
      </w:r>
      <w:r w:rsidR="00DA38E1" w:rsidRPr="004E3793">
        <w:rPr>
          <w:rFonts w:ascii="Calibri" w:eastAsia="Calibri" w:hAnsi="Calibri" w:cs="Calibri"/>
          <w:i/>
          <w:iCs/>
          <w:lang w:val="en-US"/>
        </w:rPr>
        <w:t>c</w:t>
      </w:r>
      <w:r w:rsidR="00D62EF7" w:rsidRPr="004E3793">
        <w:rPr>
          <w:rFonts w:ascii="Calibri" w:eastAsia="Calibri" w:hAnsi="Calibri" w:cs="Calibri"/>
          <w:i/>
          <w:iCs/>
          <w:lang w:val="en-US"/>
        </w:rPr>
        <w:t xml:space="preserve">asual </w:t>
      </w:r>
      <w:r w:rsidR="00DA38E1" w:rsidRPr="004E3793">
        <w:rPr>
          <w:rFonts w:ascii="Calibri" w:eastAsia="Calibri" w:hAnsi="Calibri" w:cs="Calibri"/>
          <w:i/>
          <w:iCs/>
          <w:lang w:val="en-US"/>
        </w:rPr>
        <w:t>w</w:t>
      </w:r>
      <w:r w:rsidR="00D62EF7" w:rsidRPr="004E3793">
        <w:rPr>
          <w:rFonts w:ascii="Calibri" w:eastAsia="Calibri" w:hAnsi="Calibri" w:cs="Calibri"/>
          <w:i/>
          <w:iCs/>
          <w:lang w:val="en-US"/>
        </w:rPr>
        <w:t>orkers</w:t>
      </w:r>
      <w:r w:rsidR="000C457C">
        <w:rPr>
          <w:rFonts w:ascii="Calibri" w:eastAsia="Calibri" w:hAnsi="Calibri" w:cs="Calibri"/>
          <w:lang w:val="en-US"/>
        </w:rPr>
        <w:t>. This commitment was</w:t>
      </w:r>
      <w:r w:rsidR="00D62EF7" w:rsidRPr="00E92EF7">
        <w:t xml:space="preserve"> </w:t>
      </w:r>
      <w:r w:rsidRPr="73DECFE7">
        <w:rPr>
          <w:rFonts w:ascii="Calibri" w:eastAsia="Calibri" w:hAnsi="Calibri" w:cs="Calibri"/>
          <w:color w:val="000000" w:themeColor="text1"/>
        </w:rPr>
        <w:t>to legislate a</w:t>
      </w:r>
      <w:r>
        <w:rPr>
          <w:rFonts w:ascii="Calibri" w:eastAsia="Calibri" w:hAnsi="Calibri" w:cs="Calibri"/>
          <w:color w:val="000000" w:themeColor="text1"/>
        </w:rPr>
        <w:t xml:space="preserve"> fair, </w:t>
      </w:r>
      <w:r w:rsidRPr="73DECFE7">
        <w:rPr>
          <w:rFonts w:ascii="Calibri" w:eastAsia="Calibri" w:hAnsi="Calibri" w:cs="Calibri"/>
          <w:color w:val="000000" w:themeColor="text1"/>
        </w:rPr>
        <w:t xml:space="preserve">objective definition of when an employee can be a casual and provide a clearer and stronger pathway to permanent work. As this policy was an election commitment, only this policy and the status quo were considered. </w:t>
      </w:r>
    </w:p>
    <w:p w14:paraId="530DEC81" w14:textId="3D20BB1D" w:rsidR="00E92EF7" w:rsidRDefault="00E92EF7" w:rsidP="007F5D10">
      <w:pPr>
        <w:pStyle w:val="Body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 new definition will amend</w:t>
      </w:r>
      <w:r w:rsidRPr="73DECFE7">
        <w:rPr>
          <w:rFonts w:ascii="Calibri" w:eastAsia="Calibri" w:hAnsi="Calibri" w:cs="Calibri"/>
          <w:color w:val="000000" w:themeColor="text1"/>
        </w:rPr>
        <w:t xml:space="preserve"> the </w:t>
      </w:r>
      <w:r>
        <w:rPr>
          <w:rFonts w:ascii="Calibri" w:eastAsia="Calibri" w:hAnsi="Calibri" w:cs="Calibri"/>
          <w:color w:val="000000" w:themeColor="text1"/>
        </w:rPr>
        <w:t>current statutory framework. This existing framework confines the definition of</w:t>
      </w:r>
      <w:r w:rsidRPr="73DECFE7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casual employee</w:t>
      </w:r>
      <w:r w:rsidRPr="73DECFE7">
        <w:rPr>
          <w:rFonts w:ascii="Calibri" w:eastAsia="Calibri" w:hAnsi="Calibri" w:cs="Calibri"/>
          <w:color w:val="000000" w:themeColor="text1"/>
        </w:rPr>
        <w:t xml:space="preserve"> primarily to the employment contract</w:t>
      </w:r>
      <w:r w:rsidR="00712B88" w:rsidRPr="618221C2">
        <w:rPr>
          <w:rFonts w:ascii="Calibri" w:eastAsia="Calibri" w:hAnsi="Calibri" w:cs="Calibri"/>
          <w:color w:val="000000" w:themeColor="text1"/>
        </w:rPr>
        <w:t>. The new definition will</w:t>
      </w:r>
      <w:r w:rsidR="0B9AAED7" w:rsidRPr="618221C2">
        <w:rPr>
          <w:rFonts w:ascii="Calibri" w:eastAsia="Calibri" w:hAnsi="Calibri" w:cs="Calibri"/>
          <w:color w:val="000000" w:themeColor="text1"/>
        </w:rPr>
        <w:t xml:space="preserve"> keep the core concept that a casual is someone who does not have a firm advance commitment to continuing and indefinite work, but ensure this concept is understood by reference to the practical reality of the employment relationship</w:t>
      </w:r>
      <w:r w:rsidR="5E83C8CF" w:rsidRPr="618221C2">
        <w:rPr>
          <w:rFonts w:ascii="Calibri" w:eastAsia="Calibri" w:hAnsi="Calibri" w:cs="Calibri"/>
          <w:color w:val="000000" w:themeColor="text1"/>
        </w:rPr>
        <w:t xml:space="preserve"> instead of the contractual description alone</w:t>
      </w:r>
      <w:r w:rsidR="0B9AAED7" w:rsidRPr="618221C2">
        <w:rPr>
          <w:rFonts w:ascii="Calibri" w:eastAsia="Calibri" w:hAnsi="Calibri" w:cs="Calibri"/>
          <w:color w:val="000000" w:themeColor="text1"/>
        </w:rPr>
        <w:t>. </w:t>
      </w:r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5BFE93C2" w14:textId="126854C4" w:rsidR="00F767A7" w:rsidRDefault="00E92EF7" w:rsidP="00816000">
      <w:pPr>
        <w:pStyle w:val="Body"/>
        <w:rPr>
          <w:rFonts w:ascii="Calibri" w:eastAsia="Calibri" w:hAnsi="Calibri" w:cs="Calibri"/>
          <w:color w:val="000000" w:themeColor="text1"/>
        </w:rPr>
      </w:pPr>
      <w:r w:rsidRPr="73DECFE7">
        <w:rPr>
          <w:rFonts w:ascii="Calibri" w:eastAsia="Calibri" w:hAnsi="Calibri" w:cs="Calibri"/>
          <w:color w:val="000000" w:themeColor="text1"/>
        </w:rPr>
        <w:t xml:space="preserve">The model proposed by the Government provides eligible employees with two pathways to change their status: </w:t>
      </w:r>
      <w:r>
        <w:rPr>
          <w:rFonts w:ascii="Calibri" w:eastAsia="Calibri" w:hAnsi="Calibri" w:cs="Calibri"/>
          <w:color w:val="000000" w:themeColor="text1"/>
        </w:rPr>
        <w:t xml:space="preserve">through seeking a change of status with reference to the </w:t>
      </w:r>
      <w:r w:rsidRPr="73DECFE7">
        <w:rPr>
          <w:rFonts w:ascii="Calibri" w:eastAsia="Calibri" w:hAnsi="Calibri" w:cs="Calibri"/>
          <w:color w:val="000000" w:themeColor="text1"/>
        </w:rPr>
        <w:t>amended definition of casual employ</w:t>
      </w:r>
      <w:r>
        <w:rPr>
          <w:rFonts w:ascii="Calibri" w:eastAsia="Calibri" w:hAnsi="Calibri" w:cs="Calibri"/>
          <w:color w:val="000000" w:themeColor="text1"/>
        </w:rPr>
        <w:t>ee</w:t>
      </w:r>
      <w:r w:rsidR="00CE59FB">
        <w:rPr>
          <w:rFonts w:ascii="Calibri" w:eastAsia="Calibri" w:hAnsi="Calibri" w:cs="Calibri"/>
          <w:color w:val="000000" w:themeColor="text1"/>
        </w:rPr>
        <w:t xml:space="preserve"> (the new </w:t>
      </w:r>
      <w:r w:rsidR="007B66DC">
        <w:rPr>
          <w:rFonts w:ascii="Calibri" w:eastAsia="Calibri" w:hAnsi="Calibri" w:cs="Calibri"/>
          <w:color w:val="000000" w:themeColor="text1"/>
        </w:rPr>
        <w:t xml:space="preserve">employee choice </w:t>
      </w:r>
      <w:r w:rsidR="00CE59FB">
        <w:rPr>
          <w:rFonts w:ascii="Calibri" w:eastAsia="Calibri" w:hAnsi="Calibri" w:cs="Calibri"/>
          <w:color w:val="000000" w:themeColor="text1"/>
        </w:rPr>
        <w:t>definition pathway)</w:t>
      </w:r>
      <w:r w:rsidRPr="73DECFE7">
        <w:rPr>
          <w:rFonts w:ascii="Calibri" w:eastAsia="Calibri" w:hAnsi="Calibri" w:cs="Calibri"/>
          <w:color w:val="000000" w:themeColor="text1"/>
        </w:rPr>
        <w:t xml:space="preserve">, or through the existing casual conversion mechanism. </w:t>
      </w:r>
      <w:r w:rsidR="004A5389">
        <w:rPr>
          <w:rFonts w:ascii="Calibri" w:eastAsia="Calibri" w:hAnsi="Calibri" w:cs="Calibri"/>
          <w:color w:val="000000" w:themeColor="text1"/>
        </w:rPr>
        <w:t>Provided an employee is correctly classified on engagement, s</w:t>
      </w:r>
      <w:r w:rsidRPr="73DECFE7">
        <w:rPr>
          <w:rFonts w:ascii="Calibri" w:eastAsia="Calibri" w:hAnsi="Calibri" w:cs="Calibri"/>
          <w:color w:val="000000" w:themeColor="text1"/>
        </w:rPr>
        <w:t xml:space="preserve">tatus will only change prospectively, meaning </w:t>
      </w:r>
      <w:proofErr w:type="spellStart"/>
      <w:r w:rsidRPr="73DECFE7">
        <w:rPr>
          <w:rFonts w:ascii="Calibri" w:eastAsia="Calibri" w:hAnsi="Calibri" w:cs="Calibri"/>
          <w:color w:val="000000" w:themeColor="text1"/>
        </w:rPr>
        <w:t>backpay</w:t>
      </w:r>
      <w:proofErr w:type="spellEnd"/>
      <w:r w:rsidRPr="73DECFE7">
        <w:rPr>
          <w:rFonts w:ascii="Calibri" w:eastAsia="Calibri" w:hAnsi="Calibri" w:cs="Calibri"/>
          <w:color w:val="000000" w:themeColor="text1"/>
        </w:rPr>
        <w:t xml:space="preserve"> liability </w:t>
      </w:r>
      <w:r w:rsidR="004A5389">
        <w:rPr>
          <w:rFonts w:ascii="Calibri" w:eastAsia="Calibri" w:hAnsi="Calibri" w:cs="Calibri"/>
          <w:color w:val="000000" w:themeColor="text1"/>
        </w:rPr>
        <w:t>will not</w:t>
      </w:r>
      <w:r w:rsidRPr="73DECFE7">
        <w:rPr>
          <w:rFonts w:ascii="Calibri" w:eastAsia="Calibri" w:hAnsi="Calibri" w:cs="Calibri"/>
          <w:color w:val="000000" w:themeColor="text1"/>
        </w:rPr>
        <w:t xml:space="preserve"> accrue. The Fair Work Commission will have strengthened powers to resolve disputes. These changes </w:t>
      </w:r>
      <w:r>
        <w:rPr>
          <w:rFonts w:ascii="Calibri" w:eastAsia="Calibri" w:hAnsi="Calibri" w:cs="Calibri"/>
          <w:color w:val="000000" w:themeColor="text1"/>
        </w:rPr>
        <w:t>are consistent with the findings of</w:t>
      </w:r>
      <w:r w:rsidRPr="73DECFE7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the </w:t>
      </w:r>
      <w:r w:rsidR="001752C2">
        <w:rPr>
          <w:rFonts w:ascii="Calibri" w:eastAsia="Calibri" w:hAnsi="Calibri" w:cs="Calibri"/>
          <w:color w:val="000000" w:themeColor="text1"/>
        </w:rPr>
        <w:t>two impact</w:t>
      </w:r>
      <w:r w:rsidR="0027054D">
        <w:rPr>
          <w:rFonts w:ascii="Calibri" w:eastAsia="Calibri" w:hAnsi="Calibri" w:cs="Calibri"/>
          <w:color w:val="000000" w:themeColor="text1"/>
        </w:rPr>
        <w:t xml:space="preserve"> analysis equivalent</w:t>
      </w:r>
      <w:r w:rsidRPr="73DECFE7">
        <w:rPr>
          <w:rFonts w:ascii="Calibri" w:eastAsia="Calibri" w:hAnsi="Calibri" w:cs="Calibri"/>
          <w:color w:val="000000" w:themeColor="text1"/>
        </w:rPr>
        <w:t xml:space="preserve"> processes</w:t>
      </w:r>
      <w:r w:rsidR="00816000">
        <w:rPr>
          <w:rFonts w:ascii="Calibri" w:eastAsia="Calibri" w:hAnsi="Calibri" w:cs="Calibri"/>
          <w:color w:val="000000" w:themeColor="text1"/>
        </w:rPr>
        <w:t>.</w:t>
      </w:r>
    </w:p>
    <w:p w14:paraId="085B2A25" w14:textId="41704BB4" w:rsidR="002A65A7" w:rsidRPr="00816000" w:rsidRDefault="00E92EF7" w:rsidP="00816000">
      <w:pPr>
        <w:pStyle w:val="Body"/>
        <w:rPr>
          <w:rFonts w:ascii="Calibri" w:eastAsia="Calibri" w:hAnsi="Calibri" w:cs="Calibri"/>
          <w:color w:val="000000" w:themeColor="text1"/>
        </w:rPr>
      </w:pPr>
      <w:r w:rsidRPr="1DA065BC">
        <w:rPr>
          <w:rFonts w:ascii="Calibri" w:eastAsia="Calibri" w:hAnsi="Calibri" w:cs="Calibri"/>
          <w:color w:val="000000" w:themeColor="text1"/>
        </w:rPr>
        <w:t>I certify that the two processes</w:t>
      </w:r>
      <w:r w:rsidR="0083519E" w:rsidRPr="1DA065BC">
        <w:rPr>
          <w:rFonts w:ascii="Calibri" w:eastAsia="Calibri" w:hAnsi="Calibri" w:cs="Calibri"/>
          <w:color w:val="000000" w:themeColor="text1"/>
        </w:rPr>
        <w:t>, and additional information provided by the department,</w:t>
      </w:r>
      <w:r w:rsidRPr="1DA065BC">
        <w:rPr>
          <w:rFonts w:ascii="Calibri" w:eastAsia="Calibri" w:hAnsi="Calibri" w:cs="Calibri"/>
          <w:color w:val="000000" w:themeColor="text1"/>
        </w:rPr>
        <w:t xml:space="preserve"> adequately address the Impact Analysis questions. </w:t>
      </w:r>
      <w:r w:rsidR="30F4F2AD" w:rsidRPr="1DA065BC">
        <w:rPr>
          <w:rFonts w:ascii="Calibri" w:eastAsia="Calibri" w:hAnsi="Calibri" w:cs="Calibri"/>
          <w:color w:val="000000" w:themeColor="text1"/>
        </w:rPr>
        <w:t xml:space="preserve">The attached </w:t>
      </w:r>
      <w:r w:rsidRPr="1DA065BC">
        <w:rPr>
          <w:rFonts w:ascii="Calibri" w:eastAsia="Calibri" w:hAnsi="Calibri" w:cs="Calibri"/>
          <w:color w:val="000000" w:themeColor="text1"/>
        </w:rPr>
        <w:t>includes th</w:t>
      </w:r>
      <w:r w:rsidR="00E84D82" w:rsidRPr="1DA065BC">
        <w:rPr>
          <w:rFonts w:ascii="Calibri" w:eastAsia="Calibri" w:hAnsi="Calibri" w:cs="Calibri"/>
          <w:color w:val="000000" w:themeColor="text1"/>
        </w:rPr>
        <w:t>is</w:t>
      </w:r>
      <w:r w:rsidRPr="1DA065BC">
        <w:rPr>
          <w:rFonts w:ascii="Calibri" w:eastAsia="Calibri" w:hAnsi="Calibri" w:cs="Calibri"/>
          <w:color w:val="000000" w:themeColor="text1"/>
        </w:rPr>
        <w:t xml:space="preserve"> </w:t>
      </w:r>
      <w:r w:rsidR="00E84D82" w:rsidRPr="1DA065BC">
        <w:rPr>
          <w:rFonts w:ascii="Calibri" w:eastAsia="Calibri" w:hAnsi="Calibri" w:cs="Calibri"/>
          <w:color w:val="000000" w:themeColor="text1"/>
        </w:rPr>
        <w:t>d</w:t>
      </w:r>
      <w:r w:rsidRPr="1DA065BC">
        <w:rPr>
          <w:rFonts w:ascii="Calibri" w:eastAsia="Calibri" w:hAnsi="Calibri" w:cs="Calibri"/>
          <w:color w:val="000000" w:themeColor="text1"/>
        </w:rPr>
        <w:t xml:space="preserve">epartment’s analysis of how these </w:t>
      </w:r>
      <w:r w:rsidRPr="1DA065BC">
        <w:rPr>
          <w:rFonts w:ascii="Calibri" w:eastAsia="Calibri" w:hAnsi="Calibri" w:cs="Calibri"/>
          <w:color w:val="000000" w:themeColor="text1"/>
        </w:rPr>
        <w:lastRenderedPageBreak/>
        <w:t>questions are addressed</w:t>
      </w:r>
      <w:r w:rsidR="00B95E9F" w:rsidRPr="1DA065BC">
        <w:rPr>
          <w:rFonts w:ascii="Calibri" w:eastAsia="Calibri" w:hAnsi="Calibri" w:cs="Calibri"/>
          <w:color w:val="000000" w:themeColor="text1"/>
        </w:rPr>
        <w:t xml:space="preserve"> </w:t>
      </w:r>
      <w:r w:rsidR="488AA51F" w:rsidRPr="00365487">
        <w:rPr>
          <w:rFonts w:ascii="Calibri" w:eastAsia="Calibri" w:hAnsi="Calibri" w:cs="Calibri"/>
          <w:color w:val="000000" w:themeColor="text1"/>
        </w:rPr>
        <w:t xml:space="preserve">and </w:t>
      </w:r>
      <w:r w:rsidRPr="1DA065BC">
        <w:rPr>
          <w:rFonts w:ascii="Calibri" w:eastAsia="Calibri" w:hAnsi="Calibri" w:cs="Calibri"/>
          <w:color w:val="000000" w:themeColor="text1"/>
        </w:rPr>
        <w:t xml:space="preserve">provides detail on the costing of the regulatory impact, which will be an increase of </w:t>
      </w:r>
      <w:r w:rsidR="00E66A79" w:rsidRPr="1DA065BC">
        <w:rPr>
          <w:rFonts w:ascii="Calibri" w:eastAsia="Calibri" w:hAnsi="Calibri" w:cs="Calibri"/>
          <w:color w:val="000000" w:themeColor="text1"/>
        </w:rPr>
        <w:t>$</w:t>
      </w:r>
      <w:r w:rsidR="00C2249A" w:rsidRPr="1DA065BC">
        <w:rPr>
          <w:rFonts w:ascii="Calibri" w:eastAsia="Calibri" w:hAnsi="Calibri" w:cs="Calibri"/>
          <w:color w:val="000000" w:themeColor="text1"/>
        </w:rPr>
        <w:t>1</w:t>
      </w:r>
      <w:r w:rsidR="00E66A79" w:rsidRPr="1DA065BC">
        <w:rPr>
          <w:rFonts w:ascii="Calibri" w:eastAsia="Calibri" w:hAnsi="Calibri" w:cs="Calibri"/>
          <w:color w:val="000000" w:themeColor="text1"/>
        </w:rPr>
        <w:t>.</w:t>
      </w:r>
      <w:r w:rsidR="0D85AF66" w:rsidRPr="1DA065BC">
        <w:rPr>
          <w:rFonts w:ascii="Calibri" w:eastAsia="Calibri" w:hAnsi="Calibri" w:cs="Calibri"/>
          <w:color w:val="000000" w:themeColor="text1"/>
        </w:rPr>
        <w:t>4</w:t>
      </w:r>
      <w:r w:rsidRPr="1DA065BC">
        <w:rPr>
          <w:rFonts w:ascii="Calibri" w:eastAsia="Calibri" w:hAnsi="Calibri" w:cs="Calibri"/>
          <w:color w:val="000000" w:themeColor="text1"/>
        </w:rPr>
        <w:t xml:space="preserve"> million per annum.</w:t>
      </w:r>
      <w:r w:rsidR="00080B44" w:rsidRPr="1DA065BC">
        <w:rPr>
          <w:rFonts w:ascii="Calibri" w:eastAsia="Calibri" w:hAnsi="Calibri" w:cs="Calibri"/>
          <w:color w:val="000000" w:themeColor="text1"/>
        </w:rPr>
        <w:t xml:space="preserve"> </w:t>
      </w:r>
      <w:r w:rsidR="0089409B" w:rsidRPr="1DA065BC">
        <w:rPr>
          <w:rFonts w:ascii="Calibri" w:eastAsia="Calibri" w:hAnsi="Calibri" w:cs="Calibri"/>
          <w:color w:val="000000" w:themeColor="text1"/>
        </w:rPr>
        <w:t>The regulatory burden to business, community organisations or individuals is quantified using the Australian Government’s Regulatory Burden Measurement framework and is provided below.</w:t>
      </w:r>
    </w:p>
    <w:tbl>
      <w:tblPr>
        <w:tblStyle w:val="LightGrid-Accent2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1"/>
        <w:gridCol w:w="1872"/>
        <w:gridCol w:w="1872"/>
        <w:gridCol w:w="1872"/>
        <w:gridCol w:w="1873"/>
      </w:tblGrid>
      <w:tr w:rsidR="00BC32B5" w14:paraId="4F25468F" w14:textId="77777777" w:rsidTr="1DA06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shd w:val="clear" w:color="auto" w:fill="ACC78B"/>
            <w:noWrap/>
            <w:hideMark/>
          </w:tcPr>
          <w:p w14:paraId="24B62668" w14:textId="77777777" w:rsidR="00BC32B5" w:rsidRDefault="00BC32B5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  <w:u w:val="single"/>
              </w:rPr>
              <w:t>Regulatory burden estimate table</w:t>
            </w:r>
          </w:p>
          <w:p w14:paraId="7AEC1D19" w14:textId="77777777" w:rsidR="00BC32B5" w:rsidRDefault="00BC32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Average annual regulatory costs (from business as usual)</w:t>
            </w:r>
          </w:p>
        </w:tc>
      </w:tr>
      <w:tr w:rsidR="00BC32B5" w14:paraId="4A888DB6" w14:textId="77777777" w:rsidTr="1DA065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noWrap/>
            <w:hideMark/>
          </w:tcPr>
          <w:p w14:paraId="6410CD2A" w14:textId="25DAD884" w:rsidR="00BC32B5" w:rsidRPr="001E5E68" w:rsidRDefault="00BC32B5" w:rsidP="1DA065BC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 xml:space="preserve">Change in costs </w:t>
            </w:r>
          </w:p>
        </w:tc>
        <w:tc>
          <w:tcPr>
            <w:tcW w:w="1872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noWrap/>
            <w:hideMark/>
          </w:tcPr>
          <w:p w14:paraId="739BAFB4" w14:textId="77777777" w:rsidR="00BC32B5" w:rsidRPr="001E5E68" w:rsidRDefault="00BC32B5" w:rsidP="1DA065B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</w:t>
            </w:r>
          </w:p>
        </w:tc>
        <w:tc>
          <w:tcPr>
            <w:tcW w:w="1872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noWrap/>
            <w:hideMark/>
          </w:tcPr>
          <w:p w14:paraId="36B0785D" w14:textId="77777777" w:rsidR="00BC32B5" w:rsidRPr="001E5E68" w:rsidRDefault="00BC32B5" w:rsidP="1DA065B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DA065BC">
              <w:rPr>
                <w:rFonts w:ascii="Arial" w:hAnsi="Arial" w:cs="Arial"/>
                <w:sz w:val="20"/>
                <w:szCs w:val="20"/>
              </w:rPr>
              <w:t>Community organisations</w:t>
            </w:r>
          </w:p>
        </w:tc>
        <w:tc>
          <w:tcPr>
            <w:tcW w:w="1872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noWrap/>
            <w:hideMark/>
          </w:tcPr>
          <w:p w14:paraId="2B0657E3" w14:textId="77777777" w:rsidR="00BC32B5" w:rsidRPr="001E5E68" w:rsidRDefault="00BC32B5" w:rsidP="1DA065B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DA065BC">
              <w:rPr>
                <w:rFonts w:ascii="Arial" w:hAnsi="Arial" w:cs="Arial"/>
                <w:sz w:val="20"/>
                <w:szCs w:val="20"/>
              </w:rPr>
              <w:t>Individuals</w:t>
            </w:r>
          </w:p>
        </w:tc>
        <w:tc>
          <w:tcPr>
            <w:tcW w:w="1873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  <w:noWrap/>
            <w:hideMark/>
          </w:tcPr>
          <w:p w14:paraId="2D66599C" w14:textId="77777777" w:rsidR="00BC32B5" w:rsidRPr="001E5E68" w:rsidRDefault="00BC32B5" w:rsidP="1DA065B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DA065BC">
              <w:rPr>
                <w:rFonts w:ascii="Arial" w:hAnsi="Arial" w:cs="Arial"/>
                <w:sz w:val="20"/>
                <w:szCs w:val="20"/>
              </w:rPr>
              <w:t>Total change in costs</w:t>
            </w:r>
          </w:p>
        </w:tc>
      </w:tr>
      <w:tr w:rsidR="009A4E5E" w14:paraId="2A4DD938" w14:textId="77777777" w:rsidTr="1DA065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20CAF8C4" w14:textId="2B9BA462" w:rsidR="009A4E5E" w:rsidRPr="001E5E68" w:rsidRDefault="009A4E5E" w:rsidP="1DA065BC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DA065BC">
              <w:rPr>
                <w:rFonts w:ascii="Arial" w:hAnsi="Arial"/>
                <w:b w:val="0"/>
                <w:bCs w:val="0"/>
                <w:sz w:val="20"/>
                <w:szCs w:val="20"/>
              </w:rPr>
              <w:t>Total</w:t>
            </w:r>
            <w:r w:rsidRPr="1DA065BC"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  <w:t>, by sector</w:t>
            </w:r>
          </w:p>
        </w:tc>
        <w:tc>
          <w:tcPr>
            <w:tcW w:w="1872" w:type="dxa"/>
            <w:noWrap/>
          </w:tcPr>
          <w:p w14:paraId="25B64BE0" w14:textId="5FE6157C" w:rsidR="009A4E5E" w:rsidRPr="001E5E68" w:rsidRDefault="009A4E5E" w:rsidP="1DA065BC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  <w:lang w:val="en-US"/>
              </w:rPr>
            </w:pPr>
            <w:r w:rsidRPr="1DA065BC">
              <w:rPr>
                <w:rFonts w:ascii="Arial" w:hAnsi="Arial"/>
                <w:sz w:val="20"/>
                <w:szCs w:val="20"/>
                <w:lang w:val="en-US"/>
              </w:rPr>
              <w:t>$1,</w:t>
            </w:r>
            <w:r w:rsidR="64F6A922" w:rsidRPr="1DA065BC">
              <w:rPr>
                <w:rFonts w:ascii="Arial" w:hAnsi="Arial"/>
                <w:sz w:val="20"/>
                <w:szCs w:val="20"/>
                <w:lang w:val="en-US"/>
              </w:rPr>
              <w:t>103, 410</w:t>
            </w:r>
          </w:p>
        </w:tc>
        <w:tc>
          <w:tcPr>
            <w:tcW w:w="1872" w:type="dxa"/>
            <w:noWrap/>
          </w:tcPr>
          <w:p w14:paraId="5D898D97" w14:textId="3A632077" w:rsidR="009A4E5E" w:rsidRPr="001E5E68" w:rsidRDefault="009A4E5E" w:rsidP="1DA065BC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1DA065BC">
              <w:rPr>
                <w:rFonts w:ascii="Arial" w:eastAsia="Arial" w:hAnsi="Arial" w:cs="Arial"/>
                <w:sz w:val="20"/>
                <w:szCs w:val="20"/>
                <w:lang w:val="en-US"/>
              </w:rPr>
              <w:t>$-</w:t>
            </w:r>
          </w:p>
        </w:tc>
        <w:tc>
          <w:tcPr>
            <w:tcW w:w="1872" w:type="dxa"/>
            <w:noWrap/>
          </w:tcPr>
          <w:p w14:paraId="0109C30F" w14:textId="465EC570" w:rsidR="009A4E5E" w:rsidRPr="001E5E68" w:rsidRDefault="009A4E5E" w:rsidP="1DA065BC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DA065BC">
              <w:rPr>
                <w:rFonts w:ascii="Arial" w:hAnsi="Arial"/>
                <w:sz w:val="20"/>
                <w:szCs w:val="20"/>
                <w:lang w:val="en-US"/>
              </w:rPr>
              <w:t>$</w:t>
            </w:r>
            <w:r w:rsidR="343B102C" w:rsidRPr="1DA065BC">
              <w:rPr>
                <w:rFonts w:ascii="Arial" w:hAnsi="Arial"/>
                <w:sz w:val="20"/>
                <w:szCs w:val="20"/>
                <w:lang w:val="en-US"/>
              </w:rPr>
              <w:t>289, 961</w:t>
            </w:r>
          </w:p>
        </w:tc>
        <w:tc>
          <w:tcPr>
            <w:tcW w:w="1873" w:type="dxa"/>
            <w:noWrap/>
          </w:tcPr>
          <w:p w14:paraId="6E8CCAD2" w14:textId="5ED67FCB" w:rsidR="009A4E5E" w:rsidRPr="001E5E68" w:rsidRDefault="009A4E5E" w:rsidP="1DA065BC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20"/>
                <w:szCs w:val="20"/>
                <w:lang w:val="en-US"/>
              </w:rPr>
            </w:pPr>
            <w:r w:rsidRPr="1DA065BC">
              <w:rPr>
                <w:rFonts w:ascii="Arial" w:hAnsi="Arial"/>
                <w:sz w:val="20"/>
                <w:szCs w:val="20"/>
                <w:lang w:val="en-US"/>
              </w:rPr>
              <w:t>$1,</w:t>
            </w:r>
            <w:r w:rsidR="291F4643" w:rsidRPr="1DA065BC">
              <w:rPr>
                <w:rFonts w:ascii="Arial" w:hAnsi="Arial"/>
                <w:sz w:val="20"/>
                <w:szCs w:val="20"/>
                <w:lang w:val="en-US"/>
              </w:rPr>
              <w:t>393,372</w:t>
            </w:r>
          </w:p>
        </w:tc>
      </w:tr>
    </w:tbl>
    <w:p w14:paraId="676A21BE" w14:textId="77777777" w:rsidR="00E92EF7" w:rsidRDefault="00E92EF7" w:rsidP="00E92EF7">
      <w:pPr>
        <w:spacing w:after="0" w:line="240" w:lineRule="auto"/>
        <w:rPr>
          <w:rFonts w:ascii="Calibri" w:eastAsia="Calibri" w:hAnsi="Calibri" w:cs="Calibri"/>
          <w:color w:val="000000" w:themeColor="text1"/>
          <w:lang w:val="en-AU"/>
        </w:rPr>
      </w:pPr>
    </w:p>
    <w:p w14:paraId="6D9D53E8" w14:textId="77777777" w:rsidR="00E92EF7" w:rsidRDefault="00E92EF7" w:rsidP="007F5D10">
      <w:pPr>
        <w:pStyle w:val="Body"/>
        <w:rPr>
          <w:rFonts w:ascii="Calibri" w:eastAsia="Calibri" w:hAnsi="Calibri" w:cs="Calibri"/>
          <w:color w:val="000000" w:themeColor="text1"/>
        </w:rPr>
      </w:pPr>
      <w:r w:rsidRPr="73DECFE7">
        <w:rPr>
          <w:rFonts w:ascii="Calibri" w:eastAsia="Calibri" w:hAnsi="Calibri" w:cs="Calibri"/>
          <w:color w:val="000000" w:themeColor="text1"/>
        </w:rPr>
        <w:t>These documents are submitted to the Office of Impact Analysis for the purposes of assessing their relevance to fulfil Impact Analysis requirements for a final policy decision. </w:t>
      </w:r>
    </w:p>
    <w:p w14:paraId="47A8DBF9" w14:textId="77777777" w:rsidR="00E92EF7" w:rsidRDefault="00E92EF7" w:rsidP="00E92EF7"/>
    <w:p w14:paraId="41E45DDE" w14:textId="4A206506" w:rsidR="00E92EF7" w:rsidRDefault="00E92EF7" w:rsidP="00E92EF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3C8342EC">
        <w:rPr>
          <w:rFonts w:ascii="Calibri" w:eastAsia="Calibri" w:hAnsi="Calibri" w:cs="Calibri"/>
          <w:color w:val="000000" w:themeColor="text1"/>
        </w:rPr>
        <w:t>Yours sincerely</w:t>
      </w:r>
      <w:r w:rsidRPr="3C8342EC">
        <w:rPr>
          <w:rFonts w:ascii="Calibri" w:eastAsia="Calibri" w:hAnsi="Calibri" w:cs="Calibri"/>
          <w:color w:val="000000" w:themeColor="text1"/>
          <w:lang w:val="en-AU"/>
        </w:rPr>
        <w:t> </w:t>
      </w:r>
    </w:p>
    <w:p w14:paraId="096D4D8E" w14:textId="42D2A4E9" w:rsidR="00E92EF7" w:rsidRDefault="00E92EF7" w:rsidP="3C8342EC">
      <w:pPr>
        <w:spacing w:after="0" w:line="240" w:lineRule="auto"/>
        <w:rPr>
          <w:noProof/>
        </w:rPr>
      </w:pPr>
    </w:p>
    <w:p w14:paraId="681129D7" w14:textId="6687D2C1" w:rsidR="001E5E68" w:rsidRDefault="3D138071" w:rsidP="300DE68D">
      <w:pPr>
        <w:spacing w:after="0" w:line="240" w:lineRule="auto"/>
      </w:pPr>
      <w:r>
        <w:rPr>
          <w:noProof/>
          <w:lang w:val="en-AU" w:eastAsia="en-AU"/>
        </w:rPr>
        <w:drawing>
          <wp:inline distT="0" distB="0" distL="0" distR="0" wp14:anchorId="4B7A7BDD" wp14:editId="44FF6900">
            <wp:extent cx="2486025" cy="504825"/>
            <wp:effectExtent l="0" t="0" r="0" b="0"/>
            <wp:docPr id="1994263113" name="Picture 199426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EAB01" w14:textId="77777777" w:rsidR="00DD38B9" w:rsidRDefault="00DD38B9" w:rsidP="3C8342EC">
      <w:pPr>
        <w:spacing w:after="0" w:line="240" w:lineRule="auto"/>
      </w:pPr>
    </w:p>
    <w:p w14:paraId="5BDF4F78" w14:textId="77777777" w:rsidR="00DD38B9" w:rsidRDefault="00DD38B9" w:rsidP="3C8342EC">
      <w:pPr>
        <w:spacing w:after="0" w:line="240" w:lineRule="auto"/>
      </w:pPr>
    </w:p>
    <w:p w14:paraId="0C4B6763" w14:textId="73F833F8" w:rsidR="00E92EF7" w:rsidRDefault="001E5E68" w:rsidP="00E92EF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en-AU"/>
        </w:rPr>
        <w:t>Martin Hehir</w:t>
      </w:r>
    </w:p>
    <w:p w14:paraId="43C9EF7F" w14:textId="5ABB93FA" w:rsidR="00E92EF7" w:rsidRDefault="00E92EF7" w:rsidP="00E92EF7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B31A1B">
        <w:rPr>
          <w:rFonts w:ascii="Calibri" w:eastAsia="Calibri" w:hAnsi="Calibri" w:cs="Calibri"/>
          <w:color w:val="000000" w:themeColor="text1"/>
        </w:rPr>
        <w:t>Deputy Secretary, Workplace Relations Group</w:t>
      </w:r>
      <w:r w:rsidRPr="66B31A1B">
        <w:rPr>
          <w:rFonts w:ascii="Calibri" w:eastAsia="Calibri" w:hAnsi="Calibri" w:cs="Calibri"/>
          <w:color w:val="000000" w:themeColor="text1"/>
          <w:lang w:val="en-AU"/>
        </w:rPr>
        <w:t> </w:t>
      </w:r>
      <w:r>
        <w:br/>
      </w:r>
      <w:r w:rsidRPr="66B31A1B">
        <w:rPr>
          <w:rFonts w:ascii="Calibri" w:eastAsia="Calibri" w:hAnsi="Calibri" w:cs="Calibri"/>
          <w:color w:val="000000" w:themeColor="text1"/>
          <w:lang w:val="en-AU"/>
        </w:rPr>
        <w:t>Department of Employment and Workplace Relations </w:t>
      </w:r>
    </w:p>
    <w:p w14:paraId="06C3BE23" w14:textId="0C980801" w:rsidR="15C9672A" w:rsidRDefault="2B597B63" w:rsidP="1DA065B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BC455A3">
        <w:rPr>
          <w:rFonts w:ascii="Calibri" w:eastAsia="Calibri" w:hAnsi="Calibri" w:cs="Calibri"/>
          <w:color w:val="000000" w:themeColor="text1"/>
        </w:rPr>
        <w:t>2</w:t>
      </w:r>
      <w:r w:rsidR="1260CE19" w:rsidRPr="1BC455A3">
        <w:rPr>
          <w:rFonts w:ascii="Calibri" w:eastAsia="Calibri" w:hAnsi="Calibri" w:cs="Calibri"/>
          <w:color w:val="000000" w:themeColor="text1"/>
        </w:rPr>
        <w:t xml:space="preserve">3 </w:t>
      </w:r>
      <w:r w:rsidR="15C9672A" w:rsidRPr="1BC455A3">
        <w:rPr>
          <w:rFonts w:ascii="Calibri" w:eastAsia="Calibri" w:hAnsi="Calibri" w:cs="Calibri"/>
          <w:color w:val="000000" w:themeColor="text1"/>
        </w:rPr>
        <w:t>August 2023</w:t>
      </w:r>
    </w:p>
    <w:p w14:paraId="70F226BD" w14:textId="77777777" w:rsidR="00446765" w:rsidRDefault="00446765"/>
    <w:sectPr w:rsidR="00446765" w:rsidSect="00446765">
      <w:headerReference w:type="default" r:id="rId2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2C41F" w14:textId="77777777" w:rsidR="004559FC" w:rsidRDefault="004559FC" w:rsidP="00446765">
      <w:pPr>
        <w:spacing w:after="0" w:line="240" w:lineRule="auto"/>
      </w:pPr>
      <w:r>
        <w:separator/>
      </w:r>
    </w:p>
  </w:endnote>
  <w:endnote w:type="continuationSeparator" w:id="0">
    <w:p w14:paraId="3261A96D" w14:textId="77777777" w:rsidR="004559FC" w:rsidRDefault="004559FC" w:rsidP="00446765">
      <w:pPr>
        <w:spacing w:after="0" w:line="240" w:lineRule="auto"/>
      </w:pPr>
      <w:r>
        <w:continuationSeparator/>
      </w:r>
    </w:p>
  </w:endnote>
  <w:endnote w:type="continuationNotice" w:id="1">
    <w:p w14:paraId="07FF2B8E" w14:textId="77777777" w:rsidR="004559FC" w:rsidRDefault="004559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0ED65" w14:textId="77777777" w:rsidR="004F60DB" w:rsidRDefault="004F6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CD0B" w14:textId="77777777" w:rsidR="004F60DB" w:rsidRDefault="004F60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A34C" w14:textId="77777777" w:rsidR="004F60DB" w:rsidRDefault="004F6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D741C" w14:textId="77777777" w:rsidR="004559FC" w:rsidRDefault="004559FC" w:rsidP="00446765">
      <w:pPr>
        <w:spacing w:after="0" w:line="240" w:lineRule="auto"/>
      </w:pPr>
      <w:r>
        <w:separator/>
      </w:r>
    </w:p>
  </w:footnote>
  <w:footnote w:type="continuationSeparator" w:id="0">
    <w:p w14:paraId="68EE61E1" w14:textId="77777777" w:rsidR="004559FC" w:rsidRDefault="004559FC" w:rsidP="00446765">
      <w:pPr>
        <w:spacing w:after="0" w:line="240" w:lineRule="auto"/>
      </w:pPr>
      <w:r>
        <w:continuationSeparator/>
      </w:r>
    </w:p>
  </w:footnote>
  <w:footnote w:type="continuationNotice" w:id="1">
    <w:p w14:paraId="261B4144" w14:textId="77777777" w:rsidR="004559FC" w:rsidRDefault="004559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EA85" w14:textId="77777777" w:rsidR="004F60DB" w:rsidRDefault="004F6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15066" w14:textId="77777777" w:rsidR="004F60DB" w:rsidRDefault="004F60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7A87A" w14:textId="77777777" w:rsidR="004F60DB" w:rsidRDefault="004F60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5F7BE" w14:textId="77777777" w:rsidR="00446765" w:rsidRPr="004F60DB" w:rsidRDefault="00446765" w:rsidP="004F60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43"/>
    <w:rsid w:val="00065F10"/>
    <w:rsid w:val="000707DA"/>
    <w:rsid w:val="00080B44"/>
    <w:rsid w:val="000864A5"/>
    <w:rsid w:val="000A1DA6"/>
    <w:rsid w:val="000B1157"/>
    <w:rsid w:val="000B1CAA"/>
    <w:rsid w:val="000B6560"/>
    <w:rsid w:val="000C1E67"/>
    <w:rsid w:val="000C457C"/>
    <w:rsid w:val="000F211D"/>
    <w:rsid w:val="00120B88"/>
    <w:rsid w:val="00144C11"/>
    <w:rsid w:val="00154AF7"/>
    <w:rsid w:val="001752C2"/>
    <w:rsid w:val="00182C64"/>
    <w:rsid w:val="001C6746"/>
    <w:rsid w:val="001D22F6"/>
    <w:rsid w:val="001D2B2A"/>
    <w:rsid w:val="001E4FAE"/>
    <w:rsid w:val="001E5E68"/>
    <w:rsid w:val="001F55B0"/>
    <w:rsid w:val="001F5FA5"/>
    <w:rsid w:val="002049E9"/>
    <w:rsid w:val="00221584"/>
    <w:rsid w:val="00234392"/>
    <w:rsid w:val="00234CDF"/>
    <w:rsid w:val="00236113"/>
    <w:rsid w:val="00240C31"/>
    <w:rsid w:val="00256FEB"/>
    <w:rsid w:val="0027054D"/>
    <w:rsid w:val="00271F31"/>
    <w:rsid w:val="00275D47"/>
    <w:rsid w:val="00281459"/>
    <w:rsid w:val="002A65A7"/>
    <w:rsid w:val="002B0853"/>
    <w:rsid w:val="002B6237"/>
    <w:rsid w:val="002C3F72"/>
    <w:rsid w:val="002D6117"/>
    <w:rsid w:val="00310E96"/>
    <w:rsid w:val="003533F7"/>
    <w:rsid w:val="00360A42"/>
    <w:rsid w:val="00365487"/>
    <w:rsid w:val="003A60AB"/>
    <w:rsid w:val="003A7D9B"/>
    <w:rsid w:val="003B404D"/>
    <w:rsid w:val="003E6580"/>
    <w:rsid w:val="004140C2"/>
    <w:rsid w:val="004345B0"/>
    <w:rsid w:val="00434F00"/>
    <w:rsid w:val="00446765"/>
    <w:rsid w:val="004559FC"/>
    <w:rsid w:val="004815CF"/>
    <w:rsid w:val="004909D9"/>
    <w:rsid w:val="004A5389"/>
    <w:rsid w:val="004B2306"/>
    <w:rsid w:val="004D0EE9"/>
    <w:rsid w:val="004D401B"/>
    <w:rsid w:val="004E3793"/>
    <w:rsid w:val="004E6323"/>
    <w:rsid w:val="004F60DB"/>
    <w:rsid w:val="00520BA5"/>
    <w:rsid w:val="00547370"/>
    <w:rsid w:val="00561986"/>
    <w:rsid w:val="00594D38"/>
    <w:rsid w:val="005B0202"/>
    <w:rsid w:val="005C7149"/>
    <w:rsid w:val="00626FFB"/>
    <w:rsid w:val="00633AE4"/>
    <w:rsid w:val="00635152"/>
    <w:rsid w:val="00655A08"/>
    <w:rsid w:val="00672F57"/>
    <w:rsid w:val="006A3343"/>
    <w:rsid w:val="006A599D"/>
    <w:rsid w:val="006B7826"/>
    <w:rsid w:val="006C06DE"/>
    <w:rsid w:val="00701C82"/>
    <w:rsid w:val="00710919"/>
    <w:rsid w:val="00712B88"/>
    <w:rsid w:val="0075311A"/>
    <w:rsid w:val="00775BD0"/>
    <w:rsid w:val="00790313"/>
    <w:rsid w:val="007B66DC"/>
    <w:rsid w:val="007F5D10"/>
    <w:rsid w:val="00816000"/>
    <w:rsid w:val="0081618A"/>
    <w:rsid w:val="00826D82"/>
    <w:rsid w:val="0083519E"/>
    <w:rsid w:val="00855A6D"/>
    <w:rsid w:val="008756D7"/>
    <w:rsid w:val="00891885"/>
    <w:rsid w:val="0089409B"/>
    <w:rsid w:val="008A79D1"/>
    <w:rsid w:val="008C34F3"/>
    <w:rsid w:val="008D09BE"/>
    <w:rsid w:val="008D70D7"/>
    <w:rsid w:val="008E662B"/>
    <w:rsid w:val="008F55D5"/>
    <w:rsid w:val="00916A56"/>
    <w:rsid w:val="00923BF6"/>
    <w:rsid w:val="00936C88"/>
    <w:rsid w:val="009672EE"/>
    <w:rsid w:val="0097122A"/>
    <w:rsid w:val="009723A5"/>
    <w:rsid w:val="00993097"/>
    <w:rsid w:val="009A4E5E"/>
    <w:rsid w:val="009B242E"/>
    <w:rsid w:val="009D3626"/>
    <w:rsid w:val="009E63BA"/>
    <w:rsid w:val="00A32405"/>
    <w:rsid w:val="00A54B98"/>
    <w:rsid w:val="00A87414"/>
    <w:rsid w:val="00AA51A4"/>
    <w:rsid w:val="00AB1445"/>
    <w:rsid w:val="00AB2A81"/>
    <w:rsid w:val="00AC7FC0"/>
    <w:rsid w:val="00B06743"/>
    <w:rsid w:val="00B27812"/>
    <w:rsid w:val="00B62562"/>
    <w:rsid w:val="00B62B9D"/>
    <w:rsid w:val="00B65455"/>
    <w:rsid w:val="00B91401"/>
    <w:rsid w:val="00B95E9F"/>
    <w:rsid w:val="00BA3D51"/>
    <w:rsid w:val="00BC0D93"/>
    <w:rsid w:val="00BC2BAE"/>
    <w:rsid w:val="00BC32B5"/>
    <w:rsid w:val="00BD63B7"/>
    <w:rsid w:val="00BE6A70"/>
    <w:rsid w:val="00BE71FE"/>
    <w:rsid w:val="00C01D6C"/>
    <w:rsid w:val="00C2249A"/>
    <w:rsid w:val="00C3598F"/>
    <w:rsid w:val="00C45A05"/>
    <w:rsid w:val="00C469FC"/>
    <w:rsid w:val="00C53C55"/>
    <w:rsid w:val="00C626FE"/>
    <w:rsid w:val="00C912E3"/>
    <w:rsid w:val="00CC2F4F"/>
    <w:rsid w:val="00CE59FB"/>
    <w:rsid w:val="00D446A6"/>
    <w:rsid w:val="00D60A09"/>
    <w:rsid w:val="00D62EF7"/>
    <w:rsid w:val="00D62FB2"/>
    <w:rsid w:val="00D81072"/>
    <w:rsid w:val="00D97FF2"/>
    <w:rsid w:val="00DA38E1"/>
    <w:rsid w:val="00DB67DA"/>
    <w:rsid w:val="00DD11A7"/>
    <w:rsid w:val="00DD38B9"/>
    <w:rsid w:val="00E1149F"/>
    <w:rsid w:val="00E12F3B"/>
    <w:rsid w:val="00E331F0"/>
    <w:rsid w:val="00E361C4"/>
    <w:rsid w:val="00E404BC"/>
    <w:rsid w:val="00E40797"/>
    <w:rsid w:val="00E5350E"/>
    <w:rsid w:val="00E535A7"/>
    <w:rsid w:val="00E62C7E"/>
    <w:rsid w:val="00E66A79"/>
    <w:rsid w:val="00E84D82"/>
    <w:rsid w:val="00E92EF7"/>
    <w:rsid w:val="00EA1306"/>
    <w:rsid w:val="00EA3919"/>
    <w:rsid w:val="00EB4025"/>
    <w:rsid w:val="00ED5FC1"/>
    <w:rsid w:val="00EE666E"/>
    <w:rsid w:val="00F11832"/>
    <w:rsid w:val="00F15F46"/>
    <w:rsid w:val="00F2160D"/>
    <w:rsid w:val="00F533FB"/>
    <w:rsid w:val="00F662D9"/>
    <w:rsid w:val="00F71683"/>
    <w:rsid w:val="00F7651C"/>
    <w:rsid w:val="00F767A7"/>
    <w:rsid w:val="00FB5FFC"/>
    <w:rsid w:val="00FC3610"/>
    <w:rsid w:val="00FD27F2"/>
    <w:rsid w:val="00FD3816"/>
    <w:rsid w:val="00FE214D"/>
    <w:rsid w:val="00FE7836"/>
    <w:rsid w:val="02C0ED74"/>
    <w:rsid w:val="048CF176"/>
    <w:rsid w:val="04FB1895"/>
    <w:rsid w:val="0AEC88ED"/>
    <w:rsid w:val="0B9AAED7"/>
    <w:rsid w:val="0D85AF66"/>
    <w:rsid w:val="0DAAB152"/>
    <w:rsid w:val="1260CE19"/>
    <w:rsid w:val="15C9672A"/>
    <w:rsid w:val="1672A71A"/>
    <w:rsid w:val="172B20B0"/>
    <w:rsid w:val="18BE0984"/>
    <w:rsid w:val="18E8E120"/>
    <w:rsid w:val="1BC455A3"/>
    <w:rsid w:val="1C438B36"/>
    <w:rsid w:val="1DA065BC"/>
    <w:rsid w:val="1DE3E4EE"/>
    <w:rsid w:val="291F4643"/>
    <w:rsid w:val="29E81209"/>
    <w:rsid w:val="2B597B63"/>
    <w:rsid w:val="2CA38D32"/>
    <w:rsid w:val="300DE68D"/>
    <w:rsid w:val="30F4F2AD"/>
    <w:rsid w:val="31667074"/>
    <w:rsid w:val="343B102C"/>
    <w:rsid w:val="346D895C"/>
    <w:rsid w:val="34E4E1DC"/>
    <w:rsid w:val="35D03751"/>
    <w:rsid w:val="3628731B"/>
    <w:rsid w:val="36614771"/>
    <w:rsid w:val="38189E66"/>
    <w:rsid w:val="3C5D8370"/>
    <w:rsid w:val="3C8342EC"/>
    <w:rsid w:val="3D138071"/>
    <w:rsid w:val="3D49B963"/>
    <w:rsid w:val="40267D13"/>
    <w:rsid w:val="40476C86"/>
    <w:rsid w:val="4156BD71"/>
    <w:rsid w:val="4169D3E7"/>
    <w:rsid w:val="468D4A91"/>
    <w:rsid w:val="488AA51F"/>
    <w:rsid w:val="49A5A0C5"/>
    <w:rsid w:val="4D976A33"/>
    <w:rsid w:val="4E2A226F"/>
    <w:rsid w:val="51171EDF"/>
    <w:rsid w:val="57BFD03C"/>
    <w:rsid w:val="57C1A83D"/>
    <w:rsid w:val="5968E848"/>
    <w:rsid w:val="59A33CAE"/>
    <w:rsid w:val="5B50E4A6"/>
    <w:rsid w:val="5E83C8CF"/>
    <w:rsid w:val="6039D69E"/>
    <w:rsid w:val="618221C2"/>
    <w:rsid w:val="6264BE35"/>
    <w:rsid w:val="63AD4A56"/>
    <w:rsid w:val="64F6A922"/>
    <w:rsid w:val="66B31A1B"/>
    <w:rsid w:val="6C9F9A84"/>
    <w:rsid w:val="6F90D963"/>
    <w:rsid w:val="70F3EC41"/>
    <w:rsid w:val="762BA25D"/>
    <w:rsid w:val="7977447C"/>
    <w:rsid w:val="7CC153B3"/>
    <w:rsid w:val="7CD9E338"/>
    <w:rsid w:val="7D130B9C"/>
    <w:rsid w:val="7D2EBB9D"/>
    <w:rsid w:val="7DAFDEA0"/>
    <w:rsid w:val="7EAFF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05B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765"/>
    <w:rPr>
      <w:color w:val="808080"/>
    </w:rPr>
  </w:style>
  <w:style w:type="paragraph" w:customStyle="1" w:styleId="Marking">
    <w:name w:val="Marking"/>
    <w:basedOn w:val="Normal"/>
    <w:link w:val="MarkingChar"/>
    <w:qFormat/>
    <w:rsid w:val="00446765"/>
    <w:rPr>
      <w:b/>
      <w:bCs/>
      <w:color w:val="FF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6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MarkingChar">
    <w:name w:val="Marking Char"/>
    <w:basedOn w:val="DefaultParagraphFont"/>
    <w:link w:val="Marking"/>
    <w:rsid w:val="00446765"/>
    <w:rPr>
      <w:b/>
      <w:bCs/>
      <w:color w:val="FF000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446765"/>
  </w:style>
  <w:style w:type="paragraph" w:styleId="Footer">
    <w:name w:val="footer"/>
    <w:basedOn w:val="Normal"/>
    <w:link w:val="FooterChar"/>
    <w:uiPriority w:val="99"/>
    <w:unhideWhenUsed/>
    <w:rsid w:val="00446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765"/>
  </w:style>
  <w:style w:type="paragraph" w:styleId="NoSpacing">
    <w:name w:val="No Spacing"/>
    <w:basedOn w:val="Normal"/>
    <w:uiPriority w:val="1"/>
    <w:rsid w:val="00AB1445"/>
    <w:pPr>
      <w:spacing w:after="0" w:line="240" w:lineRule="auto"/>
    </w:pPr>
    <w:rPr>
      <w:rFonts w:eastAsiaTheme="minorEastAsia"/>
      <w:lang w:val="en-AU" w:eastAsia="en-AU"/>
    </w:rPr>
  </w:style>
  <w:style w:type="paragraph" w:customStyle="1" w:styleId="Body">
    <w:name w:val="Body"/>
    <w:basedOn w:val="Normal"/>
    <w:link w:val="BodyChar"/>
    <w:qFormat/>
    <w:rsid w:val="00AB1445"/>
    <w:pPr>
      <w:spacing w:before="240" w:after="240" w:line="276" w:lineRule="auto"/>
    </w:pPr>
    <w:rPr>
      <w:rFonts w:eastAsiaTheme="minorEastAsia"/>
      <w:lang w:val="en-AU" w:eastAsia="en-AU"/>
    </w:rPr>
  </w:style>
  <w:style w:type="character" w:customStyle="1" w:styleId="BodyChar">
    <w:name w:val="Body Char"/>
    <w:basedOn w:val="DefaultParagraphFont"/>
    <w:link w:val="Body"/>
    <w:rsid w:val="00AB1445"/>
    <w:rPr>
      <w:rFonts w:eastAsiaTheme="minorEastAsia"/>
      <w:lang w:val="en-AU" w:eastAsia="en-AU"/>
    </w:rPr>
  </w:style>
  <w:style w:type="paragraph" w:customStyle="1" w:styleId="SubjectHeading">
    <w:name w:val="Subject Heading"/>
    <w:basedOn w:val="Heading1"/>
    <w:qFormat/>
    <w:rsid w:val="00AB1445"/>
    <w:pPr>
      <w:keepNext w:val="0"/>
      <w:keepLines w:val="0"/>
      <w:spacing w:before="480" w:after="240" w:line="276" w:lineRule="auto"/>
      <w:contextualSpacing/>
      <w:jc w:val="center"/>
    </w:pPr>
    <w:rPr>
      <w:rFonts w:asciiTheme="minorHAnsi" w:hAnsiTheme="minorHAnsi"/>
      <w:b/>
      <w:bCs/>
      <w:color w:val="auto"/>
      <w:sz w:val="22"/>
      <w:szCs w:val="22"/>
      <w:lang w:val="en-AU" w:eastAsia="en-AU"/>
    </w:rPr>
  </w:style>
  <w:style w:type="table" w:styleId="TableGrid">
    <w:name w:val="Table Grid"/>
    <w:basedOn w:val="TableNormal"/>
    <w:uiPriority w:val="1"/>
    <w:rsid w:val="00AB1445"/>
    <w:pPr>
      <w:spacing w:after="0" w:line="240" w:lineRule="auto"/>
    </w:pPr>
    <w:rPr>
      <w:rFonts w:eastAsiaTheme="minorEastAsia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4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92EF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0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B8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TableText">
    <w:name w:val="TableText"/>
    <w:basedOn w:val="Normal"/>
    <w:qFormat/>
    <w:rsid w:val="00BC32B5"/>
    <w:pPr>
      <w:spacing w:before="120" w:after="120" w:line="240" w:lineRule="auto"/>
    </w:pPr>
    <w:rPr>
      <w:rFonts w:ascii="Arial" w:eastAsiaTheme="majorEastAsia" w:hAnsi="Arial" w:cs="Arial"/>
      <w:bCs/>
      <w:sz w:val="20"/>
      <w:szCs w:val="20"/>
      <w:lang w:val="en-AU"/>
    </w:rPr>
  </w:style>
  <w:style w:type="table" w:styleId="LightGrid-Accent2">
    <w:name w:val="Light Grid Accent 2"/>
    <w:basedOn w:val="TableNormal"/>
    <w:uiPriority w:val="62"/>
    <w:semiHidden/>
    <w:unhideWhenUsed/>
    <w:rsid w:val="00BC32B5"/>
    <w:pPr>
      <w:spacing w:after="0" w:line="240" w:lineRule="auto"/>
    </w:pPr>
    <w:rPr>
      <w:rFonts w:eastAsiaTheme="minorEastAsia"/>
      <w:sz w:val="24"/>
      <w:szCs w:val="24"/>
      <w:lang w:val="en-AU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shd w:val="clear" w:color="auto" w:fill="CD092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Revision">
    <w:name w:val="Revision"/>
    <w:hidden/>
    <w:uiPriority w:val="99"/>
    <w:semiHidden/>
    <w:rsid w:val="00E84D82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A4E5E"/>
  </w:style>
  <w:style w:type="character" w:customStyle="1" w:styleId="eop">
    <w:name w:val="eop"/>
    <w:basedOn w:val="DefaultParagraphFont"/>
    <w:rsid w:val="009A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helpdesk-OIA@pm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8" ma:contentTypeDescription="Create a new document." ma:contentTypeScope="" ma:versionID="33751fc2e25aff34227f1c8db8239990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b07e9e1b733d0321caea61c9fbc9d73b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95ad5f-cdf2-4c4a-8d9b-b7944a108e98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DOCID-322795542-36931</_dlc_DocId>
    <_dlc_DocIdUrl xmlns="4195ad5f-cdf2-4c4a-8d9b-b7944a108e98">
      <Url>https://pmc01.sharepoint.com/sites/CRMOBPR/_layouts/15/DocIdRedir.aspx?ID=DOCID-322795542-36931</Url>
      <Description>DOCID-322795542-36931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BC184-0407-48C5-90F7-FCF2B16EF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5ad5f-cdf2-4c4a-8d9b-b7944a108e98"/>
    <ds:schemaRef ds:uri="26285671-540d-468b-b7a1-f3e0438d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AD2DD-616E-425D-B09C-8FEA9689D4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05D618-7098-4094-A8F3-05A6453152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1C7BB9-7E35-4EE8-BB9D-79B042C6CEA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6285671-540d-468b-b7a1-f3e0438dd51a"/>
    <ds:schemaRef ds:uri="http://schemas.microsoft.com/sharepoint/v3"/>
    <ds:schemaRef ds:uri="4195ad5f-cdf2-4c4a-8d9b-b7944a108e9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B4A7960-B5B9-4A4C-9772-5B8C9547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2023-08-31T23:13:00Z</dcterms:created>
  <dcterms:modified xsi:type="dcterms:W3CDTF">2023-08-31T23:13:00Z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5" name="MediaServiceImageTags">
    <vt:lpwstr/>
  </property>
  <property fmtid="{D5CDD505-2E9C-101B-9397-08002B2CF9AE}" pid="6" name="_dlc_DocIdItemGuid">
    <vt:lpwstr>6897ac7f-1e07-48aa-91aa-83315b58aec8</vt:lpwstr>
  </property>
</Properties>
</file>